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A1A84B" w14:textId="0FBB6A68" w:rsidR="00150B26" w:rsidRDefault="00F46758">
      <w:pPr>
        <w:spacing w:after="160" w:line="360" w:lineRule="auto"/>
        <w:jc w:val="both"/>
        <w:rPr>
          <w:rFonts w:ascii="Times New Roman" w:eastAsia="Calibri" w:hAnsi="Times New Roman" w:cs="Times New Roman"/>
          <w:b/>
          <w:bCs/>
          <w:kern w:val="2"/>
          <w:sz w:val="24"/>
          <w:szCs w:val="24"/>
          <w:lang w:eastAsia="en-US" w:bidi="hi-IN"/>
          <w14:ligatures w14:val="standardContextual"/>
        </w:rPr>
      </w:pPr>
      <w:r w:rsidRPr="00F46758">
        <w:rPr>
          <w:rFonts w:ascii="Times New Roman" w:eastAsia="Calibri" w:hAnsi="Times New Roman" w:cs="Times New Roman"/>
          <w:b/>
          <w:bCs/>
          <w:kern w:val="2"/>
          <w:sz w:val="24"/>
          <w:szCs w:val="24"/>
          <w:lang w:eastAsia="en-US" w:bidi="hi-IN"/>
          <w14:ligatures w14:val="standardContextual"/>
        </w:rPr>
        <w:t>Formulation and in-vitro Evaluation of Extended Release Metformin Hydrochloride Directly Compressible Tablets by Using ULTRAMODTM Polymer Premix</w:t>
      </w:r>
    </w:p>
    <w:p w14:paraId="0A09D6D7" w14:textId="77777777" w:rsidR="00150B26" w:rsidRDefault="00150B26">
      <w:pPr>
        <w:spacing w:after="160" w:line="360" w:lineRule="auto"/>
        <w:jc w:val="both"/>
        <w:rPr>
          <w:rFonts w:ascii="Times New Roman" w:eastAsia="Calibri" w:hAnsi="Times New Roman" w:cs="Times New Roman"/>
          <w:b/>
          <w:bCs/>
          <w:kern w:val="2"/>
          <w:sz w:val="24"/>
          <w:szCs w:val="24"/>
          <w:lang w:eastAsia="en-US" w:bidi="hi-IN"/>
          <w14:ligatures w14:val="standardContextual"/>
        </w:rPr>
      </w:pPr>
    </w:p>
    <w:p w14:paraId="3516DB90" w14:textId="77777777" w:rsidR="00990066" w:rsidRDefault="00990066">
      <w:pPr>
        <w:spacing w:line="360" w:lineRule="auto"/>
        <w:rPr>
          <w:rFonts w:ascii="Times New Roman" w:hAnsi="Times New Roman" w:cs="Times New Roman"/>
          <w:b/>
          <w:bCs/>
          <w:sz w:val="28"/>
          <w:szCs w:val="28"/>
        </w:rPr>
      </w:pPr>
    </w:p>
    <w:p w14:paraId="48F1F4B0" w14:textId="77777777" w:rsidR="00990066" w:rsidRDefault="005243B0">
      <w:pPr>
        <w:spacing w:line="360" w:lineRule="auto"/>
        <w:rPr>
          <w:rFonts w:ascii="Times New Roman" w:hAnsi="Times New Roman" w:cs="Times New Roman"/>
          <w:b/>
          <w:bCs/>
          <w:sz w:val="28"/>
          <w:szCs w:val="28"/>
        </w:rPr>
      </w:pPr>
      <w:r>
        <w:rPr>
          <w:rFonts w:ascii="Times New Roman" w:hAnsi="Times New Roman" w:cs="Times New Roman"/>
          <w:b/>
          <w:bCs/>
          <w:sz w:val="28"/>
          <w:szCs w:val="28"/>
        </w:rPr>
        <w:t>Abstract</w:t>
      </w:r>
    </w:p>
    <w:p w14:paraId="0544CCF6" w14:textId="77777777" w:rsidR="00990066" w:rsidRDefault="005243B0">
      <w:pPr>
        <w:spacing w:line="360" w:lineRule="auto"/>
        <w:jc w:val="both"/>
        <w:rPr>
          <w:rFonts w:ascii="Times New Roman" w:hAnsi="Times New Roman"/>
          <w:sz w:val="24"/>
          <w:szCs w:val="24"/>
        </w:rPr>
      </w:pPr>
      <w:r>
        <w:rPr>
          <w:rFonts w:ascii="Times New Roman" w:hAnsi="Times New Roman"/>
          <w:sz w:val="24"/>
          <w:szCs w:val="24"/>
        </w:rPr>
        <w:t xml:space="preserve">Aims: Different types of drug release modifying polymers, their grades and quantities have to be </w:t>
      </w:r>
      <w:proofErr w:type="spellStart"/>
      <w:r>
        <w:rPr>
          <w:rFonts w:ascii="Times New Roman" w:hAnsi="Times New Roman"/>
          <w:sz w:val="24"/>
          <w:szCs w:val="24"/>
        </w:rPr>
        <w:t>optimised</w:t>
      </w:r>
      <w:proofErr w:type="spellEnd"/>
      <w:r>
        <w:rPr>
          <w:rFonts w:ascii="Times New Roman" w:hAnsi="Times New Roman"/>
          <w:sz w:val="24"/>
          <w:szCs w:val="24"/>
        </w:rPr>
        <w:t xml:space="preserve"> in the formulation considering solubility characteristics and biological half-life of the drugs. Further, formulations containing such discrete ingredients processed by conventional, multi-step manufacturing techniques can be a resource-intensive and chal</w:t>
      </w:r>
      <w:r>
        <w:rPr>
          <w:rFonts w:ascii="Times New Roman" w:hAnsi="Times New Roman"/>
          <w:sz w:val="24"/>
          <w:szCs w:val="24"/>
        </w:rPr>
        <w:t xml:space="preserve">lenging task </w:t>
      </w:r>
      <w:bookmarkStart w:id="0" w:name="_GoBack"/>
      <w:bookmarkEnd w:id="0"/>
      <w:r>
        <w:rPr>
          <w:rFonts w:ascii="Times New Roman" w:hAnsi="Times New Roman"/>
          <w:sz w:val="24"/>
          <w:szCs w:val="24"/>
        </w:rPr>
        <w:t>for the formulators. This necessitated development of ready-to-use, co-processed polymer premixes.</w:t>
      </w:r>
    </w:p>
    <w:p w14:paraId="3B779A09" w14:textId="77777777" w:rsidR="00990066" w:rsidRDefault="005243B0">
      <w:pPr>
        <w:spacing w:line="360" w:lineRule="auto"/>
        <w:jc w:val="both"/>
        <w:rPr>
          <w:rFonts w:ascii="Times New Roman" w:hAnsi="Times New Roman"/>
          <w:sz w:val="24"/>
          <w:szCs w:val="24"/>
        </w:rPr>
      </w:pPr>
      <w:r>
        <w:rPr>
          <w:rFonts w:ascii="Times New Roman" w:hAnsi="Times New Roman"/>
          <w:sz w:val="24"/>
          <w:szCs w:val="24"/>
        </w:rPr>
        <w:t>Methodology:</w:t>
      </w:r>
      <w:r>
        <w:rPr>
          <w:rFonts w:ascii="Times New Roman" w:hAnsi="Times New Roman"/>
          <w:b/>
          <w:bCs/>
          <w:sz w:val="24"/>
          <w:szCs w:val="24"/>
        </w:rPr>
        <w:t xml:space="preserve"> </w:t>
      </w:r>
      <w:r>
        <w:rPr>
          <w:rFonts w:ascii="Times New Roman" w:hAnsi="Times New Roman"/>
          <w:sz w:val="24"/>
          <w:szCs w:val="24"/>
        </w:rPr>
        <w:t xml:space="preserve">Present study proposed to develop an </w:t>
      </w:r>
      <w:proofErr w:type="spellStart"/>
      <w:r>
        <w:rPr>
          <w:rFonts w:ascii="Times New Roman" w:hAnsi="Times New Roman"/>
          <w:sz w:val="24"/>
          <w:szCs w:val="24"/>
        </w:rPr>
        <w:t>optimised</w:t>
      </w:r>
      <w:proofErr w:type="spellEnd"/>
      <w:r>
        <w:rPr>
          <w:rFonts w:ascii="Times New Roman" w:hAnsi="Times New Roman"/>
          <w:sz w:val="24"/>
          <w:szCs w:val="24"/>
        </w:rPr>
        <w:t xml:space="preserve"> composition of a polymer premix, ULTRAMOD</w:t>
      </w:r>
      <w:r>
        <w:rPr>
          <w:rFonts w:ascii="Times New Roman" w:hAnsi="Times New Roman"/>
          <w:sz w:val="22"/>
          <w:szCs w:val="22"/>
          <w:vertAlign w:val="superscript"/>
        </w:rPr>
        <w:t>TM</w:t>
      </w:r>
      <w:r>
        <w:rPr>
          <w:rFonts w:ascii="Times New Roman" w:hAnsi="Times New Roman"/>
          <w:sz w:val="24"/>
          <w:szCs w:val="24"/>
        </w:rPr>
        <w:t xml:space="preserve"> and evaluate its performance in modifyin</w:t>
      </w:r>
      <w:r>
        <w:rPr>
          <w:rFonts w:ascii="Times New Roman" w:hAnsi="Times New Roman"/>
          <w:sz w:val="24"/>
          <w:szCs w:val="24"/>
        </w:rPr>
        <w:t>g release of highly water-soluble model drug (BCS Class III) having short biological half-life, metformin hydrochloride. Blend micromeritics and tablet physical properties and performance (</w:t>
      </w:r>
      <w:r>
        <w:rPr>
          <w:rFonts w:ascii="Times New Roman" w:hAnsi="Times New Roman"/>
          <w:i/>
          <w:iCs/>
          <w:sz w:val="24"/>
          <w:szCs w:val="24"/>
        </w:rPr>
        <w:t xml:space="preserve">in-vitro </w:t>
      </w:r>
      <w:r>
        <w:rPr>
          <w:rFonts w:ascii="Times New Roman" w:hAnsi="Times New Roman"/>
          <w:sz w:val="24"/>
          <w:szCs w:val="24"/>
        </w:rPr>
        <w:t>drug release) were evaluated by pharmacopeial methods.</w:t>
      </w:r>
    </w:p>
    <w:p w14:paraId="765D2C99" w14:textId="77777777" w:rsidR="00990066" w:rsidRDefault="005243B0">
      <w:pPr>
        <w:spacing w:line="360" w:lineRule="auto"/>
        <w:jc w:val="both"/>
        <w:rPr>
          <w:rFonts w:ascii="Times New Roman" w:hAnsi="Times New Roman"/>
          <w:sz w:val="24"/>
          <w:szCs w:val="24"/>
        </w:rPr>
      </w:pPr>
      <w:r>
        <w:rPr>
          <w:rFonts w:ascii="Times New Roman" w:hAnsi="Times New Roman"/>
          <w:sz w:val="24"/>
          <w:szCs w:val="24"/>
        </w:rPr>
        <w:t>Res</w:t>
      </w:r>
      <w:r>
        <w:rPr>
          <w:rFonts w:ascii="Times New Roman" w:hAnsi="Times New Roman"/>
          <w:sz w:val="24"/>
          <w:szCs w:val="24"/>
        </w:rPr>
        <w:t>ults:</w:t>
      </w:r>
      <w:r>
        <w:rPr>
          <w:rFonts w:ascii="Times New Roman" w:hAnsi="Times New Roman"/>
          <w:b/>
          <w:bCs/>
          <w:sz w:val="24"/>
          <w:szCs w:val="24"/>
        </w:rPr>
        <w:t xml:space="preserve"> </w:t>
      </w:r>
      <w:r>
        <w:rPr>
          <w:rFonts w:ascii="Times New Roman" w:hAnsi="Times New Roman"/>
          <w:sz w:val="24"/>
          <w:szCs w:val="24"/>
        </w:rPr>
        <w:t xml:space="preserve">Such formulations showed excellent flow and compressibility properties, tablet physical properties and drug release compiled to the pharmacopeial specifications. These quality attributes and release modifying performance of the polymer premix stored </w:t>
      </w:r>
      <w:r>
        <w:rPr>
          <w:rFonts w:ascii="Times New Roman" w:hAnsi="Times New Roman"/>
          <w:sz w:val="24"/>
          <w:szCs w:val="24"/>
        </w:rPr>
        <w:t>at accelerated stability conditions for 6 months also was unchanged.</w:t>
      </w:r>
    </w:p>
    <w:p w14:paraId="6F84E7E9" w14:textId="77777777" w:rsidR="00990066" w:rsidRDefault="005243B0">
      <w:pPr>
        <w:spacing w:line="360" w:lineRule="auto"/>
        <w:jc w:val="both"/>
        <w:rPr>
          <w:rFonts w:ascii="Times New Roman" w:hAnsi="Times New Roman"/>
          <w:sz w:val="24"/>
          <w:szCs w:val="24"/>
        </w:rPr>
      </w:pPr>
      <w:r>
        <w:rPr>
          <w:rFonts w:ascii="Times New Roman" w:hAnsi="Times New Roman"/>
          <w:sz w:val="24"/>
          <w:szCs w:val="24"/>
        </w:rPr>
        <w:t>Conclusions:</w:t>
      </w:r>
      <w:r>
        <w:rPr>
          <w:rFonts w:ascii="Times New Roman" w:hAnsi="Times New Roman"/>
          <w:b/>
          <w:bCs/>
          <w:sz w:val="24"/>
          <w:szCs w:val="24"/>
        </w:rPr>
        <w:t xml:space="preserve"> </w:t>
      </w:r>
      <w:r>
        <w:rPr>
          <w:rFonts w:ascii="Times New Roman" w:hAnsi="Times New Roman"/>
          <w:sz w:val="24"/>
          <w:szCs w:val="24"/>
        </w:rPr>
        <w:t xml:space="preserve">Ready-to-use, co-processed polymer premix proved to be a lucrative substitute to conventional polymers. This reduced formula </w:t>
      </w:r>
      <w:proofErr w:type="spellStart"/>
      <w:r>
        <w:rPr>
          <w:rFonts w:ascii="Times New Roman" w:hAnsi="Times New Roman"/>
          <w:sz w:val="24"/>
          <w:szCs w:val="24"/>
        </w:rPr>
        <w:t>optimisation</w:t>
      </w:r>
      <w:proofErr w:type="spellEnd"/>
      <w:r>
        <w:rPr>
          <w:rFonts w:ascii="Times New Roman" w:hAnsi="Times New Roman"/>
          <w:sz w:val="24"/>
          <w:szCs w:val="24"/>
        </w:rPr>
        <w:t xml:space="preserve"> challenges, manufacturing complexity</w:t>
      </w:r>
      <w:r>
        <w:rPr>
          <w:rFonts w:ascii="Times New Roman" w:hAnsi="Times New Roman"/>
          <w:sz w:val="24"/>
          <w:szCs w:val="24"/>
        </w:rPr>
        <w:t xml:space="preserve"> and promises quick </w:t>
      </w:r>
      <w:proofErr w:type="spellStart"/>
      <w:r>
        <w:rPr>
          <w:rFonts w:ascii="Times New Roman" w:hAnsi="Times New Roman"/>
          <w:sz w:val="24"/>
          <w:szCs w:val="24"/>
        </w:rPr>
        <w:t>commercialisation</w:t>
      </w:r>
      <w:proofErr w:type="spellEnd"/>
      <w:r>
        <w:rPr>
          <w:rFonts w:ascii="Times New Roman" w:hAnsi="Times New Roman"/>
          <w:sz w:val="24"/>
          <w:szCs w:val="24"/>
        </w:rPr>
        <w:t>.</w:t>
      </w:r>
    </w:p>
    <w:p w14:paraId="58C1B913" w14:textId="77777777" w:rsidR="00990066" w:rsidRDefault="005243B0">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Keywords: </w:t>
      </w:r>
      <w:r>
        <w:rPr>
          <w:rFonts w:ascii="Times New Roman" w:hAnsi="Times New Roman"/>
          <w:sz w:val="24"/>
          <w:szCs w:val="24"/>
        </w:rPr>
        <w:t>ULTRAMOD</w:t>
      </w:r>
      <w:r>
        <w:rPr>
          <w:rFonts w:ascii="Times New Roman" w:eastAsia="DengXian" w:hAnsi="Times New Roman" w:cs="Times New Roman"/>
          <w:sz w:val="24"/>
          <w:szCs w:val="24"/>
          <w:vertAlign w:val="superscript"/>
        </w:rPr>
        <w:t>™</w:t>
      </w:r>
      <w:r>
        <w:rPr>
          <w:rFonts w:ascii="Times New Roman" w:hAnsi="Times New Roman"/>
          <w:sz w:val="24"/>
          <w:szCs w:val="24"/>
        </w:rPr>
        <w:t xml:space="preserve">, metformin hydrochloride, direct compression, extended release, matrix tablet, </w:t>
      </w:r>
      <w:proofErr w:type="spellStart"/>
      <w:r>
        <w:rPr>
          <w:rFonts w:ascii="Times New Roman" w:hAnsi="Times New Roman"/>
          <w:sz w:val="24"/>
          <w:szCs w:val="24"/>
        </w:rPr>
        <w:t>coprocess</w:t>
      </w:r>
      <w:proofErr w:type="spellEnd"/>
    </w:p>
    <w:p w14:paraId="1AE5E93E" w14:textId="77777777" w:rsidR="00990066" w:rsidRDefault="005243B0">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1. Introduction</w:t>
      </w:r>
    </w:p>
    <w:p w14:paraId="0131B31D" w14:textId="77777777" w:rsidR="00990066" w:rsidRDefault="005243B0">
      <w:pPr>
        <w:spacing w:line="360" w:lineRule="auto"/>
        <w:jc w:val="both"/>
        <w:rPr>
          <w:rFonts w:ascii="Times New Roman" w:hAnsi="Times New Roman"/>
          <w:sz w:val="24"/>
          <w:szCs w:val="24"/>
        </w:rPr>
      </w:pPr>
      <w:r>
        <w:rPr>
          <w:rFonts w:ascii="Times New Roman" w:hAnsi="Times New Roman"/>
          <w:sz w:val="24"/>
          <w:szCs w:val="24"/>
        </w:rPr>
        <w:t xml:space="preserve">The development of oral drug delivery systems that optimize therapeutic efficacy while </w:t>
      </w:r>
      <w:r>
        <w:rPr>
          <w:rFonts w:ascii="Times New Roman" w:hAnsi="Times New Roman"/>
          <w:sz w:val="24"/>
          <w:szCs w:val="24"/>
        </w:rPr>
        <w:t>enhancing patient compliance has been a significant focus of pharmaceutical research. Among these, modified release formulations have substantial interest, particularly in the management of chronic conditions such as diabetes mellitus, where maintaining co</w:t>
      </w:r>
      <w:r>
        <w:rPr>
          <w:rFonts w:ascii="Times New Roman" w:hAnsi="Times New Roman"/>
          <w:sz w:val="24"/>
          <w:szCs w:val="24"/>
        </w:rPr>
        <w:t xml:space="preserve">nsistent drug plasma levels is crucial for effective treatment [1]. Oral drug delivery is the most widely utilized route of administration among all other routes that have been explored for systemic delivery of drugs. The oral route offers advantages such </w:t>
      </w:r>
      <w:r>
        <w:rPr>
          <w:rFonts w:ascii="Times New Roman" w:hAnsi="Times New Roman"/>
          <w:sz w:val="24"/>
          <w:szCs w:val="24"/>
        </w:rPr>
        <w:t>as ease of administration, patient acceptance, and cost-effective manufacturing process [2]. The objective of designing modified drug release delivery systems is to reduce the frequency of dosing or to increase the drug's effectiveness by localization at t</w:t>
      </w:r>
      <w:r>
        <w:rPr>
          <w:rFonts w:ascii="Times New Roman" w:hAnsi="Times New Roman"/>
          <w:sz w:val="24"/>
          <w:szCs w:val="24"/>
        </w:rPr>
        <w:t>he site of the action, reducing the dose required, or providing uniform drug delivery [3]. The success of modified release formulations depends largely on the choice of polymer used in the tablet matrix. Polymers control the rate at which the drug is relea</w:t>
      </w:r>
      <w:r>
        <w:rPr>
          <w:rFonts w:ascii="Times New Roman" w:hAnsi="Times New Roman"/>
          <w:sz w:val="24"/>
          <w:szCs w:val="24"/>
        </w:rPr>
        <w:t xml:space="preserve">sed from the formulation, and selecting the appropriate polymer is </w:t>
      </w:r>
      <w:r>
        <w:rPr>
          <w:rFonts w:ascii="Times New Roman" w:hAnsi="Times New Roman"/>
          <w:sz w:val="24"/>
          <w:szCs w:val="24"/>
        </w:rPr>
        <w:lastRenderedPageBreak/>
        <w:t>critical to achieving the desired release profile [4]. Traditional polymers like hydroxypropyl methylcellulose, ethyl cellulose, and carboxymethyl cellulose sodium have been widely used bec</w:t>
      </w:r>
      <w:r>
        <w:rPr>
          <w:rFonts w:ascii="Times New Roman" w:hAnsi="Times New Roman"/>
          <w:sz w:val="24"/>
          <w:szCs w:val="24"/>
        </w:rPr>
        <w:t>ause of their predictable and reliable drug release modifying characteristics [5].</w:t>
      </w:r>
    </w:p>
    <w:p w14:paraId="6AB10CDD" w14:textId="77777777" w:rsidR="00990066" w:rsidRDefault="005243B0">
      <w:pPr>
        <w:spacing w:line="360" w:lineRule="auto"/>
        <w:jc w:val="both"/>
        <w:textAlignment w:val="baseline"/>
        <w:rPr>
          <w:rFonts w:ascii="Times New Roman" w:hAnsi="Times New Roman"/>
          <w:sz w:val="24"/>
          <w:szCs w:val="24"/>
        </w:rPr>
      </w:pPr>
      <w:r>
        <w:rPr>
          <w:rFonts w:ascii="Times New Roman" w:hAnsi="Times New Roman"/>
          <w:sz w:val="24"/>
          <w:szCs w:val="24"/>
        </w:rPr>
        <w:t>Metformin hydrochloride (Metformin HCl), which is basically used in the treatment of type 2 diabetes, is often formulated in such extended release forms to overcome the limi</w:t>
      </w:r>
      <w:r>
        <w:rPr>
          <w:rFonts w:ascii="Times New Roman" w:hAnsi="Times New Roman"/>
          <w:sz w:val="24"/>
          <w:szCs w:val="24"/>
        </w:rPr>
        <w:t xml:space="preserve">tations such as gastrointestinal side effects, frequent dosing, shorter duration of action associated with its immediate-release counter parts [6]. Metformin HCl popularly formulated into a modified drug release system because it is a highly water-soluble </w:t>
      </w:r>
      <w:r>
        <w:rPr>
          <w:rFonts w:ascii="Times New Roman" w:hAnsi="Times New Roman"/>
          <w:sz w:val="24"/>
          <w:szCs w:val="24"/>
        </w:rPr>
        <w:t xml:space="preserve">active pharmaceutical ingredient with short </w:t>
      </w:r>
      <w:proofErr w:type="spellStart"/>
      <w:r>
        <w:rPr>
          <w:rFonts w:ascii="Times New Roman" w:hAnsi="Times New Roman"/>
          <w:sz w:val="24"/>
          <w:szCs w:val="24"/>
        </w:rPr>
        <w:t>half life</w:t>
      </w:r>
      <w:proofErr w:type="spellEnd"/>
      <w:r>
        <w:rPr>
          <w:rFonts w:ascii="Times New Roman" w:hAnsi="Times New Roman"/>
          <w:sz w:val="24"/>
          <w:szCs w:val="24"/>
        </w:rPr>
        <w:t xml:space="preserve">. Such formulations ensure more stable blood sugar levels, and reduced dosing frequency also, which improves patient adherence [7]. </w:t>
      </w:r>
      <w:r>
        <w:rPr>
          <w:rFonts w:ascii="Times New Roman" w:eastAsia="Arial" w:hAnsi="Times New Roman" w:cs="Times New Roman"/>
          <w:color w:val="000000"/>
          <w:sz w:val="24"/>
          <w:szCs w:val="24"/>
          <w:lang w:bidi="ar"/>
        </w:rPr>
        <w:t>While previous studies have modified the release of metformin HCl using</w:t>
      </w:r>
      <w:r>
        <w:rPr>
          <w:rFonts w:ascii="Times New Roman" w:eastAsia="Arial" w:hAnsi="Times New Roman" w:cs="Times New Roman"/>
          <w:color w:val="000000"/>
          <w:sz w:val="24"/>
          <w:szCs w:val="24"/>
          <w:lang w:bidi="ar"/>
        </w:rPr>
        <w:t xml:space="preserve"> wet granulation, this method presents significant formulation challenges, including drug-polymer incompatibility during aqueous processing, variability in granule particle size distribution, and prolonged processing time [8]. Wet granulation often necessi</w:t>
      </w:r>
      <w:r>
        <w:rPr>
          <w:rFonts w:ascii="Times New Roman" w:eastAsia="Arial" w:hAnsi="Times New Roman" w:cs="Times New Roman"/>
          <w:color w:val="000000"/>
          <w:sz w:val="24"/>
          <w:szCs w:val="24"/>
          <w:lang w:bidi="ar"/>
        </w:rPr>
        <w:t>tates additional steps such as binder optimization, drying control, and moisture-sensitive stability testing, which complicate scale-up. In contrast, our direct compression method eliminates these hurdles by avoiding water exposure, ensuring uniform drug-p</w:t>
      </w:r>
      <w:r>
        <w:rPr>
          <w:rFonts w:ascii="Times New Roman" w:eastAsia="Arial" w:hAnsi="Times New Roman" w:cs="Times New Roman"/>
          <w:color w:val="000000"/>
          <w:sz w:val="24"/>
          <w:szCs w:val="24"/>
          <w:lang w:bidi="ar"/>
        </w:rPr>
        <w:t xml:space="preserve">olymer blending, and streamlining manufacturing critical advantages for robust extended-release metformin HCl tablets [9]. </w:t>
      </w:r>
      <w:r>
        <w:rPr>
          <w:rFonts w:ascii="Times New Roman" w:hAnsi="Times New Roman"/>
          <w:sz w:val="24"/>
          <w:szCs w:val="24"/>
        </w:rPr>
        <w:t xml:space="preserve">This research explores the formulation and </w:t>
      </w:r>
      <w:r>
        <w:rPr>
          <w:rFonts w:ascii="Times New Roman" w:hAnsi="Times New Roman"/>
          <w:i/>
          <w:iCs/>
          <w:sz w:val="24"/>
          <w:szCs w:val="24"/>
        </w:rPr>
        <w:t xml:space="preserve">in vitro </w:t>
      </w:r>
      <w:r>
        <w:rPr>
          <w:rFonts w:ascii="Times New Roman" w:hAnsi="Times New Roman"/>
          <w:sz w:val="24"/>
          <w:szCs w:val="24"/>
        </w:rPr>
        <w:t>evaluation of extended release metformin hydrochloride tablets formulated with re</w:t>
      </w:r>
      <w:r>
        <w:rPr>
          <w:rFonts w:ascii="Times New Roman" w:hAnsi="Times New Roman"/>
          <w:sz w:val="24"/>
          <w:szCs w:val="24"/>
        </w:rPr>
        <w:t xml:space="preserve">ady-to-use co-processed polymer premix. </w:t>
      </w:r>
    </w:p>
    <w:p w14:paraId="2547765F" w14:textId="77777777" w:rsidR="00990066" w:rsidRDefault="005243B0">
      <w:pPr>
        <w:spacing w:line="360" w:lineRule="auto"/>
        <w:jc w:val="both"/>
        <w:textAlignment w:val="baseline"/>
        <w:rPr>
          <w:rFonts w:ascii="Times New Roman" w:hAnsi="Times New Roman"/>
          <w:sz w:val="24"/>
          <w:szCs w:val="24"/>
        </w:rPr>
      </w:pPr>
      <w:r>
        <w:rPr>
          <w:rFonts w:ascii="Times New Roman" w:hAnsi="Times New Roman"/>
          <w:sz w:val="24"/>
          <w:szCs w:val="24"/>
        </w:rPr>
        <w:t>ULTRAMOD</w:t>
      </w:r>
      <w:r>
        <w:rPr>
          <w:rFonts w:ascii="Times New Roman" w:eastAsia="DengXian" w:hAnsi="Times New Roman" w:cs="Times New Roman"/>
          <w:sz w:val="24"/>
          <w:szCs w:val="24"/>
          <w:vertAlign w:val="superscript"/>
        </w:rPr>
        <w:t xml:space="preserve">™ </w:t>
      </w:r>
      <w:r>
        <w:rPr>
          <w:rFonts w:ascii="Times New Roman" w:eastAsia="Arial" w:hAnsi="Times New Roman" w:cs="Times New Roman"/>
          <w:color w:val="000000"/>
          <w:sz w:val="24"/>
          <w:szCs w:val="24"/>
          <w:lang w:bidi="ar"/>
        </w:rPr>
        <w:t>is a proprietary polymer blend designed to achieve extended-release formulations. It comprises HPMC and carboxymethyl cellulose sodium, which work synergistically to control the drug release profile. It of</w:t>
      </w:r>
      <w:r>
        <w:rPr>
          <w:rFonts w:ascii="Times New Roman" w:eastAsia="Arial" w:hAnsi="Times New Roman" w:cs="Times New Roman"/>
          <w:color w:val="000000"/>
          <w:sz w:val="24"/>
          <w:szCs w:val="24"/>
          <w:lang w:bidi="ar"/>
        </w:rPr>
        <w:t>fers improved flow compressibility and hydration properties, making it suitable for direct compression tablet manufacturing. Its ability to form a consistent gel matrix that modulates drug release effectively.</w:t>
      </w:r>
      <w:r>
        <w:rPr>
          <w:rFonts w:ascii="Times New Roman" w:eastAsia="DengXian" w:hAnsi="Times New Roman" w:cs="Times New Roman"/>
          <w:sz w:val="24"/>
          <w:szCs w:val="24"/>
        </w:rPr>
        <w:t xml:space="preserve"> </w:t>
      </w:r>
      <w:r>
        <w:rPr>
          <w:rFonts w:ascii="Times New Roman" w:hAnsi="Times New Roman"/>
          <w:sz w:val="24"/>
          <w:szCs w:val="24"/>
        </w:rPr>
        <w:t>Development of ready-to-use co-processed excip</w:t>
      </w:r>
      <w:r>
        <w:rPr>
          <w:rFonts w:ascii="Times New Roman" w:hAnsi="Times New Roman"/>
          <w:sz w:val="24"/>
          <w:szCs w:val="24"/>
        </w:rPr>
        <w:t>ients like ULTRAMOD</w:t>
      </w:r>
      <w:r>
        <w:rPr>
          <w:rFonts w:ascii="Times New Roman" w:eastAsia="DengXian" w:hAnsi="Times New Roman" w:cs="Times New Roman"/>
          <w:sz w:val="24"/>
          <w:szCs w:val="24"/>
          <w:vertAlign w:val="superscript"/>
        </w:rPr>
        <w:t>™</w:t>
      </w:r>
      <w:r>
        <w:rPr>
          <w:rFonts w:ascii="Times New Roman" w:hAnsi="Times New Roman"/>
          <w:sz w:val="24"/>
          <w:szCs w:val="24"/>
        </w:rPr>
        <w:t xml:space="preserve"> marks a significant advancement in the field of pharmaceutical formulation development and their commercialization. This simplifies tablet manufacturing through</w:t>
      </w:r>
      <w:r>
        <w:rPr>
          <w:rFonts w:ascii="Times New Roman" w:hAnsi="Times New Roman"/>
          <w:b/>
          <w:bCs/>
          <w:sz w:val="24"/>
          <w:szCs w:val="24"/>
        </w:rPr>
        <w:t xml:space="preserve"> </w:t>
      </w:r>
      <w:r>
        <w:rPr>
          <w:rFonts w:ascii="Times New Roman" w:hAnsi="Times New Roman"/>
          <w:sz w:val="24"/>
          <w:szCs w:val="24"/>
        </w:rPr>
        <w:t>its excellent micromeritics, eliminating the need for wet granulation [9].</w:t>
      </w:r>
      <w:r>
        <w:rPr>
          <w:rFonts w:ascii="Times New Roman" w:hAnsi="Times New Roman"/>
          <w:sz w:val="24"/>
          <w:szCs w:val="24"/>
        </w:rPr>
        <w:t xml:space="preserve"> Use of such excipient offers several advantages, including reduced processing time, lower production costs, and enhanced batch-to-batch consistency [10]. ULTRAMOD</w:t>
      </w:r>
      <w:r>
        <w:rPr>
          <w:rFonts w:ascii="Times New Roman" w:eastAsia="DengXian" w:hAnsi="Times New Roman" w:cs="Times New Roman"/>
          <w:sz w:val="24"/>
          <w:szCs w:val="24"/>
          <w:vertAlign w:val="superscript"/>
        </w:rPr>
        <w:t>™</w:t>
      </w:r>
      <w:r>
        <w:rPr>
          <w:rFonts w:ascii="Times New Roman" w:hAnsi="Times New Roman"/>
          <w:sz w:val="24"/>
          <w:szCs w:val="24"/>
        </w:rPr>
        <w:t xml:space="preserve"> also combines the desirable properties of various traditional polymers, providing a unique </w:t>
      </w:r>
      <w:r>
        <w:rPr>
          <w:rFonts w:ascii="Times New Roman" w:hAnsi="Times New Roman"/>
          <w:sz w:val="24"/>
          <w:szCs w:val="24"/>
        </w:rPr>
        <w:t xml:space="preserve">matrix that ensures extended drug release while maintaining the mechanical integrity of the tablet. Considering short biological half-life of metformin hydrochloride </w:t>
      </w:r>
      <w:proofErr w:type="gramStart"/>
      <w:r>
        <w:rPr>
          <w:rFonts w:ascii="Times New Roman" w:hAnsi="Times New Roman"/>
          <w:sz w:val="24"/>
          <w:szCs w:val="24"/>
        </w:rPr>
        <w:t>that  is</w:t>
      </w:r>
      <w:proofErr w:type="gramEnd"/>
      <w:r>
        <w:rPr>
          <w:rFonts w:ascii="Times New Roman" w:hAnsi="Times New Roman"/>
          <w:sz w:val="24"/>
          <w:szCs w:val="24"/>
        </w:rPr>
        <w:t xml:space="preserve"> 1.5-4.5 hours and high water solubility (&gt;300 mg/mL), it was formulated into matr</w:t>
      </w:r>
      <w:r>
        <w:rPr>
          <w:rFonts w:ascii="Times New Roman" w:hAnsi="Times New Roman"/>
          <w:sz w:val="24"/>
          <w:szCs w:val="24"/>
        </w:rPr>
        <w:t>ix type extended-release tablets to reduce the dosage frequency and enhance patient compliance using such novel approach</w:t>
      </w:r>
      <w:r>
        <w:rPr>
          <w:rFonts w:ascii="Times New Roman" w:eastAsia="DengXian" w:hAnsi="Times New Roman" w:cs="Times New Roman"/>
          <w:sz w:val="24"/>
          <w:szCs w:val="24"/>
          <w:vertAlign w:val="superscript"/>
        </w:rPr>
        <w:t xml:space="preserve"> </w:t>
      </w:r>
      <w:r>
        <w:rPr>
          <w:rFonts w:ascii="Times New Roman" w:hAnsi="Times New Roman"/>
          <w:sz w:val="24"/>
          <w:szCs w:val="24"/>
        </w:rPr>
        <w:t xml:space="preserve">[11]. Our study, further proposes to introduce other grades of such co-processed excipient for modifying release of moderate to low </w:t>
      </w:r>
      <w:proofErr w:type="gramStart"/>
      <w:r>
        <w:rPr>
          <w:rFonts w:ascii="Times New Roman" w:hAnsi="Times New Roman"/>
          <w:sz w:val="24"/>
          <w:szCs w:val="24"/>
        </w:rPr>
        <w:t>wat</w:t>
      </w:r>
      <w:r>
        <w:rPr>
          <w:rFonts w:ascii="Times New Roman" w:hAnsi="Times New Roman"/>
          <w:sz w:val="24"/>
          <w:szCs w:val="24"/>
        </w:rPr>
        <w:t>er soluble</w:t>
      </w:r>
      <w:proofErr w:type="gramEnd"/>
      <w:r>
        <w:rPr>
          <w:rFonts w:ascii="Times New Roman" w:hAnsi="Times New Roman"/>
          <w:sz w:val="24"/>
          <w:szCs w:val="24"/>
        </w:rPr>
        <w:t xml:space="preserve"> drug also.</w:t>
      </w:r>
    </w:p>
    <w:p w14:paraId="4194D1A9" w14:textId="77777777" w:rsidR="00990066" w:rsidRDefault="005243B0">
      <w:pPr>
        <w:numPr>
          <w:ilvl w:val="0"/>
          <w:numId w:val="1"/>
        </w:num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Material and Methods</w:t>
      </w:r>
    </w:p>
    <w:p w14:paraId="053C0E40" w14:textId="77777777" w:rsidR="00990066" w:rsidRDefault="005243B0">
      <w:pPr>
        <w:spacing w:line="360" w:lineRule="auto"/>
        <w:jc w:val="both"/>
        <w:rPr>
          <w:rFonts w:ascii="Times New Roman" w:hAnsi="Times New Roman" w:cs="Times New Roman"/>
          <w:b/>
          <w:bCs/>
          <w:sz w:val="28"/>
          <w:szCs w:val="28"/>
        </w:rPr>
      </w:pPr>
      <w:r>
        <w:rPr>
          <w:rFonts w:ascii="Times New Roman" w:hAnsi="Times New Roman" w:cs="Times New Roman"/>
          <w:b/>
          <w:bCs/>
          <w:sz w:val="24"/>
          <w:szCs w:val="24"/>
        </w:rPr>
        <w:t>2.1</w:t>
      </w:r>
      <w:r>
        <w:rPr>
          <w:rFonts w:ascii="Times New Roman" w:hAnsi="Times New Roman" w:cs="Times New Roman"/>
          <w:b/>
          <w:bCs/>
          <w:sz w:val="28"/>
          <w:szCs w:val="28"/>
        </w:rPr>
        <w:t xml:space="preserve"> </w:t>
      </w:r>
      <w:r>
        <w:rPr>
          <w:rFonts w:ascii="Times New Roman" w:hAnsi="Times New Roman" w:cs="Times New Roman"/>
          <w:b/>
          <w:bCs/>
          <w:sz w:val="24"/>
          <w:szCs w:val="24"/>
        </w:rPr>
        <w:t>Materials</w:t>
      </w:r>
    </w:p>
    <w:p w14:paraId="6BFB5629" w14:textId="77777777" w:rsidR="00990066" w:rsidRDefault="005243B0">
      <w:pPr>
        <w:spacing w:line="360" w:lineRule="auto"/>
        <w:jc w:val="both"/>
        <w:rPr>
          <w:rFonts w:ascii="Times New Roman" w:eastAsia="SimSun" w:hAnsi="Times New Roman" w:cs="Times New Roman"/>
          <w:color w:val="000000"/>
          <w:sz w:val="24"/>
          <w:szCs w:val="24"/>
          <w:shd w:val="clear" w:color="auto" w:fill="FFFFFF"/>
        </w:rPr>
      </w:pPr>
      <w:r>
        <w:rPr>
          <w:rFonts w:ascii="Times New Roman" w:hAnsi="Times New Roman"/>
          <w:sz w:val="24"/>
          <w:szCs w:val="24"/>
        </w:rPr>
        <w:lastRenderedPageBreak/>
        <w:t>ULTRAMOD</w:t>
      </w:r>
      <w:r>
        <w:rPr>
          <w:rFonts w:ascii="Times New Roman" w:eastAsia="DengXian" w:hAnsi="Times New Roman" w:cs="Times New Roman"/>
          <w:sz w:val="24"/>
          <w:szCs w:val="24"/>
          <w:vertAlign w:val="superscript"/>
        </w:rPr>
        <w:t>™</w:t>
      </w:r>
      <w:r>
        <w:rPr>
          <w:rFonts w:ascii="Times New Roman" w:hAnsi="Times New Roman"/>
          <w:sz w:val="24"/>
          <w:szCs w:val="24"/>
        </w:rPr>
        <w:t xml:space="preserve"> polymer premix (release retarding agent) and </w:t>
      </w:r>
      <w:proofErr w:type="spellStart"/>
      <w:r>
        <w:rPr>
          <w:rFonts w:ascii="Times New Roman" w:hAnsi="Times New Roman"/>
          <w:sz w:val="24"/>
          <w:szCs w:val="24"/>
        </w:rPr>
        <w:t>HiCel</w:t>
      </w:r>
      <w:r>
        <w:rPr>
          <w:rFonts w:ascii="Times New Roman" w:hAnsi="Times New Roman"/>
          <w:sz w:val="24"/>
          <w:szCs w:val="24"/>
          <w:vertAlign w:val="superscript"/>
        </w:rPr>
        <w:t>TM</w:t>
      </w:r>
      <w:proofErr w:type="spellEnd"/>
      <w:r>
        <w:rPr>
          <w:rFonts w:ascii="Times New Roman" w:hAnsi="Times New Roman"/>
          <w:sz w:val="24"/>
          <w:szCs w:val="24"/>
          <w:vertAlign w:val="superscript"/>
        </w:rPr>
        <w:t xml:space="preserve"> </w:t>
      </w:r>
      <w:r>
        <w:rPr>
          <w:rFonts w:ascii="Times New Roman" w:hAnsi="Times New Roman"/>
          <w:sz w:val="24"/>
          <w:szCs w:val="24"/>
        </w:rPr>
        <w:t>LP200 MCC-based (binder)</w:t>
      </w:r>
      <w:r>
        <w:rPr>
          <w:rFonts w:ascii="Times New Roman" w:eastAsia="SimSun" w:hAnsi="Times New Roman" w:cs="Times New Roman"/>
          <w:color w:val="000000"/>
          <w:sz w:val="24"/>
          <w:szCs w:val="24"/>
          <w:shd w:val="clear" w:color="auto" w:fill="FFFFFF"/>
        </w:rPr>
        <w:t xml:space="preserve"> were manufactured at </w:t>
      </w:r>
      <w:r>
        <w:rPr>
          <w:rFonts w:ascii="Times New Roman" w:eastAsia="Times New Roman" w:hAnsi="Times New Roman" w:cs="Times New Roman"/>
          <w:color w:val="000000" w:themeColor="text1"/>
          <w:sz w:val="24"/>
          <w:szCs w:val="24"/>
          <w:lang w:val="en-IN"/>
        </w:rPr>
        <w:t>SIGACHI</w:t>
      </w:r>
      <w:r>
        <w:rPr>
          <w:rFonts w:ascii="Times New Roman" w:eastAsia="Times New Roman" w:hAnsi="Times New Roman" w:cs="Times New Roman"/>
          <w:color w:val="000000" w:themeColor="text1"/>
          <w:sz w:val="24"/>
          <w:szCs w:val="24"/>
          <w:vertAlign w:val="superscript"/>
          <w:lang w:val="en-IN"/>
        </w:rPr>
        <w:t>®</w:t>
      </w:r>
      <w:r>
        <w:rPr>
          <w:rFonts w:ascii="Times New Roman" w:eastAsia="SimSun" w:hAnsi="Times New Roman" w:cs="Times New Roman"/>
          <w:color w:val="000000"/>
          <w:sz w:val="24"/>
          <w:szCs w:val="24"/>
          <w:shd w:val="clear" w:color="auto" w:fill="FFFFFF"/>
        </w:rPr>
        <w:t xml:space="preserve"> Industries Limited, </w:t>
      </w:r>
      <w:r>
        <w:rPr>
          <w:rFonts w:ascii="Times New Roman" w:eastAsia="SimSun" w:hAnsi="Times New Roman" w:cs="Times New Roman"/>
          <w:b/>
          <w:bCs/>
          <w:color w:val="000000"/>
          <w:sz w:val="24"/>
          <w:szCs w:val="24"/>
          <w:shd w:val="clear" w:color="auto" w:fill="FFFFFF"/>
        </w:rPr>
        <w:t>(</w:t>
      </w:r>
      <w:r>
        <w:rPr>
          <w:rFonts w:ascii="Times New Roman" w:eastAsia="SimSun" w:hAnsi="Times New Roman" w:cs="Times New Roman"/>
          <w:color w:val="000000"/>
          <w:sz w:val="24"/>
          <w:szCs w:val="24"/>
          <w:shd w:val="clear" w:color="auto" w:fill="FFFFFF"/>
        </w:rPr>
        <w:t>Gujarat, India)</w:t>
      </w:r>
      <w:r>
        <w:rPr>
          <w:rFonts w:ascii="Times New Roman" w:hAnsi="Times New Roman" w:cs="Times New Roman"/>
          <w:sz w:val="24"/>
          <w:szCs w:val="24"/>
        </w:rPr>
        <w:t>,</w:t>
      </w:r>
      <w:r>
        <w:t xml:space="preserve"> </w:t>
      </w:r>
      <w:r>
        <w:rPr>
          <w:rFonts w:ascii="Times New Roman" w:hAnsi="Times New Roman" w:cs="Times New Roman"/>
          <w:sz w:val="24"/>
          <w:szCs w:val="24"/>
        </w:rPr>
        <w:t xml:space="preserve">Colloidal silicon dioxide (glidant) was purchased from Evonik Industries, </w:t>
      </w:r>
      <w:r>
        <w:rPr>
          <w:rFonts w:ascii="Times New Roman" w:hAnsi="Times New Roman" w:cs="Times New Roman"/>
          <w:b/>
          <w:bCs/>
          <w:sz w:val="24"/>
          <w:szCs w:val="24"/>
        </w:rPr>
        <w:t>(</w:t>
      </w:r>
      <w:r>
        <w:rPr>
          <w:rFonts w:ascii="Times New Roman" w:hAnsi="Times New Roman" w:cs="Times New Roman"/>
          <w:sz w:val="24"/>
          <w:szCs w:val="24"/>
        </w:rPr>
        <w:t>Germany</w:t>
      </w:r>
      <w:r>
        <w:rPr>
          <w:rFonts w:ascii="Times New Roman" w:hAnsi="Times New Roman" w:cs="Times New Roman"/>
          <w:b/>
          <w:bCs/>
          <w:sz w:val="24"/>
          <w:szCs w:val="24"/>
        </w:rPr>
        <w:t>)</w:t>
      </w:r>
      <w:r>
        <w:rPr>
          <w:rFonts w:ascii="Times New Roman" w:hAnsi="Times New Roman" w:cs="Times New Roman"/>
          <w:sz w:val="24"/>
          <w:szCs w:val="24"/>
        </w:rPr>
        <w:t>. Metformin hydrochloride</w:t>
      </w:r>
      <w:r>
        <w:rPr>
          <w:rFonts w:ascii="Times New Roman" w:hAnsi="Times New Roman" w:cs="Times New Roman"/>
          <w:b/>
          <w:bCs/>
          <w:sz w:val="24"/>
          <w:szCs w:val="24"/>
        </w:rPr>
        <w:t xml:space="preserve"> </w:t>
      </w:r>
      <w:r>
        <w:rPr>
          <w:rFonts w:ascii="Times New Roman" w:hAnsi="Times New Roman" w:cs="Times New Roman"/>
          <w:sz w:val="24"/>
          <w:szCs w:val="24"/>
        </w:rPr>
        <w:t xml:space="preserve">(API) was purchased from IOL Chemicals and Pharmaceutical Limited, </w:t>
      </w:r>
      <w:r>
        <w:rPr>
          <w:rFonts w:ascii="Times New Roman" w:hAnsi="Times New Roman" w:cs="Times New Roman"/>
          <w:b/>
          <w:bCs/>
          <w:sz w:val="24"/>
          <w:szCs w:val="24"/>
        </w:rPr>
        <w:t>(</w:t>
      </w:r>
      <w:r>
        <w:rPr>
          <w:rFonts w:ascii="Times New Roman" w:hAnsi="Times New Roman" w:cs="Times New Roman"/>
          <w:sz w:val="24"/>
          <w:szCs w:val="24"/>
        </w:rPr>
        <w:t xml:space="preserve">Punjab, </w:t>
      </w:r>
      <w:r>
        <w:rPr>
          <w:rFonts w:ascii="Times New Roman" w:eastAsia="SimSun" w:hAnsi="Times New Roman" w:cs="Times New Roman"/>
          <w:color w:val="000000"/>
          <w:sz w:val="24"/>
          <w:szCs w:val="24"/>
          <w:shd w:val="clear" w:color="auto" w:fill="FFFFFF"/>
        </w:rPr>
        <w:t>India) and</w:t>
      </w:r>
      <w:r>
        <w:rPr>
          <w:rFonts w:ascii="Times New Roman" w:hAnsi="Times New Roman" w:cs="Times New Roman"/>
          <w:sz w:val="24"/>
          <w:szCs w:val="24"/>
        </w:rPr>
        <w:t xml:space="preserve"> magnesium stearate (lubricant) was purchased from Sunshine O</w:t>
      </w:r>
      <w:r>
        <w:rPr>
          <w:rFonts w:ascii="Times New Roman" w:hAnsi="Times New Roman" w:cs="Times New Roman"/>
          <w:sz w:val="24"/>
          <w:szCs w:val="24"/>
        </w:rPr>
        <w:t xml:space="preserve">rganics Private Limited, (Mumbai, </w:t>
      </w:r>
      <w:r>
        <w:rPr>
          <w:rFonts w:ascii="Times New Roman" w:eastAsia="SimSun" w:hAnsi="Times New Roman" w:cs="Times New Roman"/>
          <w:color w:val="000000"/>
          <w:sz w:val="24"/>
          <w:szCs w:val="24"/>
          <w:shd w:val="clear" w:color="auto" w:fill="FFFFFF"/>
        </w:rPr>
        <w:t>India)</w:t>
      </w:r>
      <w:r>
        <w:rPr>
          <w:rFonts w:ascii="Times New Roman" w:hAnsi="Times New Roman" w:cs="Times New Roman"/>
          <w:sz w:val="24"/>
          <w:szCs w:val="24"/>
        </w:rPr>
        <w:t xml:space="preserve">. Marketed tablet brand Cgmet-500 (metformin hydrochloride extended release tablet 500 mg, B. No. 22230E manufactured by CMG Biotech Private Limited, Himachal Pradesh, India) was purchased from local market. </w:t>
      </w:r>
      <w:r>
        <w:rPr>
          <w:rFonts w:ascii="Times New Roman" w:eastAsia="SimSun" w:hAnsi="Times New Roman" w:cs="Times New Roman"/>
          <w:color w:val="000000"/>
          <w:sz w:val="24"/>
          <w:szCs w:val="24"/>
          <w:shd w:val="clear" w:color="auto" w:fill="FFFFFF"/>
        </w:rPr>
        <w:t>Other ch</w:t>
      </w:r>
      <w:r>
        <w:rPr>
          <w:rFonts w:ascii="Times New Roman" w:eastAsia="SimSun" w:hAnsi="Times New Roman" w:cs="Times New Roman"/>
          <w:color w:val="000000"/>
          <w:sz w:val="24"/>
          <w:szCs w:val="24"/>
          <w:shd w:val="clear" w:color="auto" w:fill="FFFFFF"/>
        </w:rPr>
        <w:t>emicals of analytical reagent grade used in this study were sourced locally.</w:t>
      </w:r>
    </w:p>
    <w:p w14:paraId="2425437B" w14:textId="77777777" w:rsidR="00990066" w:rsidRDefault="005243B0">
      <w:pPr>
        <w:spacing w:line="360" w:lineRule="auto"/>
        <w:jc w:val="both"/>
        <w:rPr>
          <w:rFonts w:ascii="Times New Roman" w:hAnsi="Times New Roman" w:cs="Times New Roman"/>
          <w:b/>
          <w:bCs/>
          <w:sz w:val="28"/>
          <w:szCs w:val="28"/>
        </w:rPr>
      </w:pPr>
      <w:r>
        <w:rPr>
          <w:rFonts w:ascii="Times New Roman" w:hAnsi="Times New Roman" w:cs="Times New Roman"/>
          <w:b/>
          <w:bCs/>
          <w:sz w:val="24"/>
          <w:szCs w:val="24"/>
        </w:rPr>
        <w:t>2.2</w:t>
      </w:r>
      <w:r>
        <w:rPr>
          <w:rFonts w:ascii="Times New Roman" w:hAnsi="Times New Roman" w:cs="Times New Roman"/>
          <w:b/>
          <w:bCs/>
          <w:sz w:val="28"/>
          <w:szCs w:val="28"/>
        </w:rPr>
        <w:t xml:space="preserve"> </w:t>
      </w:r>
      <w:r>
        <w:rPr>
          <w:rFonts w:ascii="Times New Roman" w:hAnsi="Times New Roman" w:cs="Times New Roman"/>
          <w:b/>
          <w:bCs/>
          <w:sz w:val="24"/>
          <w:szCs w:val="24"/>
        </w:rPr>
        <w:t>Methods</w:t>
      </w:r>
    </w:p>
    <w:p w14:paraId="449A7E68" w14:textId="77777777" w:rsidR="00990066" w:rsidRDefault="005243B0">
      <w:pPr>
        <w:spacing w:line="360" w:lineRule="auto"/>
        <w:jc w:val="both"/>
        <w:rPr>
          <w:rFonts w:ascii="Times New Roman" w:hAnsi="Times New Roman" w:cs="Times New Roman"/>
          <w:sz w:val="24"/>
          <w:szCs w:val="24"/>
          <w:u w:val="single"/>
        </w:rPr>
      </w:pPr>
      <w:r>
        <w:rPr>
          <w:rFonts w:ascii="Times New Roman" w:hAnsi="Times New Roman" w:cs="Times New Roman"/>
          <w:b/>
          <w:bCs/>
          <w:sz w:val="24"/>
          <w:szCs w:val="24"/>
        </w:rPr>
        <w:t>2.2.1</w:t>
      </w:r>
      <w:r>
        <w:rPr>
          <w:rFonts w:ascii="Times New Roman" w:hAnsi="Times New Roman" w:cs="Times New Roman"/>
          <w:sz w:val="24"/>
          <w:szCs w:val="24"/>
        </w:rPr>
        <w:t xml:space="preserve"> Manufacturing of Metformin hydrochloride tablets using </w:t>
      </w:r>
      <w:r>
        <w:rPr>
          <w:rFonts w:ascii="Times New Roman" w:hAnsi="Times New Roman"/>
          <w:sz w:val="24"/>
          <w:szCs w:val="24"/>
        </w:rPr>
        <w:t>ULTRAMOD</w:t>
      </w:r>
      <w:proofErr w:type="gramStart"/>
      <w:r>
        <w:rPr>
          <w:rFonts w:ascii="Times New Roman" w:eastAsia="DengXian" w:hAnsi="Times New Roman" w:cs="Times New Roman"/>
          <w:sz w:val="24"/>
          <w:szCs w:val="24"/>
          <w:vertAlign w:val="superscript"/>
        </w:rPr>
        <w:t>™</w:t>
      </w:r>
      <w:r>
        <w:rPr>
          <w:rFonts w:ascii="Times New Roman" w:hAnsi="Times New Roman"/>
          <w:sz w:val="24"/>
          <w:szCs w:val="24"/>
        </w:rPr>
        <w:t xml:space="preserve">  polymer</w:t>
      </w:r>
      <w:proofErr w:type="gramEnd"/>
      <w:r>
        <w:rPr>
          <w:rFonts w:ascii="Times New Roman" w:hAnsi="Times New Roman"/>
          <w:sz w:val="24"/>
          <w:szCs w:val="24"/>
        </w:rPr>
        <w:t xml:space="preserve"> premix </w:t>
      </w:r>
    </w:p>
    <w:p w14:paraId="75F02283" w14:textId="77777777" w:rsidR="00990066" w:rsidRDefault="005243B0">
      <w:pPr>
        <w:spacing w:line="360" w:lineRule="auto"/>
        <w:jc w:val="both"/>
        <w:rPr>
          <w:rFonts w:ascii="Times New Roman" w:eastAsia="SimSun" w:hAnsi="Times New Roman" w:cs="Times New Roman"/>
          <w:color w:val="000000"/>
          <w:sz w:val="24"/>
          <w:szCs w:val="24"/>
          <w:shd w:val="clear" w:color="auto" w:fill="FFFFFF"/>
        </w:rPr>
      </w:pPr>
      <w:r>
        <w:rPr>
          <w:rFonts w:ascii="Times New Roman" w:eastAsia="SimSun" w:hAnsi="Times New Roman" w:cs="Times New Roman"/>
          <w:color w:val="000000"/>
          <w:sz w:val="24"/>
          <w:szCs w:val="24"/>
          <w:shd w:val="clear" w:color="auto" w:fill="FFFFFF"/>
        </w:rPr>
        <w:t xml:space="preserve">To evaluate the functionality of </w:t>
      </w:r>
      <w:r>
        <w:rPr>
          <w:rFonts w:ascii="Times New Roman" w:hAnsi="Times New Roman"/>
          <w:sz w:val="24"/>
          <w:szCs w:val="24"/>
        </w:rPr>
        <w:t xml:space="preserve">polymer matrix in controlling release of </w:t>
      </w:r>
      <w:r>
        <w:rPr>
          <w:rFonts w:ascii="Times New Roman" w:hAnsi="Times New Roman"/>
          <w:sz w:val="24"/>
          <w:szCs w:val="24"/>
        </w:rPr>
        <w:t>metformin HCl</w:t>
      </w:r>
      <w:r>
        <w:rPr>
          <w:rFonts w:ascii="Times New Roman" w:eastAsia="SimSun" w:hAnsi="Times New Roman" w:cs="Times New Roman"/>
          <w:color w:val="000000"/>
          <w:sz w:val="24"/>
          <w:szCs w:val="24"/>
          <w:shd w:val="clear" w:color="auto" w:fill="FFFFFF"/>
        </w:rPr>
        <w:t>, initially five</w:t>
      </w:r>
      <w:r>
        <w:t xml:space="preserve"> </w:t>
      </w:r>
      <w:r>
        <w:rPr>
          <w:rFonts w:ascii="Times New Roman" w:eastAsia="SimSun" w:hAnsi="Times New Roman" w:cs="Times New Roman"/>
          <w:color w:val="000000"/>
          <w:sz w:val="24"/>
          <w:szCs w:val="24"/>
          <w:shd w:val="clear" w:color="auto" w:fill="FFFFFF"/>
        </w:rPr>
        <w:t>different formulations were prepared (entitled F1, F2, F3, F4, F5 and F6), given in table 1.</w:t>
      </w:r>
    </w:p>
    <w:p w14:paraId="1868E76A" w14:textId="77777777" w:rsidR="00990066" w:rsidRDefault="005243B0">
      <w:pPr>
        <w:spacing w:line="360" w:lineRule="auto"/>
        <w:jc w:val="both"/>
        <w:rPr>
          <w:rFonts w:ascii="Times New Roman" w:hAnsi="Times New Roman" w:cs="Times New Roman"/>
          <w:b/>
          <w:bCs/>
          <w:sz w:val="24"/>
          <w:szCs w:val="24"/>
          <w:u w:val="single"/>
        </w:rPr>
      </w:pPr>
      <w:r>
        <w:rPr>
          <w:rFonts w:ascii="Times New Roman" w:eastAsia="SimSun" w:hAnsi="Times New Roman" w:cs="Times New Roman"/>
          <w:color w:val="000000"/>
          <w:sz w:val="24"/>
          <w:szCs w:val="24"/>
          <w:shd w:val="clear" w:color="auto" w:fill="FFFFFF"/>
        </w:rPr>
        <w:t xml:space="preserve">Accurately weighed quantities of metformin hydrochloride (previously sifted through a 30# ASTM), </w:t>
      </w:r>
      <w:r>
        <w:rPr>
          <w:rFonts w:ascii="Times New Roman" w:hAnsi="Times New Roman"/>
          <w:sz w:val="24"/>
          <w:szCs w:val="24"/>
        </w:rPr>
        <w:t>polymer premix</w:t>
      </w:r>
      <w:r>
        <w:rPr>
          <w:rFonts w:ascii="Times New Roman" w:eastAsia="SimSun" w:hAnsi="Times New Roman" w:cs="Times New Roman"/>
          <w:color w:val="000000"/>
          <w:sz w:val="24"/>
          <w:szCs w:val="24"/>
          <w:shd w:val="clear" w:color="auto" w:fill="FFFFFF"/>
        </w:rPr>
        <w:t xml:space="preserve"> and other tablet exci</w:t>
      </w:r>
      <w:r>
        <w:rPr>
          <w:rFonts w:ascii="Times New Roman" w:eastAsia="SimSun" w:hAnsi="Times New Roman" w:cs="Times New Roman"/>
          <w:color w:val="000000"/>
          <w:sz w:val="24"/>
          <w:szCs w:val="24"/>
          <w:shd w:val="clear" w:color="auto" w:fill="FFFFFF"/>
        </w:rPr>
        <w:t>pients (previously sifted through a 30# ASTM) were transferred into a powder blender of appropriate capacity</w:t>
      </w:r>
      <w:r>
        <w:rPr>
          <w:rFonts w:ascii="Times New Roman" w:eastAsia="SimSun" w:hAnsi="Times New Roman" w:cs="Times New Roman"/>
          <w:color w:val="FF0000"/>
          <w:sz w:val="24"/>
          <w:szCs w:val="24"/>
          <w:shd w:val="clear" w:color="auto" w:fill="FFFFFF"/>
        </w:rPr>
        <w:t xml:space="preserve"> </w:t>
      </w:r>
      <w:r>
        <w:rPr>
          <w:rFonts w:ascii="Times New Roman" w:eastAsia="SimSun" w:hAnsi="Times New Roman" w:cs="Times New Roman"/>
          <w:color w:val="000000"/>
          <w:sz w:val="24"/>
          <w:szCs w:val="24"/>
          <w:shd w:val="clear" w:color="auto" w:fill="FFFFFF"/>
        </w:rPr>
        <w:t xml:space="preserve">(Make: Reva Pharma Machinery, India, Model: TRMIX-20). These materials were mixed for 10 minutes at 25 </w:t>
      </w:r>
      <w:r>
        <w:rPr>
          <w:rFonts w:ascii="Times New Roman" w:hAnsi="Times New Roman" w:cs="Times New Roman"/>
          <w:sz w:val="24"/>
          <w:szCs w:val="24"/>
        </w:rPr>
        <w:t>revolutions per minutes</w:t>
      </w:r>
      <w:r>
        <w:rPr>
          <w:rFonts w:ascii="Times New Roman" w:eastAsia="SimSun" w:hAnsi="Times New Roman" w:cs="Times New Roman"/>
          <w:color w:val="000000"/>
          <w:sz w:val="24"/>
          <w:szCs w:val="24"/>
          <w:shd w:val="clear" w:color="auto" w:fill="FFFFFF"/>
        </w:rPr>
        <w:t>. T</w:t>
      </w:r>
      <w:r>
        <w:rPr>
          <w:rFonts w:ascii="Times New Roman" w:eastAsia="SimSun" w:hAnsi="Times New Roman" w:cs="Times New Roman"/>
          <w:color w:val="000000" w:themeColor="text1"/>
          <w:sz w:val="24"/>
          <w:szCs w:val="24"/>
        </w:rPr>
        <w:t>o this premix</w:t>
      </w:r>
      <w:r>
        <w:rPr>
          <w:rFonts w:ascii="Times New Roman" w:eastAsia="SimSun" w:hAnsi="Times New Roman" w:cs="Times New Roman"/>
          <w:color w:val="000000"/>
          <w:sz w:val="24"/>
          <w:szCs w:val="24"/>
          <w:shd w:val="clear" w:color="auto" w:fill="FFFFFF"/>
        </w:rPr>
        <w:t xml:space="preserve">, an </w:t>
      </w:r>
      <w:r>
        <w:rPr>
          <w:rFonts w:ascii="Times New Roman" w:eastAsia="SimSun" w:hAnsi="Times New Roman" w:cs="Times New Roman"/>
          <w:color w:val="000000"/>
          <w:sz w:val="24"/>
          <w:szCs w:val="24"/>
          <w:shd w:val="clear" w:color="auto" w:fill="FFFFFF"/>
        </w:rPr>
        <w:t>accurately weighed required quantity of lubricant (previously sifted through a 60-mesh stainless steel sieve) was added and</w:t>
      </w:r>
      <w:r>
        <w:rPr>
          <w:rFonts w:ascii="Times New Roman" w:eastAsia="SimSun" w:hAnsi="Times New Roman" w:cs="Times New Roman"/>
          <w:color w:val="000000" w:themeColor="text1"/>
          <w:sz w:val="24"/>
          <w:szCs w:val="24"/>
          <w:shd w:val="clear" w:color="auto" w:fill="FFFFFF"/>
        </w:rPr>
        <w:t xml:space="preserve"> mixed for </w:t>
      </w:r>
      <w:r>
        <w:rPr>
          <w:rFonts w:ascii="Times New Roman" w:eastAsia="SimSun" w:hAnsi="Times New Roman" w:cs="Times New Roman"/>
          <w:sz w:val="24"/>
          <w:szCs w:val="24"/>
          <w:shd w:val="clear" w:color="auto" w:fill="FFFFFF"/>
        </w:rPr>
        <w:t>not more than</w:t>
      </w:r>
      <w:r>
        <w:rPr>
          <w:rFonts w:ascii="Times New Roman" w:eastAsia="SimSun" w:hAnsi="Times New Roman" w:cs="Times New Roman"/>
          <w:color w:val="FF0000"/>
          <w:sz w:val="24"/>
          <w:szCs w:val="24"/>
          <w:shd w:val="clear" w:color="auto" w:fill="FFFFFF"/>
        </w:rPr>
        <w:t xml:space="preserve"> </w:t>
      </w:r>
      <w:r>
        <w:rPr>
          <w:rFonts w:ascii="Times New Roman" w:eastAsia="SimSun" w:hAnsi="Times New Roman" w:cs="Times New Roman"/>
          <w:color w:val="000000"/>
          <w:sz w:val="24"/>
          <w:szCs w:val="24"/>
          <w:shd w:val="clear" w:color="auto" w:fill="FFFFFF"/>
        </w:rPr>
        <w:t xml:space="preserve">3 minutes at 25 </w:t>
      </w:r>
      <w:r>
        <w:rPr>
          <w:rFonts w:ascii="Times New Roman" w:hAnsi="Times New Roman" w:cs="Times New Roman"/>
          <w:sz w:val="24"/>
          <w:szCs w:val="24"/>
        </w:rPr>
        <w:t>revolutions per minutes</w:t>
      </w:r>
      <w:r>
        <w:rPr>
          <w:rFonts w:ascii="Times New Roman" w:eastAsia="SimSun" w:hAnsi="Times New Roman" w:cs="Times New Roman"/>
          <w:color w:val="000000"/>
          <w:sz w:val="24"/>
          <w:szCs w:val="24"/>
          <w:shd w:val="clear" w:color="auto" w:fill="FFFFFF"/>
        </w:rPr>
        <w:t xml:space="preserve"> to obtain a final blend. The final blend was characterized by angle of repose, untapped bulk density, tapped bulk density, Hausner's ratio, and compressibility index parameters. Then this blend was compressed into tablets by using a 12-station tablet comp</w:t>
      </w:r>
      <w:r>
        <w:rPr>
          <w:rFonts w:ascii="Times New Roman" w:eastAsia="SimSun" w:hAnsi="Times New Roman" w:cs="Times New Roman"/>
          <w:color w:val="000000"/>
          <w:sz w:val="24"/>
          <w:szCs w:val="24"/>
          <w:shd w:val="clear" w:color="auto" w:fill="FFFFFF"/>
        </w:rPr>
        <w:t>ression machine (Make: Eliza Press, India, Model: EP-200) fitted with 15 mm diameter standard concave shaped “D” tooling</w:t>
      </w:r>
      <w:r>
        <w:t xml:space="preserve"> </w:t>
      </w:r>
      <w:r>
        <w:rPr>
          <w:rFonts w:ascii="Times New Roman" w:eastAsia="SimSun" w:hAnsi="Times New Roman" w:cs="Times New Roman"/>
          <w:color w:val="000000"/>
          <w:sz w:val="24"/>
          <w:szCs w:val="24"/>
          <w:shd w:val="clear" w:color="auto" w:fill="FFFFFF"/>
        </w:rPr>
        <w:t xml:space="preserve">sets. Different compositions </w:t>
      </w:r>
      <w:proofErr w:type="gramStart"/>
      <w:r>
        <w:rPr>
          <w:rFonts w:ascii="Times New Roman" w:eastAsia="SimSun" w:hAnsi="Times New Roman" w:cs="Times New Roman"/>
          <w:color w:val="000000"/>
          <w:sz w:val="24"/>
          <w:szCs w:val="24"/>
          <w:shd w:val="clear" w:color="auto" w:fill="FFFFFF"/>
        </w:rPr>
        <w:t xml:space="preserve">of </w:t>
      </w:r>
      <w:r>
        <w:rPr>
          <w:rFonts w:ascii="Times New Roman" w:hAnsi="Times New Roman"/>
          <w:sz w:val="24"/>
          <w:szCs w:val="24"/>
          <w:vertAlign w:val="superscript"/>
        </w:rPr>
        <w:t xml:space="preserve"> </w:t>
      </w:r>
      <w:r>
        <w:rPr>
          <w:rFonts w:ascii="Times New Roman" w:hAnsi="Times New Roman"/>
          <w:sz w:val="24"/>
          <w:szCs w:val="24"/>
        </w:rPr>
        <w:t>polymer</w:t>
      </w:r>
      <w:proofErr w:type="gramEnd"/>
      <w:r>
        <w:rPr>
          <w:rFonts w:ascii="Times New Roman" w:hAnsi="Times New Roman"/>
          <w:sz w:val="24"/>
          <w:szCs w:val="24"/>
        </w:rPr>
        <w:t xml:space="preserve"> premix</w:t>
      </w:r>
      <w:r>
        <w:rPr>
          <w:rFonts w:ascii="Times New Roman" w:eastAsia="SimSun" w:hAnsi="Times New Roman" w:cs="Times New Roman"/>
          <w:color w:val="000000"/>
          <w:sz w:val="24"/>
          <w:szCs w:val="24"/>
          <w:shd w:val="clear" w:color="auto" w:fill="FFFFFF"/>
        </w:rPr>
        <w:t xml:space="preserve"> were formulated as shown in Table 1. Relative humidity and temperature were maintained </w:t>
      </w:r>
      <w:r>
        <w:rPr>
          <w:rFonts w:ascii="Times New Roman" w:eastAsia="SimSun" w:hAnsi="Times New Roman" w:cs="Times New Roman"/>
          <w:color w:val="000000"/>
          <w:sz w:val="24"/>
          <w:szCs w:val="24"/>
          <w:shd w:val="clear" w:color="auto" w:fill="FFFFFF"/>
        </w:rPr>
        <w:t>below 45% and 25</w:t>
      </w:r>
      <w:r>
        <w:rPr>
          <w:rFonts w:ascii="Times New Roman" w:eastAsia="SimSun" w:hAnsi="Times New Roman" w:cs="Times New Roman"/>
          <w:sz w:val="24"/>
          <w:szCs w:val="24"/>
          <w:shd w:val="clear" w:color="auto" w:fill="FFFFFF"/>
        </w:rPr>
        <w:t>°C</w:t>
      </w:r>
      <w:r>
        <w:rPr>
          <w:rFonts w:ascii="Times New Roman" w:eastAsia="SimSun" w:hAnsi="Times New Roman" w:cs="Times New Roman"/>
          <w:color w:val="000000"/>
          <w:sz w:val="24"/>
          <w:szCs w:val="24"/>
          <w:shd w:val="clear" w:color="auto" w:fill="FFFFFF"/>
        </w:rPr>
        <w:t xml:space="preserve"> respectively.  </w:t>
      </w:r>
    </w:p>
    <w:p w14:paraId="0B828FAC" w14:textId="77777777" w:rsidR="00990066" w:rsidRDefault="005243B0">
      <w:pPr>
        <w:spacing w:line="360" w:lineRule="auto"/>
        <w:rPr>
          <w:rFonts w:ascii="Times New Roman" w:hAnsi="Times New Roman" w:cs="Times New Roman"/>
          <w:b/>
          <w:bCs/>
          <w:sz w:val="24"/>
          <w:szCs w:val="24"/>
        </w:rPr>
      </w:pPr>
      <w:r>
        <w:rPr>
          <w:rFonts w:ascii="Times New Roman" w:hAnsi="Times New Roman" w:cs="Times New Roman"/>
          <w:b/>
          <w:bCs/>
          <w:sz w:val="24"/>
          <w:szCs w:val="24"/>
        </w:rPr>
        <w:t>Table 1</w:t>
      </w:r>
    </w:p>
    <w:p w14:paraId="2ACE7BDF" w14:textId="77777777" w:rsidR="00990066" w:rsidRDefault="005243B0">
      <w:pPr>
        <w:spacing w:line="360" w:lineRule="auto"/>
        <w:rPr>
          <w:rFonts w:ascii="Times New Roman" w:hAnsi="Times New Roman" w:cs="Times New Roman"/>
          <w:sz w:val="24"/>
          <w:szCs w:val="24"/>
        </w:rPr>
      </w:pPr>
      <w:r>
        <w:rPr>
          <w:rFonts w:ascii="Times New Roman" w:hAnsi="Times New Roman" w:cs="Times New Roman"/>
          <w:sz w:val="24"/>
          <w:szCs w:val="24"/>
        </w:rPr>
        <w:t>Various formulations of metformin hydrochloride extended release tablet</w:t>
      </w:r>
      <w:r>
        <w:rPr>
          <w:rFonts w:ascii="Times New Roman" w:hAnsi="Times New Roman" w:cs="Times New Roman"/>
          <w:b/>
          <w:bCs/>
          <w:sz w:val="24"/>
          <w:szCs w:val="24"/>
        </w:rPr>
        <w:t>s</w:t>
      </w:r>
    </w:p>
    <w:tbl>
      <w:tblPr>
        <w:tblStyle w:val="TableGrid"/>
        <w:tblpPr w:leftFromText="180" w:rightFromText="180" w:vertAnchor="text" w:horzAnchor="page" w:tblpXSpec="center" w:tblpY="93"/>
        <w:tblOverlap w:val="never"/>
        <w:tblW w:w="9330" w:type="dxa"/>
        <w:jc w:val="center"/>
        <w:tblBorders>
          <w:insideV w:val="none" w:sz="0" w:space="0" w:color="auto"/>
        </w:tblBorders>
        <w:tblLayout w:type="fixed"/>
        <w:tblLook w:val="04A0" w:firstRow="1" w:lastRow="0" w:firstColumn="1" w:lastColumn="0" w:noHBand="0" w:noVBand="1"/>
      </w:tblPr>
      <w:tblGrid>
        <w:gridCol w:w="3225"/>
        <w:gridCol w:w="1020"/>
        <w:gridCol w:w="945"/>
        <w:gridCol w:w="990"/>
        <w:gridCol w:w="975"/>
        <w:gridCol w:w="1095"/>
        <w:gridCol w:w="1080"/>
      </w:tblGrid>
      <w:tr w:rsidR="00990066" w14:paraId="5869E4C1" w14:textId="77777777" w:rsidTr="00150B26">
        <w:trPr>
          <w:trHeight w:val="302"/>
          <w:jc w:val="center"/>
        </w:trPr>
        <w:tc>
          <w:tcPr>
            <w:tcW w:w="3225" w:type="dxa"/>
            <w:vMerge w:val="restart"/>
            <w:tcBorders>
              <w:top w:val="single" w:sz="4" w:space="0" w:color="auto"/>
              <w:left w:val="nil"/>
              <w:bottom w:val="nil"/>
              <w:right w:val="nil"/>
            </w:tcBorders>
            <w:vAlign w:val="center"/>
          </w:tcPr>
          <w:p w14:paraId="4E72F14D" w14:textId="77777777" w:rsidR="00990066" w:rsidRDefault="005243B0">
            <w:pPr>
              <w:jc w:val="center"/>
              <w:rPr>
                <w:rFonts w:ascii="Times New Roman" w:hAnsi="Times New Roman" w:cs="Times New Roman"/>
                <w:sz w:val="24"/>
                <w:szCs w:val="24"/>
              </w:rPr>
            </w:pPr>
            <w:r>
              <w:rPr>
                <w:rFonts w:ascii="Times New Roman" w:hAnsi="Times New Roman" w:cs="Times New Roman"/>
                <w:sz w:val="24"/>
                <w:szCs w:val="24"/>
              </w:rPr>
              <w:t>Ingredients</w:t>
            </w:r>
          </w:p>
        </w:tc>
        <w:tc>
          <w:tcPr>
            <w:tcW w:w="6105" w:type="dxa"/>
            <w:gridSpan w:val="6"/>
            <w:tcBorders>
              <w:top w:val="single" w:sz="4" w:space="0" w:color="auto"/>
              <w:left w:val="nil"/>
              <w:bottom w:val="single" w:sz="4" w:space="0" w:color="auto"/>
              <w:right w:val="nil"/>
            </w:tcBorders>
            <w:vAlign w:val="center"/>
          </w:tcPr>
          <w:p w14:paraId="2AA00844" w14:textId="77777777" w:rsidR="00990066" w:rsidRDefault="005243B0">
            <w:pPr>
              <w:jc w:val="center"/>
              <w:rPr>
                <w:rFonts w:ascii="Times New Roman" w:hAnsi="Times New Roman" w:cs="Times New Roman"/>
                <w:sz w:val="24"/>
                <w:szCs w:val="24"/>
              </w:rPr>
            </w:pPr>
            <w:r>
              <w:rPr>
                <w:rFonts w:ascii="Times New Roman" w:hAnsi="Times New Roman" w:cs="Times New Roman"/>
                <w:sz w:val="24"/>
                <w:szCs w:val="24"/>
              </w:rPr>
              <w:t>Quantity/tablet (mg)</w:t>
            </w:r>
          </w:p>
        </w:tc>
      </w:tr>
      <w:tr w:rsidR="00990066" w14:paraId="5A45ADF2" w14:textId="77777777" w:rsidTr="00150B26">
        <w:trPr>
          <w:trHeight w:val="312"/>
          <w:jc w:val="center"/>
        </w:trPr>
        <w:tc>
          <w:tcPr>
            <w:tcW w:w="3225" w:type="dxa"/>
            <w:vMerge/>
            <w:tcBorders>
              <w:top w:val="nil"/>
              <w:left w:val="nil"/>
              <w:bottom w:val="single" w:sz="4" w:space="0" w:color="auto"/>
              <w:right w:val="nil"/>
            </w:tcBorders>
            <w:vAlign w:val="center"/>
          </w:tcPr>
          <w:p w14:paraId="7179A7F6" w14:textId="77777777" w:rsidR="00990066" w:rsidRDefault="00990066">
            <w:pPr>
              <w:spacing w:line="360" w:lineRule="auto"/>
              <w:jc w:val="center"/>
              <w:rPr>
                <w:rFonts w:ascii="Times New Roman" w:hAnsi="Times New Roman" w:cs="Times New Roman"/>
                <w:sz w:val="24"/>
                <w:szCs w:val="24"/>
              </w:rPr>
            </w:pPr>
          </w:p>
        </w:tc>
        <w:tc>
          <w:tcPr>
            <w:tcW w:w="1020" w:type="dxa"/>
            <w:tcBorders>
              <w:top w:val="single" w:sz="4" w:space="0" w:color="auto"/>
              <w:left w:val="nil"/>
              <w:bottom w:val="single" w:sz="4" w:space="0" w:color="auto"/>
              <w:right w:val="nil"/>
            </w:tcBorders>
            <w:vAlign w:val="center"/>
          </w:tcPr>
          <w:p w14:paraId="632D7F20" w14:textId="77777777" w:rsidR="00990066" w:rsidRDefault="005243B0">
            <w:pPr>
              <w:jc w:val="center"/>
              <w:rPr>
                <w:rFonts w:ascii="Times New Roman" w:hAnsi="Times New Roman" w:cs="Times New Roman"/>
                <w:sz w:val="24"/>
                <w:szCs w:val="24"/>
              </w:rPr>
            </w:pPr>
            <w:r>
              <w:rPr>
                <w:rFonts w:ascii="Times New Roman" w:hAnsi="Times New Roman" w:cs="Times New Roman"/>
                <w:sz w:val="24"/>
                <w:szCs w:val="24"/>
              </w:rPr>
              <w:t>F1</w:t>
            </w:r>
          </w:p>
        </w:tc>
        <w:tc>
          <w:tcPr>
            <w:tcW w:w="945" w:type="dxa"/>
            <w:tcBorders>
              <w:top w:val="single" w:sz="4" w:space="0" w:color="auto"/>
              <w:left w:val="nil"/>
              <w:bottom w:val="single" w:sz="4" w:space="0" w:color="auto"/>
              <w:right w:val="nil"/>
            </w:tcBorders>
            <w:vAlign w:val="center"/>
          </w:tcPr>
          <w:p w14:paraId="6372EB14" w14:textId="77777777" w:rsidR="00990066" w:rsidRDefault="005243B0">
            <w:pPr>
              <w:jc w:val="center"/>
              <w:rPr>
                <w:rFonts w:ascii="Times New Roman" w:hAnsi="Times New Roman" w:cs="Times New Roman"/>
                <w:sz w:val="24"/>
                <w:szCs w:val="24"/>
              </w:rPr>
            </w:pPr>
            <w:r>
              <w:rPr>
                <w:rFonts w:ascii="Times New Roman" w:hAnsi="Times New Roman" w:cs="Times New Roman"/>
                <w:sz w:val="24"/>
                <w:szCs w:val="24"/>
              </w:rPr>
              <w:t>F2</w:t>
            </w:r>
          </w:p>
        </w:tc>
        <w:tc>
          <w:tcPr>
            <w:tcW w:w="990" w:type="dxa"/>
            <w:tcBorders>
              <w:top w:val="single" w:sz="4" w:space="0" w:color="auto"/>
              <w:left w:val="nil"/>
              <w:bottom w:val="single" w:sz="4" w:space="0" w:color="auto"/>
              <w:right w:val="nil"/>
            </w:tcBorders>
            <w:vAlign w:val="center"/>
          </w:tcPr>
          <w:p w14:paraId="4AB15327" w14:textId="77777777" w:rsidR="00990066" w:rsidRDefault="005243B0">
            <w:pPr>
              <w:jc w:val="center"/>
              <w:rPr>
                <w:rFonts w:ascii="Times New Roman" w:hAnsi="Times New Roman" w:cs="Times New Roman"/>
                <w:sz w:val="24"/>
                <w:szCs w:val="24"/>
              </w:rPr>
            </w:pPr>
            <w:r>
              <w:rPr>
                <w:rFonts w:ascii="Times New Roman" w:hAnsi="Times New Roman" w:cs="Times New Roman"/>
                <w:sz w:val="24"/>
                <w:szCs w:val="24"/>
              </w:rPr>
              <w:t>F3</w:t>
            </w:r>
          </w:p>
        </w:tc>
        <w:tc>
          <w:tcPr>
            <w:tcW w:w="975" w:type="dxa"/>
            <w:tcBorders>
              <w:top w:val="single" w:sz="4" w:space="0" w:color="auto"/>
              <w:left w:val="nil"/>
              <w:bottom w:val="single" w:sz="4" w:space="0" w:color="auto"/>
              <w:right w:val="nil"/>
            </w:tcBorders>
            <w:vAlign w:val="center"/>
          </w:tcPr>
          <w:p w14:paraId="0FCFE6CC" w14:textId="77777777" w:rsidR="00990066" w:rsidRDefault="005243B0">
            <w:pPr>
              <w:jc w:val="center"/>
              <w:rPr>
                <w:rFonts w:ascii="Times New Roman" w:hAnsi="Times New Roman" w:cs="Times New Roman"/>
                <w:sz w:val="24"/>
                <w:szCs w:val="24"/>
              </w:rPr>
            </w:pPr>
            <w:r>
              <w:rPr>
                <w:rFonts w:ascii="Times New Roman" w:hAnsi="Times New Roman" w:cs="Times New Roman"/>
                <w:sz w:val="24"/>
                <w:szCs w:val="24"/>
              </w:rPr>
              <w:t>F4</w:t>
            </w:r>
          </w:p>
        </w:tc>
        <w:tc>
          <w:tcPr>
            <w:tcW w:w="1095" w:type="dxa"/>
            <w:tcBorders>
              <w:top w:val="single" w:sz="4" w:space="0" w:color="auto"/>
              <w:left w:val="nil"/>
              <w:bottom w:val="single" w:sz="4" w:space="0" w:color="auto"/>
              <w:right w:val="nil"/>
            </w:tcBorders>
            <w:vAlign w:val="center"/>
          </w:tcPr>
          <w:p w14:paraId="35D5DB9A" w14:textId="77777777" w:rsidR="00990066" w:rsidRDefault="005243B0">
            <w:pPr>
              <w:jc w:val="center"/>
              <w:rPr>
                <w:rFonts w:ascii="Times New Roman" w:hAnsi="Times New Roman" w:cs="Times New Roman"/>
                <w:sz w:val="24"/>
                <w:szCs w:val="24"/>
              </w:rPr>
            </w:pPr>
            <w:r>
              <w:rPr>
                <w:rFonts w:ascii="Times New Roman" w:hAnsi="Times New Roman" w:cs="Times New Roman"/>
                <w:sz w:val="24"/>
                <w:szCs w:val="24"/>
              </w:rPr>
              <w:t>F5</w:t>
            </w:r>
          </w:p>
        </w:tc>
        <w:tc>
          <w:tcPr>
            <w:tcW w:w="1080" w:type="dxa"/>
            <w:tcBorders>
              <w:top w:val="single" w:sz="4" w:space="0" w:color="auto"/>
              <w:left w:val="nil"/>
              <w:bottom w:val="single" w:sz="4" w:space="0" w:color="auto"/>
              <w:right w:val="nil"/>
            </w:tcBorders>
            <w:vAlign w:val="center"/>
          </w:tcPr>
          <w:p w14:paraId="68568553" w14:textId="77777777" w:rsidR="00990066" w:rsidRDefault="005243B0">
            <w:pPr>
              <w:jc w:val="center"/>
              <w:rPr>
                <w:rFonts w:ascii="Times New Roman" w:hAnsi="Times New Roman" w:cs="Times New Roman"/>
                <w:b/>
                <w:bCs/>
                <w:sz w:val="24"/>
                <w:szCs w:val="24"/>
              </w:rPr>
            </w:pPr>
            <w:r>
              <w:rPr>
                <w:rFonts w:ascii="Times New Roman" w:hAnsi="Times New Roman" w:cs="Times New Roman"/>
                <w:sz w:val="24"/>
                <w:szCs w:val="24"/>
              </w:rPr>
              <w:t>F6</w:t>
            </w:r>
          </w:p>
        </w:tc>
      </w:tr>
      <w:tr w:rsidR="00990066" w14:paraId="26BA68C3" w14:textId="77777777" w:rsidTr="00150B26">
        <w:trPr>
          <w:trHeight w:val="338"/>
          <w:jc w:val="center"/>
        </w:trPr>
        <w:tc>
          <w:tcPr>
            <w:tcW w:w="3225" w:type="dxa"/>
            <w:tcBorders>
              <w:top w:val="single" w:sz="4" w:space="0" w:color="auto"/>
              <w:left w:val="nil"/>
              <w:bottom w:val="nil"/>
              <w:right w:val="nil"/>
            </w:tcBorders>
            <w:vAlign w:val="center"/>
          </w:tcPr>
          <w:p w14:paraId="3E2F133A" w14:textId="77777777" w:rsidR="00990066" w:rsidRDefault="005243B0">
            <w:pPr>
              <w:spacing w:line="360" w:lineRule="auto"/>
              <w:rPr>
                <w:rFonts w:ascii="Times New Roman" w:hAnsi="Times New Roman" w:cs="Times New Roman"/>
                <w:b/>
                <w:bCs/>
                <w:sz w:val="24"/>
                <w:szCs w:val="24"/>
              </w:rPr>
            </w:pPr>
            <w:r>
              <w:rPr>
                <w:rFonts w:ascii="Times New Roman" w:hAnsi="Times New Roman" w:cs="Times New Roman"/>
                <w:sz w:val="24"/>
                <w:szCs w:val="24"/>
              </w:rPr>
              <w:t>Metformin hydrochloride</w:t>
            </w:r>
          </w:p>
        </w:tc>
        <w:tc>
          <w:tcPr>
            <w:tcW w:w="1020" w:type="dxa"/>
            <w:tcBorders>
              <w:top w:val="single" w:sz="4" w:space="0" w:color="auto"/>
              <w:left w:val="nil"/>
              <w:bottom w:val="nil"/>
              <w:right w:val="nil"/>
            </w:tcBorders>
            <w:vAlign w:val="center"/>
          </w:tcPr>
          <w:p w14:paraId="2F016AA5" w14:textId="77777777" w:rsidR="00990066" w:rsidRDefault="005243B0">
            <w:pPr>
              <w:spacing w:line="360" w:lineRule="auto"/>
              <w:jc w:val="center"/>
              <w:rPr>
                <w:rFonts w:ascii="Times New Roman" w:hAnsi="Times New Roman" w:cs="Times New Roman"/>
                <w:sz w:val="24"/>
                <w:szCs w:val="24"/>
              </w:rPr>
            </w:pPr>
            <w:r>
              <w:rPr>
                <w:rFonts w:ascii="Times New Roman" w:hAnsi="Times New Roman" w:cs="Times New Roman"/>
                <w:sz w:val="24"/>
                <w:szCs w:val="24"/>
              </w:rPr>
              <w:t>500.0</w:t>
            </w:r>
          </w:p>
        </w:tc>
        <w:tc>
          <w:tcPr>
            <w:tcW w:w="945" w:type="dxa"/>
            <w:tcBorders>
              <w:top w:val="single" w:sz="4" w:space="0" w:color="auto"/>
              <w:left w:val="nil"/>
              <w:bottom w:val="nil"/>
              <w:right w:val="nil"/>
            </w:tcBorders>
            <w:vAlign w:val="center"/>
          </w:tcPr>
          <w:p w14:paraId="6464F5DC" w14:textId="77777777" w:rsidR="00990066" w:rsidRDefault="005243B0">
            <w:pPr>
              <w:spacing w:line="360" w:lineRule="auto"/>
              <w:jc w:val="center"/>
              <w:rPr>
                <w:rFonts w:ascii="Times New Roman" w:hAnsi="Times New Roman" w:cs="Times New Roman"/>
                <w:sz w:val="24"/>
                <w:szCs w:val="24"/>
              </w:rPr>
            </w:pPr>
            <w:r>
              <w:rPr>
                <w:rFonts w:ascii="Times New Roman" w:hAnsi="Times New Roman" w:cs="Times New Roman"/>
                <w:sz w:val="24"/>
                <w:szCs w:val="24"/>
              </w:rPr>
              <w:t>500.0</w:t>
            </w:r>
          </w:p>
        </w:tc>
        <w:tc>
          <w:tcPr>
            <w:tcW w:w="990" w:type="dxa"/>
            <w:tcBorders>
              <w:top w:val="single" w:sz="4" w:space="0" w:color="auto"/>
              <w:left w:val="nil"/>
              <w:bottom w:val="nil"/>
              <w:right w:val="nil"/>
            </w:tcBorders>
            <w:vAlign w:val="center"/>
          </w:tcPr>
          <w:p w14:paraId="1038E26D" w14:textId="77777777" w:rsidR="00990066" w:rsidRDefault="005243B0">
            <w:pPr>
              <w:spacing w:line="360" w:lineRule="auto"/>
              <w:jc w:val="center"/>
              <w:rPr>
                <w:rFonts w:ascii="Times New Roman" w:hAnsi="Times New Roman" w:cs="Times New Roman"/>
                <w:sz w:val="24"/>
                <w:szCs w:val="24"/>
              </w:rPr>
            </w:pPr>
            <w:r>
              <w:rPr>
                <w:rFonts w:ascii="Times New Roman" w:hAnsi="Times New Roman" w:cs="Times New Roman"/>
                <w:sz w:val="24"/>
                <w:szCs w:val="24"/>
              </w:rPr>
              <w:t>500.0</w:t>
            </w:r>
          </w:p>
        </w:tc>
        <w:tc>
          <w:tcPr>
            <w:tcW w:w="975" w:type="dxa"/>
            <w:tcBorders>
              <w:top w:val="single" w:sz="4" w:space="0" w:color="auto"/>
              <w:left w:val="nil"/>
              <w:bottom w:val="nil"/>
              <w:right w:val="nil"/>
            </w:tcBorders>
            <w:vAlign w:val="center"/>
          </w:tcPr>
          <w:p w14:paraId="7153197B" w14:textId="77777777" w:rsidR="00990066" w:rsidRDefault="005243B0">
            <w:pPr>
              <w:spacing w:line="360" w:lineRule="auto"/>
              <w:jc w:val="center"/>
              <w:rPr>
                <w:rFonts w:ascii="Times New Roman" w:hAnsi="Times New Roman" w:cs="Times New Roman"/>
                <w:sz w:val="24"/>
                <w:szCs w:val="24"/>
              </w:rPr>
            </w:pPr>
            <w:r>
              <w:rPr>
                <w:rFonts w:ascii="Times New Roman" w:hAnsi="Times New Roman" w:cs="Times New Roman"/>
                <w:sz w:val="24"/>
                <w:szCs w:val="24"/>
              </w:rPr>
              <w:t>500.0</w:t>
            </w:r>
          </w:p>
        </w:tc>
        <w:tc>
          <w:tcPr>
            <w:tcW w:w="1095" w:type="dxa"/>
            <w:tcBorders>
              <w:top w:val="single" w:sz="4" w:space="0" w:color="auto"/>
              <w:left w:val="nil"/>
              <w:bottom w:val="nil"/>
              <w:right w:val="nil"/>
            </w:tcBorders>
            <w:vAlign w:val="center"/>
          </w:tcPr>
          <w:p w14:paraId="1C057221" w14:textId="77777777" w:rsidR="00990066" w:rsidRDefault="005243B0">
            <w:pPr>
              <w:spacing w:line="360" w:lineRule="auto"/>
              <w:jc w:val="center"/>
              <w:rPr>
                <w:rFonts w:ascii="Times New Roman" w:hAnsi="Times New Roman" w:cs="Times New Roman"/>
                <w:sz w:val="24"/>
                <w:szCs w:val="24"/>
              </w:rPr>
            </w:pPr>
            <w:r>
              <w:rPr>
                <w:rFonts w:ascii="Times New Roman" w:hAnsi="Times New Roman" w:cs="Times New Roman"/>
                <w:sz w:val="24"/>
                <w:szCs w:val="24"/>
              </w:rPr>
              <w:t>500.0</w:t>
            </w:r>
          </w:p>
        </w:tc>
        <w:tc>
          <w:tcPr>
            <w:tcW w:w="1080" w:type="dxa"/>
            <w:tcBorders>
              <w:top w:val="single" w:sz="4" w:space="0" w:color="auto"/>
              <w:left w:val="nil"/>
              <w:bottom w:val="nil"/>
              <w:right w:val="nil"/>
            </w:tcBorders>
            <w:vAlign w:val="center"/>
          </w:tcPr>
          <w:p w14:paraId="17F82BF1" w14:textId="77777777" w:rsidR="00990066" w:rsidRDefault="005243B0">
            <w:pPr>
              <w:spacing w:line="360" w:lineRule="auto"/>
              <w:jc w:val="center"/>
              <w:rPr>
                <w:rFonts w:ascii="Times New Roman" w:hAnsi="Times New Roman" w:cs="Times New Roman"/>
                <w:sz w:val="24"/>
                <w:szCs w:val="24"/>
              </w:rPr>
            </w:pPr>
            <w:r>
              <w:rPr>
                <w:rFonts w:ascii="Times New Roman" w:hAnsi="Times New Roman" w:cs="Times New Roman"/>
                <w:sz w:val="24"/>
                <w:szCs w:val="24"/>
              </w:rPr>
              <w:t>500.0</w:t>
            </w:r>
          </w:p>
        </w:tc>
      </w:tr>
      <w:tr w:rsidR="00990066" w14:paraId="16537855" w14:textId="77777777" w:rsidTr="00150B26">
        <w:trPr>
          <w:trHeight w:val="323"/>
          <w:jc w:val="center"/>
        </w:trPr>
        <w:tc>
          <w:tcPr>
            <w:tcW w:w="3225" w:type="dxa"/>
            <w:tcBorders>
              <w:top w:val="nil"/>
              <w:left w:val="nil"/>
              <w:bottom w:val="nil"/>
              <w:right w:val="nil"/>
            </w:tcBorders>
            <w:vAlign w:val="center"/>
          </w:tcPr>
          <w:p w14:paraId="5851BAC2" w14:textId="77777777" w:rsidR="00990066" w:rsidRDefault="005243B0">
            <w:pPr>
              <w:spacing w:line="360" w:lineRule="auto"/>
              <w:rPr>
                <w:rFonts w:ascii="Times New Roman" w:hAnsi="Times New Roman" w:cs="Times New Roman"/>
                <w:sz w:val="24"/>
                <w:szCs w:val="24"/>
              </w:rPr>
            </w:pPr>
            <w:r>
              <w:rPr>
                <w:rFonts w:ascii="Times New Roman" w:hAnsi="Times New Roman"/>
                <w:sz w:val="24"/>
                <w:szCs w:val="24"/>
              </w:rPr>
              <w:t>ULTRAMOD</w:t>
            </w:r>
            <w:r>
              <w:rPr>
                <w:rFonts w:ascii="Times New Roman" w:eastAsia="DengXian" w:hAnsi="Times New Roman" w:cs="Times New Roman"/>
                <w:sz w:val="24"/>
                <w:szCs w:val="24"/>
                <w:vertAlign w:val="superscript"/>
              </w:rPr>
              <w:t>™</w:t>
            </w:r>
            <w:r>
              <w:rPr>
                <w:rFonts w:ascii="Times New Roman" w:hAnsi="Times New Roman"/>
                <w:sz w:val="24"/>
                <w:szCs w:val="24"/>
                <w:vertAlign w:val="superscript"/>
              </w:rPr>
              <w:t xml:space="preserve"> </w:t>
            </w:r>
          </w:p>
        </w:tc>
        <w:tc>
          <w:tcPr>
            <w:tcW w:w="1020" w:type="dxa"/>
            <w:tcBorders>
              <w:top w:val="nil"/>
              <w:left w:val="nil"/>
              <w:bottom w:val="nil"/>
              <w:right w:val="nil"/>
            </w:tcBorders>
            <w:vAlign w:val="center"/>
          </w:tcPr>
          <w:p w14:paraId="52768DFA" w14:textId="77777777" w:rsidR="00990066" w:rsidRDefault="005243B0">
            <w:pPr>
              <w:spacing w:line="360" w:lineRule="auto"/>
              <w:jc w:val="center"/>
              <w:rPr>
                <w:rFonts w:ascii="Times New Roman" w:hAnsi="Times New Roman" w:cs="Times New Roman"/>
                <w:sz w:val="24"/>
                <w:szCs w:val="24"/>
              </w:rPr>
            </w:pPr>
            <w:r>
              <w:rPr>
                <w:rFonts w:ascii="Times New Roman" w:hAnsi="Times New Roman" w:cs="Times New Roman"/>
                <w:sz w:val="24"/>
                <w:szCs w:val="24"/>
              </w:rPr>
              <w:t>50.0</w:t>
            </w:r>
          </w:p>
        </w:tc>
        <w:tc>
          <w:tcPr>
            <w:tcW w:w="945" w:type="dxa"/>
            <w:tcBorders>
              <w:top w:val="nil"/>
              <w:left w:val="nil"/>
              <w:bottom w:val="nil"/>
              <w:right w:val="nil"/>
            </w:tcBorders>
            <w:vAlign w:val="center"/>
          </w:tcPr>
          <w:p w14:paraId="29318012" w14:textId="77777777" w:rsidR="00990066" w:rsidRDefault="005243B0">
            <w:pPr>
              <w:spacing w:line="360" w:lineRule="auto"/>
              <w:jc w:val="center"/>
              <w:rPr>
                <w:rFonts w:ascii="Times New Roman" w:hAnsi="Times New Roman" w:cs="Times New Roman"/>
                <w:sz w:val="24"/>
                <w:szCs w:val="24"/>
              </w:rPr>
            </w:pPr>
            <w:r>
              <w:rPr>
                <w:rFonts w:ascii="Times New Roman" w:hAnsi="Times New Roman" w:cs="Times New Roman"/>
                <w:sz w:val="24"/>
                <w:szCs w:val="24"/>
              </w:rPr>
              <w:t>100.0</w:t>
            </w:r>
          </w:p>
        </w:tc>
        <w:tc>
          <w:tcPr>
            <w:tcW w:w="990" w:type="dxa"/>
            <w:tcBorders>
              <w:top w:val="nil"/>
              <w:left w:val="nil"/>
              <w:bottom w:val="nil"/>
              <w:right w:val="nil"/>
            </w:tcBorders>
            <w:vAlign w:val="center"/>
          </w:tcPr>
          <w:p w14:paraId="6B0AFA9E" w14:textId="77777777" w:rsidR="00990066" w:rsidRDefault="005243B0">
            <w:pPr>
              <w:spacing w:line="360" w:lineRule="auto"/>
              <w:jc w:val="center"/>
              <w:rPr>
                <w:rFonts w:ascii="Times New Roman" w:hAnsi="Times New Roman" w:cs="Times New Roman"/>
                <w:sz w:val="24"/>
                <w:szCs w:val="24"/>
              </w:rPr>
            </w:pPr>
            <w:r>
              <w:rPr>
                <w:rFonts w:ascii="Times New Roman" w:hAnsi="Times New Roman" w:cs="Times New Roman"/>
                <w:sz w:val="24"/>
                <w:szCs w:val="24"/>
              </w:rPr>
              <w:t>150.0</w:t>
            </w:r>
          </w:p>
        </w:tc>
        <w:tc>
          <w:tcPr>
            <w:tcW w:w="975" w:type="dxa"/>
            <w:tcBorders>
              <w:top w:val="nil"/>
              <w:left w:val="nil"/>
              <w:bottom w:val="nil"/>
              <w:right w:val="nil"/>
            </w:tcBorders>
            <w:vAlign w:val="center"/>
          </w:tcPr>
          <w:p w14:paraId="1F3D7590" w14:textId="77777777" w:rsidR="00990066" w:rsidRDefault="005243B0">
            <w:pPr>
              <w:spacing w:line="360" w:lineRule="auto"/>
              <w:jc w:val="center"/>
              <w:rPr>
                <w:rFonts w:ascii="Times New Roman" w:hAnsi="Times New Roman" w:cs="Times New Roman"/>
                <w:sz w:val="24"/>
                <w:szCs w:val="24"/>
              </w:rPr>
            </w:pPr>
            <w:r>
              <w:rPr>
                <w:rFonts w:ascii="Times New Roman" w:hAnsi="Times New Roman" w:cs="Times New Roman"/>
                <w:sz w:val="24"/>
                <w:szCs w:val="24"/>
              </w:rPr>
              <w:t>200.0</w:t>
            </w:r>
          </w:p>
        </w:tc>
        <w:tc>
          <w:tcPr>
            <w:tcW w:w="1095" w:type="dxa"/>
            <w:tcBorders>
              <w:top w:val="nil"/>
              <w:left w:val="nil"/>
              <w:bottom w:val="nil"/>
              <w:right w:val="nil"/>
            </w:tcBorders>
            <w:vAlign w:val="center"/>
          </w:tcPr>
          <w:p w14:paraId="13D3DA06" w14:textId="77777777" w:rsidR="00990066" w:rsidRDefault="005243B0">
            <w:pPr>
              <w:spacing w:line="360" w:lineRule="auto"/>
              <w:jc w:val="center"/>
              <w:rPr>
                <w:rFonts w:ascii="Times New Roman" w:hAnsi="Times New Roman" w:cs="Times New Roman"/>
                <w:sz w:val="24"/>
                <w:szCs w:val="24"/>
              </w:rPr>
            </w:pPr>
            <w:r>
              <w:rPr>
                <w:rFonts w:ascii="Times New Roman" w:hAnsi="Times New Roman" w:cs="Times New Roman"/>
                <w:sz w:val="24"/>
                <w:szCs w:val="24"/>
              </w:rPr>
              <w:t>250.0</w:t>
            </w:r>
          </w:p>
        </w:tc>
        <w:tc>
          <w:tcPr>
            <w:tcW w:w="1080" w:type="dxa"/>
            <w:tcBorders>
              <w:top w:val="nil"/>
              <w:left w:val="nil"/>
              <w:bottom w:val="nil"/>
              <w:right w:val="nil"/>
            </w:tcBorders>
            <w:vAlign w:val="center"/>
          </w:tcPr>
          <w:p w14:paraId="415FE14F" w14:textId="77777777" w:rsidR="00990066" w:rsidRDefault="005243B0">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990066" w14:paraId="5C2A5B19" w14:textId="77777777" w:rsidTr="00150B26">
        <w:trPr>
          <w:trHeight w:val="378"/>
          <w:jc w:val="center"/>
        </w:trPr>
        <w:tc>
          <w:tcPr>
            <w:tcW w:w="3225" w:type="dxa"/>
            <w:tcBorders>
              <w:top w:val="nil"/>
              <w:left w:val="nil"/>
              <w:bottom w:val="nil"/>
              <w:right w:val="nil"/>
            </w:tcBorders>
            <w:vAlign w:val="center"/>
          </w:tcPr>
          <w:p w14:paraId="1B3C062F" w14:textId="77777777" w:rsidR="00990066" w:rsidRDefault="005243B0">
            <w:p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HiCel</w:t>
            </w:r>
            <w:r>
              <w:rPr>
                <w:rFonts w:ascii="Times New Roman" w:hAnsi="Times New Roman" w:cs="Times New Roman"/>
                <w:sz w:val="24"/>
                <w:szCs w:val="24"/>
                <w:vertAlign w:val="superscript"/>
              </w:rPr>
              <w:t>TM</w:t>
            </w:r>
            <w:proofErr w:type="spellEnd"/>
            <w:r>
              <w:rPr>
                <w:rFonts w:ascii="Times New Roman" w:hAnsi="Times New Roman" w:cs="Times New Roman"/>
                <w:sz w:val="24"/>
                <w:szCs w:val="24"/>
              </w:rPr>
              <w:t xml:space="preserve"> LP200</w:t>
            </w:r>
          </w:p>
        </w:tc>
        <w:tc>
          <w:tcPr>
            <w:tcW w:w="1020" w:type="dxa"/>
            <w:tcBorders>
              <w:top w:val="nil"/>
              <w:left w:val="nil"/>
              <w:bottom w:val="nil"/>
              <w:right w:val="nil"/>
            </w:tcBorders>
            <w:vAlign w:val="center"/>
          </w:tcPr>
          <w:p w14:paraId="68C6007B" w14:textId="77777777" w:rsidR="00990066" w:rsidRDefault="005243B0">
            <w:pPr>
              <w:spacing w:line="360" w:lineRule="auto"/>
              <w:jc w:val="center"/>
              <w:rPr>
                <w:rFonts w:ascii="Times New Roman" w:hAnsi="Times New Roman" w:cs="Times New Roman"/>
                <w:sz w:val="24"/>
                <w:szCs w:val="24"/>
              </w:rPr>
            </w:pPr>
            <w:r>
              <w:rPr>
                <w:rFonts w:ascii="Times New Roman" w:hAnsi="Times New Roman" w:cs="Times New Roman"/>
                <w:sz w:val="24"/>
                <w:szCs w:val="24"/>
              </w:rPr>
              <w:t>430.0</w:t>
            </w:r>
          </w:p>
        </w:tc>
        <w:tc>
          <w:tcPr>
            <w:tcW w:w="945" w:type="dxa"/>
            <w:tcBorders>
              <w:top w:val="nil"/>
              <w:left w:val="nil"/>
              <w:bottom w:val="nil"/>
              <w:right w:val="nil"/>
            </w:tcBorders>
            <w:vAlign w:val="center"/>
          </w:tcPr>
          <w:p w14:paraId="0F0D4C7F" w14:textId="77777777" w:rsidR="00990066" w:rsidRDefault="005243B0">
            <w:pPr>
              <w:spacing w:line="360" w:lineRule="auto"/>
              <w:jc w:val="center"/>
              <w:rPr>
                <w:rFonts w:ascii="Times New Roman" w:hAnsi="Times New Roman" w:cs="Times New Roman"/>
                <w:sz w:val="24"/>
                <w:szCs w:val="24"/>
              </w:rPr>
            </w:pPr>
            <w:r>
              <w:rPr>
                <w:rFonts w:ascii="Times New Roman" w:hAnsi="Times New Roman" w:cs="Times New Roman"/>
                <w:sz w:val="24"/>
                <w:szCs w:val="24"/>
              </w:rPr>
              <w:t>380.0</w:t>
            </w:r>
          </w:p>
        </w:tc>
        <w:tc>
          <w:tcPr>
            <w:tcW w:w="990" w:type="dxa"/>
            <w:tcBorders>
              <w:top w:val="nil"/>
              <w:left w:val="nil"/>
              <w:bottom w:val="nil"/>
              <w:right w:val="nil"/>
            </w:tcBorders>
            <w:vAlign w:val="center"/>
          </w:tcPr>
          <w:p w14:paraId="0C3C6780" w14:textId="77777777" w:rsidR="00990066" w:rsidRDefault="005243B0">
            <w:pPr>
              <w:spacing w:line="360" w:lineRule="auto"/>
              <w:jc w:val="center"/>
              <w:rPr>
                <w:rFonts w:ascii="Times New Roman" w:hAnsi="Times New Roman" w:cs="Times New Roman"/>
                <w:sz w:val="24"/>
                <w:szCs w:val="24"/>
              </w:rPr>
            </w:pPr>
            <w:r>
              <w:rPr>
                <w:rFonts w:ascii="Times New Roman" w:hAnsi="Times New Roman" w:cs="Times New Roman"/>
                <w:sz w:val="24"/>
                <w:szCs w:val="24"/>
              </w:rPr>
              <w:t>330.0</w:t>
            </w:r>
          </w:p>
        </w:tc>
        <w:tc>
          <w:tcPr>
            <w:tcW w:w="975" w:type="dxa"/>
            <w:tcBorders>
              <w:top w:val="nil"/>
              <w:left w:val="nil"/>
              <w:bottom w:val="nil"/>
              <w:right w:val="nil"/>
            </w:tcBorders>
            <w:vAlign w:val="center"/>
          </w:tcPr>
          <w:p w14:paraId="045B584B" w14:textId="77777777" w:rsidR="00990066" w:rsidRDefault="005243B0">
            <w:pPr>
              <w:spacing w:line="360" w:lineRule="auto"/>
              <w:jc w:val="center"/>
              <w:rPr>
                <w:rFonts w:ascii="Times New Roman" w:hAnsi="Times New Roman" w:cs="Times New Roman"/>
                <w:sz w:val="24"/>
                <w:szCs w:val="24"/>
              </w:rPr>
            </w:pPr>
            <w:r>
              <w:rPr>
                <w:rFonts w:ascii="Times New Roman" w:hAnsi="Times New Roman" w:cs="Times New Roman"/>
                <w:sz w:val="24"/>
                <w:szCs w:val="24"/>
              </w:rPr>
              <w:t>280.0</w:t>
            </w:r>
          </w:p>
        </w:tc>
        <w:tc>
          <w:tcPr>
            <w:tcW w:w="1095" w:type="dxa"/>
            <w:tcBorders>
              <w:top w:val="nil"/>
              <w:left w:val="nil"/>
              <w:bottom w:val="nil"/>
              <w:right w:val="nil"/>
            </w:tcBorders>
            <w:vAlign w:val="center"/>
          </w:tcPr>
          <w:p w14:paraId="3F56F0F7" w14:textId="77777777" w:rsidR="00990066" w:rsidRDefault="005243B0">
            <w:pPr>
              <w:spacing w:line="360" w:lineRule="auto"/>
              <w:jc w:val="center"/>
              <w:rPr>
                <w:rFonts w:ascii="Times New Roman" w:hAnsi="Times New Roman" w:cs="Times New Roman"/>
                <w:sz w:val="24"/>
                <w:szCs w:val="24"/>
              </w:rPr>
            </w:pPr>
            <w:r>
              <w:rPr>
                <w:rFonts w:ascii="Times New Roman" w:hAnsi="Times New Roman" w:cs="Times New Roman"/>
                <w:sz w:val="24"/>
                <w:szCs w:val="24"/>
              </w:rPr>
              <w:t>230.0</w:t>
            </w:r>
          </w:p>
        </w:tc>
        <w:tc>
          <w:tcPr>
            <w:tcW w:w="1080" w:type="dxa"/>
            <w:tcBorders>
              <w:top w:val="nil"/>
              <w:left w:val="nil"/>
              <w:bottom w:val="nil"/>
              <w:right w:val="nil"/>
            </w:tcBorders>
            <w:vAlign w:val="center"/>
          </w:tcPr>
          <w:p w14:paraId="056704A8" w14:textId="77777777" w:rsidR="00990066" w:rsidRDefault="005243B0">
            <w:pPr>
              <w:spacing w:line="360" w:lineRule="auto"/>
              <w:jc w:val="center"/>
              <w:rPr>
                <w:rFonts w:ascii="Times New Roman" w:hAnsi="Times New Roman" w:cs="Times New Roman"/>
                <w:sz w:val="24"/>
                <w:szCs w:val="24"/>
              </w:rPr>
            </w:pPr>
            <w:r>
              <w:rPr>
                <w:rFonts w:ascii="Times New Roman" w:hAnsi="Times New Roman" w:cs="Times New Roman"/>
                <w:sz w:val="24"/>
                <w:szCs w:val="24"/>
              </w:rPr>
              <w:t>480.0</w:t>
            </w:r>
          </w:p>
        </w:tc>
      </w:tr>
      <w:tr w:rsidR="00990066" w14:paraId="1B189865" w14:textId="77777777" w:rsidTr="00150B26">
        <w:trPr>
          <w:trHeight w:val="378"/>
          <w:jc w:val="center"/>
        </w:trPr>
        <w:tc>
          <w:tcPr>
            <w:tcW w:w="3225" w:type="dxa"/>
            <w:tcBorders>
              <w:top w:val="nil"/>
              <w:left w:val="nil"/>
              <w:bottom w:val="nil"/>
              <w:right w:val="nil"/>
            </w:tcBorders>
            <w:vAlign w:val="center"/>
          </w:tcPr>
          <w:p w14:paraId="5FF5C584" w14:textId="77777777" w:rsidR="00990066" w:rsidRDefault="005243B0">
            <w:pPr>
              <w:spacing w:line="360" w:lineRule="auto"/>
              <w:rPr>
                <w:rFonts w:ascii="Times New Roman" w:hAnsi="Times New Roman" w:cs="Times New Roman"/>
                <w:sz w:val="24"/>
                <w:szCs w:val="24"/>
              </w:rPr>
            </w:pPr>
            <w:r>
              <w:rPr>
                <w:rFonts w:ascii="Times New Roman" w:hAnsi="Times New Roman" w:cs="Times New Roman"/>
                <w:sz w:val="24"/>
                <w:szCs w:val="24"/>
              </w:rPr>
              <w:t>Colloidal silicon dioxide</w:t>
            </w:r>
          </w:p>
        </w:tc>
        <w:tc>
          <w:tcPr>
            <w:tcW w:w="1020" w:type="dxa"/>
            <w:tcBorders>
              <w:top w:val="nil"/>
              <w:left w:val="nil"/>
              <w:bottom w:val="nil"/>
              <w:right w:val="nil"/>
            </w:tcBorders>
            <w:vAlign w:val="center"/>
          </w:tcPr>
          <w:p w14:paraId="72A74752" w14:textId="77777777" w:rsidR="00990066" w:rsidRDefault="005243B0">
            <w:pPr>
              <w:spacing w:line="360"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945" w:type="dxa"/>
            <w:tcBorders>
              <w:top w:val="nil"/>
              <w:left w:val="nil"/>
              <w:bottom w:val="nil"/>
              <w:right w:val="nil"/>
            </w:tcBorders>
            <w:vAlign w:val="center"/>
          </w:tcPr>
          <w:p w14:paraId="166803FC" w14:textId="77777777" w:rsidR="00990066" w:rsidRDefault="005243B0">
            <w:pPr>
              <w:spacing w:line="360"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990" w:type="dxa"/>
            <w:tcBorders>
              <w:top w:val="nil"/>
              <w:left w:val="nil"/>
              <w:bottom w:val="nil"/>
              <w:right w:val="nil"/>
            </w:tcBorders>
            <w:vAlign w:val="center"/>
          </w:tcPr>
          <w:p w14:paraId="2F6DA34E" w14:textId="77777777" w:rsidR="00990066" w:rsidRDefault="005243B0">
            <w:pPr>
              <w:spacing w:line="360"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975" w:type="dxa"/>
            <w:tcBorders>
              <w:top w:val="nil"/>
              <w:left w:val="nil"/>
              <w:bottom w:val="nil"/>
              <w:right w:val="nil"/>
            </w:tcBorders>
            <w:vAlign w:val="center"/>
          </w:tcPr>
          <w:p w14:paraId="1C1EA920" w14:textId="77777777" w:rsidR="00990066" w:rsidRDefault="005243B0">
            <w:pPr>
              <w:spacing w:line="360"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1095" w:type="dxa"/>
            <w:tcBorders>
              <w:top w:val="nil"/>
              <w:left w:val="nil"/>
              <w:bottom w:val="nil"/>
              <w:right w:val="nil"/>
            </w:tcBorders>
            <w:vAlign w:val="center"/>
          </w:tcPr>
          <w:p w14:paraId="5F4AF688" w14:textId="77777777" w:rsidR="00990066" w:rsidRDefault="005243B0">
            <w:pPr>
              <w:spacing w:line="360"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1080" w:type="dxa"/>
            <w:tcBorders>
              <w:top w:val="nil"/>
              <w:left w:val="nil"/>
              <w:bottom w:val="nil"/>
              <w:right w:val="nil"/>
            </w:tcBorders>
            <w:vAlign w:val="center"/>
          </w:tcPr>
          <w:p w14:paraId="59E0AB4D" w14:textId="77777777" w:rsidR="00990066" w:rsidRDefault="005243B0">
            <w:pPr>
              <w:spacing w:line="360" w:lineRule="auto"/>
              <w:jc w:val="center"/>
              <w:rPr>
                <w:rFonts w:ascii="Times New Roman" w:hAnsi="Times New Roman" w:cs="Times New Roman"/>
                <w:sz w:val="24"/>
                <w:szCs w:val="24"/>
              </w:rPr>
            </w:pPr>
            <w:r>
              <w:rPr>
                <w:rFonts w:ascii="Times New Roman" w:hAnsi="Times New Roman" w:cs="Times New Roman"/>
                <w:sz w:val="24"/>
                <w:szCs w:val="24"/>
              </w:rPr>
              <w:t>10.0</w:t>
            </w:r>
          </w:p>
        </w:tc>
      </w:tr>
      <w:tr w:rsidR="00990066" w14:paraId="39A70F03" w14:textId="77777777" w:rsidTr="00150B26">
        <w:trPr>
          <w:trHeight w:val="378"/>
          <w:jc w:val="center"/>
        </w:trPr>
        <w:tc>
          <w:tcPr>
            <w:tcW w:w="3225" w:type="dxa"/>
            <w:tcBorders>
              <w:top w:val="nil"/>
              <w:left w:val="nil"/>
              <w:bottom w:val="nil"/>
              <w:right w:val="nil"/>
            </w:tcBorders>
            <w:vAlign w:val="center"/>
          </w:tcPr>
          <w:p w14:paraId="199B11FE" w14:textId="77777777" w:rsidR="00990066" w:rsidRDefault="005243B0">
            <w:pPr>
              <w:spacing w:line="360" w:lineRule="auto"/>
              <w:rPr>
                <w:rFonts w:ascii="Times New Roman" w:hAnsi="Times New Roman" w:cs="Times New Roman"/>
                <w:sz w:val="24"/>
                <w:szCs w:val="24"/>
              </w:rPr>
            </w:pPr>
            <w:r>
              <w:rPr>
                <w:rFonts w:ascii="Times New Roman" w:hAnsi="Times New Roman" w:cs="Times New Roman"/>
                <w:sz w:val="24"/>
                <w:szCs w:val="24"/>
              </w:rPr>
              <w:t>Magnesium stearate</w:t>
            </w:r>
          </w:p>
        </w:tc>
        <w:tc>
          <w:tcPr>
            <w:tcW w:w="1020" w:type="dxa"/>
            <w:tcBorders>
              <w:top w:val="nil"/>
              <w:left w:val="nil"/>
              <w:bottom w:val="nil"/>
              <w:right w:val="nil"/>
            </w:tcBorders>
            <w:vAlign w:val="center"/>
          </w:tcPr>
          <w:p w14:paraId="6D0DF2B2" w14:textId="77777777" w:rsidR="00990066" w:rsidRDefault="005243B0">
            <w:pPr>
              <w:spacing w:line="360"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945" w:type="dxa"/>
            <w:tcBorders>
              <w:top w:val="nil"/>
              <w:left w:val="nil"/>
              <w:bottom w:val="nil"/>
              <w:right w:val="nil"/>
            </w:tcBorders>
            <w:vAlign w:val="center"/>
          </w:tcPr>
          <w:p w14:paraId="4B24840F" w14:textId="77777777" w:rsidR="00990066" w:rsidRDefault="005243B0">
            <w:pPr>
              <w:spacing w:line="360"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990" w:type="dxa"/>
            <w:tcBorders>
              <w:top w:val="nil"/>
              <w:left w:val="nil"/>
              <w:bottom w:val="nil"/>
              <w:right w:val="nil"/>
            </w:tcBorders>
            <w:vAlign w:val="center"/>
          </w:tcPr>
          <w:p w14:paraId="52EB14C8" w14:textId="77777777" w:rsidR="00990066" w:rsidRDefault="005243B0">
            <w:pPr>
              <w:spacing w:line="360"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975" w:type="dxa"/>
            <w:tcBorders>
              <w:top w:val="nil"/>
              <w:left w:val="nil"/>
              <w:bottom w:val="nil"/>
              <w:right w:val="nil"/>
            </w:tcBorders>
            <w:vAlign w:val="center"/>
          </w:tcPr>
          <w:p w14:paraId="1F8914A0" w14:textId="77777777" w:rsidR="00990066" w:rsidRDefault="005243B0">
            <w:pPr>
              <w:spacing w:line="360"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1095" w:type="dxa"/>
            <w:tcBorders>
              <w:top w:val="nil"/>
              <w:left w:val="nil"/>
              <w:bottom w:val="nil"/>
              <w:right w:val="nil"/>
            </w:tcBorders>
            <w:vAlign w:val="center"/>
          </w:tcPr>
          <w:p w14:paraId="68E8FB0A" w14:textId="77777777" w:rsidR="00990066" w:rsidRDefault="005243B0">
            <w:pPr>
              <w:spacing w:line="360"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1080" w:type="dxa"/>
            <w:tcBorders>
              <w:top w:val="nil"/>
              <w:left w:val="nil"/>
              <w:bottom w:val="nil"/>
              <w:right w:val="nil"/>
            </w:tcBorders>
            <w:vAlign w:val="center"/>
          </w:tcPr>
          <w:p w14:paraId="4CF3A252" w14:textId="77777777" w:rsidR="00990066" w:rsidRDefault="005243B0">
            <w:pPr>
              <w:spacing w:line="360" w:lineRule="auto"/>
              <w:jc w:val="center"/>
              <w:rPr>
                <w:rFonts w:ascii="Times New Roman" w:hAnsi="Times New Roman" w:cs="Times New Roman"/>
                <w:sz w:val="24"/>
                <w:szCs w:val="24"/>
              </w:rPr>
            </w:pPr>
            <w:r>
              <w:rPr>
                <w:rFonts w:ascii="Times New Roman" w:hAnsi="Times New Roman" w:cs="Times New Roman"/>
                <w:sz w:val="24"/>
                <w:szCs w:val="24"/>
              </w:rPr>
              <w:t>10.0</w:t>
            </w:r>
          </w:p>
        </w:tc>
      </w:tr>
      <w:tr w:rsidR="00990066" w14:paraId="72515201" w14:textId="77777777" w:rsidTr="00150B26">
        <w:trPr>
          <w:trHeight w:val="90"/>
          <w:jc w:val="center"/>
        </w:trPr>
        <w:tc>
          <w:tcPr>
            <w:tcW w:w="3225" w:type="dxa"/>
            <w:tcBorders>
              <w:top w:val="nil"/>
              <w:left w:val="nil"/>
              <w:bottom w:val="single" w:sz="4" w:space="0" w:color="auto"/>
              <w:right w:val="nil"/>
            </w:tcBorders>
            <w:vAlign w:val="center"/>
          </w:tcPr>
          <w:p w14:paraId="58F7BD28" w14:textId="77777777" w:rsidR="00990066" w:rsidRDefault="005243B0">
            <w:pPr>
              <w:spacing w:line="360" w:lineRule="auto"/>
              <w:rPr>
                <w:rFonts w:ascii="Times New Roman" w:hAnsi="Times New Roman" w:cs="Times New Roman"/>
                <w:sz w:val="24"/>
                <w:szCs w:val="24"/>
              </w:rPr>
            </w:pPr>
            <w:r>
              <w:rPr>
                <w:rFonts w:ascii="Times New Roman" w:hAnsi="Times New Roman" w:cs="Times New Roman"/>
                <w:sz w:val="24"/>
                <w:szCs w:val="24"/>
              </w:rPr>
              <w:t>Average Tablet Weight (mg)</w:t>
            </w:r>
          </w:p>
        </w:tc>
        <w:tc>
          <w:tcPr>
            <w:tcW w:w="1020" w:type="dxa"/>
            <w:tcBorders>
              <w:top w:val="nil"/>
              <w:left w:val="nil"/>
              <w:bottom w:val="single" w:sz="4" w:space="0" w:color="auto"/>
              <w:right w:val="nil"/>
            </w:tcBorders>
            <w:vAlign w:val="center"/>
          </w:tcPr>
          <w:p w14:paraId="332083EB" w14:textId="77777777" w:rsidR="00990066" w:rsidRDefault="005243B0">
            <w:pPr>
              <w:spacing w:line="360" w:lineRule="auto"/>
              <w:jc w:val="center"/>
              <w:rPr>
                <w:rFonts w:ascii="Times New Roman" w:hAnsi="Times New Roman" w:cs="Times New Roman"/>
                <w:sz w:val="24"/>
                <w:szCs w:val="24"/>
              </w:rPr>
            </w:pPr>
            <w:r>
              <w:rPr>
                <w:rFonts w:ascii="Times New Roman" w:hAnsi="Times New Roman" w:cs="Times New Roman"/>
                <w:sz w:val="24"/>
                <w:szCs w:val="24"/>
              </w:rPr>
              <w:t>1000.0</w:t>
            </w:r>
          </w:p>
        </w:tc>
        <w:tc>
          <w:tcPr>
            <w:tcW w:w="945" w:type="dxa"/>
            <w:tcBorders>
              <w:top w:val="nil"/>
              <w:left w:val="nil"/>
              <w:bottom w:val="single" w:sz="4" w:space="0" w:color="auto"/>
              <w:right w:val="nil"/>
            </w:tcBorders>
            <w:vAlign w:val="center"/>
          </w:tcPr>
          <w:p w14:paraId="0171A6CA" w14:textId="77777777" w:rsidR="00990066" w:rsidRDefault="005243B0">
            <w:pPr>
              <w:spacing w:line="360" w:lineRule="auto"/>
              <w:jc w:val="center"/>
              <w:rPr>
                <w:rFonts w:ascii="Times New Roman" w:hAnsi="Times New Roman" w:cs="Times New Roman"/>
                <w:sz w:val="24"/>
                <w:szCs w:val="24"/>
              </w:rPr>
            </w:pPr>
            <w:r>
              <w:rPr>
                <w:rFonts w:ascii="Times New Roman" w:hAnsi="Times New Roman" w:cs="Times New Roman"/>
                <w:sz w:val="24"/>
                <w:szCs w:val="24"/>
              </w:rPr>
              <w:t>1000.0</w:t>
            </w:r>
          </w:p>
        </w:tc>
        <w:tc>
          <w:tcPr>
            <w:tcW w:w="990" w:type="dxa"/>
            <w:tcBorders>
              <w:top w:val="nil"/>
              <w:left w:val="nil"/>
              <w:bottom w:val="single" w:sz="4" w:space="0" w:color="auto"/>
              <w:right w:val="nil"/>
            </w:tcBorders>
            <w:vAlign w:val="center"/>
          </w:tcPr>
          <w:p w14:paraId="001853C0" w14:textId="77777777" w:rsidR="00990066" w:rsidRDefault="005243B0">
            <w:pPr>
              <w:spacing w:line="360" w:lineRule="auto"/>
              <w:jc w:val="center"/>
              <w:rPr>
                <w:rFonts w:ascii="Times New Roman" w:hAnsi="Times New Roman" w:cs="Times New Roman"/>
                <w:sz w:val="24"/>
                <w:szCs w:val="24"/>
              </w:rPr>
            </w:pPr>
            <w:r>
              <w:rPr>
                <w:rFonts w:ascii="Times New Roman" w:hAnsi="Times New Roman" w:cs="Times New Roman"/>
                <w:sz w:val="24"/>
                <w:szCs w:val="24"/>
              </w:rPr>
              <w:t>1000.0</w:t>
            </w:r>
          </w:p>
        </w:tc>
        <w:tc>
          <w:tcPr>
            <w:tcW w:w="975" w:type="dxa"/>
            <w:tcBorders>
              <w:top w:val="nil"/>
              <w:left w:val="nil"/>
              <w:bottom w:val="single" w:sz="4" w:space="0" w:color="auto"/>
              <w:right w:val="nil"/>
            </w:tcBorders>
            <w:vAlign w:val="center"/>
          </w:tcPr>
          <w:p w14:paraId="4051A15A" w14:textId="77777777" w:rsidR="00990066" w:rsidRDefault="005243B0">
            <w:pPr>
              <w:spacing w:line="360" w:lineRule="auto"/>
              <w:jc w:val="center"/>
              <w:rPr>
                <w:rFonts w:ascii="Times New Roman" w:hAnsi="Times New Roman" w:cs="Times New Roman"/>
                <w:sz w:val="24"/>
                <w:szCs w:val="24"/>
              </w:rPr>
            </w:pPr>
            <w:r>
              <w:rPr>
                <w:rFonts w:ascii="Times New Roman" w:hAnsi="Times New Roman" w:cs="Times New Roman"/>
                <w:sz w:val="24"/>
                <w:szCs w:val="24"/>
              </w:rPr>
              <w:t>1000.0</w:t>
            </w:r>
          </w:p>
        </w:tc>
        <w:tc>
          <w:tcPr>
            <w:tcW w:w="1095" w:type="dxa"/>
            <w:tcBorders>
              <w:top w:val="nil"/>
              <w:left w:val="nil"/>
              <w:bottom w:val="single" w:sz="4" w:space="0" w:color="auto"/>
              <w:right w:val="nil"/>
            </w:tcBorders>
            <w:vAlign w:val="center"/>
          </w:tcPr>
          <w:p w14:paraId="16A7CC4E" w14:textId="77777777" w:rsidR="00990066" w:rsidRDefault="005243B0">
            <w:pPr>
              <w:spacing w:line="360" w:lineRule="auto"/>
              <w:jc w:val="center"/>
              <w:rPr>
                <w:rFonts w:ascii="Times New Roman" w:hAnsi="Times New Roman" w:cs="Times New Roman"/>
                <w:sz w:val="24"/>
                <w:szCs w:val="24"/>
              </w:rPr>
            </w:pPr>
            <w:r>
              <w:rPr>
                <w:rFonts w:ascii="Times New Roman" w:hAnsi="Times New Roman" w:cs="Times New Roman"/>
                <w:sz w:val="24"/>
                <w:szCs w:val="24"/>
              </w:rPr>
              <w:t>1000.0</w:t>
            </w:r>
          </w:p>
        </w:tc>
        <w:tc>
          <w:tcPr>
            <w:tcW w:w="1080" w:type="dxa"/>
            <w:tcBorders>
              <w:top w:val="nil"/>
              <w:left w:val="nil"/>
              <w:bottom w:val="single" w:sz="4" w:space="0" w:color="auto"/>
              <w:right w:val="nil"/>
            </w:tcBorders>
            <w:vAlign w:val="center"/>
          </w:tcPr>
          <w:p w14:paraId="3E55880E" w14:textId="77777777" w:rsidR="00990066" w:rsidRDefault="005243B0">
            <w:pPr>
              <w:spacing w:line="360" w:lineRule="auto"/>
              <w:jc w:val="center"/>
              <w:rPr>
                <w:rFonts w:ascii="Times New Roman" w:hAnsi="Times New Roman" w:cs="Times New Roman"/>
                <w:sz w:val="24"/>
                <w:szCs w:val="24"/>
              </w:rPr>
            </w:pPr>
            <w:r>
              <w:rPr>
                <w:rFonts w:ascii="Times New Roman" w:hAnsi="Times New Roman" w:cs="Times New Roman"/>
                <w:sz w:val="24"/>
                <w:szCs w:val="24"/>
              </w:rPr>
              <w:t>1000.0</w:t>
            </w:r>
          </w:p>
        </w:tc>
      </w:tr>
    </w:tbl>
    <w:p w14:paraId="34C3F729" w14:textId="77777777" w:rsidR="00990066" w:rsidRDefault="00990066">
      <w:pPr>
        <w:spacing w:line="360" w:lineRule="auto"/>
        <w:jc w:val="both"/>
        <w:rPr>
          <w:rFonts w:ascii="Times New Roman" w:hAnsi="Times New Roman" w:cs="Times New Roman"/>
          <w:b/>
          <w:bCs/>
          <w:sz w:val="24"/>
          <w:szCs w:val="24"/>
        </w:rPr>
      </w:pPr>
    </w:p>
    <w:p w14:paraId="5CEDB10A" w14:textId="77777777" w:rsidR="00990066" w:rsidRDefault="00990066">
      <w:pPr>
        <w:spacing w:line="360" w:lineRule="auto"/>
        <w:jc w:val="both"/>
        <w:rPr>
          <w:rFonts w:ascii="Times New Roman" w:hAnsi="Times New Roman" w:cs="Times New Roman"/>
          <w:b/>
          <w:bCs/>
          <w:sz w:val="24"/>
          <w:szCs w:val="24"/>
        </w:rPr>
      </w:pPr>
    </w:p>
    <w:p w14:paraId="25ADC1F9" w14:textId="77777777" w:rsidR="00990066" w:rsidRDefault="00990066">
      <w:pPr>
        <w:spacing w:line="360" w:lineRule="auto"/>
        <w:jc w:val="both"/>
        <w:rPr>
          <w:rFonts w:ascii="Times New Roman" w:hAnsi="Times New Roman" w:cs="Times New Roman"/>
          <w:b/>
          <w:bCs/>
          <w:sz w:val="24"/>
          <w:szCs w:val="24"/>
        </w:rPr>
      </w:pPr>
    </w:p>
    <w:p w14:paraId="15F7322B" w14:textId="77777777" w:rsidR="00990066" w:rsidRDefault="00990066">
      <w:pPr>
        <w:spacing w:line="360" w:lineRule="auto"/>
        <w:jc w:val="both"/>
        <w:rPr>
          <w:rFonts w:ascii="Times New Roman" w:hAnsi="Times New Roman" w:cs="Times New Roman"/>
          <w:b/>
          <w:bCs/>
          <w:sz w:val="24"/>
          <w:szCs w:val="24"/>
        </w:rPr>
      </w:pPr>
    </w:p>
    <w:p w14:paraId="474C64C0" w14:textId="77777777" w:rsidR="00990066" w:rsidRDefault="00990066">
      <w:pPr>
        <w:spacing w:line="360" w:lineRule="auto"/>
        <w:jc w:val="both"/>
        <w:rPr>
          <w:rFonts w:ascii="Times New Roman" w:hAnsi="Times New Roman" w:cs="Times New Roman"/>
          <w:b/>
          <w:bCs/>
          <w:sz w:val="24"/>
          <w:szCs w:val="24"/>
        </w:rPr>
      </w:pPr>
    </w:p>
    <w:p w14:paraId="58C1FE61" w14:textId="77777777" w:rsidR="00990066" w:rsidRDefault="00990066">
      <w:pPr>
        <w:spacing w:line="360" w:lineRule="auto"/>
        <w:jc w:val="both"/>
        <w:rPr>
          <w:rFonts w:ascii="Times New Roman" w:hAnsi="Times New Roman" w:cs="Times New Roman"/>
          <w:b/>
          <w:bCs/>
          <w:sz w:val="24"/>
          <w:szCs w:val="24"/>
        </w:rPr>
      </w:pPr>
    </w:p>
    <w:p w14:paraId="2548A6E8" w14:textId="77777777" w:rsidR="00990066" w:rsidRDefault="00990066">
      <w:pPr>
        <w:spacing w:line="360" w:lineRule="auto"/>
        <w:jc w:val="both"/>
        <w:rPr>
          <w:rFonts w:ascii="Times New Roman" w:hAnsi="Times New Roman" w:cs="Times New Roman"/>
          <w:b/>
          <w:bCs/>
          <w:sz w:val="24"/>
          <w:szCs w:val="24"/>
        </w:rPr>
      </w:pPr>
    </w:p>
    <w:p w14:paraId="6F37D9AF" w14:textId="77777777" w:rsidR="00990066" w:rsidRDefault="00990066">
      <w:pPr>
        <w:spacing w:line="360" w:lineRule="auto"/>
        <w:jc w:val="both"/>
        <w:rPr>
          <w:rFonts w:ascii="Times New Roman" w:hAnsi="Times New Roman" w:cs="Times New Roman"/>
          <w:b/>
          <w:bCs/>
          <w:sz w:val="24"/>
          <w:szCs w:val="24"/>
        </w:rPr>
      </w:pPr>
    </w:p>
    <w:p w14:paraId="4CA712BF" w14:textId="77777777" w:rsidR="00990066" w:rsidRDefault="00990066">
      <w:pPr>
        <w:jc w:val="both"/>
        <w:rPr>
          <w:rFonts w:ascii="Times New Roman" w:hAnsi="Times New Roman" w:cs="Times New Roman"/>
          <w:b/>
          <w:bCs/>
          <w:sz w:val="24"/>
          <w:szCs w:val="24"/>
        </w:rPr>
      </w:pPr>
    </w:p>
    <w:p w14:paraId="4087131C" w14:textId="77777777" w:rsidR="00990066" w:rsidRDefault="005243B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2.2 Excipients Compatibility studies</w:t>
      </w:r>
    </w:p>
    <w:p w14:paraId="18F4FE54" w14:textId="77777777" w:rsidR="00990066" w:rsidRDefault="005243B0">
      <w:pPr>
        <w:spacing w:line="360" w:lineRule="auto"/>
        <w:jc w:val="both"/>
        <w:rPr>
          <w:rFonts w:ascii="Times New Roman" w:hAnsi="Times New Roman" w:cs="Times New Roman"/>
          <w:sz w:val="24"/>
          <w:szCs w:val="24"/>
        </w:rPr>
      </w:pPr>
      <w:r>
        <w:rPr>
          <w:rFonts w:ascii="Times New Roman" w:hAnsi="Times New Roman"/>
          <w:sz w:val="24"/>
          <w:szCs w:val="24"/>
        </w:rPr>
        <w:t xml:space="preserve">Molecular interactions as an indication of compatibility between ingredients were studied using Fourier transform infrared spectroscopy (FTIR) (Make: Shimadzu Japan, Model: </w:t>
      </w:r>
      <w:r>
        <w:rPr>
          <w:rFonts w:ascii="Times New Roman" w:hAnsi="Times New Roman" w:cs="Times New Roman"/>
          <w:sz w:val="24"/>
          <w:szCs w:val="24"/>
        </w:rPr>
        <w:t xml:space="preserve">IR </w:t>
      </w:r>
      <w:r>
        <w:rPr>
          <w:rFonts w:ascii="Times New Roman" w:hAnsi="Times New Roman"/>
          <w:sz w:val="24"/>
          <w:szCs w:val="24"/>
        </w:rPr>
        <w:t xml:space="preserve">Spirit-S), </w:t>
      </w:r>
      <w:r>
        <w:rPr>
          <w:rFonts w:ascii="Times New Roman" w:hAnsi="Times New Roman" w:cs="Times New Roman"/>
          <w:sz w:val="24"/>
          <w:szCs w:val="24"/>
        </w:rPr>
        <w:t xml:space="preserve">and the spectrum was </w:t>
      </w:r>
      <w:r>
        <w:rPr>
          <w:rFonts w:ascii="Times New Roman" w:hAnsi="Times New Roman" w:cs="Times New Roman"/>
          <w:sz w:val="24"/>
          <w:szCs w:val="24"/>
        </w:rPr>
        <w:lastRenderedPageBreak/>
        <w:t xml:space="preserve">recorded </w:t>
      </w:r>
      <w:r>
        <w:rPr>
          <w:rFonts w:ascii="Times New Roman" w:hAnsi="Times New Roman" w:cs="Times New Roman"/>
          <w:sz w:val="24"/>
          <w:szCs w:val="24"/>
        </w:rPr>
        <w:t>in the wavelength region from 4000 to 400 cm</w:t>
      </w:r>
      <w:r>
        <w:rPr>
          <w:rFonts w:ascii="Times New Roman" w:hAnsi="Times New Roman" w:cs="Times New Roman"/>
          <w:sz w:val="24"/>
          <w:szCs w:val="24"/>
          <w:vertAlign w:val="superscript"/>
        </w:rPr>
        <w:t>−</w:t>
      </w:r>
      <w:r>
        <w:rPr>
          <w:rFonts w:ascii="Times New Roman" w:hAnsi="Times New Roman" w:cs="Times New Roman"/>
          <w:sz w:val="24"/>
          <w:szCs w:val="24"/>
          <w:vertAlign w:val="superscript"/>
        </w:rPr>
        <w:t xml:space="preserve">1 </w:t>
      </w:r>
      <w:r>
        <w:rPr>
          <w:rFonts w:ascii="Times New Roman" w:hAnsi="Times New Roman" w:cs="Times New Roman"/>
          <w:sz w:val="24"/>
          <w:szCs w:val="24"/>
        </w:rPr>
        <w:t>by using the diffuse reflectance system (DRS) method. The procedure consisted of mixing a sample with potassium bromide and placing it into a sample disc [12].</w:t>
      </w:r>
    </w:p>
    <w:p w14:paraId="09CD983D" w14:textId="77777777" w:rsidR="00990066" w:rsidRDefault="005243B0">
      <w:pPr>
        <w:spacing w:line="360" w:lineRule="auto"/>
        <w:jc w:val="both"/>
        <w:rPr>
          <w:rFonts w:ascii="Times New Roman" w:hAnsi="Times New Roman"/>
          <w:b/>
          <w:bCs/>
          <w:sz w:val="24"/>
          <w:szCs w:val="24"/>
          <w:vertAlign w:val="superscript"/>
        </w:rPr>
      </w:pPr>
      <w:r>
        <w:rPr>
          <w:rFonts w:ascii="Times New Roman" w:hAnsi="Times New Roman" w:cs="Times New Roman"/>
          <w:b/>
          <w:bCs/>
          <w:sz w:val="24"/>
          <w:szCs w:val="24"/>
        </w:rPr>
        <w:t xml:space="preserve">2.3 Evaluation of physical properties </w:t>
      </w:r>
      <w:proofErr w:type="gramStart"/>
      <w:r>
        <w:rPr>
          <w:rFonts w:ascii="Times New Roman" w:hAnsi="Times New Roman" w:cs="Times New Roman"/>
          <w:b/>
          <w:bCs/>
          <w:sz w:val="24"/>
          <w:szCs w:val="24"/>
        </w:rPr>
        <w:t>of  powder</w:t>
      </w:r>
      <w:proofErr w:type="gramEnd"/>
      <w:r>
        <w:rPr>
          <w:rFonts w:ascii="Times New Roman" w:hAnsi="Times New Roman" w:cs="Times New Roman"/>
          <w:b/>
          <w:bCs/>
          <w:sz w:val="24"/>
          <w:szCs w:val="24"/>
        </w:rPr>
        <w:t xml:space="preserve"> </w:t>
      </w:r>
      <w:r>
        <w:rPr>
          <w:rFonts w:ascii="Times New Roman" w:hAnsi="Times New Roman" w:cs="Times New Roman"/>
          <w:b/>
          <w:bCs/>
          <w:sz w:val="24"/>
          <w:szCs w:val="24"/>
        </w:rPr>
        <w:t xml:space="preserve">blend containing </w:t>
      </w:r>
      <w:r>
        <w:rPr>
          <w:rFonts w:ascii="Times New Roman" w:hAnsi="Times New Roman"/>
          <w:b/>
          <w:bCs/>
          <w:sz w:val="24"/>
          <w:szCs w:val="24"/>
        </w:rPr>
        <w:t>ULTRAMOD</w:t>
      </w:r>
      <w:r>
        <w:rPr>
          <w:rFonts w:ascii="Times New Roman" w:eastAsia="Segoe UI" w:hAnsi="Times New Roman"/>
          <w:b/>
          <w:bCs/>
          <w:sz w:val="24"/>
          <w:szCs w:val="24"/>
          <w:shd w:val="clear" w:color="auto" w:fill="FFFFFF"/>
          <w:vertAlign w:val="superscript"/>
        </w:rPr>
        <w:t>™</w:t>
      </w:r>
    </w:p>
    <w:p w14:paraId="2F5606B9" w14:textId="77777777" w:rsidR="00990066" w:rsidRDefault="005243B0">
      <w:pPr>
        <w:spacing w:line="360" w:lineRule="auto"/>
        <w:jc w:val="both"/>
        <w:textAlignment w:val="baseline"/>
        <w:rPr>
          <w:rFonts w:ascii="Times New Roman" w:hAnsi="Times New Roman" w:cs="Times New Roman"/>
          <w:sz w:val="24"/>
          <w:szCs w:val="24"/>
        </w:rPr>
      </w:pPr>
      <w:r>
        <w:rPr>
          <w:rFonts w:ascii="Times New Roman" w:eastAsia="Segoe UI" w:hAnsi="Times New Roman" w:cs="Times New Roman"/>
          <w:color w:val="000000"/>
          <w:sz w:val="24"/>
          <w:szCs w:val="24"/>
          <w:lang w:bidi="ar"/>
        </w:rPr>
        <w:t xml:space="preserve">The powder blend was evaluated for bulk density (untapped and tapped), flow properties (Hausner’s ratio, Carr’s index), and angle of repose as per USP-NF 2024 General Chapters &lt;616&gt; (Method I) and &lt;1174&gt; (Method 1). For untapped </w:t>
      </w:r>
      <w:r>
        <w:rPr>
          <w:rFonts w:ascii="Times New Roman" w:eastAsia="Segoe UI" w:hAnsi="Times New Roman" w:cs="Times New Roman"/>
          <w:color w:val="000000"/>
          <w:sz w:val="24"/>
          <w:szCs w:val="24"/>
          <w:lang w:bidi="ar"/>
        </w:rPr>
        <w:t>bulk density, a 25 mL graduated cylinder was filled with powder, and the volume was recorded without compaction. Tapped bulk density was determined using a tapped density tester (500 taps) per USP &lt;616&gt;. Hausner’s ratio and Carr’s index were calculated fro</w:t>
      </w:r>
      <w:r>
        <w:rPr>
          <w:rFonts w:ascii="Times New Roman" w:eastAsia="Segoe UI" w:hAnsi="Times New Roman" w:cs="Times New Roman"/>
          <w:color w:val="000000"/>
          <w:sz w:val="24"/>
          <w:szCs w:val="24"/>
          <w:lang w:bidi="ar"/>
        </w:rPr>
        <w:t>m these densities to assess flowability. The angle of repose was measured using a fixed funnel method. All tests were performed in triplicate (n=3) using powder blends from three independent batches to ensure reproducibility </w:t>
      </w:r>
      <w:r>
        <w:rPr>
          <w:rFonts w:ascii="Times New Roman" w:hAnsi="Times New Roman" w:cs="Times New Roman"/>
          <w:sz w:val="24"/>
          <w:szCs w:val="24"/>
        </w:rPr>
        <w:t xml:space="preserve">[13]. </w:t>
      </w:r>
    </w:p>
    <w:p w14:paraId="124CA148" w14:textId="77777777" w:rsidR="00990066" w:rsidRDefault="005243B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2.4 Evaluation of Physical Properties of Metformin HCl extended release tablet</w:t>
      </w:r>
    </w:p>
    <w:p w14:paraId="20D3F1DE" w14:textId="77777777" w:rsidR="00990066" w:rsidRDefault="005243B0">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2.4.1 </w:t>
      </w:r>
      <w:r>
        <w:rPr>
          <w:rFonts w:ascii="Times New Roman" w:hAnsi="Times New Roman" w:cs="Times New Roman"/>
          <w:sz w:val="24"/>
          <w:szCs w:val="24"/>
        </w:rPr>
        <w:t>Weight Variation</w:t>
      </w:r>
    </w:p>
    <w:p w14:paraId="7DF299A7" w14:textId="77777777" w:rsidR="00990066" w:rsidRDefault="005243B0">
      <w:pPr>
        <w:spacing w:line="360" w:lineRule="auto"/>
        <w:jc w:val="both"/>
        <w:textAlignment w:val="baseline"/>
        <w:rPr>
          <w:rFonts w:ascii="Times New Roman" w:hAnsi="Times New Roman" w:cs="Times New Roman"/>
          <w:sz w:val="24"/>
          <w:szCs w:val="24"/>
        </w:rPr>
      </w:pPr>
      <w:r>
        <w:rPr>
          <w:rFonts w:ascii="Times New Roman" w:eastAsia="Segoe UI" w:hAnsi="Times New Roman" w:cs="Times New Roman"/>
          <w:color w:val="000000"/>
          <w:sz w:val="24"/>
          <w:szCs w:val="24"/>
          <w:lang w:bidi="ar"/>
        </w:rPr>
        <w:t>Tablet weight variation was evaluated as per USP general chapter &lt;905&gt; (2024). Twenty tablets were randomly selected and individually weighed using an ana</w:t>
      </w:r>
      <w:r>
        <w:rPr>
          <w:rFonts w:ascii="Times New Roman" w:eastAsia="Segoe UI" w:hAnsi="Times New Roman" w:cs="Times New Roman"/>
          <w:color w:val="000000"/>
          <w:sz w:val="24"/>
          <w:szCs w:val="24"/>
          <w:lang w:bidi="ar"/>
        </w:rPr>
        <w:t xml:space="preserve">lytical balance. The average weight was calculated, and the percentage deviation of each tablet from the average weight was determined. Acceptance criteria for tablets weighing more than 324 mg, deviations up to ±5% was permitted </w:t>
      </w:r>
      <w:r>
        <w:rPr>
          <w:rFonts w:ascii="Times New Roman" w:hAnsi="Times New Roman" w:cs="Times New Roman"/>
          <w:sz w:val="24"/>
          <w:szCs w:val="24"/>
        </w:rPr>
        <w:t xml:space="preserve">[14].  </w:t>
      </w:r>
    </w:p>
    <w:p w14:paraId="5EFD8ADC" w14:textId="77777777" w:rsidR="00990066" w:rsidRDefault="005243B0">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2.4.2 </w:t>
      </w:r>
      <w:r>
        <w:rPr>
          <w:rFonts w:ascii="Times New Roman" w:hAnsi="Times New Roman" w:cs="Times New Roman"/>
          <w:sz w:val="24"/>
          <w:szCs w:val="24"/>
        </w:rPr>
        <w:t>Tablet hardn</w:t>
      </w:r>
      <w:r>
        <w:rPr>
          <w:rFonts w:ascii="Times New Roman" w:hAnsi="Times New Roman" w:cs="Times New Roman"/>
          <w:sz w:val="24"/>
          <w:szCs w:val="24"/>
        </w:rPr>
        <w:t>ess</w:t>
      </w:r>
    </w:p>
    <w:p w14:paraId="3FC5090A" w14:textId="77777777" w:rsidR="00990066" w:rsidRDefault="005243B0">
      <w:pPr>
        <w:spacing w:line="360" w:lineRule="auto"/>
        <w:jc w:val="both"/>
        <w:rPr>
          <w:rFonts w:ascii="Times New Roman" w:hAnsi="Times New Roman"/>
          <w:sz w:val="24"/>
          <w:szCs w:val="24"/>
        </w:rPr>
      </w:pPr>
      <w:r>
        <w:rPr>
          <w:rFonts w:ascii="Times New Roman" w:hAnsi="Times New Roman"/>
          <w:sz w:val="24"/>
          <w:szCs w:val="24"/>
        </w:rPr>
        <w:t xml:space="preserve">Tablet hardness was determined using a calibrated hardness tester (Make: </w:t>
      </w:r>
      <w:proofErr w:type="spellStart"/>
      <w:r>
        <w:rPr>
          <w:rFonts w:ascii="Times New Roman" w:hAnsi="Times New Roman"/>
          <w:sz w:val="24"/>
          <w:szCs w:val="24"/>
        </w:rPr>
        <w:t>Labindia</w:t>
      </w:r>
      <w:proofErr w:type="spellEnd"/>
      <w:r>
        <w:rPr>
          <w:rFonts w:ascii="Times New Roman" w:hAnsi="Times New Roman"/>
          <w:sz w:val="24"/>
          <w:szCs w:val="24"/>
        </w:rPr>
        <w:t>, India, Model: TH1050M) as per the USP general chapter &lt;1217&gt;. Ten tablets were randomly selected and individually placed in the tester, applying force diametrically unti</w:t>
      </w:r>
      <w:r>
        <w:rPr>
          <w:rFonts w:ascii="Times New Roman" w:hAnsi="Times New Roman"/>
          <w:sz w:val="24"/>
          <w:szCs w:val="24"/>
        </w:rPr>
        <w:t xml:space="preserve">l fracture was propagated. The mean hardness [in </w:t>
      </w:r>
      <w:proofErr w:type="spellStart"/>
      <w:r>
        <w:rPr>
          <w:rFonts w:ascii="Times New Roman" w:hAnsi="Times New Roman"/>
          <w:sz w:val="24"/>
          <w:szCs w:val="24"/>
        </w:rPr>
        <w:t>kp</w:t>
      </w:r>
      <w:proofErr w:type="spellEnd"/>
      <w:r>
        <w:rPr>
          <w:rFonts w:ascii="Times New Roman" w:hAnsi="Times New Roman"/>
          <w:sz w:val="24"/>
          <w:szCs w:val="24"/>
        </w:rPr>
        <w:t>(</w:t>
      </w:r>
      <w:proofErr w:type="spellStart"/>
      <w:r>
        <w:rPr>
          <w:rFonts w:ascii="Times New Roman" w:hAnsi="Times New Roman"/>
          <w:sz w:val="24"/>
          <w:szCs w:val="24"/>
        </w:rPr>
        <w:t>kgf</w:t>
      </w:r>
      <w:proofErr w:type="spellEnd"/>
      <w:r>
        <w:rPr>
          <w:rFonts w:ascii="Times New Roman" w:hAnsi="Times New Roman"/>
          <w:sz w:val="24"/>
          <w:szCs w:val="24"/>
        </w:rPr>
        <w:t xml:space="preserve">)] and standard deviation were calculated </w:t>
      </w:r>
      <w:r>
        <w:rPr>
          <w:rFonts w:ascii="Times New Roman" w:hAnsi="Times New Roman" w:cs="Times New Roman"/>
          <w:sz w:val="24"/>
          <w:szCs w:val="24"/>
        </w:rPr>
        <w:t>[15]</w:t>
      </w:r>
      <w:r>
        <w:rPr>
          <w:rFonts w:ascii="Times New Roman" w:hAnsi="Times New Roman"/>
          <w:sz w:val="24"/>
          <w:szCs w:val="24"/>
        </w:rPr>
        <w:t xml:space="preserve">. </w:t>
      </w:r>
    </w:p>
    <w:p w14:paraId="04F8ACC9" w14:textId="77777777" w:rsidR="00990066" w:rsidRDefault="005243B0">
      <w:pPr>
        <w:spacing w:line="360" w:lineRule="auto"/>
        <w:jc w:val="both"/>
        <w:rPr>
          <w:rFonts w:ascii="Times New Roman" w:hAnsi="Times New Roman" w:cs="Times New Roman"/>
          <w:sz w:val="24"/>
          <w:szCs w:val="24"/>
        </w:rPr>
      </w:pPr>
      <w:r>
        <w:rPr>
          <w:rFonts w:ascii="Times New Roman" w:hAnsi="Times New Roman" w:cs="Times New Roman"/>
          <w:b/>
          <w:bCs/>
          <w:sz w:val="24"/>
          <w:szCs w:val="24"/>
        </w:rPr>
        <w:t>2.4.3</w:t>
      </w:r>
      <w:r>
        <w:rPr>
          <w:rFonts w:ascii="Times New Roman" w:hAnsi="Times New Roman" w:cs="Times New Roman"/>
          <w:sz w:val="24"/>
          <w:szCs w:val="24"/>
        </w:rPr>
        <w:t xml:space="preserve"> Thickness </w:t>
      </w:r>
    </w:p>
    <w:p w14:paraId="530960ED" w14:textId="77777777" w:rsidR="00990066" w:rsidRDefault="005243B0">
      <w:pPr>
        <w:spacing w:line="360" w:lineRule="auto"/>
        <w:jc w:val="both"/>
        <w:rPr>
          <w:rFonts w:ascii="Times New Roman" w:hAnsi="Times New Roman" w:cs="Times New Roman"/>
          <w:b/>
          <w:bCs/>
          <w:sz w:val="24"/>
          <w:szCs w:val="24"/>
        </w:rPr>
      </w:pPr>
      <w:r>
        <w:rPr>
          <w:rFonts w:ascii="Times New Roman" w:hAnsi="Times New Roman"/>
          <w:sz w:val="24"/>
          <w:szCs w:val="24"/>
        </w:rPr>
        <w:t xml:space="preserve">Thickness was measured by using a digital tablet thickness tester machine </w:t>
      </w:r>
      <w:r>
        <w:rPr>
          <w:rFonts w:ascii="Times New Roman" w:hAnsi="Times New Roman" w:cs="Times New Roman"/>
          <w:sz w:val="24"/>
          <w:szCs w:val="24"/>
        </w:rPr>
        <w:t>(</w:t>
      </w:r>
      <w:r>
        <w:rPr>
          <w:rFonts w:ascii="Times New Roman" w:eastAsia="SimSun" w:hAnsi="Times New Roman" w:cs="Times New Roman"/>
          <w:sz w:val="24"/>
          <w:szCs w:val="24"/>
          <w:shd w:val="clear" w:color="auto" w:fill="FFFFFF"/>
        </w:rPr>
        <w:t xml:space="preserve">Make: </w:t>
      </w:r>
      <w:proofErr w:type="spellStart"/>
      <w:r>
        <w:rPr>
          <w:rFonts w:ascii="Times New Roman" w:hAnsi="Times New Roman" w:cs="Times New Roman"/>
          <w:sz w:val="24"/>
          <w:szCs w:val="24"/>
        </w:rPr>
        <w:t>Labindia</w:t>
      </w:r>
      <w:proofErr w:type="spellEnd"/>
      <w:r>
        <w:rPr>
          <w:rFonts w:ascii="Times New Roman" w:hAnsi="Times New Roman" w:cs="Times New Roman"/>
          <w:sz w:val="24"/>
          <w:szCs w:val="24"/>
        </w:rPr>
        <w:t xml:space="preserve"> </w:t>
      </w:r>
      <w:r>
        <w:rPr>
          <w:rFonts w:ascii="Times New Roman" w:eastAsia="SimSun" w:hAnsi="Times New Roman" w:cs="Times New Roman"/>
          <w:color w:val="000000"/>
          <w:sz w:val="24"/>
          <w:szCs w:val="24"/>
          <w:shd w:val="clear" w:color="auto" w:fill="FFFFFF"/>
        </w:rPr>
        <w:t>India,</w:t>
      </w:r>
      <w:r>
        <w:rPr>
          <w:rFonts w:ascii="Times New Roman" w:hAnsi="Times New Roman" w:cs="Times New Roman"/>
          <w:sz w:val="24"/>
          <w:szCs w:val="24"/>
        </w:rPr>
        <w:t xml:space="preserve"> </w:t>
      </w:r>
      <w:r>
        <w:rPr>
          <w:rFonts w:ascii="Times New Roman" w:eastAsia="SimSun" w:hAnsi="Times New Roman" w:cs="Times New Roman"/>
          <w:sz w:val="24"/>
          <w:szCs w:val="24"/>
          <w:shd w:val="clear" w:color="auto" w:fill="FFFFFF"/>
        </w:rPr>
        <w:t xml:space="preserve">Model: </w:t>
      </w:r>
      <w:r>
        <w:rPr>
          <w:rFonts w:ascii="Times New Roman" w:hAnsi="Times New Roman" w:cs="Times New Roman"/>
          <w:sz w:val="24"/>
          <w:szCs w:val="24"/>
        </w:rPr>
        <w:t>TH1050M).</w:t>
      </w:r>
    </w:p>
    <w:p w14:paraId="29D84FFF" w14:textId="77777777" w:rsidR="00990066" w:rsidRDefault="005243B0">
      <w:pPr>
        <w:spacing w:line="360" w:lineRule="auto"/>
        <w:jc w:val="both"/>
        <w:rPr>
          <w:rFonts w:ascii="Times New Roman" w:hAnsi="Times New Roman"/>
          <w:sz w:val="24"/>
          <w:szCs w:val="24"/>
        </w:rPr>
      </w:pPr>
      <w:r>
        <w:rPr>
          <w:rFonts w:ascii="Times New Roman" w:hAnsi="Times New Roman"/>
          <w:b/>
          <w:bCs/>
          <w:sz w:val="24"/>
          <w:szCs w:val="24"/>
        </w:rPr>
        <w:t xml:space="preserve">2.4.4 </w:t>
      </w:r>
      <w:r>
        <w:rPr>
          <w:rFonts w:ascii="Times New Roman" w:hAnsi="Times New Roman"/>
          <w:sz w:val="24"/>
          <w:szCs w:val="24"/>
        </w:rPr>
        <w:t>Friability</w:t>
      </w:r>
    </w:p>
    <w:p w14:paraId="6A81B2B1" w14:textId="77777777" w:rsidR="00990066" w:rsidRDefault="005243B0">
      <w:pPr>
        <w:spacing w:line="360" w:lineRule="auto"/>
        <w:jc w:val="both"/>
        <w:rPr>
          <w:rFonts w:ascii="Times New Roman" w:hAnsi="Times New Roman" w:cs="Times New Roman"/>
          <w:sz w:val="24"/>
          <w:szCs w:val="24"/>
        </w:rPr>
      </w:pPr>
      <w:r>
        <w:rPr>
          <w:rFonts w:ascii="Times New Roman" w:hAnsi="Times New Roman"/>
          <w:sz w:val="24"/>
          <w:szCs w:val="24"/>
        </w:rPr>
        <w:t xml:space="preserve">The </w:t>
      </w:r>
      <w:r>
        <w:rPr>
          <w:rFonts w:ascii="Times New Roman" w:hAnsi="Times New Roman"/>
          <w:sz w:val="24"/>
          <w:szCs w:val="24"/>
        </w:rPr>
        <w:t xml:space="preserve">friability test was conducted using a friability tester (Make: </w:t>
      </w:r>
      <w:proofErr w:type="spellStart"/>
      <w:r>
        <w:rPr>
          <w:rFonts w:ascii="Times New Roman" w:hAnsi="Times New Roman"/>
          <w:sz w:val="24"/>
          <w:szCs w:val="24"/>
        </w:rPr>
        <w:t>Labindia</w:t>
      </w:r>
      <w:proofErr w:type="spellEnd"/>
      <w:r>
        <w:rPr>
          <w:rFonts w:ascii="Times New Roman" w:hAnsi="Times New Roman"/>
          <w:sz w:val="24"/>
          <w:szCs w:val="24"/>
        </w:rPr>
        <w:t xml:space="preserve"> India, Model: FT1020). A total of 10 uncoated tablets, each weighing approximately 1 g were accurately weighed to determine initial weight. These tablets were placed in the </w:t>
      </w:r>
      <w:proofErr w:type="spellStart"/>
      <w:r>
        <w:rPr>
          <w:rFonts w:ascii="Times New Roman" w:hAnsi="Times New Roman"/>
          <w:sz w:val="24"/>
          <w:szCs w:val="24"/>
        </w:rPr>
        <w:t>friabilator</w:t>
      </w:r>
      <w:proofErr w:type="spellEnd"/>
      <w:r>
        <w:rPr>
          <w:rFonts w:ascii="Times New Roman" w:hAnsi="Times New Roman"/>
          <w:sz w:val="24"/>
          <w:szCs w:val="24"/>
        </w:rPr>
        <w:t xml:space="preserve"> drum and subjected to 100 and 200 revolutions at 25</w:t>
      </w:r>
      <w:r>
        <w:rPr>
          <w:rFonts w:ascii="Times New Roman" w:hAnsi="Times New Roman" w:cs="Times New Roman"/>
          <w:sz w:val="24"/>
          <w:szCs w:val="24"/>
        </w:rPr>
        <w:t>±1</w:t>
      </w:r>
      <w:r>
        <w:rPr>
          <w:rFonts w:ascii="Times New Roman" w:hAnsi="Times New Roman"/>
          <w:sz w:val="24"/>
          <w:szCs w:val="24"/>
        </w:rPr>
        <w:t xml:space="preserve"> </w:t>
      </w:r>
      <w:r>
        <w:rPr>
          <w:rFonts w:ascii="Times New Roman" w:hAnsi="Times New Roman" w:cs="Times New Roman"/>
          <w:sz w:val="24"/>
          <w:szCs w:val="24"/>
        </w:rPr>
        <w:t>revolutions per minutes. After completion of the test, the tablets were removed, dedusted and reweighed to obtain final weight.</w:t>
      </w:r>
      <w:r>
        <w:rPr>
          <w:rFonts w:ascii="Times New Roman" w:hAnsi="Times New Roman"/>
          <w:sz w:val="24"/>
          <w:szCs w:val="24"/>
        </w:rPr>
        <w:t xml:space="preserve"> The percentage friability was determined by method mentioned in United St</w:t>
      </w:r>
      <w:r>
        <w:rPr>
          <w:rFonts w:ascii="Times New Roman" w:hAnsi="Times New Roman"/>
          <w:sz w:val="24"/>
          <w:szCs w:val="24"/>
        </w:rPr>
        <w:t xml:space="preserve">ates Pharmacopoeia: general chapter on tablet friability &lt;1216&gt; </w:t>
      </w:r>
      <w:r>
        <w:rPr>
          <w:rFonts w:ascii="Times New Roman" w:hAnsi="Times New Roman" w:cs="Times New Roman"/>
          <w:sz w:val="24"/>
          <w:szCs w:val="24"/>
        </w:rPr>
        <w:t>[16]</w:t>
      </w:r>
      <w:r>
        <w:rPr>
          <w:rFonts w:ascii="Times New Roman" w:hAnsi="Times New Roman"/>
          <w:sz w:val="24"/>
          <w:szCs w:val="24"/>
        </w:rPr>
        <w:t>.</w:t>
      </w:r>
    </w:p>
    <w:p w14:paraId="0CB10DF7" w14:textId="77777777" w:rsidR="00990066" w:rsidRDefault="005243B0">
      <w:pPr>
        <w:spacing w:line="360" w:lineRule="auto"/>
        <w:rPr>
          <w:rFonts w:ascii="Times New Roman" w:hAnsi="Times New Roman" w:cs="Times New Roman"/>
          <w:b/>
          <w:bCs/>
          <w:sz w:val="24"/>
          <w:szCs w:val="24"/>
        </w:rPr>
      </w:pPr>
      <w:r>
        <w:rPr>
          <w:rFonts w:ascii="Times New Roman" w:hAnsi="Times New Roman" w:cs="Times New Roman"/>
          <w:b/>
          <w:bCs/>
          <w:i/>
          <w:iCs/>
          <w:sz w:val="24"/>
          <w:szCs w:val="24"/>
        </w:rPr>
        <w:t xml:space="preserve">2.4.5 </w:t>
      </w:r>
      <w:r>
        <w:rPr>
          <w:rFonts w:ascii="Times New Roman" w:hAnsi="Times New Roman" w:cs="Times New Roman"/>
          <w:i/>
          <w:iCs/>
          <w:sz w:val="24"/>
          <w:szCs w:val="24"/>
        </w:rPr>
        <w:t xml:space="preserve">In-vitro </w:t>
      </w:r>
      <w:r>
        <w:rPr>
          <w:rFonts w:ascii="Times New Roman" w:hAnsi="Times New Roman" w:cs="Times New Roman"/>
          <w:sz w:val="24"/>
          <w:szCs w:val="24"/>
        </w:rPr>
        <w:t>drug release</w:t>
      </w:r>
    </w:p>
    <w:p w14:paraId="7F717227" w14:textId="77777777" w:rsidR="00990066" w:rsidRDefault="005243B0">
      <w:pPr>
        <w:spacing w:line="360" w:lineRule="auto"/>
        <w:jc w:val="both"/>
        <w:rPr>
          <w:rFonts w:ascii="Times New Roman" w:hAnsi="Times New Roman" w:cs="Times New Roman"/>
          <w:sz w:val="24"/>
          <w:szCs w:val="24"/>
        </w:rPr>
      </w:pPr>
      <w:r>
        <w:rPr>
          <w:rFonts w:ascii="Times New Roman" w:eastAsia="SimSun" w:hAnsi="Times New Roman" w:cs="Times New Roman"/>
          <w:color w:val="000000"/>
          <w:sz w:val="24"/>
          <w:szCs w:val="24"/>
          <w:shd w:val="clear" w:color="auto" w:fill="FFFFFF"/>
        </w:rPr>
        <w:t>The dissolution profile of Metformin hydrochloride extended release tablet was performed using dissolution test apparatus (</w:t>
      </w:r>
      <w:r>
        <w:rPr>
          <w:rFonts w:ascii="Times New Roman" w:eastAsia="SimSun" w:hAnsi="Times New Roman" w:cs="Times New Roman"/>
          <w:sz w:val="24"/>
          <w:szCs w:val="24"/>
          <w:shd w:val="clear" w:color="auto" w:fill="FFFFFF"/>
        </w:rPr>
        <w:t xml:space="preserve">Make: </w:t>
      </w:r>
      <w:proofErr w:type="spellStart"/>
      <w:r>
        <w:rPr>
          <w:rFonts w:ascii="Times New Roman" w:eastAsia="SimSun" w:hAnsi="Times New Roman" w:cs="Times New Roman"/>
          <w:color w:val="000000"/>
          <w:sz w:val="24"/>
          <w:szCs w:val="24"/>
          <w:shd w:val="clear" w:color="auto" w:fill="FFFFFF"/>
        </w:rPr>
        <w:t>Labindia</w:t>
      </w:r>
      <w:proofErr w:type="spellEnd"/>
      <w:r>
        <w:rPr>
          <w:rFonts w:ascii="Times New Roman" w:eastAsia="SimSun" w:hAnsi="Times New Roman" w:cs="Times New Roman"/>
          <w:color w:val="000000"/>
          <w:sz w:val="24"/>
          <w:szCs w:val="24"/>
          <w:shd w:val="clear" w:color="auto" w:fill="FFFFFF"/>
        </w:rPr>
        <w:t xml:space="preserve"> India, </w:t>
      </w:r>
      <w:r>
        <w:rPr>
          <w:rFonts w:ascii="Times New Roman" w:eastAsia="SimSun" w:hAnsi="Times New Roman" w:cs="Times New Roman"/>
          <w:sz w:val="24"/>
          <w:szCs w:val="24"/>
          <w:shd w:val="clear" w:color="auto" w:fill="FFFFFF"/>
        </w:rPr>
        <w:t xml:space="preserve">Model: </w:t>
      </w:r>
      <w:r>
        <w:rPr>
          <w:rFonts w:ascii="Times New Roman" w:eastAsia="SimSun" w:hAnsi="Times New Roman" w:cs="Times New Roman"/>
          <w:color w:val="000000"/>
          <w:sz w:val="24"/>
          <w:szCs w:val="24"/>
          <w:shd w:val="clear" w:color="auto" w:fill="FFFFFF"/>
        </w:rPr>
        <w:t xml:space="preserve">DS8000) by using the </w:t>
      </w:r>
      <w:r>
        <w:rPr>
          <w:rFonts w:ascii="Times New Roman" w:eastAsia="SimSun" w:hAnsi="Times New Roman" w:cs="Times New Roman"/>
          <w:sz w:val="24"/>
          <w:szCs w:val="24"/>
          <w:shd w:val="clear" w:color="auto" w:fill="FFFFFF"/>
        </w:rPr>
        <w:t>USP 44</w:t>
      </w:r>
      <w:r>
        <w:rPr>
          <w:rFonts w:ascii="Times New Roman" w:eastAsia="SimSun" w:hAnsi="Times New Roman" w:cs="Times New Roman"/>
          <w:color w:val="000000"/>
          <w:sz w:val="24"/>
          <w:szCs w:val="24"/>
          <w:shd w:val="clear" w:color="auto" w:fill="FFFFFF"/>
        </w:rPr>
        <w:t> compendial method, a</w:t>
      </w:r>
      <w:r>
        <w:rPr>
          <w:rFonts w:ascii="Times New Roman" w:hAnsi="Times New Roman" w:cs="Times New Roman"/>
          <w:sz w:val="24"/>
          <w:szCs w:val="24"/>
        </w:rPr>
        <w:t xml:space="preserve">pparatus II (paddle), speed 100 revolutions per minutes for 10 hours in 1000 mL of phosphate buffer pH 6.8 at 37 ± </w:t>
      </w:r>
      <w:r>
        <w:rPr>
          <w:rFonts w:ascii="Times New Roman" w:hAnsi="Times New Roman" w:cs="Times New Roman"/>
          <w:sz w:val="24"/>
          <w:szCs w:val="24"/>
        </w:rPr>
        <w:lastRenderedPageBreak/>
        <w:t>0.5°C medium temperature. Six tablets were placed</w:t>
      </w:r>
      <w:r>
        <w:rPr>
          <w:rFonts w:ascii="Times New Roman" w:hAnsi="Times New Roman" w:cs="Times New Roman"/>
          <w:b/>
          <w:bCs/>
          <w:sz w:val="24"/>
          <w:szCs w:val="24"/>
        </w:rPr>
        <w:t xml:space="preserve"> </w:t>
      </w:r>
      <w:r>
        <w:rPr>
          <w:rFonts w:ascii="Times New Roman" w:hAnsi="Times New Roman" w:cs="Times New Roman"/>
          <w:sz w:val="24"/>
          <w:szCs w:val="24"/>
        </w:rPr>
        <w:t>in each dissolution vessel. Sample aliquots</w:t>
      </w:r>
      <w:r>
        <w:rPr>
          <w:rFonts w:ascii="Times New Roman" w:hAnsi="Times New Roman" w:cs="Times New Roman"/>
          <w:sz w:val="24"/>
          <w:szCs w:val="24"/>
        </w:rPr>
        <w:t xml:space="preserve"> of 5 mL were withdrawn from each dissolution vessel at 1 hour, 3 hours, and 10 hours. After withdrawal, samples were filtered through </w:t>
      </w:r>
      <w:proofErr w:type="spellStart"/>
      <w:r>
        <w:rPr>
          <w:rFonts w:ascii="Times New Roman" w:hAnsi="Times New Roman" w:cs="Times New Roman"/>
          <w:sz w:val="24"/>
          <w:szCs w:val="24"/>
        </w:rPr>
        <w:t>whatman</w:t>
      </w:r>
      <w:proofErr w:type="spellEnd"/>
      <w:r>
        <w:rPr>
          <w:rFonts w:ascii="Times New Roman" w:hAnsi="Times New Roman" w:cs="Times New Roman"/>
          <w:sz w:val="24"/>
          <w:szCs w:val="24"/>
        </w:rPr>
        <w:t xml:space="preserve"> filter paper (No. 42). 1 mL of filtrate from the beaker was taken and transferred into 10 mL of volumetric flask </w:t>
      </w:r>
      <w:r>
        <w:rPr>
          <w:rFonts w:ascii="Times New Roman" w:hAnsi="Times New Roman" w:cs="Times New Roman"/>
          <w:sz w:val="24"/>
          <w:szCs w:val="24"/>
        </w:rPr>
        <w:t>and diluted up to 10 mL with dissolution medium. The same procedure was repeated for all the remaining 5 tablets. Standard and sample absorbances were recorded using a UV visible spectrophotometer (Make: Shimadzu Japan, Model: UV-1900) at λ = 232 nm wavele</w:t>
      </w:r>
      <w:r>
        <w:rPr>
          <w:rFonts w:ascii="Times New Roman" w:hAnsi="Times New Roman" w:cs="Times New Roman"/>
          <w:sz w:val="24"/>
          <w:szCs w:val="24"/>
        </w:rPr>
        <w:t>ngth. The metformin hydrochloride released from the tablet formulations was calculated using the below-mentioned formula [17].</w:t>
      </w:r>
    </w:p>
    <w:p w14:paraId="3E352F90" w14:textId="77777777" w:rsidR="00990066" w:rsidRDefault="005243B0">
      <w:pPr>
        <w:ind w:left="3480" w:hangingChars="1450" w:hanging="3480"/>
        <w:rPr>
          <w:rFonts w:ascii="Times New Roman" w:eastAsia="SimSun" w:hAnsi="Times New Roman" w:cs="Times New Roman"/>
          <w:color w:val="000000"/>
          <w:sz w:val="24"/>
          <w:szCs w:val="24"/>
        </w:rPr>
      </w:pPr>
      <w:r>
        <w:rPr>
          <w:rFonts w:ascii="Times New Roman" w:eastAsia="SimSun" w:hAnsi="Times New Roman" w:cs="Times New Roman"/>
          <w:color w:val="000000" w:themeColor="text1"/>
          <w:sz w:val="24"/>
          <w:szCs w:val="24"/>
        </w:rPr>
        <w:t>Amount of drug released (mg) =     Concentration of released drug × Dilution factor × Volume of dissolution medium / 1000</w:t>
      </w:r>
    </w:p>
    <w:p w14:paraId="196E88A6" w14:textId="77777777" w:rsidR="00990066" w:rsidRDefault="005243B0">
      <w:pPr>
        <w:spacing w:line="360" w:lineRule="auto"/>
        <w:jc w:val="both"/>
        <w:rPr>
          <w:rFonts w:ascii="Times New Roman" w:hAnsi="Times New Roman" w:cs="Times New Roman"/>
          <w:sz w:val="24"/>
          <w:szCs w:val="24"/>
        </w:rPr>
      </w:pPr>
      <w:r>
        <w:rPr>
          <w:rFonts w:ascii="Times New Roman" w:hAnsi="Times New Roman" w:cs="Times New Roman"/>
          <w:sz w:val="24"/>
          <w:szCs w:val="24"/>
        </w:rPr>
        <w:t>Drug re</w:t>
      </w:r>
      <w:r>
        <w:rPr>
          <w:rFonts w:ascii="Times New Roman" w:hAnsi="Times New Roman" w:cs="Times New Roman"/>
          <w:sz w:val="24"/>
          <w:szCs w:val="24"/>
        </w:rPr>
        <w:t xml:space="preserve">leased (%) </w:t>
      </w:r>
      <w:proofErr w:type="gramStart"/>
      <w:r>
        <w:rPr>
          <w:rFonts w:ascii="Times New Roman" w:hAnsi="Times New Roman" w:cs="Times New Roman"/>
          <w:sz w:val="24"/>
          <w:szCs w:val="24"/>
        </w:rPr>
        <w:t>=  Amount</w:t>
      </w:r>
      <w:proofErr w:type="gramEnd"/>
      <w:r>
        <w:rPr>
          <w:rFonts w:ascii="Times New Roman" w:hAnsi="Times New Roman" w:cs="Times New Roman"/>
          <w:sz w:val="24"/>
          <w:szCs w:val="24"/>
        </w:rPr>
        <w:t xml:space="preserve"> of d</w:t>
      </w:r>
      <w:r>
        <w:rPr>
          <w:rFonts w:ascii="Times New Roman" w:eastAsia="SimSun" w:hAnsi="Times New Roman" w:cs="Times New Roman"/>
          <w:color w:val="000000" w:themeColor="text1"/>
          <w:sz w:val="24"/>
          <w:szCs w:val="24"/>
        </w:rPr>
        <w:t xml:space="preserve">rug </w:t>
      </w:r>
      <w:r>
        <w:rPr>
          <w:rFonts w:ascii="Times New Roman" w:hAnsi="Times New Roman" w:cs="Times New Roman"/>
          <w:sz w:val="24"/>
          <w:szCs w:val="24"/>
        </w:rPr>
        <w:t>released (mg) / label claim (mg) x 100</w:t>
      </w:r>
    </w:p>
    <w:p w14:paraId="407CF9E8" w14:textId="77777777" w:rsidR="00990066" w:rsidRDefault="005243B0">
      <w:pPr>
        <w:spacing w:line="360" w:lineRule="auto"/>
        <w:jc w:val="both"/>
        <w:rPr>
          <w:rFonts w:ascii="Times New Roman" w:eastAsia="Segoe UI" w:hAnsi="Times New Roman" w:cs="Times New Roman"/>
          <w:sz w:val="24"/>
          <w:szCs w:val="24"/>
          <w:shd w:val="clear" w:color="auto" w:fill="FFFFFF"/>
        </w:rPr>
      </w:pPr>
      <w:r>
        <w:rPr>
          <w:rFonts w:ascii="Times New Roman" w:hAnsi="Times New Roman" w:cs="Times New Roman"/>
          <w:b/>
          <w:bCs/>
          <w:sz w:val="24"/>
          <w:szCs w:val="24"/>
        </w:rPr>
        <w:t>2.4.6</w:t>
      </w:r>
      <w:r>
        <w:rPr>
          <w:rFonts w:ascii="Times New Roman" w:hAnsi="Times New Roman" w:cs="Times New Roman"/>
          <w:sz w:val="24"/>
          <w:szCs w:val="24"/>
        </w:rPr>
        <w:t xml:space="preserve"> </w:t>
      </w:r>
      <w:r>
        <w:rPr>
          <w:rFonts w:ascii="Times New Roman" w:eastAsia="Segoe UI" w:hAnsi="Times New Roman" w:cs="Times New Roman"/>
          <w:sz w:val="24"/>
          <w:szCs w:val="24"/>
          <w:shd w:val="clear" w:color="auto" w:fill="FFFFFF"/>
        </w:rPr>
        <w:t>Calibration curve of metformin hydrochloride</w:t>
      </w:r>
    </w:p>
    <w:p w14:paraId="158C1C90" w14:textId="77777777" w:rsidR="00990066" w:rsidRDefault="005243B0">
      <w:pPr>
        <w:spacing w:line="360" w:lineRule="auto"/>
        <w:jc w:val="both"/>
        <w:rPr>
          <w:rFonts w:ascii="Calibri" w:eastAsia="Segoe UI" w:hAnsi="Calibri"/>
          <w:sz w:val="24"/>
          <w:szCs w:val="24"/>
          <w:shd w:val="clear" w:color="auto" w:fill="FFFFFF"/>
        </w:rPr>
      </w:pPr>
      <w:r>
        <w:rPr>
          <w:rFonts w:ascii="Times New Roman" w:eastAsia="Segoe UI" w:hAnsi="Times New Roman" w:cs="Times New Roman"/>
          <w:sz w:val="24"/>
          <w:szCs w:val="24"/>
          <w:shd w:val="clear" w:color="auto" w:fill="FFFFFF"/>
        </w:rPr>
        <w:t xml:space="preserve">Phosphate buffer pH 6.8 filtered through </w:t>
      </w:r>
      <w:proofErr w:type="spellStart"/>
      <w:r>
        <w:rPr>
          <w:rFonts w:ascii="Times New Roman" w:eastAsia="Segoe UI" w:hAnsi="Times New Roman" w:cs="Times New Roman"/>
          <w:sz w:val="24"/>
          <w:szCs w:val="24"/>
          <w:shd w:val="clear" w:color="auto" w:fill="FFFFFF"/>
        </w:rPr>
        <w:t>whatman</w:t>
      </w:r>
      <w:proofErr w:type="spellEnd"/>
      <w:r>
        <w:rPr>
          <w:rFonts w:ascii="Times New Roman" w:eastAsia="Segoe UI" w:hAnsi="Times New Roman" w:cs="Times New Roman"/>
          <w:sz w:val="24"/>
          <w:szCs w:val="24"/>
          <w:shd w:val="clear" w:color="auto" w:fill="FFFFFF"/>
        </w:rPr>
        <w:t xml:space="preserve"> filter paper used as a diluent for preparing the standard solution of the drug. About 10 mg of metformin hydrochloride was accurately weighed and transferred into a 100 mL volumetric flask, the solution was sonicated and the resulting solution was diluted</w:t>
      </w:r>
      <w:r>
        <w:rPr>
          <w:rFonts w:ascii="Times New Roman" w:eastAsia="Segoe UI" w:hAnsi="Times New Roman" w:cs="Times New Roman"/>
          <w:sz w:val="24"/>
          <w:szCs w:val="24"/>
          <w:shd w:val="clear" w:color="auto" w:fill="FFFFFF"/>
        </w:rPr>
        <w:t xml:space="preserve"> with the diluent to obtain a primary stock solution to obtain 100 µg/mL metformin hydrochloride. From this solution, suitable standard solutions of different concentrations </w:t>
      </w:r>
      <w:proofErr w:type="gramStart"/>
      <w:r>
        <w:rPr>
          <w:rFonts w:ascii="Times New Roman" w:eastAsia="Segoe UI" w:hAnsi="Times New Roman" w:cs="Times New Roman"/>
          <w:sz w:val="24"/>
          <w:szCs w:val="24"/>
          <w:shd w:val="clear" w:color="auto" w:fill="FFFFFF"/>
        </w:rPr>
        <w:t>was</w:t>
      </w:r>
      <w:proofErr w:type="gramEnd"/>
      <w:r>
        <w:rPr>
          <w:rFonts w:ascii="Times New Roman" w:eastAsia="Segoe UI" w:hAnsi="Times New Roman" w:cs="Times New Roman"/>
          <w:sz w:val="24"/>
          <w:szCs w:val="24"/>
          <w:shd w:val="clear" w:color="auto" w:fill="FFFFFF"/>
        </w:rPr>
        <w:t xml:space="preserve"> prepared.</w:t>
      </w:r>
    </w:p>
    <w:p w14:paraId="3B308DA4" w14:textId="77777777" w:rsidR="00990066" w:rsidRDefault="005243B0">
      <w:pPr>
        <w:spacing w:line="360" w:lineRule="auto"/>
        <w:jc w:val="both"/>
        <w:rPr>
          <w:rFonts w:ascii="Times New Roman" w:eastAsia="Segoe UI" w:hAnsi="Times New Roman" w:cs="Times New Roman"/>
          <w:sz w:val="24"/>
          <w:szCs w:val="24"/>
          <w:shd w:val="clear" w:color="auto" w:fill="FFFFFF"/>
        </w:rPr>
      </w:pPr>
      <w:r>
        <w:rPr>
          <w:rFonts w:ascii="Times New Roman" w:eastAsia="Segoe UI" w:hAnsi="Times New Roman" w:cs="Times New Roman"/>
          <w:sz w:val="24"/>
          <w:szCs w:val="24"/>
          <w:shd w:val="clear" w:color="auto" w:fill="FFFFFF"/>
        </w:rPr>
        <w:t>Linearity of the absorbance was determined by measuring standard dil</w:t>
      </w:r>
      <w:r>
        <w:rPr>
          <w:rFonts w:ascii="Times New Roman" w:eastAsia="Segoe UI" w:hAnsi="Times New Roman" w:cs="Times New Roman"/>
          <w:sz w:val="24"/>
          <w:szCs w:val="24"/>
          <w:shd w:val="clear" w:color="auto" w:fill="FFFFFF"/>
        </w:rPr>
        <w:t>ution of metformin hydrochloride in the range of 10-40 µg/</w:t>
      </w:r>
      <w:proofErr w:type="spellStart"/>
      <w:r>
        <w:rPr>
          <w:rFonts w:ascii="Times New Roman" w:eastAsia="Segoe UI" w:hAnsi="Times New Roman" w:cs="Times New Roman"/>
          <w:sz w:val="24"/>
          <w:szCs w:val="24"/>
          <w:shd w:val="clear" w:color="auto" w:fill="FFFFFF"/>
        </w:rPr>
        <w:t>mL.</w:t>
      </w:r>
      <w:proofErr w:type="spellEnd"/>
      <w:r>
        <w:rPr>
          <w:rFonts w:ascii="Times New Roman" w:eastAsia="Segoe UI" w:hAnsi="Times New Roman" w:cs="Times New Roman"/>
          <w:sz w:val="24"/>
          <w:szCs w:val="24"/>
          <w:shd w:val="clear" w:color="auto" w:fill="FFFFFF"/>
        </w:rPr>
        <w:t xml:space="preserve"> The absorbance of metformin hydrochloride was monitored at 232 nm and the corresponding absorbances were obtained. From these absorbances, a graph of concentration and absorbance was plotted. Th</w:t>
      </w:r>
      <w:r>
        <w:rPr>
          <w:rFonts w:ascii="Times New Roman" w:eastAsia="Segoe UI" w:hAnsi="Times New Roman" w:cs="Times New Roman"/>
          <w:sz w:val="24"/>
          <w:szCs w:val="24"/>
          <w:shd w:val="clear" w:color="auto" w:fill="FFFFFF"/>
        </w:rPr>
        <w:t xml:space="preserve">e regression equation (Figure 3) obtained was used to estimate the </w:t>
      </w:r>
      <w:proofErr w:type="gramStart"/>
      <w:r>
        <w:rPr>
          <w:rFonts w:ascii="Times New Roman" w:eastAsia="Segoe UI" w:hAnsi="Times New Roman" w:cs="Times New Roman"/>
          <w:sz w:val="24"/>
          <w:szCs w:val="24"/>
          <w:shd w:val="clear" w:color="auto" w:fill="FFFFFF"/>
        </w:rPr>
        <w:t>amount</w:t>
      </w:r>
      <w:proofErr w:type="gramEnd"/>
      <w:r>
        <w:rPr>
          <w:rFonts w:ascii="Times New Roman" w:eastAsia="Segoe UI" w:hAnsi="Times New Roman" w:cs="Times New Roman"/>
          <w:sz w:val="24"/>
          <w:szCs w:val="24"/>
          <w:shd w:val="clear" w:color="auto" w:fill="FFFFFF"/>
        </w:rPr>
        <w:t xml:space="preserve"> of drugs present in tablet dosage formulations.</w:t>
      </w:r>
    </w:p>
    <w:p w14:paraId="50B69170" w14:textId="77777777" w:rsidR="00990066" w:rsidRDefault="005243B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2.5 Stability studies</w:t>
      </w:r>
    </w:p>
    <w:p w14:paraId="06F64CC2" w14:textId="77777777" w:rsidR="00990066" w:rsidRDefault="005243B0">
      <w:pPr>
        <w:spacing w:line="360" w:lineRule="auto"/>
        <w:jc w:val="both"/>
        <w:rPr>
          <w:rFonts w:ascii="Times New Roman" w:hAnsi="Times New Roman" w:cs="Times New Roman"/>
          <w:sz w:val="24"/>
          <w:szCs w:val="24"/>
        </w:rPr>
      </w:pPr>
      <w:r>
        <w:rPr>
          <w:rFonts w:ascii="Times New Roman" w:hAnsi="Times New Roman"/>
          <w:sz w:val="24"/>
          <w:szCs w:val="24"/>
        </w:rPr>
        <w:t>The ULTRAMOD</w:t>
      </w:r>
      <w:r>
        <w:rPr>
          <w:rFonts w:ascii="Times New Roman" w:eastAsia="Segoe UI" w:hAnsi="Times New Roman"/>
          <w:sz w:val="24"/>
          <w:szCs w:val="24"/>
          <w:shd w:val="clear" w:color="auto" w:fill="FFFFFF"/>
          <w:vertAlign w:val="superscript"/>
        </w:rPr>
        <w:t>™</w:t>
      </w:r>
      <w:r>
        <w:rPr>
          <w:rFonts w:ascii="Times New Roman" w:hAnsi="Times New Roman"/>
          <w:sz w:val="24"/>
          <w:szCs w:val="24"/>
        </w:rPr>
        <w:t xml:space="preserve"> was packed in double poly-lined paper bag and subjected to accelerated stability conditions at 40±</w:t>
      </w:r>
      <w:r>
        <w:rPr>
          <w:rFonts w:ascii="Times New Roman" w:hAnsi="Times New Roman"/>
          <w:sz w:val="24"/>
          <w:szCs w:val="24"/>
        </w:rPr>
        <w:t>2°C / 75±5% RH for 6 months as recommended by ICH Q1A (R2) guidelines (ICH, 2003) at 3 months intervals. The sample were examined for any physical changes (</w:t>
      </w:r>
      <w:proofErr w:type="spellStart"/>
      <w:r>
        <w:rPr>
          <w:rFonts w:ascii="Times New Roman" w:hAnsi="Times New Roman"/>
          <w:sz w:val="24"/>
          <w:szCs w:val="24"/>
        </w:rPr>
        <w:t>colour</w:t>
      </w:r>
      <w:proofErr w:type="spellEnd"/>
      <w:r>
        <w:rPr>
          <w:rFonts w:ascii="Times New Roman" w:hAnsi="Times New Roman"/>
          <w:sz w:val="24"/>
          <w:szCs w:val="24"/>
        </w:rPr>
        <w:t>, texture), aggregation and its micromeritics were evaluated.</w:t>
      </w:r>
    </w:p>
    <w:p w14:paraId="31EB6480" w14:textId="77777777" w:rsidR="00990066" w:rsidRDefault="005243B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 Results and discussion</w:t>
      </w:r>
    </w:p>
    <w:p w14:paraId="2E7B5AEB" w14:textId="77777777" w:rsidR="00990066" w:rsidRDefault="005243B0">
      <w:pPr>
        <w:spacing w:line="360" w:lineRule="auto"/>
        <w:jc w:val="both"/>
        <w:rPr>
          <w:rFonts w:ascii="Times New Roman" w:hAnsi="Times New Roman"/>
          <w:sz w:val="24"/>
          <w:szCs w:val="24"/>
        </w:rPr>
      </w:pPr>
      <w:r>
        <w:rPr>
          <w:rFonts w:ascii="Times New Roman" w:hAnsi="Times New Roman"/>
          <w:sz w:val="24"/>
          <w:szCs w:val="24"/>
        </w:rPr>
        <w:t>Formul</w:t>
      </w:r>
      <w:r>
        <w:rPr>
          <w:rFonts w:ascii="Times New Roman" w:hAnsi="Times New Roman"/>
          <w:sz w:val="24"/>
          <w:szCs w:val="24"/>
        </w:rPr>
        <w:t>ations were prepared by varying amounts of ULTRAMOD</w:t>
      </w:r>
      <w:r>
        <w:rPr>
          <w:rFonts w:ascii="Times New Roman" w:eastAsia="DengXian" w:hAnsi="Times New Roman" w:cs="Times New Roman"/>
          <w:sz w:val="24"/>
          <w:szCs w:val="24"/>
          <w:vertAlign w:val="superscript"/>
        </w:rPr>
        <w:t>™</w:t>
      </w:r>
      <w:r>
        <w:rPr>
          <w:rFonts w:ascii="Times New Roman" w:hAnsi="Times New Roman"/>
          <w:sz w:val="24"/>
          <w:szCs w:val="24"/>
        </w:rPr>
        <w:t xml:space="preserve"> polymer premix in the tablet formulation to see the effect of their concentrations on drug release rate and powder micromeritics. These powder blends study were physically evaluated for following paramet</w:t>
      </w:r>
      <w:r>
        <w:rPr>
          <w:rFonts w:ascii="Times New Roman" w:hAnsi="Times New Roman"/>
          <w:sz w:val="24"/>
          <w:szCs w:val="24"/>
        </w:rPr>
        <w:t>ers.</w:t>
      </w:r>
    </w:p>
    <w:p w14:paraId="4D5BA9BC" w14:textId="77777777" w:rsidR="00990066" w:rsidRDefault="005243B0">
      <w:pPr>
        <w:spacing w:line="360" w:lineRule="auto"/>
        <w:jc w:val="both"/>
        <w:rPr>
          <w:rFonts w:ascii="Times New Roman" w:hAnsi="Times New Roman"/>
          <w:sz w:val="24"/>
          <w:szCs w:val="24"/>
        </w:rPr>
      </w:pPr>
      <w:r>
        <w:rPr>
          <w:rFonts w:ascii="Times New Roman" w:hAnsi="Times New Roman" w:cs="Times New Roman"/>
          <w:b/>
          <w:bCs/>
          <w:sz w:val="24"/>
          <w:szCs w:val="24"/>
        </w:rPr>
        <w:t xml:space="preserve">3.1 </w:t>
      </w:r>
      <w:r>
        <w:rPr>
          <w:rFonts w:ascii="Times New Roman" w:hAnsi="Times New Roman" w:cs="Times New Roman"/>
          <w:sz w:val="24"/>
          <w:szCs w:val="24"/>
        </w:rPr>
        <w:t xml:space="preserve">Characterization of powder blends containing </w:t>
      </w:r>
      <w:r>
        <w:rPr>
          <w:rFonts w:ascii="Times New Roman" w:hAnsi="Times New Roman"/>
          <w:sz w:val="24"/>
          <w:szCs w:val="24"/>
        </w:rPr>
        <w:t>ULTRAMOD</w:t>
      </w:r>
      <w:r>
        <w:rPr>
          <w:rFonts w:ascii="Times New Roman" w:eastAsia="DengXian" w:hAnsi="Times New Roman" w:cs="Times New Roman"/>
          <w:sz w:val="24"/>
          <w:szCs w:val="24"/>
          <w:vertAlign w:val="superscript"/>
        </w:rPr>
        <w:t xml:space="preserve">™ </w:t>
      </w:r>
      <w:r>
        <w:rPr>
          <w:rFonts w:ascii="Times New Roman" w:eastAsia="DengXian" w:hAnsi="Times New Roman" w:cs="Times New Roman"/>
          <w:sz w:val="24"/>
          <w:szCs w:val="24"/>
        </w:rPr>
        <w:t>and metformin</w:t>
      </w:r>
      <w:r>
        <w:rPr>
          <w:rFonts w:ascii="Times New Roman" w:hAnsi="Times New Roman"/>
          <w:sz w:val="24"/>
          <w:szCs w:val="24"/>
        </w:rPr>
        <w:t xml:space="preserve"> hydrochloride </w:t>
      </w:r>
    </w:p>
    <w:p w14:paraId="508B6C42" w14:textId="77777777" w:rsidR="00990066" w:rsidRDefault="005243B0">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3.1.1 </w:t>
      </w:r>
      <w:r>
        <w:rPr>
          <w:rFonts w:ascii="Times New Roman" w:hAnsi="Times New Roman" w:cs="Times New Roman"/>
          <w:sz w:val="24"/>
          <w:szCs w:val="24"/>
        </w:rPr>
        <w:t>Compatibility studies</w:t>
      </w:r>
    </w:p>
    <w:p w14:paraId="0FC50D73" w14:textId="77777777" w:rsidR="00990066" w:rsidRDefault="005243B0">
      <w:pPr>
        <w:spacing w:line="360" w:lineRule="auto"/>
        <w:jc w:val="both"/>
        <w:rPr>
          <w:rFonts w:ascii="Times New Roman" w:hAnsi="Times New Roman"/>
          <w:sz w:val="24"/>
          <w:szCs w:val="24"/>
        </w:rPr>
      </w:pPr>
      <w:r>
        <w:rPr>
          <w:rFonts w:ascii="Times New Roman" w:hAnsi="Times New Roman"/>
          <w:sz w:val="24"/>
          <w:szCs w:val="24"/>
        </w:rPr>
        <w:t xml:space="preserve">FTIR spectra of metformin hydrochloride and the </w:t>
      </w:r>
      <w:proofErr w:type="spellStart"/>
      <w:r>
        <w:rPr>
          <w:rFonts w:ascii="Times New Roman" w:hAnsi="Times New Roman"/>
          <w:sz w:val="24"/>
          <w:szCs w:val="24"/>
        </w:rPr>
        <w:t>the</w:t>
      </w:r>
      <w:proofErr w:type="spellEnd"/>
      <w:r>
        <w:rPr>
          <w:rFonts w:ascii="Times New Roman" w:hAnsi="Times New Roman"/>
          <w:sz w:val="24"/>
          <w:szCs w:val="24"/>
        </w:rPr>
        <w:t xml:space="preserve"> powder blend containing ULTRAMOD</w:t>
      </w:r>
      <w:r>
        <w:rPr>
          <w:rFonts w:ascii="Times New Roman" w:eastAsia="DengXian" w:hAnsi="Times New Roman" w:cs="Times New Roman"/>
          <w:sz w:val="24"/>
          <w:szCs w:val="24"/>
          <w:vertAlign w:val="superscript"/>
        </w:rPr>
        <w:t>™</w:t>
      </w:r>
      <w:r>
        <w:rPr>
          <w:rFonts w:ascii="Times New Roman" w:hAnsi="Times New Roman"/>
          <w:sz w:val="24"/>
          <w:szCs w:val="24"/>
        </w:rPr>
        <w:t xml:space="preserve"> were found to be super imposed. The spectra of the formulations showed no additional peaks in the functional group and fingerprint regions. </w:t>
      </w:r>
      <w:r>
        <w:rPr>
          <w:rFonts w:ascii="Times New Roman" w:hAnsi="Times New Roman" w:cs="Times New Roman"/>
          <w:sz w:val="24"/>
          <w:szCs w:val="24"/>
        </w:rPr>
        <w:t xml:space="preserve">This indicated that there </w:t>
      </w:r>
      <w:proofErr w:type="gramStart"/>
      <w:r>
        <w:rPr>
          <w:rFonts w:ascii="Times New Roman" w:hAnsi="Times New Roman" w:cs="Times New Roman"/>
          <w:sz w:val="24"/>
          <w:szCs w:val="24"/>
        </w:rPr>
        <w:t>were</w:t>
      </w:r>
      <w:proofErr w:type="gramEnd"/>
      <w:r>
        <w:rPr>
          <w:rFonts w:ascii="Times New Roman" w:hAnsi="Times New Roman" w:cs="Times New Roman"/>
          <w:b/>
          <w:bCs/>
          <w:sz w:val="24"/>
          <w:szCs w:val="24"/>
        </w:rPr>
        <w:t xml:space="preserve"> </w:t>
      </w:r>
      <w:r>
        <w:rPr>
          <w:rFonts w:ascii="Times New Roman" w:hAnsi="Times New Roman" w:cs="Times New Roman"/>
          <w:sz w:val="24"/>
          <w:szCs w:val="24"/>
        </w:rPr>
        <w:t xml:space="preserve">no alteration in the molecular structure and functional </w:t>
      </w:r>
      <w:r>
        <w:rPr>
          <w:rFonts w:ascii="Times New Roman" w:hAnsi="Times New Roman" w:cs="Times New Roman"/>
          <w:sz w:val="24"/>
          <w:szCs w:val="24"/>
        </w:rPr>
        <w:lastRenderedPageBreak/>
        <w:t xml:space="preserve">groups in the </w:t>
      </w:r>
      <w:r>
        <w:rPr>
          <w:rFonts w:ascii="Times New Roman" w:hAnsi="Times New Roman"/>
          <w:sz w:val="24"/>
          <w:szCs w:val="24"/>
        </w:rPr>
        <w:t>blend</w:t>
      </w:r>
      <w:r>
        <w:rPr>
          <w:rFonts w:ascii="Times New Roman" w:hAnsi="Times New Roman" w:cs="Times New Roman"/>
          <w:sz w:val="24"/>
          <w:szCs w:val="24"/>
        </w:rPr>
        <w:t xml:space="preserve">. </w:t>
      </w:r>
      <w:r>
        <w:rPr>
          <w:rFonts w:ascii="Times New Roman" w:hAnsi="Times New Roman"/>
          <w:sz w:val="24"/>
          <w:szCs w:val="24"/>
        </w:rPr>
        <w:t>Accordi</w:t>
      </w:r>
      <w:r>
        <w:rPr>
          <w:rFonts w:ascii="Times New Roman" w:hAnsi="Times New Roman"/>
          <w:sz w:val="24"/>
          <w:szCs w:val="24"/>
        </w:rPr>
        <w:t xml:space="preserve">ng to this investigation, metformin hydrochloride remained chemically unaltered when presents in polymer matrix tablets. </w:t>
      </w:r>
    </w:p>
    <w:p w14:paraId="15A1B6B8" w14:textId="77777777" w:rsidR="00990066" w:rsidRDefault="005243B0">
      <w:pPr>
        <w:spacing w:line="360" w:lineRule="auto"/>
        <w:jc w:val="center"/>
        <w:rPr>
          <w:rFonts w:ascii="Times New Roman" w:hAnsi="Times New Roman"/>
          <w:sz w:val="24"/>
          <w:szCs w:val="24"/>
        </w:rPr>
      </w:pPr>
      <w:r>
        <w:rPr>
          <w:bdr w:val="single" w:sz="4" w:space="0" w:color="auto"/>
          <w:lang w:eastAsia="en-IN" w:bidi="hi-IN"/>
        </w:rPr>
        <w:t xml:space="preserve">     </w:t>
      </w:r>
      <w:r>
        <w:rPr>
          <w:noProof/>
          <w:bdr w:val="single" w:sz="4" w:space="0" w:color="auto"/>
          <w:lang w:eastAsia="en-IN" w:bidi="hi-IN"/>
        </w:rPr>
        <w:drawing>
          <wp:inline distT="0" distB="0" distL="0" distR="0" wp14:anchorId="435DBAA8" wp14:editId="7DCE95DF">
            <wp:extent cx="5274310" cy="1891665"/>
            <wp:effectExtent l="0" t="0" r="2540" b="133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a:extLst>
                        <a:ext uri="{28A0092B-C50C-407E-A947-70E740481C1C}">
                          <a14:useLocalDpi xmlns:a14="http://schemas.microsoft.com/office/drawing/2010/main" val="0"/>
                        </a:ext>
                      </a:extLst>
                    </a:blip>
                    <a:srcRect t="7650" r="1400" b="3840"/>
                    <a:stretch>
                      <a:fillRect/>
                    </a:stretch>
                  </pic:blipFill>
                  <pic:spPr>
                    <a:xfrm>
                      <a:off x="0" y="0"/>
                      <a:ext cx="5274310" cy="1891665"/>
                    </a:xfrm>
                    <a:prstGeom prst="rect">
                      <a:avLst/>
                    </a:prstGeom>
                    <a:noFill/>
                    <a:ln>
                      <a:noFill/>
                    </a:ln>
                  </pic:spPr>
                </pic:pic>
              </a:graphicData>
            </a:graphic>
          </wp:inline>
        </w:drawing>
      </w:r>
    </w:p>
    <w:p w14:paraId="77EB5E52" w14:textId="77777777" w:rsidR="00990066" w:rsidRDefault="005243B0">
      <w:pPr>
        <w:spacing w:line="360" w:lineRule="auto"/>
        <w:jc w:val="center"/>
        <w:rPr>
          <w:rFonts w:ascii="Times New Roman" w:eastAsia="Cambria" w:hAnsi="Times New Roman" w:cs="Times New Roman"/>
          <w:color w:val="000000"/>
          <w:sz w:val="24"/>
          <w:szCs w:val="24"/>
        </w:rPr>
      </w:pPr>
      <w:r>
        <w:rPr>
          <w:noProof/>
          <w:sz w:val="24"/>
        </w:rPr>
        <mc:AlternateContent>
          <mc:Choice Requires="wps">
            <w:drawing>
              <wp:anchor distT="0" distB="0" distL="114300" distR="114300" simplePos="0" relativeHeight="251659264" behindDoc="0" locked="0" layoutInCell="1" allowOverlap="1" wp14:anchorId="795879DA" wp14:editId="5247AB7C">
                <wp:simplePos x="0" y="0"/>
                <wp:positionH relativeFrom="column">
                  <wp:posOffset>4680585</wp:posOffset>
                </wp:positionH>
                <wp:positionV relativeFrom="paragraph">
                  <wp:posOffset>99695</wp:posOffset>
                </wp:positionV>
                <wp:extent cx="266700" cy="0"/>
                <wp:effectExtent l="0" t="9525" r="0" b="9525"/>
                <wp:wrapNone/>
                <wp:docPr id="3" name="Straight Connector 3"/>
                <wp:cNvGraphicFramePr/>
                <a:graphic xmlns:a="http://schemas.openxmlformats.org/drawingml/2006/main">
                  <a:graphicData uri="http://schemas.microsoft.com/office/word/2010/wordprocessingShape">
                    <wps:wsp>
                      <wps:cNvCnPr/>
                      <wps:spPr>
                        <a:xfrm>
                          <a:off x="6547485" y="9770110"/>
                          <a:ext cx="266700" cy="0"/>
                        </a:xfrm>
                        <a:prstGeom prst="line">
                          <a:avLst/>
                        </a:prstGeom>
                        <a:ln w="19050">
                          <a:solidFill>
                            <a:srgbClr val="FF0000"/>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w14:anchorId="578E8CB0"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68.55pt,7.85pt" to="389.5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" strokecolor="red" strokeweight="1.5pt">
                <v:stroke joinstyle="miter"/>
              </v:line>
            </w:pict>
          </mc:Fallback>
        </mc:AlternateContent>
      </w:r>
      <w:r>
        <w:rPr>
          <w:rFonts w:ascii="Times New Roman" w:eastAsia="Cambria" w:hAnsi="Times New Roman" w:cs="Times New Roman"/>
          <w:b/>
          <w:bCs/>
          <w:color w:val="000000"/>
          <w:sz w:val="24"/>
          <w:szCs w:val="24"/>
        </w:rPr>
        <w:t xml:space="preserve">   </w:t>
      </w:r>
      <w:r>
        <w:rPr>
          <w:rFonts w:ascii="Times New Roman" w:eastAsia="Cambria" w:hAnsi="Times New Roman" w:cs="Times New Roman"/>
          <w:color w:val="000000"/>
          <w:sz w:val="24"/>
          <w:szCs w:val="24"/>
        </w:rPr>
        <w:t xml:space="preserve">  Figure 1 (</w:t>
      </w:r>
      <w:proofErr w:type="gramStart"/>
      <w:r>
        <w:rPr>
          <w:rFonts w:ascii="Times New Roman" w:eastAsia="Cambria" w:hAnsi="Times New Roman" w:cs="Times New Roman"/>
          <w:color w:val="000000"/>
          <w:sz w:val="24"/>
          <w:szCs w:val="24"/>
        </w:rPr>
        <w:t>a)</w:t>
      </w:r>
      <w:r>
        <w:rPr>
          <w:rFonts w:ascii="Times New Roman" w:eastAsia="Cambria" w:hAnsi="Times New Roman" w:cs="Times New Roman"/>
          <w:b/>
          <w:bCs/>
          <w:color w:val="000000"/>
          <w:sz w:val="24"/>
          <w:szCs w:val="24"/>
        </w:rPr>
        <w:t xml:space="preserve">  </w:t>
      </w:r>
      <w:r>
        <w:rPr>
          <w:rFonts w:ascii="Times New Roman" w:eastAsia="Cambria" w:hAnsi="Times New Roman" w:cs="Times New Roman"/>
          <w:color w:val="000000"/>
          <w:sz w:val="24"/>
          <w:szCs w:val="24"/>
        </w:rPr>
        <w:t>FTIR</w:t>
      </w:r>
      <w:proofErr w:type="gramEnd"/>
      <w:r>
        <w:rPr>
          <w:rFonts w:ascii="Times New Roman" w:eastAsia="Cambria" w:hAnsi="Times New Roman" w:cs="Times New Roman"/>
          <w:color w:val="000000"/>
          <w:sz w:val="24"/>
          <w:szCs w:val="24"/>
        </w:rPr>
        <w:t xml:space="preserve"> spectrum comparison of </w:t>
      </w:r>
      <w:r>
        <w:rPr>
          <w:rFonts w:ascii="Times New Roman" w:hAnsi="Times New Roman"/>
          <w:sz w:val="24"/>
          <w:szCs w:val="24"/>
        </w:rPr>
        <w:t>ULTRAMOD</w:t>
      </w:r>
      <w:r>
        <w:rPr>
          <w:rFonts w:ascii="Times New Roman" w:eastAsia="DengXian" w:hAnsi="Times New Roman" w:cs="Times New Roman"/>
          <w:sz w:val="24"/>
          <w:szCs w:val="24"/>
          <w:vertAlign w:val="superscript"/>
        </w:rPr>
        <w:t>™</w:t>
      </w:r>
      <w:r>
        <w:rPr>
          <w:rFonts w:ascii="Times New Roman" w:hAnsi="Times New Roman"/>
          <w:sz w:val="24"/>
          <w:szCs w:val="24"/>
        </w:rPr>
        <w:t xml:space="preserve"> </w:t>
      </w:r>
      <w:r>
        <w:rPr>
          <w:rFonts w:ascii="Times New Roman" w:hAnsi="Times New Roman" w:cs="Times New Roman"/>
          <w:sz w:val="24"/>
          <w:szCs w:val="24"/>
        </w:rPr>
        <w:t xml:space="preserve">(       ) </w:t>
      </w:r>
      <w:r>
        <w:rPr>
          <w:rFonts w:ascii="Times New Roman" w:eastAsia="Cambria" w:hAnsi="Times New Roman" w:cs="Times New Roman"/>
          <w:color w:val="000000"/>
          <w:sz w:val="24"/>
          <w:szCs w:val="24"/>
        </w:rPr>
        <w:t xml:space="preserve">and mixture of </w:t>
      </w:r>
    </w:p>
    <w:p w14:paraId="1B8E79CF" w14:textId="77777777" w:rsidR="00990066" w:rsidRDefault="005243B0">
      <w:pPr>
        <w:spacing w:line="360" w:lineRule="auto"/>
        <w:ind w:firstLineChars="1150" w:firstLine="2760"/>
        <w:jc w:val="both"/>
        <w:rPr>
          <w:rFonts w:ascii="Times New Roman" w:hAnsi="Times New Roman" w:cs="Times New Roman"/>
          <w:sz w:val="24"/>
          <w:szCs w:val="24"/>
        </w:rPr>
      </w:pPr>
      <w:r>
        <w:rPr>
          <w:noProof/>
          <w:sz w:val="24"/>
        </w:rPr>
        <mc:AlternateContent>
          <mc:Choice Requires="wps">
            <w:drawing>
              <wp:anchor distT="0" distB="0" distL="114300" distR="114300" simplePos="0" relativeHeight="251660288" behindDoc="0" locked="0" layoutInCell="1" allowOverlap="1" wp14:anchorId="228AA7AA" wp14:editId="3C4EE2A6">
                <wp:simplePos x="0" y="0"/>
                <wp:positionH relativeFrom="column">
                  <wp:posOffset>4604385</wp:posOffset>
                </wp:positionH>
                <wp:positionV relativeFrom="paragraph">
                  <wp:posOffset>106045</wp:posOffset>
                </wp:positionV>
                <wp:extent cx="266700" cy="0"/>
                <wp:effectExtent l="0" t="4445" r="0" b="5080"/>
                <wp:wrapNone/>
                <wp:docPr id="5" name="Straight Connector 5"/>
                <wp:cNvGraphicFramePr/>
                <a:graphic xmlns:a="http://schemas.openxmlformats.org/drawingml/2006/main">
                  <a:graphicData uri="http://schemas.microsoft.com/office/word/2010/wordprocessingShape">
                    <wps:wsp>
                      <wps:cNvCnPr/>
                      <wps:spPr>
                        <a:xfrm>
                          <a:off x="0" y="0"/>
                          <a:ext cx="266700" cy="0"/>
                        </a:xfrm>
                        <a:prstGeom prst="line">
                          <a:avLst/>
                        </a:prstGeom>
                        <a:ln w="3175">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w14:anchorId="39D0AE23" id="Straight Connector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62.55pt,8.35pt" to="383.5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" strokecolor="black [3213]" strokeweight=".25pt">
                <v:stroke joinstyle="miter"/>
              </v:line>
            </w:pict>
          </mc:Fallback>
        </mc:AlternateContent>
      </w:r>
      <w:r>
        <w:rPr>
          <w:rFonts w:ascii="Times New Roman" w:hAnsi="Times New Roman"/>
          <w:sz w:val="24"/>
          <w:szCs w:val="24"/>
        </w:rPr>
        <w:t>ULTRAMOD</w:t>
      </w:r>
      <w:r>
        <w:rPr>
          <w:rFonts w:ascii="Times New Roman" w:eastAsia="DengXian" w:hAnsi="Times New Roman" w:cs="Times New Roman"/>
          <w:sz w:val="24"/>
          <w:szCs w:val="24"/>
          <w:vertAlign w:val="superscript"/>
        </w:rPr>
        <w:t>™</w:t>
      </w:r>
      <w:r>
        <w:rPr>
          <w:rFonts w:ascii="Times New Roman" w:hAnsi="Times New Roman" w:cs="Times New Roman"/>
          <w:sz w:val="24"/>
          <w:szCs w:val="24"/>
        </w:rPr>
        <w:t xml:space="preserve"> and metformin hydrochloride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43E3C427" w14:textId="77777777" w:rsidR="00990066" w:rsidRDefault="005243B0">
      <w:pPr>
        <w:jc w:val="center"/>
        <w:rPr>
          <w:rFonts w:ascii="Times New Roman" w:hAnsi="Times New Roman" w:cs="Times New Roman"/>
          <w:sz w:val="24"/>
          <w:szCs w:val="24"/>
        </w:rPr>
      </w:pPr>
      <w:r>
        <w:rPr>
          <w:noProof/>
          <w:lang w:eastAsia="en-IN"/>
        </w:rPr>
        <w:drawing>
          <wp:inline distT="0" distB="0" distL="0" distR="0" wp14:anchorId="3959D57E" wp14:editId="46601EC9">
            <wp:extent cx="5464810" cy="1964690"/>
            <wp:effectExtent l="9525" t="9525" r="12065" b="260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9">
                      <a:extLst>
                        <a:ext uri="{28A0092B-C50C-407E-A947-70E740481C1C}">
                          <a14:useLocalDpi xmlns:a14="http://schemas.microsoft.com/office/drawing/2010/main" val="0"/>
                        </a:ext>
                      </a:extLst>
                    </a:blip>
                    <a:srcRect t="5758" b="4333"/>
                    <a:stretch>
                      <a:fillRect/>
                    </a:stretch>
                  </pic:blipFill>
                  <pic:spPr>
                    <a:xfrm>
                      <a:off x="0" y="0"/>
                      <a:ext cx="5464810" cy="1964690"/>
                    </a:xfrm>
                    <a:prstGeom prst="rect">
                      <a:avLst/>
                    </a:prstGeom>
                    <a:noFill/>
                    <a:ln>
                      <a:solidFill>
                        <a:schemeClr val="tx1"/>
                      </a:solidFill>
                    </a:ln>
                  </pic:spPr>
                </pic:pic>
              </a:graphicData>
            </a:graphic>
          </wp:inline>
        </w:drawing>
      </w:r>
    </w:p>
    <w:p w14:paraId="13E8F0BA" w14:textId="77777777" w:rsidR="00990066" w:rsidRDefault="005243B0">
      <w:pPr>
        <w:jc w:val="both"/>
        <w:rPr>
          <w:rFonts w:ascii="Times New Roman" w:hAnsi="Times New Roman" w:cs="Times New Roman"/>
          <w:sz w:val="24"/>
          <w:szCs w:val="24"/>
        </w:rPr>
      </w:pPr>
      <w:r>
        <w:rPr>
          <w:lang w:eastAsia="en-IN"/>
        </w:rPr>
        <w:t xml:space="preserve">        </w:t>
      </w:r>
      <w:r>
        <w:rPr>
          <w:rFonts w:ascii="Times New Roman" w:eastAsia="Cambria" w:hAnsi="Times New Roman" w:cs="Times New Roman"/>
          <w:b/>
          <w:bCs/>
          <w:color w:val="000000"/>
          <w:sz w:val="24"/>
          <w:szCs w:val="24"/>
        </w:rPr>
        <w:t xml:space="preserve">                      </w:t>
      </w:r>
      <w:r>
        <w:rPr>
          <w:rFonts w:ascii="Times New Roman" w:eastAsia="Cambria" w:hAnsi="Times New Roman" w:cs="Times New Roman"/>
          <w:color w:val="000000"/>
          <w:sz w:val="24"/>
          <w:szCs w:val="24"/>
        </w:rPr>
        <w:t xml:space="preserve"> Figure 1 (b)</w:t>
      </w:r>
      <w:r>
        <w:rPr>
          <w:rFonts w:ascii="Times New Roman" w:eastAsia="Cambria" w:hAnsi="Times New Roman" w:cs="Times New Roman"/>
          <w:b/>
          <w:bCs/>
          <w:color w:val="000000"/>
          <w:sz w:val="24"/>
          <w:szCs w:val="24"/>
        </w:rPr>
        <w:t xml:space="preserve"> </w:t>
      </w:r>
      <w:r>
        <w:rPr>
          <w:rFonts w:ascii="Times New Roman" w:eastAsia="Cambria" w:hAnsi="Times New Roman" w:cs="Times New Roman"/>
          <w:color w:val="000000"/>
          <w:sz w:val="24"/>
          <w:szCs w:val="24"/>
        </w:rPr>
        <w:t xml:space="preserve">FTIR spectrum of </w:t>
      </w:r>
      <w:r>
        <w:rPr>
          <w:rFonts w:ascii="Times New Roman" w:hAnsi="Times New Roman" w:cs="Times New Roman"/>
          <w:sz w:val="24"/>
          <w:szCs w:val="24"/>
        </w:rPr>
        <w:t>metformin hydrochloride</w:t>
      </w:r>
    </w:p>
    <w:p w14:paraId="6A67B9E7" w14:textId="77777777" w:rsidR="00990066" w:rsidRDefault="00990066">
      <w:pPr>
        <w:jc w:val="both"/>
        <w:rPr>
          <w:rFonts w:ascii="Times New Roman" w:hAnsi="Times New Roman" w:cs="Times New Roman"/>
          <w:sz w:val="24"/>
          <w:szCs w:val="24"/>
        </w:rPr>
      </w:pPr>
    </w:p>
    <w:p w14:paraId="2853C4D0" w14:textId="77777777" w:rsidR="00990066" w:rsidRDefault="005243B0">
      <w:pPr>
        <w:spacing w:line="360" w:lineRule="auto"/>
        <w:jc w:val="center"/>
        <w:rPr>
          <w:rFonts w:ascii="Times New Roman" w:hAnsi="Times New Roman" w:cs="Times New Roman"/>
          <w:sz w:val="24"/>
          <w:szCs w:val="24"/>
        </w:rPr>
      </w:pPr>
      <w:r>
        <w:rPr>
          <w:noProof/>
          <w:lang w:eastAsia="en-IN"/>
        </w:rPr>
        <w:drawing>
          <wp:inline distT="0" distB="0" distL="0" distR="0" wp14:anchorId="7089E0F4" wp14:editId="7487EBF8">
            <wp:extent cx="5496560" cy="1906905"/>
            <wp:effectExtent l="12700" t="12700" r="15240" b="2349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0">
                      <a:extLst>
                        <a:ext uri="{28A0092B-C50C-407E-A947-70E740481C1C}">
                          <a14:useLocalDpi xmlns:a14="http://schemas.microsoft.com/office/drawing/2010/main" val="0"/>
                        </a:ext>
                      </a:extLst>
                    </a:blip>
                    <a:srcRect l="1113" t="4830" r="1253" b="1535"/>
                    <a:stretch>
                      <a:fillRect/>
                    </a:stretch>
                  </pic:blipFill>
                  <pic:spPr>
                    <a:xfrm>
                      <a:off x="0" y="0"/>
                      <a:ext cx="5496560" cy="1906905"/>
                    </a:xfrm>
                    <a:prstGeom prst="rect">
                      <a:avLst/>
                    </a:prstGeom>
                    <a:noFill/>
                    <a:ln w="12700">
                      <a:solidFill>
                        <a:schemeClr val="tx1"/>
                      </a:solidFill>
                    </a:ln>
                  </pic:spPr>
                </pic:pic>
              </a:graphicData>
            </a:graphic>
          </wp:inline>
        </w:drawing>
      </w:r>
    </w:p>
    <w:p w14:paraId="30B216A3" w14:textId="77777777" w:rsidR="00990066" w:rsidRDefault="005243B0">
      <w:pPr>
        <w:spacing w:line="360" w:lineRule="auto"/>
        <w:jc w:val="center"/>
        <w:rPr>
          <w:rFonts w:ascii="Times New Roman" w:eastAsia="Cambria" w:hAnsi="Times New Roman" w:cs="Times New Roman"/>
          <w:color w:val="000000"/>
          <w:sz w:val="24"/>
          <w:szCs w:val="24"/>
        </w:rPr>
      </w:pPr>
      <w:r>
        <w:rPr>
          <w:noProof/>
          <w:sz w:val="24"/>
        </w:rPr>
        <mc:AlternateContent>
          <mc:Choice Requires="wps">
            <w:drawing>
              <wp:anchor distT="0" distB="0" distL="114300" distR="114300" simplePos="0" relativeHeight="251661312" behindDoc="0" locked="0" layoutInCell="1" allowOverlap="1" wp14:anchorId="1D7488B3" wp14:editId="1AACFB65">
                <wp:simplePos x="0" y="0"/>
                <wp:positionH relativeFrom="column">
                  <wp:posOffset>4627880</wp:posOffset>
                </wp:positionH>
                <wp:positionV relativeFrom="paragraph">
                  <wp:posOffset>102235</wp:posOffset>
                </wp:positionV>
                <wp:extent cx="219075" cy="0"/>
                <wp:effectExtent l="0" t="15875" r="9525" b="22225"/>
                <wp:wrapNone/>
                <wp:docPr id="15" name="Straight Connector 15"/>
                <wp:cNvGraphicFramePr/>
                <a:graphic xmlns:a="http://schemas.openxmlformats.org/drawingml/2006/main">
                  <a:graphicData uri="http://schemas.microsoft.com/office/word/2010/wordprocessingShape">
                    <wps:wsp>
                      <wps:cNvCnPr/>
                      <wps:spPr>
                        <a:xfrm>
                          <a:off x="5161280" y="2496185"/>
                          <a:ext cx="219075" cy="0"/>
                        </a:xfrm>
                        <a:prstGeom prst="line">
                          <a:avLst/>
                        </a:prstGeom>
                        <a:ln w="31750">
                          <a:solidFill>
                            <a:srgbClr val="FF0000"/>
                          </a:solidFill>
                        </a:ln>
                      </wps:spPr>
                      <wps:style>
                        <a:lnRef idx="0">
                          <a:srgbClr val="FFFFFF"/>
                        </a:lnRef>
                        <a:fillRef idx="0">
                          <a:srgbClr val="FFFFFF"/>
                        </a:fillRef>
                        <a:effectRef idx="0">
                          <a:srgbClr val="FFFFFF"/>
                        </a:effectRef>
                        <a:fontRef idx="minor">
                          <a:schemeClr val="tx1"/>
                        </a:fontRef>
                      </wps:style>
                      <wps:bodyPr/>
                    </wps:wsp>
                  </a:graphicData>
                </a:graphic>
              </wp:anchor>
            </w:drawing>
          </mc:Choice>
          <mc:Fallback>
            <w:pict>
              <v:line w14:anchorId="0FDF1AB3" id="Straight Connector 1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64.4pt,8.05pt" to="381.6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" strokecolor="red" strokeweight="2.5pt"/>
            </w:pict>
          </mc:Fallback>
        </mc:AlternateContent>
      </w:r>
      <w:r>
        <w:rPr>
          <w:rFonts w:ascii="Times New Roman" w:eastAsia="Cambria" w:hAnsi="Times New Roman" w:cs="Times New Roman"/>
          <w:b/>
          <w:bCs/>
          <w:color w:val="000000"/>
          <w:sz w:val="24"/>
          <w:szCs w:val="24"/>
        </w:rPr>
        <w:t xml:space="preserve"> </w:t>
      </w:r>
      <w:r>
        <w:rPr>
          <w:rFonts w:ascii="Times New Roman" w:eastAsia="Cambria" w:hAnsi="Times New Roman" w:cs="Times New Roman"/>
          <w:color w:val="000000"/>
          <w:sz w:val="24"/>
          <w:szCs w:val="24"/>
        </w:rPr>
        <w:t xml:space="preserve"> Figure 1 (c)</w:t>
      </w:r>
      <w:r>
        <w:rPr>
          <w:rFonts w:ascii="Times New Roman" w:eastAsia="Cambria" w:hAnsi="Times New Roman" w:cs="Times New Roman"/>
          <w:b/>
          <w:bCs/>
          <w:color w:val="000000"/>
          <w:sz w:val="24"/>
          <w:szCs w:val="24"/>
        </w:rPr>
        <w:t xml:space="preserve"> </w:t>
      </w:r>
      <w:r>
        <w:rPr>
          <w:rFonts w:ascii="Times New Roman" w:eastAsia="Cambria" w:hAnsi="Times New Roman" w:cs="Times New Roman"/>
          <w:color w:val="000000"/>
          <w:sz w:val="24"/>
          <w:szCs w:val="24"/>
        </w:rPr>
        <w:t xml:space="preserve">FTIR spectrum comparison of </w:t>
      </w:r>
      <w:r>
        <w:rPr>
          <w:rFonts w:ascii="Times New Roman" w:hAnsi="Times New Roman"/>
          <w:sz w:val="24"/>
          <w:szCs w:val="24"/>
        </w:rPr>
        <w:t>ULTRAMOD</w:t>
      </w:r>
      <w:r>
        <w:rPr>
          <w:rFonts w:ascii="Times New Roman" w:eastAsia="DengXian" w:hAnsi="Times New Roman" w:cs="Times New Roman"/>
          <w:sz w:val="24"/>
          <w:szCs w:val="24"/>
          <w:vertAlign w:val="superscript"/>
        </w:rPr>
        <w:t>™</w:t>
      </w:r>
      <w:r>
        <w:rPr>
          <w:rFonts w:ascii="Times New Roman" w:hAnsi="Times New Roman"/>
          <w:sz w:val="24"/>
          <w:szCs w:val="24"/>
        </w:rPr>
        <w:t xml:space="preserve"> </w:t>
      </w:r>
      <w:proofErr w:type="gramStart"/>
      <w:r>
        <w:rPr>
          <w:rFonts w:ascii="Times New Roman" w:hAnsi="Times New Roman" w:cs="Times New Roman"/>
          <w:sz w:val="24"/>
          <w:szCs w:val="24"/>
        </w:rPr>
        <w:t>(</w:t>
      </w:r>
      <w:r>
        <w:rPr>
          <w:rFonts w:ascii="Times New Roman" w:hAnsi="Times New Roman" w:cs="Times New Roman"/>
          <w:b/>
          <w:bCs/>
          <w:sz w:val="24"/>
          <w:szCs w:val="24"/>
        </w:rPr>
        <w:t xml:space="preserve">  </w:t>
      </w:r>
      <w:proofErr w:type="gramEnd"/>
      <w:r>
        <w:rPr>
          <w:rFonts w:ascii="Times New Roman" w:hAnsi="Times New Roman" w:cs="Times New Roman"/>
          <w:b/>
          <w:bCs/>
          <w:sz w:val="24"/>
          <w:szCs w:val="24"/>
        </w:rPr>
        <w:t xml:space="preserve">    </w:t>
      </w:r>
      <w:r>
        <w:rPr>
          <w:rFonts w:ascii="Times New Roman" w:hAnsi="Times New Roman" w:cs="Times New Roman"/>
          <w:sz w:val="24"/>
          <w:szCs w:val="24"/>
        </w:rPr>
        <w:t xml:space="preserve"> ) </w:t>
      </w:r>
      <w:r>
        <w:rPr>
          <w:rFonts w:ascii="Times New Roman" w:eastAsia="Cambria" w:hAnsi="Times New Roman" w:cs="Times New Roman"/>
          <w:color w:val="000000"/>
          <w:sz w:val="24"/>
          <w:szCs w:val="24"/>
        </w:rPr>
        <w:t xml:space="preserve">and mixture of </w:t>
      </w:r>
    </w:p>
    <w:p w14:paraId="3B1B3219" w14:textId="77777777" w:rsidR="00990066" w:rsidRDefault="005243B0">
      <w:pPr>
        <w:spacing w:line="360" w:lineRule="auto"/>
        <w:ind w:firstLineChars="1100" w:firstLine="2640"/>
        <w:jc w:val="both"/>
        <w:rPr>
          <w:rFonts w:ascii="Times New Roman" w:hAnsi="Times New Roman" w:cs="Times New Roman"/>
          <w:sz w:val="24"/>
          <w:szCs w:val="24"/>
        </w:rPr>
      </w:pPr>
      <w:r>
        <w:rPr>
          <w:noProof/>
          <w:sz w:val="24"/>
        </w:rPr>
        <mc:AlternateContent>
          <mc:Choice Requires="wps">
            <w:drawing>
              <wp:anchor distT="0" distB="0" distL="114300" distR="114300" simplePos="0" relativeHeight="251662336" behindDoc="0" locked="0" layoutInCell="1" allowOverlap="1" wp14:anchorId="7935064A" wp14:editId="023F325B">
                <wp:simplePos x="0" y="0"/>
                <wp:positionH relativeFrom="column">
                  <wp:posOffset>3980180</wp:posOffset>
                </wp:positionH>
                <wp:positionV relativeFrom="paragraph">
                  <wp:posOffset>103505</wp:posOffset>
                </wp:positionV>
                <wp:extent cx="219075" cy="0"/>
                <wp:effectExtent l="0" t="6350" r="0" b="6350"/>
                <wp:wrapNone/>
                <wp:docPr id="16" name="Straight Connector 16"/>
                <wp:cNvGraphicFramePr/>
                <a:graphic xmlns:a="http://schemas.openxmlformats.org/drawingml/2006/main">
                  <a:graphicData uri="http://schemas.microsoft.com/office/word/2010/wordprocessingShape">
                    <wps:wsp>
                      <wps:cNvCnPr/>
                      <wps:spPr>
                        <a:xfrm>
                          <a:off x="4942205" y="2748915"/>
                          <a:ext cx="219075" cy="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w14:anchorId="4CDD0313" id="Straight Connector 16"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313.4pt,8.15pt" to="330.6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" strokecolor="black [3213]" strokeweight="1pt">
                <v:stroke joinstyle="miter"/>
              </v:line>
            </w:pict>
          </mc:Fallback>
        </mc:AlternateContent>
      </w:r>
      <w:r>
        <w:rPr>
          <w:rFonts w:ascii="Times New Roman" w:hAnsi="Times New Roman"/>
          <w:sz w:val="24"/>
          <w:szCs w:val="24"/>
        </w:rPr>
        <w:t>ULTRAMOD</w:t>
      </w:r>
      <w:r>
        <w:rPr>
          <w:rFonts w:ascii="Times New Roman" w:eastAsia="DengXian" w:hAnsi="Times New Roman" w:cs="Times New Roman"/>
          <w:sz w:val="24"/>
          <w:szCs w:val="24"/>
          <w:vertAlign w:val="superscript"/>
        </w:rPr>
        <w:t>™</w:t>
      </w:r>
      <w:r>
        <w:rPr>
          <w:rFonts w:ascii="Times New Roman" w:hAnsi="Times New Roman" w:cs="Times New Roman"/>
          <w:sz w:val="24"/>
          <w:szCs w:val="24"/>
        </w:rPr>
        <w:t xml:space="preserve"> and </w:t>
      </w:r>
      <w:proofErr w:type="spellStart"/>
      <w:r>
        <w:rPr>
          <w:rFonts w:ascii="Times New Roman" w:hAnsi="Times New Roman" w:cs="Times New Roman"/>
          <w:sz w:val="24"/>
          <w:szCs w:val="24"/>
        </w:rPr>
        <w:t>HiCel</w:t>
      </w:r>
      <w:r>
        <w:rPr>
          <w:rFonts w:ascii="Times New Roman" w:hAnsi="Times New Roman" w:cs="Times New Roman"/>
          <w:sz w:val="24"/>
          <w:szCs w:val="24"/>
          <w:vertAlign w:val="superscript"/>
        </w:rPr>
        <w:t>TM</w:t>
      </w:r>
      <w:proofErr w:type="spellEnd"/>
      <w:r>
        <w:rPr>
          <w:rFonts w:ascii="Times New Roman" w:hAnsi="Times New Roman" w:cs="Times New Roman"/>
          <w:sz w:val="24"/>
          <w:szCs w:val="24"/>
        </w:rPr>
        <w:t xml:space="preserve"> LP200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p>
    <w:p w14:paraId="1D5DBC7B" w14:textId="77777777" w:rsidR="00990066" w:rsidRDefault="005243B0">
      <w:pPr>
        <w:spacing w:line="360" w:lineRule="auto"/>
        <w:jc w:val="both"/>
        <w:rPr>
          <w:rFonts w:ascii="Times New Roman" w:hAnsi="Times New Roman" w:cs="Times New Roman"/>
          <w:sz w:val="24"/>
          <w:szCs w:val="24"/>
        </w:rPr>
      </w:pPr>
      <w:r>
        <w:rPr>
          <w:lang w:eastAsia="en-IN"/>
        </w:rPr>
        <w:lastRenderedPageBreak/>
        <w:t xml:space="preserve">                     </w:t>
      </w:r>
      <w:r>
        <w:rPr>
          <w:noProof/>
          <w:lang w:eastAsia="en-IN"/>
        </w:rPr>
        <w:drawing>
          <wp:inline distT="0" distB="0" distL="0" distR="0" wp14:anchorId="4D7B8F12" wp14:editId="182C805B">
            <wp:extent cx="5457825" cy="1775460"/>
            <wp:effectExtent l="9525" t="9525" r="19050" b="2476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11">
                      <a:extLst>
                        <a:ext uri="{28A0092B-C50C-407E-A947-70E740481C1C}">
                          <a14:useLocalDpi xmlns:a14="http://schemas.microsoft.com/office/drawing/2010/main" val="0"/>
                        </a:ext>
                      </a:extLst>
                    </a:blip>
                    <a:srcRect l="1034" t="4674" r="1552" b="2125"/>
                    <a:stretch>
                      <a:fillRect/>
                    </a:stretch>
                  </pic:blipFill>
                  <pic:spPr>
                    <a:xfrm>
                      <a:off x="0" y="0"/>
                      <a:ext cx="5457825" cy="1775460"/>
                    </a:xfrm>
                    <a:prstGeom prst="rect">
                      <a:avLst/>
                    </a:prstGeom>
                    <a:noFill/>
                    <a:ln>
                      <a:solidFill>
                        <a:schemeClr val="tx1"/>
                      </a:solidFill>
                    </a:ln>
                  </pic:spPr>
                </pic:pic>
              </a:graphicData>
            </a:graphic>
          </wp:inline>
        </w:drawing>
      </w:r>
    </w:p>
    <w:p w14:paraId="30147488" w14:textId="77777777" w:rsidR="00990066" w:rsidRDefault="005243B0">
      <w:pPr>
        <w:spacing w:line="360" w:lineRule="auto"/>
        <w:jc w:val="center"/>
        <w:rPr>
          <w:rFonts w:ascii="Times New Roman" w:eastAsia="Cambria" w:hAnsi="Times New Roman" w:cs="Times New Roman"/>
          <w:color w:val="000000"/>
          <w:sz w:val="24"/>
          <w:szCs w:val="24"/>
        </w:rPr>
      </w:pPr>
      <w:r>
        <w:rPr>
          <w:noProof/>
          <w:sz w:val="24"/>
        </w:rPr>
        <mc:AlternateContent>
          <mc:Choice Requires="wps">
            <w:drawing>
              <wp:anchor distT="0" distB="0" distL="114300" distR="114300" simplePos="0" relativeHeight="251663360" behindDoc="0" locked="0" layoutInCell="1" allowOverlap="1" wp14:anchorId="7E44F33A" wp14:editId="363405E9">
                <wp:simplePos x="0" y="0"/>
                <wp:positionH relativeFrom="column">
                  <wp:posOffset>4627880</wp:posOffset>
                </wp:positionH>
                <wp:positionV relativeFrom="paragraph">
                  <wp:posOffset>102235</wp:posOffset>
                </wp:positionV>
                <wp:extent cx="219075" cy="0"/>
                <wp:effectExtent l="0" t="15875" r="9525" b="22225"/>
                <wp:wrapNone/>
                <wp:docPr id="19" name="Straight Connector 19"/>
                <wp:cNvGraphicFramePr/>
                <a:graphic xmlns:a="http://schemas.openxmlformats.org/drawingml/2006/main">
                  <a:graphicData uri="http://schemas.microsoft.com/office/word/2010/wordprocessingShape">
                    <wps:wsp>
                      <wps:cNvCnPr/>
                      <wps:spPr>
                        <a:xfrm>
                          <a:off x="5161280" y="2496185"/>
                          <a:ext cx="219075" cy="0"/>
                        </a:xfrm>
                        <a:prstGeom prst="line">
                          <a:avLst/>
                        </a:prstGeom>
                        <a:ln w="31750">
                          <a:solidFill>
                            <a:srgbClr val="FF0000"/>
                          </a:solidFill>
                        </a:ln>
                      </wps:spPr>
                      <wps:style>
                        <a:lnRef idx="0">
                          <a:srgbClr val="FFFFFF"/>
                        </a:lnRef>
                        <a:fillRef idx="0">
                          <a:srgbClr val="FFFFFF"/>
                        </a:fillRef>
                        <a:effectRef idx="0">
                          <a:srgbClr val="FFFFFF"/>
                        </a:effectRef>
                        <a:fontRef idx="minor">
                          <a:schemeClr val="tx1"/>
                        </a:fontRef>
                      </wps:style>
                      <wps:bodyPr/>
                    </wps:wsp>
                  </a:graphicData>
                </a:graphic>
              </wp:anchor>
            </w:drawing>
          </mc:Choice>
          <mc:Fallback>
            <w:pict>
              <v:line w14:anchorId="78DEF0AD" id="Straight Connector 19"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64.4pt,8.05pt" to="381.6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" strokecolor="red" strokeweight="2.5pt"/>
            </w:pict>
          </mc:Fallback>
        </mc:AlternateContent>
      </w:r>
      <w:r>
        <w:rPr>
          <w:rFonts w:ascii="Times New Roman" w:eastAsia="Cambria" w:hAnsi="Times New Roman" w:cs="Times New Roman"/>
          <w:b/>
          <w:bCs/>
          <w:color w:val="000000"/>
          <w:sz w:val="24"/>
          <w:szCs w:val="24"/>
        </w:rPr>
        <w:t xml:space="preserve"> </w:t>
      </w:r>
      <w:r>
        <w:rPr>
          <w:rFonts w:ascii="Times New Roman" w:eastAsia="Cambria" w:hAnsi="Times New Roman" w:cs="Times New Roman"/>
          <w:color w:val="000000"/>
          <w:sz w:val="24"/>
          <w:szCs w:val="24"/>
        </w:rPr>
        <w:t xml:space="preserve"> Figure 1 (d)</w:t>
      </w:r>
      <w:r>
        <w:rPr>
          <w:rFonts w:ascii="Times New Roman" w:eastAsia="Cambria" w:hAnsi="Times New Roman" w:cs="Times New Roman"/>
          <w:b/>
          <w:bCs/>
          <w:color w:val="000000"/>
          <w:sz w:val="24"/>
          <w:szCs w:val="24"/>
        </w:rPr>
        <w:t xml:space="preserve"> </w:t>
      </w:r>
      <w:r>
        <w:rPr>
          <w:rFonts w:ascii="Times New Roman" w:eastAsia="Cambria" w:hAnsi="Times New Roman" w:cs="Times New Roman"/>
          <w:color w:val="000000"/>
          <w:sz w:val="24"/>
          <w:szCs w:val="24"/>
        </w:rPr>
        <w:t xml:space="preserve">FTIR spectrum comparison of </w:t>
      </w:r>
      <w:r>
        <w:rPr>
          <w:rFonts w:ascii="Times New Roman" w:hAnsi="Times New Roman"/>
          <w:sz w:val="24"/>
          <w:szCs w:val="24"/>
        </w:rPr>
        <w:t>ULTRAMOD</w:t>
      </w:r>
      <w:r>
        <w:rPr>
          <w:rFonts w:ascii="Times New Roman" w:eastAsia="DengXian" w:hAnsi="Times New Roman" w:cs="Times New Roman"/>
          <w:sz w:val="24"/>
          <w:szCs w:val="24"/>
          <w:vertAlign w:val="superscript"/>
        </w:rPr>
        <w:t>™</w:t>
      </w:r>
      <w:r>
        <w:rPr>
          <w:rFonts w:ascii="Times New Roman" w:hAnsi="Times New Roman"/>
          <w:sz w:val="24"/>
          <w:szCs w:val="24"/>
        </w:rPr>
        <w:t xml:space="preserve"> </w:t>
      </w:r>
      <w:proofErr w:type="gramStart"/>
      <w:r>
        <w:rPr>
          <w:rFonts w:ascii="Times New Roman" w:hAnsi="Times New Roman" w:cs="Times New Roman"/>
          <w:sz w:val="24"/>
          <w:szCs w:val="24"/>
        </w:rPr>
        <w:t>(</w:t>
      </w:r>
      <w:r>
        <w:rPr>
          <w:rFonts w:ascii="Times New Roman" w:hAnsi="Times New Roman" w:cs="Times New Roman"/>
          <w:b/>
          <w:bCs/>
          <w:sz w:val="24"/>
          <w:szCs w:val="24"/>
        </w:rPr>
        <w:t xml:space="preserve">  </w:t>
      </w:r>
      <w:proofErr w:type="gramEnd"/>
      <w:r>
        <w:rPr>
          <w:rFonts w:ascii="Times New Roman" w:hAnsi="Times New Roman" w:cs="Times New Roman"/>
          <w:b/>
          <w:bCs/>
          <w:sz w:val="24"/>
          <w:szCs w:val="24"/>
        </w:rPr>
        <w:t xml:space="preserve">    </w:t>
      </w:r>
      <w:r>
        <w:rPr>
          <w:rFonts w:ascii="Times New Roman" w:hAnsi="Times New Roman" w:cs="Times New Roman"/>
          <w:sz w:val="24"/>
          <w:szCs w:val="24"/>
        </w:rPr>
        <w:t xml:space="preserve"> ) </w:t>
      </w:r>
      <w:r>
        <w:rPr>
          <w:rFonts w:ascii="Times New Roman" w:eastAsia="Cambria" w:hAnsi="Times New Roman" w:cs="Times New Roman"/>
          <w:color w:val="000000"/>
          <w:sz w:val="24"/>
          <w:szCs w:val="24"/>
        </w:rPr>
        <w:t xml:space="preserve">and mixture of </w:t>
      </w:r>
    </w:p>
    <w:p w14:paraId="1BC74194" w14:textId="77777777" w:rsidR="00990066" w:rsidRDefault="005243B0">
      <w:pPr>
        <w:spacing w:line="360" w:lineRule="auto"/>
        <w:ind w:firstLineChars="1100" w:firstLine="2640"/>
        <w:jc w:val="both"/>
        <w:rPr>
          <w:rFonts w:ascii="Times New Roman" w:hAnsi="Times New Roman" w:cs="Times New Roman"/>
          <w:sz w:val="24"/>
          <w:szCs w:val="24"/>
        </w:rPr>
      </w:pPr>
      <w:r>
        <w:rPr>
          <w:noProof/>
          <w:sz w:val="24"/>
        </w:rPr>
        <mc:AlternateContent>
          <mc:Choice Requires="wps">
            <w:drawing>
              <wp:anchor distT="0" distB="0" distL="114300" distR="114300" simplePos="0" relativeHeight="251664384" behindDoc="0" locked="0" layoutInCell="1" allowOverlap="1" wp14:anchorId="04D38FA5" wp14:editId="433A51CE">
                <wp:simplePos x="0" y="0"/>
                <wp:positionH relativeFrom="column">
                  <wp:posOffset>4523105</wp:posOffset>
                </wp:positionH>
                <wp:positionV relativeFrom="paragraph">
                  <wp:posOffset>103505</wp:posOffset>
                </wp:positionV>
                <wp:extent cx="219075" cy="0"/>
                <wp:effectExtent l="0" t="6350" r="0" b="6350"/>
                <wp:wrapNone/>
                <wp:docPr id="20" name="Straight Connector 20"/>
                <wp:cNvGraphicFramePr/>
                <a:graphic xmlns:a="http://schemas.openxmlformats.org/drawingml/2006/main">
                  <a:graphicData uri="http://schemas.microsoft.com/office/word/2010/wordprocessingShape">
                    <wps:wsp>
                      <wps:cNvCnPr/>
                      <wps:spPr>
                        <a:xfrm>
                          <a:off x="4942205" y="2748915"/>
                          <a:ext cx="219075" cy="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w14:anchorId="0E024BA2" id="Straight Connector 20"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356.15pt,8.15pt" to="373.4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" strokecolor="black [3213]" strokeweight="1pt">
                <v:stroke joinstyle="miter"/>
              </v:line>
            </w:pict>
          </mc:Fallback>
        </mc:AlternateContent>
      </w:r>
      <w:r>
        <w:rPr>
          <w:rFonts w:ascii="Times New Roman" w:hAnsi="Times New Roman"/>
          <w:sz w:val="24"/>
          <w:szCs w:val="24"/>
        </w:rPr>
        <w:t>ULTRAMOD</w:t>
      </w:r>
      <w:r>
        <w:rPr>
          <w:rFonts w:ascii="Times New Roman" w:eastAsia="DengXian" w:hAnsi="Times New Roman" w:cs="Times New Roman"/>
          <w:sz w:val="24"/>
          <w:szCs w:val="24"/>
          <w:vertAlign w:val="superscript"/>
        </w:rPr>
        <w:t>™</w:t>
      </w:r>
      <w:r>
        <w:rPr>
          <w:rFonts w:ascii="Times New Roman" w:hAnsi="Times New Roman" w:cs="Times New Roman"/>
          <w:sz w:val="24"/>
          <w:szCs w:val="24"/>
        </w:rPr>
        <w:t xml:space="preserve"> and colloidal silicon dioxide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p>
    <w:p w14:paraId="462B78C6" w14:textId="77777777" w:rsidR="00990066" w:rsidRDefault="005243B0">
      <w:pPr>
        <w:spacing w:line="360" w:lineRule="auto"/>
        <w:jc w:val="both"/>
        <w:rPr>
          <w:rFonts w:ascii="Times New Roman" w:hAnsi="Times New Roman" w:cs="Times New Roman"/>
          <w:sz w:val="24"/>
          <w:szCs w:val="24"/>
        </w:rPr>
      </w:pPr>
      <w:r>
        <w:rPr>
          <w:lang w:eastAsia="en-IN"/>
        </w:rPr>
        <w:t xml:space="preserve">                      </w:t>
      </w:r>
      <w:r>
        <w:rPr>
          <w:noProof/>
          <w:lang w:eastAsia="en-IN"/>
        </w:rPr>
        <w:drawing>
          <wp:inline distT="0" distB="0" distL="0" distR="0" wp14:anchorId="2F6133C3" wp14:editId="3F0B9735">
            <wp:extent cx="5492750" cy="1640840"/>
            <wp:effectExtent l="9525" t="9525" r="22225" b="2603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12">
                      <a:extLst>
                        <a:ext uri="{28A0092B-C50C-407E-A947-70E740481C1C}">
                          <a14:useLocalDpi xmlns:a14="http://schemas.microsoft.com/office/drawing/2010/main" val="0"/>
                        </a:ext>
                      </a:extLst>
                    </a:blip>
                    <a:srcRect t="5417"/>
                    <a:stretch>
                      <a:fillRect/>
                    </a:stretch>
                  </pic:blipFill>
                  <pic:spPr>
                    <a:xfrm>
                      <a:off x="0" y="0"/>
                      <a:ext cx="5492750" cy="1640840"/>
                    </a:xfrm>
                    <a:prstGeom prst="rect">
                      <a:avLst/>
                    </a:prstGeom>
                    <a:noFill/>
                    <a:ln>
                      <a:solidFill>
                        <a:schemeClr val="tx1"/>
                      </a:solidFill>
                    </a:ln>
                  </pic:spPr>
                </pic:pic>
              </a:graphicData>
            </a:graphic>
          </wp:inline>
        </w:drawing>
      </w:r>
    </w:p>
    <w:p w14:paraId="0CC50BA4" w14:textId="77777777" w:rsidR="00990066" w:rsidRDefault="005243B0">
      <w:pPr>
        <w:spacing w:line="360" w:lineRule="auto"/>
        <w:jc w:val="center"/>
        <w:rPr>
          <w:rFonts w:ascii="Times New Roman" w:eastAsia="Cambria" w:hAnsi="Times New Roman" w:cs="Times New Roman"/>
          <w:color w:val="000000"/>
          <w:sz w:val="24"/>
          <w:szCs w:val="24"/>
        </w:rPr>
      </w:pPr>
      <w:r>
        <w:rPr>
          <w:noProof/>
          <w:sz w:val="24"/>
        </w:rPr>
        <mc:AlternateContent>
          <mc:Choice Requires="wps">
            <w:drawing>
              <wp:anchor distT="0" distB="0" distL="114300" distR="114300" simplePos="0" relativeHeight="251665408" behindDoc="0" locked="0" layoutInCell="1" allowOverlap="1" wp14:anchorId="3AB49E27" wp14:editId="3E240619">
                <wp:simplePos x="0" y="0"/>
                <wp:positionH relativeFrom="column">
                  <wp:posOffset>4627880</wp:posOffset>
                </wp:positionH>
                <wp:positionV relativeFrom="paragraph">
                  <wp:posOffset>102235</wp:posOffset>
                </wp:positionV>
                <wp:extent cx="219075" cy="0"/>
                <wp:effectExtent l="0" t="15875" r="9525" b="22225"/>
                <wp:wrapNone/>
                <wp:docPr id="22" name="Straight Connector 22"/>
                <wp:cNvGraphicFramePr/>
                <a:graphic xmlns:a="http://schemas.openxmlformats.org/drawingml/2006/main">
                  <a:graphicData uri="http://schemas.microsoft.com/office/word/2010/wordprocessingShape">
                    <wps:wsp>
                      <wps:cNvCnPr/>
                      <wps:spPr>
                        <a:xfrm>
                          <a:off x="5161280" y="2496185"/>
                          <a:ext cx="219075" cy="0"/>
                        </a:xfrm>
                        <a:prstGeom prst="line">
                          <a:avLst/>
                        </a:prstGeom>
                        <a:ln w="31750">
                          <a:solidFill>
                            <a:srgbClr val="FF0000"/>
                          </a:solidFill>
                        </a:ln>
                      </wps:spPr>
                      <wps:style>
                        <a:lnRef idx="0">
                          <a:srgbClr val="FFFFFF"/>
                        </a:lnRef>
                        <a:fillRef idx="0">
                          <a:srgbClr val="FFFFFF"/>
                        </a:fillRef>
                        <a:effectRef idx="0">
                          <a:srgbClr val="FFFFFF"/>
                        </a:effectRef>
                        <a:fontRef idx="minor">
                          <a:schemeClr val="tx1"/>
                        </a:fontRef>
                      </wps:style>
                      <wps:bodyPr/>
                    </wps:wsp>
                  </a:graphicData>
                </a:graphic>
              </wp:anchor>
            </w:drawing>
          </mc:Choice>
          <mc:Fallback>
            <w:pict>
              <v:line w14:anchorId="650AF7E9" id="Straight Connector 22"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364.4pt,8.05pt" to="381.6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" strokecolor="red" strokeweight="2.5pt"/>
            </w:pict>
          </mc:Fallback>
        </mc:AlternateContent>
      </w:r>
      <w:r>
        <w:rPr>
          <w:rFonts w:ascii="Times New Roman" w:eastAsia="Cambria" w:hAnsi="Times New Roman" w:cs="Times New Roman"/>
          <w:b/>
          <w:bCs/>
          <w:color w:val="000000"/>
          <w:sz w:val="24"/>
          <w:szCs w:val="24"/>
        </w:rPr>
        <w:t xml:space="preserve">  </w:t>
      </w:r>
      <w:r>
        <w:rPr>
          <w:rFonts w:ascii="Times New Roman" w:eastAsia="Cambria" w:hAnsi="Times New Roman" w:cs="Times New Roman"/>
          <w:color w:val="000000"/>
          <w:sz w:val="24"/>
          <w:szCs w:val="24"/>
        </w:rPr>
        <w:t>Figure 1 (e)</w:t>
      </w:r>
      <w:r>
        <w:rPr>
          <w:rFonts w:ascii="Times New Roman" w:eastAsia="Cambria" w:hAnsi="Times New Roman" w:cs="Times New Roman"/>
          <w:b/>
          <w:bCs/>
          <w:color w:val="000000"/>
          <w:sz w:val="24"/>
          <w:szCs w:val="24"/>
        </w:rPr>
        <w:t xml:space="preserve"> </w:t>
      </w:r>
      <w:r>
        <w:rPr>
          <w:rFonts w:ascii="Times New Roman" w:eastAsia="Cambria" w:hAnsi="Times New Roman" w:cs="Times New Roman"/>
          <w:color w:val="000000"/>
          <w:sz w:val="24"/>
          <w:szCs w:val="24"/>
        </w:rPr>
        <w:t xml:space="preserve">FTIR spectrum comparison of </w:t>
      </w:r>
      <w:r>
        <w:rPr>
          <w:rFonts w:ascii="Times New Roman" w:hAnsi="Times New Roman"/>
          <w:sz w:val="24"/>
          <w:szCs w:val="24"/>
        </w:rPr>
        <w:t>ULTRAMOD</w:t>
      </w:r>
      <w:r>
        <w:rPr>
          <w:rFonts w:ascii="Times New Roman" w:eastAsia="DengXian" w:hAnsi="Times New Roman" w:cs="Times New Roman"/>
          <w:sz w:val="24"/>
          <w:szCs w:val="24"/>
          <w:vertAlign w:val="superscript"/>
        </w:rPr>
        <w:t>™</w:t>
      </w:r>
      <w:r>
        <w:rPr>
          <w:rFonts w:ascii="Times New Roman" w:hAnsi="Times New Roman"/>
          <w:sz w:val="24"/>
          <w:szCs w:val="24"/>
        </w:rPr>
        <w:t xml:space="preserve"> </w:t>
      </w:r>
      <w:proofErr w:type="gramStart"/>
      <w:r>
        <w:rPr>
          <w:rFonts w:ascii="Times New Roman" w:hAnsi="Times New Roman" w:cs="Times New Roman"/>
          <w:sz w:val="24"/>
          <w:szCs w:val="24"/>
        </w:rPr>
        <w:t>(</w:t>
      </w:r>
      <w:r>
        <w:rPr>
          <w:rFonts w:ascii="Times New Roman" w:hAnsi="Times New Roman" w:cs="Times New Roman"/>
          <w:b/>
          <w:bCs/>
          <w:sz w:val="24"/>
          <w:szCs w:val="24"/>
        </w:rPr>
        <w:t xml:space="preserve">  </w:t>
      </w:r>
      <w:proofErr w:type="gramEnd"/>
      <w:r>
        <w:rPr>
          <w:rFonts w:ascii="Times New Roman" w:hAnsi="Times New Roman" w:cs="Times New Roman"/>
          <w:b/>
          <w:bCs/>
          <w:sz w:val="24"/>
          <w:szCs w:val="24"/>
        </w:rPr>
        <w:t xml:space="preserve">    </w:t>
      </w:r>
      <w:r>
        <w:rPr>
          <w:rFonts w:ascii="Times New Roman" w:hAnsi="Times New Roman" w:cs="Times New Roman"/>
          <w:sz w:val="24"/>
          <w:szCs w:val="24"/>
        </w:rPr>
        <w:t xml:space="preserve"> ) </w:t>
      </w:r>
      <w:r>
        <w:rPr>
          <w:rFonts w:ascii="Times New Roman" w:eastAsia="Cambria" w:hAnsi="Times New Roman" w:cs="Times New Roman"/>
          <w:color w:val="000000"/>
          <w:sz w:val="24"/>
          <w:szCs w:val="24"/>
        </w:rPr>
        <w:t xml:space="preserve">and mixture of </w:t>
      </w:r>
    </w:p>
    <w:p w14:paraId="7E5C3F88" w14:textId="77777777" w:rsidR="00990066" w:rsidRDefault="005243B0">
      <w:pPr>
        <w:spacing w:line="360" w:lineRule="auto"/>
        <w:ind w:firstLineChars="1100" w:firstLine="2640"/>
        <w:jc w:val="both"/>
        <w:rPr>
          <w:rFonts w:ascii="Times New Roman" w:hAnsi="Times New Roman" w:cs="Times New Roman"/>
          <w:sz w:val="24"/>
          <w:szCs w:val="24"/>
        </w:rPr>
      </w:pPr>
      <w:r>
        <w:rPr>
          <w:noProof/>
          <w:sz w:val="24"/>
        </w:rPr>
        <mc:AlternateContent>
          <mc:Choice Requires="wps">
            <w:drawing>
              <wp:anchor distT="0" distB="0" distL="114300" distR="114300" simplePos="0" relativeHeight="251666432" behindDoc="0" locked="0" layoutInCell="1" allowOverlap="1" wp14:anchorId="070AD550" wp14:editId="45A60493">
                <wp:simplePos x="0" y="0"/>
                <wp:positionH relativeFrom="column">
                  <wp:posOffset>4218305</wp:posOffset>
                </wp:positionH>
                <wp:positionV relativeFrom="paragraph">
                  <wp:posOffset>103505</wp:posOffset>
                </wp:positionV>
                <wp:extent cx="219075" cy="0"/>
                <wp:effectExtent l="0" t="6350" r="0" b="6350"/>
                <wp:wrapNone/>
                <wp:docPr id="23" name="Straight Connector 23"/>
                <wp:cNvGraphicFramePr/>
                <a:graphic xmlns:a="http://schemas.openxmlformats.org/drawingml/2006/main">
                  <a:graphicData uri="http://schemas.microsoft.com/office/word/2010/wordprocessingShape">
                    <wps:wsp>
                      <wps:cNvCnPr/>
                      <wps:spPr>
                        <a:xfrm>
                          <a:off x="4942205" y="2748915"/>
                          <a:ext cx="219075" cy="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w14:anchorId="3671A0BC" id="Straight Connector 23"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332.15pt,8.15pt" to="349.4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" strokecolor="black [3213]" strokeweight="1pt">
                <v:stroke joinstyle="miter"/>
              </v:line>
            </w:pict>
          </mc:Fallback>
        </mc:AlternateContent>
      </w:r>
      <w:r>
        <w:rPr>
          <w:rFonts w:ascii="Times New Roman" w:hAnsi="Times New Roman"/>
          <w:sz w:val="24"/>
          <w:szCs w:val="24"/>
        </w:rPr>
        <w:t>ULTRAMOD</w:t>
      </w:r>
      <w:r>
        <w:rPr>
          <w:rFonts w:ascii="Times New Roman" w:eastAsia="DengXian" w:hAnsi="Times New Roman" w:cs="Times New Roman"/>
          <w:sz w:val="24"/>
          <w:szCs w:val="24"/>
          <w:vertAlign w:val="superscript"/>
        </w:rPr>
        <w:t>™</w:t>
      </w:r>
      <w:r>
        <w:rPr>
          <w:rFonts w:ascii="Times New Roman" w:hAnsi="Times New Roman" w:cs="Times New Roman"/>
          <w:sz w:val="24"/>
          <w:szCs w:val="24"/>
        </w:rPr>
        <w:t xml:space="preserve"> and magnesium stearate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33FE4403" w14:textId="77777777" w:rsidR="00990066" w:rsidRDefault="005243B0">
      <w:pPr>
        <w:spacing w:line="360" w:lineRule="auto"/>
        <w:jc w:val="both"/>
        <w:textAlignment w:val="baseline"/>
        <w:rPr>
          <w:rFonts w:ascii="Times New Roman" w:hAnsi="Times New Roman" w:cs="Times New Roman"/>
          <w:sz w:val="24"/>
          <w:szCs w:val="24"/>
        </w:rPr>
      </w:pPr>
      <w:r>
        <w:rPr>
          <w:rFonts w:ascii="Times New Roman" w:eastAsia="Segoe UI" w:hAnsi="Times New Roman" w:cs="Times New Roman"/>
          <w:color w:val="000000"/>
          <w:sz w:val="24"/>
          <w:szCs w:val="24"/>
          <w:lang w:bidi="ar"/>
        </w:rPr>
        <w:t>As the concentration of the polymer premix increased, a corresponding rise in both bulk and tapped densities was observed. This trend suggested that the powder blend became more compactable with higher polymer content. Specifically, the tapped density</w:t>
      </w:r>
      <w:r>
        <w:rPr>
          <w:rFonts w:ascii="Times New Roman" w:eastAsia="Segoe UI" w:hAnsi="Times New Roman" w:cs="Times New Roman"/>
          <w:color w:val="000000"/>
          <w:sz w:val="24"/>
          <w:szCs w:val="24"/>
          <w:lang w:bidi="ar"/>
        </w:rPr>
        <w:t xml:space="preserve"> increased from 0.576 g/mL in formulation F1 to 0.711 g/mL in formulation F5, indicating improved particle packing at elevated concentrations of ULTRAMOD</w:t>
      </w:r>
      <w:r>
        <w:rPr>
          <w:rFonts w:ascii="Times New Roman" w:eastAsia="Segoe UI" w:hAnsi="Times New Roman" w:cs="Times New Roman"/>
          <w:color w:val="000000"/>
          <w:sz w:val="24"/>
          <w:szCs w:val="24"/>
          <w:vertAlign w:val="superscript"/>
          <w:lang w:bidi="ar"/>
        </w:rPr>
        <w:t>™</w:t>
      </w:r>
      <w:r>
        <w:rPr>
          <w:rFonts w:ascii="Times New Roman" w:eastAsia="Segoe UI" w:hAnsi="Times New Roman" w:cs="Times New Roman"/>
          <w:color w:val="000000"/>
          <w:sz w:val="24"/>
          <w:szCs w:val="24"/>
          <w:lang w:bidi="ar"/>
        </w:rPr>
        <w:t xml:space="preserve">, as presented in (Table 2). This may be attributed to the enhanced cohesiveness and better filling </w:t>
      </w:r>
      <w:r>
        <w:rPr>
          <w:rFonts w:ascii="Times New Roman" w:eastAsia="Segoe UI" w:hAnsi="Times New Roman" w:cs="Times New Roman"/>
          <w:color w:val="000000"/>
          <w:sz w:val="24"/>
          <w:szCs w:val="24"/>
          <w:lang w:bidi="ar"/>
        </w:rPr>
        <w:t>efficiency provided by the polymer matrix. Interestingly, formulation F1 exhibited superior flow properties compared to F5, as reflected by its lower Carr’s Index. Moreover, F1 showed slightly better compressibility, as evidenced by a lower Hausner’s ratio</w:t>
      </w:r>
      <w:r>
        <w:rPr>
          <w:rFonts w:ascii="Times New Roman" w:eastAsia="Segoe UI" w:hAnsi="Times New Roman" w:cs="Times New Roman"/>
          <w:color w:val="000000"/>
          <w:sz w:val="24"/>
          <w:szCs w:val="24"/>
          <w:lang w:bidi="ar"/>
        </w:rPr>
        <w:t>, further supporting the influence of polymer concentration on powder characteristics.</w:t>
      </w:r>
    </w:p>
    <w:p w14:paraId="3C83E774" w14:textId="77777777" w:rsidR="00990066" w:rsidRDefault="005243B0">
      <w:pPr>
        <w:spacing w:line="360" w:lineRule="auto"/>
        <w:rPr>
          <w:rFonts w:ascii="Times New Roman" w:hAnsi="Times New Roman"/>
          <w:b/>
          <w:bCs/>
          <w:sz w:val="24"/>
          <w:szCs w:val="24"/>
        </w:rPr>
      </w:pPr>
      <w:r>
        <w:rPr>
          <w:rFonts w:ascii="Times New Roman" w:hAnsi="Times New Roman"/>
          <w:b/>
          <w:bCs/>
          <w:sz w:val="24"/>
          <w:szCs w:val="24"/>
        </w:rPr>
        <w:t xml:space="preserve">Table 2 </w:t>
      </w:r>
    </w:p>
    <w:p w14:paraId="2B53281B" w14:textId="77777777" w:rsidR="00990066" w:rsidRDefault="005243B0">
      <w:pPr>
        <w:spacing w:line="360" w:lineRule="auto"/>
        <w:rPr>
          <w:rFonts w:ascii="Times New Roman" w:eastAsia="Segoe UI" w:hAnsi="Times New Roman"/>
          <w:color w:val="242424"/>
          <w:sz w:val="24"/>
          <w:szCs w:val="24"/>
          <w:shd w:val="clear" w:color="auto" w:fill="FFFFFF"/>
        </w:rPr>
      </w:pPr>
      <w:r>
        <w:rPr>
          <w:rFonts w:ascii="Times New Roman" w:hAnsi="Times New Roman"/>
          <w:sz w:val="24"/>
          <w:szCs w:val="24"/>
        </w:rPr>
        <w:t>Micromeritics of metformin hydrochloride formulation F1-F6</w:t>
      </w:r>
    </w:p>
    <w:tbl>
      <w:tblPr>
        <w:tblStyle w:val="TableGrid"/>
        <w:tblpPr w:leftFromText="180" w:rightFromText="180" w:vertAnchor="text" w:horzAnchor="page" w:tblpX="842" w:tblpY="101"/>
        <w:tblOverlap w:val="never"/>
        <w:tblW w:w="10532" w:type="dxa"/>
        <w:tblLayout w:type="fixed"/>
        <w:tblLook w:val="04A0" w:firstRow="1" w:lastRow="0" w:firstColumn="1" w:lastColumn="0" w:noHBand="0" w:noVBand="1"/>
      </w:tblPr>
      <w:tblGrid>
        <w:gridCol w:w="1586"/>
        <w:gridCol w:w="1146"/>
        <w:gridCol w:w="1086"/>
        <w:gridCol w:w="1056"/>
        <w:gridCol w:w="1158"/>
        <w:gridCol w:w="1305"/>
        <w:gridCol w:w="1575"/>
        <w:gridCol w:w="1620"/>
      </w:tblGrid>
      <w:tr w:rsidR="00990066" w14:paraId="1C84EC53" w14:textId="77777777">
        <w:trPr>
          <w:trHeight w:val="1068"/>
        </w:trPr>
        <w:tc>
          <w:tcPr>
            <w:tcW w:w="1586" w:type="dxa"/>
            <w:tcBorders>
              <w:top w:val="single" w:sz="4" w:space="0" w:color="auto"/>
              <w:left w:val="nil"/>
              <w:bottom w:val="single" w:sz="4" w:space="0" w:color="auto"/>
              <w:right w:val="nil"/>
            </w:tcBorders>
            <w:vAlign w:val="center"/>
          </w:tcPr>
          <w:p w14:paraId="30365AEB" w14:textId="77777777" w:rsidR="00990066" w:rsidRDefault="005243B0">
            <w:pPr>
              <w:jc w:val="center"/>
              <w:rPr>
                <w:rFonts w:ascii="Times New Roman" w:hAnsi="Times New Roman" w:cs="Times New Roman"/>
                <w:sz w:val="24"/>
                <w:szCs w:val="24"/>
              </w:rPr>
            </w:pPr>
            <w:r>
              <w:rPr>
                <w:rFonts w:ascii="Times New Roman" w:hAnsi="Times New Roman" w:cs="Times New Roman"/>
                <w:sz w:val="24"/>
                <w:szCs w:val="24"/>
              </w:rPr>
              <w:t xml:space="preserve">Formulation </w:t>
            </w:r>
          </w:p>
        </w:tc>
        <w:tc>
          <w:tcPr>
            <w:tcW w:w="1146" w:type="dxa"/>
            <w:tcBorders>
              <w:top w:val="single" w:sz="4" w:space="0" w:color="auto"/>
              <w:left w:val="nil"/>
              <w:bottom w:val="single" w:sz="4" w:space="0" w:color="auto"/>
              <w:right w:val="nil"/>
            </w:tcBorders>
            <w:vAlign w:val="center"/>
          </w:tcPr>
          <w:p w14:paraId="304AAB4F" w14:textId="77777777" w:rsidR="00990066" w:rsidRDefault="005243B0">
            <w:pPr>
              <w:jc w:val="center"/>
              <w:rPr>
                <w:rFonts w:ascii="Times New Roman" w:hAnsi="Times New Roman" w:cs="Times New Roman"/>
                <w:sz w:val="24"/>
                <w:szCs w:val="24"/>
              </w:rPr>
            </w:pPr>
            <w:r>
              <w:rPr>
                <w:rFonts w:ascii="Times New Roman" w:hAnsi="Times New Roman" w:cs="Times New Roman"/>
                <w:sz w:val="24"/>
                <w:szCs w:val="24"/>
              </w:rPr>
              <w:t>Angle of Repose (°)</w:t>
            </w:r>
          </w:p>
        </w:tc>
        <w:tc>
          <w:tcPr>
            <w:tcW w:w="1086" w:type="dxa"/>
            <w:tcBorders>
              <w:top w:val="single" w:sz="4" w:space="0" w:color="auto"/>
              <w:left w:val="nil"/>
              <w:bottom w:val="single" w:sz="4" w:space="0" w:color="auto"/>
              <w:right w:val="nil"/>
            </w:tcBorders>
            <w:vAlign w:val="center"/>
          </w:tcPr>
          <w:p w14:paraId="3B9AC98B" w14:textId="77777777" w:rsidR="00990066" w:rsidRDefault="005243B0">
            <w:pPr>
              <w:jc w:val="center"/>
              <w:rPr>
                <w:rFonts w:ascii="Times New Roman" w:hAnsi="Times New Roman" w:cs="Times New Roman"/>
                <w:sz w:val="24"/>
                <w:szCs w:val="24"/>
              </w:rPr>
            </w:pPr>
            <w:r>
              <w:rPr>
                <w:rFonts w:ascii="Times New Roman" w:hAnsi="Times New Roman" w:cs="Times New Roman"/>
                <w:sz w:val="24"/>
                <w:szCs w:val="24"/>
              </w:rPr>
              <w:t>Bulk Density (g/mL)</w:t>
            </w:r>
          </w:p>
        </w:tc>
        <w:tc>
          <w:tcPr>
            <w:tcW w:w="1056" w:type="dxa"/>
            <w:tcBorders>
              <w:top w:val="single" w:sz="4" w:space="0" w:color="auto"/>
              <w:left w:val="nil"/>
              <w:bottom w:val="single" w:sz="4" w:space="0" w:color="auto"/>
              <w:right w:val="nil"/>
            </w:tcBorders>
            <w:vAlign w:val="center"/>
          </w:tcPr>
          <w:p w14:paraId="3C32BD27" w14:textId="77777777" w:rsidR="00990066" w:rsidRDefault="005243B0">
            <w:pPr>
              <w:jc w:val="center"/>
              <w:rPr>
                <w:rFonts w:ascii="Times New Roman" w:hAnsi="Times New Roman" w:cs="Times New Roman"/>
                <w:sz w:val="24"/>
                <w:szCs w:val="24"/>
              </w:rPr>
            </w:pPr>
            <w:r>
              <w:rPr>
                <w:rFonts w:ascii="Times New Roman" w:hAnsi="Times New Roman" w:cs="Times New Roman"/>
                <w:sz w:val="24"/>
                <w:szCs w:val="24"/>
              </w:rPr>
              <w:t>Tapped Density (g/mL)</w:t>
            </w:r>
          </w:p>
        </w:tc>
        <w:tc>
          <w:tcPr>
            <w:tcW w:w="1158" w:type="dxa"/>
            <w:tcBorders>
              <w:top w:val="single" w:sz="4" w:space="0" w:color="auto"/>
              <w:left w:val="nil"/>
              <w:bottom w:val="single" w:sz="4" w:space="0" w:color="auto"/>
              <w:right w:val="nil"/>
            </w:tcBorders>
            <w:vAlign w:val="center"/>
          </w:tcPr>
          <w:p w14:paraId="018F4AFA" w14:textId="77777777" w:rsidR="00990066" w:rsidRDefault="005243B0">
            <w:pPr>
              <w:jc w:val="center"/>
              <w:rPr>
                <w:rFonts w:ascii="Times New Roman" w:hAnsi="Times New Roman" w:cs="Times New Roman"/>
                <w:sz w:val="24"/>
                <w:szCs w:val="24"/>
              </w:rPr>
            </w:pPr>
            <w:r>
              <w:rPr>
                <w:rFonts w:ascii="Times New Roman" w:hAnsi="Times New Roman" w:cs="Times New Roman"/>
                <w:sz w:val="24"/>
                <w:szCs w:val="24"/>
              </w:rPr>
              <w:t>Carr’s Index (%)</w:t>
            </w:r>
          </w:p>
        </w:tc>
        <w:tc>
          <w:tcPr>
            <w:tcW w:w="1305" w:type="dxa"/>
            <w:tcBorders>
              <w:top w:val="single" w:sz="4" w:space="0" w:color="auto"/>
              <w:left w:val="nil"/>
              <w:bottom w:val="single" w:sz="4" w:space="0" w:color="auto"/>
              <w:right w:val="nil"/>
            </w:tcBorders>
            <w:vAlign w:val="center"/>
          </w:tcPr>
          <w:p w14:paraId="713C0912" w14:textId="77777777" w:rsidR="00990066" w:rsidRDefault="005243B0">
            <w:pPr>
              <w:jc w:val="center"/>
              <w:rPr>
                <w:rFonts w:ascii="Times New Roman" w:hAnsi="Times New Roman" w:cs="Times New Roman"/>
                <w:sz w:val="24"/>
                <w:szCs w:val="24"/>
              </w:rPr>
            </w:pPr>
            <w:r>
              <w:rPr>
                <w:rFonts w:ascii="Times New Roman" w:hAnsi="Times New Roman"/>
                <w:sz w:val="24"/>
                <w:szCs w:val="24"/>
              </w:rPr>
              <w:t>Hausner's</w:t>
            </w:r>
            <w:r>
              <w:rPr>
                <w:rFonts w:ascii="Times New Roman" w:hAnsi="Times New Roman"/>
                <w:sz w:val="24"/>
                <w:szCs w:val="24"/>
              </w:rPr>
              <w:t xml:space="preserve"> ratio</w:t>
            </w:r>
          </w:p>
        </w:tc>
        <w:tc>
          <w:tcPr>
            <w:tcW w:w="1575" w:type="dxa"/>
            <w:tcBorders>
              <w:top w:val="single" w:sz="4" w:space="0" w:color="auto"/>
              <w:left w:val="nil"/>
              <w:bottom w:val="single" w:sz="4" w:space="0" w:color="auto"/>
              <w:right w:val="nil"/>
            </w:tcBorders>
            <w:vAlign w:val="center"/>
          </w:tcPr>
          <w:p w14:paraId="2734F6D8" w14:textId="77777777" w:rsidR="00990066" w:rsidRDefault="005243B0">
            <w:pPr>
              <w:jc w:val="center"/>
              <w:rPr>
                <w:rFonts w:ascii="Times New Roman" w:hAnsi="Times New Roman" w:cs="Times New Roman"/>
                <w:sz w:val="24"/>
                <w:szCs w:val="24"/>
              </w:rPr>
            </w:pPr>
            <w:r>
              <w:rPr>
                <w:rFonts w:ascii="Times New Roman" w:hAnsi="Times New Roman" w:cs="Times New Roman"/>
                <w:sz w:val="24"/>
                <w:szCs w:val="24"/>
              </w:rPr>
              <w:t>Pre-Compression (</w:t>
            </w:r>
            <w:proofErr w:type="spellStart"/>
            <w:r>
              <w:rPr>
                <w:rFonts w:ascii="Times New Roman" w:hAnsi="Times New Roman" w:cs="Times New Roman"/>
                <w:sz w:val="24"/>
                <w:szCs w:val="24"/>
              </w:rPr>
              <w:t>kN</w:t>
            </w:r>
            <w:proofErr w:type="spellEnd"/>
            <w:r>
              <w:rPr>
                <w:rFonts w:ascii="Times New Roman" w:hAnsi="Times New Roman" w:cs="Times New Roman"/>
                <w:sz w:val="24"/>
                <w:szCs w:val="24"/>
              </w:rPr>
              <w:t>)</w:t>
            </w:r>
          </w:p>
        </w:tc>
        <w:tc>
          <w:tcPr>
            <w:tcW w:w="1620" w:type="dxa"/>
            <w:tcBorders>
              <w:top w:val="single" w:sz="4" w:space="0" w:color="auto"/>
              <w:left w:val="nil"/>
              <w:bottom w:val="single" w:sz="4" w:space="0" w:color="auto"/>
              <w:right w:val="nil"/>
            </w:tcBorders>
            <w:vAlign w:val="center"/>
          </w:tcPr>
          <w:p w14:paraId="35EE92DD" w14:textId="77777777" w:rsidR="00990066" w:rsidRDefault="005243B0">
            <w:pPr>
              <w:jc w:val="center"/>
              <w:rPr>
                <w:rFonts w:ascii="Times New Roman" w:hAnsi="Times New Roman" w:cs="Times New Roman"/>
                <w:sz w:val="24"/>
                <w:szCs w:val="24"/>
              </w:rPr>
            </w:pPr>
            <w:r>
              <w:rPr>
                <w:rFonts w:ascii="Times New Roman" w:hAnsi="Times New Roman" w:cs="Times New Roman"/>
                <w:sz w:val="24"/>
                <w:szCs w:val="24"/>
              </w:rPr>
              <w:t>Main Compression (</w:t>
            </w:r>
            <w:proofErr w:type="spellStart"/>
            <w:r>
              <w:rPr>
                <w:rFonts w:ascii="Times New Roman" w:hAnsi="Times New Roman" w:cs="Times New Roman"/>
                <w:sz w:val="24"/>
                <w:szCs w:val="24"/>
              </w:rPr>
              <w:t>kN</w:t>
            </w:r>
            <w:proofErr w:type="spellEnd"/>
            <w:r>
              <w:rPr>
                <w:rFonts w:ascii="Times New Roman" w:hAnsi="Times New Roman" w:cs="Times New Roman"/>
                <w:sz w:val="24"/>
                <w:szCs w:val="24"/>
              </w:rPr>
              <w:t>)</w:t>
            </w:r>
          </w:p>
        </w:tc>
      </w:tr>
      <w:tr w:rsidR="00990066" w14:paraId="20D9EFF5" w14:textId="77777777">
        <w:trPr>
          <w:trHeight w:val="377"/>
        </w:trPr>
        <w:tc>
          <w:tcPr>
            <w:tcW w:w="1586" w:type="dxa"/>
            <w:tcBorders>
              <w:top w:val="single" w:sz="4" w:space="0" w:color="auto"/>
              <w:left w:val="nil"/>
              <w:bottom w:val="nil"/>
              <w:right w:val="nil"/>
            </w:tcBorders>
            <w:vAlign w:val="center"/>
          </w:tcPr>
          <w:p w14:paraId="326ADCEF" w14:textId="77777777" w:rsidR="00990066" w:rsidRDefault="005243B0">
            <w:pPr>
              <w:jc w:val="center"/>
              <w:rPr>
                <w:rFonts w:ascii="Times New Roman" w:hAnsi="Times New Roman" w:cs="Times New Roman"/>
                <w:sz w:val="24"/>
                <w:szCs w:val="24"/>
              </w:rPr>
            </w:pPr>
            <w:r>
              <w:rPr>
                <w:rFonts w:ascii="Times New Roman" w:hAnsi="Times New Roman" w:cs="Times New Roman"/>
                <w:sz w:val="24"/>
                <w:szCs w:val="24"/>
              </w:rPr>
              <w:t>F1</w:t>
            </w:r>
          </w:p>
        </w:tc>
        <w:tc>
          <w:tcPr>
            <w:tcW w:w="1146" w:type="dxa"/>
            <w:tcBorders>
              <w:top w:val="single" w:sz="4" w:space="0" w:color="auto"/>
              <w:left w:val="nil"/>
              <w:bottom w:val="nil"/>
              <w:right w:val="nil"/>
            </w:tcBorders>
            <w:vAlign w:val="center"/>
          </w:tcPr>
          <w:p w14:paraId="48AA79D1" w14:textId="77777777" w:rsidR="00990066" w:rsidRDefault="005243B0">
            <w:pPr>
              <w:jc w:val="center"/>
              <w:rPr>
                <w:rFonts w:ascii="Times New Roman" w:hAnsi="Times New Roman" w:cs="Times New Roman"/>
                <w:sz w:val="24"/>
                <w:szCs w:val="24"/>
              </w:rPr>
            </w:pPr>
            <w:r>
              <w:rPr>
                <w:rFonts w:ascii="Times New Roman" w:hAnsi="Times New Roman" w:cs="Times New Roman"/>
                <w:sz w:val="24"/>
                <w:szCs w:val="24"/>
              </w:rPr>
              <w:t>35</w:t>
            </w:r>
          </w:p>
        </w:tc>
        <w:tc>
          <w:tcPr>
            <w:tcW w:w="1086" w:type="dxa"/>
            <w:tcBorders>
              <w:top w:val="single" w:sz="4" w:space="0" w:color="auto"/>
              <w:left w:val="nil"/>
              <w:bottom w:val="nil"/>
              <w:right w:val="nil"/>
            </w:tcBorders>
            <w:vAlign w:val="center"/>
          </w:tcPr>
          <w:p w14:paraId="4F101B38" w14:textId="77777777" w:rsidR="00990066" w:rsidRDefault="005243B0">
            <w:pPr>
              <w:jc w:val="center"/>
              <w:rPr>
                <w:rFonts w:ascii="Times New Roman" w:hAnsi="Times New Roman" w:cs="Times New Roman"/>
                <w:sz w:val="24"/>
                <w:szCs w:val="24"/>
              </w:rPr>
            </w:pPr>
            <w:r>
              <w:rPr>
                <w:rFonts w:ascii="Times New Roman" w:hAnsi="Times New Roman" w:cs="Times New Roman"/>
                <w:sz w:val="24"/>
                <w:szCs w:val="24"/>
              </w:rPr>
              <w:t>0.442</w:t>
            </w:r>
          </w:p>
        </w:tc>
        <w:tc>
          <w:tcPr>
            <w:tcW w:w="1056" w:type="dxa"/>
            <w:tcBorders>
              <w:top w:val="single" w:sz="4" w:space="0" w:color="auto"/>
              <w:left w:val="nil"/>
              <w:bottom w:val="nil"/>
              <w:right w:val="nil"/>
            </w:tcBorders>
            <w:vAlign w:val="center"/>
          </w:tcPr>
          <w:p w14:paraId="37F11A72" w14:textId="77777777" w:rsidR="00990066" w:rsidRDefault="005243B0">
            <w:pPr>
              <w:jc w:val="center"/>
              <w:rPr>
                <w:rFonts w:ascii="Times New Roman" w:hAnsi="Times New Roman" w:cs="Times New Roman"/>
                <w:sz w:val="24"/>
                <w:szCs w:val="24"/>
              </w:rPr>
            </w:pPr>
            <w:r>
              <w:rPr>
                <w:rFonts w:ascii="Times New Roman" w:hAnsi="Times New Roman" w:cs="Times New Roman"/>
                <w:sz w:val="24"/>
                <w:szCs w:val="24"/>
              </w:rPr>
              <w:t>0.576</w:t>
            </w:r>
          </w:p>
        </w:tc>
        <w:tc>
          <w:tcPr>
            <w:tcW w:w="1158" w:type="dxa"/>
            <w:tcBorders>
              <w:top w:val="single" w:sz="4" w:space="0" w:color="auto"/>
              <w:left w:val="nil"/>
              <w:bottom w:val="nil"/>
              <w:right w:val="nil"/>
            </w:tcBorders>
            <w:vAlign w:val="center"/>
          </w:tcPr>
          <w:p w14:paraId="37905EDB" w14:textId="77777777" w:rsidR="00990066" w:rsidRDefault="005243B0">
            <w:pPr>
              <w:jc w:val="center"/>
              <w:rPr>
                <w:rFonts w:ascii="Times New Roman" w:hAnsi="Times New Roman" w:cs="Times New Roman"/>
                <w:sz w:val="24"/>
                <w:szCs w:val="24"/>
              </w:rPr>
            </w:pPr>
            <w:r>
              <w:rPr>
                <w:rFonts w:ascii="Times New Roman" w:hAnsi="Times New Roman" w:cs="Times New Roman"/>
                <w:sz w:val="24"/>
                <w:szCs w:val="24"/>
              </w:rPr>
              <w:t>23.26</w:t>
            </w:r>
          </w:p>
        </w:tc>
        <w:tc>
          <w:tcPr>
            <w:tcW w:w="1305" w:type="dxa"/>
            <w:tcBorders>
              <w:top w:val="single" w:sz="4" w:space="0" w:color="auto"/>
              <w:left w:val="nil"/>
              <w:bottom w:val="nil"/>
              <w:right w:val="nil"/>
            </w:tcBorders>
            <w:vAlign w:val="center"/>
          </w:tcPr>
          <w:p w14:paraId="3893D06D" w14:textId="77777777" w:rsidR="00990066" w:rsidRDefault="005243B0">
            <w:pPr>
              <w:jc w:val="center"/>
              <w:rPr>
                <w:rFonts w:ascii="Times New Roman" w:hAnsi="Times New Roman" w:cs="Times New Roman"/>
                <w:sz w:val="24"/>
                <w:szCs w:val="24"/>
              </w:rPr>
            </w:pPr>
            <w:r>
              <w:rPr>
                <w:rFonts w:ascii="Times New Roman" w:hAnsi="Times New Roman" w:cs="Times New Roman"/>
                <w:sz w:val="24"/>
                <w:szCs w:val="24"/>
              </w:rPr>
              <w:t>1.30</w:t>
            </w:r>
          </w:p>
        </w:tc>
        <w:tc>
          <w:tcPr>
            <w:tcW w:w="1575" w:type="dxa"/>
            <w:tcBorders>
              <w:top w:val="single" w:sz="4" w:space="0" w:color="auto"/>
              <w:left w:val="nil"/>
              <w:bottom w:val="nil"/>
              <w:right w:val="nil"/>
            </w:tcBorders>
            <w:vAlign w:val="center"/>
          </w:tcPr>
          <w:p w14:paraId="19AFA969" w14:textId="77777777" w:rsidR="00990066" w:rsidRDefault="005243B0">
            <w:pPr>
              <w:jc w:val="center"/>
              <w:rPr>
                <w:rFonts w:ascii="Times New Roman" w:hAnsi="Times New Roman" w:cs="Times New Roman"/>
                <w:sz w:val="24"/>
                <w:szCs w:val="24"/>
              </w:rPr>
            </w:pPr>
            <w:r>
              <w:rPr>
                <w:rFonts w:ascii="Times New Roman" w:hAnsi="Times New Roman" w:cs="Times New Roman"/>
                <w:sz w:val="24"/>
                <w:szCs w:val="24"/>
              </w:rPr>
              <w:t>3.8</w:t>
            </w:r>
          </w:p>
        </w:tc>
        <w:tc>
          <w:tcPr>
            <w:tcW w:w="1620" w:type="dxa"/>
            <w:tcBorders>
              <w:top w:val="single" w:sz="4" w:space="0" w:color="auto"/>
              <w:left w:val="nil"/>
              <w:bottom w:val="nil"/>
              <w:right w:val="nil"/>
            </w:tcBorders>
            <w:vAlign w:val="center"/>
          </w:tcPr>
          <w:p w14:paraId="0302E363" w14:textId="77777777" w:rsidR="00990066" w:rsidRDefault="005243B0">
            <w:pPr>
              <w:jc w:val="center"/>
              <w:rPr>
                <w:rFonts w:ascii="Times New Roman" w:hAnsi="Times New Roman" w:cs="Times New Roman"/>
                <w:sz w:val="24"/>
                <w:szCs w:val="24"/>
              </w:rPr>
            </w:pPr>
            <w:r>
              <w:rPr>
                <w:rFonts w:ascii="Times New Roman" w:hAnsi="Times New Roman" w:cs="Times New Roman"/>
                <w:sz w:val="24"/>
                <w:szCs w:val="24"/>
              </w:rPr>
              <w:t>15.6</w:t>
            </w:r>
          </w:p>
        </w:tc>
      </w:tr>
      <w:tr w:rsidR="00990066" w14:paraId="5E5A2A99" w14:textId="77777777">
        <w:trPr>
          <w:trHeight w:val="377"/>
        </w:trPr>
        <w:tc>
          <w:tcPr>
            <w:tcW w:w="1586" w:type="dxa"/>
            <w:tcBorders>
              <w:top w:val="nil"/>
              <w:left w:val="nil"/>
              <w:bottom w:val="nil"/>
              <w:right w:val="nil"/>
            </w:tcBorders>
            <w:vAlign w:val="center"/>
          </w:tcPr>
          <w:p w14:paraId="63D75D2D" w14:textId="77777777" w:rsidR="00990066" w:rsidRDefault="005243B0">
            <w:pPr>
              <w:jc w:val="center"/>
              <w:rPr>
                <w:rFonts w:ascii="Times New Roman" w:hAnsi="Times New Roman" w:cs="Times New Roman"/>
                <w:sz w:val="24"/>
                <w:szCs w:val="24"/>
              </w:rPr>
            </w:pPr>
            <w:r>
              <w:rPr>
                <w:rFonts w:ascii="Times New Roman" w:hAnsi="Times New Roman" w:cs="Times New Roman"/>
                <w:sz w:val="24"/>
                <w:szCs w:val="24"/>
              </w:rPr>
              <w:t>F2</w:t>
            </w:r>
          </w:p>
        </w:tc>
        <w:tc>
          <w:tcPr>
            <w:tcW w:w="1146" w:type="dxa"/>
            <w:tcBorders>
              <w:top w:val="nil"/>
              <w:left w:val="nil"/>
              <w:bottom w:val="nil"/>
              <w:right w:val="nil"/>
            </w:tcBorders>
            <w:vAlign w:val="center"/>
          </w:tcPr>
          <w:p w14:paraId="581E69A7" w14:textId="77777777" w:rsidR="00990066" w:rsidRDefault="005243B0">
            <w:pPr>
              <w:jc w:val="center"/>
              <w:rPr>
                <w:rFonts w:ascii="Times New Roman" w:hAnsi="Times New Roman" w:cs="Times New Roman"/>
                <w:sz w:val="24"/>
                <w:szCs w:val="24"/>
              </w:rPr>
            </w:pPr>
            <w:r>
              <w:rPr>
                <w:rFonts w:ascii="Times New Roman" w:hAnsi="Times New Roman" w:cs="Times New Roman"/>
                <w:sz w:val="24"/>
                <w:szCs w:val="24"/>
              </w:rPr>
              <w:t>36</w:t>
            </w:r>
          </w:p>
        </w:tc>
        <w:tc>
          <w:tcPr>
            <w:tcW w:w="1086" w:type="dxa"/>
            <w:tcBorders>
              <w:top w:val="nil"/>
              <w:left w:val="nil"/>
              <w:bottom w:val="nil"/>
              <w:right w:val="nil"/>
            </w:tcBorders>
            <w:vAlign w:val="center"/>
          </w:tcPr>
          <w:p w14:paraId="21C8117F" w14:textId="77777777" w:rsidR="00990066" w:rsidRDefault="005243B0">
            <w:pPr>
              <w:jc w:val="center"/>
              <w:rPr>
                <w:rFonts w:ascii="Times New Roman" w:hAnsi="Times New Roman" w:cs="Times New Roman"/>
                <w:sz w:val="24"/>
                <w:szCs w:val="24"/>
              </w:rPr>
            </w:pPr>
            <w:r>
              <w:rPr>
                <w:rFonts w:ascii="Times New Roman" w:hAnsi="Times New Roman" w:cs="Times New Roman"/>
                <w:sz w:val="24"/>
                <w:szCs w:val="24"/>
              </w:rPr>
              <w:t>0.459</w:t>
            </w:r>
          </w:p>
        </w:tc>
        <w:tc>
          <w:tcPr>
            <w:tcW w:w="1056" w:type="dxa"/>
            <w:tcBorders>
              <w:top w:val="nil"/>
              <w:left w:val="nil"/>
              <w:bottom w:val="nil"/>
              <w:right w:val="nil"/>
            </w:tcBorders>
            <w:vAlign w:val="center"/>
          </w:tcPr>
          <w:p w14:paraId="13540936" w14:textId="77777777" w:rsidR="00990066" w:rsidRDefault="005243B0">
            <w:pPr>
              <w:jc w:val="center"/>
              <w:rPr>
                <w:rFonts w:ascii="Times New Roman" w:hAnsi="Times New Roman" w:cs="Times New Roman"/>
                <w:sz w:val="24"/>
                <w:szCs w:val="24"/>
              </w:rPr>
            </w:pPr>
            <w:r>
              <w:rPr>
                <w:rFonts w:ascii="Times New Roman" w:hAnsi="Times New Roman" w:cs="Times New Roman"/>
                <w:sz w:val="24"/>
                <w:szCs w:val="24"/>
              </w:rPr>
              <w:t>0.604</w:t>
            </w:r>
          </w:p>
        </w:tc>
        <w:tc>
          <w:tcPr>
            <w:tcW w:w="1158" w:type="dxa"/>
            <w:tcBorders>
              <w:top w:val="nil"/>
              <w:left w:val="nil"/>
              <w:bottom w:val="nil"/>
              <w:right w:val="nil"/>
            </w:tcBorders>
            <w:vAlign w:val="center"/>
          </w:tcPr>
          <w:p w14:paraId="19F20874" w14:textId="77777777" w:rsidR="00990066" w:rsidRDefault="005243B0">
            <w:pPr>
              <w:jc w:val="center"/>
              <w:rPr>
                <w:rFonts w:ascii="Times New Roman" w:hAnsi="Times New Roman" w:cs="Times New Roman"/>
                <w:sz w:val="24"/>
                <w:szCs w:val="24"/>
              </w:rPr>
            </w:pPr>
            <w:r>
              <w:rPr>
                <w:rFonts w:ascii="Times New Roman" w:hAnsi="Times New Roman" w:cs="Times New Roman"/>
                <w:sz w:val="24"/>
                <w:szCs w:val="24"/>
              </w:rPr>
              <w:t>24.00</w:t>
            </w:r>
          </w:p>
        </w:tc>
        <w:tc>
          <w:tcPr>
            <w:tcW w:w="1305" w:type="dxa"/>
            <w:tcBorders>
              <w:top w:val="nil"/>
              <w:left w:val="nil"/>
              <w:bottom w:val="nil"/>
              <w:right w:val="nil"/>
            </w:tcBorders>
            <w:vAlign w:val="center"/>
          </w:tcPr>
          <w:p w14:paraId="753B0794" w14:textId="77777777" w:rsidR="00990066" w:rsidRDefault="005243B0">
            <w:pPr>
              <w:jc w:val="center"/>
              <w:rPr>
                <w:rFonts w:ascii="Times New Roman" w:hAnsi="Times New Roman" w:cs="Times New Roman"/>
                <w:sz w:val="24"/>
                <w:szCs w:val="24"/>
              </w:rPr>
            </w:pPr>
            <w:r>
              <w:rPr>
                <w:rFonts w:ascii="Times New Roman" w:hAnsi="Times New Roman" w:cs="Times New Roman"/>
                <w:sz w:val="24"/>
                <w:szCs w:val="24"/>
              </w:rPr>
              <w:t>1.32</w:t>
            </w:r>
          </w:p>
        </w:tc>
        <w:tc>
          <w:tcPr>
            <w:tcW w:w="1575" w:type="dxa"/>
            <w:tcBorders>
              <w:top w:val="nil"/>
              <w:left w:val="nil"/>
              <w:bottom w:val="nil"/>
              <w:right w:val="nil"/>
            </w:tcBorders>
            <w:vAlign w:val="center"/>
          </w:tcPr>
          <w:p w14:paraId="749EB6DE" w14:textId="77777777" w:rsidR="00990066" w:rsidRDefault="005243B0">
            <w:pPr>
              <w:jc w:val="center"/>
              <w:rPr>
                <w:rFonts w:ascii="Times New Roman" w:hAnsi="Times New Roman" w:cs="Times New Roman"/>
                <w:sz w:val="24"/>
                <w:szCs w:val="24"/>
              </w:rPr>
            </w:pPr>
            <w:r>
              <w:rPr>
                <w:rFonts w:ascii="Times New Roman" w:hAnsi="Times New Roman" w:cs="Times New Roman"/>
                <w:sz w:val="24"/>
                <w:szCs w:val="24"/>
              </w:rPr>
              <w:t>4.2</w:t>
            </w:r>
          </w:p>
        </w:tc>
        <w:tc>
          <w:tcPr>
            <w:tcW w:w="1620" w:type="dxa"/>
            <w:tcBorders>
              <w:top w:val="nil"/>
              <w:left w:val="nil"/>
              <w:bottom w:val="nil"/>
              <w:right w:val="nil"/>
            </w:tcBorders>
            <w:vAlign w:val="center"/>
          </w:tcPr>
          <w:p w14:paraId="07DA5777" w14:textId="77777777" w:rsidR="00990066" w:rsidRDefault="005243B0">
            <w:pPr>
              <w:jc w:val="center"/>
              <w:rPr>
                <w:rFonts w:ascii="Times New Roman" w:hAnsi="Times New Roman" w:cs="Times New Roman"/>
                <w:sz w:val="24"/>
                <w:szCs w:val="24"/>
              </w:rPr>
            </w:pPr>
            <w:r>
              <w:rPr>
                <w:rFonts w:ascii="Times New Roman" w:hAnsi="Times New Roman" w:cs="Times New Roman"/>
                <w:sz w:val="24"/>
                <w:szCs w:val="24"/>
              </w:rPr>
              <w:t>16.2</w:t>
            </w:r>
          </w:p>
        </w:tc>
      </w:tr>
      <w:tr w:rsidR="00990066" w14:paraId="45D9B7CB" w14:textId="77777777">
        <w:trPr>
          <w:trHeight w:val="377"/>
        </w:trPr>
        <w:tc>
          <w:tcPr>
            <w:tcW w:w="1586" w:type="dxa"/>
            <w:tcBorders>
              <w:top w:val="nil"/>
              <w:left w:val="nil"/>
              <w:bottom w:val="nil"/>
              <w:right w:val="nil"/>
            </w:tcBorders>
            <w:vAlign w:val="center"/>
          </w:tcPr>
          <w:p w14:paraId="44211C87" w14:textId="77777777" w:rsidR="00990066" w:rsidRDefault="005243B0">
            <w:pPr>
              <w:jc w:val="center"/>
              <w:rPr>
                <w:rFonts w:ascii="Times New Roman" w:hAnsi="Times New Roman" w:cs="Times New Roman"/>
                <w:sz w:val="24"/>
                <w:szCs w:val="24"/>
              </w:rPr>
            </w:pPr>
            <w:r>
              <w:rPr>
                <w:rFonts w:ascii="Times New Roman" w:hAnsi="Times New Roman" w:cs="Times New Roman"/>
                <w:sz w:val="24"/>
                <w:szCs w:val="24"/>
              </w:rPr>
              <w:t>F3</w:t>
            </w:r>
          </w:p>
        </w:tc>
        <w:tc>
          <w:tcPr>
            <w:tcW w:w="1146" w:type="dxa"/>
            <w:tcBorders>
              <w:top w:val="nil"/>
              <w:left w:val="nil"/>
              <w:bottom w:val="nil"/>
              <w:right w:val="nil"/>
            </w:tcBorders>
            <w:vAlign w:val="center"/>
          </w:tcPr>
          <w:p w14:paraId="455044EE" w14:textId="77777777" w:rsidR="00990066" w:rsidRDefault="005243B0">
            <w:pPr>
              <w:jc w:val="center"/>
              <w:rPr>
                <w:rFonts w:ascii="Times New Roman" w:hAnsi="Times New Roman" w:cs="Times New Roman"/>
                <w:sz w:val="24"/>
                <w:szCs w:val="24"/>
              </w:rPr>
            </w:pPr>
            <w:r>
              <w:rPr>
                <w:rFonts w:ascii="Times New Roman" w:hAnsi="Times New Roman" w:cs="Times New Roman"/>
                <w:sz w:val="24"/>
                <w:szCs w:val="24"/>
              </w:rPr>
              <w:t>36</w:t>
            </w:r>
          </w:p>
        </w:tc>
        <w:tc>
          <w:tcPr>
            <w:tcW w:w="1086" w:type="dxa"/>
            <w:tcBorders>
              <w:top w:val="nil"/>
              <w:left w:val="nil"/>
              <w:bottom w:val="nil"/>
              <w:right w:val="nil"/>
            </w:tcBorders>
            <w:vAlign w:val="center"/>
          </w:tcPr>
          <w:p w14:paraId="337128CA" w14:textId="77777777" w:rsidR="00990066" w:rsidRDefault="005243B0">
            <w:pPr>
              <w:jc w:val="center"/>
              <w:rPr>
                <w:rFonts w:ascii="Times New Roman" w:hAnsi="Times New Roman" w:cs="Times New Roman"/>
                <w:sz w:val="24"/>
                <w:szCs w:val="24"/>
              </w:rPr>
            </w:pPr>
            <w:r>
              <w:rPr>
                <w:rFonts w:ascii="Times New Roman" w:hAnsi="Times New Roman" w:cs="Times New Roman"/>
                <w:sz w:val="24"/>
                <w:szCs w:val="24"/>
              </w:rPr>
              <w:t>0.474</w:t>
            </w:r>
          </w:p>
        </w:tc>
        <w:tc>
          <w:tcPr>
            <w:tcW w:w="1056" w:type="dxa"/>
            <w:tcBorders>
              <w:top w:val="nil"/>
              <w:left w:val="nil"/>
              <w:bottom w:val="nil"/>
              <w:right w:val="nil"/>
            </w:tcBorders>
            <w:vAlign w:val="center"/>
          </w:tcPr>
          <w:p w14:paraId="1736AE6B" w14:textId="77777777" w:rsidR="00990066" w:rsidRDefault="005243B0">
            <w:pPr>
              <w:jc w:val="center"/>
              <w:rPr>
                <w:rFonts w:ascii="Times New Roman" w:hAnsi="Times New Roman" w:cs="Times New Roman"/>
                <w:sz w:val="24"/>
                <w:szCs w:val="24"/>
              </w:rPr>
            </w:pPr>
            <w:r>
              <w:rPr>
                <w:rFonts w:ascii="Times New Roman" w:hAnsi="Times New Roman" w:cs="Times New Roman"/>
                <w:sz w:val="24"/>
                <w:szCs w:val="24"/>
              </w:rPr>
              <w:t>0.625</w:t>
            </w:r>
          </w:p>
        </w:tc>
        <w:tc>
          <w:tcPr>
            <w:tcW w:w="1158" w:type="dxa"/>
            <w:tcBorders>
              <w:top w:val="nil"/>
              <w:left w:val="nil"/>
              <w:bottom w:val="nil"/>
              <w:right w:val="nil"/>
            </w:tcBorders>
            <w:vAlign w:val="center"/>
          </w:tcPr>
          <w:p w14:paraId="27CDFAF7" w14:textId="77777777" w:rsidR="00990066" w:rsidRDefault="005243B0">
            <w:pPr>
              <w:jc w:val="center"/>
              <w:rPr>
                <w:rFonts w:ascii="Times New Roman" w:hAnsi="Times New Roman" w:cs="Times New Roman"/>
                <w:sz w:val="24"/>
                <w:szCs w:val="24"/>
              </w:rPr>
            </w:pPr>
            <w:r>
              <w:rPr>
                <w:rFonts w:ascii="Times New Roman" w:hAnsi="Times New Roman" w:cs="Times New Roman"/>
                <w:sz w:val="24"/>
                <w:szCs w:val="24"/>
              </w:rPr>
              <w:t>24.16</w:t>
            </w:r>
          </w:p>
        </w:tc>
        <w:tc>
          <w:tcPr>
            <w:tcW w:w="1305" w:type="dxa"/>
            <w:tcBorders>
              <w:top w:val="nil"/>
              <w:left w:val="nil"/>
              <w:bottom w:val="nil"/>
              <w:right w:val="nil"/>
            </w:tcBorders>
            <w:vAlign w:val="center"/>
          </w:tcPr>
          <w:p w14:paraId="2421A322" w14:textId="77777777" w:rsidR="00990066" w:rsidRDefault="005243B0">
            <w:pPr>
              <w:jc w:val="center"/>
              <w:rPr>
                <w:rFonts w:ascii="Times New Roman" w:hAnsi="Times New Roman" w:cs="Times New Roman"/>
                <w:sz w:val="24"/>
                <w:szCs w:val="24"/>
              </w:rPr>
            </w:pPr>
            <w:r>
              <w:rPr>
                <w:rFonts w:ascii="Times New Roman" w:hAnsi="Times New Roman" w:cs="Times New Roman"/>
                <w:sz w:val="24"/>
                <w:szCs w:val="24"/>
              </w:rPr>
              <w:t>1.32</w:t>
            </w:r>
          </w:p>
        </w:tc>
        <w:tc>
          <w:tcPr>
            <w:tcW w:w="1575" w:type="dxa"/>
            <w:tcBorders>
              <w:top w:val="nil"/>
              <w:left w:val="nil"/>
              <w:bottom w:val="nil"/>
              <w:right w:val="nil"/>
            </w:tcBorders>
            <w:vAlign w:val="center"/>
          </w:tcPr>
          <w:p w14:paraId="397C1B2E" w14:textId="77777777" w:rsidR="00990066" w:rsidRDefault="005243B0">
            <w:pPr>
              <w:jc w:val="center"/>
              <w:rPr>
                <w:rFonts w:ascii="Times New Roman" w:hAnsi="Times New Roman" w:cs="Times New Roman"/>
                <w:sz w:val="24"/>
                <w:szCs w:val="24"/>
              </w:rPr>
            </w:pPr>
            <w:r>
              <w:rPr>
                <w:rFonts w:ascii="Times New Roman" w:hAnsi="Times New Roman" w:cs="Times New Roman"/>
                <w:sz w:val="24"/>
                <w:szCs w:val="24"/>
              </w:rPr>
              <w:t>4.5</w:t>
            </w:r>
          </w:p>
        </w:tc>
        <w:tc>
          <w:tcPr>
            <w:tcW w:w="1620" w:type="dxa"/>
            <w:tcBorders>
              <w:top w:val="nil"/>
              <w:left w:val="nil"/>
              <w:bottom w:val="nil"/>
              <w:right w:val="nil"/>
            </w:tcBorders>
            <w:vAlign w:val="center"/>
          </w:tcPr>
          <w:p w14:paraId="692B86A8" w14:textId="77777777" w:rsidR="00990066" w:rsidRDefault="005243B0">
            <w:pPr>
              <w:jc w:val="center"/>
              <w:rPr>
                <w:rFonts w:ascii="Times New Roman" w:hAnsi="Times New Roman" w:cs="Times New Roman"/>
                <w:sz w:val="24"/>
                <w:szCs w:val="24"/>
              </w:rPr>
            </w:pPr>
            <w:r>
              <w:rPr>
                <w:rFonts w:ascii="Times New Roman" w:hAnsi="Times New Roman" w:cs="Times New Roman"/>
                <w:sz w:val="24"/>
                <w:szCs w:val="24"/>
              </w:rPr>
              <w:t>16.5</w:t>
            </w:r>
          </w:p>
        </w:tc>
      </w:tr>
      <w:tr w:rsidR="00990066" w14:paraId="7849E446" w14:textId="77777777">
        <w:trPr>
          <w:trHeight w:val="377"/>
        </w:trPr>
        <w:tc>
          <w:tcPr>
            <w:tcW w:w="1586" w:type="dxa"/>
            <w:tcBorders>
              <w:top w:val="nil"/>
              <w:left w:val="nil"/>
              <w:bottom w:val="nil"/>
              <w:right w:val="nil"/>
            </w:tcBorders>
            <w:vAlign w:val="center"/>
          </w:tcPr>
          <w:p w14:paraId="4C6CBBA4" w14:textId="77777777" w:rsidR="00990066" w:rsidRDefault="005243B0">
            <w:pPr>
              <w:jc w:val="center"/>
              <w:rPr>
                <w:rFonts w:ascii="Times New Roman" w:hAnsi="Times New Roman" w:cs="Times New Roman"/>
                <w:sz w:val="24"/>
                <w:szCs w:val="24"/>
              </w:rPr>
            </w:pPr>
            <w:r>
              <w:rPr>
                <w:rFonts w:ascii="Times New Roman" w:hAnsi="Times New Roman" w:cs="Times New Roman"/>
                <w:sz w:val="24"/>
                <w:szCs w:val="24"/>
              </w:rPr>
              <w:t>F4</w:t>
            </w:r>
          </w:p>
        </w:tc>
        <w:tc>
          <w:tcPr>
            <w:tcW w:w="1146" w:type="dxa"/>
            <w:tcBorders>
              <w:top w:val="nil"/>
              <w:left w:val="nil"/>
              <w:bottom w:val="nil"/>
              <w:right w:val="nil"/>
            </w:tcBorders>
            <w:vAlign w:val="center"/>
          </w:tcPr>
          <w:p w14:paraId="026754B4" w14:textId="77777777" w:rsidR="00990066" w:rsidRDefault="005243B0">
            <w:pPr>
              <w:jc w:val="center"/>
              <w:rPr>
                <w:rFonts w:ascii="Times New Roman" w:hAnsi="Times New Roman" w:cs="Times New Roman"/>
                <w:sz w:val="24"/>
                <w:szCs w:val="24"/>
              </w:rPr>
            </w:pPr>
            <w:r>
              <w:rPr>
                <w:rFonts w:ascii="Times New Roman" w:hAnsi="Times New Roman" w:cs="Times New Roman"/>
                <w:sz w:val="24"/>
                <w:szCs w:val="24"/>
              </w:rPr>
              <w:t>37</w:t>
            </w:r>
          </w:p>
        </w:tc>
        <w:tc>
          <w:tcPr>
            <w:tcW w:w="1086" w:type="dxa"/>
            <w:tcBorders>
              <w:top w:val="nil"/>
              <w:left w:val="nil"/>
              <w:bottom w:val="nil"/>
              <w:right w:val="nil"/>
            </w:tcBorders>
            <w:vAlign w:val="center"/>
          </w:tcPr>
          <w:p w14:paraId="512933DD" w14:textId="77777777" w:rsidR="00990066" w:rsidRDefault="005243B0">
            <w:pPr>
              <w:jc w:val="center"/>
              <w:rPr>
                <w:rFonts w:ascii="Times New Roman" w:hAnsi="Times New Roman" w:cs="Times New Roman"/>
                <w:sz w:val="24"/>
                <w:szCs w:val="24"/>
              </w:rPr>
            </w:pPr>
            <w:r>
              <w:rPr>
                <w:rFonts w:ascii="Times New Roman" w:hAnsi="Times New Roman" w:cs="Times New Roman"/>
                <w:sz w:val="24"/>
                <w:szCs w:val="24"/>
              </w:rPr>
              <w:t>0.502</w:t>
            </w:r>
          </w:p>
        </w:tc>
        <w:tc>
          <w:tcPr>
            <w:tcW w:w="1056" w:type="dxa"/>
            <w:tcBorders>
              <w:top w:val="nil"/>
              <w:left w:val="nil"/>
              <w:bottom w:val="nil"/>
              <w:right w:val="nil"/>
            </w:tcBorders>
            <w:vAlign w:val="center"/>
          </w:tcPr>
          <w:p w14:paraId="34B78127" w14:textId="77777777" w:rsidR="00990066" w:rsidRDefault="005243B0">
            <w:pPr>
              <w:jc w:val="center"/>
              <w:rPr>
                <w:rFonts w:ascii="Times New Roman" w:hAnsi="Times New Roman" w:cs="Times New Roman"/>
                <w:sz w:val="24"/>
                <w:szCs w:val="24"/>
              </w:rPr>
            </w:pPr>
            <w:r>
              <w:rPr>
                <w:rFonts w:ascii="Times New Roman" w:hAnsi="Times New Roman" w:cs="Times New Roman"/>
                <w:sz w:val="24"/>
                <w:szCs w:val="24"/>
              </w:rPr>
              <w:t>0.673</w:t>
            </w:r>
          </w:p>
        </w:tc>
        <w:tc>
          <w:tcPr>
            <w:tcW w:w="1158" w:type="dxa"/>
            <w:tcBorders>
              <w:top w:val="nil"/>
              <w:left w:val="nil"/>
              <w:bottom w:val="nil"/>
              <w:right w:val="nil"/>
            </w:tcBorders>
            <w:vAlign w:val="center"/>
          </w:tcPr>
          <w:p w14:paraId="7EE273CE" w14:textId="77777777" w:rsidR="00990066" w:rsidRDefault="005243B0">
            <w:pPr>
              <w:jc w:val="center"/>
              <w:rPr>
                <w:rFonts w:ascii="Times New Roman" w:hAnsi="Times New Roman" w:cs="Times New Roman"/>
                <w:sz w:val="24"/>
                <w:szCs w:val="24"/>
              </w:rPr>
            </w:pPr>
            <w:r>
              <w:rPr>
                <w:rFonts w:ascii="Times New Roman" w:hAnsi="Times New Roman" w:cs="Times New Roman"/>
                <w:sz w:val="24"/>
                <w:szCs w:val="24"/>
              </w:rPr>
              <w:t>25.41</w:t>
            </w:r>
          </w:p>
        </w:tc>
        <w:tc>
          <w:tcPr>
            <w:tcW w:w="1305" w:type="dxa"/>
            <w:tcBorders>
              <w:top w:val="nil"/>
              <w:left w:val="nil"/>
              <w:bottom w:val="nil"/>
              <w:right w:val="nil"/>
            </w:tcBorders>
            <w:vAlign w:val="center"/>
          </w:tcPr>
          <w:p w14:paraId="5081A058" w14:textId="77777777" w:rsidR="00990066" w:rsidRDefault="005243B0">
            <w:pPr>
              <w:jc w:val="center"/>
              <w:rPr>
                <w:rFonts w:ascii="Times New Roman" w:hAnsi="Times New Roman" w:cs="Times New Roman"/>
                <w:sz w:val="24"/>
                <w:szCs w:val="24"/>
              </w:rPr>
            </w:pPr>
            <w:r>
              <w:rPr>
                <w:rFonts w:ascii="Times New Roman" w:hAnsi="Times New Roman" w:cs="Times New Roman"/>
                <w:sz w:val="24"/>
                <w:szCs w:val="24"/>
              </w:rPr>
              <w:t>1.34</w:t>
            </w:r>
          </w:p>
        </w:tc>
        <w:tc>
          <w:tcPr>
            <w:tcW w:w="1575" w:type="dxa"/>
            <w:tcBorders>
              <w:top w:val="nil"/>
              <w:left w:val="nil"/>
              <w:bottom w:val="nil"/>
              <w:right w:val="nil"/>
            </w:tcBorders>
            <w:vAlign w:val="center"/>
          </w:tcPr>
          <w:p w14:paraId="17F12936" w14:textId="77777777" w:rsidR="00990066" w:rsidRDefault="005243B0">
            <w:pPr>
              <w:jc w:val="center"/>
              <w:rPr>
                <w:rFonts w:ascii="Times New Roman" w:hAnsi="Times New Roman" w:cs="Times New Roman"/>
                <w:sz w:val="24"/>
                <w:szCs w:val="24"/>
              </w:rPr>
            </w:pPr>
            <w:r>
              <w:rPr>
                <w:rFonts w:ascii="Times New Roman" w:hAnsi="Times New Roman" w:cs="Times New Roman"/>
                <w:sz w:val="24"/>
                <w:szCs w:val="24"/>
              </w:rPr>
              <w:t>4.8</w:t>
            </w:r>
          </w:p>
        </w:tc>
        <w:tc>
          <w:tcPr>
            <w:tcW w:w="1620" w:type="dxa"/>
            <w:tcBorders>
              <w:top w:val="nil"/>
              <w:left w:val="nil"/>
              <w:bottom w:val="nil"/>
              <w:right w:val="nil"/>
            </w:tcBorders>
            <w:vAlign w:val="center"/>
          </w:tcPr>
          <w:p w14:paraId="19C6BCE9" w14:textId="77777777" w:rsidR="00990066" w:rsidRDefault="005243B0">
            <w:pPr>
              <w:jc w:val="center"/>
              <w:rPr>
                <w:rFonts w:ascii="Times New Roman" w:hAnsi="Times New Roman" w:cs="Times New Roman"/>
                <w:sz w:val="24"/>
                <w:szCs w:val="24"/>
              </w:rPr>
            </w:pPr>
            <w:r>
              <w:rPr>
                <w:rFonts w:ascii="Times New Roman" w:hAnsi="Times New Roman" w:cs="Times New Roman"/>
                <w:sz w:val="24"/>
                <w:szCs w:val="24"/>
              </w:rPr>
              <w:t>17.1</w:t>
            </w:r>
          </w:p>
        </w:tc>
      </w:tr>
      <w:tr w:rsidR="00990066" w14:paraId="5C1B2A9F" w14:textId="77777777">
        <w:trPr>
          <w:trHeight w:val="401"/>
        </w:trPr>
        <w:tc>
          <w:tcPr>
            <w:tcW w:w="1586" w:type="dxa"/>
            <w:tcBorders>
              <w:top w:val="nil"/>
              <w:left w:val="nil"/>
              <w:bottom w:val="nil"/>
              <w:right w:val="nil"/>
            </w:tcBorders>
            <w:vAlign w:val="center"/>
          </w:tcPr>
          <w:p w14:paraId="45C74305" w14:textId="77777777" w:rsidR="00990066" w:rsidRDefault="005243B0">
            <w:pPr>
              <w:jc w:val="center"/>
              <w:rPr>
                <w:rFonts w:ascii="Times New Roman" w:hAnsi="Times New Roman" w:cs="Times New Roman"/>
                <w:sz w:val="24"/>
                <w:szCs w:val="24"/>
              </w:rPr>
            </w:pPr>
            <w:r>
              <w:rPr>
                <w:rFonts w:ascii="Times New Roman" w:hAnsi="Times New Roman" w:cs="Times New Roman"/>
                <w:sz w:val="24"/>
                <w:szCs w:val="24"/>
              </w:rPr>
              <w:t>F5</w:t>
            </w:r>
          </w:p>
        </w:tc>
        <w:tc>
          <w:tcPr>
            <w:tcW w:w="1146" w:type="dxa"/>
            <w:tcBorders>
              <w:top w:val="nil"/>
              <w:left w:val="nil"/>
              <w:bottom w:val="nil"/>
              <w:right w:val="nil"/>
            </w:tcBorders>
            <w:vAlign w:val="center"/>
          </w:tcPr>
          <w:p w14:paraId="0862FEBF" w14:textId="77777777" w:rsidR="00990066" w:rsidRDefault="005243B0">
            <w:pPr>
              <w:jc w:val="center"/>
              <w:rPr>
                <w:rFonts w:ascii="Times New Roman" w:hAnsi="Times New Roman" w:cs="Times New Roman"/>
                <w:sz w:val="24"/>
                <w:szCs w:val="24"/>
              </w:rPr>
            </w:pPr>
            <w:r>
              <w:rPr>
                <w:rFonts w:ascii="Times New Roman" w:hAnsi="Times New Roman" w:cs="Times New Roman"/>
                <w:sz w:val="24"/>
                <w:szCs w:val="24"/>
              </w:rPr>
              <w:t>39</w:t>
            </w:r>
          </w:p>
        </w:tc>
        <w:tc>
          <w:tcPr>
            <w:tcW w:w="1086" w:type="dxa"/>
            <w:tcBorders>
              <w:top w:val="nil"/>
              <w:left w:val="nil"/>
              <w:bottom w:val="nil"/>
              <w:right w:val="nil"/>
            </w:tcBorders>
            <w:vAlign w:val="center"/>
          </w:tcPr>
          <w:p w14:paraId="58D39663" w14:textId="77777777" w:rsidR="00990066" w:rsidRDefault="005243B0">
            <w:pPr>
              <w:jc w:val="center"/>
              <w:rPr>
                <w:rFonts w:ascii="Times New Roman" w:hAnsi="Times New Roman" w:cs="Times New Roman"/>
                <w:sz w:val="24"/>
                <w:szCs w:val="24"/>
              </w:rPr>
            </w:pPr>
            <w:r>
              <w:rPr>
                <w:rFonts w:ascii="Times New Roman" w:hAnsi="Times New Roman" w:cs="Times New Roman"/>
                <w:sz w:val="24"/>
                <w:szCs w:val="24"/>
              </w:rPr>
              <w:t>0.526</w:t>
            </w:r>
          </w:p>
        </w:tc>
        <w:tc>
          <w:tcPr>
            <w:tcW w:w="1056" w:type="dxa"/>
            <w:tcBorders>
              <w:top w:val="nil"/>
              <w:left w:val="nil"/>
              <w:bottom w:val="nil"/>
              <w:right w:val="nil"/>
            </w:tcBorders>
            <w:vAlign w:val="center"/>
          </w:tcPr>
          <w:p w14:paraId="483D4C39" w14:textId="77777777" w:rsidR="00990066" w:rsidRDefault="005243B0">
            <w:pPr>
              <w:jc w:val="center"/>
              <w:rPr>
                <w:rFonts w:ascii="Times New Roman" w:hAnsi="Times New Roman" w:cs="Times New Roman"/>
                <w:sz w:val="24"/>
                <w:szCs w:val="24"/>
              </w:rPr>
            </w:pPr>
            <w:r>
              <w:rPr>
                <w:rFonts w:ascii="Times New Roman" w:hAnsi="Times New Roman" w:cs="Times New Roman"/>
                <w:sz w:val="24"/>
                <w:szCs w:val="24"/>
              </w:rPr>
              <w:t>0.711</w:t>
            </w:r>
          </w:p>
        </w:tc>
        <w:tc>
          <w:tcPr>
            <w:tcW w:w="1158" w:type="dxa"/>
            <w:tcBorders>
              <w:top w:val="nil"/>
              <w:left w:val="nil"/>
              <w:bottom w:val="nil"/>
              <w:right w:val="nil"/>
            </w:tcBorders>
            <w:vAlign w:val="center"/>
          </w:tcPr>
          <w:p w14:paraId="72A21500" w14:textId="77777777" w:rsidR="00990066" w:rsidRDefault="005243B0">
            <w:pPr>
              <w:jc w:val="center"/>
              <w:rPr>
                <w:rFonts w:ascii="Times New Roman" w:hAnsi="Times New Roman" w:cs="Times New Roman"/>
                <w:sz w:val="24"/>
                <w:szCs w:val="24"/>
              </w:rPr>
            </w:pPr>
            <w:r>
              <w:rPr>
                <w:rFonts w:ascii="Times New Roman" w:hAnsi="Times New Roman" w:cs="Times New Roman"/>
                <w:sz w:val="24"/>
                <w:szCs w:val="24"/>
              </w:rPr>
              <w:t>26.02</w:t>
            </w:r>
          </w:p>
        </w:tc>
        <w:tc>
          <w:tcPr>
            <w:tcW w:w="1305" w:type="dxa"/>
            <w:tcBorders>
              <w:top w:val="nil"/>
              <w:left w:val="nil"/>
              <w:bottom w:val="nil"/>
              <w:right w:val="nil"/>
            </w:tcBorders>
            <w:vAlign w:val="center"/>
          </w:tcPr>
          <w:p w14:paraId="4F0C893A" w14:textId="77777777" w:rsidR="00990066" w:rsidRDefault="005243B0">
            <w:pPr>
              <w:jc w:val="center"/>
              <w:rPr>
                <w:rFonts w:ascii="Times New Roman" w:hAnsi="Times New Roman" w:cs="Times New Roman"/>
                <w:sz w:val="24"/>
                <w:szCs w:val="24"/>
              </w:rPr>
            </w:pPr>
            <w:r>
              <w:rPr>
                <w:rFonts w:ascii="Times New Roman" w:hAnsi="Times New Roman" w:cs="Times New Roman"/>
                <w:sz w:val="24"/>
                <w:szCs w:val="24"/>
              </w:rPr>
              <w:t>1.35</w:t>
            </w:r>
          </w:p>
        </w:tc>
        <w:tc>
          <w:tcPr>
            <w:tcW w:w="1575" w:type="dxa"/>
            <w:tcBorders>
              <w:top w:val="nil"/>
              <w:left w:val="nil"/>
              <w:bottom w:val="nil"/>
              <w:right w:val="nil"/>
            </w:tcBorders>
            <w:vAlign w:val="center"/>
          </w:tcPr>
          <w:p w14:paraId="2EF94306" w14:textId="77777777" w:rsidR="00990066" w:rsidRDefault="005243B0">
            <w:pPr>
              <w:jc w:val="center"/>
              <w:rPr>
                <w:rFonts w:ascii="Times New Roman" w:hAnsi="Times New Roman" w:cs="Times New Roman"/>
                <w:sz w:val="24"/>
                <w:szCs w:val="24"/>
              </w:rPr>
            </w:pPr>
            <w:r>
              <w:rPr>
                <w:rFonts w:ascii="Times New Roman" w:hAnsi="Times New Roman" w:cs="Times New Roman"/>
                <w:sz w:val="24"/>
                <w:szCs w:val="24"/>
              </w:rPr>
              <w:t>5.4</w:t>
            </w:r>
          </w:p>
        </w:tc>
        <w:tc>
          <w:tcPr>
            <w:tcW w:w="1620" w:type="dxa"/>
            <w:tcBorders>
              <w:top w:val="nil"/>
              <w:left w:val="nil"/>
              <w:bottom w:val="nil"/>
              <w:right w:val="nil"/>
            </w:tcBorders>
            <w:vAlign w:val="center"/>
          </w:tcPr>
          <w:p w14:paraId="2B8D0590" w14:textId="77777777" w:rsidR="00990066" w:rsidRDefault="005243B0">
            <w:pPr>
              <w:jc w:val="center"/>
              <w:rPr>
                <w:rFonts w:ascii="Times New Roman" w:hAnsi="Times New Roman" w:cs="Times New Roman"/>
                <w:sz w:val="24"/>
                <w:szCs w:val="24"/>
              </w:rPr>
            </w:pPr>
            <w:r>
              <w:rPr>
                <w:rFonts w:ascii="Times New Roman" w:hAnsi="Times New Roman" w:cs="Times New Roman"/>
                <w:sz w:val="24"/>
                <w:szCs w:val="24"/>
              </w:rPr>
              <w:t>17.8</w:t>
            </w:r>
          </w:p>
        </w:tc>
      </w:tr>
      <w:tr w:rsidR="00990066" w14:paraId="24E0C238" w14:textId="77777777">
        <w:trPr>
          <w:trHeight w:val="401"/>
        </w:trPr>
        <w:tc>
          <w:tcPr>
            <w:tcW w:w="1586" w:type="dxa"/>
            <w:tcBorders>
              <w:top w:val="nil"/>
              <w:left w:val="nil"/>
              <w:bottom w:val="single" w:sz="4" w:space="0" w:color="auto"/>
              <w:right w:val="nil"/>
            </w:tcBorders>
            <w:vAlign w:val="center"/>
          </w:tcPr>
          <w:p w14:paraId="193EF047" w14:textId="77777777" w:rsidR="00990066" w:rsidRDefault="005243B0">
            <w:pPr>
              <w:jc w:val="center"/>
              <w:rPr>
                <w:rFonts w:ascii="Times New Roman" w:hAnsi="Times New Roman" w:cs="Times New Roman"/>
                <w:sz w:val="24"/>
                <w:szCs w:val="24"/>
              </w:rPr>
            </w:pPr>
            <w:r>
              <w:rPr>
                <w:rFonts w:ascii="Times New Roman" w:hAnsi="Times New Roman" w:cs="Times New Roman"/>
                <w:sz w:val="24"/>
                <w:szCs w:val="24"/>
              </w:rPr>
              <w:lastRenderedPageBreak/>
              <w:t>F6</w:t>
            </w:r>
          </w:p>
        </w:tc>
        <w:tc>
          <w:tcPr>
            <w:tcW w:w="1146" w:type="dxa"/>
            <w:tcBorders>
              <w:top w:val="nil"/>
              <w:left w:val="nil"/>
              <w:bottom w:val="single" w:sz="4" w:space="0" w:color="auto"/>
              <w:right w:val="nil"/>
            </w:tcBorders>
            <w:vAlign w:val="center"/>
          </w:tcPr>
          <w:p w14:paraId="1E949775" w14:textId="77777777" w:rsidR="00990066" w:rsidRDefault="005243B0">
            <w:pPr>
              <w:jc w:val="center"/>
              <w:rPr>
                <w:rFonts w:ascii="Times New Roman" w:hAnsi="Times New Roman" w:cs="Times New Roman"/>
                <w:sz w:val="24"/>
                <w:szCs w:val="24"/>
              </w:rPr>
            </w:pPr>
            <w:r>
              <w:rPr>
                <w:rFonts w:ascii="Times New Roman" w:hAnsi="Times New Roman" w:cs="Times New Roman"/>
                <w:sz w:val="24"/>
                <w:szCs w:val="24"/>
              </w:rPr>
              <w:t>34</w:t>
            </w:r>
          </w:p>
        </w:tc>
        <w:tc>
          <w:tcPr>
            <w:tcW w:w="1086" w:type="dxa"/>
            <w:tcBorders>
              <w:top w:val="nil"/>
              <w:left w:val="nil"/>
              <w:bottom w:val="single" w:sz="4" w:space="0" w:color="auto"/>
              <w:right w:val="nil"/>
            </w:tcBorders>
            <w:vAlign w:val="center"/>
          </w:tcPr>
          <w:p w14:paraId="458317CE" w14:textId="77777777" w:rsidR="00990066" w:rsidRDefault="005243B0">
            <w:pPr>
              <w:jc w:val="center"/>
              <w:rPr>
                <w:rFonts w:ascii="Times New Roman" w:hAnsi="Times New Roman" w:cs="Times New Roman"/>
                <w:sz w:val="24"/>
                <w:szCs w:val="24"/>
              </w:rPr>
            </w:pPr>
            <w:r>
              <w:rPr>
                <w:rFonts w:ascii="Times New Roman" w:hAnsi="Times New Roman" w:cs="Times New Roman"/>
                <w:sz w:val="24"/>
                <w:szCs w:val="24"/>
              </w:rPr>
              <w:t>0.376</w:t>
            </w:r>
          </w:p>
        </w:tc>
        <w:tc>
          <w:tcPr>
            <w:tcW w:w="1056" w:type="dxa"/>
            <w:tcBorders>
              <w:top w:val="nil"/>
              <w:left w:val="nil"/>
              <w:bottom w:val="single" w:sz="4" w:space="0" w:color="auto"/>
              <w:right w:val="nil"/>
            </w:tcBorders>
            <w:vAlign w:val="center"/>
          </w:tcPr>
          <w:p w14:paraId="51350B6F" w14:textId="77777777" w:rsidR="00990066" w:rsidRDefault="005243B0">
            <w:pPr>
              <w:jc w:val="center"/>
              <w:rPr>
                <w:rFonts w:ascii="Times New Roman" w:hAnsi="Times New Roman" w:cs="Times New Roman"/>
                <w:sz w:val="24"/>
                <w:szCs w:val="24"/>
              </w:rPr>
            </w:pPr>
            <w:r>
              <w:rPr>
                <w:rFonts w:ascii="Times New Roman" w:hAnsi="Times New Roman" w:cs="Times New Roman"/>
                <w:sz w:val="24"/>
                <w:szCs w:val="24"/>
              </w:rPr>
              <w:t>0.482</w:t>
            </w:r>
          </w:p>
        </w:tc>
        <w:tc>
          <w:tcPr>
            <w:tcW w:w="1158" w:type="dxa"/>
            <w:tcBorders>
              <w:top w:val="nil"/>
              <w:left w:val="nil"/>
              <w:bottom w:val="single" w:sz="4" w:space="0" w:color="auto"/>
              <w:right w:val="nil"/>
            </w:tcBorders>
            <w:vAlign w:val="center"/>
          </w:tcPr>
          <w:p w14:paraId="7B0473BE" w14:textId="77777777" w:rsidR="00990066" w:rsidRDefault="005243B0">
            <w:pPr>
              <w:jc w:val="center"/>
              <w:rPr>
                <w:rFonts w:ascii="Times New Roman" w:hAnsi="Times New Roman" w:cs="Times New Roman"/>
                <w:sz w:val="24"/>
                <w:szCs w:val="24"/>
              </w:rPr>
            </w:pPr>
            <w:r>
              <w:rPr>
                <w:rFonts w:ascii="Times New Roman" w:hAnsi="Times New Roman" w:cs="Times New Roman"/>
                <w:sz w:val="24"/>
                <w:szCs w:val="24"/>
              </w:rPr>
              <w:t>21.99</w:t>
            </w:r>
          </w:p>
        </w:tc>
        <w:tc>
          <w:tcPr>
            <w:tcW w:w="1305" w:type="dxa"/>
            <w:tcBorders>
              <w:top w:val="nil"/>
              <w:left w:val="nil"/>
              <w:bottom w:val="single" w:sz="4" w:space="0" w:color="auto"/>
              <w:right w:val="nil"/>
            </w:tcBorders>
            <w:vAlign w:val="center"/>
          </w:tcPr>
          <w:p w14:paraId="74D938BB" w14:textId="77777777" w:rsidR="00990066" w:rsidRDefault="005243B0">
            <w:pPr>
              <w:jc w:val="center"/>
              <w:rPr>
                <w:rFonts w:ascii="Times New Roman" w:hAnsi="Times New Roman" w:cs="Times New Roman"/>
                <w:sz w:val="24"/>
                <w:szCs w:val="24"/>
              </w:rPr>
            </w:pPr>
            <w:r>
              <w:rPr>
                <w:rFonts w:ascii="Times New Roman" w:hAnsi="Times New Roman" w:cs="Times New Roman"/>
                <w:sz w:val="24"/>
                <w:szCs w:val="24"/>
              </w:rPr>
              <w:t>1.28</w:t>
            </w:r>
          </w:p>
        </w:tc>
        <w:tc>
          <w:tcPr>
            <w:tcW w:w="1575" w:type="dxa"/>
            <w:tcBorders>
              <w:top w:val="nil"/>
              <w:left w:val="nil"/>
              <w:bottom w:val="single" w:sz="4" w:space="0" w:color="auto"/>
              <w:right w:val="nil"/>
            </w:tcBorders>
            <w:vAlign w:val="center"/>
          </w:tcPr>
          <w:p w14:paraId="4C624FC0" w14:textId="77777777" w:rsidR="00990066" w:rsidRDefault="005243B0">
            <w:pPr>
              <w:jc w:val="center"/>
              <w:rPr>
                <w:rFonts w:ascii="Times New Roman" w:hAnsi="Times New Roman" w:cs="Times New Roman"/>
                <w:sz w:val="24"/>
                <w:szCs w:val="24"/>
              </w:rPr>
            </w:pPr>
            <w:r>
              <w:rPr>
                <w:rFonts w:ascii="Times New Roman" w:hAnsi="Times New Roman" w:cs="Times New Roman"/>
                <w:sz w:val="24"/>
                <w:szCs w:val="24"/>
              </w:rPr>
              <w:t>3.1</w:t>
            </w:r>
          </w:p>
        </w:tc>
        <w:tc>
          <w:tcPr>
            <w:tcW w:w="1620" w:type="dxa"/>
            <w:tcBorders>
              <w:top w:val="nil"/>
              <w:left w:val="nil"/>
              <w:bottom w:val="single" w:sz="4" w:space="0" w:color="auto"/>
              <w:right w:val="nil"/>
            </w:tcBorders>
            <w:vAlign w:val="center"/>
          </w:tcPr>
          <w:p w14:paraId="729A4F4A" w14:textId="77777777" w:rsidR="00990066" w:rsidRDefault="005243B0">
            <w:pPr>
              <w:jc w:val="center"/>
              <w:rPr>
                <w:rFonts w:ascii="Times New Roman" w:hAnsi="Times New Roman" w:cs="Times New Roman"/>
                <w:sz w:val="24"/>
                <w:szCs w:val="24"/>
              </w:rPr>
            </w:pPr>
            <w:r>
              <w:rPr>
                <w:rFonts w:ascii="Times New Roman" w:hAnsi="Times New Roman" w:cs="Times New Roman"/>
                <w:sz w:val="24"/>
                <w:szCs w:val="24"/>
              </w:rPr>
              <w:t>13.1</w:t>
            </w:r>
          </w:p>
        </w:tc>
      </w:tr>
    </w:tbl>
    <w:p w14:paraId="5D87AD64" w14:textId="77777777" w:rsidR="00990066" w:rsidRDefault="00990066">
      <w:pPr>
        <w:jc w:val="both"/>
        <w:rPr>
          <w:rFonts w:ascii="Times New Roman" w:eastAsia="Segoe UI" w:hAnsi="Times New Roman" w:cs="Times New Roman"/>
          <w:color w:val="242424"/>
          <w:sz w:val="24"/>
          <w:szCs w:val="24"/>
          <w:shd w:val="clear" w:color="auto" w:fill="FFFFFF"/>
          <w:lang w:bidi="ar"/>
        </w:rPr>
      </w:pPr>
    </w:p>
    <w:p w14:paraId="3913C75F" w14:textId="77777777" w:rsidR="00990066" w:rsidRDefault="005243B0">
      <w:pPr>
        <w:spacing w:line="360" w:lineRule="auto"/>
        <w:jc w:val="both"/>
      </w:pPr>
      <w:r>
        <w:rPr>
          <w:rFonts w:ascii="Times New Roman" w:eastAsia="Segoe UI" w:hAnsi="Times New Roman"/>
          <w:color w:val="242424"/>
          <w:sz w:val="24"/>
          <w:szCs w:val="24"/>
          <w:shd w:val="clear" w:color="auto" w:fill="FFFFFF"/>
        </w:rPr>
        <w:t xml:space="preserve">Formulations with a greater polymer content (such as F4 and F5) showed higher angle of repose and </w:t>
      </w:r>
      <w:proofErr w:type="spellStart"/>
      <w:r>
        <w:rPr>
          <w:rFonts w:ascii="Times New Roman" w:eastAsia="Segoe UI" w:hAnsi="Times New Roman"/>
          <w:color w:val="242424"/>
          <w:sz w:val="24"/>
          <w:szCs w:val="24"/>
          <w:shd w:val="clear" w:color="auto" w:fill="FFFFFF"/>
        </w:rPr>
        <w:t>carr's</w:t>
      </w:r>
      <w:proofErr w:type="spellEnd"/>
      <w:r>
        <w:rPr>
          <w:rFonts w:ascii="Times New Roman" w:eastAsia="Segoe UI" w:hAnsi="Times New Roman"/>
          <w:color w:val="242424"/>
          <w:sz w:val="24"/>
          <w:szCs w:val="24"/>
          <w:shd w:val="clear" w:color="auto" w:fill="FFFFFF"/>
        </w:rPr>
        <w:t xml:space="preserve"> index values of all specimens (Figure 2). This suggested poor flowability, which may make tablet manufacturing more difficult [18]. The compressibility of the powder blend significantly increased as the polymer content increased. According to this, powder</w:t>
      </w:r>
      <w:r>
        <w:rPr>
          <w:rFonts w:ascii="Times New Roman" w:eastAsia="Segoe UI" w:hAnsi="Times New Roman"/>
          <w:color w:val="242424"/>
          <w:sz w:val="24"/>
          <w:szCs w:val="24"/>
          <w:shd w:val="clear" w:color="auto" w:fill="FFFFFF"/>
        </w:rPr>
        <w:t xml:space="preserve"> mixes that contained more polymers are more compressible and less free-flowing.</w:t>
      </w:r>
      <w:r>
        <w:t xml:space="preserve">     </w:t>
      </w:r>
    </w:p>
    <w:p w14:paraId="46D44C85" w14:textId="77777777" w:rsidR="00990066" w:rsidRDefault="005243B0">
      <w:pPr>
        <w:spacing w:line="360" w:lineRule="auto"/>
        <w:jc w:val="center"/>
      </w:pPr>
      <w:r>
        <w:rPr>
          <w:noProof/>
        </w:rPr>
        <w:drawing>
          <wp:inline distT="0" distB="0" distL="114300" distR="114300" wp14:anchorId="0D0A632E" wp14:editId="628BA524">
            <wp:extent cx="5778500" cy="2294255"/>
            <wp:effectExtent l="6350" t="6350" r="6350" b="23495"/>
            <wp:docPr id="24"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9886F52" w14:textId="77777777" w:rsidR="00990066" w:rsidRDefault="005243B0">
      <w:pPr>
        <w:spacing w:line="360" w:lineRule="auto"/>
        <w:ind w:firstLineChars="700" w:firstLine="1400"/>
        <w:jc w:val="both"/>
        <w:rPr>
          <w:rFonts w:ascii="Times New Roman" w:eastAsia="Cambria" w:hAnsi="Times New Roman" w:cs="Times New Roman"/>
          <w:color w:val="000000"/>
          <w:sz w:val="24"/>
          <w:szCs w:val="24"/>
        </w:rPr>
      </w:pPr>
      <w:r>
        <w:t xml:space="preserve"> </w:t>
      </w:r>
      <w:r>
        <w:rPr>
          <w:rFonts w:ascii="Times New Roman" w:eastAsia="Cambria" w:hAnsi="Times New Roman" w:cs="Times New Roman"/>
          <w:color w:val="000000"/>
          <w:sz w:val="24"/>
          <w:szCs w:val="24"/>
        </w:rPr>
        <w:t>Figure 2. Effect of ULTRAMOD</w:t>
      </w:r>
      <w:r>
        <w:rPr>
          <w:rFonts w:ascii="Times New Roman" w:eastAsia="Segoe UI" w:hAnsi="Times New Roman" w:cs="Times New Roman"/>
          <w:color w:val="242424"/>
          <w:shd w:val="clear" w:color="auto" w:fill="FFFFFF"/>
          <w:vertAlign w:val="superscript"/>
          <w:lang w:bidi="ar"/>
        </w:rPr>
        <w:t>TM</w:t>
      </w:r>
      <w:r>
        <w:rPr>
          <w:rFonts w:ascii="Times New Roman" w:eastAsia="Cambria" w:hAnsi="Times New Roman" w:cs="Times New Roman"/>
          <w:color w:val="000000"/>
          <w:sz w:val="24"/>
          <w:szCs w:val="24"/>
          <w:vertAlign w:val="superscript"/>
        </w:rPr>
        <w:t xml:space="preserve"> </w:t>
      </w:r>
      <w:r>
        <w:rPr>
          <w:rFonts w:ascii="Times New Roman" w:eastAsia="Cambria" w:hAnsi="Times New Roman" w:cs="Times New Roman"/>
          <w:color w:val="000000"/>
          <w:sz w:val="24"/>
          <w:szCs w:val="24"/>
        </w:rPr>
        <w:t xml:space="preserve">polymer premix concentration on flow properties </w:t>
      </w:r>
    </w:p>
    <w:p w14:paraId="622370EF" w14:textId="77777777" w:rsidR="00990066" w:rsidRDefault="005243B0">
      <w:pPr>
        <w:spacing w:line="360" w:lineRule="auto"/>
        <w:ind w:firstLineChars="1200" w:firstLine="2880"/>
        <w:jc w:val="both"/>
        <w:rPr>
          <w:rFonts w:ascii="Times New Roman" w:eastAsia="Cambria" w:hAnsi="Times New Roman" w:cs="Times New Roman"/>
          <w:b/>
          <w:bCs/>
          <w:color w:val="000000"/>
          <w:sz w:val="24"/>
          <w:szCs w:val="24"/>
          <w:lang w:eastAsia="en-IN"/>
        </w:rPr>
      </w:pPr>
      <w:r>
        <w:rPr>
          <w:rFonts w:ascii="Times New Roman" w:eastAsia="Cambria" w:hAnsi="Times New Roman" w:cs="Times New Roman"/>
          <w:color w:val="000000" w:themeColor="text1"/>
          <w:sz w:val="24"/>
          <w:szCs w:val="24"/>
        </w:rPr>
        <w:t>and compressibility of various formulations, F1 -</w:t>
      </w:r>
      <w:r>
        <w:rPr>
          <w:rFonts w:ascii="Times New Roman" w:eastAsia="Cambria" w:hAnsi="Times New Roman" w:cs="Times New Roman"/>
          <w:b/>
          <w:bCs/>
          <w:color w:val="000000" w:themeColor="text1"/>
          <w:sz w:val="24"/>
          <w:szCs w:val="24"/>
        </w:rPr>
        <w:t xml:space="preserve"> </w:t>
      </w:r>
      <w:r>
        <w:rPr>
          <w:rFonts w:ascii="Times New Roman" w:eastAsia="Cambria" w:hAnsi="Times New Roman" w:cs="Times New Roman"/>
          <w:color w:val="000000" w:themeColor="text1"/>
          <w:sz w:val="24"/>
          <w:szCs w:val="24"/>
        </w:rPr>
        <w:t>F6</w:t>
      </w:r>
    </w:p>
    <w:p w14:paraId="04B059FE" w14:textId="77777777" w:rsidR="00990066" w:rsidRDefault="005243B0">
      <w:pPr>
        <w:spacing w:line="360" w:lineRule="auto"/>
        <w:jc w:val="both"/>
        <w:rPr>
          <w:rFonts w:ascii="Times New Roman" w:eastAsia="SimSun" w:hAnsi="Times New Roman" w:cs="Times New Roman"/>
          <w:color w:val="000000"/>
          <w:sz w:val="24"/>
          <w:szCs w:val="24"/>
        </w:rPr>
      </w:pPr>
      <w:r>
        <w:rPr>
          <w:rFonts w:ascii="Times New Roman" w:eastAsia="Cambria" w:hAnsi="Times New Roman" w:cs="Times New Roman"/>
          <w:b/>
          <w:bCs/>
          <w:color w:val="000000"/>
          <w:sz w:val="24"/>
          <w:szCs w:val="24"/>
          <w:lang w:eastAsia="en-IN"/>
        </w:rPr>
        <w:t xml:space="preserve">3.1.2 </w:t>
      </w:r>
      <w:r>
        <w:rPr>
          <w:rFonts w:ascii="Times New Roman" w:eastAsia="Cambria" w:hAnsi="Times New Roman" w:cs="Times New Roman"/>
          <w:color w:val="000000"/>
          <w:sz w:val="24"/>
          <w:szCs w:val="24"/>
          <w:lang w:eastAsia="en-IN"/>
        </w:rPr>
        <w:t xml:space="preserve">Evaluation of physical parameters of </w:t>
      </w:r>
      <w:r>
        <w:rPr>
          <w:rFonts w:ascii="Times New Roman" w:eastAsia="SimSun" w:hAnsi="Times New Roman" w:cs="Times New Roman"/>
          <w:color w:val="000000"/>
          <w:sz w:val="24"/>
          <w:szCs w:val="24"/>
        </w:rPr>
        <w:t>metformin hydrochloride extended release tablet</w:t>
      </w:r>
    </w:p>
    <w:p w14:paraId="7C791E97" w14:textId="77777777" w:rsidR="00990066" w:rsidRDefault="005243B0">
      <w:pPr>
        <w:spacing w:line="360" w:lineRule="auto"/>
        <w:jc w:val="both"/>
        <w:rPr>
          <w:rFonts w:ascii="Times New Roman" w:eastAsia="Segoe UI" w:hAnsi="Times New Roman" w:cs="Times New Roman"/>
          <w:sz w:val="24"/>
          <w:szCs w:val="24"/>
          <w:shd w:val="clear" w:color="auto" w:fill="FFFFFF"/>
          <w:lang w:bidi="ar"/>
        </w:rPr>
      </w:pPr>
      <w:r>
        <w:rPr>
          <w:rFonts w:ascii="Times New Roman" w:eastAsia="Segoe UI" w:hAnsi="Times New Roman" w:cs="Times New Roman"/>
          <w:sz w:val="24"/>
          <w:szCs w:val="24"/>
          <w:shd w:val="clear" w:color="auto" w:fill="FFFFFF"/>
          <w:lang w:bidi="ar"/>
        </w:rPr>
        <w:t xml:space="preserve">In the present work, matrix type metformin HCl tablets were prepared by direct compression technique. </w:t>
      </w:r>
    </w:p>
    <w:p w14:paraId="4D978555" w14:textId="77777777" w:rsidR="00990066" w:rsidRDefault="005243B0">
      <w:pPr>
        <w:spacing w:line="360" w:lineRule="auto"/>
        <w:jc w:val="both"/>
        <w:rPr>
          <w:rFonts w:ascii="Times New Roman" w:eastAsia="SimSun" w:hAnsi="Times New Roman" w:cs="Times New Roman"/>
          <w:color w:val="000000"/>
          <w:sz w:val="24"/>
          <w:szCs w:val="24"/>
        </w:rPr>
      </w:pPr>
      <w:r>
        <w:rPr>
          <w:rFonts w:ascii="Times New Roman" w:eastAsia="Segoe UI" w:hAnsi="Times New Roman"/>
          <w:b/>
          <w:bCs/>
          <w:sz w:val="24"/>
          <w:szCs w:val="24"/>
          <w:shd w:val="clear" w:color="auto" w:fill="FFFFFF"/>
        </w:rPr>
        <w:t xml:space="preserve">3.1.2.1 </w:t>
      </w:r>
      <w:r>
        <w:rPr>
          <w:rFonts w:ascii="Times New Roman" w:eastAsia="Segoe UI" w:hAnsi="Times New Roman"/>
          <w:sz w:val="24"/>
          <w:szCs w:val="24"/>
          <w:shd w:val="clear" w:color="auto" w:fill="FFFFFF"/>
        </w:rPr>
        <w:t xml:space="preserve">Properties of </w:t>
      </w:r>
      <w:r>
        <w:rPr>
          <w:rFonts w:ascii="Times New Roman" w:eastAsia="SimSun" w:hAnsi="Times New Roman" w:cs="Times New Roman"/>
          <w:color w:val="000000"/>
          <w:sz w:val="24"/>
          <w:szCs w:val="24"/>
        </w:rPr>
        <w:t>metformin hydrochloride extended release table</w:t>
      </w:r>
      <w:r>
        <w:rPr>
          <w:rFonts w:ascii="Times New Roman" w:eastAsia="SimSun" w:hAnsi="Times New Roman" w:cs="Times New Roman"/>
          <w:color w:val="000000"/>
          <w:sz w:val="24"/>
          <w:szCs w:val="24"/>
        </w:rPr>
        <w:t>ts</w:t>
      </w:r>
    </w:p>
    <w:p w14:paraId="48E2FF18" w14:textId="77777777" w:rsidR="00990066" w:rsidRDefault="005243B0">
      <w:pPr>
        <w:spacing w:line="360" w:lineRule="auto"/>
        <w:jc w:val="both"/>
        <w:rPr>
          <w:rFonts w:ascii="Times New Roman" w:hAnsi="Times New Roman"/>
          <w:b/>
          <w:bCs/>
          <w:sz w:val="24"/>
          <w:szCs w:val="24"/>
        </w:rPr>
      </w:pPr>
      <w:r>
        <w:rPr>
          <w:rFonts w:ascii="Times New Roman" w:eastAsia="Segoe UI" w:hAnsi="Times New Roman" w:cs="Times New Roman"/>
          <w:sz w:val="24"/>
          <w:szCs w:val="24"/>
          <w:shd w:val="clear" w:color="auto" w:fill="FFFFFF"/>
          <w:lang w:bidi="ar"/>
        </w:rPr>
        <w:t>Their physical parameters such as weight variation, hardness, thickness and friability as essential indicators of quality and consistency were evaluated. T</w:t>
      </w:r>
      <w:r>
        <w:rPr>
          <w:rFonts w:ascii="Times New Roman" w:eastAsia="Cambria" w:hAnsi="Times New Roman" w:cs="Times New Roman"/>
          <w:sz w:val="24"/>
          <w:szCs w:val="24"/>
          <w:lang w:eastAsia="en-IN"/>
        </w:rPr>
        <w:t>ablet formulations containing F3 showed better appearance, minimal visual defects and smooth edges</w:t>
      </w:r>
      <w:r>
        <w:rPr>
          <w:rFonts w:ascii="Times New Roman" w:eastAsia="Cambria" w:hAnsi="Times New Roman" w:cs="Times New Roman"/>
          <w:sz w:val="24"/>
          <w:szCs w:val="24"/>
          <w:lang w:eastAsia="en-IN"/>
        </w:rPr>
        <w:t xml:space="preserve">, which were evaluated based on visual observation than the tablets containing F1, F2, F4, F5 and F6 formulations. All the tablets passed the weight variation test, as the </w:t>
      </w:r>
      <w:r>
        <w:rPr>
          <w:rFonts w:ascii="Times New Roman" w:eastAsia="Cambria" w:hAnsi="Times New Roman"/>
          <w:sz w:val="24"/>
          <w:szCs w:val="24"/>
          <w:lang w:eastAsia="en-IN"/>
        </w:rPr>
        <w:t>percentage weight variation</w:t>
      </w:r>
      <w:r>
        <w:rPr>
          <w:rFonts w:ascii="Times New Roman" w:eastAsia="Cambria" w:hAnsi="Times New Roman" w:cs="Times New Roman"/>
          <w:sz w:val="24"/>
          <w:szCs w:val="24"/>
          <w:lang w:eastAsia="en-IN"/>
        </w:rPr>
        <w:t xml:space="preserve"> was within </w:t>
      </w:r>
      <w:proofErr w:type="spellStart"/>
      <w:r>
        <w:rPr>
          <w:rFonts w:ascii="Times New Roman" w:eastAsia="Cambria" w:hAnsi="Times New Roman" w:cs="Times New Roman"/>
          <w:sz w:val="24"/>
          <w:szCs w:val="24"/>
          <w:lang w:eastAsia="en-IN"/>
        </w:rPr>
        <w:t>pharmacopoeial</w:t>
      </w:r>
      <w:proofErr w:type="spellEnd"/>
      <w:r>
        <w:rPr>
          <w:rFonts w:ascii="Times New Roman" w:eastAsia="Cambria" w:hAnsi="Times New Roman" w:cs="Times New Roman"/>
          <w:sz w:val="24"/>
          <w:szCs w:val="24"/>
          <w:lang w:eastAsia="en-IN"/>
        </w:rPr>
        <w:t xml:space="preserve"> limits of ±5% of the weight </w:t>
      </w:r>
      <w:r>
        <w:rPr>
          <w:rFonts w:ascii="Times New Roman" w:eastAsia="Segoe UI" w:hAnsi="Times New Roman"/>
          <w:sz w:val="24"/>
          <w:szCs w:val="24"/>
          <w:shd w:val="clear" w:color="auto" w:fill="FFFFFF"/>
        </w:rPr>
        <w:t>as</w:t>
      </w:r>
      <w:r>
        <w:rPr>
          <w:rFonts w:ascii="Times New Roman" w:eastAsia="Segoe UI" w:hAnsi="Times New Roman"/>
          <w:sz w:val="24"/>
          <w:szCs w:val="24"/>
          <w:shd w:val="clear" w:color="auto" w:fill="FFFFFF"/>
        </w:rPr>
        <w:t xml:space="preserve"> mentioned in table 3</w:t>
      </w:r>
      <w:r>
        <w:rPr>
          <w:rFonts w:ascii="Times New Roman" w:eastAsia="Cambria" w:hAnsi="Times New Roman" w:cs="Times New Roman"/>
          <w:sz w:val="24"/>
          <w:szCs w:val="24"/>
          <w:lang w:eastAsia="en-IN"/>
        </w:rPr>
        <w:t xml:space="preserve">. </w:t>
      </w:r>
      <w:r>
        <w:rPr>
          <w:rFonts w:ascii="Times New Roman" w:eastAsia="Segoe UI" w:hAnsi="Times New Roman"/>
          <w:sz w:val="24"/>
          <w:szCs w:val="24"/>
          <w:shd w:val="clear" w:color="auto" w:fill="FFFFFF"/>
        </w:rPr>
        <w:t>Tablet hardness is an essential parameter, as it impacts on the drug's release profile and their mechanical stability. Formulation F1 exhibited the highest hardness 11.84 ± 0.14 [</w:t>
      </w:r>
      <w:proofErr w:type="spellStart"/>
      <w:r>
        <w:rPr>
          <w:rFonts w:ascii="Times New Roman" w:eastAsia="Segoe UI" w:hAnsi="Times New Roman"/>
          <w:sz w:val="24"/>
          <w:szCs w:val="24"/>
          <w:shd w:val="clear" w:color="auto" w:fill="FFFFFF"/>
        </w:rPr>
        <w:t>Kp</w:t>
      </w:r>
      <w:proofErr w:type="spellEnd"/>
      <w:r>
        <w:rPr>
          <w:rFonts w:ascii="Times New Roman" w:eastAsia="Segoe UI" w:hAnsi="Times New Roman"/>
          <w:sz w:val="24"/>
          <w:szCs w:val="24"/>
          <w:shd w:val="clear" w:color="auto" w:fill="FFFFFF"/>
        </w:rPr>
        <w:t>(</w:t>
      </w:r>
      <w:proofErr w:type="spellStart"/>
      <w:r>
        <w:rPr>
          <w:rFonts w:ascii="Times New Roman" w:eastAsia="Segoe UI" w:hAnsi="Times New Roman"/>
          <w:sz w:val="24"/>
          <w:szCs w:val="24"/>
          <w:shd w:val="clear" w:color="auto" w:fill="FFFFFF"/>
        </w:rPr>
        <w:t>kgf</w:t>
      </w:r>
      <w:proofErr w:type="spellEnd"/>
      <w:r>
        <w:rPr>
          <w:rFonts w:ascii="Times New Roman" w:eastAsia="Segoe UI" w:hAnsi="Times New Roman"/>
          <w:sz w:val="24"/>
          <w:szCs w:val="24"/>
          <w:shd w:val="clear" w:color="auto" w:fill="FFFFFF"/>
        </w:rPr>
        <w:t>)], while formulation F5 showed the least hardne</w:t>
      </w:r>
      <w:r>
        <w:rPr>
          <w:rFonts w:ascii="Times New Roman" w:eastAsia="Segoe UI" w:hAnsi="Times New Roman"/>
          <w:sz w:val="24"/>
          <w:szCs w:val="24"/>
          <w:shd w:val="clear" w:color="auto" w:fill="FFFFFF"/>
        </w:rPr>
        <w:t>ss 9.26 ± 1.91 [</w:t>
      </w:r>
      <w:proofErr w:type="spellStart"/>
      <w:r>
        <w:rPr>
          <w:rFonts w:ascii="Times New Roman" w:eastAsia="Segoe UI" w:hAnsi="Times New Roman"/>
          <w:sz w:val="24"/>
          <w:szCs w:val="24"/>
          <w:shd w:val="clear" w:color="auto" w:fill="FFFFFF"/>
        </w:rPr>
        <w:t>Kp</w:t>
      </w:r>
      <w:proofErr w:type="spellEnd"/>
      <w:r>
        <w:rPr>
          <w:rFonts w:ascii="Times New Roman" w:eastAsia="Segoe UI" w:hAnsi="Times New Roman"/>
          <w:sz w:val="24"/>
          <w:szCs w:val="24"/>
          <w:shd w:val="clear" w:color="auto" w:fill="FFFFFF"/>
        </w:rPr>
        <w:t>(</w:t>
      </w:r>
      <w:proofErr w:type="spellStart"/>
      <w:r>
        <w:rPr>
          <w:rFonts w:ascii="Times New Roman" w:eastAsia="Segoe UI" w:hAnsi="Times New Roman"/>
          <w:sz w:val="24"/>
          <w:szCs w:val="24"/>
          <w:shd w:val="clear" w:color="auto" w:fill="FFFFFF"/>
        </w:rPr>
        <w:t>kgf</w:t>
      </w:r>
      <w:proofErr w:type="spellEnd"/>
      <w:r>
        <w:rPr>
          <w:rFonts w:ascii="Times New Roman" w:eastAsia="Segoe UI" w:hAnsi="Times New Roman"/>
          <w:sz w:val="24"/>
          <w:szCs w:val="24"/>
          <w:shd w:val="clear" w:color="auto" w:fill="FFFFFF"/>
        </w:rPr>
        <w:t>)] as mentioned in Table 3. The decrease in hardness from F1 to F5 suggests that increased ULTRAMOD</w:t>
      </w:r>
      <w:r>
        <w:rPr>
          <w:rFonts w:ascii="Times New Roman" w:eastAsia="Segoe UI" w:hAnsi="Times New Roman"/>
          <w:sz w:val="24"/>
          <w:szCs w:val="24"/>
          <w:shd w:val="clear" w:color="auto" w:fill="FFFFFF"/>
          <w:vertAlign w:val="superscript"/>
        </w:rPr>
        <w:t>™</w:t>
      </w:r>
      <w:r>
        <w:rPr>
          <w:rFonts w:ascii="Times New Roman" w:eastAsia="Segoe UI" w:hAnsi="Times New Roman"/>
          <w:sz w:val="24"/>
          <w:szCs w:val="24"/>
          <w:shd w:val="clear" w:color="auto" w:fill="FFFFFF"/>
        </w:rPr>
        <w:t xml:space="preserve"> polymer matrix concentration might result lower the tablet hardness at applied compression forces. This trend could impact the release characteristics of the drug, as softer tablets tend to disintegrate more readily. </w:t>
      </w:r>
    </w:p>
    <w:p w14:paraId="4761272A" w14:textId="77777777" w:rsidR="00990066" w:rsidRDefault="005243B0">
      <w:pPr>
        <w:spacing w:line="360" w:lineRule="auto"/>
        <w:jc w:val="both"/>
        <w:rPr>
          <w:rFonts w:ascii="Times New Roman" w:hAnsi="Times New Roman"/>
          <w:b/>
          <w:bCs/>
          <w:sz w:val="24"/>
          <w:szCs w:val="24"/>
        </w:rPr>
      </w:pPr>
      <w:r>
        <w:rPr>
          <w:rFonts w:ascii="Times New Roman" w:hAnsi="Times New Roman"/>
          <w:b/>
          <w:bCs/>
          <w:sz w:val="24"/>
          <w:szCs w:val="24"/>
        </w:rPr>
        <w:t xml:space="preserve">Table 3 </w:t>
      </w:r>
    </w:p>
    <w:p w14:paraId="7528623A" w14:textId="77777777" w:rsidR="00990066" w:rsidRDefault="005243B0">
      <w:pPr>
        <w:spacing w:line="360" w:lineRule="auto"/>
        <w:jc w:val="both"/>
        <w:rPr>
          <w:rFonts w:ascii="Times New Roman" w:hAnsi="Times New Roman"/>
          <w:sz w:val="24"/>
          <w:szCs w:val="24"/>
        </w:rPr>
      </w:pPr>
      <w:r>
        <w:rPr>
          <w:rFonts w:ascii="Times New Roman" w:hAnsi="Times New Roman"/>
          <w:sz w:val="24"/>
          <w:szCs w:val="24"/>
        </w:rPr>
        <w:t>Physical properties of metformin hydrochloride extended release tablets of all formulation</w:t>
      </w:r>
    </w:p>
    <w:tbl>
      <w:tblPr>
        <w:tblStyle w:val="TableGrid"/>
        <w:tblpPr w:leftFromText="180" w:rightFromText="180" w:vertAnchor="text" w:horzAnchor="page" w:tblpX="850" w:tblpY="7"/>
        <w:tblOverlap w:val="never"/>
        <w:tblW w:w="0" w:type="auto"/>
        <w:tblLayout w:type="fixed"/>
        <w:tblLook w:val="04A0" w:firstRow="1" w:lastRow="0" w:firstColumn="1" w:lastColumn="0" w:noHBand="0" w:noVBand="1"/>
      </w:tblPr>
      <w:tblGrid>
        <w:gridCol w:w="2314"/>
        <w:gridCol w:w="2276"/>
        <w:gridCol w:w="2130"/>
        <w:gridCol w:w="1920"/>
        <w:gridCol w:w="1679"/>
      </w:tblGrid>
      <w:tr w:rsidR="00990066" w14:paraId="6D492528" w14:textId="77777777">
        <w:trPr>
          <w:trHeight w:val="317"/>
        </w:trPr>
        <w:tc>
          <w:tcPr>
            <w:tcW w:w="2314" w:type="dxa"/>
            <w:vMerge w:val="restart"/>
            <w:tcBorders>
              <w:top w:val="single" w:sz="4" w:space="0" w:color="auto"/>
              <w:left w:val="nil"/>
              <w:bottom w:val="nil"/>
              <w:right w:val="nil"/>
            </w:tcBorders>
            <w:vAlign w:val="center"/>
          </w:tcPr>
          <w:p w14:paraId="294D4175" w14:textId="77777777" w:rsidR="00990066" w:rsidRDefault="005243B0">
            <w:pPr>
              <w:jc w:val="center"/>
              <w:rPr>
                <w:rFonts w:ascii="Times New Roman" w:hAnsi="Times New Roman" w:cs="Times New Roman"/>
                <w:sz w:val="24"/>
                <w:szCs w:val="24"/>
              </w:rPr>
            </w:pPr>
            <w:r>
              <w:rPr>
                <w:rFonts w:ascii="Times New Roman" w:hAnsi="Times New Roman" w:cs="Times New Roman"/>
                <w:sz w:val="24"/>
                <w:szCs w:val="24"/>
              </w:rPr>
              <w:t xml:space="preserve">Formulation </w:t>
            </w:r>
          </w:p>
        </w:tc>
        <w:tc>
          <w:tcPr>
            <w:tcW w:w="8005" w:type="dxa"/>
            <w:gridSpan w:val="4"/>
            <w:tcBorders>
              <w:top w:val="single" w:sz="4" w:space="0" w:color="auto"/>
              <w:left w:val="nil"/>
              <w:bottom w:val="single" w:sz="4" w:space="0" w:color="auto"/>
              <w:right w:val="nil"/>
            </w:tcBorders>
            <w:vAlign w:val="center"/>
          </w:tcPr>
          <w:p w14:paraId="13D4FF0C" w14:textId="77777777" w:rsidR="00990066" w:rsidRDefault="005243B0">
            <w:pPr>
              <w:jc w:val="center"/>
              <w:rPr>
                <w:rFonts w:ascii="Times New Roman" w:hAnsi="Times New Roman" w:cs="Times New Roman"/>
                <w:sz w:val="24"/>
                <w:szCs w:val="24"/>
              </w:rPr>
            </w:pPr>
            <w:r>
              <w:rPr>
                <w:rFonts w:ascii="Times New Roman" w:hAnsi="Times New Roman" w:cs="Times New Roman"/>
                <w:sz w:val="24"/>
                <w:szCs w:val="24"/>
                <w:lang w:eastAsia="en-IN"/>
              </w:rPr>
              <w:t xml:space="preserve">          Observations</w:t>
            </w:r>
          </w:p>
        </w:tc>
      </w:tr>
      <w:tr w:rsidR="00990066" w14:paraId="53976B4D" w14:textId="77777777">
        <w:trPr>
          <w:trHeight w:val="523"/>
        </w:trPr>
        <w:tc>
          <w:tcPr>
            <w:tcW w:w="2314" w:type="dxa"/>
            <w:vMerge/>
            <w:tcBorders>
              <w:top w:val="nil"/>
              <w:left w:val="nil"/>
              <w:bottom w:val="single" w:sz="4" w:space="0" w:color="auto"/>
              <w:right w:val="nil"/>
            </w:tcBorders>
            <w:vAlign w:val="center"/>
          </w:tcPr>
          <w:p w14:paraId="2A235968" w14:textId="77777777" w:rsidR="00990066" w:rsidRDefault="00990066">
            <w:pPr>
              <w:jc w:val="center"/>
              <w:rPr>
                <w:rFonts w:ascii="Times New Roman" w:hAnsi="Times New Roman" w:cs="Times New Roman"/>
                <w:sz w:val="24"/>
                <w:szCs w:val="24"/>
              </w:rPr>
            </w:pPr>
          </w:p>
        </w:tc>
        <w:tc>
          <w:tcPr>
            <w:tcW w:w="2276" w:type="dxa"/>
            <w:tcBorders>
              <w:top w:val="single" w:sz="4" w:space="0" w:color="auto"/>
              <w:left w:val="nil"/>
              <w:bottom w:val="single" w:sz="4" w:space="0" w:color="auto"/>
              <w:right w:val="nil"/>
            </w:tcBorders>
            <w:vAlign w:val="center"/>
          </w:tcPr>
          <w:p w14:paraId="2929B796" w14:textId="77777777" w:rsidR="00990066" w:rsidRDefault="005243B0">
            <w:pPr>
              <w:jc w:val="center"/>
              <w:rPr>
                <w:rFonts w:ascii="Times New Roman" w:hAnsi="Times New Roman" w:cs="Times New Roman"/>
                <w:sz w:val="24"/>
                <w:szCs w:val="24"/>
              </w:rPr>
            </w:pPr>
            <w:r>
              <w:rPr>
                <w:rFonts w:ascii="Times New Roman" w:hAnsi="Times New Roman" w:cs="Times New Roman"/>
                <w:sz w:val="24"/>
                <w:szCs w:val="24"/>
              </w:rPr>
              <w:t xml:space="preserve"> Weight variation (mg)</w:t>
            </w:r>
          </w:p>
        </w:tc>
        <w:tc>
          <w:tcPr>
            <w:tcW w:w="2130" w:type="dxa"/>
            <w:tcBorders>
              <w:top w:val="single" w:sz="4" w:space="0" w:color="auto"/>
              <w:left w:val="nil"/>
              <w:bottom w:val="single" w:sz="4" w:space="0" w:color="auto"/>
              <w:right w:val="nil"/>
            </w:tcBorders>
            <w:vAlign w:val="center"/>
          </w:tcPr>
          <w:p w14:paraId="4074AFF0" w14:textId="77777777" w:rsidR="00990066" w:rsidRDefault="005243B0">
            <w:pPr>
              <w:jc w:val="center"/>
              <w:rPr>
                <w:rFonts w:ascii="Times New Roman" w:hAnsi="Times New Roman" w:cs="Times New Roman"/>
                <w:sz w:val="24"/>
                <w:szCs w:val="24"/>
              </w:rPr>
            </w:pPr>
            <w:r>
              <w:rPr>
                <w:rFonts w:ascii="Times New Roman" w:hAnsi="Times New Roman" w:cs="Times New Roman"/>
                <w:sz w:val="24"/>
                <w:szCs w:val="24"/>
              </w:rPr>
              <w:t xml:space="preserve">Hardness </w:t>
            </w:r>
            <w:r>
              <w:rPr>
                <w:rFonts w:ascii="Times New Roman" w:hAnsi="Times New Roman" w:cs="Times New Roman"/>
                <w:sz w:val="24"/>
                <w:szCs w:val="24"/>
                <w:lang w:eastAsia="en-IN"/>
              </w:rPr>
              <w:t>[</w:t>
            </w:r>
            <w:proofErr w:type="spellStart"/>
            <w:r>
              <w:rPr>
                <w:rFonts w:ascii="Times New Roman" w:hAnsi="Times New Roman" w:cs="Times New Roman"/>
                <w:sz w:val="24"/>
                <w:szCs w:val="24"/>
                <w:lang w:eastAsia="en-IN"/>
              </w:rPr>
              <w:t>Kp</w:t>
            </w:r>
            <w:proofErr w:type="spellEnd"/>
            <w:r>
              <w:rPr>
                <w:rFonts w:ascii="Times New Roman" w:hAnsi="Times New Roman" w:cs="Times New Roman"/>
                <w:sz w:val="24"/>
                <w:szCs w:val="24"/>
                <w:lang w:eastAsia="en-IN"/>
              </w:rPr>
              <w:t>(</w:t>
            </w:r>
            <w:proofErr w:type="spellStart"/>
            <w:r>
              <w:rPr>
                <w:rFonts w:ascii="Times New Roman" w:hAnsi="Times New Roman" w:cs="Times New Roman"/>
                <w:sz w:val="24"/>
                <w:szCs w:val="24"/>
                <w:lang w:eastAsia="en-IN"/>
              </w:rPr>
              <w:t>kgf</w:t>
            </w:r>
            <w:proofErr w:type="spellEnd"/>
            <w:r>
              <w:rPr>
                <w:rFonts w:ascii="Times New Roman" w:hAnsi="Times New Roman" w:cs="Times New Roman"/>
                <w:sz w:val="24"/>
                <w:szCs w:val="24"/>
                <w:lang w:eastAsia="en-IN"/>
              </w:rPr>
              <w:t>)]</w:t>
            </w:r>
          </w:p>
        </w:tc>
        <w:tc>
          <w:tcPr>
            <w:tcW w:w="1920" w:type="dxa"/>
            <w:tcBorders>
              <w:top w:val="single" w:sz="4" w:space="0" w:color="auto"/>
              <w:left w:val="nil"/>
              <w:bottom w:val="single" w:sz="4" w:space="0" w:color="auto"/>
              <w:right w:val="nil"/>
            </w:tcBorders>
            <w:vAlign w:val="center"/>
          </w:tcPr>
          <w:p w14:paraId="578E57BD" w14:textId="77777777" w:rsidR="00990066" w:rsidRDefault="005243B0">
            <w:pPr>
              <w:jc w:val="center"/>
              <w:rPr>
                <w:rFonts w:ascii="Times New Roman" w:hAnsi="Times New Roman" w:cs="Times New Roman"/>
                <w:sz w:val="24"/>
                <w:szCs w:val="24"/>
              </w:rPr>
            </w:pPr>
            <w:r>
              <w:rPr>
                <w:rFonts w:ascii="Times New Roman" w:hAnsi="Times New Roman" w:cs="Times New Roman"/>
                <w:sz w:val="24"/>
                <w:szCs w:val="24"/>
              </w:rPr>
              <w:t>Thickness (mm)</w:t>
            </w:r>
          </w:p>
        </w:tc>
        <w:tc>
          <w:tcPr>
            <w:tcW w:w="1679" w:type="dxa"/>
            <w:tcBorders>
              <w:top w:val="single" w:sz="4" w:space="0" w:color="auto"/>
              <w:left w:val="nil"/>
              <w:bottom w:val="single" w:sz="4" w:space="0" w:color="auto"/>
              <w:right w:val="nil"/>
            </w:tcBorders>
            <w:vAlign w:val="center"/>
          </w:tcPr>
          <w:p w14:paraId="0AC8C76E" w14:textId="77777777" w:rsidR="00990066" w:rsidRDefault="005243B0">
            <w:pPr>
              <w:jc w:val="center"/>
              <w:rPr>
                <w:rFonts w:ascii="Times New Roman" w:hAnsi="Times New Roman" w:cs="Times New Roman"/>
                <w:sz w:val="24"/>
                <w:szCs w:val="24"/>
              </w:rPr>
            </w:pPr>
            <w:r>
              <w:rPr>
                <w:rFonts w:ascii="Times New Roman" w:hAnsi="Times New Roman" w:cs="Times New Roman"/>
                <w:sz w:val="24"/>
                <w:szCs w:val="24"/>
              </w:rPr>
              <w:t>Friability (%)</w:t>
            </w:r>
          </w:p>
        </w:tc>
      </w:tr>
      <w:tr w:rsidR="00990066" w14:paraId="2A35AE30" w14:textId="77777777">
        <w:trPr>
          <w:trHeight w:val="354"/>
        </w:trPr>
        <w:tc>
          <w:tcPr>
            <w:tcW w:w="2314" w:type="dxa"/>
            <w:tcBorders>
              <w:top w:val="single" w:sz="4" w:space="0" w:color="auto"/>
              <w:left w:val="nil"/>
              <w:bottom w:val="nil"/>
              <w:right w:val="nil"/>
            </w:tcBorders>
            <w:vAlign w:val="center"/>
          </w:tcPr>
          <w:p w14:paraId="72FC467B" w14:textId="77777777" w:rsidR="00990066" w:rsidRDefault="005243B0">
            <w:pPr>
              <w:jc w:val="center"/>
              <w:rPr>
                <w:rFonts w:ascii="Times New Roman" w:hAnsi="Times New Roman" w:cs="Times New Roman"/>
                <w:sz w:val="24"/>
                <w:szCs w:val="24"/>
              </w:rPr>
            </w:pPr>
            <w:r>
              <w:rPr>
                <w:rFonts w:ascii="Times New Roman" w:hAnsi="Times New Roman" w:cs="Times New Roman"/>
                <w:sz w:val="24"/>
                <w:szCs w:val="24"/>
              </w:rPr>
              <w:lastRenderedPageBreak/>
              <w:t>F1</w:t>
            </w:r>
          </w:p>
        </w:tc>
        <w:tc>
          <w:tcPr>
            <w:tcW w:w="2276" w:type="dxa"/>
            <w:tcBorders>
              <w:top w:val="single" w:sz="4" w:space="0" w:color="auto"/>
              <w:left w:val="nil"/>
              <w:bottom w:val="nil"/>
              <w:right w:val="nil"/>
            </w:tcBorders>
            <w:vAlign w:val="center"/>
          </w:tcPr>
          <w:p w14:paraId="5328D0E6" w14:textId="77777777" w:rsidR="00990066" w:rsidRDefault="005243B0">
            <w:pPr>
              <w:jc w:val="center"/>
              <w:rPr>
                <w:rFonts w:ascii="Times New Roman" w:hAnsi="Times New Roman" w:cs="Times New Roman"/>
                <w:sz w:val="24"/>
                <w:szCs w:val="24"/>
              </w:rPr>
            </w:pPr>
            <w:r>
              <w:rPr>
                <w:rFonts w:ascii="Times New Roman" w:hAnsi="Times New Roman" w:cs="Times New Roman"/>
                <w:sz w:val="24"/>
                <w:szCs w:val="24"/>
              </w:rPr>
              <w:t xml:space="preserve">1001 </w:t>
            </w:r>
            <w:r>
              <w:rPr>
                <w:rFonts w:ascii="Times New Roman" w:hAnsi="Times New Roman" w:cs="Times New Roman"/>
                <w:sz w:val="24"/>
                <w:szCs w:val="24"/>
                <w:lang w:eastAsia="en-IN"/>
              </w:rPr>
              <w:t>± 0.08</w:t>
            </w:r>
          </w:p>
        </w:tc>
        <w:tc>
          <w:tcPr>
            <w:tcW w:w="2130" w:type="dxa"/>
            <w:tcBorders>
              <w:top w:val="single" w:sz="4" w:space="0" w:color="auto"/>
              <w:left w:val="nil"/>
              <w:bottom w:val="nil"/>
              <w:right w:val="nil"/>
            </w:tcBorders>
            <w:vAlign w:val="center"/>
          </w:tcPr>
          <w:p w14:paraId="5FE2D6E7" w14:textId="77777777" w:rsidR="00990066" w:rsidRDefault="005243B0">
            <w:pPr>
              <w:jc w:val="center"/>
              <w:rPr>
                <w:rFonts w:ascii="Times New Roman" w:hAnsi="Times New Roman" w:cs="Times New Roman"/>
                <w:sz w:val="24"/>
                <w:szCs w:val="24"/>
              </w:rPr>
            </w:pPr>
            <w:r>
              <w:rPr>
                <w:rFonts w:ascii="Times New Roman" w:hAnsi="Times New Roman" w:cs="Times New Roman"/>
                <w:sz w:val="24"/>
                <w:szCs w:val="24"/>
              </w:rPr>
              <w:t xml:space="preserve">11.84 </w:t>
            </w:r>
            <w:r>
              <w:rPr>
                <w:rFonts w:ascii="Times New Roman" w:hAnsi="Times New Roman" w:cs="Times New Roman"/>
                <w:sz w:val="24"/>
                <w:szCs w:val="24"/>
                <w:lang w:eastAsia="en-IN"/>
              </w:rPr>
              <w:t>± 0.14</w:t>
            </w:r>
          </w:p>
        </w:tc>
        <w:tc>
          <w:tcPr>
            <w:tcW w:w="1920" w:type="dxa"/>
            <w:tcBorders>
              <w:top w:val="single" w:sz="4" w:space="0" w:color="auto"/>
              <w:left w:val="nil"/>
              <w:bottom w:val="nil"/>
              <w:right w:val="nil"/>
            </w:tcBorders>
            <w:vAlign w:val="center"/>
          </w:tcPr>
          <w:p w14:paraId="1C5B4379" w14:textId="77777777" w:rsidR="00990066" w:rsidRDefault="005243B0">
            <w:pPr>
              <w:jc w:val="center"/>
              <w:rPr>
                <w:rFonts w:ascii="Times New Roman" w:hAnsi="Times New Roman" w:cs="Times New Roman"/>
                <w:sz w:val="24"/>
                <w:szCs w:val="24"/>
              </w:rPr>
            </w:pPr>
            <w:r>
              <w:rPr>
                <w:rFonts w:ascii="Times New Roman" w:hAnsi="Times New Roman" w:cs="Times New Roman"/>
                <w:sz w:val="24"/>
                <w:szCs w:val="24"/>
              </w:rPr>
              <w:t xml:space="preserve">4.82 </w:t>
            </w:r>
            <w:r>
              <w:rPr>
                <w:rFonts w:ascii="Times New Roman" w:hAnsi="Times New Roman" w:cs="Times New Roman"/>
                <w:sz w:val="24"/>
                <w:szCs w:val="24"/>
                <w:lang w:eastAsia="en-IN"/>
              </w:rPr>
              <w:t>± 0.07</w:t>
            </w:r>
          </w:p>
        </w:tc>
        <w:tc>
          <w:tcPr>
            <w:tcW w:w="1679" w:type="dxa"/>
            <w:tcBorders>
              <w:top w:val="single" w:sz="4" w:space="0" w:color="auto"/>
              <w:left w:val="nil"/>
              <w:bottom w:val="nil"/>
              <w:right w:val="nil"/>
            </w:tcBorders>
            <w:vAlign w:val="center"/>
          </w:tcPr>
          <w:p w14:paraId="74382D7B" w14:textId="77777777" w:rsidR="00990066" w:rsidRDefault="005243B0">
            <w:pPr>
              <w:jc w:val="center"/>
              <w:rPr>
                <w:rFonts w:ascii="Times New Roman" w:hAnsi="Times New Roman" w:cs="Times New Roman"/>
                <w:sz w:val="24"/>
                <w:szCs w:val="24"/>
              </w:rPr>
            </w:pPr>
            <w:r>
              <w:rPr>
                <w:rFonts w:ascii="Times New Roman" w:hAnsi="Times New Roman" w:cs="Times New Roman"/>
                <w:sz w:val="24"/>
                <w:szCs w:val="24"/>
              </w:rPr>
              <w:t xml:space="preserve">0.54 </w:t>
            </w:r>
            <w:r>
              <w:rPr>
                <w:rFonts w:ascii="Times New Roman" w:hAnsi="Times New Roman" w:cs="Times New Roman"/>
                <w:sz w:val="24"/>
                <w:szCs w:val="24"/>
                <w:lang w:eastAsia="en-IN"/>
              </w:rPr>
              <w:t>± 0.04</w:t>
            </w:r>
          </w:p>
        </w:tc>
      </w:tr>
      <w:tr w:rsidR="00990066" w14:paraId="3FE3F253" w14:textId="77777777">
        <w:trPr>
          <w:trHeight w:val="354"/>
        </w:trPr>
        <w:tc>
          <w:tcPr>
            <w:tcW w:w="2314" w:type="dxa"/>
            <w:tcBorders>
              <w:top w:val="nil"/>
              <w:left w:val="nil"/>
              <w:bottom w:val="nil"/>
              <w:right w:val="nil"/>
            </w:tcBorders>
            <w:vAlign w:val="center"/>
          </w:tcPr>
          <w:p w14:paraId="68682D7E" w14:textId="77777777" w:rsidR="00990066" w:rsidRDefault="005243B0">
            <w:pPr>
              <w:jc w:val="center"/>
              <w:rPr>
                <w:rFonts w:ascii="Times New Roman" w:hAnsi="Times New Roman" w:cs="Times New Roman"/>
                <w:sz w:val="24"/>
                <w:szCs w:val="24"/>
              </w:rPr>
            </w:pPr>
            <w:r>
              <w:rPr>
                <w:rFonts w:ascii="Times New Roman" w:hAnsi="Times New Roman" w:cs="Times New Roman"/>
                <w:sz w:val="24"/>
                <w:szCs w:val="24"/>
              </w:rPr>
              <w:t>F2</w:t>
            </w:r>
          </w:p>
        </w:tc>
        <w:tc>
          <w:tcPr>
            <w:tcW w:w="2276" w:type="dxa"/>
            <w:tcBorders>
              <w:top w:val="nil"/>
              <w:left w:val="nil"/>
              <w:bottom w:val="nil"/>
              <w:right w:val="nil"/>
            </w:tcBorders>
            <w:vAlign w:val="center"/>
          </w:tcPr>
          <w:p w14:paraId="7FA6349A" w14:textId="77777777" w:rsidR="00990066" w:rsidRDefault="005243B0">
            <w:pPr>
              <w:jc w:val="center"/>
              <w:rPr>
                <w:rFonts w:ascii="Times New Roman" w:hAnsi="Times New Roman" w:cs="Times New Roman"/>
                <w:sz w:val="24"/>
                <w:szCs w:val="24"/>
              </w:rPr>
            </w:pPr>
            <w:r>
              <w:rPr>
                <w:rFonts w:ascii="Times New Roman" w:hAnsi="Times New Roman" w:cs="Times New Roman"/>
                <w:sz w:val="24"/>
                <w:szCs w:val="24"/>
              </w:rPr>
              <w:t xml:space="preserve">1008 </w:t>
            </w:r>
            <w:r>
              <w:rPr>
                <w:rFonts w:ascii="Times New Roman" w:hAnsi="Times New Roman" w:cs="Times New Roman"/>
                <w:sz w:val="24"/>
                <w:szCs w:val="24"/>
                <w:lang w:eastAsia="en-IN"/>
              </w:rPr>
              <w:t>± 0.36</w:t>
            </w:r>
          </w:p>
        </w:tc>
        <w:tc>
          <w:tcPr>
            <w:tcW w:w="2130" w:type="dxa"/>
            <w:tcBorders>
              <w:top w:val="nil"/>
              <w:left w:val="nil"/>
              <w:bottom w:val="nil"/>
              <w:right w:val="nil"/>
            </w:tcBorders>
            <w:vAlign w:val="center"/>
          </w:tcPr>
          <w:p w14:paraId="263D057D" w14:textId="77777777" w:rsidR="00990066" w:rsidRDefault="005243B0">
            <w:pPr>
              <w:jc w:val="center"/>
              <w:rPr>
                <w:rFonts w:ascii="Times New Roman" w:hAnsi="Times New Roman" w:cs="Times New Roman"/>
                <w:sz w:val="24"/>
                <w:szCs w:val="24"/>
              </w:rPr>
            </w:pPr>
            <w:r>
              <w:rPr>
                <w:rFonts w:ascii="Times New Roman" w:hAnsi="Times New Roman" w:cs="Times New Roman"/>
                <w:sz w:val="24"/>
                <w:szCs w:val="24"/>
              </w:rPr>
              <w:t xml:space="preserve">11.36 </w:t>
            </w:r>
            <w:r>
              <w:rPr>
                <w:rFonts w:ascii="Times New Roman" w:hAnsi="Times New Roman" w:cs="Times New Roman"/>
                <w:sz w:val="24"/>
                <w:szCs w:val="24"/>
                <w:lang w:eastAsia="en-IN"/>
              </w:rPr>
              <w:t>± 0.34</w:t>
            </w:r>
          </w:p>
        </w:tc>
        <w:tc>
          <w:tcPr>
            <w:tcW w:w="1920" w:type="dxa"/>
            <w:tcBorders>
              <w:top w:val="nil"/>
              <w:left w:val="nil"/>
              <w:bottom w:val="nil"/>
              <w:right w:val="nil"/>
            </w:tcBorders>
            <w:vAlign w:val="center"/>
          </w:tcPr>
          <w:p w14:paraId="0E084489" w14:textId="77777777" w:rsidR="00990066" w:rsidRDefault="005243B0">
            <w:pPr>
              <w:jc w:val="center"/>
              <w:rPr>
                <w:rFonts w:ascii="Times New Roman" w:hAnsi="Times New Roman" w:cs="Times New Roman"/>
                <w:sz w:val="24"/>
                <w:szCs w:val="24"/>
              </w:rPr>
            </w:pPr>
            <w:r>
              <w:rPr>
                <w:rFonts w:ascii="Times New Roman" w:hAnsi="Times New Roman" w:cs="Times New Roman"/>
                <w:sz w:val="24"/>
                <w:szCs w:val="24"/>
              </w:rPr>
              <w:t xml:space="preserve">4.74 </w:t>
            </w:r>
            <w:r>
              <w:rPr>
                <w:rFonts w:ascii="Times New Roman" w:hAnsi="Times New Roman" w:cs="Times New Roman"/>
                <w:sz w:val="24"/>
                <w:szCs w:val="24"/>
                <w:lang w:eastAsia="en-IN"/>
              </w:rPr>
              <w:t>± 0.34</w:t>
            </w:r>
          </w:p>
        </w:tc>
        <w:tc>
          <w:tcPr>
            <w:tcW w:w="1679" w:type="dxa"/>
            <w:tcBorders>
              <w:top w:val="nil"/>
              <w:left w:val="nil"/>
              <w:bottom w:val="nil"/>
              <w:right w:val="nil"/>
            </w:tcBorders>
            <w:vAlign w:val="center"/>
          </w:tcPr>
          <w:p w14:paraId="6E39F11E" w14:textId="77777777" w:rsidR="00990066" w:rsidRDefault="005243B0">
            <w:pPr>
              <w:jc w:val="center"/>
              <w:rPr>
                <w:rFonts w:ascii="Times New Roman" w:hAnsi="Times New Roman" w:cs="Times New Roman"/>
                <w:sz w:val="24"/>
                <w:szCs w:val="24"/>
              </w:rPr>
            </w:pPr>
            <w:r>
              <w:rPr>
                <w:rFonts w:ascii="Times New Roman" w:hAnsi="Times New Roman" w:cs="Times New Roman"/>
                <w:sz w:val="24"/>
                <w:szCs w:val="24"/>
              </w:rPr>
              <w:t xml:space="preserve">0.57 </w:t>
            </w:r>
            <w:r>
              <w:rPr>
                <w:rFonts w:ascii="Times New Roman" w:hAnsi="Times New Roman" w:cs="Times New Roman"/>
                <w:sz w:val="24"/>
                <w:szCs w:val="24"/>
                <w:lang w:eastAsia="en-IN"/>
              </w:rPr>
              <w:t>± 0.28</w:t>
            </w:r>
          </w:p>
        </w:tc>
      </w:tr>
      <w:tr w:rsidR="00990066" w14:paraId="18F3648F" w14:textId="77777777">
        <w:trPr>
          <w:trHeight w:val="339"/>
        </w:trPr>
        <w:tc>
          <w:tcPr>
            <w:tcW w:w="2314" w:type="dxa"/>
            <w:tcBorders>
              <w:top w:val="nil"/>
              <w:left w:val="nil"/>
              <w:bottom w:val="nil"/>
              <w:right w:val="nil"/>
            </w:tcBorders>
            <w:vAlign w:val="center"/>
          </w:tcPr>
          <w:p w14:paraId="26D43FAF" w14:textId="77777777" w:rsidR="00990066" w:rsidRDefault="005243B0">
            <w:pPr>
              <w:jc w:val="center"/>
              <w:rPr>
                <w:rFonts w:ascii="Times New Roman" w:hAnsi="Times New Roman" w:cs="Times New Roman"/>
                <w:sz w:val="24"/>
                <w:szCs w:val="24"/>
              </w:rPr>
            </w:pPr>
            <w:r>
              <w:rPr>
                <w:rFonts w:ascii="Times New Roman" w:hAnsi="Times New Roman" w:cs="Times New Roman"/>
                <w:sz w:val="24"/>
                <w:szCs w:val="24"/>
              </w:rPr>
              <w:t>F3</w:t>
            </w:r>
          </w:p>
        </w:tc>
        <w:tc>
          <w:tcPr>
            <w:tcW w:w="2276" w:type="dxa"/>
            <w:tcBorders>
              <w:top w:val="nil"/>
              <w:left w:val="nil"/>
              <w:bottom w:val="nil"/>
              <w:right w:val="nil"/>
            </w:tcBorders>
            <w:vAlign w:val="center"/>
          </w:tcPr>
          <w:p w14:paraId="379BD4C5" w14:textId="77777777" w:rsidR="00990066" w:rsidRDefault="005243B0">
            <w:pPr>
              <w:jc w:val="center"/>
              <w:rPr>
                <w:rFonts w:ascii="Times New Roman" w:hAnsi="Times New Roman" w:cs="Times New Roman"/>
                <w:sz w:val="24"/>
                <w:szCs w:val="24"/>
              </w:rPr>
            </w:pPr>
            <w:r>
              <w:rPr>
                <w:rFonts w:ascii="Times New Roman" w:hAnsi="Times New Roman" w:cs="Times New Roman"/>
                <w:sz w:val="24"/>
                <w:szCs w:val="24"/>
              </w:rPr>
              <w:t xml:space="preserve">1003 </w:t>
            </w:r>
            <w:r>
              <w:rPr>
                <w:rFonts w:ascii="Times New Roman" w:hAnsi="Times New Roman" w:cs="Times New Roman"/>
                <w:sz w:val="24"/>
                <w:szCs w:val="24"/>
                <w:lang w:eastAsia="en-IN"/>
              </w:rPr>
              <w:t>± 0.58</w:t>
            </w:r>
          </w:p>
        </w:tc>
        <w:tc>
          <w:tcPr>
            <w:tcW w:w="2130" w:type="dxa"/>
            <w:tcBorders>
              <w:top w:val="nil"/>
              <w:left w:val="nil"/>
              <w:bottom w:val="nil"/>
              <w:right w:val="nil"/>
            </w:tcBorders>
            <w:vAlign w:val="center"/>
          </w:tcPr>
          <w:p w14:paraId="703E6C3F" w14:textId="77777777" w:rsidR="00990066" w:rsidRDefault="005243B0">
            <w:pPr>
              <w:jc w:val="center"/>
              <w:rPr>
                <w:rFonts w:ascii="Times New Roman" w:hAnsi="Times New Roman" w:cs="Times New Roman"/>
                <w:sz w:val="24"/>
                <w:szCs w:val="24"/>
              </w:rPr>
            </w:pPr>
            <w:r>
              <w:rPr>
                <w:rFonts w:ascii="Times New Roman" w:hAnsi="Times New Roman" w:cs="Times New Roman"/>
                <w:sz w:val="24"/>
                <w:szCs w:val="24"/>
              </w:rPr>
              <w:t xml:space="preserve">10.89 </w:t>
            </w:r>
            <w:r>
              <w:rPr>
                <w:rFonts w:ascii="Times New Roman" w:hAnsi="Times New Roman" w:cs="Times New Roman"/>
                <w:sz w:val="24"/>
                <w:szCs w:val="24"/>
                <w:lang w:eastAsia="en-IN"/>
              </w:rPr>
              <w:t>± 0.29</w:t>
            </w:r>
          </w:p>
        </w:tc>
        <w:tc>
          <w:tcPr>
            <w:tcW w:w="1920" w:type="dxa"/>
            <w:tcBorders>
              <w:top w:val="nil"/>
              <w:left w:val="nil"/>
              <w:bottom w:val="nil"/>
              <w:right w:val="nil"/>
            </w:tcBorders>
            <w:vAlign w:val="center"/>
          </w:tcPr>
          <w:p w14:paraId="25CB8F32" w14:textId="77777777" w:rsidR="00990066" w:rsidRDefault="005243B0">
            <w:pPr>
              <w:jc w:val="center"/>
              <w:rPr>
                <w:rFonts w:ascii="Times New Roman" w:hAnsi="Times New Roman" w:cs="Times New Roman"/>
                <w:sz w:val="24"/>
                <w:szCs w:val="24"/>
              </w:rPr>
            </w:pPr>
            <w:r>
              <w:rPr>
                <w:rFonts w:ascii="Times New Roman" w:hAnsi="Times New Roman" w:cs="Times New Roman"/>
                <w:sz w:val="24"/>
                <w:szCs w:val="24"/>
              </w:rPr>
              <w:t xml:space="preserve">4.80 </w:t>
            </w:r>
            <w:r>
              <w:rPr>
                <w:rFonts w:ascii="Times New Roman" w:hAnsi="Times New Roman" w:cs="Times New Roman"/>
                <w:sz w:val="24"/>
                <w:szCs w:val="24"/>
                <w:lang w:eastAsia="en-IN"/>
              </w:rPr>
              <w:t>± 0.39</w:t>
            </w:r>
          </w:p>
        </w:tc>
        <w:tc>
          <w:tcPr>
            <w:tcW w:w="1679" w:type="dxa"/>
            <w:tcBorders>
              <w:top w:val="nil"/>
              <w:left w:val="nil"/>
              <w:bottom w:val="nil"/>
              <w:right w:val="nil"/>
            </w:tcBorders>
            <w:vAlign w:val="center"/>
          </w:tcPr>
          <w:p w14:paraId="0D4130A2" w14:textId="77777777" w:rsidR="00990066" w:rsidRDefault="005243B0">
            <w:pPr>
              <w:jc w:val="center"/>
              <w:rPr>
                <w:rFonts w:ascii="Times New Roman" w:hAnsi="Times New Roman" w:cs="Times New Roman"/>
                <w:sz w:val="24"/>
                <w:szCs w:val="24"/>
              </w:rPr>
            </w:pPr>
            <w:r>
              <w:rPr>
                <w:rFonts w:ascii="Times New Roman" w:hAnsi="Times New Roman" w:cs="Times New Roman"/>
                <w:sz w:val="24"/>
                <w:szCs w:val="24"/>
              </w:rPr>
              <w:t xml:space="preserve">0.60 </w:t>
            </w:r>
            <w:r>
              <w:rPr>
                <w:rFonts w:ascii="Times New Roman" w:hAnsi="Times New Roman" w:cs="Times New Roman"/>
                <w:sz w:val="24"/>
                <w:szCs w:val="24"/>
                <w:lang w:eastAsia="en-IN"/>
              </w:rPr>
              <w:t>± 0.19</w:t>
            </w:r>
          </w:p>
        </w:tc>
      </w:tr>
      <w:tr w:rsidR="00990066" w14:paraId="78A94871" w14:textId="77777777">
        <w:trPr>
          <w:trHeight w:val="309"/>
        </w:trPr>
        <w:tc>
          <w:tcPr>
            <w:tcW w:w="2314" w:type="dxa"/>
            <w:tcBorders>
              <w:top w:val="nil"/>
              <w:left w:val="nil"/>
              <w:bottom w:val="nil"/>
              <w:right w:val="nil"/>
            </w:tcBorders>
            <w:vAlign w:val="center"/>
          </w:tcPr>
          <w:p w14:paraId="4C659425" w14:textId="77777777" w:rsidR="00990066" w:rsidRDefault="005243B0">
            <w:pPr>
              <w:jc w:val="center"/>
              <w:rPr>
                <w:rFonts w:ascii="Times New Roman" w:hAnsi="Times New Roman" w:cs="Times New Roman"/>
                <w:sz w:val="24"/>
                <w:szCs w:val="24"/>
              </w:rPr>
            </w:pPr>
            <w:r>
              <w:rPr>
                <w:rFonts w:ascii="Times New Roman" w:hAnsi="Times New Roman" w:cs="Times New Roman"/>
                <w:sz w:val="24"/>
                <w:szCs w:val="24"/>
              </w:rPr>
              <w:t>F4</w:t>
            </w:r>
          </w:p>
        </w:tc>
        <w:tc>
          <w:tcPr>
            <w:tcW w:w="2276" w:type="dxa"/>
            <w:tcBorders>
              <w:top w:val="nil"/>
              <w:left w:val="nil"/>
              <w:bottom w:val="nil"/>
              <w:right w:val="nil"/>
            </w:tcBorders>
            <w:vAlign w:val="center"/>
          </w:tcPr>
          <w:p w14:paraId="6FF1333E" w14:textId="77777777" w:rsidR="00990066" w:rsidRDefault="005243B0">
            <w:pPr>
              <w:jc w:val="center"/>
              <w:rPr>
                <w:rFonts w:ascii="Times New Roman" w:hAnsi="Times New Roman" w:cs="Times New Roman"/>
                <w:sz w:val="24"/>
                <w:szCs w:val="24"/>
              </w:rPr>
            </w:pPr>
            <w:r>
              <w:rPr>
                <w:rFonts w:ascii="Times New Roman" w:hAnsi="Times New Roman" w:cs="Times New Roman"/>
                <w:sz w:val="24"/>
                <w:szCs w:val="24"/>
              </w:rPr>
              <w:t xml:space="preserve">1012 </w:t>
            </w:r>
            <w:r>
              <w:rPr>
                <w:rFonts w:ascii="Times New Roman" w:hAnsi="Times New Roman" w:cs="Times New Roman"/>
                <w:sz w:val="24"/>
                <w:szCs w:val="24"/>
                <w:lang w:eastAsia="en-IN"/>
              </w:rPr>
              <w:t>± 0.66</w:t>
            </w:r>
          </w:p>
        </w:tc>
        <w:tc>
          <w:tcPr>
            <w:tcW w:w="2130" w:type="dxa"/>
            <w:tcBorders>
              <w:top w:val="nil"/>
              <w:left w:val="nil"/>
              <w:bottom w:val="nil"/>
              <w:right w:val="nil"/>
            </w:tcBorders>
            <w:vAlign w:val="center"/>
          </w:tcPr>
          <w:p w14:paraId="1347CFA1" w14:textId="77777777" w:rsidR="00990066" w:rsidRDefault="005243B0">
            <w:pPr>
              <w:jc w:val="center"/>
              <w:rPr>
                <w:rFonts w:ascii="Times New Roman" w:hAnsi="Times New Roman" w:cs="Times New Roman"/>
                <w:sz w:val="24"/>
                <w:szCs w:val="24"/>
              </w:rPr>
            </w:pPr>
            <w:r>
              <w:rPr>
                <w:rFonts w:ascii="Times New Roman" w:hAnsi="Times New Roman" w:cs="Times New Roman"/>
                <w:sz w:val="24"/>
                <w:szCs w:val="24"/>
              </w:rPr>
              <w:t xml:space="preserve">10.12 </w:t>
            </w:r>
            <w:r>
              <w:rPr>
                <w:rFonts w:ascii="Times New Roman" w:hAnsi="Times New Roman" w:cs="Times New Roman"/>
                <w:sz w:val="24"/>
                <w:szCs w:val="24"/>
                <w:lang w:eastAsia="en-IN"/>
              </w:rPr>
              <w:t>± 1.48</w:t>
            </w:r>
          </w:p>
        </w:tc>
        <w:tc>
          <w:tcPr>
            <w:tcW w:w="1920" w:type="dxa"/>
            <w:tcBorders>
              <w:top w:val="nil"/>
              <w:left w:val="nil"/>
              <w:bottom w:val="nil"/>
              <w:right w:val="nil"/>
            </w:tcBorders>
            <w:vAlign w:val="center"/>
          </w:tcPr>
          <w:p w14:paraId="44F521F0" w14:textId="77777777" w:rsidR="00990066" w:rsidRDefault="005243B0">
            <w:pPr>
              <w:jc w:val="center"/>
              <w:rPr>
                <w:rFonts w:ascii="Times New Roman" w:hAnsi="Times New Roman" w:cs="Times New Roman"/>
                <w:sz w:val="24"/>
                <w:szCs w:val="24"/>
              </w:rPr>
            </w:pPr>
            <w:r>
              <w:rPr>
                <w:rFonts w:ascii="Times New Roman" w:hAnsi="Times New Roman" w:cs="Times New Roman"/>
                <w:sz w:val="24"/>
                <w:szCs w:val="24"/>
              </w:rPr>
              <w:t xml:space="preserve">4.83 </w:t>
            </w:r>
            <w:r>
              <w:rPr>
                <w:rFonts w:ascii="Times New Roman" w:hAnsi="Times New Roman" w:cs="Times New Roman"/>
                <w:sz w:val="24"/>
                <w:szCs w:val="24"/>
                <w:lang w:eastAsia="en-IN"/>
              </w:rPr>
              <w:t>± 0.47</w:t>
            </w:r>
          </w:p>
        </w:tc>
        <w:tc>
          <w:tcPr>
            <w:tcW w:w="1679" w:type="dxa"/>
            <w:tcBorders>
              <w:top w:val="nil"/>
              <w:left w:val="nil"/>
              <w:bottom w:val="nil"/>
              <w:right w:val="nil"/>
            </w:tcBorders>
            <w:vAlign w:val="center"/>
          </w:tcPr>
          <w:p w14:paraId="0B23D4D9" w14:textId="77777777" w:rsidR="00990066" w:rsidRDefault="005243B0">
            <w:pPr>
              <w:jc w:val="center"/>
              <w:rPr>
                <w:rFonts w:ascii="Times New Roman" w:hAnsi="Times New Roman" w:cs="Times New Roman"/>
                <w:sz w:val="24"/>
                <w:szCs w:val="24"/>
              </w:rPr>
            </w:pPr>
            <w:r>
              <w:rPr>
                <w:rFonts w:ascii="Times New Roman" w:hAnsi="Times New Roman" w:cs="Times New Roman"/>
                <w:sz w:val="24"/>
                <w:szCs w:val="24"/>
              </w:rPr>
              <w:t xml:space="preserve">0.62 </w:t>
            </w:r>
            <w:r>
              <w:rPr>
                <w:rFonts w:ascii="Times New Roman" w:hAnsi="Times New Roman" w:cs="Times New Roman"/>
                <w:sz w:val="24"/>
                <w:szCs w:val="24"/>
                <w:lang w:eastAsia="en-IN"/>
              </w:rPr>
              <w:t>± 0.34</w:t>
            </w:r>
          </w:p>
        </w:tc>
      </w:tr>
      <w:tr w:rsidR="00990066" w14:paraId="2186B4FC" w14:textId="77777777">
        <w:trPr>
          <w:trHeight w:val="304"/>
        </w:trPr>
        <w:tc>
          <w:tcPr>
            <w:tcW w:w="2314" w:type="dxa"/>
            <w:tcBorders>
              <w:top w:val="nil"/>
              <w:left w:val="nil"/>
              <w:bottom w:val="nil"/>
              <w:right w:val="nil"/>
            </w:tcBorders>
            <w:vAlign w:val="center"/>
          </w:tcPr>
          <w:p w14:paraId="114D1F6C" w14:textId="77777777" w:rsidR="00990066" w:rsidRDefault="005243B0">
            <w:pPr>
              <w:jc w:val="center"/>
              <w:rPr>
                <w:rFonts w:ascii="Times New Roman" w:hAnsi="Times New Roman" w:cs="Times New Roman"/>
                <w:sz w:val="24"/>
                <w:szCs w:val="24"/>
              </w:rPr>
            </w:pPr>
            <w:r>
              <w:rPr>
                <w:rFonts w:ascii="Times New Roman" w:hAnsi="Times New Roman" w:cs="Times New Roman"/>
                <w:sz w:val="24"/>
                <w:szCs w:val="24"/>
              </w:rPr>
              <w:t>F5</w:t>
            </w:r>
          </w:p>
        </w:tc>
        <w:tc>
          <w:tcPr>
            <w:tcW w:w="2276" w:type="dxa"/>
            <w:tcBorders>
              <w:top w:val="nil"/>
              <w:left w:val="nil"/>
              <w:bottom w:val="nil"/>
              <w:right w:val="nil"/>
            </w:tcBorders>
            <w:vAlign w:val="center"/>
          </w:tcPr>
          <w:p w14:paraId="56BB3C30" w14:textId="77777777" w:rsidR="00990066" w:rsidRDefault="005243B0">
            <w:pPr>
              <w:jc w:val="center"/>
              <w:rPr>
                <w:rFonts w:ascii="Times New Roman" w:hAnsi="Times New Roman" w:cs="Times New Roman"/>
                <w:sz w:val="24"/>
                <w:szCs w:val="24"/>
              </w:rPr>
            </w:pPr>
            <w:r>
              <w:rPr>
                <w:rFonts w:ascii="Times New Roman" w:hAnsi="Times New Roman" w:cs="Times New Roman"/>
                <w:sz w:val="24"/>
                <w:szCs w:val="24"/>
              </w:rPr>
              <w:t xml:space="preserve">1017 </w:t>
            </w:r>
            <w:r>
              <w:rPr>
                <w:rFonts w:ascii="Times New Roman" w:hAnsi="Times New Roman" w:cs="Times New Roman"/>
                <w:sz w:val="24"/>
                <w:szCs w:val="24"/>
                <w:lang w:eastAsia="en-IN"/>
              </w:rPr>
              <w:t>± 1.14</w:t>
            </w:r>
          </w:p>
        </w:tc>
        <w:tc>
          <w:tcPr>
            <w:tcW w:w="2130" w:type="dxa"/>
            <w:tcBorders>
              <w:top w:val="nil"/>
              <w:left w:val="nil"/>
              <w:bottom w:val="nil"/>
              <w:right w:val="nil"/>
            </w:tcBorders>
            <w:vAlign w:val="center"/>
          </w:tcPr>
          <w:p w14:paraId="6800E1FD" w14:textId="77777777" w:rsidR="00990066" w:rsidRDefault="005243B0">
            <w:pPr>
              <w:jc w:val="center"/>
              <w:rPr>
                <w:rFonts w:ascii="Times New Roman" w:hAnsi="Times New Roman" w:cs="Times New Roman"/>
                <w:sz w:val="24"/>
                <w:szCs w:val="24"/>
              </w:rPr>
            </w:pPr>
            <w:r>
              <w:rPr>
                <w:rFonts w:ascii="Times New Roman" w:hAnsi="Times New Roman" w:cs="Times New Roman"/>
                <w:sz w:val="24"/>
                <w:szCs w:val="24"/>
              </w:rPr>
              <w:t xml:space="preserve">9.26 </w:t>
            </w:r>
            <w:r>
              <w:rPr>
                <w:rFonts w:ascii="Times New Roman" w:hAnsi="Times New Roman" w:cs="Times New Roman"/>
                <w:sz w:val="24"/>
                <w:szCs w:val="24"/>
                <w:lang w:eastAsia="en-IN"/>
              </w:rPr>
              <w:t>± 1.91</w:t>
            </w:r>
          </w:p>
        </w:tc>
        <w:tc>
          <w:tcPr>
            <w:tcW w:w="1920" w:type="dxa"/>
            <w:tcBorders>
              <w:top w:val="nil"/>
              <w:left w:val="nil"/>
              <w:bottom w:val="nil"/>
              <w:right w:val="nil"/>
            </w:tcBorders>
            <w:vAlign w:val="center"/>
          </w:tcPr>
          <w:p w14:paraId="04EA9DFA" w14:textId="77777777" w:rsidR="00990066" w:rsidRDefault="005243B0">
            <w:pPr>
              <w:jc w:val="center"/>
              <w:rPr>
                <w:rFonts w:ascii="Times New Roman" w:hAnsi="Times New Roman" w:cs="Times New Roman"/>
                <w:sz w:val="24"/>
                <w:szCs w:val="24"/>
              </w:rPr>
            </w:pPr>
            <w:r>
              <w:rPr>
                <w:rFonts w:ascii="Times New Roman" w:hAnsi="Times New Roman" w:cs="Times New Roman"/>
                <w:sz w:val="24"/>
                <w:szCs w:val="24"/>
              </w:rPr>
              <w:t xml:space="preserve">4.77 </w:t>
            </w:r>
            <w:r>
              <w:rPr>
                <w:rFonts w:ascii="Times New Roman" w:hAnsi="Times New Roman" w:cs="Times New Roman"/>
                <w:sz w:val="24"/>
                <w:szCs w:val="24"/>
                <w:lang w:eastAsia="en-IN"/>
              </w:rPr>
              <w:t>± 0.58</w:t>
            </w:r>
          </w:p>
        </w:tc>
        <w:tc>
          <w:tcPr>
            <w:tcW w:w="1679" w:type="dxa"/>
            <w:tcBorders>
              <w:top w:val="nil"/>
              <w:left w:val="nil"/>
              <w:bottom w:val="nil"/>
              <w:right w:val="nil"/>
            </w:tcBorders>
            <w:vAlign w:val="center"/>
          </w:tcPr>
          <w:p w14:paraId="37BB24FC" w14:textId="77777777" w:rsidR="00990066" w:rsidRDefault="005243B0">
            <w:pPr>
              <w:jc w:val="center"/>
              <w:rPr>
                <w:rFonts w:ascii="Times New Roman" w:hAnsi="Times New Roman" w:cs="Times New Roman"/>
                <w:sz w:val="24"/>
                <w:szCs w:val="24"/>
              </w:rPr>
            </w:pPr>
            <w:r>
              <w:rPr>
                <w:rFonts w:ascii="Times New Roman" w:hAnsi="Times New Roman" w:cs="Times New Roman"/>
                <w:sz w:val="24"/>
                <w:szCs w:val="24"/>
              </w:rPr>
              <w:t xml:space="preserve">0.67 </w:t>
            </w:r>
            <w:r>
              <w:rPr>
                <w:rFonts w:ascii="Times New Roman" w:hAnsi="Times New Roman" w:cs="Times New Roman"/>
                <w:sz w:val="24"/>
                <w:szCs w:val="24"/>
                <w:lang w:eastAsia="en-IN"/>
              </w:rPr>
              <w:t>± 0.45</w:t>
            </w:r>
          </w:p>
        </w:tc>
      </w:tr>
      <w:tr w:rsidR="00990066" w14:paraId="026DD255" w14:textId="77777777">
        <w:trPr>
          <w:trHeight w:val="319"/>
        </w:trPr>
        <w:tc>
          <w:tcPr>
            <w:tcW w:w="2314" w:type="dxa"/>
            <w:tcBorders>
              <w:top w:val="nil"/>
              <w:left w:val="nil"/>
              <w:bottom w:val="nil"/>
              <w:right w:val="nil"/>
            </w:tcBorders>
            <w:vAlign w:val="center"/>
          </w:tcPr>
          <w:p w14:paraId="47D9EE6E" w14:textId="77777777" w:rsidR="00990066" w:rsidRDefault="005243B0">
            <w:pPr>
              <w:jc w:val="center"/>
              <w:rPr>
                <w:rFonts w:ascii="Times New Roman" w:hAnsi="Times New Roman" w:cs="Times New Roman"/>
                <w:sz w:val="24"/>
                <w:szCs w:val="24"/>
              </w:rPr>
            </w:pPr>
            <w:r>
              <w:rPr>
                <w:rFonts w:ascii="Times New Roman" w:hAnsi="Times New Roman" w:cs="Times New Roman"/>
                <w:sz w:val="24"/>
                <w:szCs w:val="24"/>
              </w:rPr>
              <w:t>F6</w:t>
            </w:r>
          </w:p>
        </w:tc>
        <w:tc>
          <w:tcPr>
            <w:tcW w:w="2276" w:type="dxa"/>
            <w:tcBorders>
              <w:top w:val="nil"/>
              <w:left w:val="nil"/>
              <w:bottom w:val="nil"/>
              <w:right w:val="nil"/>
            </w:tcBorders>
            <w:vAlign w:val="center"/>
          </w:tcPr>
          <w:p w14:paraId="0E9CC55C" w14:textId="77777777" w:rsidR="00990066" w:rsidRDefault="005243B0">
            <w:pPr>
              <w:jc w:val="center"/>
              <w:rPr>
                <w:rFonts w:ascii="Times New Roman" w:hAnsi="Times New Roman" w:cs="Times New Roman"/>
                <w:sz w:val="24"/>
                <w:szCs w:val="24"/>
              </w:rPr>
            </w:pPr>
            <w:r>
              <w:rPr>
                <w:rFonts w:ascii="Times New Roman" w:hAnsi="Times New Roman" w:cs="Times New Roman"/>
                <w:sz w:val="24"/>
                <w:szCs w:val="24"/>
              </w:rPr>
              <w:t xml:space="preserve">998 </w:t>
            </w:r>
            <w:r>
              <w:rPr>
                <w:rFonts w:ascii="Times New Roman" w:hAnsi="Times New Roman" w:cs="Times New Roman"/>
                <w:sz w:val="24"/>
                <w:szCs w:val="24"/>
                <w:lang w:eastAsia="en-IN"/>
              </w:rPr>
              <w:t>± 0.19</w:t>
            </w:r>
          </w:p>
        </w:tc>
        <w:tc>
          <w:tcPr>
            <w:tcW w:w="2130" w:type="dxa"/>
            <w:tcBorders>
              <w:top w:val="nil"/>
              <w:left w:val="nil"/>
              <w:bottom w:val="nil"/>
              <w:right w:val="nil"/>
            </w:tcBorders>
            <w:vAlign w:val="center"/>
          </w:tcPr>
          <w:p w14:paraId="2F4C1445" w14:textId="77777777" w:rsidR="00990066" w:rsidRDefault="005243B0">
            <w:pPr>
              <w:jc w:val="center"/>
              <w:rPr>
                <w:rFonts w:ascii="Times New Roman" w:hAnsi="Times New Roman" w:cs="Times New Roman"/>
                <w:sz w:val="24"/>
                <w:szCs w:val="24"/>
              </w:rPr>
            </w:pPr>
            <w:r>
              <w:rPr>
                <w:rFonts w:ascii="Times New Roman" w:hAnsi="Times New Roman" w:cs="Times New Roman"/>
                <w:sz w:val="24"/>
                <w:szCs w:val="24"/>
              </w:rPr>
              <w:t xml:space="preserve">13.78 </w:t>
            </w:r>
            <w:r>
              <w:rPr>
                <w:rFonts w:ascii="Times New Roman" w:hAnsi="Times New Roman" w:cs="Times New Roman"/>
                <w:sz w:val="24"/>
                <w:szCs w:val="24"/>
                <w:lang w:eastAsia="en-IN"/>
              </w:rPr>
              <w:t>± 0.81</w:t>
            </w:r>
          </w:p>
        </w:tc>
        <w:tc>
          <w:tcPr>
            <w:tcW w:w="1920" w:type="dxa"/>
            <w:tcBorders>
              <w:top w:val="nil"/>
              <w:left w:val="nil"/>
              <w:bottom w:val="nil"/>
              <w:right w:val="nil"/>
            </w:tcBorders>
            <w:vAlign w:val="center"/>
          </w:tcPr>
          <w:p w14:paraId="14B2573D" w14:textId="77777777" w:rsidR="00990066" w:rsidRDefault="005243B0">
            <w:pPr>
              <w:jc w:val="center"/>
              <w:rPr>
                <w:rFonts w:ascii="Times New Roman" w:hAnsi="Times New Roman" w:cs="Times New Roman"/>
                <w:sz w:val="24"/>
                <w:szCs w:val="24"/>
              </w:rPr>
            </w:pPr>
            <w:r>
              <w:rPr>
                <w:rFonts w:ascii="Times New Roman" w:hAnsi="Times New Roman" w:cs="Times New Roman"/>
                <w:sz w:val="24"/>
                <w:szCs w:val="24"/>
              </w:rPr>
              <w:t xml:space="preserve">4.81 </w:t>
            </w:r>
            <w:r>
              <w:rPr>
                <w:rFonts w:ascii="Times New Roman" w:hAnsi="Times New Roman" w:cs="Times New Roman"/>
                <w:sz w:val="24"/>
                <w:szCs w:val="24"/>
                <w:lang w:eastAsia="en-IN"/>
              </w:rPr>
              <w:t>± 0.28</w:t>
            </w:r>
          </w:p>
        </w:tc>
        <w:tc>
          <w:tcPr>
            <w:tcW w:w="1679" w:type="dxa"/>
            <w:tcBorders>
              <w:top w:val="nil"/>
              <w:left w:val="nil"/>
              <w:bottom w:val="nil"/>
              <w:right w:val="nil"/>
            </w:tcBorders>
            <w:vAlign w:val="center"/>
          </w:tcPr>
          <w:p w14:paraId="18C96D2B" w14:textId="77777777" w:rsidR="00990066" w:rsidRDefault="005243B0">
            <w:pPr>
              <w:jc w:val="center"/>
              <w:rPr>
                <w:rFonts w:ascii="Times New Roman" w:hAnsi="Times New Roman" w:cs="Times New Roman"/>
                <w:sz w:val="24"/>
                <w:szCs w:val="24"/>
              </w:rPr>
            </w:pPr>
            <w:r>
              <w:rPr>
                <w:rFonts w:ascii="Times New Roman" w:hAnsi="Times New Roman" w:cs="Times New Roman"/>
                <w:sz w:val="24"/>
                <w:szCs w:val="24"/>
              </w:rPr>
              <w:t xml:space="preserve">0.31 </w:t>
            </w:r>
            <w:r>
              <w:rPr>
                <w:rFonts w:ascii="Times New Roman" w:hAnsi="Times New Roman" w:cs="Times New Roman"/>
                <w:sz w:val="24"/>
                <w:szCs w:val="24"/>
                <w:lang w:eastAsia="en-IN"/>
              </w:rPr>
              <w:t>±</w:t>
            </w:r>
            <w:r>
              <w:rPr>
                <w:rFonts w:ascii="Times New Roman" w:hAnsi="Times New Roman" w:cs="Times New Roman"/>
                <w:sz w:val="24"/>
                <w:szCs w:val="24"/>
                <w:lang w:eastAsia="en-IN"/>
              </w:rPr>
              <w:t xml:space="preserve"> 0.32</w:t>
            </w:r>
          </w:p>
        </w:tc>
      </w:tr>
      <w:tr w:rsidR="00990066" w14:paraId="0662C0B8" w14:textId="77777777">
        <w:trPr>
          <w:trHeight w:val="364"/>
        </w:trPr>
        <w:tc>
          <w:tcPr>
            <w:tcW w:w="2314" w:type="dxa"/>
            <w:tcBorders>
              <w:top w:val="nil"/>
              <w:left w:val="nil"/>
              <w:bottom w:val="single" w:sz="4" w:space="0" w:color="auto"/>
              <w:right w:val="nil"/>
            </w:tcBorders>
            <w:vAlign w:val="center"/>
          </w:tcPr>
          <w:p w14:paraId="4A2AB3D6" w14:textId="77777777" w:rsidR="00990066" w:rsidRDefault="005243B0">
            <w:pPr>
              <w:jc w:val="center"/>
              <w:rPr>
                <w:rFonts w:ascii="Times New Roman" w:hAnsi="Times New Roman" w:cs="Times New Roman"/>
                <w:sz w:val="24"/>
                <w:szCs w:val="24"/>
              </w:rPr>
            </w:pPr>
            <w:r>
              <w:rPr>
                <w:rFonts w:ascii="Times New Roman" w:hAnsi="Times New Roman" w:cs="Times New Roman"/>
                <w:sz w:val="24"/>
                <w:szCs w:val="24"/>
              </w:rPr>
              <w:t>Marketed Tablet</w:t>
            </w:r>
          </w:p>
        </w:tc>
        <w:tc>
          <w:tcPr>
            <w:tcW w:w="2276" w:type="dxa"/>
            <w:tcBorders>
              <w:top w:val="nil"/>
              <w:left w:val="nil"/>
              <w:bottom w:val="single" w:sz="4" w:space="0" w:color="auto"/>
              <w:right w:val="nil"/>
            </w:tcBorders>
            <w:vAlign w:val="center"/>
          </w:tcPr>
          <w:p w14:paraId="6341F1FB" w14:textId="77777777" w:rsidR="00990066" w:rsidRDefault="005243B0">
            <w:pPr>
              <w:jc w:val="center"/>
              <w:rPr>
                <w:rFonts w:ascii="Times New Roman" w:hAnsi="Times New Roman" w:cs="Times New Roman"/>
                <w:sz w:val="24"/>
                <w:szCs w:val="24"/>
              </w:rPr>
            </w:pPr>
            <w:r>
              <w:rPr>
                <w:rFonts w:ascii="Times New Roman" w:hAnsi="Times New Roman" w:cs="Times New Roman"/>
                <w:sz w:val="24"/>
                <w:szCs w:val="24"/>
              </w:rPr>
              <w:t xml:space="preserve">852 </w:t>
            </w:r>
            <w:r>
              <w:rPr>
                <w:rFonts w:ascii="Times New Roman" w:hAnsi="Times New Roman" w:cs="Times New Roman"/>
                <w:sz w:val="24"/>
                <w:szCs w:val="24"/>
                <w:lang w:eastAsia="en-IN"/>
              </w:rPr>
              <w:t>± 1.01</w:t>
            </w:r>
          </w:p>
        </w:tc>
        <w:tc>
          <w:tcPr>
            <w:tcW w:w="2130" w:type="dxa"/>
            <w:tcBorders>
              <w:top w:val="nil"/>
              <w:left w:val="nil"/>
              <w:bottom w:val="single" w:sz="4" w:space="0" w:color="auto"/>
              <w:right w:val="nil"/>
            </w:tcBorders>
            <w:vAlign w:val="center"/>
          </w:tcPr>
          <w:p w14:paraId="73ED27D6" w14:textId="77777777" w:rsidR="00990066" w:rsidRDefault="005243B0">
            <w:pPr>
              <w:jc w:val="center"/>
              <w:rPr>
                <w:rFonts w:ascii="Times New Roman" w:hAnsi="Times New Roman" w:cs="Times New Roman"/>
                <w:sz w:val="24"/>
                <w:szCs w:val="24"/>
              </w:rPr>
            </w:pPr>
            <w:r>
              <w:rPr>
                <w:rFonts w:ascii="Times New Roman" w:hAnsi="Times New Roman" w:cs="Times New Roman"/>
                <w:sz w:val="24"/>
                <w:szCs w:val="24"/>
              </w:rPr>
              <w:t xml:space="preserve">14.85 </w:t>
            </w:r>
            <w:r>
              <w:rPr>
                <w:rFonts w:ascii="Times New Roman" w:hAnsi="Times New Roman" w:cs="Times New Roman"/>
                <w:sz w:val="24"/>
                <w:szCs w:val="24"/>
                <w:lang w:eastAsia="en-IN"/>
              </w:rPr>
              <w:t>± 1.91</w:t>
            </w:r>
          </w:p>
        </w:tc>
        <w:tc>
          <w:tcPr>
            <w:tcW w:w="1920" w:type="dxa"/>
            <w:tcBorders>
              <w:top w:val="nil"/>
              <w:left w:val="nil"/>
              <w:bottom w:val="single" w:sz="4" w:space="0" w:color="auto"/>
              <w:right w:val="nil"/>
            </w:tcBorders>
            <w:vAlign w:val="center"/>
          </w:tcPr>
          <w:p w14:paraId="6C1E2E08" w14:textId="77777777" w:rsidR="00990066" w:rsidRDefault="005243B0">
            <w:pPr>
              <w:jc w:val="center"/>
              <w:rPr>
                <w:rFonts w:ascii="Times New Roman" w:hAnsi="Times New Roman" w:cs="Times New Roman"/>
                <w:sz w:val="24"/>
                <w:szCs w:val="24"/>
              </w:rPr>
            </w:pPr>
            <w:r>
              <w:rPr>
                <w:rFonts w:ascii="Times New Roman" w:hAnsi="Times New Roman" w:cs="Times New Roman"/>
                <w:sz w:val="24"/>
                <w:szCs w:val="24"/>
              </w:rPr>
              <w:t xml:space="preserve">4.54 </w:t>
            </w:r>
            <w:r>
              <w:rPr>
                <w:rFonts w:ascii="Times New Roman" w:hAnsi="Times New Roman" w:cs="Times New Roman"/>
                <w:sz w:val="24"/>
                <w:szCs w:val="24"/>
                <w:lang w:eastAsia="en-IN"/>
              </w:rPr>
              <w:t>± 0.58</w:t>
            </w:r>
          </w:p>
        </w:tc>
        <w:tc>
          <w:tcPr>
            <w:tcW w:w="1679" w:type="dxa"/>
            <w:tcBorders>
              <w:top w:val="nil"/>
              <w:left w:val="nil"/>
              <w:bottom w:val="single" w:sz="4" w:space="0" w:color="auto"/>
              <w:right w:val="nil"/>
            </w:tcBorders>
            <w:vAlign w:val="center"/>
          </w:tcPr>
          <w:p w14:paraId="5CD8DB52" w14:textId="77777777" w:rsidR="00990066" w:rsidRDefault="005243B0">
            <w:pPr>
              <w:jc w:val="center"/>
              <w:rPr>
                <w:rFonts w:ascii="Times New Roman" w:hAnsi="Times New Roman" w:cs="Times New Roman"/>
                <w:sz w:val="24"/>
                <w:szCs w:val="24"/>
              </w:rPr>
            </w:pPr>
            <w:r>
              <w:rPr>
                <w:rFonts w:ascii="Times New Roman" w:hAnsi="Times New Roman" w:cs="Times New Roman"/>
                <w:sz w:val="24"/>
                <w:szCs w:val="24"/>
              </w:rPr>
              <w:t xml:space="preserve">0.12 </w:t>
            </w:r>
            <w:r>
              <w:rPr>
                <w:rFonts w:ascii="Times New Roman" w:hAnsi="Times New Roman" w:cs="Times New Roman"/>
                <w:sz w:val="24"/>
                <w:szCs w:val="24"/>
                <w:lang w:eastAsia="en-IN"/>
              </w:rPr>
              <w:t>± 0.24</w:t>
            </w:r>
          </w:p>
        </w:tc>
      </w:tr>
    </w:tbl>
    <w:p w14:paraId="158803DA" w14:textId="77777777" w:rsidR="00990066" w:rsidRDefault="00990066">
      <w:pPr>
        <w:jc w:val="both"/>
        <w:rPr>
          <w:rFonts w:ascii="Times New Roman" w:hAnsi="Times New Roman"/>
          <w:b/>
          <w:bCs/>
          <w:sz w:val="24"/>
          <w:szCs w:val="24"/>
        </w:rPr>
      </w:pPr>
    </w:p>
    <w:p w14:paraId="1E086DBB" w14:textId="77777777" w:rsidR="00990066" w:rsidRDefault="005243B0">
      <w:pPr>
        <w:spacing w:line="360" w:lineRule="auto"/>
        <w:jc w:val="both"/>
        <w:rPr>
          <w:rFonts w:ascii="Times New Roman" w:eastAsia="Arial" w:hAnsi="Times New Roman" w:cs="Times New Roman"/>
          <w:b/>
          <w:bCs/>
          <w:color w:val="000000"/>
          <w:sz w:val="24"/>
          <w:szCs w:val="24"/>
          <w:lang w:bidi="ar"/>
        </w:rPr>
      </w:pPr>
      <w:r>
        <w:rPr>
          <w:rFonts w:ascii="Times New Roman" w:eastAsia="Segoe UI" w:hAnsi="Times New Roman"/>
          <w:color w:val="242424"/>
          <w:sz w:val="24"/>
          <w:szCs w:val="24"/>
          <w:shd w:val="clear" w:color="auto" w:fill="FFFFFF"/>
        </w:rPr>
        <w:t xml:space="preserve">The thickness of the tablets ranged from 4.74 mm ± 0.34 to 4.83 mm ± 0.47 </w:t>
      </w:r>
      <w:r>
        <w:rPr>
          <w:rFonts w:ascii="Times New Roman" w:eastAsia="Segoe UI" w:hAnsi="Times New Roman"/>
          <w:b/>
          <w:bCs/>
          <w:color w:val="242424"/>
          <w:sz w:val="24"/>
          <w:szCs w:val="24"/>
          <w:shd w:val="clear" w:color="auto" w:fill="FFFFFF"/>
        </w:rPr>
        <w:t>(</w:t>
      </w:r>
      <w:r>
        <w:rPr>
          <w:rFonts w:ascii="Times New Roman" w:eastAsia="Segoe UI" w:hAnsi="Times New Roman"/>
          <w:color w:val="242424"/>
          <w:sz w:val="24"/>
          <w:szCs w:val="24"/>
          <w:shd w:val="clear" w:color="auto" w:fill="FFFFFF"/>
        </w:rPr>
        <w:t>Table 3</w:t>
      </w:r>
      <w:r>
        <w:rPr>
          <w:rFonts w:ascii="Times New Roman" w:eastAsia="Segoe UI" w:hAnsi="Times New Roman"/>
          <w:b/>
          <w:bCs/>
          <w:color w:val="242424"/>
          <w:sz w:val="24"/>
          <w:szCs w:val="24"/>
          <w:shd w:val="clear" w:color="auto" w:fill="FFFFFF"/>
        </w:rPr>
        <w:t>)</w:t>
      </w:r>
      <w:r>
        <w:rPr>
          <w:rFonts w:ascii="Times New Roman" w:eastAsia="Segoe UI" w:hAnsi="Times New Roman"/>
          <w:color w:val="242424"/>
          <w:sz w:val="24"/>
          <w:szCs w:val="24"/>
          <w:shd w:val="clear" w:color="auto" w:fill="FFFFFF"/>
        </w:rPr>
        <w:t>. This consistency indicated uniform compression ability of ULTRAMOD</w:t>
      </w:r>
      <w:r>
        <w:rPr>
          <w:rFonts w:ascii="Times New Roman" w:eastAsia="Segoe UI" w:hAnsi="Times New Roman"/>
          <w:color w:val="242424"/>
          <w:sz w:val="24"/>
          <w:szCs w:val="24"/>
          <w:shd w:val="clear" w:color="auto" w:fill="FFFFFF"/>
          <w:vertAlign w:val="superscript"/>
        </w:rPr>
        <w:t>™</w:t>
      </w:r>
      <w:r>
        <w:rPr>
          <w:rFonts w:ascii="Times New Roman" w:eastAsia="Segoe UI" w:hAnsi="Times New Roman"/>
          <w:b/>
          <w:bCs/>
          <w:color w:val="242424"/>
          <w:sz w:val="24"/>
          <w:szCs w:val="24"/>
          <w:shd w:val="clear" w:color="auto" w:fill="FFFFFF"/>
          <w:vertAlign w:val="superscript"/>
        </w:rPr>
        <w:t xml:space="preserve"> </w:t>
      </w:r>
      <w:r>
        <w:rPr>
          <w:rFonts w:ascii="Times New Roman" w:eastAsia="Segoe UI" w:hAnsi="Times New Roman"/>
          <w:color w:val="242424"/>
          <w:sz w:val="24"/>
          <w:szCs w:val="24"/>
          <w:shd w:val="clear" w:color="auto" w:fill="FFFFFF"/>
        </w:rPr>
        <w:t xml:space="preserve">across all formulations, despite differences in polymer concentration. The friability results within the acceptable limit of less than 1%. which indicated that the tablets containing </w:t>
      </w:r>
      <w:proofErr w:type="spellStart"/>
      <w:r>
        <w:rPr>
          <w:rFonts w:ascii="Times New Roman" w:eastAsia="Segoe UI" w:hAnsi="Times New Roman"/>
          <w:color w:val="242424"/>
          <w:sz w:val="24"/>
          <w:szCs w:val="24"/>
          <w:shd w:val="clear" w:color="auto" w:fill="FFFFFF"/>
        </w:rPr>
        <w:t>ULTRAMOD</w:t>
      </w:r>
      <w:r>
        <w:rPr>
          <w:rFonts w:ascii="Times New Roman" w:eastAsia="Segoe UI" w:hAnsi="Times New Roman"/>
          <w:color w:val="242424"/>
          <w:sz w:val="24"/>
          <w:szCs w:val="24"/>
          <w:shd w:val="clear" w:color="auto" w:fill="FFFFFF"/>
          <w:vertAlign w:val="superscript"/>
        </w:rPr>
        <w:t>™</w:t>
      </w:r>
      <w:r>
        <w:rPr>
          <w:rFonts w:ascii="Times New Roman" w:eastAsia="Segoe UI" w:hAnsi="Times New Roman"/>
          <w:color w:val="242424"/>
          <w:sz w:val="24"/>
          <w:szCs w:val="24"/>
          <w:shd w:val="clear" w:color="auto" w:fill="FFFFFF"/>
        </w:rPr>
        <w:t>obtained</w:t>
      </w:r>
      <w:proofErr w:type="spellEnd"/>
      <w:r>
        <w:rPr>
          <w:rFonts w:ascii="Times New Roman" w:eastAsia="Segoe UI" w:hAnsi="Times New Roman"/>
          <w:color w:val="242424"/>
          <w:sz w:val="24"/>
          <w:szCs w:val="24"/>
          <w:shd w:val="clear" w:color="auto" w:fill="FFFFFF"/>
        </w:rPr>
        <w:t xml:space="preserve"> by direct compression had reasonable strength. </w:t>
      </w:r>
      <w:r>
        <w:rPr>
          <w:rFonts w:ascii="Times New Roman" w:eastAsia="Arial" w:hAnsi="Times New Roman" w:cs="Times New Roman"/>
          <w:b/>
          <w:bCs/>
          <w:color w:val="000000"/>
          <w:sz w:val="24"/>
          <w:szCs w:val="24"/>
          <w:lang w:bidi="ar"/>
        </w:rPr>
        <w:t xml:space="preserve"> </w:t>
      </w:r>
      <w:r>
        <w:rPr>
          <w:rFonts w:ascii="Times New Roman" w:eastAsia="Segoe UI" w:hAnsi="Times New Roman"/>
          <w:sz w:val="24"/>
          <w:szCs w:val="24"/>
          <w:shd w:val="clear" w:color="auto" w:fill="FFFFFF"/>
        </w:rPr>
        <w:t>ULTRAMO</w:t>
      </w:r>
      <w:r>
        <w:rPr>
          <w:rFonts w:ascii="Times New Roman" w:eastAsia="Segoe UI" w:hAnsi="Times New Roman"/>
          <w:sz w:val="24"/>
          <w:szCs w:val="24"/>
          <w:shd w:val="clear" w:color="auto" w:fill="FFFFFF"/>
        </w:rPr>
        <w:t>D</w:t>
      </w:r>
      <w:r>
        <w:rPr>
          <w:rFonts w:ascii="Times New Roman" w:eastAsia="Segoe UI" w:hAnsi="Times New Roman"/>
          <w:sz w:val="24"/>
          <w:szCs w:val="24"/>
          <w:shd w:val="clear" w:color="auto" w:fill="FFFFFF"/>
          <w:vertAlign w:val="superscript"/>
        </w:rPr>
        <w:t>™</w:t>
      </w:r>
      <w:r>
        <w:rPr>
          <w:rFonts w:ascii="Times New Roman" w:eastAsia="Segoe UI" w:hAnsi="Times New Roman"/>
          <w:color w:val="242424"/>
          <w:sz w:val="24"/>
          <w:szCs w:val="24"/>
          <w:shd w:val="clear" w:color="auto" w:fill="FFFFFF"/>
          <w:vertAlign w:val="superscript"/>
        </w:rPr>
        <w:t xml:space="preserve"> </w:t>
      </w:r>
      <w:r>
        <w:rPr>
          <w:rFonts w:ascii="Times New Roman" w:eastAsia="Segoe UI" w:hAnsi="Times New Roman"/>
          <w:color w:val="242424"/>
          <w:sz w:val="24"/>
          <w:szCs w:val="24"/>
          <w:shd w:val="clear" w:color="auto" w:fill="FFFFFF"/>
        </w:rPr>
        <w:t xml:space="preserve">through </w:t>
      </w:r>
      <w:r>
        <w:rPr>
          <w:rFonts w:ascii="Times New Roman" w:eastAsia="Arial" w:hAnsi="Times New Roman" w:cs="Times New Roman"/>
          <w:color w:val="000000"/>
          <w:sz w:val="24"/>
          <w:szCs w:val="24"/>
          <w:lang w:bidi="ar"/>
        </w:rPr>
        <w:t>significantly influenced the modified-release behavior, the role of HiCel</w:t>
      </w:r>
      <w:r>
        <w:rPr>
          <w:rFonts w:ascii="Times New Roman" w:eastAsia="Arial" w:hAnsi="Times New Roman" w:cs="Times New Roman"/>
          <w:color w:val="000000"/>
          <w:sz w:val="24"/>
          <w:szCs w:val="24"/>
          <w:vertAlign w:val="superscript"/>
          <w:lang w:bidi="ar"/>
        </w:rPr>
        <w:t>™</w:t>
      </w:r>
      <w:r>
        <w:rPr>
          <w:rFonts w:ascii="Times New Roman" w:eastAsia="Arial" w:hAnsi="Times New Roman" w:cs="Times New Roman"/>
          <w:color w:val="000000"/>
          <w:sz w:val="24"/>
          <w:szCs w:val="24"/>
          <w:lang w:bidi="ar"/>
        </w:rPr>
        <w:t>, a microcrystalline cellulose-based filler, should not be overlooked. Varying concentrations of HiCel</w:t>
      </w:r>
      <w:r>
        <w:rPr>
          <w:rFonts w:ascii="Times New Roman" w:eastAsia="Arial" w:hAnsi="Times New Roman" w:cs="Times New Roman"/>
          <w:color w:val="000000"/>
          <w:sz w:val="24"/>
          <w:szCs w:val="24"/>
          <w:vertAlign w:val="superscript"/>
          <w:lang w:bidi="ar"/>
        </w:rPr>
        <w:t xml:space="preserve">™ </w:t>
      </w:r>
      <w:r>
        <w:rPr>
          <w:rFonts w:ascii="Times New Roman" w:eastAsia="Arial" w:hAnsi="Times New Roman" w:cs="Times New Roman"/>
          <w:color w:val="000000"/>
          <w:sz w:val="24"/>
          <w:szCs w:val="24"/>
          <w:lang w:bidi="ar"/>
        </w:rPr>
        <w:t>altered tablet porosity, hardness, and disintegration time, thereby</w:t>
      </w:r>
      <w:r>
        <w:rPr>
          <w:rFonts w:ascii="Times New Roman" w:eastAsia="Arial" w:hAnsi="Times New Roman" w:cs="Times New Roman"/>
          <w:color w:val="000000"/>
          <w:sz w:val="24"/>
          <w:szCs w:val="24"/>
          <w:lang w:bidi="ar"/>
        </w:rPr>
        <w:t xml:space="preserve"> affecting overall release performance. Hence, the observed tablet behavior is likely due to the combined effects of both ULTRAMOD</w:t>
      </w:r>
      <w:r>
        <w:rPr>
          <w:rFonts w:ascii="Times New Roman" w:eastAsia="Segoe UI" w:hAnsi="Times New Roman"/>
          <w:color w:val="242424"/>
          <w:sz w:val="24"/>
          <w:szCs w:val="24"/>
          <w:shd w:val="clear" w:color="auto" w:fill="FFFFFF"/>
          <w:vertAlign w:val="superscript"/>
        </w:rPr>
        <w:t>™</w:t>
      </w:r>
      <w:r>
        <w:rPr>
          <w:rFonts w:ascii="Times New Roman" w:eastAsia="Arial" w:hAnsi="Times New Roman" w:cs="Times New Roman"/>
          <w:color w:val="000000"/>
          <w:sz w:val="24"/>
          <w:szCs w:val="24"/>
          <w:lang w:bidi="ar"/>
        </w:rPr>
        <w:t xml:space="preserve"> and HiCel</w:t>
      </w:r>
      <w:r>
        <w:rPr>
          <w:rFonts w:ascii="Times New Roman" w:eastAsia="Arial" w:hAnsi="Times New Roman" w:cs="Times New Roman"/>
          <w:color w:val="000000"/>
          <w:sz w:val="24"/>
          <w:szCs w:val="24"/>
          <w:vertAlign w:val="superscript"/>
          <w:lang w:bidi="ar"/>
        </w:rPr>
        <w:t>™</w:t>
      </w:r>
      <w:r>
        <w:rPr>
          <w:rFonts w:ascii="Times New Roman" w:eastAsia="Arial" w:hAnsi="Times New Roman" w:cs="Times New Roman"/>
          <w:color w:val="000000"/>
          <w:sz w:val="24"/>
          <w:szCs w:val="24"/>
          <w:lang w:bidi="ar"/>
        </w:rPr>
        <w:t>.</w:t>
      </w:r>
    </w:p>
    <w:p w14:paraId="446666DD" w14:textId="77777777" w:rsidR="00990066" w:rsidRDefault="005243B0">
      <w:pPr>
        <w:spacing w:line="360" w:lineRule="auto"/>
        <w:jc w:val="both"/>
        <w:rPr>
          <w:rFonts w:ascii="Times New Roman" w:eastAsia="SimSun" w:hAnsi="Times New Roman" w:cs="Times New Roman"/>
          <w:color w:val="000000"/>
          <w:sz w:val="24"/>
          <w:szCs w:val="24"/>
        </w:rPr>
      </w:pPr>
      <w:r>
        <w:rPr>
          <w:rFonts w:ascii="Times New Roman" w:eastAsia="Segoe UI" w:hAnsi="Times New Roman"/>
          <w:b/>
          <w:bCs/>
          <w:color w:val="242424"/>
          <w:sz w:val="24"/>
          <w:szCs w:val="24"/>
          <w:shd w:val="clear" w:color="auto" w:fill="FFFFFF"/>
        </w:rPr>
        <w:t>3.1.3</w:t>
      </w:r>
      <w:r>
        <w:rPr>
          <w:rFonts w:ascii="Times New Roman" w:eastAsia="Segoe UI" w:hAnsi="Times New Roman"/>
          <w:b/>
          <w:bCs/>
          <w:i/>
          <w:iCs/>
          <w:color w:val="242424"/>
          <w:sz w:val="24"/>
          <w:szCs w:val="24"/>
          <w:shd w:val="clear" w:color="auto" w:fill="FFFFFF"/>
        </w:rPr>
        <w:t xml:space="preserve"> </w:t>
      </w:r>
      <w:r>
        <w:rPr>
          <w:rFonts w:ascii="Times New Roman" w:eastAsia="Segoe UI" w:hAnsi="Times New Roman"/>
          <w:i/>
          <w:iCs/>
          <w:color w:val="242424"/>
          <w:sz w:val="24"/>
          <w:szCs w:val="24"/>
          <w:shd w:val="clear" w:color="auto" w:fill="FFFFFF"/>
        </w:rPr>
        <w:t>In-vitro</w:t>
      </w:r>
      <w:r>
        <w:rPr>
          <w:rFonts w:ascii="Times New Roman" w:eastAsia="Segoe UI" w:hAnsi="Times New Roman"/>
          <w:color w:val="242424"/>
          <w:sz w:val="24"/>
          <w:szCs w:val="24"/>
          <w:shd w:val="clear" w:color="auto" w:fill="FFFFFF"/>
        </w:rPr>
        <w:t xml:space="preserve"> dissolution study </w:t>
      </w:r>
      <w:r>
        <w:rPr>
          <w:rFonts w:ascii="Times New Roman" w:eastAsia="Cambria" w:hAnsi="Times New Roman" w:cs="Times New Roman"/>
          <w:color w:val="000000"/>
          <w:sz w:val="24"/>
          <w:szCs w:val="24"/>
          <w:lang w:eastAsia="en-IN"/>
        </w:rPr>
        <w:t xml:space="preserve">of </w:t>
      </w:r>
      <w:r>
        <w:rPr>
          <w:rFonts w:ascii="Times New Roman" w:eastAsia="SimSun" w:hAnsi="Times New Roman" w:cs="Times New Roman"/>
          <w:color w:val="000000"/>
          <w:sz w:val="24"/>
          <w:szCs w:val="24"/>
        </w:rPr>
        <w:t>metformin hydrochloride extended release tablet</w:t>
      </w:r>
    </w:p>
    <w:p w14:paraId="27851483" w14:textId="77777777" w:rsidR="00990066" w:rsidRDefault="005243B0">
      <w:pPr>
        <w:spacing w:line="360" w:lineRule="auto"/>
        <w:jc w:val="both"/>
        <w:rPr>
          <w:rFonts w:ascii="Times New Roman" w:eastAsia="Segoe UI" w:hAnsi="Times New Roman"/>
          <w:color w:val="242424"/>
          <w:sz w:val="24"/>
          <w:szCs w:val="24"/>
          <w:shd w:val="clear" w:color="auto" w:fill="FFFFFF"/>
        </w:rPr>
      </w:pPr>
      <w:r>
        <w:rPr>
          <w:rFonts w:ascii="Times New Roman" w:eastAsia="Segoe UI" w:hAnsi="Times New Roman"/>
          <w:color w:val="242424"/>
          <w:sz w:val="24"/>
          <w:szCs w:val="24"/>
          <w:shd w:val="clear" w:color="auto" w:fill="FFFFFF"/>
        </w:rPr>
        <w:t xml:space="preserve">The drug release profile is </w:t>
      </w:r>
      <w:r>
        <w:rPr>
          <w:rFonts w:ascii="Times New Roman" w:eastAsia="Segoe UI" w:hAnsi="Times New Roman"/>
          <w:color w:val="242424"/>
          <w:sz w:val="24"/>
          <w:szCs w:val="24"/>
          <w:shd w:val="clear" w:color="auto" w:fill="FFFFFF"/>
        </w:rPr>
        <w:t>the most critical factor in</w:t>
      </w:r>
      <w:r>
        <w:rPr>
          <w:rFonts w:ascii="Times New Roman" w:eastAsia="Segoe UI" w:hAnsi="Times New Roman"/>
          <w:b/>
          <w:bCs/>
          <w:color w:val="242424"/>
          <w:sz w:val="24"/>
          <w:szCs w:val="24"/>
          <w:shd w:val="clear" w:color="auto" w:fill="FFFFFF"/>
        </w:rPr>
        <w:t xml:space="preserve"> </w:t>
      </w:r>
      <w:r>
        <w:rPr>
          <w:rFonts w:ascii="Times New Roman" w:eastAsia="Segoe UI" w:hAnsi="Times New Roman"/>
          <w:color w:val="242424"/>
          <w:sz w:val="24"/>
          <w:szCs w:val="24"/>
          <w:shd w:val="clear" w:color="auto" w:fill="FFFFFF"/>
        </w:rPr>
        <w:t>evaluating the</w:t>
      </w:r>
      <w:r>
        <w:t xml:space="preserve"> </w:t>
      </w:r>
      <w:r>
        <w:rPr>
          <w:rFonts w:ascii="Times New Roman" w:eastAsia="Segoe UI" w:hAnsi="Times New Roman"/>
          <w:color w:val="242424"/>
          <w:sz w:val="24"/>
          <w:szCs w:val="24"/>
          <w:shd w:val="clear" w:color="auto" w:fill="FFFFFF"/>
        </w:rPr>
        <w:t>extended release formulation, prepared with different concentrations of ULTRAMOD</w:t>
      </w:r>
      <w:r>
        <w:rPr>
          <w:rFonts w:ascii="Times New Roman" w:eastAsia="Segoe UI" w:hAnsi="Times New Roman"/>
          <w:color w:val="242424"/>
          <w:sz w:val="24"/>
          <w:szCs w:val="24"/>
          <w:shd w:val="clear" w:color="auto" w:fill="FFFFFF"/>
          <w:vertAlign w:val="superscript"/>
        </w:rPr>
        <w:t>™</w:t>
      </w:r>
      <w:r>
        <w:rPr>
          <w:rFonts w:ascii="Times New Roman" w:eastAsia="Segoe UI" w:hAnsi="Times New Roman"/>
          <w:color w:val="242424"/>
          <w:sz w:val="24"/>
          <w:szCs w:val="24"/>
          <w:shd w:val="clear" w:color="auto" w:fill="FFFFFF"/>
        </w:rPr>
        <w:t xml:space="preserve"> polymer premix (Table 4). </w:t>
      </w:r>
    </w:p>
    <w:p w14:paraId="3770B278" w14:textId="77777777" w:rsidR="00990066" w:rsidRDefault="00990066">
      <w:pPr>
        <w:spacing w:line="360" w:lineRule="auto"/>
        <w:ind w:left="960" w:hangingChars="400" w:hanging="960"/>
        <w:rPr>
          <w:rFonts w:ascii="Times New Roman" w:hAnsi="Times New Roman"/>
          <w:b/>
          <w:bCs/>
          <w:sz w:val="24"/>
          <w:szCs w:val="24"/>
        </w:rPr>
      </w:pPr>
    </w:p>
    <w:p w14:paraId="797B6701" w14:textId="77777777" w:rsidR="00990066" w:rsidRDefault="005243B0">
      <w:pPr>
        <w:spacing w:line="360" w:lineRule="auto"/>
        <w:ind w:left="960" w:hangingChars="400" w:hanging="960"/>
        <w:rPr>
          <w:rFonts w:ascii="Times New Roman" w:hAnsi="Times New Roman"/>
          <w:b/>
          <w:bCs/>
          <w:sz w:val="24"/>
          <w:szCs w:val="24"/>
        </w:rPr>
      </w:pPr>
      <w:r>
        <w:rPr>
          <w:rFonts w:ascii="Times New Roman" w:hAnsi="Times New Roman"/>
          <w:b/>
          <w:bCs/>
          <w:sz w:val="24"/>
          <w:szCs w:val="24"/>
        </w:rPr>
        <w:t xml:space="preserve">Table 4  </w:t>
      </w:r>
    </w:p>
    <w:p w14:paraId="0E2B8129" w14:textId="77777777" w:rsidR="00990066" w:rsidRDefault="005243B0">
      <w:pPr>
        <w:spacing w:line="360" w:lineRule="auto"/>
        <w:rPr>
          <w:rFonts w:ascii="Times New Roman" w:hAnsi="Times New Roman" w:cs="Times New Roman"/>
          <w:sz w:val="24"/>
          <w:szCs w:val="24"/>
        </w:rPr>
      </w:pPr>
      <w:r>
        <w:rPr>
          <w:rFonts w:ascii="Times New Roman" w:hAnsi="Times New Roman"/>
          <w:sz w:val="24"/>
          <w:szCs w:val="24"/>
        </w:rPr>
        <w:t>Metformin hydrochloride extended release tablet drug release specification as per USP monogra</w:t>
      </w:r>
      <w:r>
        <w:rPr>
          <w:rFonts w:ascii="Times New Roman" w:hAnsi="Times New Roman"/>
          <w:sz w:val="24"/>
          <w:szCs w:val="24"/>
        </w:rPr>
        <w:t>ph [16]</w:t>
      </w:r>
    </w:p>
    <w:tbl>
      <w:tblPr>
        <w:tblStyle w:val="TableGrid"/>
        <w:tblW w:w="0" w:type="auto"/>
        <w:tblInd w:w="144" w:type="dxa"/>
        <w:tblLook w:val="04A0" w:firstRow="1" w:lastRow="0" w:firstColumn="1" w:lastColumn="0" w:noHBand="0" w:noVBand="1"/>
      </w:tblPr>
      <w:tblGrid>
        <w:gridCol w:w="2541"/>
        <w:gridCol w:w="3878"/>
      </w:tblGrid>
      <w:tr w:rsidR="00990066" w14:paraId="1AFABF07" w14:textId="77777777">
        <w:trPr>
          <w:trHeight w:val="330"/>
        </w:trPr>
        <w:tc>
          <w:tcPr>
            <w:tcW w:w="2541" w:type="dxa"/>
            <w:tcBorders>
              <w:top w:val="single" w:sz="4" w:space="0" w:color="auto"/>
              <w:left w:val="nil"/>
              <w:bottom w:val="single" w:sz="4" w:space="0" w:color="auto"/>
              <w:right w:val="nil"/>
            </w:tcBorders>
            <w:vAlign w:val="center"/>
          </w:tcPr>
          <w:p w14:paraId="3606B5AC" w14:textId="77777777" w:rsidR="00990066" w:rsidRDefault="005243B0">
            <w:pPr>
              <w:jc w:val="center"/>
              <w:rPr>
                <w:rFonts w:ascii="Times New Roman" w:hAnsi="Times New Roman" w:cs="Times New Roman"/>
                <w:sz w:val="24"/>
                <w:szCs w:val="24"/>
              </w:rPr>
            </w:pPr>
            <w:r>
              <w:rPr>
                <w:rFonts w:ascii="Times New Roman" w:hAnsi="Times New Roman" w:cs="Times New Roman"/>
                <w:sz w:val="24"/>
                <w:szCs w:val="24"/>
              </w:rPr>
              <w:t>Time intervals</w:t>
            </w:r>
          </w:p>
        </w:tc>
        <w:tc>
          <w:tcPr>
            <w:tcW w:w="3878" w:type="dxa"/>
            <w:tcBorders>
              <w:top w:val="single" w:sz="4" w:space="0" w:color="auto"/>
              <w:left w:val="nil"/>
              <w:bottom w:val="single" w:sz="4" w:space="0" w:color="auto"/>
              <w:right w:val="nil"/>
            </w:tcBorders>
            <w:vAlign w:val="center"/>
          </w:tcPr>
          <w:p w14:paraId="3A744EAB" w14:textId="77777777" w:rsidR="00990066" w:rsidRDefault="005243B0">
            <w:pPr>
              <w:jc w:val="center"/>
              <w:rPr>
                <w:rFonts w:ascii="Times New Roman" w:hAnsi="Times New Roman" w:cs="Times New Roman"/>
                <w:sz w:val="24"/>
                <w:szCs w:val="24"/>
              </w:rPr>
            </w:pPr>
            <w:r>
              <w:rPr>
                <w:rFonts w:ascii="Times New Roman" w:hAnsi="Times New Roman" w:cs="Times New Roman"/>
                <w:sz w:val="24"/>
                <w:szCs w:val="24"/>
              </w:rPr>
              <w:t>Amount drug released</w:t>
            </w:r>
          </w:p>
        </w:tc>
      </w:tr>
      <w:tr w:rsidR="00990066" w14:paraId="55EEAD94" w14:textId="77777777">
        <w:trPr>
          <w:trHeight w:val="330"/>
        </w:trPr>
        <w:tc>
          <w:tcPr>
            <w:tcW w:w="2541" w:type="dxa"/>
            <w:tcBorders>
              <w:top w:val="single" w:sz="4" w:space="0" w:color="auto"/>
              <w:left w:val="nil"/>
              <w:bottom w:val="nil"/>
              <w:right w:val="nil"/>
            </w:tcBorders>
            <w:vAlign w:val="center"/>
          </w:tcPr>
          <w:p w14:paraId="207F3F45" w14:textId="77777777" w:rsidR="00990066" w:rsidRDefault="005243B0">
            <w:pPr>
              <w:jc w:val="center"/>
              <w:rPr>
                <w:rFonts w:ascii="Times New Roman" w:hAnsi="Times New Roman" w:cs="Times New Roman"/>
                <w:sz w:val="24"/>
                <w:szCs w:val="24"/>
              </w:rPr>
            </w:pPr>
            <w:r>
              <w:rPr>
                <w:rFonts w:ascii="Times New Roman" w:hAnsi="Times New Roman" w:cs="Times New Roman"/>
                <w:sz w:val="24"/>
                <w:szCs w:val="24"/>
              </w:rPr>
              <w:t>1 hour</w:t>
            </w:r>
          </w:p>
        </w:tc>
        <w:tc>
          <w:tcPr>
            <w:tcW w:w="3878" w:type="dxa"/>
            <w:tcBorders>
              <w:top w:val="single" w:sz="4" w:space="0" w:color="auto"/>
              <w:left w:val="nil"/>
              <w:bottom w:val="nil"/>
              <w:right w:val="nil"/>
            </w:tcBorders>
            <w:vAlign w:val="center"/>
          </w:tcPr>
          <w:p w14:paraId="4CAAF7BB" w14:textId="77777777" w:rsidR="00990066" w:rsidRDefault="005243B0">
            <w:pPr>
              <w:jc w:val="center"/>
              <w:rPr>
                <w:rFonts w:ascii="Times New Roman" w:hAnsi="Times New Roman" w:cs="Times New Roman"/>
                <w:sz w:val="24"/>
                <w:szCs w:val="24"/>
              </w:rPr>
            </w:pPr>
            <w:r>
              <w:rPr>
                <w:rFonts w:ascii="Times New Roman" w:hAnsi="Times New Roman" w:cs="Times New Roman"/>
                <w:sz w:val="24"/>
                <w:szCs w:val="24"/>
              </w:rPr>
              <w:t>Between 20% to 40%</w:t>
            </w:r>
          </w:p>
        </w:tc>
      </w:tr>
      <w:tr w:rsidR="00990066" w14:paraId="01C5945E" w14:textId="77777777">
        <w:trPr>
          <w:trHeight w:val="318"/>
        </w:trPr>
        <w:tc>
          <w:tcPr>
            <w:tcW w:w="2541" w:type="dxa"/>
            <w:tcBorders>
              <w:top w:val="nil"/>
              <w:left w:val="nil"/>
              <w:bottom w:val="nil"/>
              <w:right w:val="nil"/>
            </w:tcBorders>
            <w:vAlign w:val="center"/>
          </w:tcPr>
          <w:p w14:paraId="4085EF24" w14:textId="77777777" w:rsidR="00990066" w:rsidRDefault="005243B0">
            <w:pPr>
              <w:jc w:val="center"/>
              <w:rPr>
                <w:rFonts w:ascii="Times New Roman" w:hAnsi="Times New Roman" w:cs="Times New Roman"/>
                <w:sz w:val="24"/>
                <w:szCs w:val="24"/>
              </w:rPr>
            </w:pPr>
            <w:r>
              <w:rPr>
                <w:rFonts w:ascii="Times New Roman" w:hAnsi="Times New Roman" w:cs="Times New Roman"/>
                <w:sz w:val="24"/>
                <w:szCs w:val="24"/>
              </w:rPr>
              <w:t>3 hours</w:t>
            </w:r>
          </w:p>
        </w:tc>
        <w:tc>
          <w:tcPr>
            <w:tcW w:w="3878" w:type="dxa"/>
            <w:tcBorders>
              <w:top w:val="nil"/>
              <w:left w:val="nil"/>
              <w:bottom w:val="nil"/>
              <w:right w:val="nil"/>
            </w:tcBorders>
            <w:vAlign w:val="center"/>
          </w:tcPr>
          <w:p w14:paraId="6D3412E4" w14:textId="77777777" w:rsidR="00990066" w:rsidRDefault="005243B0">
            <w:pPr>
              <w:jc w:val="center"/>
              <w:rPr>
                <w:rFonts w:ascii="Times New Roman" w:hAnsi="Times New Roman" w:cs="Times New Roman"/>
                <w:sz w:val="24"/>
                <w:szCs w:val="24"/>
              </w:rPr>
            </w:pPr>
            <w:r>
              <w:rPr>
                <w:rFonts w:ascii="Times New Roman" w:hAnsi="Times New Roman" w:cs="Times New Roman"/>
                <w:sz w:val="24"/>
                <w:szCs w:val="24"/>
              </w:rPr>
              <w:t>Between 45% to 65%</w:t>
            </w:r>
          </w:p>
        </w:tc>
      </w:tr>
      <w:tr w:rsidR="00990066" w14:paraId="3A5DED3F" w14:textId="77777777">
        <w:trPr>
          <w:trHeight w:val="330"/>
        </w:trPr>
        <w:tc>
          <w:tcPr>
            <w:tcW w:w="2541" w:type="dxa"/>
            <w:tcBorders>
              <w:top w:val="nil"/>
              <w:left w:val="nil"/>
              <w:bottom w:val="single" w:sz="4" w:space="0" w:color="auto"/>
              <w:right w:val="nil"/>
            </w:tcBorders>
            <w:vAlign w:val="center"/>
          </w:tcPr>
          <w:p w14:paraId="13D97E0B" w14:textId="77777777" w:rsidR="00990066" w:rsidRDefault="005243B0">
            <w:pPr>
              <w:jc w:val="center"/>
              <w:rPr>
                <w:rFonts w:ascii="Times New Roman" w:hAnsi="Times New Roman" w:cs="Times New Roman"/>
                <w:sz w:val="24"/>
                <w:szCs w:val="24"/>
              </w:rPr>
            </w:pPr>
            <w:r>
              <w:rPr>
                <w:rFonts w:ascii="Times New Roman" w:hAnsi="Times New Roman" w:cs="Times New Roman"/>
                <w:sz w:val="24"/>
                <w:szCs w:val="24"/>
              </w:rPr>
              <w:t>10 hours</w:t>
            </w:r>
          </w:p>
        </w:tc>
        <w:tc>
          <w:tcPr>
            <w:tcW w:w="3878" w:type="dxa"/>
            <w:tcBorders>
              <w:top w:val="nil"/>
              <w:left w:val="nil"/>
              <w:bottom w:val="single" w:sz="4" w:space="0" w:color="auto"/>
              <w:right w:val="nil"/>
            </w:tcBorders>
            <w:vAlign w:val="center"/>
          </w:tcPr>
          <w:p w14:paraId="19C51FB4" w14:textId="77777777" w:rsidR="00990066" w:rsidRDefault="005243B0">
            <w:pPr>
              <w:jc w:val="center"/>
              <w:rPr>
                <w:rFonts w:ascii="Times New Roman" w:hAnsi="Times New Roman" w:cs="Times New Roman"/>
                <w:sz w:val="24"/>
                <w:szCs w:val="24"/>
              </w:rPr>
            </w:pPr>
            <w:r>
              <w:rPr>
                <w:rFonts w:ascii="Times New Roman" w:hAnsi="Times New Roman" w:cs="Times New Roman"/>
                <w:sz w:val="24"/>
                <w:szCs w:val="24"/>
              </w:rPr>
              <w:t>Not less than 85%</w:t>
            </w:r>
          </w:p>
        </w:tc>
      </w:tr>
    </w:tbl>
    <w:p w14:paraId="40634DD9" w14:textId="77777777" w:rsidR="00990066" w:rsidRDefault="00990066">
      <w:pPr>
        <w:jc w:val="both"/>
        <w:rPr>
          <w:rFonts w:ascii="Times New Roman" w:eastAsia="Segoe UI" w:hAnsi="Times New Roman"/>
          <w:color w:val="242424"/>
          <w:sz w:val="24"/>
          <w:szCs w:val="24"/>
          <w:shd w:val="clear" w:color="auto" w:fill="FFFFFF"/>
        </w:rPr>
      </w:pPr>
    </w:p>
    <w:p w14:paraId="3CAE4E01" w14:textId="77777777" w:rsidR="00990066" w:rsidRDefault="005243B0">
      <w:pPr>
        <w:spacing w:line="360" w:lineRule="auto"/>
        <w:jc w:val="both"/>
        <w:rPr>
          <w:rFonts w:ascii="Times New Roman" w:eastAsia="Segoe UI" w:hAnsi="Times New Roman"/>
          <w:color w:val="242424"/>
          <w:sz w:val="24"/>
          <w:szCs w:val="24"/>
          <w:shd w:val="clear" w:color="auto" w:fill="FFFFFF"/>
        </w:rPr>
      </w:pPr>
      <w:r>
        <w:rPr>
          <w:rFonts w:ascii="Times New Roman" w:eastAsia="Segoe UI" w:hAnsi="Times New Roman"/>
          <w:color w:val="242424"/>
          <w:sz w:val="24"/>
          <w:szCs w:val="24"/>
          <w:shd w:val="clear" w:color="auto" w:fill="FFFFFF"/>
        </w:rPr>
        <w:t xml:space="preserve">As mentioned in </w:t>
      </w:r>
      <w:r>
        <w:rPr>
          <w:rFonts w:ascii="Times New Roman" w:eastAsia="Cambria" w:hAnsi="Times New Roman" w:cs="Times New Roman"/>
          <w:color w:val="000000"/>
          <w:sz w:val="24"/>
          <w:szCs w:val="24"/>
          <w:lang w:eastAsia="en-IN"/>
        </w:rPr>
        <w:t>(Figure 4)</w:t>
      </w:r>
      <w:r>
        <w:rPr>
          <w:rFonts w:ascii="Times New Roman" w:eastAsia="Segoe UI" w:hAnsi="Times New Roman"/>
          <w:color w:val="242424"/>
          <w:sz w:val="24"/>
          <w:szCs w:val="24"/>
          <w:shd w:val="clear" w:color="auto" w:fill="FFFFFF"/>
        </w:rPr>
        <w:t xml:space="preserve">, the average percentage of drug release was assessed at intervals of 1 hour, 3 hours and 10 hours. </w:t>
      </w:r>
      <w:r>
        <w:rPr>
          <w:rFonts w:ascii="Times New Roman" w:eastAsia="Cambria" w:hAnsi="Times New Roman" w:cs="Times New Roman"/>
          <w:color w:val="000000"/>
          <w:sz w:val="24"/>
          <w:szCs w:val="24"/>
          <w:lang w:eastAsia="en-IN"/>
        </w:rPr>
        <w:t xml:space="preserve">The results of the drug release profile of metformin </w:t>
      </w:r>
      <w:r>
        <w:rPr>
          <w:rFonts w:ascii="Times New Roman" w:hAnsi="Times New Roman"/>
          <w:sz w:val="24"/>
          <w:szCs w:val="24"/>
        </w:rPr>
        <w:t>hydrochloride extended</w:t>
      </w:r>
      <w:r>
        <w:t xml:space="preserve"> </w:t>
      </w:r>
      <w:r>
        <w:rPr>
          <w:rFonts w:ascii="Times New Roman" w:hAnsi="Times New Roman"/>
          <w:sz w:val="24"/>
          <w:szCs w:val="24"/>
        </w:rPr>
        <w:t xml:space="preserve">release tablets in </w:t>
      </w:r>
      <w:r>
        <w:rPr>
          <w:rFonts w:ascii="Times New Roman" w:eastAsia="Cambria" w:hAnsi="Times New Roman" w:cs="Times New Roman"/>
          <w:color w:val="000000"/>
          <w:sz w:val="24"/>
          <w:szCs w:val="24"/>
          <w:lang w:eastAsia="en-IN"/>
        </w:rPr>
        <w:t>various formulations (F1–F6</w:t>
      </w:r>
      <w:r>
        <w:rPr>
          <w:rFonts w:ascii="Times New Roman" w:eastAsia="Cambria" w:hAnsi="Times New Roman" w:cs="Times New Roman"/>
          <w:b/>
          <w:bCs/>
          <w:color w:val="000000"/>
          <w:sz w:val="24"/>
          <w:szCs w:val="24"/>
          <w:lang w:eastAsia="en-IN"/>
        </w:rPr>
        <w:t>)</w:t>
      </w:r>
      <w:r>
        <w:rPr>
          <w:rFonts w:ascii="Times New Roman" w:eastAsia="Cambria" w:hAnsi="Times New Roman" w:cs="Times New Roman"/>
          <w:color w:val="000000"/>
          <w:sz w:val="24"/>
          <w:szCs w:val="24"/>
          <w:lang w:eastAsia="en-IN"/>
        </w:rPr>
        <w:t xml:space="preserve"> are demonstrated in (Figure 4).</w:t>
      </w:r>
    </w:p>
    <w:p w14:paraId="05F363D8" w14:textId="77777777" w:rsidR="00990066" w:rsidRDefault="005243B0">
      <w:pPr>
        <w:spacing w:line="360" w:lineRule="auto"/>
        <w:jc w:val="both"/>
        <w:rPr>
          <w:rFonts w:ascii="Times New Roman" w:eastAsia="Segoe UI" w:hAnsi="Times New Roman"/>
          <w:sz w:val="24"/>
          <w:szCs w:val="24"/>
          <w:shd w:val="clear" w:color="auto" w:fill="FFFFFF"/>
        </w:rPr>
      </w:pPr>
      <w:r>
        <w:rPr>
          <w:rFonts w:ascii="Times New Roman" w:eastAsia="Segoe UI" w:hAnsi="Times New Roman"/>
          <w:sz w:val="24"/>
          <w:szCs w:val="24"/>
          <w:shd w:val="clear" w:color="auto" w:fill="FFFFFF"/>
        </w:rPr>
        <w:t>F6 which was formulated without the ULTRAMOD</w:t>
      </w:r>
      <w:r>
        <w:rPr>
          <w:rFonts w:ascii="Times New Roman" w:eastAsia="Segoe UI" w:hAnsi="Times New Roman"/>
          <w:sz w:val="24"/>
          <w:szCs w:val="24"/>
          <w:shd w:val="clear" w:color="auto" w:fill="FFFFFF"/>
          <w:vertAlign w:val="superscript"/>
        </w:rPr>
        <w:t>™</w:t>
      </w:r>
      <w:r>
        <w:rPr>
          <w:rFonts w:ascii="Times New Roman" w:eastAsia="Segoe UI" w:hAnsi="Times New Roman"/>
          <w:sz w:val="24"/>
          <w:szCs w:val="24"/>
          <w:shd w:val="clear" w:color="auto" w:fill="FFFFFF"/>
        </w:rPr>
        <w:t xml:space="preserve"> polymer premix, exhibited immediate release with over </w:t>
      </w:r>
      <w:r>
        <w:rPr>
          <w:rFonts w:ascii="Times New Roman" w:eastAsia="Segoe UI" w:hAnsi="Times New Roman"/>
          <w:sz w:val="24"/>
          <w:szCs w:val="24"/>
          <w:shd w:val="clear" w:color="auto" w:fill="FFFFFF"/>
        </w:rPr>
        <w:t xml:space="preserve">96.18% </w:t>
      </w:r>
      <w:r>
        <w:rPr>
          <w:rFonts w:ascii="Times New Roman" w:hAnsi="Times New Roman" w:cs="Times New Roman"/>
          <w:sz w:val="24"/>
          <w:szCs w:val="24"/>
          <w:lang w:eastAsia="en-IN"/>
        </w:rPr>
        <w:t xml:space="preserve">± 1.06 of the </w:t>
      </w:r>
      <w:proofErr w:type="gramStart"/>
      <w:r>
        <w:rPr>
          <w:rFonts w:ascii="Times New Roman" w:hAnsi="Times New Roman" w:cs="Times New Roman"/>
          <w:sz w:val="24"/>
          <w:szCs w:val="24"/>
          <w:lang w:eastAsia="en-IN"/>
        </w:rPr>
        <w:t>drug</w:t>
      </w:r>
      <w:proofErr w:type="gramEnd"/>
      <w:r>
        <w:rPr>
          <w:rFonts w:ascii="Times New Roman" w:hAnsi="Times New Roman" w:cs="Times New Roman"/>
          <w:sz w:val="24"/>
          <w:szCs w:val="24"/>
          <w:lang w:eastAsia="en-IN"/>
        </w:rPr>
        <w:t xml:space="preserve"> released within 1 hour</w:t>
      </w:r>
      <w:r>
        <w:rPr>
          <w:rFonts w:ascii="Times New Roman" w:eastAsia="Segoe UI" w:hAnsi="Times New Roman"/>
          <w:b/>
          <w:bCs/>
          <w:color w:val="242424"/>
          <w:sz w:val="24"/>
          <w:szCs w:val="24"/>
          <w:shd w:val="clear" w:color="auto" w:fill="FFFFFF"/>
        </w:rPr>
        <w:t xml:space="preserve"> </w:t>
      </w:r>
      <w:r>
        <w:rPr>
          <w:rFonts w:ascii="Times New Roman" w:eastAsia="Segoe UI" w:hAnsi="Times New Roman"/>
          <w:color w:val="242424"/>
          <w:sz w:val="24"/>
          <w:szCs w:val="24"/>
          <w:shd w:val="clear" w:color="auto" w:fill="FFFFFF"/>
        </w:rPr>
        <w:t xml:space="preserve">as mentioned in </w:t>
      </w:r>
      <w:r>
        <w:rPr>
          <w:rFonts w:ascii="Times New Roman" w:eastAsia="Cambria" w:hAnsi="Times New Roman" w:cs="Times New Roman"/>
          <w:color w:val="000000"/>
          <w:sz w:val="24"/>
          <w:szCs w:val="24"/>
          <w:lang w:eastAsia="en-IN"/>
        </w:rPr>
        <w:t>(Figure 4)</w:t>
      </w:r>
      <w:r>
        <w:rPr>
          <w:rFonts w:ascii="Times New Roman" w:eastAsia="Segoe UI" w:hAnsi="Times New Roman"/>
          <w:color w:val="242424"/>
          <w:sz w:val="24"/>
          <w:szCs w:val="24"/>
          <w:shd w:val="clear" w:color="auto" w:fill="FFFFFF"/>
        </w:rPr>
        <w:t>. Formulation F1 showed drug release slightly above compendial specifications with values of 42.15%</w:t>
      </w:r>
      <w:r>
        <w:rPr>
          <w:rFonts w:ascii="Times New Roman" w:hAnsi="Times New Roman" w:cs="Times New Roman"/>
          <w:sz w:val="24"/>
          <w:szCs w:val="24"/>
        </w:rPr>
        <w:t xml:space="preserve"> </w:t>
      </w:r>
      <w:r>
        <w:rPr>
          <w:rFonts w:ascii="Times New Roman" w:hAnsi="Times New Roman" w:cs="Times New Roman"/>
          <w:b/>
          <w:bCs/>
          <w:sz w:val="24"/>
          <w:szCs w:val="24"/>
          <w:lang w:eastAsia="en-IN"/>
        </w:rPr>
        <w:t xml:space="preserve">± </w:t>
      </w:r>
      <w:r>
        <w:rPr>
          <w:rFonts w:ascii="Times New Roman" w:hAnsi="Times New Roman" w:cs="Times New Roman"/>
          <w:sz w:val="24"/>
          <w:szCs w:val="24"/>
          <w:lang w:eastAsia="en-IN"/>
        </w:rPr>
        <w:t>0.98</w:t>
      </w:r>
      <w:r>
        <w:rPr>
          <w:rFonts w:ascii="Times New Roman" w:eastAsia="Segoe UI" w:hAnsi="Times New Roman"/>
          <w:color w:val="242424"/>
          <w:sz w:val="24"/>
          <w:szCs w:val="24"/>
          <w:shd w:val="clear" w:color="auto" w:fill="FFFFFF"/>
        </w:rPr>
        <w:t xml:space="preserve">. F1 showed drug release percentages slightly above the specified range with values of 75.84% </w:t>
      </w:r>
      <w:r>
        <w:rPr>
          <w:rFonts w:ascii="Times New Roman" w:hAnsi="Times New Roman" w:cs="Times New Roman"/>
          <w:b/>
          <w:bCs/>
          <w:sz w:val="24"/>
          <w:szCs w:val="24"/>
          <w:lang w:eastAsia="en-IN"/>
        </w:rPr>
        <w:t xml:space="preserve">± </w:t>
      </w:r>
      <w:r>
        <w:rPr>
          <w:rFonts w:ascii="Times New Roman" w:hAnsi="Times New Roman" w:cs="Times New Roman"/>
          <w:sz w:val="24"/>
          <w:szCs w:val="24"/>
          <w:lang w:eastAsia="en-IN"/>
        </w:rPr>
        <w:t xml:space="preserve">1.46. </w:t>
      </w:r>
      <w:r>
        <w:rPr>
          <w:rFonts w:ascii="Times New Roman" w:eastAsia="Segoe UI" w:hAnsi="Times New Roman"/>
          <w:sz w:val="24"/>
          <w:szCs w:val="24"/>
          <w:shd w:val="clear" w:color="auto" w:fill="FFFFFF"/>
        </w:rPr>
        <w:t>This highlight the critical role of ULTRAMOD</w:t>
      </w:r>
      <w:r>
        <w:rPr>
          <w:rFonts w:ascii="Times New Roman" w:eastAsia="Segoe UI" w:hAnsi="Times New Roman"/>
          <w:sz w:val="24"/>
          <w:szCs w:val="24"/>
          <w:shd w:val="clear" w:color="auto" w:fill="FFFFFF"/>
          <w:vertAlign w:val="superscript"/>
        </w:rPr>
        <w:t>™</w:t>
      </w:r>
      <w:r>
        <w:rPr>
          <w:rFonts w:ascii="Times New Roman" w:eastAsia="Segoe UI" w:hAnsi="Times New Roman"/>
          <w:sz w:val="24"/>
          <w:szCs w:val="24"/>
          <w:shd w:val="clear" w:color="auto" w:fill="FFFFFF"/>
        </w:rPr>
        <w:t xml:space="preserve"> in sustained drug release and confirms its effectiveness in extended-release tablet formulations.</w:t>
      </w:r>
    </w:p>
    <w:p w14:paraId="654A0306" w14:textId="77777777" w:rsidR="00990066" w:rsidRDefault="005243B0">
      <w:pPr>
        <w:jc w:val="center"/>
        <w:rPr>
          <w:rFonts w:ascii="Times New Roman" w:eastAsia="Segoe UI" w:hAnsi="Times New Roman"/>
          <w:color w:val="242424"/>
          <w:sz w:val="24"/>
          <w:szCs w:val="24"/>
          <w:shd w:val="clear" w:color="auto" w:fill="FFFFFF"/>
        </w:rPr>
      </w:pPr>
      <w:r>
        <w:lastRenderedPageBreak/>
        <w:t xml:space="preserve">   </w:t>
      </w:r>
      <w:r>
        <w:rPr>
          <w:noProof/>
        </w:rPr>
        <w:drawing>
          <wp:inline distT="0" distB="0" distL="114300" distR="114300" wp14:anchorId="224B3038" wp14:editId="39859B87">
            <wp:extent cx="4950460" cy="2132965"/>
            <wp:effectExtent l="6350" t="6350" r="15240" b="13335"/>
            <wp:docPr id="12"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362E7CD" w14:textId="77777777" w:rsidR="00990066" w:rsidRDefault="005243B0">
      <w:pPr>
        <w:ind w:firstLineChars="900" w:firstLine="2160"/>
        <w:rPr>
          <w:rFonts w:ascii="Times New Roman" w:eastAsia="Cambria" w:hAnsi="Times New Roman" w:cs="Times New Roman"/>
          <w:color w:val="000000"/>
          <w:sz w:val="24"/>
          <w:szCs w:val="24"/>
          <w:lang w:eastAsia="en-IN"/>
        </w:rPr>
      </w:pPr>
      <w:r>
        <w:rPr>
          <w:rFonts w:ascii="Times New Roman" w:eastAsia="Cambria" w:hAnsi="Times New Roman" w:cs="Times New Roman"/>
          <w:color w:val="000000"/>
          <w:sz w:val="24"/>
          <w:szCs w:val="24"/>
          <w:lang w:eastAsia="en-IN"/>
        </w:rPr>
        <w:t>Figur</w:t>
      </w:r>
      <w:r>
        <w:rPr>
          <w:rFonts w:ascii="Times New Roman" w:eastAsia="Cambria" w:hAnsi="Times New Roman" w:cs="Times New Roman"/>
          <w:color w:val="000000"/>
          <w:sz w:val="24"/>
          <w:szCs w:val="24"/>
          <w:lang w:eastAsia="en-IN"/>
        </w:rPr>
        <w:t>e 3.</w:t>
      </w:r>
      <w:r>
        <w:rPr>
          <w:rFonts w:ascii="Times New Roman" w:eastAsia="Cambria" w:hAnsi="Times New Roman" w:cs="Times New Roman"/>
          <w:b/>
          <w:bCs/>
          <w:color w:val="000000"/>
          <w:sz w:val="24"/>
          <w:szCs w:val="24"/>
          <w:lang w:eastAsia="en-IN"/>
        </w:rPr>
        <w:t xml:space="preserve"> </w:t>
      </w:r>
      <w:r>
        <w:rPr>
          <w:rFonts w:ascii="Times New Roman" w:eastAsia="Cambria" w:hAnsi="Times New Roman" w:cs="Times New Roman"/>
          <w:color w:val="000000"/>
          <w:sz w:val="24"/>
          <w:szCs w:val="24"/>
          <w:lang w:eastAsia="en-IN"/>
        </w:rPr>
        <w:t>Standard calibration curve of metformin hydrochloride</w:t>
      </w:r>
    </w:p>
    <w:p w14:paraId="64638F84" w14:textId="77777777" w:rsidR="00990066" w:rsidRDefault="00990066">
      <w:pPr>
        <w:ind w:firstLineChars="800" w:firstLine="1920"/>
        <w:rPr>
          <w:rFonts w:ascii="Times New Roman" w:eastAsia="Cambria" w:hAnsi="Times New Roman" w:cs="Times New Roman"/>
          <w:color w:val="000000"/>
          <w:sz w:val="24"/>
          <w:szCs w:val="24"/>
          <w:lang w:eastAsia="en-IN"/>
        </w:rPr>
      </w:pPr>
    </w:p>
    <w:p w14:paraId="5A85B84F" w14:textId="77777777" w:rsidR="00990066" w:rsidRDefault="005243B0">
      <w:pPr>
        <w:jc w:val="both"/>
        <w:rPr>
          <w:rFonts w:ascii="Times New Roman" w:eastAsia="Cambria" w:hAnsi="Times New Roman" w:cs="Times New Roman"/>
          <w:b/>
          <w:bCs/>
          <w:color w:val="000000"/>
          <w:sz w:val="24"/>
          <w:szCs w:val="24"/>
          <w:lang w:eastAsia="en-IN"/>
        </w:rPr>
      </w:pPr>
      <w:r>
        <w:t xml:space="preserve">                               </w:t>
      </w:r>
      <w:r>
        <w:rPr>
          <w:noProof/>
        </w:rPr>
        <w:drawing>
          <wp:inline distT="0" distB="0" distL="114300" distR="114300" wp14:anchorId="55AC52F2" wp14:editId="4EF70400">
            <wp:extent cx="4920615" cy="1972945"/>
            <wp:effectExtent l="6350" t="6350" r="6985" b="20955"/>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6FC841E" w14:textId="77777777" w:rsidR="00990066" w:rsidRDefault="005243B0">
      <w:pPr>
        <w:ind w:firstLineChars="800" w:firstLine="1920"/>
        <w:rPr>
          <w:rFonts w:ascii="Times New Roman" w:eastAsia="Cambria" w:hAnsi="Times New Roman" w:cs="Times New Roman"/>
          <w:color w:val="000000"/>
          <w:sz w:val="24"/>
          <w:szCs w:val="24"/>
          <w:lang w:eastAsia="en-IN"/>
        </w:rPr>
      </w:pPr>
      <w:r>
        <w:rPr>
          <w:rFonts w:ascii="Times New Roman" w:eastAsia="Cambria" w:hAnsi="Times New Roman" w:cs="Times New Roman"/>
          <w:color w:val="000000"/>
          <w:sz w:val="24"/>
          <w:szCs w:val="24"/>
          <w:lang w:eastAsia="en-IN"/>
        </w:rPr>
        <w:t xml:space="preserve">Figure 4.  </w:t>
      </w:r>
      <w:r>
        <w:rPr>
          <w:rFonts w:ascii="Times New Roman" w:eastAsia="Cambria" w:hAnsi="Times New Roman" w:cs="Times New Roman"/>
          <w:i/>
          <w:iCs/>
          <w:color w:val="000000"/>
          <w:sz w:val="24"/>
          <w:szCs w:val="24"/>
          <w:lang w:eastAsia="en-IN"/>
        </w:rPr>
        <w:t>In-vitro</w:t>
      </w:r>
      <w:r>
        <w:rPr>
          <w:rFonts w:ascii="Times New Roman" w:eastAsia="Cambria" w:hAnsi="Times New Roman" w:cs="Times New Roman"/>
          <w:color w:val="000000"/>
          <w:sz w:val="24"/>
          <w:szCs w:val="24"/>
          <w:lang w:eastAsia="en-IN"/>
        </w:rPr>
        <w:t xml:space="preserve"> drug release profile of metformin hydrochloride</w:t>
      </w:r>
    </w:p>
    <w:p w14:paraId="30654F70" w14:textId="77777777" w:rsidR="00990066" w:rsidRDefault="005243B0">
      <w:pPr>
        <w:spacing w:line="360" w:lineRule="auto"/>
        <w:ind w:firstLineChars="1650" w:firstLine="3960"/>
        <w:rPr>
          <w:rFonts w:ascii="Times New Roman" w:eastAsia="Cambria" w:hAnsi="Times New Roman" w:cs="Times New Roman"/>
          <w:color w:val="000000"/>
          <w:sz w:val="24"/>
          <w:szCs w:val="24"/>
          <w:lang w:eastAsia="en-IN"/>
        </w:rPr>
      </w:pPr>
      <w:r>
        <w:rPr>
          <w:rFonts w:ascii="Times New Roman" w:eastAsia="Cambria" w:hAnsi="Times New Roman" w:cs="Times New Roman"/>
          <w:color w:val="000000" w:themeColor="text1"/>
          <w:sz w:val="24"/>
          <w:szCs w:val="24"/>
          <w:lang w:eastAsia="en-IN"/>
        </w:rPr>
        <w:t>extended release tablets</w:t>
      </w:r>
    </w:p>
    <w:p w14:paraId="39A53BAD" w14:textId="77777777" w:rsidR="00990066" w:rsidRDefault="005243B0">
      <w:pPr>
        <w:spacing w:line="360" w:lineRule="auto"/>
        <w:jc w:val="both"/>
        <w:rPr>
          <w:rFonts w:ascii="Times New Roman" w:eastAsia="Segoe UI" w:hAnsi="Times New Roman" w:cs="Times New Roman"/>
          <w:color w:val="242424"/>
          <w:sz w:val="24"/>
          <w:szCs w:val="24"/>
          <w:shd w:val="clear" w:color="auto" w:fill="FFFFFF"/>
        </w:rPr>
      </w:pPr>
      <w:r>
        <w:rPr>
          <w:rFonts w:ascii="Times New Roman" w:eastAsia="Segoe UI" w:hAnsi="Times New Roman"/>
          <w:color w:val="242424"/>
          <w:sz w:val="24"/>
          <w:szCs w:val="24"/>
          <w:shd w:val="clear" w:color="auto" w:fill="FFFFFF"/>
        </w:rPr>
        <w:t xml:space="preserve">Formulation F2 showed drug release after 1 hour within the specified limit but, after 3 hours, drug release was slightly above the specified range with values of 68.93% </w:t>
      </w:r>
      <w:r>
        <w:rPr>
          <w:rFonts w:ascii="Times New Roman" w:hAnsi="Times New Roman" w:cs="Times New Roman"/>
          <w:b/>
          <w:bCs/>
          <w:sz w:val="24"/>
          <w:szCs w:val="24"/>
          <w:lang w:eastAsia="en-IN"/>
        </w:rPr>
        <w:t xml:space="preserve">± </w:t>
      </w:r>
      <w:r>
        <w:rPr>
          <w:rFonts w:ascii="Times New Roman" w:hAnsi="Times New Roman" w:cs="Times New Roman"/>
          <w:sz w:val="24"/>
          <w:szCs w:val="24"/>
          <w:lang w:eastAsia="en-IN"/>
        </w:rPr>
        <w:t>0.82</w:t>
      </w:r>
      <w:r>
        <w:rPr>
          <w:rFonts w:ascii="Times New Roman" w:eastAsia="Segoe UI" w:hAnsi="Times New Roman"/>
          <w:color w:val="242424"/>
          <w:sz w:val="24"/>
          <w:szCs w:val="24"/>
          <w:shd w:val="clear" w:color="auto" w:fill="FFFFFF"/>
        </w:rPr>
        <w:t xml:space="preserve"> as mentioned in </w:t>
      </w:r>
      <w:r>
        <w:rPr>
          <w:rFonts w:ascii="Times New Roman" w:eastAsia="Cambria" w:hAnsi="Times New Roman" w:cs="Times New Roman"/>
          <w:color w:val="000000"/>
          <w:sz w:val="24"/>
          <w:szCs w:val="24"/>
          <w:lang w:eastAsia="en-IN"/>
        </w:rPr>
        <w:t>(Figure 4)</w:t>
      </w:r>
      <w:r>
        <w:rPr>
          <w:rFonts w:ascii="Times New Roman" w:eastAsia="Segoe UI" w:hAnsi="Times New Roman"/>
          <w:color w:val="242424"/>
          <w:sz w:val="24"/>
          <w:szCs w:val="24"/>
          <w:shd w:val="clear" w:color="auto" w:fill="FFFFFF"/>
        </w:rPr>
        <w:t xml:space="preserve">. Formulation </w:t>
      </w:r>
      <w:r>
        <w:rPr>
          <w:rFonts w:ascii="Times New Roman" w:eastAsia="Segoe UI" w:hAnsi="Times New Roman" w:cs="Times New Roman"/>
          <w:color w:val="242424"/>
          <w:sz w:val="24"/>
          <w:szCs w:val="24"/>
          <w:shd w:val="clear" w:color="auto" w:fill="FFFFFF"/>
        </w:rPr>
        <w:t xml:space="preserve">F3 was superior in balancing drug release and physical properties. It offered extended release over 10 hours and closely matched the performance as per standard drug release specifications as well as the marketed tablet. </w:t>
      </w:r>
      <w:r>
        <w:rPr>
          <w:rFonts w:ascii="Times New Roman" w:eastAsia="Arial" w:hAnsi="Times New Roman" w:cs="Times New Roman"/>
          <w:color w:val="000000"/>
          <w:sz w:val="24"/>
          <w:szCs w:val="24"/>
          <w:lang w:bidi="ar"/>
        </w:rPr>
        <w:t>Although the formulation demonstrat</w:t>
      </w:r>
      <w:r>
        <w:rPr>
          <w:rFonts w:ascii="Times New Roman" w:eastAsia="Arial" w:hAnsi="Times New Roman" w:cs="Times New Roman"/>
          <w:color w:val="000000"/>
          <w:sz w:val="24"/>
          <w:szCs w:val="24"/>
          <w:lang w:bidi="ar"/>
        </w:rPr>
        <w:t>ed a release profile similar to the marketed product, it is important to acknowledge that batch-to-batch variability existed in commercial formulations.</w:t>
      </w:r>
      <w:r>
        <w:rPr>
          <w:rFonts w:ascii="Times New Roman" w:eastAsia="Arial" w:hAnsi="Times New Roman" w:cs="Times New Roman"/>
          <w:b/>
          <w:bCs/>
          <w:color w:val="000000"/>
          <w:sz w:val="24"/>
          <w:szCs w:val="24"/>
          <w:lang w:bidi="ar"/>
        </w:rPr>
        <w:t xml:space="preserve"> </w:t>
      </w:r>
      <w:r>
        <w:rPr>
          <w:rFonts w:ascii="Times New Roman" w:eastAsia="Segoe UI" w:hAnsi="Times New Roman" w:cs="Times New Roman"/>
          <w:sz w:val="24"/>
          <w:szCs w:val="24"/>
          <w:shd w:val="clear" w:color="auto" w:fill="FFFFFF"/>
        </w:rPr>
        <w:t>The optimal amount of ULTRAMOD</w:t>
      </w:r>
      <w:r>
        <w:rPr>
          <w:rFonts w:ascii="Times New Roman" w:eastAsia="Segoe UI" w:hAnsi="Times New Roman"/>
          <w:sz w:val="24"/>
          <w:szCs w:val="24"/>
          <w:shd w:val="clear" w:color="auto" w:fill="FFFFFF"/>
          <w:vertAlign w:val="superscript"/>
        </w:rPr>
        <w:t>™</w:t>
      </w:r>
      <w:r>
        <w:rPr>
          <w:rFonts w:ascii="Times New Roman" w:eastAsia="Segoe UI" w:hAnsi="Times New Roman" w:cs="Times New Roman"/>
          <w:sz w:val="24"/>
          <w:szCs w:val="24"/>
          <w:shd w:val="clear" w:color="auto" w:fill="FFFFFF"/>
        </w:rPr>
        <w:t xml:space="preserve"> polymer premix, about 15% w/w (150 mg/tab), ensured the desired release</w:t>
      </w:r>
      <w:r>
        <w:rPr>
          <w:rFonts w:ascii="Times New Roman" w:eastAsia="Segoe UI" w:hAnsi="Times New Roman" w:cs="Times New Roman"/>
          <w:sz w:val="24"/>
          <w:szCs w:val="24"/>
          <w:shd w:val="clear" w:color="auto" w:fill="FFFFFF"/>
        </w:rPr>
        <w:t xml:space="preserve"> profile. Whereas tablets containing formulations F4 and F5 showed drug release after 10 hours less than 85%, as mentioned in</w:t>
      </w:r>
      <w:r>
        <w:rPr>
          <w:rFonts w:ascii="Times New Roman" w:eastAsia="Segoe UI" w:hAnsi="Times New Roman" w:cs="Times New Roman"/>
          <w:color w:val="242424"/>
          <w:sz w:val="24"/>
          <w:szCs w:val="24"/>
          <w:shd w:val="clear" w:color="auto" w:fill="FFFFFF"/>
        </w:rPr>
        <w:t xml:space="preserve"> </w:t>
      </w:r>
      <w:r>
        <w:rPr>
          <w:rFonts w:ascii="Times New Roman" w:eastAsia="Cambria" w:hAnsi="Times New Roman" w:cs="Times New Roman"/>
          <w:color w:val="000000"/>
          <w:sz w:val="24"/>
          <w:szCs w:val="24"/>
          <w:lang w:eastAsia="en-IN"/>
        </w:rPr>
        <w:t>(Figure 4)</w:t>
      </w:r>
      <w:r>
        <w:rPr>
          <w:rFonts w:ascii="Times New Roman" w:eastAsia="Segoe UI" w:hAnsi="Times New Roman" w:cs="Times New Roman"/>
          <w:color w:val="242424"/>
          <w:sz w:val="24"/>
          <w:szCs w:val="24"/>
          <w:shd w:val="clear" w:color="auto" w:fill="FFFFFF"/>
        </w:rPr>
        <w:t xml:space="preserve">. </w:t>
      </w:r>
      <w:r>
        <w:rPr>
          <w:rFonts w:ascii="Times New Roman" w:hAnsi="Times New Roman"/>
          <w:sz w:val="24"/>
          <w:szCs w:val="24"/>
        </w:rPr>
        <w:t>Amongst various formulations of Metformin HCl with ULTRAMOD</w:t>
      </w:r>
      <w:r>
        <w:rPr>
          <w:rFonts w:ascii="Times New Roman" w:eastAsia="DengXian" w:hAnsi="Times New Roman" w:cs="Times New Roman"/>
          <w:sz w:val="24"/>
          <w:szCs w:val="24"/>
          <w:vertAlign w:val="superscript"/>
        </w:rPr>
        <w:t xml:space="preserve">™ </w:t>
      </w:r>
      <w:r>
        <w:rPr>
          <w:rFonts w:ascii="Times New Roman" w:eastAsia="DengXian" w:hAnsi="Times New Roman" w:cs="Times New Roman"/>
          <w:sz w:val="24"/>
          <w:szCs w:val="24"/>
        </w:rPr>
        <w:t xml:space="preserve">the tablets containing 15% </w:t>
      </w:r>
      <w:r>
        <w:rPr>
          <w:rFonts w:ascii="Times New Roman" w:hAnsi="Times New Roman"/>
          <w:sz w:val="24"/>
          <w:szCs w:val="24"/>
        </w:rPr>
        <w:t>ULTRAMOD</w:t>
      </w:r>
      <w:r>
        <w:rPr>
          <w:rFonts w:ascii="Times New Roman" w:eastAsia="DengXian" w:hAnsi="Times New Roman" w:cs="Times New Roman"/>
          <w:sz w:val="24"/>
          <w:szCs w:val="24"/>
          <w:vertAlign w:val="superscript"/>
        </w:rPr>
        <w:t>™</w:t>
      </w:r>
      <w:r>
        <w:rPr>
          <w:rFonts w:ascii="Times New Roman" w:hAnsi="Times New Roman"/>
          <w:sz w:val="24"/>
          <w:szCs w:val="24"/>
        </w:rPr>
        <w:t xml:space="preserve"> showed 26.93% drug r</w:t>
      </w:r>
      <w:r>
        <w:rPr>
          <w:rFonts w:ascii="Times New Roman" w:hAnsi="Times New Roman"/>
          <w:sz w:val="24"/>
          <w:szCs w:val="24"/>
        </w:rPr>
        <w:t xml:space="preserve">elease in 1 hour, 51.13% drug release in 3 hours and 93.18% drug release in 10 hours as specified by Metformin HCl extended release tablet USP-NF monograph [19]. </w:t>
      </w:r>
      <w:r>
        <w:rPr>
          <w:rFonts w:ascii="Times New Roman" w:hAnsi="Times New Roman" w:cs="Times New Roman"/>
          <w:sz w:val="24"/>
          <w:szCs w:val="24"/>
        </w:rPr>
        <w:t>Such performance was unchanged even after using ULTRAMOD</w:t>
      </w:r>
      <w:r>
        <w:rPr>
          <w:rFonts w:ascii="Times New Roman" w:eastAsia="DengXian" w:hAnsi="Times New Roman" w:cs="Times New Roman"/>
          <w:sz w:val="24"/>
          <w:szCs w:val="24"/>
          <w:vertAlign w:val="superscript"/>
        </w:rPr>
        <w:t>™</w:t>
      </w:r>
      <w:r>
        <w:rPr>
          <w:rFonts w:ascii="Times New Roman" w:hAnsi="Times New Roman" w:cs="Times New Roman"/>
          <w:sz w:val="24"/>
          <w:szCs w:val="24"/>
        </w:rPr>
        <w:t xml:space="preserve"> which was stored at 40°C/75% RH for 6 months in simulated packing materials. </w:t>
      </w:r>
      <w:proofErr w:type="gramStart"/>
      <w:r>
        <w:rPr>
          <w:rFonts w:ascii="Times New Roman" w:hAnsi="Times New Roman" w:cs="Times New Roman"/>
          <w:sz w:val="24"/>
          <w:szCs w:val="24"/>
        </w:rPr>
        <w:t>Also</w:t>
      </w:r>
      <w:proofErr w:type="gramEnd"/>
      <w:r>
        <w:rPr>
          <w:rFonts w:ascii="Times New Roman" w:hAnsi="Times New Roman" w:cs="Times New Roman"/>
          <w:sz w:val="24"/>
          <w:szCs w:val="24"/>
        </w:rPr>
        <w:t xml:space="preserve"> critical material attributes of this polymer premix, such as density, flow properties, particle size distribution, viscosity, residue on ignition were found to be comparable</w:t>
      </w:r>
      <w:r>
        <w:rPr>
          <w:rFonts w:ascii="Times New Roman" w:hAnsi="Times New Roman" w:cs="Times New Roman"/>
          <w:sz w:val="24"/>
          <w:szCs w:val="24"/>
        </w:rPr>
        <w:t xml:space="preserve"> to those during initial evaluation.</w:t>
      </w:r>
    </w:p>
    <w:p w14:paraId="12EF3A56" w14:textId="77777777" w:rsidR="00990066" w:rsidRDefault="005243B0">
      <w:pPr>
        <w:spacing w:line="360" w:lineRule="auto"/>
        <w:jc w:val="both"/>
        <w:rPr>
          <w:rFonts w:ascii="Times New Roman" w:hAnsi="Times New Roman"/>
          <w:b/>
          <w:bCs/>
          <w:sz w:val="24"/>
          <w:szCs w:val="24"/>
        </w:rPr>
      </w:pPr>
      <w:r>
        <w:rPr>
          <w:rFonts w:ascii="Times New Roman" w:hAnsi="Times New Roman"/>
          <w:sz w:val="24"/>
          <w:szCs w:val="24"/>
        </w:rPr>
        <w:t xml:space="preserve">It was observed that crucial </w:t>
      </w:r>
      <w:proofErr w:type="spellStart"/>
      <w:r>
        <w:rPr>
          <w:rFonts w:ascii="Times New Roman" w:hAnsi="Times New Roman"/>
          <w:sz w:val="24"/>
          <w:szCs w:val="24"/>
        </w:rPr>
        <w:t>physico</w:t>
      </w:r>
      <w:proofErr w:type="spellEnd"/>
      <w:r>
        <w:rPr>
          <w:rFonts w:ascii="Times New Roman" w:hAnsi="Times New Roman"/>
          <w:sz w:val="24"/>
          <w:szCs w:val="24"/>
        </w:rPr>
        <w:t xml:space="preserve">-chemical parameters of </w:t>
      </w:r>
      <w:r>
        <w:rPr>
          <w:rFonts w:ascii="Times New Roman" w:eastAsia="Segoe UI" w:hAnsi="Times New Roman" w:cs="Times New Roman"/>
          <w:sz w:val="24"/>
          <w:szCs w:val="24"/>
          <w:shd w:val="clear" w:color="auto" w:fill="FFFFFF"/>
        </w:rPr>
        <w:t>ULTRAMOD</w:t>
      </w:r>
      <w:r>
        <w:rPr>
          <w:rFonts w:ascii="Times New Roman" w:eastAsia="Segoe UI" w:hAnsi="Times New Roman"/>
          <w:sz w:val="24"/>
          <w:szCs w:val="24"/>
          <w:shd w:val="clear" w:color="auto" w:fill="FFFFFF"/>
          <w:vertAlign w:val="superscript"/>
        </w:rPr>
        <w:t>™</w:t>
      </w:r>
      <w:r>
        <w:rPr>
          <w:rFonts w:ascii="Times New Roman" w:eastAsia="Segoe UI" w:hAnsi="Times New Roman" w:cs="Times New Roman"/>
          <w:shd w:val="clear" w:color="auto" w:fill="FFFFFF"/>
          <w:vertAlign w:val="superscript"/>
        </w:rPr>
        <w:t xml:space="preserve"> </w:t>
      </w:r>
      <w:r>
        <w:rPr>
          <w:rFonts w:ascii="Times New Roman" w:eastAsia="Segoe UI" w:hAnsi="Times New Roman" w:cs="Times New Roman"/>
          <w:sz w:val="24"/>
          <w:szCs w:val="24"/>
          <w:shd w:val="clear" w:color="auto" w:fill="FFFFFF"/>
        </w:rPr>
        <w:t xml:space="preserve">charged on accelerated stability conditions remained unchanged even after 6 months, as tabulated below. This indicated that </w:t>
      </w:r>
      <w:r>
        <w:rPr>
          <w:rFonts w:ascii="Times New Roman" w:eastAsia="Segoe UI" w:hAnsi="Times New Roman" w:cs="Times New Roman"/>
          <w:color w:val="242424"/>
          <w:sz w:val="24"/>
          <w:szCs w:val="24"/>
          <w:shd w:val="clear" w:color="auto" w:fill="FFFFFF"/>
        </w:rPr>
        <w:t>ULTRAMOD</w:t>
      </w:r>
      <w:r>
        <w:rPr>
          <w:rFonts w:ascii="Times New Roman" w:eastAsia="Segoe UI" w:hAnsi="Times New Roman"/>
          <w:sz w:val="24"/>
          <w:szCs w:val="24"/>
          <w:shd w:val="clear" w:color="auto" w:fill="FFFFFF"/>
          <w:vertAlign w:val="superscript"/>
        </w:rPr>
        <w:t>™</w:t>
      </w:r>
      <w:r>
        <w:rPr>
          <w:rFonts w:ascii="Times New Roman" w:eastAsia="Segoe UI" w:hAnsi="Times New Roman" w:cs="Times New Roman"/>
          <w:color w:val="242424"/>
          <w:sz w:val="24"/>
          <w:szCs w:val="24"/>
          <w:shd w:val="clear" w:color="auto" w:fill="FFFFFF"/>
        </w:rPr>
        <w:t xml:space="preserve"> </w:t>
      </w:r>
      <w:r>
        <w:rPr>
          <w:rFonts w:ascii="Times New Roman" w:eastAsia="Segoe UI" w:hAnsi="Times New Roman" w:cs="Times New Roman"/>
          <w:color w:val="242424"/>
          <w:sz w:val="24"/>
          <w:szCs w:val="24"/>
          <w:shd w:val="clear" w:color="auto" w:fill="FFFFFF"/>
        </w:rPr>
        <w:lastRenderedPageBreak/>
        <w:t xml:space="preserve">polymer premix </w:t>
      </w:r>
      <w:r>
        <w:rPr>
          <w:rFonts w:ascii="Times New Roman" w:eastAsia="Segoe UI" w:hAnsi="Times New Roman" w:cs="Times New Roman"/>
          <w:color w:val="242424"/>
          <w:sz w:val="24"/>
          <w:szCs w:val="24"/>
          <w:shd w:val="clear" w:color="auto" w:fill="FFFFFF"/>
        </w:rPr>
        <w:t>would continue to contribute to unchanged quality and performance characteristics of formulation during storage also.</w:t>
      </w:r>
    </w:p>
    <w:p w14:paraId="7E9DAA96" w14:textId="77777777" w:rsidR="00990066" w:rsidRDefault="005243B0">
      <w:pPr>
        <w:spacing w:line="360" w:lineRule="auto"/>
        <w:jc w:val="both"/>
        <w:rPr>
          <w:rFonts w:ascii="Times New Roman" w:hAnsi="Times New Roman"/>
          <w:b/>
          <w:bCs/>
          <w:sz w:val="24"/>
          <w:szCs w:val="24"/>
        </w:rPr>
      </w:pPr>
      <w:r>
        <w:rPr>
          <w:rFonts w:ascii="Times New Roman" w:hAnsi="Times New Roman"/>
          <w:b/>
          <w:bCs/>
          <w:sz w:val="24"/>
          <w:szCs w:val="24"/>
        </w:rPr>
        <w:t xml:space="preserve">Table 5 </w:t>
      </w:r>
    </w:p>
    <w:p w14:paraId="01A64949" w14:textId="77777777" w:rsidR="00990066" w:rsidRDefault="005243B0">
      <w:pPr>
        <w:spacing w:line="360" w:lineRule="auto"/>
        <w:jc w:val="both"/>
        <w:rPr>
          <w:rFonts w:ascii="Times New Roman" w:eastAsia="Segoe UI" w:hAnsi="Times New Roman" w:cs="Times New Roman"/>
          <w:color w:val="242424"/>
          <w:sz w:val="24"/>
          <w:szCs w:val="24"/>
          <w:shd w:val="clear" w:color="auto" w:fill="FFFFFF"/>
          <w:lang w:bidi="ar"/>
        </w:rPr>
      </w:pPr>
      <w:r>
        <w:rPr>
          <w:rFonts w:ascii="Times New Roman" w:hAnsi="Times New Roman"/>
          <w:sz w:val="24"/>
          <w:szCs w:val="24"/>
        </w:rPr>
        <w:t>Stability study on Micromeritics of ULTRAMOD</w:t>
      </w:r>
      <w:r>
        <w:rPr>
          <w:rFonts w:ascii="Times New Roman" w:eastAsia="DengXian" w:hAnsi="Times New Roman" w:cs="Times New Roman"/>
          <w:sz w:val="24"/>
          <w:szCs w:val="24"/>
          <w:vertAlign w:val="superscript"/>
        </w:rPr>
        <w:t xml:space="preserve">™ </w:t>
      </w:r>
      <w:r>
        <w:rPr>
          <w:rFonts w:ascii="Times New Roman" w:eastAsia="DengXian" w:hAnsi="Times New Roman" w:cs="Times New Roman"/>
          <w:sz w:val="24"/>
          <w:szCs w:val="24"/>
        </w:rPr>
        <w:t xml:space="preserve">stored at </w:t>
      </w:r>
      <w:r>
        <w:rPr>
          <w:rFonts w:ascii="Times New Roman" w:eastAsia="DengXian" w:hAnsi="Times New Roman"/>
          <w:sz w:val="24"/>
          <w:szCs w:val="24"/>
        </w:rPr>
        <w:t>40±2°C/75±5% RH for 6 months</w:t>
      </w:r>
    </w:p>
    <w:tbl>
      <w:tblPr>
        <w:tblStyle w:val="TableGrid"/>
        <w:tblW w:w="8099" w:type="dxa"/>
        <w:tblInd w:w="129" w:type="dxa"/>
        <w:tblLook w:val="04A0" w:firstRow="1" w:lastRow="0" w:firstColumn="1" w:lastColumn="0" w:noHBand="0" w:noVBand="1"/>
      </w:tblPr>
      <w:tblGrid>
        <w:gridCol w:w="3540"/>
        <w:gridCol w:w="4559"/>
      </w:tblGrid>
      <w:tr w:rsidR="00990066" w14:paraId="34E8927F" w14:textId="77777777">
        <w:trPr>
          <w:trHeight w:val="303"/>
        </w:trPr>
        <w:tc>
          <w:tcPr>
            <w:tcW w:w="3540" w:type="dxa"/>
            <w:tcBorders>
              <w:top w:val="single" w:sz="4" w:space="0" w:color="auto"/>
              <w:left w:val="nil"/>
              <w:bottom w:val="single" w:sz="4" w:space="0" w:color="auto"/>
              <w:right w:val="nil"/>
            </w:tcBorders>
            <w:vAlign w:val="center"/>
          </w:tcPr>
          <w:p w14:paraId="635634AF" w14:textId="77777777" w:rsidR="00990066" w:rsidRDefault="005243B0">
            <w:pPr>
              <w:jc w:val="center"/>
              <w:rPr>
                <w:rFonts w:ascii="Times New Roman" w:eastAsia="Segoe UI" w:hAnsi="Times New Roman" w:cs="Times New Roman"/>
                <w:b/>
                <w:bCs/>
                <w:sz w:val="24"/>
                <w:szCs w:val="24"/>
                <w:shd w:val="clear" w:color="auto" w:fill="FFFFFF"/>
              </w:rPr>
            </w:pPr>
            <w:r>
              <w:rPr>
                <w:rFonts w:ascii="Times New Roman" w:eastAsia="Segoe UI" w:hAnsi="Times New Roman" w:cs="Times New Roman"/>
                <w:b/>
                <w:bCs/>
                <w:sz w:val="24"/>
                <w:szCs w:val="24"/>
                <w:shd w:val="clear" w:color="auto" w:fill="FFFFFF"/>
              </w:rPr>
              <w:t>Test Parameters</w:t>
            </w:r>
          </w:p>
        </w:tc>
        <w:tc>
          <w:tcPr>
            <w:tcW w:w="4559" w:type="dxa"/>
            <w:tcBorders>
              <w:top w:val="single" w:sz="4" w:space="0" w:color="auto"/>
              <w:left w:val="nil"/>
              <w:bottom w:val="single" w:sz="4" w:space="0" w:color="auto"/>
              <w:right w:val="nil"/>
            </w:tcBorders>
            <w:vAlign w:val="center"/>
          </w:tcPr>
          <w:p w14:paraId="7D2FFC22" w14:textId="77777777" w:rsidR="00990066" w:rsidRDefault="005243B0">
            <w:pPr>
              <w:jc w:val="center"/>
              <w:rPr>
                <w:rFonts w:ascii="Times New Roman" w:eastAsia="Segoe UI" w:hAnsi="Times New Roman" w:cs="Times New Roman"/>
                <w:b/>
                <w:bCs/>
                <w:sz w:val="24"/>
                <w:szCs w:val="24"/>
                <w:shd w:val="clear" w:color="auto" w:fill="FFFFFF"/>
              </w:rPr>
            </w:pPr>
            <w:r>
              <w:rPr>
                <w:rFonts w:ascii="Times New Roman" w:eastAsia="Segoe UI" w:hAnsi="Times New Roman" w:cs="Times New Roman"/>
                <w:b/>
                <w:bCs/>
                <w:sz w:val="24"/>
                <w:szCs w:val="24"/>
                <w:shd w:val="clear" w:color="auto" w:fill="FFFFFF"/>
              </w:rPr>
              <w:t xml:space="preserve">   Observations</w:t>
            </w:r>
          </w:p>
        </w:tc>
      </w:tr>
      <w:tr w:rsidR="00990066" w14:paraId="2A06B54A" w14:textId="77777777">
        <w:trPr>
          <w:trHeight w:val="317"/>
        </w:trPr>
        <w:tc>
          <w:tcPr>
            <w:tcW w:w="3540" w:type="dxa"/>
            <w:tcBorders>
              <w:top w:val="single" w:sz="4" w:space="0" w:color="auto"/>
              <w:left w:val="nil"/>
              <w:bottom w:val="nil"/>
              <w:right w:val="nil"/>
            </w:tcBorders>
            <w:vAlign w:val="center"/>
          </w:tcPr>
          <w:p w14:paraId="5948EC93" w14:textId="77777777" w:rsidR="00990066" w:rsidRDefault="005243B0">
            <w:pPr>
              <w:rPr>
                <w:rFonts w:ascii="Times New Roman" w:eastAsia="Segoe UI" w:hAnsi="Times New Roman" w:cs="Times New Roman"/>
                <w:color w:val="242424"/>
                <w:sz w:val="24"/>
                <w:szCs w:val="24"/>
                <w:shd w:val="clear" w:color="auto" w:fill="FFFFFF"/>
              </w:rPr>
            </w:pPr>
            <w:r>
              <w:rPr>
                <w:rFonts w:ascii="Times New Roman" w:eastAsia="Segoe UI" w:hAnsi="Times New Roman" w:cs="Times New Roman"/>
                <w:color w:val="242424"/>
                <w:sz w:val="24"/>
                <w:szCs w:val="24"/>
                <w:shd w:val="clear" w:color="auto" w:fill="FFFFFF"/>
              </w:rPr>
              <w:t>Description</w:t>
            </w:r>
          </w:p>
        </w:tc>
        <w:tc>
          <w:tcPr>
            <w:tcW w:w="4559" w:type="dxa"/>
            <w:tcBorders>
              <w:top w:val="single" w:sz="4" w:space="0" w:color="auto"/>
              <w:left w:val="nil"/>
              <w:bottom w:val="nil"/>
              <w:right w:val="nil"/>
            </w:tcBorders>
            <w:vAlign w:val="center"/>
          </w:tcPr>
          <w:p w14:paraId="5DA8A675" w14:textId="77777777" w:rsidR="00990066" w:rsidRDefault="005243B0">
            <w:pPr>
              <w:jc w:val="center"/>
              <w:rPr>
                <w:rFonts w:ascii="Times New Roman" w:eastAsia="Segoe UI" w:hAnsi="Times New Roman" w:cs="Times New Roman"/>
                <w:color w:val="242424"/>
                <w:sz w:val="24"/>
                <w:szCs w:val="24"/>
                <w:shd w:val="clear" w:color="auto" w:fill="FFFFFF"/>
              </w:rPr>
            </w:pPr>
            <w:r>
              <w:rPr>
                <w:rFonts w:ascii="Times New Roman" w:eastAsia="Segoe UI" w:hAnsi="Times New Roman"/>
                <w:color w:val="242424"/>
                <w:sz w:val="24"/>
                <w:szCs w:val="24"/>
                <w:shd w:val="clear" w:color="auto" w:fill="FFFFFF"/>
              </w:rPr>
              <w:t xml:space="preserve">   A white to off white color powder</w:t>
            </w:r>
          </w:p>
        </w:tc>
      </w:tr>
      <w:tr w:rsidR="00990066" w14:paraId="34481AB4" w14:textId="77777777">
        <w:trPr>
          <w:trHeight w:val="302"/>
        </w:trPr>
        <w:tc>
          <w:tcPr>
            <w:tcW w:w="3540" w:type="dxa"/>
            <w:tcBorders>
              <w:top w:val="nil"/>
              <w:left w:val="nil"/>
              <w:bottom w:val="nil"/>
              <w:right w:val="nil"/>
            </w:tcBorders>
            <w:vAlign w:val="center"/>
          </w:tcPr>
          <w:p w14:paraId="5E65A91B" w14:textId="77777777" w:rsidR="00990066" w:rsidRDefault="005243B0">
            <w:pPr>
              <w:rPr>
                <w:rFonts w:ascii="Times New Roman" w:eastAsia="Segoe UI" w:hAnsi="Times New Roman" w:cs="Times New Roman"/>
                <w:color w:val="242424"/>
                <w:sz w:val="24"/>
                <w:szCs w:val="24"/>
                <w:shd w:val="clear" w:color="auto" w:fill="FFFFFF"/>
              </w:rPr>
            </w:pPr>
            <w:r>
              <w:rPr>
                <w:rFonts w:ascii="Times New Roman" w:eastAsia="Segoe UI" w:hAnsi="Times New Roman" w:cs="Times New Roman"/>
                <w:color w:val="242424"/>
                <w:sz w:val="24"/>
                <w:szCs w:val="24"/>
                <w:shd w:val="clear" w:color="auto" w:fill="FFFFFF"/>
              </w:rPr>
              <w:t>pH (1% solution)</w:t>
            </w:r>
          </w:p>
        </w:tc>
        <w:tc>
          <w:tcPr>
            <w:tcW w:w="4559" w:type="dxa"/>
            <w:tcBorders>
              <w:top w:val="nil"/>
              <w:left w:val="nil"/>
              <w:bottom w:val="nil"/>
              <w:right w:val="nil"/>
            </w:tcBorders>
            <w:vAlign w:val="center"/>
          </w:tcPr>
          <w:p w14:paraId="7D1546BF" w14:textId="77777777" w:rsidR="00990066" w:rsidRDefault="005243B0">
            <w:pPr>
              <w:ind w:firstLineChars="800" w:firstLine="1920"/>
              <w:rPr>
                <w:rFonts w:ascii="Times New Roman" w:eastAsia="Segoe UI" w:hAnsi="Times New Roman" w:cs="Times New Roman"/>
                <w:color w:val="242424"/>
                <w:sz w:val="24"/>
                <w:szCs w:val="24"/>
                <w:shd w:val="clear" w:color="auto" w:fill="FFFFFF"/>
              </w:rPr>
            </w:pPr>
            <w:r>
              <w:rPr>
                <w:rFonts w:ascii="Times New Roman" w:eastAsia="Segoe UI" w:hAnsi="Times New Roman"/>
                <w:color w:val="242424"/>
                <w:sz w:val="24"/>
                <w:szCs w:val="24"/>
                <w:shd w:val="clear" w:color="auto" w:fill="FFFFFF"/>
              </w:rPr>
              <w:t>7.01</w:t>
            </w:r>
          </w:p>
        </w:tc>
      </w:tr>
      <w:tr w:rsidR="00990066" w14:paraId="0B601ED1" w14:textId="77777777">
        <w:trPr>
          <w:trHeight w:val="347"/>
        </w:trPr>
        <w:tc>
          <w:tcPr>
            <w:tcW w:w="3540" w:type="dxa"/>
            <w:tcBorders>
              <w:top w:val="nil"/>
              <w:left w:val="nil"/>
              <w:bottom w:val="nil"/>
              <w:right w:val="nil"/>
            </w:tcBorders>
            <w:vAlign w:val="center"/>
          </w:tcPr>
          <w:p w14:paraId="4D35350B" w14:textId="77777777" w:rsidR="00990066" w:rsidRDefault="005243B0">
            <w:pPr>
              <w:rPr>
                <w:rFonts w:ascii="Times New Roman" w:eastAsia="Segoe UI" w:hAnsi="Times New Roman" w:cs="Times New Roman"/>
                <w:color w:val="242424"/>
                <w:sz w:val="24"/>
                <w:szCs w:val="24"/>
                <w:shd w:val="clear" w:color="auto" w:fill="FFFFFF"/>
              </w:rPr>
            </w:pPr>
            <w:r>
              <w:rPr>
                <w:rFonts w:ascii="Times New Roman" w:eastAsia="Segoe UI" w:hAnsi="Times New Roman" w:cs="Times New Roman"/>
                <w:color w:val="242424"/>
                <w:sz w:val="24"/>
                <w:szCs w:val="24"/>
                <w:shd w:val="clear" w:color="auto" w:fill="FFFFFF"/>
              </w:rPr>
              <w:t>Loss on drying (%)</w:t>
            </w:r>
          </w:p>
        </w:tc>
        <w:tc>
          <w:tcPr>
            <w:tcW w:w="4559" w:type="dxa"/>
            <w:tcBorders>
              <w:top w:val="nil"/>
              <w:left w:val="nil"/>
              <w:bottom w:val="nil"/>
              <w:right w:val="nil"/>
            </w:tcBorders>
            <w:vAlign w:val="center"/>
          </w:tcPr>
          <w:p w14:paraId="0D40D60B" w14:textId="77777777" w:rsidR="00990066" w:rsidRDefault="005243B0">
            <w:pPr>
              <w:jc w:val="center"/>
              <w:rPr>
                <w:rFonts w:ascii="Times New Roman" w:eastAsia="Segoe UI" w:hAnsi="Times New Roman" w:cs="Times New Roman"/>
                <w:color w:val="242424"/>
                <w:sz w:val="24"/>
                <w:szCs w:val="24"/>
                <w:shd w:val="clear" w:color="auto" w:fill="FFFFFF"/>
              </w:rPr>
            </w:pPr>
            <w:r>
              <w:rPr>
                <w:rFonts w:ascii="Times New Roman" w:eastAsia="Segoe UI" w:hAnsi="Times New Roman" w:cs="Times New Roman"/>
                <w:color w:val="242424"/>
                <w:sz w:val="24"/>
                <w:szCs w:val="24"/>
                <w:shd w:val="clear" w:color="auto" w:fill="FFFFFF"/>
              </w:rPr>
              <w:t xml:space="preserve">   5.18%</w:t>
            </w:r>
          </w:p>
        </w:tc>
      </w:tr>
      <w:tr w:rsidR="00990066" w14:paraId="6955ECD5" w14:textId="77777777">
        <w:trPr>
          <w:trHeight w:val="332"/>
        </w:trPr>
        <w:tc>
          <w:tcPr>
            <w:tcW w:w="3540" w:type="dxa"/>
            <w:tcBorders>
              <w:top w:val="nil"/>
              <w:left w:val="nil"/>
              <w:bottom w:val="nil"/>
              <w:right w:val="nil"/>
            </w:tcBorders>
            <w:vAlign w:val="center"/>
          </w:tcPr>
          <w:p w14:paraId="018B01F6" w14:textId="77777777" w:rsidR="00990066" w:rsidRDefault="005243B0">
            <w:pPr>
              <w:rPr>
                <w:rFonts w:ascii="Times New Roman" w:eastAsia="Segoe UI" w:hAnsi="Times New Roman" w:cs="Times New Roman"/>
                <w:color w:val="242424"/>
                <w:sz w:val="24"/>
                <w:szCs w:val="24"/>
                <w:shd w:val="clear" w:color="auto" w:fill="FFFFFF"/>
              </w:rPr>
            </w:pPr>
            <w:r>
              <w:rPr>
                <w:rFonts w:ascii="Times New Roman" w:eastAsia="Segoe UI" w:hAnsi="Times New Roman" w:cs="Times New Roman"/>
                <w:color w:val="242424"/>
                <w:sz w:val="24"/>
                <w:szCs w:val="24"/>
                <w:shd w:val="clear" w:color="auto" w:fill="FFFFFF"/>
              </w:rPr>
              <w:t>Residue on ignition (%)</w:t>
            </w:r>
          </w:p>
        </w:tc>
        <w:tc>
          <w:tcPr>
            <w:tcW w:w="4559" w:type="dxa"/>
            <w:tcBorders>
              <w:top w:val="nil"/>
              <w:left w:val="nil"/>
              <w:bottom w:val="nil"/>
              <w:right w:val="nil"/>
            </w:tcBorders>
            <w:vAlign w:val="center"/>
          </w:tcPr>
          <w:p w14:paraId="4CD6D92A" w14:textId="77777777" w:rsidR="00990066" w:rsidRDefault="005243B0">
            <w:pPr>
              <w:jc w:val="center"/>
              <w:rPr>
                <w:rFonts w:ascii="Times New Roman" w:eastAsia="Segoe UI" w:hAnsi="Times New Roman" w:cs="Times New Roman"/>
                <w:color w:val="242424"/>
                <w:sz w:val="24"/>
                <w:szCs w:val="24"/>
                <w:shd w:val="clear" w:color="auto" w:fill="FFFFFF"/>
              </w:rPr>
            </w:pPr>
            <w:r>
              <w:rPr>
                <w:rFonts w:ascii="Times New Roman" w:eastAsia="Segoe UI" w:hAnsi="Times New Roman"/>
                <w:color w:val="242424"/>
                <w:sz w:val="24"/>
                <w:szCs w:val="24"/>
                <w:shd w:val="clear" w:color="auto" w:fill="FFFFFF"/>
              </w:rPr>
              <w:t xml:space="preserve">   6.70%</w:t>
            </w:r>
          </w:p>
        </w:tc>
      </w:tr>
      <w:tr w:rsidR="00990066" w14:paraId="7F2B7B77" w14:textId="77777777">
        <w:trPr>
          <w:trHeight w:val="320"/>
        </w:trPr>
        <w:tc>
          <w:tcPr>
            <w:tcW w:w="3540" w:type="dxa"/>
            <w:tcBorders>
              <w:top w:val="nil"/>
              <w:left w:val="nil"/>
              <w:bottom w:val="single" w:sz="4" w:space="0" w:color="auto"/>
              <w:right w:val="nil"/>
            </w:tcBorders>
            <w:vAlign w:val="center"/>
          </w:tcPr>
          <w:p w14:paraId="206BA51C" w14:textId="77777777" w:rsidR="00990066" w:rsidRDefault="005243B0">
            <w:pPr>
              <w:rPr>
                <w:rFonts w:ascii="Times New Roman" w:eastAsia="Segoe UI" w:hAnsi="Times New Roman" w:cs="Times New Roman"/>
                <w:color w:val="242424"/>
                <w:sz w:val="24"/>
                <w:szCs w:val="24"/>
                <w:shd w:val="clear" w:color="auto" w:fill="FFFFFF"/>
              </w:rPr>
            </w:pPr>
            <w:r>
              <w:rPr>
                <w:rFonts w:ascii="Times New Roman" w:eastAsia="Segoe UI" w:hAnsi="Times New Roman" w:cs="Times New Roman"/>
                <w:color w:val="242424"/>
                <w:sz w:val="24"/>
                <w:szCs w:val="24"/>
                <w:shd w:val="clear" w:color="auto" w:fill="FFFFFF"/>
              </w:rPr>
              <w:t>Viscosity (centipoise)</w:t>
            </w:r>
          </w:p>
        </w:tc>
        <w:tc>
          <w:tcPr>
            <w:tcW w:w="4559" w:type="dxa"/>
            <w:tcBorders>
              <w:top w:val="nil"/>
              <w:left w:val="nil"/>
              <w:bottom w:val="single" w:sz="4" w:space="0" w:color="auto"/>
              <w:right w:val="nil"/>
            </w:tcBorders>
            <w:vAlign w:val="center"/>
          </w:tcPr>
          <w:p w14:paraId="5CA9F511" w14:textId="77777777" w:rsidR="00990066" w:rsidRDefault="005243B0">
            <w:pPr>
              <w:jc w:val="center"/>
              <w:rPr>
                <w:rFonts w:ascii="Times New Roman" w:eastAsia="Segoe UI" w:hAnsi="Times New Roman" w:cs="Times New Roman"/>
                <w:color w:val="242424"/>
                <w:sz w:val="24"/>
                <w:szCs w:val="24"/>
                <w:shd w:val="clear" w:color="auto" w:fill="FFFFFF"/>
              </w:rPr>
            </w:pPr>
            <w:r>
              <w:rPr>
                <w:rFonts w:ascii="Times New Roman" w:eastAsia="Segoe UI" w:hAnsi="Times New Roman"/>
                <w:color w:val="242424"/>
                <w:sz w:val="24"/>
                <w:szCs w:val="24"/>
                <w:shd w:val="clear" w:color="auto" w:fill="FFFFFF"/>
              </w:rPr>
              <w:t xml:space="preserve">    7570 </w:t>
            </w:r>
            <w:proofErr w:type="gramStart"/>
            <w:r>
              <w:rPr>
                <w:rFonts w:ascii="Times New Roman" w:eastAsia="Segoe UI" w:hAnsi="Times New Roman" w:cs="Times New Roman"/>
                <w:color w:val="242424"/>
                <w:sz w:val="24"/>
                <w:szCs w:val="24"/>
                <w:shd w:val="clear" w:color="auto" w:fill="FFFFFF"/>
              </w:rPr>
              <w:t>centipoise</w:t>
            </w:r>
            <w:proofErr w:type="gramEnd"/>
          </w:p>
        </w:tc>
      </w:tr>
    </w:tbl>
    <w:p w14:paraId="422C92D2" w14:textId="77777777" w:rsidR="00990066" w:rsidRDefault="00990066">
      <w:pPr>
        <w:jc w:val="both"/>
        <w:rPr>
          <w:rFonts w:ascii="Times New Roman" w:hAnsi="Times New Roman" w:cs="Times New Roman"/>
          <w:b/>
          <w:bCs/>
          <w:sz w:val="24"/>
          <w:szCs w:val="24"/>
          <w:lang w:eastAsia="en-IN"/>
        </w:rPr>
      </w:pPr>
    </w:p>
    <w:p w14:paraId="43094F3E" w14:textId="77777777" w:rsidR="00990066" w:rsidRDefault="005243B0">
      <w:pPr>
        <w:spacing w:line="360" w:lineRule="auto"/>
        <w:jc w:val="both"/>
        <w:rPr>
          <w:rFonts w:ascii="Times New Roman" w:hAnsi="Times New Roman" w:cs="Times New Roman"/>
          <w:b/>
          <w:bCs/>
          <w:sz w:val="28"/>
          <w:szCs w:val="28"/>
          <w:lang w:eastAsia="en-IN"/>
        </w:rPr>
      </w:pPr>
      <w:r>
        <w:rPr>
          <w:rFonts w:ascii="Times New Roman" w:hAnsi="Times New Roman" w:cs="Times New Roman"/>
          <w:b/>
          <w:bCs/>
          <w:sz w:val="24"/>
          <w:szCs w:val="24"/>
          <w:lang w:eastAsia="en-IN"/>
        </w:rPr>
        <w:t>4. Conclusion</w:t>
      </w:r>
      <w:r>
        <w:rPr>
          <w:rFonts w:ascii="Times New Roman" w:hAnsi="Times New Roman" w:cs="Times New Roman"/>
          <w:b/>
          <w:bCs/>
          <w:sz w:val="28"/>
          <w:szCs w:val="28"/>
          <w:lang w:eastAsia="en-IN"/>
        </w:rPr>
        <w:t xml:space="preserve"> </w:t>
      </w:r>
    </w:p>
    <w:p w14:paraId="5731C5E7" w14:textId="77777777" w:rsidR="00990066" w:rsidRDefault="005243B0">
      <w:pPr>
        <w:spacing w:line="360" w:lineRule="auto"/>
        <w:jc w:val="both"/>
        <w:rPr>
          <w:rFonts w:ascii="Times New Roman" w:eastAsia="SimSun" w:hAnsi="Times New Roman" w:cs="Times New Roman"/>
          <w:color w:val="000000"/>
          <w:sz w:val="24"/>
          <w:szCs w:val="24"/>
          <w:shd w:val="clear" w:color="auto" w:fill="FFFFFF"/>
          <w:lang w:eastAsia="en-IN"/>
        </w:rPr>
      </w:pPr>
      <w:r>
        <w:rPr>
          <w:rFonts w:ascii="Times New Roman" w:eastAsia="SimSun" w:hAnsi="Times New Roman" w:cs="Times New Roman"/>
          <w:color w:val="000000"/>
          <w:sz w:val="24"/>
          <w:szCs w:val="24"/>
          <w:shd w:val="clear" w:color="auto" w:fill="FFFFFF"/>
        </w:rPr>
        <w:t>Metformin hydrochloride tablet formulation 'F3' with an excellent micromeritics (Bulk density &gt; 0.6 g/mL) and improved processability (Hausner's ratio ~ 1.3 and Carr's index &lt; 25%) could be produced by direct compression method. Drug release from such matr</w:t>
      </w:r>
      <w:r>
        <w:rPr>
          <w:rFonts w:ascii="Times New Roman" w:eastAsia="SimSun" w:hAnsi="Times New Roman" w:cs="Times New Roman"/>
          <w:color w:val="000000"/>
          <w:sz w:val="24"/>
          <w:szCs w:val="24"/>
          <w:shd w:val="clear" w:color="auto" w:fill="FFFFFF"/>
        </w:rPr>
        <w:t>ix tablets evaluated by compendial method showed that such polymer premix was effective at as low as 15% w/w concentration. Such performance was comparable to that of a well-known marketed formulation, which was proposed to have produced by conventional mu</w:t>
      </w:r>
      <w:r>
        <w:rPr>
          <w:rFonts w:ascii="Times New Roman" w:eastAsia="SimSun" w:hAnsi="Times New Roman" w:cs="Times New Roman"/>
          <w:color w:val="000000"/>
          <w:sz w:val="24"/>
          <w:szCs w:val="24"/>
          <w:shd w:val="clear" w:color="auto" w:fill="FFFFFF"/>
        </w:rPr>
        <w:t xml:space="preserve">lti-step manufacturing process. This highlighted superiority of co-processed polymer premix in formula </w:t>
      </w:r>
      <w:proofErr w:type="spellStart"/>
      <w:r>
        <w:rPr>
          <w:rFonts w:ascii="Times New Roman" w:eastAsia="SimSun" w:hAnsi="Times New Roman" w:cs="Times New Roman"/>
          <w:color w:val="000000"/>
          <w:sz w:val="24"/>
          <w:szCs w:val="24"/>
          <w:shd w:val="clear" w:color="auto" w:fill="FFFFFF"/>
        </w:rPr>
        <w:t>optimisation</w:t>
      </w:r>
      <w:proofErr w:type="spellEnd"/>
      <w:r>
        <w:rPr>
          <w:rFonts w:ascii="Times New Roman" w:eastAsia="SimSun" w:hAnsi="Times New Roman" w:cs="Times New Roman"/>
          <w:color w:val="000000"/>
          <w:sz w:val="24"/>
          <w:szCs w:val="24"/>
          <w:shd w:val="clear" w:color="auto" w:fill="FFFFFF"/>
        </w:rPr>
        <w:t xml:space="preserve">, simplifying manufacturing and increasing speed to market. Further, such formulation quality attributes and performance were unchanged when </w:t>
      </w:r>
      <w:r>
        <w:rPr>
          <w:rFonts w:ascii="Times New Roman" w:eastAsia="SimSun" w:hAnsi="Times New Roman" w:cs="Times New Roman"/>
          <w:color w:val="000000"/>
          <w:sz w:val="24"/>
          <w:szCs w:val="24"/>
          <w:shd w:val="clear" w:color="auto" w:fill="FFFFFF"/>
        </w:rPr>
        <w:t xml:space="preserve">the polymer premix stored at accelerated conditions for 6 months was used. This provided a confidence to the formulators that such co-processed polymer premix has robust </w:t>
      </w:r>
      <w:proofErr w:type="spellStart"/>
      <w:r>
        <w:rPr>
          <w:rFonts w:ascii="Times New Roman" w:eastAsia="SimSun" w:hAnsi="Times New Roman" w:cs="Times New Roman"/>
          <w:color w:val="000000"/>
          <w:sz w:val="24"/>
          <w:szCs w:val="24"/>
          <w:shd w:val="clear" w:color="auto" w:fill="FFFFFF"/>
        </w:rPr>
        <w:t>physico</w:t>
      </w:r>
      <w:proofErr w:type="spellEnd"/>
      <w:r>
        <w:rPr>
          <w:rFonts w:ascii="Times New Roman" w:eastAsia="SimSun" w:hAnsi="Times New Roman" w:cs="Times New Roman"/>
          <w:color w:val="000000"/>
          <w:sz w:val="24"/>
          <w:szCs w:val="24"/>
          <w:shd w:val="clear" w:color="auto" w:fill="FFFFFF"/>
        </w:rPr>
        <w:t>-chemical nature thus ensuring least variations in the product quality. The pre</w:t>
      </w:r>
      <w:r>
        <w:rPr>
          <w:rFonts w:ascii="Times New Roman" w:eastAsia="SimSun" w:hAnsi="Times New Roman" w:cs="Times New Roman"/>
          <w:color w:val="000000"/>
          <w:sz w:val="24"/>
          <w:szCs w:val="24"/>
          <w:shd w:val="clear" w:color="auto" w:fill="FFFFFF"/>
        </w:rPr>
        <w:t xml:space="preserve">sent study demonstrated a lucrative substitute to such conventional polymers by developing a co-processed premix containing time-tested polymers, like </w:t>
      </w:r>
      <w:proofErr w:type="spellStart"/>
      <w:r>
        <w:rPr>
          <w:rFonts w:ascii="Times New Roman" w:eastAsia="SimSun" w:hAnsi="Times New Roman" w:cs="Times New Roman"/>
          <w:color w:val="000000"/>
          <w:sz w:val="24"/>
          <w:szCs w:val="24"/>
          <w:shd w:val="clear" w:color="auto" w:fill="FFFFFF"/>
        </w:rPr>
        <w:t>hypromellose</w:t>
      </w:r>
      <w:proofErr w:type="spellEnd"/>
      <w:r>
        <w:rPr>
          <w:rFonts w:ascii="Times New Roman" w:eastAsia="SimSun" w:hAnsi="Times New Roman" w:cs="Times New Roman"/>
          <w:color w:val="000000"/>
          <w:sz w:val="24"/>
          <w:szCs w:val="24"/>
          <w:shd w:val="clear" w:color="auto" w:fill="FFFFFF"/>
        </w:rPr>
        <w:t xml:space="preserve"> and </w:t>
      </w:r>
      <w:proofErr w:type="spellStart"/>
      <w:r>
        <w:rPr>
          <w:rFonts w:ascii="Times New Roman" w:eastAsia="SimSun" w:hAnsi="Times New Roman" w:cs="Times New Roman"/>
          <w:color w:val="000000"/>
          <w:sz w:val="24"/>
          <w:szCs w:val="24"/>
          <w:shd w:val="clear" w:color="auto" w:fill="FFFFFF"/>
        </w:rPr>
        <w:t>carmellose</w:t>
      </w:r>
      <w:proofErr w:type="spellEnd"/>
      <w:r>
        <w:rPr>
          <w:rFonts w:ascii="Times New Roman" w:eastAsia="SimSun" w:hAnsi="Times New Roman" w:cs="Times New Roman"/>
          <w:color w:val="000000"/>
          <w:sz w:val="24"/>
          <w:szCs w:val="24"/>
          <w:shd w:val="clear" w:color="auto" w:fill="FFFFFF"/>
        </w:rPr>
        <w:t xml:space="preserve"> sodium in accurate quantities. Hence this ensured less tedious formulation de</w:t>
      </w:r>
      <w:r>
        <w:rPr>
          <w:rFonts w:ascii="Times New Roman" w:eastAsia="SimSun" w:hAnsi="Times New Roman" w:cs="Times New Roman"/>
          <w:color w:val="000000"/>
          <w:sz w:val="24"/>
          <w:szCs w:val="24"/>
          <w:shd w:val="clear" w:color="auto" w:fill="FFFFFF"/>
        </w:rPr>
        <w:t>velopment and quick manufacturability of extended release formulations.</w:t>
      </w:r>
    </w:p>
    <w:p w14:paraId="7ECBDD29" w14:textId="77777777" w:rsidR="00F11EF9" w:rsidRDefault="00F11EF9" w:rsidP="00F11EF9">
      <w:pPr>
        <w:spacing w:line="360" w:lineRule="auto"/>
        <w:jc w:val="both"/>
        <w:rPr>
          <w:rFonts w:ascii="Times New Roman" w:hAnsi="Times New Roman" w:cs="Times New Roman"/>
          <w:sz w:val="24"/>
          <w:szCs w:val="24"/>
          <w:lang w:eastAsia="en-IN"/>
        </w:rPr>
      </w:pPr>
    </w:p>
    <w:p w14:paraId="3C889DB9" w14:textId="77777777" w:rsidR="00F11EF9" w:rsidRDefault="00F11EF9" w:rsidP="00F11EF9">
      <w:pPr>
        <w:spacing w:line="360" w:lineRule="auto"/>
        <w:jc w:val="both"/>
        <w:rPr>
          <w:rFonts w:ascii="Times New Roman" w:hAnsi="Times New Roman" w:cs="Times New Roman"/>
          <w:sz w:val="24"/>
          <w:szCs w:val="24"/>
          <w:lang w:eastAsia="en-IN"/>
        </w:rPr>
      </w:pPr>
    </w:p>
    <w:p w14:paraId="24B827F4" w14:textId="77777777" w:rsidR="00990066" w:rsidRDefault="005243B0">
      <w:pPr>
        <w:spacing w:line="360" w:lineRule="auto"/>
        <w:jc w:val="both"/>
        <w:rPr>
          <w:rFonts w:ascii="Times New Roman" w:hAnsi="Times New Roman" w:cs="Times New Roman"/>
          <w:b/>
          <w:bCs/>
          <w:sz w:val="28"/>
          <w:szCs w:val="28"/>
          <w:lang w:eastAsia="en-IN"/>
        </w:rPr>
      </w:pPr>
      <w:r>
        <w:rPr>
          <w:rFonts w:ascii="Times New Roman" w:hAnsi="Times New Roman" w:cs="Times New Roman"/>
          <w:b/>
          <w:bCs/>
          <w:sz w:val="28"/>
          <w:szCs w:val="28"/>
          <w:lang w:eastAsia="en-IN"/>
        </w:rPr>
        <w:t>References</w:t>
      </w:r>
    </w:p>
    <w:p w14:paraId="47E18705" w14:textId="77777777" w:rsidR="00990066" w:rsidRDefault="005243B0">
      <w:pPr>
        <w:pStyle w:val="ListParagraph"/>
        <w:numPr>
          <w:ilvl w:val="0"/>
          <w:numId w:val="2"/>
        </w:numPr>
        <w:spacing w:line="360" w:lineRule="auto"/>
        <w:ind w:leftChars="179" w:left="838" w:hangingChars="200" w:hanging="480"/>
        <w:jc w:val="both"/>
        <w:rPr>
          <w:rFonts w:ascii="Times New Roman" w:hAnsi="Times New Roman" w:cs="Times New Roman"/>
          <w:sz w:val="24"/>
          <w:szCs w:val="24"/>
        </w:rPr>
      </w:pPr>
      <w:r>
        <w:rPr>
          <w:rFonts w:ascii="Times New Roman" w:hAnsi="Times New Roman"/>
          <w:b/>
          <w:bCs/>
          <w:sz w:val="24"/>
          <w:szCs w:val="24"/>
        </w:rPr>
        <w:t xml:space="preserve"> </w:t>
      </w:r>
      <w:r>
        <w:rPr>
          <w:rFonts w:ascii="Times New Roman" w:hAnsi="Times New Roman"/>
          <w:sz w:val="24"/>
          <w:szCs w:val="24"/>
        </w:rPr>
        <w:t xml:space="preserve"> Patel S, Gupta A, Chauhan R. Advances in co-processed excipients for direct compression: A Decade of progress. International Journal of Pharmaceutics. 2023; 635: 122753.</w:t>
      </w:r>
    </w:p>
    <w:p w14:paraId="32059A51" w14:textId="77777777" w:rsidR="00990066" w:rsidRDefault="005243B0">
      <w:pPr>
        <w:pStyle w:val="ListParagraph"/>
        <w:numPr>
          <w:ilvl w:val="0"/>
          <w:numId w:val="2"/>
        </w:numPr>
        <w:spacing w:line="360" w:lineRule="auto"/>
        <w:ind w:leftChars="179" w:left="838" w:hangingChars="200" w:hanging="480"/>
        <w:jc w:val="both"/>
        <w:rPr>
          <w:rFonts w:ascii="Times New Roman" w:hAnsi="Times New Roman" w:cs="Times New Roman"/>
          <w:sz w:val="24"/>
          <w:szCs w:val="24"/>
        </w:rPr>
      </w:pPr>
      <w:r>
        <w:rPr>
          <w:rFonts w:ascii="Times New Roman" w:hAnsi="Times New Roman"/>
          <w:sz w:val="24"/>
          <w:szCs w:val="24"/>
        </w:rPr>
        <w:t xml:space="preserve">  Zhang Y, Williams RO. Next-generation polymer blends controlled drug delivery: From Design to industrial scale-up. Journal of Controlled Release. 2022; 341: 1-15.</w:t>
      </w:r>
    </w:p>
    <w:p w14:paraId="1BFDE48D" w14:textId="77777777" w:rsidR="00990066" w:rsidRDefault="005243B0">
      <w:pPr>
        <w:pStyle w:val="ListParagraph"/>
        <w:spacing w:line="360" w:lineRule="auto"/>
        <w:ind w:leftChars="179" w:left="838" w:hangingChars="200" w:hanging="480"/>
        <w:jc w:val="both"/>
        <w:rPr>
          <w:rFonts w:ascii="Times New Roman" w:hAnsi="Times New Roman"/>
          <w:sz w:val="24"/>
          <w:szCs w:val="24"/>
        </w:rPr>
      </w:pPr>
      <w:r>
        <w:rPr>
          <w:rFonts w:ascii="Times New Roman" w:hAnsi="Times New Roman"/>
          <w:sz w:val="24"/>
          <w:szCs w:val="24"/>
        </w:rPr>
        <w:t>[3</w:t>
      </w:r>
      <w:proofErr w:type="gramStart"/>
      <w:r>
        <w:rPr>
          <w:rFonts w:ascii="Times New Roman" w:hAnsi="Times New Roman"/>
          <w:sz w:val="24"/>
          <w:szCs w:val="24"/>
        </w:rPr>
        <w:t xml:space="preserve">]  </w:t>
      </w:r>
      <w:proofErr w:type="spellStart"/>
      <w:r>
        <w:rPr>
          <w:rFonts w:ascii="Times New Roman" w:hAnsi="Times New Roman"/>
          <w:sz w:val="24"/>
          <w:szCs w:val="24"/>
        </w:rPr>
        <w:t>Rajarao</w:t>
      </w:r>
      <w:proofErr w:type="spellEnd"/>
      <w:proofErr w:type="gramEnd"/>
      <w:r>
        <w:rPr>
          <w:rFonts w:ascii="Times New Roman" w:hAnsi="Times New Roman"/>
          <w:sz w:val="24"/>
          <w:szCs w:val="24"/>
        </w:rPr>
        <w:t xml:space="preserve"> CH and Rohini P: Formulation design of empagliflozin and metformin hydrochlori</w:t>
      </w:r>
      <w:r>
        <w:rPr>
          <w:rFonts w:ascii="Times New Roman" w:hAnsi="Times New Roman"/>
          <w:sz w:val="24"/>
          <w:szCs w:val="24"/>
        </w:rPr>
        <w:t>de extended release tablets: optimization of formulation using statistical experimental design. IJPSR 2020; 11(12): 6434-47.</w:t>
      </w:r>
    </w:p>
    <w:p w14:paraId="7635C7DE" w14:textId="77777777" w:rsidR="00990066" w:rsidRDefault="005243B0">
      <w:pPr>
        <w:pStyle w:val="ListParagraph"/>
        <w:spacing w:line="360" w:lineRule="auto"/>
        <w:ind w:leftChars="179" w:left="838" w:hangingChars="200" w:hanging="480"/>
        <w:jc w:val="both"/>
        <w:rPr>
          <w:rFonts w:ascii="Times New Roman" w:hAnsi="Times New Roman"/>
          <w:sz w:val="24"/>
          <w:szCs w:val="24"/>
        </w:rPr>
      </w:pPr>
      <w:r>
        <w:rPr>
          <w:rFonts w:ascii="Times New Roman" w:hAnsi="Times New Roman"/>
          <w:sz w:val="24"/>
          <w:szCs w:val="24"/>
        </w:rPr>
        <w:t>[4</w:t>
      </w:r>
      <w:proofErr w:type="gramStart"/>
      <w:r>
        <w:rPr>
          <w:rFonts w:ascii="Times New Roman" w:hAnsi="Times New Roman"/>
          <w:sz w:val="24"/>
          <w:szCs w:val="24"/>
        </w:rPr>
        <w:t>]  Li</w:t>
      </w:r>
      <w:proofErr w:type="gramEnd"/>
      <w:r>
        <w:rPr>
          <w:rFonts w:ascii="Times New Roman" w:hAnsi="Times New Roman"/>
          <w:sz w:val="24"/>
          <w:szCs w:val="24"/>
        </w:rPr>
        <w:t xml:space="preserve"> H, Sun S, Zhao Y. Quality by Design (</w:t>
      </w:r>
      <w:proofErr w:type="spellStart"/>
      <w:r>
        <w:rPr>
          <w:rFonts w:ascii="Times New Roman" w:hAnsi="Times New Roman"/>
          <w:sz w:val="24"/>
          <w:szCs w:val="24"/>
        </w:rPr>
        <w:t>QbD</w:t>
      </w:r>
      <w:proofErr w:type="spellEnd"/>
      <w:r>
        <w:rPr>
          <w:rFonts w:ascii="Times New Roman" w:hAnsi="Times New Roman"/>
          <w:sz w:val="24"/>
          <w:szCs w:val="24"/>
        </w:rPr>
        <w:t>) Approaches in developing extended-release tablets: Case studies and regulatory pr</w:t>
      </w:r>
      <w:r>
        <w:rPr>
          <w:rFonts w:ascii="Times New Roman" w:hAnsi="Times New Roman"/>
          <w:sz w:val="24"/>
          <w:szCs w:val="24"/>
        </w:rPr>
        <w:t xml:space="preserve">ospectives. AAPS </w:t>
      </w:r>
      <w:proofErr w:type="spellStart"/>
      <w:r>
        <w:rPr>
          <w:rFonts w:ascii="Times New Roman" w:hAnsi="Times New Roman"/>
          <w:sz w:val="24"/>
          <w:szCs w:val="24"/>
        </w:rPr>
        <w:t>PharmSciTech</w:t>
      </w:r>
      <w:proofErr w:type="spellEnd"/>
      <w:r>
        <w:rPr>
          <w:rFonts w:ascii="Times New Roman" w:hAnsi="Times New Roman"/>
          <w:sz w:val="24"/>
          <w:szCs w:val="24"/>
        </w:rPr>
        <w:t>. 2021; 22(3): 88.</w:t>
      </w:r>
    </w:p>
    <w:p w14:paraId="084176E7" w14:textId="77777777" w:rsidR="00990066" w:rsidRDefault="005243B0">
      <w:pPr>
        <w:pStyle w:val="ListParagraph"/>
        <w:spacing w:line="360" w:lineRule="auto"/>
        <w:ind w:leftChars="179" w:left="838" w:hangingChars="200" w:hanging="480"/>
        <w:jc w:val="both"/>
        <w:rPr>
          <w:rFonts w:ascii="Times New Roman" w:hAnsi="Times New Roman"/>
          <w:sz w:val="24"/>
          <w:szCs w:val="24"/>
        </w:rPr>
      </w:pPr>
      <w:r>
        <w:rPr>
          <w:rFonts w:ascii="Times New Roman" w:hAnsi="Times New Roman"/>
          <w:sz w:val="24"/>
          <w:szCs w:val="24"/>
        </w:rPr>
        <w:lastRenderedPageBreak/>
        <w:t>[5</w:t>
      </w:r>
      <w:proofErr w:type="gramStart"/>
      <w:r>
        <w:rPr>
          <w:rFonts w:ascii="Times New Roman" w:hAnsi="Times New Roman"/>
          <w:sz w:val="24"/>
          <w:szCs w:val="24"/>
        </w:rPr>
        <w:t>]  Gracia</w:t>
      </w:r>
      <w:proofErr w:type="gramEnd"/>
      <w:r>
        <w:rPr>
          <w:rFonts w:ascii="Times New Roman" w:hAnsi="Times New Roman"/>
          <w:sz w:val="24"/>
          <w:szCs w:val="24"/>
        </w:rPr>
        <w:t xml:space="preserve"> A, Serrano DR, Keegan GM. 3D-printed modular matrices for personalized extended release drug delivery: A comparative study with traditional polymers. Pharmaceutical research. 2020; 37 (6): 112.</w:t>
      </w:r>
    </w:p>
    <w:p w14:paraId="527B3B15" w14:textId="77777777" w:rsidR="00990066" w:rsidRDefault="005243B0">
      <w:pPr>
        <w:pStyle w:val="ListParagraph"/>
        <w:spacing w:line="360" w:lineRule="auto"/>
        <w:ind w:leftChars="179" w:left="838" w:hangingChars="200" w:hanging="480"/>
        <w:jc w:val="both"/>
        <w:rPr>
          <w:rFonts w:ascii="Times New Roman" w:hAnsi="Times New Roman" w:cs="Times New Roman"/>
          <w:sz w:val="24"/>
          <w:szCs w:val="24"/>
        </w:rPr>
      </w:pPr>
      <w:r>
        <w:rPr>
          <w:rFonts w:ascii="Times New Roman" w:hAnsi="Times New Roman"/>
          <w:sz w:val="24"/>
          <w:szCs w:val="24"/>
        </w:rPr>
        <w:t>[6</w:t>
      </w:r>
      <w:proofErr w:type="gramStart"/>
      <w:r>
        <w:rPr>
          <w:rFonts w:ascii="Times New Roman" w:hAnsi="Times New Roman"/>
          <w:sz w:val="24"/>
          <w:szCs w:val="24"/>
        </w:rPr>
        <w:t>]  Lalla</w:t>
      </w:r>
      <w:proofErr w:type="gramEnd"/>
      <w:r>
        <w:rPr>
          <w:rFonts w:ascii="Times New Roman" w:hAnsi="Times New Roman"/>
          <w:sz w:val="24"/>
          <w:szCs w:val="24"/>
        </w:rPr>
        <w:t xml:space="preserve"> JK. Introduction to controlled release and oral controlled drug delivery system. East Pharm. 1991;45: 25-8.</w:t>
      </w:r>
    </w:p>
    <w:p w14:paraId="5C967330" w14:textId="77777777" w:rsidR="00990066" w:rsidRDefault="005243B0">
      <w:pPr>
        <w:pStyle w:val="ListParagraph"/>
        <w:spacing w:line="360" w:lineRule="auto"/>
        <w:ind w:leftChars="179" w:left="838" w:hangingChars="200" w:hanging="480"/>
        <w:jc w:val="both"/>
        <w:rPr>
          <w:rFonts w:ascii="Times New Roman" w:hAnsi="Times New Roman"/>
          <w:sz w:val="24"/>
          <w:szCs w:val="24"/>
        </w:rPr>
      </w:pPr>
      <w:r>
        <w:rPr>
          <w:rFonts w:ascii="Times New Roman" w:hAnsi="Times New Roman"/>
          <w:sz w:val="24"/>
          <w:szCs w:val="24"/>
        </w:rPr>
        <w:t>[7</w:t>
      </w:r>
      <w:proofErr w:type="gramStart"/>
      <w:r>
        <w:rPr>
          <w:rFonts w:ascii="Times New Roman" w:hAnsi="Times New Roman"/>
          <w:sz w:val="24"/>
          <w:szCs w:val="24"/>
        </w:rPr>
        <w:t>]  Modi</w:t>
      </w:r>
      <w:proofErr w:type="gramEnd"/>
      <w:r>
        <w:rPr>
          <w:rFonts w:ascii="Times New Roman" w:hAnsi="Times New Roman"/>
          <w:sz w:val="24"/>
          <w:szCs w:val="24"/>
        </w:rPr>
        <w:t xml:space="preserve"> SA, Gaikwad PD, Bankar VH, Pawar SP. Sustained release drug delivery system: a review. Int J Pharm Res Dev.2011; 2 (12):147-60.</w:t>
      </w:r>
    </w:p>
    <w:p w14:paraId="12CDDB1F" w14:textId="77777777" w:rsidR="00990066" w:rsidRDefault="005243B0">
      <w:pPr>
        <w:pStyle w:val="ListParagraph"/>
        <w:spacing w:line="360" w:lineRule="auto"/>
        <w:ind w:leftChars="179" w:left="838" w:hangingChars="200" w:hanging="480"/>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8</w:t>
      </w:r>
      <w:proofErr w:type="gramStart"/>
      <w:r>
        <w:rPr>
          <w:rFonts w:ascii="Times New Roman" w:hAnsi="Times New Roman"/>
          <w:sz w:val="24"/>
          <w:szCs w:val="24"/>
        </w:rPr>
        <w:t xml:space="preserve">]  </w:t>
      </w:r>
      <w:r>
        <w:rPr>
          <w:rFonts w:ascii="Times New Roman" w:eastAsia="Arial" w:hAnsi="Times New Roman" w:cs="Times New Roman"/>
          <w:color w:val="000000"/>
          <w:sz w:val="24"/>
          <w:szCs w:val="24"/>
          <w:lang w:bidi="ar"/>
        </w:rPr>
        <w:t>Kumar</w:t>
      </w:r>
      <w:proofErr w:type="gramEnd"/>
      <w:r>
        <w:rPr>
          <w:rFonts w:ascii="Times New Roman" w:eastAsia="Arial" w:hAnsi="Times New Roman" w:cs="Times New Roman"/>
          <w:color w:val="000000"/>
          <w:sz w:val="24"/>
          <w:szCs w:val="24"/>
          <w:lang w:bidi="ar"/>
        </w:rPr>
        <w:t>, S., Singh, M. N., &amp; Bhattacharya, A. (2020). Development and evaluation of sustained-release metformin HCl tablets using hydrophilic matrices: Optimization of wet granulation process parameters. Journal of Drug Delivery Science and Technology, 5</w:t>
      </w:r>
      <w:r>
        <w:rPr>
          <w:rFonts w:ascii="Times New Roman" w:eastAsia="Arial" w:hAnsi="Times New Roman" w:cs="Times New Roman"/>
          <w:color w:val="000000"/>
          <w:sz w:val="24"/>
          <w:szCs w:val="24"/>
          <w:lang w:bidi="ar"/>
        </w:rPr>
        <w:t>5, 101456.</w:t>
      </w:r>
    </w:p>
    <w:p w14:paraId="7E5BF033" w14:textId="77777777" w:rsidR="00990066" w:rsidRDefault="005243B0">
      <w:pPr>
        <w:pStyle w:val="ListParagraph"/>
        <w:spacing w:line="360" w:lineRule="auto"/>
        <w:ind w:leftChars="179" w:left="838" w:hangingChars="200" w:hanging="480"/>
        <w:jc w:val="both"/>
        <w:rPr>
          <w:rFonts w:ascii="Times New Roman" w:hAnsi="Times New Roman"/>
          <w:sz w:val="24"/>
          <w:szCs w:val="24"/>
        </w:rPr>
      </w:pPr>
      <w:r>
        <w:rPr>
          <w:rFonts w:ascii="Times New Roman" w:hAnsi="Times New Roman"/>
          <w:sz w:val="24"/>
          <w:szCs w:val="24"/>
        </w:rPr>
        <w:t>[9</w:t>
      </w:r>
      <w:proofErr w:type="gramStart"/>
      <w:r>
        <w:rPr>
          <w:rFonts w:ascii="Times New Roman" w:hAnsi="Times New Roman"/>
          <w:sz w:val="24"/>
          <w:szCs w:val="24"/>
        </w:rPr>
        <w:t>]  Patel</w:t>
      </w:r>
      <w:proofErr w:type="gramEnd"/>
      <w:r>
        <w:rPr>
          <w:rFonts w:ascii="Times New Roman" w:hAnsi="Times New Roman"/>
          <w:sz w:val="24"/>
          <w:szCs w:val="24"/>
        </w:rPr>
        <w:t>, R. K., Patel, M. M., &amp; Shah, D. A. (2021). Impact of binder selection and granulation methods on the stability of metformin HCl in extended-release formulations. Pharmaceutical Development and Technology, 26(3), 356-365.</w:t>
      </w:r>
      <w:r>
        <w:rPr>
          <w:rFonts w:ascii="Times New Roman" w:hAnsi="Times New Roman"/>
          <w:b/>
          <w:bCs/>
          <w:sz w:val="24"/>
          <w:szCs w:val="24"/>
        </w:rPr>
        <w:t> </w:t>
      </w:r>
    </w:p>
    <w:p w14:paraId="281AE0B8" w14:textId="77777777" w:rsidR="00990066" w:rsidRDefault="005243B0">
      <w:pPr>
        <w:pStyle w:val="ListParagraph"/>
        <w:spacing w:line="360" w:lineRule="auto"/>
        <w:ind w:leftChars="179" w:left="838" w:hangingChars="200" w:hanging="480"/>
        <w:jc w:val="both"/>
        <w:rPr>
          <w:rFonts w:ascii="Times New Roman" w:hAnsi="Times New Roman"/>
          <w:sz w:val="24"/>
          <w:szCs w:val="24"/>
        </w:rPr>
      </w:pPr>
      <w:r>
        <w:rPr>
          <w:rFonts w:ascii="Times New Roman" w:hAnsi="Times New Roman"/>
          <w:sz w:val="24"/>
          <w:szCs w:val="24"/>
        </w:rPr>
        <w:t xml:space="preserve">[10] Rowe, </w:t>
      </w:r>
      <w:r>
        <w:rPr>
          <w:rFonts w:ascii="Times New Roman" w:hAnsi="Times New Roman"/>
          <w:sz w:val="24"/>
          <w:szCs w:val="24"/>
        </w:rPr>
        <w:t>R.C., et al. (2023) Handbook of Pharmaceutical Excipients (9</w:t>
      </w:r>
      <w:r>
        <w:rPr>
          <w:rFonts w:ascii="Times New Roman" w:hAnsi="Times New Roman"/>
          <w:sz w:val="24"/>
          <w:szCs w:val="24"/>
          <w:vertAlign w:val="superscript"/>
        </w:rPr>
        <w:t>th</w:t>
      </w:r>
      <w:r>
        <w:rPr>
          <w:rFonts w:ascii="Times New Roman" w:hAnsi="Times New Roman"/>
          <w:sz w:val="24"/>
          <w:szCs w:val="24"/>
        </w:rPr>
        <w:t xml:space="preserve"> Edition). Pharmaceutical Press.</w:t>
      </w:r>
    </w:p>
    <w:p w14:paraId="2A2BC6FD" w14:textId="77777777" w:rsidR="00990066" w:rsidRDefault="005243B0">
      <w:pPr>
        <w:pStyle w:val="ListParagraph"/>
        <w:spacing w:line="360" w:lineRule="auto"/>
        <w:ind w:leftChars="179" w:left="838" w:hangingChars="200" w:hanging="480"/>
        <w:jc w:val="both"/>
        <w:rPr>
          <w:rFonts w:ascii="Times New Roman" w:hAnsi="Times New Roman"/>
          <w:sz w:val="24"/>
          <w:szCs w:val="24"/>
        </w:rPr>
      </w:pPr>
      <w:r>
        <w:rPr>
          <w:rFonts w:ascii="Times New Roman" w:hAnsi="Times New Roman"/>
          <w:sz w:val="24"/>
          <w:szCs w:val="24"/>
        </w:rPr>
        <w:t>[11] Patel, S., &amp; Bansal, A. K. (2011). Ready-to-Use Excipients in Pharmaceutical Manufacturing: Benefits and Challenges. Journal of Excipients and Food Chemical</w:t>
      </w:r>
      <w:r>
        <w:rPr>
          <w:rFonts w:ascii="Times New Roman" w:hAnsi="Times New Roman"/>
          <w:sz w:val="24"/>
          <w:szCs w:val="24"/>
        </w:rPr>
        <w:t xml:space="preserve">s’ 2(3), 30-42.  </w:t>
      </w:r>
    </w:p>
    <w:p w14:paraId="6C7DB113" w14:textId="77777777" w:rsidR="00990066" w:rsidRDefault="005243B0">
      <w:pPr>
        <w:pStyle w:val="ListParagraph"/>
        <w:spacing w:line="360" w:lineRule="auto"/>
        <w:ind w:left="360"/>
        <w:jc w:val="both"/>
        <w:rPr>
          <w:rFonts w:ascii="Times New Roman" w:hAnsi="Times New Roman"/>
          <w:sz w:val="24"/>
          <w:szCs w:val="24"/>
        </w:rPr>
      </w:pPr>
      <w:r>
        <w:rPr>
          <w:rFonts w:ascii="Times New Roman" w:hAnsi="Times New Roman"/>
          <w:sz w:val="24"/>
          <w:szCs w:val="24"/>
        </w:rPr>
        <w:t>[12</w:t>
      </w:r>
      <w:proofErr w:type="gramStart"/>
      <w:r>
        <w:rPr>
          <w:rFonts w:ascii="Times New Roman" w:hAnsi="Times New Roman"/>
          <w:sz w:val="24"/>
          <w:szCs w:val="24"/>
        </w:rPr>
        <w:t xml:space="preserve">]  </w:t>
      </w:r>
      <w:proofErr w:type="spellStart"/>
      <w:r>
        <w:rPr>
          <w:rFonts w:ascii="Times New Roman" w:hAnsi="Times New Roman"/>
          <w:sz w:val="24"/>
          <w:szCs w:val="24"/>
        </w:rPr>
        <w:t>Sathoskar</w:t>
      </w:r>
      <w:proofErr w:type="spellEnd"/>
      <w:proofErr w:type="gramEnd"/>
      <w:r>
        <w:rPr>
          <w:rFonts w:ascii="Times New Roman" w:hAnsi="Times New Roman"/>
          <w:sz w:val="24"/>
          <w:szCs w:val="24"/>
        </w:rPr>
        <w:t xml:space="preserve"> RS, Bhandarkar SD and Nirmala N. Pharmacology and pharmacotherapeutics. Popular </w:t>
      </w:r>
    </w:p>
    <w:p w14:paraId="2CFF0596" w14:textId="77777777" w:rsidR="00990066" w:rsidRDefault="005243B0">
      <w:pPr>
        <w:pStyle w:val="ListParagraph"/>
        <w:spacing w:line="360" w:lineRule="auto"/>
        <w:ind w:left="360" w:firstLineChars="200" w:firstLine="480"/>
        <w:jc w:val="both"/>
        <w:rPr>
          <w:rFonts w:ascii="Times New Roman" w:hAnsi="Times New Roman"/>
          <w:sz w:val="24"/>
          <w:szCs w:val="24"/>
        </w:rPr>
      </w:pPr>
      <w:r>
        <w:rPr>
          <w:rFonts w:ascii="Times New Roman" w:hAnsi="Times New Roman"/>
          <w:sz w:val="24"/>
          <w:szCs w:val="24"/>
        </w:rPr>
        <w:t>Prakashan; Mumbai, 2009; Re-Revised 21</w:t>
      </w:r>
      <w:r>
        <w:rPr>
          <w:rFonts w:ascii="Times New Roman" w:hAnsi="Times New Roman"/>
          <w:sz w:val="24"/>
          <w:szCs w:val="24"/>
          <w:vertAlign w:val="superscript"/>
        </w:rPr>
        <w:t>st</w:t>
      </w:r>
      <w:r>
        <w:rPr>
          <w:rFonts w:ascii="Times New Roman" w:hAnsi="Times New Roman"/>
          <w:sz w:val="24"/>
          <w:szCs w:val="24"/>
        </w:rPr>
        <w:t xml:space="preserve"> edition: 895.</w:t>
      </w:r>
    </w:p>
    <w:p w14:paraId="4E8623AF" w14:textId="77777777" w:rsidR="00990066" w:rsidRDefault="005243B0">
      <w:pPr>
        <w:pStyle w:val="ListParagraph"/>
        <w:spacing w:line="360" w:lineRule="auto"/>
        <w:ind w:leftChars="179" w:left="838" w:hangingChars="200" w:hanging="480"/>
        <w:jc w:val="both"/>
        <w:rPr>
          <w:rFonts w:ascii="Times New Roman" w:hAnsi="Times New Roman"/>
          <w:sz w:val="24"/>
          <w:szCs w:val="24"/>
        </w:rPr>
      </w:pPr>
      <w:r>
        <w:rPr>
          <w:rFonts w:ascii="Times New Roman" w:hAnsi="Times New Roman" w:cs="Times New Roman"/>
          <w:sz w:val="24"/>
          <w:szCs w:val="24"/>
        </w:rPr>
        <w:t xml:space="preserve">[13] Armin H, Gerhardt. Moisture effects on solid dosage forms formulation processing </w:t>
      </w:r>
      <w:r>
        <w:rPr>
          <w:rFonts w:ascii="Times New Roman" w:hAnsi="Times New Roman" w:cs="Times New Roman"/>
          <w:sz w:val="24"/>
          <w:szCs w:val="24"/>
        </w:rPr>
        <w:t>and stability. Journal of GXP Compliance, 2009; (13): 58-66.</w:t>
      </w:r>
    </w:p>
    <w:p w14:paraId="0B13C266" w14:textId="77777777" w:rsidR="00990066" w:rsidRDefault="005243B0">
      <w:pPr>
        <w:pStyle w:val="ListParagraph"/>
        <w:spacing w:line="360" w:lineRule="auto"/>
        <w:ind w:leftChars="179" w:left="838" w:hangingChars="200" w:hanging="480"/>
        <w:jc w:val="both"/>
        <w:rPr>
          <w:rFonts w:ascii="Times New Roman" w:hAnsi="Times New Roman"/>
          <w:sz w:val="24"/>
          <w:szCs w:val="24"/>
        </w:rPr>
      </w:pPr>
      <w:r>
        <w:rPr>
          <w:rFonts w:ascii="Times New Roman" w:hAnsi="Times New Roman" w:cs="Times New Roman"/>
          <w:sz w:val="24"/>
          <w:szCs w:val="24"/>
        </w:rPr>
        <w:t xml:space="preserve">[14] </w:t>
      </w:r>
      <w:r>
        <w:rPr>
          <w:rFonts w:ascii="Times New Roman" w:hAnsi="Times New Roman"/>
          <w:sz w:val="24"/>
          <w:szCs w:val="24"/>
        </w:rPr>
        <w:t>United States Pharmacopeia-National Formulary (USP-NF) (2024). General Chapters &lt;616&gt; Bulk Density and &lt;1174&gt; Powder Flow.  </w:t>
      </w:r>
    </w:p>
    <w:p w14:paraId="10158405" w14:textId="77777777" w:rsidR="00990066" w:rsidRDefault="005243B0">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[15] </w:t>
      </w:r>
      <w:r>
        <w:rPr>
          <w:rFonts w:ascii="Times New Roman" w:hAnsi="Times New Roman"/>
          <w:sz w:val="24"/>
          <w:szCs w:val="24"/>
        </w:rPr>
        <w:t>United States Pharmacopeia-National Formulary (USP-NF) (2024</w:t>
      </w:r>
      <w:r>
        <w:rPr>
          <w:rFonts w:ascii="Times New Roman" w:hAnsi="Times New Roman"/>
          <w:sz w:val="24"/>
          <w:szCs w:val="24"/>
        </w:rPr>
        <w:t>).</w:t>
      </w:r>
      <w:r>
        <w:rPr>
          <w:rFonts w:ascii="Times New Roman" w:hAnsi="Times New Roman" w:cs="Times New Roman"/>
          <w:sz w:val="24"/>
          <w:szCs w:val="24"/>
        </w:rPr>
        <w:t xml:space="preserve"> Uniformity of dosage units </w:t>
      </w:r>
      <w:r>
        <w:rPr>
          <w:rFonts w:ascii="Times New Roman" w:hAnsi="Times New Roman" w:cs="Times New Roman"/>
          <w:sz w:val="24"/>
          <w:szCs w:val="24"/>
        </w:rPr>
        <w:tab/>
      </w:r>
      <w:proofErr w:type="gramStart"/>
      <w:r>
        <w:rPr>
          <w:rFonts w:ascii="Times New Roman" w:hAnsi="Times New Roman" w:cs="Times New Roman"/>
          <w:sz w:val="24"/>
          <w:szCs w:val="24"/>
        </w:rPr>
        <w:tab/>
        <w:t xml:space="preserve">  &lt;</w:t>
      </w:r>
      <w:proofErr w:type="gramEnd"/>
      <w:r>
        <w:rPr>
          <w:rFonts w:ascii="Times New Roman" w:hAnsi="Times New Roman" w:cs="Times New Roman"/>
          <w:sz w:val="24"/>
          <w:szCs w:val="24"/>
        </w:rPr>
        <w:t>905&gt;.</w:t>
      </w:r>
    </w:p>
    <w:p w14:paraId="247679CD" w14:textId="77777777" w:rsidR="00990066" w:rsidRDefault="005243B0">
      <w:pPr>
        <w:pStyle w:val="ListParagraph"/>
        <w:spacing w:line="360" w:lineRule="auto"/>
        <w:ind w:leftChars="179" w:left="838" w:hangingChars="200" w:hanging="480"/>
        <w:jc w:val="both"/>
        <w:rPr>
          <w:rFonts w:ascii="Times New Roman" w:hAnsi="Times New Roman"/>
          <w:sz w:val="24"/>
          <w:szCs w:val="24"/>
        </w:rPr>
      </w:pPr>
      <w:r>
        <w:rPr>
          <w:rFonts w:ascii="Times New Roman" w:hAnsi="Times New Roman"/>
          <w:sz w:val="24"/>
          <w:szCs w:val="24"/>
        </w:rPr>
        <w:t>[16] United States Pharmacopeia-National Formulary (USP-NF) (2024). General Chapter &lt;1217&gt; Tablet Breaking Force.</w:t>
      </w:r>
    </w:p>
    <w:p w14:paraId="702B79F9" w14:textId="77777777" w:rsidR="00990066" w:rsidRDefault="005243B0">
      <w:pPr>
        <w:pStyle w:val="ListParagraph"/>
        <w:spacing w:line="360" w:lineRule="auto"/>
        <w:ind w:leftChars="179" w:left="838" w:hangingChars="200" w:hanging="480"/>
        <w:jc w:val="both"/>
        <w:rPr>
          <w:rFonts w:ascii="Times New Roman" w:hAnsi="Times New Roman"/>
          <w:sz w:val="24"/>
          <w:szCs w:val="24"/>
        </w:rPr>
      </w:pPr>
      <w:r>
        <w:rPr>
          <w:rFonts w:ascii="Times New Roman" w:hAnsi="Times New Roman"/>
          <w:sz w:val="24"/>
          <w:szCs w:val="24"/>
        </w:rPr>
        <w:t>[17] United States Pharmacopeia-National Formulary (USP-NF) (2024). General Chapter &lt;1216&gt; Tablet Fri</w:t>
      </w:r>
      <w:r>
        <w:rPr>
          <w:rFonts w:ascii="Times New Roman" w:hAnsi="Times New Roman"/>
          <w:sz w:val="24"/>
          <w:szCs w:val="24"/>
        </w:rPr>
        <w:t>ability.</w:t>
      </w:r>
    </w:p>
    <w:p w14:paraId="4EF330C1" w14:textId="77777777" w:rsidR="00990066" w:rsidRDefault="005243B0">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[18] United States Pharmacopoeia. Metformin HCl extended release tablet monograph, 2024; (3): 5050.</w:t>
      </w:r>
    </w:p>
    <w:p w14:paraId="62A23A26" w14:textId="77777777" w:rsidR="00990066" w:rsidRDefault="005243B0">
      <w:pPr>
        <w:pStyle w:val="ListParagraph"/>
        <w:spacing w:line="360" w:lineRule="auto"/>
        <w:ind w:leftChars="179" w:left="838" w:hangingChars="200" w:hanging="480"/>
        <w:jc w:val="both"/>
        <w:rPr>
          <w:rFonts w:ascii="Times New Roman" w:hAnsi="Times New Roman" w:cs="Times New Roman"/>
          <w:sz w:val="24"/>
          <w:szCs w:val="24"/>
        </w:rPr>
      </w:pPr>
      <w:r>
        <w:rPr>
          <w:rFonts w:ascii="Times New Roman" w:hAnsi="Times New Roman" w:cs="Times New Roman"/>
          <w:sz w:val="24"/>
          <w:szCs w:val="24"/>
        </w:rPr>
        <w:t xml:space="preserve">[19] </w:t>
      </w:r>
      <w:r>
        <w:rPr>
          <w:rFonts w:ascii="Times New Roman" w:hAnsi="Times New Roman"/>
          <w:sz w:val="24"/>
          <w:szCs w:val="24"/>
        </w:rPr>
        <w:t>Karsten H, Katharina MP. Evaluation of a new Co-</w:t>
      </w:r>
      <w:proofErr w:type="spellStart"/>
      <w:r>
        <w:rPr>
          <w:rFonts w:ascii="Times New Roman" w:hAnsi="Times New Roman"/>
          <w:sz w:val="24"/>
          <w:szCs w:val="24"/>
        </w:rPr>
        <w:t>proccessed</w:t>
      </w:r>
      <w:proofErr w:type="spellEnd"/>
      <w:r>
        <w:rPr>
          <w:rFonts w:ascii="Times New Roman" w:hAnsi="Times New Roman"/>
          <w:sz w:val="24"/>
          <w:szCs w:val="24"/>
        </w:rPr>
        <w:t xml:space="preserve"> compound based on lactose and maize starch for tablet formulation. AAPS Pharm. Sci. Tech. 2004; 6: 1–12. </w:t>
      </w:r>
    </w:p>
    <w:p w14:paraId="049D9C13" w14:textId="77777777" w:rsidR="00990066" w:rsidRDefault="00990066">
      <w:pPr>
        <w:pStyle w:val="ListParagraph"/>
        <w:ind w:left="0"/>
        <w:jc w:val="both"/>
        <w:rPr>
          <w:rFonts w:ascii="Times New Roman" w:hAnsi="Times New Roman"/>
          <w:sz w:val="24"/>
          <w:szCs w:val="24"/>
        </w:rPr>
      </w:pPr>
    </w:p>
    <w:p w14:paraId="2D793755" w14:textId="77777777" w:rsidR="00990066" w:rsidRDefault="00990066">
      <w:pPr>
        <w:pStyle w:val="ListParagraph"/>
        <w:ind w:left="360" w:firstLineChars="150" w:firstLine="360"/>
        <w:rPr>
          <w:rFonts w:ascii="Times New Roman" w:hAnsi="Times New Roman"/>
          <w:sz w:val="24"/>
          <w:szCs w:val="24"/>
        </w:rPr>
      </w:pPr>
    </w:p>
    <w:p w14:paraId="1E4C74B9" w14:textId="77777777" w:rsidR="00990066" w:rsidRDefault="00990066">
      <w:pPr>
        <w:pStyle w:val="ListParagraph"/>
        <w:ind w:left="360" w:firstLineChars="150" w:firstLine="360"/>
        <w:jc w:val="both"/>
        <w:rPr>
          <w:rFonts w:ascii="Times New Roman" w:hAnsi="Times New Roman"/>
          <w:sz w:val="24"/>
          <w:szCs w:val="24"/>
        </w:rPr>
      </w:pPr>
    </w:p>
    <w:p w14:paraId="7626A390" w14:textId="77777777" w:rsidR="00990066" w:rsidRDefault="00990066">
      <w:pPr>
        <w:jc w:val="both"/>
        <w:rPr>
          <w:b/>
          <w:bCs/>
          <w:sz w:val="24"/>
          <w:szCs w:val="24"/>
          <w:lang w:eastAsia="en-IN"/>
        </w:rPr>
      </w:pPr>
    </w:p>
    <w:sectPr w:rsidR="00990066">
      <w:headerReference w:type="even" r:id="rId16"/>
      <w:headerReference w:type="default" r:id="rId17"/>
      <w:footerReference w:type="even" r:id="rId18"/>
      <w:footerReference w:type="default" r:id="rId19"/>
      <w:headerReference w:type="first" r:id="rId20"/>
      <w:footerReference w:type="first" r:id="rId21"/>
      <w:pgSz w:w="11906" w:h="16838"/>
      <w:pgMar w:top="720" w:right="720" w:bottom="720" w:left="720" w:header="39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CD16E4" w14:textId="77777777" w:rsidR="005243B0" w:rsidRDefault="005243B0" w:rsidP="00C50C67">
      <w:r>
        <w:separator/>
      </w:r>
    </w:p>
  </w:endnote>
  <w:endnote w:type="continuationSeparator" w:id="0">
    <w:p w14:paraId="4F579984" w14:textId="77777777" w:rsidR="005243B0" w:rsidRDefault="005243B0" w:rsidP="00C50C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13EAE8" w14:textId="77777777" w:rsidR="00C50C67" w:rsidRDefault="00C50C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843370" w14:textId="77777777" w:rsidR="00C50C67" w:rsidRDefault="00C50C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FE40D" w14:textId="77777777" w:rsidR="00C50C67" w:rsidRDefault="00C50C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05FCC6" w14:textId="77777777" w:rsidR="005243B0" w:rsidRDefault="005243B0" w:rsidP="00C50C67">
      <w:r>
        <w:separator/>
      </w:r>
    </w:p>
  </w:footnote>
  <w:footnote w:type="continuationSeparator" w:id="0">
    <w:p w14:paraId="77589608" w14:textId="77777777" w:rsidR="005243B0" w:rsidRDefault="005243B0" w:rsidP="00C50C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35E9E1" w14:textId="75529F19" w:rsidR="00C50C67" w:rsidRDefault="00C50C67">
    <w:pPr>
      <w:pStyle w:val="Header"/>
    </w:pPr>
    <w:r>
      <w:rPr>
        <w:noProof/>
      </w:rPr>
      <w:pict w14:anchorId="4E1ACD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928313" o:spid="_x0000_s2050" type="#_x0000_t136" style="position:absolute;margin-left:0;margin-top:0;width:621.2pt;height:116.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0F72E7" w14:textId="56608CD5" w:rsidR="00C50C67" w:rsidRDefault="00C50C67">
    <w:pPr>
      <w:pStyle w:val="Header"/>
    </w:pPr>
    <w:r>
      <w:rPr>
        <w:noProof/>
      </w:rPr>
      <w:pict w14:anchorId="40108F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928314" o:spid="_x0000_s2051" type="#_x0000_t136" style="position:absolute;margin-left:0;margin-top:0;width:621.2pt;height:116.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509AF" w14:textId="3F9E914E" w:rsidR="00C50C67" w:rsidRDefault="00C50C67">
    <w:pPr>
      <w:pStyle w:val="Header"/>
    </w:pPr>
    <w:r>
      <w:rPr>
        <w:noProof/>
      </w:rPr>
      <w:pict w14:anchorId="2A7402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928312" o:spid="_x0000_s2049" type="#_x0000_t136" style="position:absolute;margin-left:0;margin-top:0;width:621.2pt;height:116.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861EF4"/>
    <w:multiLevelType w:val="singleLevel"/>
    <w:tmpl w:val="2C861EF4"/>
    <w:lvl w:ilvl="0">
      <w:start w:val="1"/>
      <w:numFmt w:val="decimal"/>
      <w:suff w:val="space"/>
      <w:lvlText w:val="[%1]"/>
      <w:lvlJc w:val="left"/>
    </w:lvl>
  </w:abstractNum>
  <w:abstractNum w:abstractNumId="1" w15:restartNumberingAfterBreak="0">
    <w:nsid w:val="6C80313D"/>
    <w:multiLevelType w:val="singleLevel"/>
    <w:tmpl w:val="6C80313D"/>
    <w:lvl w:ilvl="0">
      <w:start w:val="2"/>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grammar="clean"/>
  <w:defaultTabStop w:val="720"/>
  <w:drawingGridVerticalSpacing w:val="156"/>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3BBD"/>
    <w:rsid w:val="00004B8F"/>
    <w:rsid w:val="00020E3A"/>
    <w:rsid w:val="00023806"/>
    <w:rsid w:val="00035B14"/>
    <w:rsid w:val="00050585"/>
    <w:rsid w:val="00066A99"/>
    <w:rsid w:val="00072F88"/>
    <w:rsid w:val="000E6BE1"/>
    <w:rsid w:val="0010363B"/>
    <w:rsid w:val="00122FCC"/>
    <w:rsid w:val="00150B26"/>
    <w:rsid w:val="001B290A"/>
    <w:rsid w:val="001C4678"/>
    <w:rsid w:val="001D5FB4"/>
    <w:rsid w:val="001E600B"/>
    <w:rsid w:val="001E6C22"/>
    <w:rsid w:val="00213F12"/>
    <w:rsid w:val="002802D2"/>
    <w:rsid w:val="002819B1"/>
    <w:rsid w:val="00287D0B"/>
    <w:rsid w:val="002C08BB"/>
    <w:rsid w:val="002E1A91"/>
    <w:rsid w:val="002F7FBA"/>
    <w:rsid w:val="00305C0B"/>
    <w:rsid w:val="00326308"/>
    <w:rsid w:val="003462E3"/>
    <w:rsid w:val="003537C1"/>
    <w:rsid w:val="00353D64"/>
    <w:rsid w:val="00357669"/>
    <w:rsid w:val="003617E6"/>
    <w:rsid w:val="00365069"/>
    <w:rsid w:val="00387F8B"/>
    <w:rsid w:val="003A01EC"/>
    <w:rsid w:val="003A3A6F"/>
    <w:rsid w:val="003C61B5"/>
    <w:rsid w:val="003D33A6"/>
    <w:rsid w:val="003F5FC4"/>
    <w:rsid w:val="00417EF4"/>
    <w:rsid w:val="004246FC"/>
    <w:rsid w:val="00435650"/>
    <w:rsid w:val="004D15CD"/>
    <w:rsid w:val="004D2532"/>
    <w:rsid w:val="004E0F7B"/>
    <w:rsid w:val="004E6E8D"/>
    <w:rsid w:val="005243B0"/>
    <w:rsid w:val="00546C76"/>
    <w:rsid w:val="00584FA7"/>
    <w:rsid w:val="0059260D"/>
    <w:rsid w:val="00596805"/>
    <w:rsid w:val="005A304C"/>
    <w:rsid w:val="005D3C24"/>
    <w:rsid w:val="00615EAD"/>
    <w:rsid w:val="006310EC"/>
    <w:rsid w:val="006328C3"/>
    <w:rsid w:val="006616B1"/>
    <w:rsid w:val="006704B1"/>
    <w:rsid w:val="00672194"/>
    <w:rsid w:val="0069058C"/>
    <w:rsid w:val="006A2197"/>
    <w:rsid w:val="006D1520"/>
    <w:rsid w:val="006E7ECE"/>
    <w:rsid w:val="00700226"/>
    <w:rsid w:val="007534D2"/>
    <w:rsid w:val="00754B4E"/>
    <w:rsid w:val="007964EA"/>
    <w:rsid w:val="00800259"/>
    <w:rsid w:val="00814795"/>
    <w:rsid w:val="0083050D"/>
    <w:rsid w:val="00831D3A"/>
    <w:rsid w:val="00844A64"/>
    <w:rsid w:val="0084777C"/>
    <w:rsid w:val="00897D52"/>
    <w:rsid w:val="008B616F"/>
    <w:rsid w:val="008C7FF6"/>
    <w:rsid w:val="008D5304"/>
    <w:rsid w:val="008D5A78"/>
    <w:rsid w:val="008E2A0E"/>
    <w:rsid w:val="008E2CBC"/>
    <w:rsid w:val="008E7C76"/>
    <w:rsid w:val="00933D9B"/>
    <w:rsid w:val="00967DE9"/>
    <w:rsid w:val="0097171A"/>
    <w:rsid w:val="009779F5"/>
    <w:rsid w:val="00990066"/>
    <w:rsid w:val="009B49B6"/>
    <w:rsid w:val="009F5690"/>
    <w:rsid w:val="00A01614"/>
    <w:rsid w:val="00A06C97"/>
    <w:rsid w:val="00A0788E"/>
    <w:rsid w:val="00A73BBD"/>
    <w:rsid w:val="00A76F20"/>
    <w:rsid w:val="00AA2B0F"/>
    <w:rsid w:val="00B1258F"/>
    <w:rsid w:val="00B31808"/>
    <w:rsid w:val="00B531D8"/>
    <w:rsid w:val="00B549B2"/>
    <w:rsid w:val="00B80368"/>
    <w:rsid w:val="00B8355C"/>
    <w:rsid w:val="00BC0299"/>
    <w:rsid w:val="00BC5D0D"/>
    <w:rsid w:val="00BD6078"/>
    <w:rsid w:val="00C37948"/>
    <w:rsid w:val="00C44682"/>
    <w:rsid w:val="00C50C67"/>
    <w:rsid w:val="00C51F62"/>
    <w:rsid w:val="00CA3286"/>
    <w:rsid w:val="00CC1040"/>
    <w:rsid w:val="00CE0A60"/>
    <w:rsid w:val="00CF6790"/>
    <w:rsid w:val="00D21418"/>
    <w:rsid w:val="00D54E17"/>
    <w:rsid w:val="00D5504A"/>
    <w:rsid w:val="00D57F8F"/>
    <w:rsid w:val="00D835EE"/>
    <w:rsid w:val="00DA22F4"/>
    <w:rsid w:val="00DD4D7C"/>
    <w:rsid w:val="00E01536"/>
    <w:rsid w:val="00E15A9D"/>
    <w:rsid w:val="00E20575"/>
    <w:rsid w:val="00E67D08"/>
    <w:rsid w:val="00E86F1D"/>
    <w:rsid w:val="00E96577"/>
    <w:rsid w:val="00E97C89"/>
    <w:rsid w:val="00ED3BD8"/>
    <w:rsid w:val="00EF0418"/>
    <w:rsid w:val="00F07D1B"/>
    <w:rsid w:val="00F11EF9"/>
    <w:rsid w:val="00F2321E"/>
    <w:rsid w:val="00F23ACE"/>
    <w:rsid w:val="00F34B0C"/>
    <w:rsid w:val="00F42C59"/>
    <w:rsid w:val="00F44A31"/>
    <w:rsid w:val="00F46758"/>
    <w:rsid w:val="00F90C88"/>
    <w:rsid w:val="00FB1896"/>
    <w:rsid w:val="00FC1737"/>
    <w:rsid w:val="00FD3F05"/>
    <w:rsid w:val="00FF5087"/>
    <w:rsid w:val="0100553C"/>
    <w:rsid w:val="01006CB0"/>
    <w:rsid w:val="01043138"/>
    <w:rsid w:val="010800D6"/>
    <w:rsid w:val="010E718C"/>
    <w:rsid w:val="01116D2F"/>
    <w:rsid w:val="011646D7"/>
    <w:rsid w:val="011C07DF"/>
    <w:rsid w:val="01287E75"/>
    <w:rsid w:val="01343E1F"/>
    <w:rsid w:val="013712F3"/>
    <w:rsid w:val="01376E0A"/>
    <w:rsid w:val="013B4483"/>
    <w:rsid w:val="0143677F"/>
    <w:rsid w:val="01507D34"/>
    <w:rsid w:val="015500B5"/>
    <w:rsid w:val="015974C0"/>
    <w:rsid w:val="015B7A9C"/>
    <w:rsid w:val="015D704A"/>
    <w:rsid w:val="01615A50"/>
    <w:rsid w:val="0165C0F6"/>
    <w:rsid w:val="016853DB"/>
    <w:rsid w:val="01696E62"/>
    <w:rsid w:val="016A3945"/>
    <w:rsid w:val="01707875"/>
    <w:rsid w:val="01810503"/>
    <w:rsid w:val="01857314"/>
    <w:rsid w:val="01876B2E"/>
    <w:rsid w:val="01883711"/>
    <w:rsid w:val="018A4696"/>
    <w:rsid w:val="018B6894"/>
    <w:rsid w:val="018E1FBB"/>
    <w:rsid w:val="01A06D45"/>
    <w:rsid w:val="01A26FBE"/>
    <w:rsid w:val="01AA7D1B"/>
    <w:rsid w:val="01AE15BA"/>
    <w:rsid w:val="01B01053"/>
    <w:rsid w:val="01BA1962"/>
    <w:rsid w:val="01BC28E7"/>
    <w:rsid w:val="01C15D95"/>
    <w:rsid w:val="01C2043A"/>
    <w:rsid w:val="01C51963"/>
    <w:rsid w:val="01C55EB2"/>
    <w:rsid w:val="01C630F0"/>
    <w:rsid w:val="01C866F9"/>
    <w:rsid w:val="01CE1437"/>
    <w:rsid w:val="01D50364"/>
    <w:rsid w:val="01D61292"/>
    <w:rsid w:val="01D92F9F"/>
    <w:rsid w:val="01D95D97"/>
    <w:rsid w:val="01DB319C"/>
    <w:rsid w:val="01E067D3"/>
    <w:rsid w:val="01E22B26"/>
    <w:rsid w:val="01E23011"/>
    <w:rsid w:val="01E62509"/>
    <w:rsid w:val="01E924B1"/>
    <w:rsid w:val="01EA2D73"/>
    <w:rsid w:val="01EA7F33"/>
    <w:rsid w:val="01F0403A"/>
    <w:rsid w:val="01F41614"/>
    <w:rsid w:val="01FA47FF"/>
    <w:rsid w:val="01FF0CF1"/>
    <w:rsid w:val="02006853"/>
    <w:rsid w:val="0206221D"/>
    <w:rsid w:val="02073C59"/>
    <w:rsid w:val="020E3E06"/>
    <w:rsid w:val="02287F86"/>
    <w:rsid w:val="02497F4C"/>
    <w:rsid w:val="024A470B"/>
    <w:rsid w:val="024B0FAE"/>
    <w:rsid w:val="02510BDC"/>
    <w:rsid w:val="02522DDA"/>
    <w:rsid w:val="025340DF"/>
    <w:rsid w:val="025B7E44"/>
    <w:rsid w:val="025D214D"/>
    <w:rsid w:val="02628890"/>
    <w:rsid w:val="02646578"/>
    <w:rsid w:val="02742095"/>
    <w:rsid w:val="028352AE"/>
    <w:rsid w:val="028448AE"/>
    <w:rsid w:val="02881678"/>
    <w:rsid w:val="028B18FB"/>
    <w:rsid w:val="028B4239"/>
    <w:rsid w:val="02905573"/>
    <w:rsid w:val="0293294A"/>
    <w:rsid w:val="029A778E"/>
    <w:rsid w:val="02A00FF1"/>
    <w:rsid w:val="02A23DA7"/>
    <w:rsid w:val="02AC21EF"/>
    <w:rsid w:val="02AC47F6"/>
    <w:rsid w:val="02B33C2A"/>
    <w:rsid w:val="02BC4A08"/>
    <w:rsid w:val="02BE1E79"/>
    <w:rsid w:val="02C3371F"/>
    <w:rsid w:val="02C50B9B"/>
    <w:rsid w:val="02CD1F43"/>
    <w:rsid w:val="02D363D8"/>
    <w:rsid w:val="02D77EBE"/>
    <w:rsid w:val="02DF39F5"/>
    <w:rsid w:val="02E86B7B"/>
    <w:rsid w:val="02EB5557"/>
    <w:rsid w:val="02F76F90"/>
    <w:rsid w:val="02FA25DD"/>
    <w:rsid w:val="02FB2750"/>
    <w:rsid w:val="03060F81"/>
    <w:rsid w:val="03065425"/>
    <w:rsid w:val="030660AA"/>
    <w:rsid w:val="030B388D"/>
    <w:rsid w:val="030D7ED2"/>
    <w:rsid w:val="03130A6D"/>
    <w:rsid w:val="031D702B"/>
    <w:rsid w:val="032E3CF9"/>
    <w:rsid w:val="032E5B4F"/>
    <w:rsid w:val="03312448"/>
    <w:rsid w:val="03350E4E"/>
    <w:rsid w:val="0335342E"/>
    <w:rsid w:val="03392127"/>
    <w:rsid w:val="033A0B59"/>
    <w:rsid w:val="03444D9E"/>
    <w:rsid w:val="034E307D"/>
    <w:rsid w:val="03533C82"/>
    <w:rsid w:val="03572688"/>
    <w:rsid w:val="035C6B10"/>
    <w:rsid w:val="035E423B"/>
    <w:rsid w:val="035E63A4"/>
    <w:rsid w:val="036839EA"/>
    <w:rsid w:val="03743AAD"/>
    <w:rsid w:val="037709BE"/>
    <w:rsid w:val="037C4E46"/>
    <w:rsid w:val="0381093F"/>
    <w:rsid w:val="0383243B"/>
    <w:rsid w:val="03847CD4"/>
    <w:rsid w:val="038A22EF"/>
    <w:rsid w:val="038D521D"/>
    <w:rsid w:val="03922815"/>
    <w:rsid w:val="03934A6B"/>
    <w:rsid w:val="039567B9"/>
    <w:rsid w:val="039843FB"/>
    <w:rsid w:val="039932C8"/>
    <w:rsid w:val="039A0569"/>
    <w:rsid w:val="03B81428"/>
    <w:rsid w:val="03B83858"/>
    <w:rsid w:val="03BD74E2"/>
    <w:rsid w:val="03BE44FB"/>
    <w:rsid w:val="03C6471B"/>
    <w:rsid w:val="03C71A42"/>
    <w:rsid w:val="03C8382A"/>
    <w:rsid w:val="03CA63CE"/>
    <w:rsid w:val="03CD4739"/>
    <w:rsid w:val="03CE3E86"/>
    <w:rsid w:val="03D14550"/>
    <w:rsid w:val="03D46096"/>
    <w:rsid w:val="03E76B42"/>
    <w:rsid w:val="03E84175"/>
    <w:rsid w:val="03E966C3"/>
    <w:rsid w:val="03F22110"/>
    <w:rsid w:val="03F7785A"/>
    <w:rsid w:val="03F812C8"/>
    <w:rsid w:val="03F82211"/>
    <w:rsid w:val="03FA7913"/>
    <w:rsid w:val="03FE411B"/>
    <w:rsid w:val="04013859"/>
    <w:rsid w:val="04066B2F"/>
    <w:rsid w:val="04074A2A"/>
    <w:rsid w:val="04082AD7"/>
    <w:rsid w:val="041259D6"/>
    <w:rsid w:val="04180808"/>
    <w:rsid w:val="041B1889"/>
    <w:rsid w:val="04210E57"/>
    <w:rsid w:val="042807E2"/>
    <w:rsid w:val="042B6E57"/>
    <w:rsid w:val="042D4C6A"/>
    <w:rsid w:val="042E26EB"/>
    <w:rsid w:val="0430094B"/>
    <w:rsid w:val="0431586E"/>
    <w:rsid w:val="043229BA"/>
    <w:rsid w:val="043B6BD9"/>
    <w:rsid w:val="04454392"/>
    <w:rsid w:val="04470FB4"/>
    <w:rsid w:val="04483295"/>
    <w:rsid w:val="044B6171"/>
    <w:rsid w:val="0459572E"/>
    <w:rsid w:val="045A6A33"/>
    <w:rsid w:val="046606E7"/>
    <w:rsid w:val="04785FE3"/>
    <w:rsid w:val="047B6F67"/>
    <w:rsid w:val="047E7EEC"/>
    <w:rsid w:val="04903689"/>
    <w:rsid w:val="049250F9"/>
    <w:rsid w:val="04964A25"/>
    <w:rsid w:val="04B574F8"/>
    <w:rsid w:val="04B638C9"/>
    <w:rsid w:val="04B96A4C"/>
    <w:rsid w:val="04C03040"/>
    <w:rsid w:val="04C141AF"/>
    <w:rsid w:val="04C1768A"/>
    <w:rsid w:val="04C218DA"/>
    <w:rsid w:val="04C32BDF"/>
    <w:rsid w:val="04DA24BD"/>
    <w:rsid w:val="04E80EFE"/>
    <w:rsid w:val="04ED0EE6"/>
    <w:rsid w:val="04F049A8"/>
    <w:rsid w:val="04F274F3"/>
    <w:rsid w:val="04F27EAB"/>
    <w:rsid w:val="04F85637"/>
    <w:rsid w:val="04FC3176"/>
    <w:rsid w:val="05054517"/>
    <w:rsid w:val="050A25F3"/>
    <w:rsid w:val="050D19FC"/>
    <w:rsid w:val="05163209"/>
    <w:rsid w:val="05163DC7"/>
    <w:rsid w:val="051A167D"/>
    <w:rsid w:val="05241C6C"/>
    <w:rsid w:val="05257400"/>
    <w:rsid w:val="05292583"/>
    <w:rsid w:val="052C3508"/>
    <w:rsid w:val="052F448C"/>
    <w:rsid w:val="05320C94"/>
    <w:rsid w:val="05354126"/>
    <w:rsid w:val="053C7025"/>
    <w:rsid w:val="05413450"/>
    <w:rsid w:val="054747EA"/>
    <w:rsid w:val="05542478"/>
    <w:rsid w:val="05577DE1"/>
    <w:rsid w:val="056337F9"/>
    <w:rsid w:val="0567E4B8"/>
    <w:rsid w:val="05681D6D"/>
    <w:rsid w:val="056E3078"/>
    <w:rsid w:val="0570657B"/>
    <w:rsid w:val="05709AB6"/>
    <w:rsid w:val="05770104"/>
    <w:rsid w:val="057C5DF5"/>
    <w:rsid w:val="057F5510"/>
    <w:rsid w:val="058A6635"/>
    <w:rsid w:val="05997B94"/>
    <w:rsid w:val="059A6126"/>
    <w:rsid w:val="059A73BF"/>
    <w:rsid w:val="059B7B9B"/>
    <w:rsid w:val="059D56BC"/>
    <w:rsid w:val="05B044DB"/>
    <w:rsid w:val="05BA1E72"/>
    <w:rsid w:val="05BF02C6"/>
    <w:rsid w:val="05C707CB"/>
    <w:rsid w:val="05C8248C"/>
    <w:rsid w:val="05CA3CC7"/>
    <w:rsid w:val="05CFE890"/>
    <w:rsid w:val="05D3081E"/>
    <w:rsid w:val="05D92727"/>
    <w:rsid w:val="05DA063B"/>
    <w:rsid w:val="05E73C3B"/>
    <w:rsid w:val="05ED01D7"/>
    <w:rsid w:val="05FB1FC0"/>
    <w:rsid w:val="05FB58E4"/>
    <w:rsid w:val="05FF6A88"/>
    <w:rsid w:val="060025E6"/>
    <w:rsid w:val="0600615C"/>
    <w:rsid w:val="060C6088"/>
    <w:rsid w:val="06125D84"/>
    <w:rsid w:val="06135E58"/>
    <w:rsid w:val="061C3457"/>
    <w:rsid w:val="0620091D"/>
    <w:rsid w:val="062937AB"/>
    <w:rsid w:val="062A122C"/>
    <w:rsid w:val="062A342B"/>
    <w:rsid w:val="06305334"/>
    <w:rsid w:val="063421E8"/>
    <w:rsid w:val="06382740"/>
    <w:rsid w:val="06396850"/>
    <w:rsid w:val="063B36C5"/>
    <w:rsid w:val="06427F85"/>
    <w:rsid w:val="064331B5"/>
    <w:rsid w:val="0643FA75"/>
    <w:rsid w:val="06451207"/>
    <w:rsid w:val="064E48E4"/>
    <w:rsid w:val="064F2FA2"/>
    <w:rsid w:val="06500E91"/>
    <w:rsid w:val="065467ED"/>
    <w:rsid w:val="06566AF0"/>
    <w:rsid w:val="065C205F"/>
    <w:rsid w:val="065C5FAD"/>
    <w:rsid w:val="06683940"/>
    <w:rsid w:val="06696793"/>
    <w:rsid w:val="066A5D01"/>
    <w:rsid w:val="066D0BB1"/>
    <w:rsid w:val="067C79B2"/>
    <w:rsid w:val="067D5433"/>
    <w:rsid w:val="067D77AC"/>
    <w:rsid w:val="067E4035"/>
    <w:rsid w:val="068000D2"/>
    <w:rsid w:val="06813E39"/>
    <w:rsid w:val="068176BD"/>
    <w:rsid w:val="068540F5"/>
    <w:rsid w:val="0687694B"/>
    <w:rsid w:val="068E766F"/>
    <w:rsid w:val="069037D3"/>
    <w:rsid w:val="069408DC"/>
    <w:rsid w:val="06994D63"/>
    <w:rsid w:val="069A27E5"/>
    <w:rsid w:val="069B49E3"/>
    <w:rsid w:val="069D376A"/>
    <w:rsid w:val="06A030C2"/>
    <w:rsid w:val="06A27FAC"/>
    <w:rsid w:val="06A52D74"/>
    <w:rsid w:val="06A74079"/>
    <w:rsid w:val="06A9757C"/>
    <w:rsid w:val="06AB2A7F"/>
    <w:rsid w:val="06AD3A04"/>
    <w:rsid w:val="06AE483F"/>
    <w:rsid w:val="06BC1814"/>
    <w:rsid w:val="06C47DA6"/>
    <w:rsid w:val="06C72058"/>
    <w:rsid w:val="06CC0A35"/>
    <w:rsid w:val="06CD42C4"/>
    <w:rsid w:val="06D06DE3"/>
    <w:rsid w:val="06D712F9"/>
    <w:rsid w:val="06E93C13"/>
    <w:rsid w:val="06F17970"/>
    <w:rsid w:val="06FC1585"/>
    <w:rsid w:val="06FD15E5"/>
    <w:rsid w:val="06FD7006"/>
    <w:rsid w:val="06FE6C86"/>
    <w:rsid w:val="06FF35B1"/>
    <w:rsid w:val="06FF4708"/>
    <w:rsid w:val="07013F3A"/>
    <w:rsid w:val="07017C0B"/>
    <w:rsid w:val="070268E6"/>
    <w:rsid w:val="0703B4CD"/>
    <w:rsid w:val="0708351A"/>
    <w:rsid w:val="070D149F"/>
    <w:rsid w:val="07123728"/>
    <w:rsid w:val="0713454E"/>
    <w:rsid w:val="071E4FBC"/>
    <w:rsid w:val="072233D4"/>
    <w:rsid w:val="07254947"/>
    <w:rsid w:val="072645C7"/>
    <w:rsid w:val="072E7BB4"/>
    <w:rsid w:val="07441960"/>
    <w:rsid w:val="074440BD"/>
    <w:rsid w:val="074E358D"/>
    <w:rsid w:val="075B03AE"/>
    <w:rsid w:val="076072C9"/>
    <w:rsid w:val="0761E645"/>
    <w:rsid w:val="0763222E"/>
    <w:rsid w:val="07676255"/>
    <w:rsid w:val="07766D28"/>
    <w:rsid w:val="077C5356"/>
    <w:rsid w:val="077F61CB"/>
    <w:rsid w:val="07843E94"/>
    <w:rsid w:val="078A686A"/>
    <w:rsid w:val="07903FF7"/>
    <w:rsid w:val="079216F8"/>
    <w:rsid w:val="07934D62"/>
    <w:rsid w:val="07934F7B"/>
    <w:rsid w:val="079600FE"/>
    <w:rsid w:val="079C2696"/>
    <w:rsid w:val="07A15FB4"/>
    <w:rsid w:val="07A8169D"/>
    <w:rsid w:val="07AA2823"/>
    <w:rsid w:val="07AA728C"/>
    <w:rsid w:val="07B266A6"/>
    <w:rsid w:val="07B93E44"/>
    <w:rsid w:val="07BC2B9A"/>
    <w:rsid w:val="07BC75D3"/>
    <w:rsid w:val="07BF4B46"/>
    <w:rsid w:val="07CE490D"/>
    <w:rsid w:val="07CF5788"/>
    <w:rsid w:val="07D638B4"/>
    <w:rsid w:val="07D91E6C"/>
    <w:rsid w:val="07DF17F7"/>
    <w:rsid w:val="07E07279"/>
    <w:rsid w:val="07E15E21"/>
    <w:rsid w:val="07E5640F"/>
    <w:rsid w:val="07E61182"/>
    <w:rsid w:val="07E9598A"/>
    <w:rsid w:val="07EA4488"/>
    <w:rsid w:val="07F6721E"/>
    <w:rsid w:val="07F86296"/>
    <w:rsid w:val="07F866A2"/>
    <w:rsid w:val="07FC3326"/>
    <w:rsid w:val="08013031"/>
    <w:rsid w:val="08020AB2"/>
    <w:rsid w:val="080A49C1"/>
    <w:rsid w:val="080B2B96"/>
    <w:rsid w:val="080B3940"/>
    <w:rsid w:val="08135F0E"/>
    <w:rsid w:val="081A3F5B"/>
    <w:rsid w:val="081A7B62"/>
    <w:rsid w:val="081F6A2B"/>
    <w:rsid w:val="082655D0"/>
    <w:rsid w:val="082657EF"/>
    <w:rsid w:val="083373EB"/>
    <w:rsid w:val="08360008"/>
    <w:rsid w:val="083B668E"/>
    <w:rsid w:val="08444DDB"/>
    <w:rsid w:val="084837A5"/>
    <w:rsid w:val="08484D2D"/>
    <w:rsid w:val="084B472A"/>
    <w:rsid w:val="084C1599"/>
    <w:rsid w:val="084D1E2B"/>
    <w:rsid w:val="08557237"/>
    <w:rsid w:val="08585DDE"/>
    <w:rsid w:val="085B1141"/>
    <w:rsid w:val="085C6BC2"/>
    <w:rsid w:val="085E20C5"/>
    <w:rsid w:val="085F6B82"/>
    <w:rsid w:val="085F7B47"/>
    <w:rsid w:val="08641A50"/>
    <w:rsid w:val="088038FF"/>
    <w:rsid w:val="0881210C"/>
    <w:rsid w:val="08824884"/>
    <w:rsid w:val="08855808"/>
    <w:rsid w:val="088879FF"/>
    <w:rsid w:val="088A781D"/>
    <w:rsid w:val="088B48C4"/>
    <w:rsid w:val="088F0EC7"/>
    <w:rsid w:val="088F5D45"/>
    <w:rsid w:val="0894259F"/>
    <w:rsid w:val="08980A5A"/>
    <w:rsid w:val="08A4283A"/>
    <w:rsid w:val="08A502BB"/>
    <w:rsid w:val="08A80A9A"/>
    <w:rsid w:val="08B13240"/>
    <w:rsid w:val="08B17951"/>
    <w:rsid w:val="08B42AD4"/>
    <w:rsid w:val="08B56357"/>
    <w:rsid w:val="08B80F70"/>
    <w:rsid w:val="08B84D5E"/>
    <w:rsid w:val="08C07219"/>
    <w:rsid w:val="08C12DDB"/>
    <w:rsid w:val="08C42B83"/>
    <w:rsid w:val="08C71AF5"/>
    <w:rsid w:val="08D737C1"/>
    <w:rsid w:val="08D93A2A"/>
    <w:rsid w:val="08DD3C99"/>
    <w:rsid w:val="08E623AA"/>
    <w:rsid w:val="08E820AF"/>
    <w:rsid w:val="08E858AD"/>
    <w:rsid w:val="08EB6C4F"/>
    <w:rsid w:val="08FA104A"/>
    <w:rsid w:val="08FC0CCA"/>
    <w:rsid w:val="09051472"/>
    <w:rsid w:val="091A5787"/>
    <w:rsid w:val="091B4B51"/>
    <w:rsid w:val="09331ABF"/>
    <w:rsid w:val="093462C9"/>
    <w:rsid w:val="09435F88"/>
    <w:rsid w:val="094520C6"/>
    <w:rsid w:val="0949237B"/>
    <w:rsid w:val="094B7B50"/>
    <w:rsid w:val="09505127"/>
    <w:rsid w:val="09507B23"/>
    <w:rsid w:val="095161D6"/>
    <w:rsid w:val="095216D9"/>
    <w:rsid w:val="09523C57"/>
    <w:rsid w:val="0953715A"/>
    <w:rsid w:val="09572537"/>
    <w:rsid w:val="09584573"/>
    <w:rsid w:val="09596E65"/>
    <w:rsid w:val="09662837"/>
    <w:rsid w:val="096F1009"/>
    <w:rsid w:val="0971450C"/>
    <w:rsid w:val="09755111"/>
    <w:rsid w:val="097C3813"/>
    <w:rsid w:val="097D073B"/>
    <w:rsid w:val="097D333D"/>
    <w:rsid w:val="09886330"/>
    <w:rsid w:val="098B72B4"/>
    <w:rsid w:val="098B7457"/>
    <w:rsid w:val="098C6D20"/>
    <w:rsid w:val="098E05FF"/>
    <w:rsid w:val="098F13E3"/>
    <w:rsid w:val="098F5CBA"/>
    <w:rsid w:val="09915AF0"/>
    <w:rsid w:val="09994E74"/>
    <w:rsid w:val="099955DF"/>
    <w:rsid w:val="099C2DD2"/>
    <w:rsid w:val="09A00BB8"/>
    <w:rsid w:val="09A1725A"/>
    <w:rsid w:val="09A34935"/>
    <w:rsid w:val="09AA6B0A"/>
    <w:rsid w:val="09AC306C"/>
    <w:rsid w:val="09AD29F2"/>
    <w:rsid w:val="09B3423D"/>
    <w:rsid w:val="09B44716"/>
    <w:rsid w:val="09B7601C"/>
    <w:rsid w:val="09BC4A90"/>
    <w:rsid w:val="09C15590"/>
    <w:rsid w:val="09C40713"/>
    <w:rsid w:val="09D0206C"/>
    <w:rsid w:val="09D92CC0"/>
    <w:rsid w:val="09DB3BBB"/>
    <w:rsid w:val="09E12241"/>
    <w:rsid w:val="09E61F4C"/>
    <w:rsid w:val="09E76094"/>
    <w:rsid w:val="09E858E4"/>
    <w:rsid w:val="09ED6BFD"/>
    <w:rsid w:val="09F044C6"/>
    <w:rsid w:val="09F77C68"/>
    <w:rsid w:val="09FF5075"/>
    <w:rsid w:val="0A0068E2"/>
    <w:rsid w:val="0A0861E8"/>
    <w:rsid w:val="0A087F03"/>
    <w:rsid w:val="0A0D238C"/>
    <w:rsid w:val="0A1246B0"/>
    <w:rsid w:val="0A157843"/>
    <w:rsid w:val="0A1744CE"/>
    <w:rsid w:val="0A1914A2"/>
    <w:rsid w:val="0A227626"/>
    <w:rsid w:val="0A2F5774"/>
    <w:rsid w:val="0A353253"/>
    <w:rsid w:val="0A382368"/>
    <w:rsid w:val="0A3864D3"/>
    <w:rsid w:val="0A3B3BD5"/>
    <w:rsid w:val="0A410AF1"/>
    <w:rsid w:val="0A434865"/>
    <w:rsid w:val="0A475469"/>
    <w:rsid w:val="0A476700"/>
    <w:rsid w:val="0A482EEB"/>
    <w:rsid w:val="0A4B71B7"/>
    <w:rsid w:val="0A55648D"/>
    <w:rsid w:val="0A565A84"/>
    <w:rsid w:val="0A5B7CB7"/>
    <w:rsid w:val="0A5E78F5"/>
    <w:rsid w:val="0A600591"/>
    <w:rsid w:val="0A61047E"/>
    <w:rsid w:val="0A627318"/>
    <w:rsid w:val="0A6A4724"/>
    <w:rsid w:val="0A724A15"/>
    <w:rsid w:val="0A775443"/>
    <w:rsid w:val="0A80214B"/>
    <w:rsid w:val="0A8315F6"/>
    <w:rsid w:val="0A8452CE"/>
    <w:rsid w:val="0A887D85"/>
    <w:rsid w:val="0A891756"/>
    <w:rsid w:val="0A8F5768"/>
    <w:rsid w:val="0A970571"/>
    <w:rsid w:val="0A983F6E"/>
    <w:rsid w:val="0A9877F2"/>
    <w:rsid w:val="0A9A2CF5"/>
    <w:rsid w:val="0AB4389F"/>
    <w:rsid w:val="0ABB79A6"/>
    <w:rsid w:val="0ABD69A5"/>
    <w:rsid w:val="0ABE1C3D"/>
    <w:rsid w:val="0ABF1C30"/>
    <w:rsid w:val="0AD46AAF"/>
    <w:rsid w:val="0ADD6C61"/>
    <w:rsid w:val="0ADF138F"/>
    <w:rsid w:val="0AE443EE"/>
    <w:rsid w:val="0AE608F7"/>
    <w:rsid w:val="0AE84FF2"/>
    <w:rsid w:val="0AEB5F77"/>
    <w:rsid w:val="0AEF0A53"/>
    <w:rsid w:val="0AF44688"/>
    <w:rsid w:val="0AF5210A"/>
    <w:rsid w:val="0AF67B8B"/>
    <w:rsid w:val="0AFE2A19"/>
    <w:rsid w:val="0B015E43"/>
    <w:rsid w:val="0B02681E"/>
    <w:rsid w:val="0B064214"/>
    <w:rsid w:val="0B113DED"/>
    <w:rsid w:val="0B1161B7"/>
    <w:rsid w:val="0B1B4E9F"/>
    <w:rsid w:val="0B1F7EE8"/>
    <w:rsid w:val="0B270C9F"/>
    <w:rsid w:val="0B274C3F"/>
    <w:rsid w:val="0B2C2F07"/>
    <w:rsid w:val="0B3E74B3"/>
    <w:rsid w:val="0B491B94"/>
    <w:rsid w:val="0B497F1C"/>
    <w:rsid w:val="0B4A7E73"/>
    <w:rsid w:val="0B4B540D"/>
    <w:rsid w:val="0B4C666A"/>
    <w:rsid w:val="0B505F47"/>
    <w:rsid w:val="0B5162FC"/>
    <w:rsid w:val="0B5750F6"/>
    <w:rsid w:val="0B5F3D37"/>
    <w:rsid w:val="0B670BE4"/>
    <w:rsid w:val="0B6F3FD2"/>
    <w:rsid w:val="0B7C5866"/>
    <w:rsid w:val="0B830DFC"/>
    <w:rsid w:val="0B877EEF"/>
    <w:rsid w:val="0B88F695"/>
    <w:rsid w:val="0B8A6D45"/>
    <w:rsid w:val="0B8B2560"/>
    <w:rsid w:val="0B8C1641"/>
    <w:rsid w:val="0B8C17B4"/>
    <w:rsid w:val="0B8C1B1F"/>
    <w:rsid w:val="0B8E1003"/>
    <w:rsid w:val="0B921C08"/>
    <w:rsid w:val="0B93FCE8"/>
    <w:rsid w:val="0BA176CD"/>
    <w:rsid w:val="0BAA0D35"/>
    <w:rsid w:val="0BAB2B32"/>
    <w:rsid w:val="0BB124BD"/>
    <w:rsid w:val="0BB94D47"/>
    <w:rsid w:val="0BBC7130"/>
    <w:rsid w:val="0BC31EAD"/>
    <w:rsid w:val="0BC649E1"/>
    <w:rsid w:val="0BCD088E"/>
    <w:rsid w:val="0BCE5224"/>
    <w:rsid w:val="0BD229F1"/>
    <w:rsid w:val="0BD64C7B"/>
    <w:rsid w:val="0BD74E46"/>
    <w:rsid w:val="0BDE6804"/>
    <w:rsid w:val="0BE1520A"/>
    <w:rsid w:val="0BE44893"/>
    <w:rsid w:val="0BE61692"/>
    <w:rsid w:val="0BE84B95"/>
    <w:rsid w:val="0BEF678A"/>
    <w:rsid w:val="0BF30683"/>
    <w:rsid w:val="0BF751B0"/>
    <w:rsid w:val="0BF86D50"/>
    <w:rsid w:val="0BF873AE"/>
    <w:rsid w:val="0BFB21CE"/>
    <w:rsid w:val="0C005C1B"/>
    <w:rsid w:val="0C040C3B"/>
    <w:rsid w:val="0C087501"/>
    <w:rsid w:val="0C0B3E50"/>
    <w:rsid w:val="0C0D15D3"/>
    <w:rsid w:val="0C0F5769"/>
    <w:rsid w:val="0C152AEE"/>
    <w:rsid w:val="0C160E49"/>
    <w:rsid w:val="0C1E09B1"/>
    <w:rsid w:val="0C2A5CE1"/>
    <w:rsid w:val="0C2C7C08"/>
    <w:rsid w:val="0C2E598F"/>
    <w:rsid w:val="0C2E7888"/>
    <w:rsid w:val="0C2F0B8D"/>
    <w:rsid w:val="0C2F6EBE"/>
    <w:rsid w:val="0C302D8B"/>
    <w:rsid w:val="0C30660E"/>
    <w:rsid w:val="0C321B11"/>
    <w:rsid w:val="0C40074F"/>
    <w:rsid w:val="0C423F13"/>
    <w:rsid w:val="0C4360FE"/>
    <w:rsid w:val="0C444E6A"/>
    <w:rsid w:val="0C4729B0"/>
    <w:rsid w:val="0C476233"/>
    <w:rsid w:val="0C4D5BBC"/>
    <w:rsid w:val="0C537AC8"/>
    <w:rsid w:val="0C577332"/>
    <w:rsid w:val="0C590754"/>
    <w:rsid w:val="0C610FDC"/>
    <w:rsid w:val="0C61637C"/>
    <w:rsid w:val="0C6329E2"/>
    <w:rsid w:val="0C691C6B"/>
    <w:rsid w:val="0C6C2BF0"/>
    <w:rsid w:val="0C6C49EE"/>
    <w:rsid w:val="0C7C0C8C"/>
    <w:rsid w:val="0C7D1487"/>
    <w:rsid w:val="0C807692"/>
    <w:rsid w:val="0C853B1A"/>
    <w:rsid w:val="0C8A5A23"/>
    <w:rsid w:val="0C965FB3"/>
    <w:rsid w:val="0C973E37"/>
    <w:rsid w:val="0CA02AC4"/>
    <w:rsid w:val="0CA269A6"/>
    <w:rsid w:val="0CA91BE5"/>
    <w:rsid w:val="0CAA6B80"/>
    <w:rsid w:val="0CAC7F34"/>
    <w:rsid w:val="0CB04057"/>
    <w:rsid w:val="0CB64708"/>
    <w:rsid w:val="0CB72376"/>
    <w:rsid w:val="0CB819EA"/>
    <w:rsid w:val="0CD56D9C"/>
    <w:rsid w:val="0CDA70C3"/>
    <w:rsid w:val="0CE360B2"/>
    <w:rsid w:val="0CEAF57A"/>
    <w:rsid w:val="0CED2245"/>
    <w:rsid w:val="0CF43A34"/>
    <w:rsid w:val="0CF550D2"/>
    <w:rsid w:val="0CF672D1"/>
    <w:rsid w:val="0CF90255"/>
    <w:rsid w:val="0CFA5ED0"/>
    <w:rsid w:val="0CFB3759"/>
    <w:rsid w:val="0D007BE0"/>
    <w:rsid w:val="0D041C65"/>
    <w:rsid w:val="0D054785"/>
    <w:rsid w:val="0D09210E"/>
    <w:rsid w:val="0D177230"/>
    <w:rsid w:val="0D1E1658"/>
    <w:rsid w:val="0D246B1B"/>
    <w:rsid w:val="0D2E13F4"/>
    <w:rsid w:val="0D303B91"/>
    <w:rsid w:val="0D303D2E"/>
    <w:rsid w:val="0D341C3D"/>
    <w:rsid w:val="0D356FC6"/>
    <w:rsid w:val="0D416C6F"/>
    <w:rsid w:val="0D416E24"/>
    <w:rsid w:val="0D46489F"/>
    <w:rsid w:val="0D4A1729"/>
    <w:rsid w:val="0D4B549C"/>
    <w:rsid w:val="0D4C2D20"/>
    <w:rsid w:val="0D4D5AE7"/>
    <w:rsid w:val="0D4F31E3"/>
    <w:rsid w:val="0D511890"/>
    <w:rsid w:val="0D5166E6"/>
    <w:rsid w:val="0D531BA4"/>
    <w:rsid w:val="0D55096F"/>
    <w:rsid w:val="0D627C85"/>
    <w:rsid w:val="0D643188"/>
    <w:rsid w:val="0D670889"/>
    <w:rsid w:val="0D6B3897"/>
    <w:rsid w:val="0D6E60A1"/>
    <w:rsid w:val="0D7978AA"/>
    <w:rsid w:val="0D7D4536"/>
    <w:rsid w:val="0D8301BA"/>
    <w:rsid w:val="0D8323B8"/>
    <w:rsid w:val="0D842F0F"/>
    <w:rsid w:val="0D870DBE"/>
    <w:rsid w:val="0D8D29CB"/>
    <w:rsid w:val="0D8F1A4E"/>
    <w:rsid w:val="0D951880"/>
    <w:rsid w:val="0D99235D"/>
    <w:rsid w:val="0D9943AF"/>
    <w:rsid w:val="0D9D3D6A"/>
    <w:rsid w:val="0DA701FE"/>
    <w:rsid w:val="0DAA4593"/>
    <w:rsid w:val="0DAB10A3"/>
    <w:rsid w:val="0DB01F82"/>
    <w:rsid w:val="0DB12FBD"/>
    <w:rsid w:val="0DB7190D"/>
    <w:rsid w:val="0DBD709A"/>
    <w:rsid w:val="0DC40C23"/>
    <w:rsid w:val="0DCD49A0"/>
    <w:rsid w:val="0DD002B9"/>
    <w:rsid w:val="0DD34156"/>
    <w:rsid w:val="0DD6470C"/>
    <w:rsid w:val="0DDC300B"/>
    <w:rsid w:val="0DDF724E"/>
    <w:rsid w:val="0DE26FC7"/>
    <w:rsid w:val="0DEE3ED5"/>
    <w:rsid w:val="0DF02D6C"/>
    <w:rsid w:val="0DF70178"/>
    <w:rsid w:val="0DFB0B11"/>
    <w:rsid w:val="0DFE099F"/>
    <w:rsid w:val="0E0371A7"/>
    <w:rsid w:val="0E080413"/>
    <w:rsid w:val="0E121122"/>
    <w:rsid w:val="0E1651AA"/>
    <w:rsid w:val="0E252EDB"/>
    <w:rsid w:val="0E317059"/>
    <w:rsid w:val="0E336CD8"/>
    <w:rsid w:val="0E342556"/>
    <w:rsid w:val="0E356120"/>
    <w:rsid w:val="0E3756DF"/>
    <w:rsid w:val="0E3F056D"/>
    <w:rsid w:val="0E3F1A4C"/>
    <w:rsid w:val="0E4272F3"/>
    <w:rsid w:val="0E4A4599"/>
    <w:rsid w:val="0E4D3106"/>
    <w:rsid w:val="0E4F6609"/>
    <w:rsid w:val="0E562298"/>
    <w:rsid w:val="0E574D87"/>
    <w:rsid w:val="0E591116"/>
    <w:rsid w:val="0E5F28B6"/>
    <w:rsid w:val="0E611DA6"/>
    <w:rsid w:val="0E6F3E7F"/>
    <w:rsid w:val="0E793816"/>
    <w:rsid w:val="0E8531AD"/>
    <w:rsid w:val="0E887969"/>
    <w:rsid w:val="0E8A2F6A"/>
    <w:rsid w:val="0E8C646E"/>
    <w:rsid w:val="0E9D794C"/>
    <w:rsid w:val="0EA07AC5"/>
    <w:rsid w:val="0EA231CE"/>
    <w:rsid w:val="0EA91E84"/>
    <w:rsid w:val="0EAD12BB"/>
    <w:rsid w:val="0EAE0E4B"/>
    <w:rsid w:val="0EB51830"/>
    <w:rsid w:val="0EB63A2E"/>
    <w:rsid w:val="0EBC4F8B"/>
    <w:rsid w:val="0EBD4EAD"/>
    <w:rsid w:val="0EC252C3"/>
    <w:rsid w:val="0ECA5F52"/>
    <w:rsid w:val="0ECD1834"/>
    <w:rsid w:val="0ED2335F"/>
    <w:rsid w:val="0ED94142"/>
    <w:rsid w:val="0EEB3D71"/>
    <w:rsid w:val="0EF10390"/>
    <w:rsid w:val="0EF37117"/>
    <w:rsid w:val="0EF80C90"/>
    <w:rsid w:val="0EF95105"/>
    <w:rsid w:val="0EFE2F29"/>
    <w:rsid w:val="0F0260AC"/>
    <w:rsid w:val="0F032819"/>
    <w:rsid w:val="0F053294"/>
    <w:rsid w:val="0F0D000E"/>
    <w:rsid w:val="0F0F2FF0"/>
    <w:rsid w:val="0F0F5662"/>
    <w:rsid w:val="0F1108C5"/>
    <w:rsid w:val="0F1572CB"/>
    <w:rsid w:val="0F1D3AAA"/>
    <w:rsid w:val="0F1F4D44"/>
    <w:rsid w:val="0F21C55E"/>
    <w:rsid w:val="0F21E3BD"/>
    <w:rsid w:val="0F221086"/>
    <w:rsid w:val="0F244062"/>
    <w:rsid w:val="0F296FB7"/>
    <w:rsid w:val="0F3477A2"/>
    <w:rsid w:val="0F411414"/>
    <w:rsid w:val="0F41676A"/>
    <w:rsid w:val="0F5500B5"/>
    <w:rsid w:val="0F56123D"/>
    <w:rsid w:val="0F5622D1"/>
    <w:rsid w:val="0F5B6472"/>
    <w:rsid w:val="0F5C7A3F"/>
    <w:rsid w:val="0F601A19"/>
    <w:rsid w:val="0F652790"/>
    <w:rsid w:val="0F667496"/>
    <w:rsid w:val="0F6812D4"/>
    <w:rsid w:val="0F6A6824"/>
    <w:rsid w:val="0F6DEFCA"/>
    <w:rsid w:val="0F70056F"/>
    <w:rsid w:val="0F7122EA"/>
    <w:rsid w:val="0F737665"/>
    <w:rsid w:val="0F78136C"/>
    <w:rsid w:val="0F7A2A93"/>
    <w:rsid w:val="0F7B3941"/>
    <w:rsid w:val="0F9878A4"/>
    <w:rsid w:val="0F9A2241"/>
    <w:rsid w:val="0FA04614"/>
    <w:rsid w:val="0FA976D2"/>
    <w:rsid w:val="0FAF605E"/>
    <w:rsid w:val="0FB00067"/>
    <w:rsid w:val="0FB51692"/>
    <w:rsid w:val="0FB54297"/>
    <w:rsid w:val="0FB726D8"/>
    <w:rsid w:val="0FB85BDB"/>
    <w:rsid w:val="0FC046F5"/>
    <w:rsid w:val="0FC22C67"/>
    <w:rsid w:val="0FC36F4B"/>
    <w:rsid w:val="0FC419ED"/>
    <w:rsid w:val="0FC84B70"/>
    <w:rsid w:val="0FC95E75"/>
    <w:rsid w:val="0FD63171"/>
    <w:rsid w:val="0FDD12BC"/>
    <w:rsid w:val="0FE96BE2"/>
    <w:rsid w:val="0FF02D9D"/>
    <w:rsid w:val="0FF05D35"/>
    <w:rsid w:val="0FFC1B47"/>
    <w:rsid w:val="0FFF2388"/>
    <w:rsid w:val="10013A51"/>
    <w:rsid w:val="100B325D"/>
    <w:rsid w:val="101504F3"/>
    <w:rsid w:val="10170173"/>
    <w:rsid w:val="101E3381"/>
    <w:rsid w:val="10204305"/>
    <w:rsid w:val="10212EDE"/>
    <w:rsid w:val="102251E7"/>
    <w:rsid w:val="1025656E"/>
    <w:rsid w:val="1026298B"/>
    <w:rsid w:val="10273C90"/>
    <w:rsid w:val="102A2EAE"/>
    <w:rsid w:val="10300D1D"/>
    <w:rsid w:val="1030329B"/>
    <w:rsid w:val="10322021"/>
    <w:rsid w:val="103C5444"/>
    <w:rsid w:val="104457BF"/>
    <w:rsid w:val="104963C3"/>
    <w:rsid w:val="104A3FCB"/>
    <w:rsid w:val="10517053"/>
    <w:rsid w:val="105421D6"/>
    <w:rsid w:val="10560F5C"/>
    <w:rsid w:val="105E23A9"/>
    <w:rsid w:val="105F0EF9"/>
    <w:rsid w:val="1060186C"/>
    <w:rsid w:val="10610E39"/>
    <w:rsid w:val="106711F7"/>
    <w:rsid w:val="106F023F"/>
    <w:rsid w:val="106F4084"/>
    <w:rsid w:val="10725009"/>
    <w:rsid w:val="10732A8B"/>
    <w:rsid w:val="10776212"/>
    <w:rsid w:val="107B371A"/>
    <w:rsid w:val="107F46CC"/>
    <w:rsid w:val="10817822"/>
    <w:rsid w:val="108252A3"/>
    <w:rsid w:val="108C1CE9"/>
    <w:rsid w:val="109D16D1"/>
    <w:rsid w:val="109D627B"/>
    <w:rsid w:val="10A969F8"/>
    <w:rsid w:val="10AB6468"/>
    <w:rsid w:val="10AD5912"/>
    <w:rsid w:val="10B028F0"/>
    <w:rsid w:val="10B32F74"/>
    <w:rsid w:val="10B50F76"/>
    <w:rsid w:val="10B84498"/>
    <w:rsid w:val="10BB2E7F"/>
    <w:rsid w:val="10BE3E04"/>
    <w:rsid w:val="10C02B8A"/>
    <w:rsid w:val="10C07307"/>
    <w:rsid w:val="10C33B0F"/>
    <w:rsid w:val="10C36D4A"/>
    <w:rsid w:val="10C45EC2"/>
    <w:rsid w:val="10C95A18"/>
    <w:rsid w:val="10CB1539"/>
    <w:rsid w:val="10CD441E"/>
    <w:rsid w:val="10CF03ED"/>
    <w:rsid w:val="10E42958"/>
    <w:rsid w:val="10E53A8D"/>
    <w:rsid w:val="11021DF7"/>
    <w:rsid w:val="11026C2E"/>
    <w:rsid w:val="110348BC"/>
    <w:rsid w:val="1107074A"/>
    <w:rsid w:val="110E3332"/>
    <w:rsid w:val="11111D09"/>
    <w:rsid w:val="11113EA3"/>
    <w:rsid w:val="11154812"/>
    <w:rsid w:val="111C7A20"/>
    <w:rsid w:val="111D76A0"/>
    <w:rsid w:val="111FFA90"/>
    <w:rsid w:val="112360E2"/>
    <w:rsid w:val="112B01CB"/>
    <w:rsid w:val="113307FA"/>
    <w:rsid w:val="11360C84"/>
    <w:rsid w:val="113F222E"/>
    <w:rsid w:val="114378E0"/>
    <w:rsid w:val="11483D68"/>
    <w:rsid w:val="114B6D64"/>
    <w:rsid w:val="11501174"/>
    <w:rsid w:val="11635A3D"/>
    <w:rsid w:val="11671EF6"/>
    <w:rsid w:val="11676681"/>
    <w:rsid w:val="117074AB"/>
    <w:rsid w:val="1171712A"/>
    <w:rsid w:val="117236AA"/>
    <w:rsid w:val="117556CB"/>
    <w:rsid w:val="118328C8"/>
    <w:rsid w:val="1186118F"/>
    <w:rsid w:val="118B58B0"/>
    <w:rsid w:val="118C5756"/>
    <w:rsid w:val="118C679D"/>
    <w:rsid w:val="119463E5"/>
    <w:rsid w:val="11953E67"/>
    <w:rsid w:val="11997B02"/>
    <w:rsid w:val="119A0B4E"/>
    <w:rsid w:val="11A256FB"/>
    <w:rsid w:val="11A3317D"/>
    <w:rsid w:val="11AC730F"/>
    <w:rsid w:val="11B17F14"/>
    <w:rsid w:val="11BD75AA"/>
    <w:rsid w:val="11BF2AAD"/>
    <w:rsid w:val="11C336B1"/>
    <w:rsid w:val="11C343A8"/>
    <w:rsid w:val="11CA5F72"/>
    <w:rsid w:val="11CB257E"/>
    <w:rsid w:val="11D2140C"/>
    <w:rsid w:val="11D3329E"/>
    <w:rsid w:val="11D45FB4"/>
    <w:rsid w:val="11E148E9"/>
    <w:rsid w:val="11EE1F77"/>
    <w:rsid w:val="11F47704"/>
    <w:rsid w:val="11F51902"/>
    <w:rsid w:val="11F53491"/>
    <w:rsid w:val="11F755A9"/>
    <w:rsid w:val="11FA7355"/>
    <w:rsid w:val="12000D11"/>
    <w:rsid w:val="1200373F"/>
    <w:rsid w:val="12053745"/>
    <w:rsid w:val="120C2221"/>
    <w:rsid w:val="12111232"/>
    <w:rsid w:val="12116587"/>
    <w:rsid w:val="12142A6E"/>
    <w:rsid w:val="12185560"/>
    <w:rsid w:val="121D73E5"/>
    <w:rsid w:val="12240253"/>
    <w:rsid w:val="12286C59"/>
    <w:rsid w:val="122D30E1"/>
    <w:rsid w:val="12341E8D"/>
    <w:rsid w:val="12365134"/>
    <w:rsid w:val="123E365A"/>
    <w:rsid w:val="12410EFF"/>
    <w:rsid w:val="12411D81"/>
    <w:rsid w:val="1241385E"/>
    <w:rsid w:val="124243FD"/>
    <w:rsid w:val="12460407"/>
    <w:rsid w:val="124B7969"/>
    <w:rsid w:val="124EDB2C"/>
    <w:rsid w:val="12512193"/>
    <w:rsid w:val="125F042F"/>
    <w:rsid w:val="126331AD"/>
    <w:rsid w:val="126564CC"/>
    <w:rsid w:val="12677C09"/>
    <w:rsid w:val="126A2A7E"/>
    <w:rsid w:val="126D60C9"/>
    <w:rsid w:val="126F15CC"/>
    <w:rsid w:val="12705C37"/>
    <w:rsid w:val="127323FE"/>
    <w:rsid w:val="12737FD2"/>
    <w:rsid w:val="127A0C92"/>
    <w:rsid w:val="127C3A5A"/>
    <w:rsid w:val="127E3DE4"/>
    <w:rsid w:val="128D43FF"/>
    <w:rsid w:val="12922A85"/>
    <w:rsid w:val="129569F8"/>
    <w:rsid w:val="12A22F6F"/>
    <w:rsid w:val="12A83E03"/>
    <w:rsid w:val="12AC266A"/>
    <w:rsid w:val="12B16406"/>
    <w:rsid w:val="12BB03C6"/>
    <w:rsid w:val="12C71D7A"/>
    <w:rsid w:val="12DABFA0"/>
    <w:rsid w:val="12DC417E"/>
    <w:rsid w:val="12DC7A01"/>
    <w:rsid w:val="12EE06F0"/>
    <w:rsid w:val="12F010AB"/>
    <w:rsid w:val="12F06155"/>
    <w:rsid w:val="12F7602D"/>
    <w:rsid w:val="12FB6FCB"/>
    <w:rsid w:val="1300693C"/>
    <w:rsid w:val="13010F42"/>
    <w:rsid w:val="13041ABF"/>
    <w:rsid w:val="13057541"/>
    <w:rsid w:val="13083F92"/>
    <w:rsid w:val="130866EA"/>
    <w:rsid w:val="130E23CF"/>
    <w:rsid w:val="13116BD7"/>
    <w:rsid w:val="131A74E6"/>
    <w:rsid w:val="1322106F"/>
    <w:rsid w:val="1323348A"/>
    <w:rsid w:val="13244572"/>
    <w:rsid w:val="132809FA"/>
    <w:rsid w:val="132F6187"/>
    <w:rsid w:val="13386268"/>
    <w:rsid w:val="1350E584"/>
    <w:rsid w:val="135400EC"/>
    <w:rsid w:val="13553BD1"/>
    <w:rsid w:val="1357734B"/>
    <w:rsid w:val="13584DCD"/>
    <w:rsid w:val="1359284E"/>
    <w:rsid w:val="135D4C39"/>
    <w:rsid w:val="13692AE8"/>
    <w:rsid w:val="136A056A"/>
    <w:rsid w:val="136A7FCD"/>
    <w:rsid w:val="136C01EA"/>
    <w:rsid w:val="13773FFC"/>
    <w:rsid w:val="13783CA1"/>
    <w:rsid w:val="137B2C9D"/>
    <w:rsid w:val="13876815"/>
    <w:rsid w:val="138C2C9D"/>
    <w:rsid w:val="138E5C91"/>
    <w:rsid w:val="139748B1"/>
    <w:rsid w:val="13995335"/>
    <w:rsid w:val="13A72BAB"/>
    <w:rsid w:val="13A938D2"/>
    <w:rsid w:val="13A94BE6"/>
    <w:rsid w:val="13AB3552"/>
    <w:rsid w:val="13BB2232"/>
    <w:rsid w:val="13BD2572"/>
    <w:rsid w:val="13C034F7"/>
    <w:rsid w:val="13C156F5"/>
    <w:rsid w:val="13C5585C"/>
    <w:rsid w:val="13C61B7D"/>
    <w:rsid w:val="13C72E82"/>
    <w:rsid w:val="13C7559C"/>
    <w:rsid w:val="13CC730A"/>
    <w:rsid w:val="13D92D9C"/>
    <w:rsid w:val="13E52432"/>
    <w:rsid w:val="14013F61"/>
    <w:rsid w:val="140219E2"/>
    <w:rsid w:val="14025795"/>
    <w:rsid w:val="140F6AF9"/>
    <w:rsid w:val="14131750"/>
    <w:rsid w:val="14143EEB"/>
    <w:rsid w:val="14150A03"/>
    <w:rsid w:val="14170683"/>
    <w:rsid w:val="141C258C"/>
    <w:rsid w:val="14231F17"/>
    <w:rsid w:val="1425541A"/>
    <w:rsid w:val="142B7323"/>
    <w:rsid w:val="144C30DB"/>
    <w:rsid w:val="1457788F"/>
    <w:rsid w:val="145863C7"/>
    <w:rsid w:val="146347C7"/>
    <w:rsid w:val="14747826"/>
    <w:rsid w:val="147527BF"/>
    <w:rsid w:val="147C16AC"/>
    <w:rsid w:val="14896EFC"/>
    <w:rsid w:val="148A3231"/>
    <w:rsid w:val="149F72E2"/>
    <w:rsid w:val="14A127E5"/>
    <w:rsid w:val="14AA3E63"/>
    <w:rsid w:val="14AF2CCE"/>
    <w:rsid w:val="14B33D84"/>
    <w:rsid w:val="14B7657F"/>
    <w:rsid w:val="14CC6EAC"/>
    <w:rsid w:val="14D13334"/>
    <w:rsid w:val="14D91EFB"/>
    <w:rsid w:val="14D961C2"/>
    <w:rsid w:val="14DE621D"/>
    <w:rsid w:val="14E4477F"/>
    <w:rsid w:val="14E75241"/>
    <w:rsid w:val="14EC447B"/>
    <w:rsid w:val="14EF3359"/>
    <w:rsid w:val="14F00C9E"/>
    <w:rsid w:val="14F03BE9"/>
    <w:rsid w:val="14F072B7"/>
    <w:rsid w:val="14F13869"/>
    <w:rsid w:val="14F64B10"/>
    <w:rsid w:val="14F80B71"/>
    <w:rsid w:val="14F879AB"/>
    <w:rsid w:val="15034E08"/>
    <w:rsid w:val="15065D8D"/>
    <w:rsid w:val="1508348E"/>
    <w:rsid w:val="150C16A4"/>
    <w:rsid w:val="150D3199"/>
    <w:rsid w:val="15154D22"/>
    <w:rsid w:val="15193728"/>
    <w:rsid w:val="151C63E2"/>
    <w:rsid w:val="15232E3B"/>
    <w:rsid w:val="152C0FBD"/>
    <w:rsid w:val="152F3282"/>
    <w:rsid w:val="15420170"/>
    <w:rsid w:val="15420A13"/>
    <w:rsid w:val="154C263F"/>
    <w:rsid w:val="154DEEA4"/>
    <w:rsid w:val="154E6181"/>
    <w:rsid w:val="15512989"/>
    <w:rsid w:val="1555358D"/>
    <w:rsid w:val="15574892"/>
    <w:rsid w:val="156206A5"/>
    <w:rsid w:val="156C31B3"/>
    <w:rsid w:val="156E1E72"/>
    <w:rsid w:val="15763AC2"/>
    <w:rsid w:val="15794A47"/>
    <w:rsid w:val="157E0ECE"/>
    <w:rsid w:val="15816453"/>
    <w:rsid w:val="1582711A"/>
    <w:rsid w:val="158B01E4"/>
    <w:rsid w:val="15954377"/>
    <w:rsid w:val="159752DE"/>
    <w:rsid w:val="159D7497"/>
    <w:rsid w:val="159F14ED"/>
    <w:rsid w:val="15A44D56"/>
    <w:rsid w:val="15A9DAD0"/>
    <w:rsid w:val="15AC781F"/>
    <w:rsid w:val="15B055A3"/>
    <w:rsid w:val="15B624A2"/>
    <w:rsid w:val="15BD1CB8"/>
    <w:rsid w:val="15BD469A"/>
    <w:rsid w:val="15BD7BC5"/>
    <w:rsid w:val="15BE773A"/>
    <w:rsid w:val="15C23F41"/>
    <w:rsid w:val="15C37718"/>
    <w:rsid w:val="15C47445"/>
    <w:rsid w:val="15C570C4"/>
    <w:rsid w:val="15C8445C"/>
    <w:rsid w:val="15CB4C17"/>
    <w:rsid w:val="15CF79D4"/>
    <w:rsid w:val="15DD4A79"/>
    <w:rsid w:val="15DF7B3C"/>
    <w:rsid w:val="15E20BF3"/>
    <w:rsid w:val="15E47D74"/>
    <w:rsid w:val="15E9057E"/>
    <w:rsid w:val="15F1216D"/>
    <w:rsid w:val="15F75724"/>
    <w:rsid w:val="15FE0523"/>
    <w:rsid w:val="16021A7C"/>
    <w:rsid w:val="161426C7"/>
    <w:rsid w:val="16142713"/>
    <w:rsid w:val="16184950"/>
    <w:rsid w:val="16196B4E"/>
    <w:rsid w:val="161A7E53"/>
    <w:rsid w:val="161F0A58"/>
    <w:rsid w:val="161F72FD"/>
    <w:rsid w:val="16234418"/>
    <w:rsid w:val="162B20DB"/>
    <w:rsid w:val="163347BC"/>
    <w:rsid w:val="163376F8"/>
    <w:rsid w:val="16343DB8"/>
    <w:rsid w:val="16363332"/>
    <w:rsid w:val="16371982"/>
    <w:rsid w:val="163A34D9"/>
    <w:rsid w:val="16415B87"/>
    <w:rsid w:val="16436C21"/>
    <w:rsid w:val="164A2BA1"/>
    <w:rsid w:val="164A7C92"/>
    <w:rsid w:val="16505175"/>
    <w:rsid w:val="165101BC"/>
    <w:rsid w:val="16526560"/>
    <w:rsid w:val="16571DC8"/>
    <w:rsid w:val="165D1EF2"/>
    <w:rsid w:val="166242C9"/>
    <w:rsid w:val="1666025D"/>
    <w:rsid w:val="166A350D"/>
    <w:rsid w:val="166C29AE"/>
    <w:rsid w:val="166E657F"/>
    <w:rsid w:val="1670755D"/>
    <w:rsid w:val="167308AC"/>
    <w:rsid w:val="16745A13"/>
    <w:rsid w:val="1677276B"/>
    <w:rsid w:val="167A5BE3"/>
    <w:rsid w:val="167E20F6"/>
    <w:rsid w:val="168077F8"/>
    <w:rsid w:val="168241F9"/>
    <w:rsid w:val="16864F84"/>
    <w:rsid w:val="168B3F87"/>
    <w:rsid w:val="16907755"/>
    <w:rsid w:val="169239A1"/>
    <w:rsid w:val="16972CA0"/>
    <w:rsid w:val="16A05B2E"/>
    <w:rsid w:val="16A40CB1"/>
    <w:rsid w:val="16A776B7"/>
    <w:rsid w:val="16AA063C"/>
    <w:rsid w:val="16AC3B3F"/>
    <w:rsid w:val="16B754B6"/>
    <w:rsid w:val="16BA07AA"/>
    <w:rsid w:val="16BC793D"/>
    <w:rsid w:val="16C04307"/>
    <w:rsid w:val="16C31547"/>
    <w:rsid w:val="16DD20EE"/>
    <w:rsid w:val="16E8315C"/>
    <w:rsid w:val="16EA3203"/>
    <w:rsid w:val="16FC29C4"/>
    <w:rsid w:val="16FD0446"/>
    <w:rsid w:val="1703785A"/>
    <w:rsid w:val="17045852"/>
    <w:rsid w:val="17084259"/>
    <w:rsid w:val="17155AED"/>
    <w:rsid w:val="17157CEB"/>
    <w:rsid w:val="17242614"/>
    <w:rsid w:val="17244BCB"/>
    <w:rsid w:val="17263809"/>
    <w:rsid w:val="172E5E61"/>
    <w:rsid w:val="17322D88"/>
    <w:rsid w:val="17376447"/>
    <w:rsid w:val="1744663C"/>
    <w:rsid w:val="174C3557"/>
    <w:rsid w:val="17504FE0"/>
    <w:rsid w:val="17573FD8"/>
    <w:rsid w:val="175977D3"/>
    <w:rsid w:val="175D5335"/>
    <w:rsid w:val="175E1400"/>
    <w:rsid w:val="17672074"/>
    <w:rsid w:val="17725E86"/>
    <w:rsid w:val="17741389"/>
    <w:rsid w:val="17787D90"/>
    <w:rsid w:val="177F3489"/>
    <w:rsid w:val="17840515"/>
    <w:rsid w:val="178914AD"/>
    <w:rsid w:val="178A7F7B"/>
    <w:rsid w:val="17994B59"/>
    <w:rsid w:val="179B1249"/>
    <w:rsid w:val="17A93DE2"/>
    <w:rsid w:val="17AA44AA"/>
    <w:rsid w:val="17B0376D"/>
    <w:rsid w:val="17B409F1"/>
    <w:rsid w:val="17BB757F"/>
    <w:rsid w:val="17BD1490"/>
    <w:rsid w:val="17BE4C81"/>
    <w:rsid w:val="17C23687"/>
    <w:rsid w:val="17C308D1"/>
    <w:rsid w:val="17C470BC"/>
    <w:rsid w:val="17C62542"/>
    <w:rsid w:val="17CD008E"/>
    <w:rsid w:val="17DE2FB7"/>
    <w:rsid w:val="17E3163D"/>
    <w:rsid w:val="17E72553"/>
    <w:rsid w:val="17EC1FB0"/>
    <w:rsid w:val="17ED1F4D"/>
    <w:rsid w:val="17EF5450"/>
    <w:rsid w:val="17F21C58"/>
    <w:rsid w:val="17F263D4"/>
    <w:rsid w:val="17F324AA"/>
    <w:rsid w:val="17FE5A6A"/>
    <w:rsid w:val="1806208F"/>
    <w:rsid w:val="180A69D2"/>
    <w:rsid w:val="180D3B06"/>
    <w:rsid w:val="180D4CD7"/>
    <w:rsid w:val="181347CA"/>
    <w:rsid w:val="181A38F5"/>
    <w:rsid w:val="182C2E31"/>
    <w:rsid w:val="183124A5"/>
    <w:rsid w:val="1835515B"/>
    <w:rsid w:val="1838494B"/>
    <w:rsid w:val="183A5435"/>
    <w:rsid w:val="183F64D4"/>
    <w:rsid w:val="184055B9"/>
    <w:rsid w:val="18427458"/>
    <w:rsid w:val="18471E4C"/>
    <w:rsid w:val="18484BE5"/>
    <w:rsid w:val="18490362"/>
    <w:rsid w:val="18530F92"/>
    <w:rsid w:val="185531BA"/>
    <w:rsid w:val="18565113"/>
    <w:rsid w:val="1862578F"/>
    <w:rsid w:val="18640C92"/>
    <w:rsid w:val="18661881"/>
    <w:rsid w:val="18694035"/>
    <w:rsid w:val="186A2DD3"/>
    <w:rsid w:val="186B609E"/>
    <w:rsid w:val="186C3B20"/>
    <w:rsid w:val="187212AC"/>
    <w:rsid w:val="18725A29"/>
    <w:rsid w:val="187953B4"/>
    <w:rsid w:val="187A1186"/>
    <w:rsid w:val="188AFA91"/>
    <w:rsid w:val="18912A5B"/>
    <w:rsid w:val="189B6BED"/>
    <w:rsid w:val="189E7B72"/>
    <w:rsid w:val="18A516FB"/>
    <w:rsid w:val="18A55883"/>
    <w:rsid w:val="18AB6E88"/>
    <w:rsid w:val="18B43EE8"/>
    <w:rsid w:val="18BB16A1"/>
    <w:rsid w:val="18BD6DA2"/>
    <w:rsid w:val="18BE2398"/>
    <w:rsid w:val="18C035AA"/>
    <w:rsid w:val="18C45F1E"/>
    <w:rsid w:val="18CA565E"/>
    <w:rsid w:val="18CE28C0"/>
    <w:rsid w:val="18CF1CD4"/>
    <w:rsid w:val="18D4224A"/>
    <w:rsid w:val="18D80C51"/>
    <w:rsid w:val="18D90AA6"/>
    <w:rsid w:val="18E015F9"/>
    <w:rsid w:val="18E17362"/>
    <w:rsid w:val="18EB3B07"/>
    <w:rsid w:val="18EC3795"/>
    <w:rsid w:val="18F60201"/>
    <w:rsid w:val="18F71505"/>
    <w:rsid w:val="1906049B"/>
    <w:rsid w:val="1906629D"/>
    <w:rsid w:val="19094BDB"/>
    <w:rsid w:val="190B2724"/>
    <w:rsid w:val="190D42EB"/>
    <w:rsid w:val="19100077"/>
    <w:rsid w:val="1910462E"/>
    <w:rsid w:val="19121BF9"/>
    <w:rsid w:val="19150AB5"/>
    <w:rsid w:val="19173517"/>
    <w:rsid w:val="19173A91"/>
    <w:rsid w:val="191A181F"/>
    <w:rsid w:val="191F64A1"/>
    <w:rsid w:val="192229AF"/>
    <w:rsid w:val="19280238"/>
    <w:rsid w:val="19297756"/>
    <w:rsid w:val="19313C06"/>
    <w:rsid w:val="193E3E78"/>
    <w:rsid w:val="19484788"/>
    <w:rsid w:val="19505417"/>
    <w:rsid w:val="19576FA0"/>
    <w:rsid w:val="195A6A21"/>
    <w:rsid w:val="19632DB3"/>
    <w:rsid w:val="19640835"/>
    <w:rsid w:val="196B01BF"/>
    <w:rsid w:val="19707ECA"/>
    <w:rsid w:val="19744352"/>
    <w:rsid w:val="197874D5"/>
    <w:rsid w:val="19800165"/>
    <w:rsid w:val="19805192"/>
    <w:rsid w:val="19842560"/>
    <w:rsid w:val="1986206E"/>
    <w:rsid w:val="198951F1"/>
    <w:rsid w:val="1998580B"/>
    <w:rsid w:val="199C7AF2"/>
    <w:rsid w:val="19AB02DA"/>
    <w:rsid w:val="19AB17E9"/>
    <w:rsid w:val="19AB5200"/>
    <w:rsid w:val="19B412DF"/>
    <w:rsid w:val="19B4513C"/>
    <w:rsid w:val="19B5733A"/>
    <w:rsid w:val="19B6063F"/>
    <w:rsid w:val="19BB4AC7"/>
    <w:rsid w:val="19BE7EE5"/>
    <w:rsid w:val="19BF34CD"/>
    <w:rsid w:val="19C10BCE"/>
    <w:rsid w:val="19C1481E"/>
    <w:rsid w:val="19C1779A"/>
    <w:rsid w:val="19C47954"/>
    <w:rsid w:val="19CC468D"/>
    <w:rsid w:val="19D8085F"/>
    <w:rsid w:val="19D865F5"/>
    <w:rsid w:val="19DB3612"/>
    <w:rsid w:val="19DE5F80"/>
    <w:rsid w:val="19E07A85"/>
    <w:rsid w:val="19E74548"/>
    <w:rsid w:val="19F151DE"/>
    <w:rsid w:val="19F258DD"/>
    <w:rsid w:val="1A073B05"/>
    <w:rsid w:val="1A0D068F"/>
    <w:rsid w:val="1A10571F"/>
    <w:rsid w:val="1A126EFA"/>
    <w:rsid w:val="1A176155"/>
    <w:rsid w:val="1A192B3F"/>
    <w:rsid w:val="1A1B2562"/>
    <w:rsid w:val="1A2608F3"/>
    <w:rsid w:val="1A295829"/>
    <w:rsid w:val="1A2A56C6"/>
    <w:rsid w:val="1A3E181D"/>
    <w:rsid w:val="1A435CA4"/>
    <w:rsid w:val="1A460E27"/>
    <w:rsid w:val="1A47212C"/>
    <w:rsid w:val="1A495D81"/>
    <w:rsid w:val="1A50276F"/>
    <w:rsid w:val="1A5E1D51"/>
    <w:rsid w:val="1A6320AD"/>
    <w:rsid w:val="1A6516DC"/>
    <w:rsid w:val="1A664293"/>
    <w:rsid w:val="1A6709DF"/>
    <w:rsid w:val="1A700CC5"/>
    <w:rsid w:val="1A761976"/>
    <w:rsid w:val="1A79037D"/>
    <w:rsid w:val="1A7C767F"/>
    <w:rsid w:val="1A7D38A9"/>
    <w:rsid w:val="1A86255D"/>
    <w:rsid w:val="1A8B1FBA"/>
    <w:rsid w:val="1A961EAB"/>
    <w:rsid w:val="1A97792D"/>
    <w:rsid w:val="1A9D1836"/>
    <w:rsid w:val="1AB217DB"/>
    <w:rsid w:val="1AC35944"/>
    <w:rsid w:val="1AC704E3"/>
    <w:rsid w:val="1ACB016B"/>
    <w:rsid w:val="1AD10211"/>
    <w:rsid w:val="1ADC4B9E"/>
    <w:rsid w:val="1ADD2620"/>
    <w:rsid w:val="1AE97E0A"/>
    <w:rsid w:val="1AEA2461"/>
    <w:rsid w:val="1AF46377"/>
    <w:rsid w:val="1AF57CC6"/>
    <w:rsid w:val="1AF63BE2"/>
    <w:rsid w:val="1AFC2ED4"/>
    <w:rsid w:val="1AFF416F"/>
    <w:rsid w:val="1B0C78EB"/>
    <w:rsid w:val="1B0E6672"/>
    <w:rsid w:val="1B14057B"/>
    <w:rsid w:val="1B163A7E"/>
    <w:rsid w:val="1B184A03"/>
    <w:rsid w:val="1B2E42D4"/>
    <w:rsid w:val="1B2F1236"/>
    <w:rsid w:val="1B300E3A"/>
    <w:rsid w:val="1B304B82"/>
    <w:rsid w:val="1B330E9B"/>
    <w:rsid w:val="1B3874B6"/>
    <w:rsid w:val="1B456D19"/>
    <w:rsid w:val="1B4818AB"/>
    <w:rsid w:val="1B50295E"/>
    <w:rsid w:val="1B554868"/>
    <w:rsid w:val="1B574618"/>
    <w:rsid w:val="1B632760"/>
    <w:rsid w:val="1B633B7D"/>
    <w:rsid w:val="1B65531B"/>
    <w:rsid w:val="1B66607E"/>
    <w:rsid w:val="1B672584"/>
    <w:rsid w:val="1B6D2B21"/>
    <w:rsid w:val="1B6F1962"/>
    <w:rsid w:val="1B7802A0"/>
    <w:rsid w:val="1B7D22D7"/>
    <w:rsid w:val="1B7D4727"/>
    <w:rsid w:val="1B853D32"/>
    <w:rsid w:val="1B8F32E2"/>
    <w:rsid w:val="1B91111F"/>
    <w:rsid w:val="1B9158F5"/>
    <w:rsid w:val="1B926FC8"/>
    <w:rsid w:val="1B996256"/>
    <w:rsid w:val="1B9C3AFA"/>
    <w:rsid w:val="1BA63A7D"/>
    <w:rsid w:val="1BA97566"/>
    <w:rsid w:val="1BB9751F"/>
    <w:rsid w:val="1BBA678A"/>
    <w:rsid w:val="1BBD2F92"/>
    <w:rsid w:val="1BBD66E5"/>
    <w:rsid w:val="1BC434B3"/>
    <w:rsid w:val="1BC82E51"/>
    <w:rsid w:val="1BCA4827"/>
    <w:rsid w:val="1BCF0CAE"/>
    <w:rsid w:val="1BD163B0"/>
    <w:rsid w:val="1BD62837"/>
    <w:rsid w:val="1BD81F4D"/>
    <w:rsid w:val="1BDD5A46"/>
    <w:rsid w:val="1BDF2274"/>
    <w:rsid w:val="1BE03147"/>
    <w:rsid w:val="1BE9203B"/>
    <w:rsid w:val="1BEB14AC"/>
    <w:rsid w:val="1BEC6A66"/>
    <w:rsid w:val="1BF87BB9"/>
    <w:rsid w:val="1BFD04F9"/>
    <w:rsid w:val="1BFE5F7A"/>
    <w:rsid w:val="1BFF39FC"/>
    <w:rsid w:val="1C0876C1"/>
    <w:rsid w:val="1C0C002B"/>
    <w:rsid w:val="1C14336E"/>
    <w:rsid w:val="1C1F3F30"/>
    <w:rsid w:val="1C217D49"/>
    <w:rsid w:val="1C220723"/>
    <w:rsid w:val="1C233DD9"/>
    <w:rsid w:val="1C25283A"/>
    <w:rsid w:val="1C2900C3"/>
    <w:rsid w:val="1C307A4E"/>
    <w:rsid w:val="1C3276CE"/>
    <w:rsid w:val="1C3BDF6F"/>
    <w:rsid w:val="1C3E0F62"/>
    <w:rsid w:val="1C4C3AFB"/>
    <w:rsid w:val="1C5046FF"/>
    <w:rsid w:val="1C654729"/>
    <w:rsid w:val="1C6A6617"/>
    <w:rsid w:val="1C6F2DB6"/>
    <w:rsid w:val="1C702122"/>
    <w:rsid w:val="1C7162B9"/>
    <w:rsid w:val="1C7217BC"/>
    <w:rsid w:val="1C7A236C"/>
    <w:rsid w:val="1C7E55CF"/>
    <w:rsid w:val="1C810059"/>
    <w:rsid w:val="1C8D4564"/>
    <w:rsid w:val="1C943EEF"/>
    <w:rsid w:val="1C9706F7"/>
    <w:rsid w:val="1C9E5329"/>
    <w:rsid w:val="1CA41763"/>
    <w:rsid w:val="1CA6321C"/>
    <w:rsid w:val="1CAA6093"/>
    <w:rsid w:val="1CAB5E33"/>
    <w:rsid w:val="1CB67927"/>
    <w:rsid w:val="1CB908AC"/>
    <w:rsid w:val="1CBB3E85"/>
    <w:rsid w:val="1CBC50B4"/>
    <w:rsid w:val="1CBE2FAF"/>
    <w:rsid w:val="1CC73445"/>
    <w:rsid w:val="1CCF3FB4"/>
    <w:rsid w:val="1CD328A7"/>
    <w:rsid w:val="1CD4275A"/>
    <w:rsid w:val="1CD5383D"/>
    <w:rsid w:val="1CD53BD4"/>
    <w:rsid w:val="1CD86F62"/>
    <w:rsid w:val="1CD87093"/>
    <w:rsid w:val="1CDA2465"/>
    <w:rsid w:val="1CDE345E"/>
    <w:rsid w:val="1CE01DF0"/>
    <w:rsid w:val="1CE13FEE"/>
    <w:rsid w:val="1CE819CC"/>
    <w:rsid w:val="1CEA017B"/>
    <w:rsid w:val="1CED2AD2"/>
    <w:rsid w:val="1CED5883"/>
    <w:rsid w:val="1CF33CCA"/>
    <w:rsid w:val="1CF40552"/>
    <w:rsid w:val="1CFB1709"/>
    <w:rsid w:val="1CFD28CA"/>
    <w:rsid w:val="1CFF02CB"/>
    <w:rsid w:val="1D076542"/>
    <w:rsid w:val="1D0953E4"/>
    <w:rsid w:val="1D156539"/>
    <w:rsid w:val="1D1C50CD"/>
    <w:rsid w:val="1D1F37B5"/>
    <w:rsid w:val="1D266CE1"/>
    <w:rsid w:val="1D270A2C"/>
    <w:rsid w:val="1D345FF7"/>
    <w:rsid w:val="1D381849"/>
    <w:rsid w:val="1D392227"/>
    <w:rsid w:val="1D3A3784"/>
    <w:rsid w:val="1D3C4A05"/>
    <w:rsid w:val="1D3F3F3C"/>
    <w:rsid w:val="1D441B15"/>
    <w:rsid w:val="1D4568CB"/>
    <w:rsid w:val="1D4B5C1C"/>
    <w:rsid w:val="1D4C47CF"/>
    <w:rsid w:val="1D4F4780"/>
    <w:rsid w:val="1D5020A4"/>
    <w:rsid w:val="1D505927"/>
    <w:rsid w:val="1D5E0CD8"/>
    <w:rsid w:val="1D635438"/>
    <w:rsid w:val="1D6D7456"/>
    <w:rsid w:val="1D740FDF"/>
    <w:rsid w:val="1D752B34"/>
    <w:rsid w:val="1D7B41ED"/>
    <w:rsid w:val="1D7DB586"/>
    <w:rsid w:val="1D8411E0"/>
    <w:rsid w:val="1D84707B"/>
    <w:rsid w:val="1D854AFC"/>
    <w:rsid w:val="1D8F2E15"/>
    <w:rsid w:val="1D9504FD"/>
    <w:rsid w:val="1D9F5A67"/>
    <w:rsid w:val="1DA50519"/>
    <w:rsid w:val="1DA55031"/>
    <w:rsid w:val="1DA90A2F"/>
    <w:rsid w:val="1DAE3742"/>
    <w:rsid w:val="1DB6658A"/>
    <w:rsid w:val="1DBE1299"/>
    <w:rsid w:val="1DC345E1"/>
    <w:rsid w:val="1DC558E6"/>
    <w:rsid w:val="1DCC2CF2"/>
    <w:rsid w:val="1DCD0BC2"/>
    <w:rsid w:val="1DD4763E"/>
    <w:rsid w:val="1DD55B80"/>
    <w:rsid w:val="1DDA2008"/>
    <w:rsid w:val="1DDA2BED"/>
    <w:rsid w:val="1DDC3DD2"/>
    <w:rsid w:val="1DDD2F8D"/>
    <w:rsid w:val="1DDD518B"/>
    <w:rsid w:val="1DE5266F"/>
    <w:rsid w:val="1DEC6408"/>
    <w:rsid w:val="1DEE0CA9"/>
    <w:rsid w:val="1DF25B6E"/>
    <w:rsid w:val="1DFC3255"/>
    <w:rsid w:val="1E001967"/>
    <w:rsid w:val="1E022354"/>
    <w:rsid w:val="1E027949"/>
    <w:rsid w:val="1E0302A5"/>
    <w:rsid w:val="1E04324C"/>
    <w:rsid w:val="1E0972D4"/>
    <w:rsid w:val="1E0B605A"/>
    <w:rsid w:val="1E0C1CB9"/>
    <w:rsid w:val="1E1430E7"/>
    <w:rsid w:val="1E1643EB"/>
    <w:rsid w:val="1E1665EA"/>
    <w:rsid w:val="1E1B13F5"/>
    <w:rsid w:val="1E1C3D76"/>
    <w:rsid w:val="1E1D4EEC"/>
    <w:rsid w:val="1E1E702B"/>
    <w:rsid w:val="1E1F2EEF"/>
    <w:rsid w:val="1E2118ED"/>
    <w:rsid w:val="1E237E7E"/>
    <w:rsid w:val="1E260E02"/>
    <w:rsid w:val="1E2D5CF8"/>
    <w:rsid w:val="1E2F2B43"/>
    <w:rsid w:val="1E364920"/>
    <w:rsid w:val="1E392547"/>
    <w:rsid w:val="1E48279E"/>
    <w:rsid w:val="1E4C7426"/>
    <w:rsid w:val="1E4F41C5"/>
    <w:rsid w:val="1E59101B"/>
    <w:rsid w:val="1E5C596F"/>
    <w:rsid w:val="1E5F2261"/>
    <w:rsid w:val="1E780F3D"/>
    <w:rsid w:val="1E78928F"/>
    <w:rsid w:val="1E7A47FD"/>
    <w:rsid w:val="1E803AA9"/>
    <w:rsid w:val="1E816E1D"/>
    <w:rsid w:val="1E86139B"/>
    <w:rsid w:val="1E877BA2"/>
    <w:rsid w:val="1E896455"/>
    <w:rsid w:val="1E91399D"/>
    <w:rsid w:val="1EA60457"/>
    <w:rsid w:val="1EA700D7"/>
    <w:rsid w:val="1EA7376B"/>
    <w:rsid w:val="1EAD1FE0"/>
    <w:rsid w:val="1EAE5864"/>
    <w:rsid w:val="1EB02F65"/>
    <w:rsid w:val="1EB55657"/>
    <w:rsid w:val="1EB644E1"/>
    <w:rsid w:val="1EB70B9B"/>
    <w:rsid w:val="1EBA68C0"/>
    <w:rsid w:val="1EC37D91"/>
    <w:rsid w:val="1EC50037"/>
    <w:rsid w:val="1EC618AE"/>
    <w:rsid w:val="1EC7098C"/>
    <w:rsid w:val="1ECE699F"/>
    <w:rsid w:val="1ED03DDD"/>
    <w:rsid w:val="1ED866A8"/>
    <w:rsid w:val="1EDC730E"/>
    <w:rsid w:val="1EE45D3E"/>
    <w:rsid w:val="1EE46B96"/>
    <w:rsid w:val="1EE61241"/>
    <w:rsid w:val="1EE8D789"/>
    <w:rsid w:val="1EEC7EF9"/>
    <w:rsid w:val="1EEE613B"/>
    <w:rsid w:val="1EF444BD"/>
    <w:rsid w:val="1EF5196A"/>
    <w:rsid w:val="1EFB3F47"/>
    <w:rsid w:val="1F0B237A"/>
    <w:rsid w:val="1F0B5BFD"/>
    <w:rsid w:val="1F192C04"/>
    <w:rsid w:val="1F197261"/>
    <w:rsid w:val="1F1D139B"/>
    <w:rsid w:val="1F240D25"/>
    <w:rsid w:val="1F2B3EFC"/>
    <w:rsid w:val="1F362114"/>
    <w:rsid w:val="1F38650F"/>
    <w:rsid w:val="1F3B6024"/>
    <w:rsid w:val="1F3C63CC"/>
    <w:rsid w:val="1F4B71D4"/>
    <w:rsid w:val="1F533A49"/>
    <w:rsid w:val="1F582479"/>
    <w:rsid w:val="1F5F247E"/>
    <w:rsid w:val="1F664E2A"/>
    <w:rsid w:val="1F695F97"/>
    <w:rsid w:val="1F76252C"/>
    <w:rsid w:val="1F78DD2F"/>
    <w:rsid w:val="1F796231"/>
    <w:rsid w:val="1F7A08D5"/>
    <w:rsid w:val="1F847365"/>
    <w:rsid w:val="1F983263"/>
    <w:rsid w:val="1F984E09"/>
    <w:rsid w:val="1F990CE4"/>
    <w:rsid w:val="1FA025B1"/>
    <w:rsid w:val="1FA346C9"/>
    <w:rsid w:val="1FA55C42"/>
    <w:rsid w:val="1FA622DD"/>
    <w:rsid w:val="1FA916F0"/>
    <w:rsid w:val="1FAD1142"/>
    <w:rsid w:val="1FB051B6"/>
    <w:rsid w:val="1FB223E3"/>
    <w:rsid w:val="1FB913FE"/>
    <w:rsid w:val="1FB9701B"/>
    <w:rsid w:val="1FBB04F4"/>
    <w:rsid w:val="1FBE56A1"/>
    <w:rsid w:val="1FC2792A"/>
    <w:rsid w:val="1FC508AF"/>
    <w:rsid w:val="1FC5502B"/>
    <w:rsid w:val="1FC85FB0"/>
    <w:rsid w:val="1FCA6F35"/>
    <w:rsid w:val="1FCB27B8"/>
    <w:rsid w:val="1FD06057"/>
    <w:rsid w:val="1FD16DFB"/>
    <w:rsid w:val="1FD60202"/>
    <w:rsid w:val="1FD62287"/>
    <w:rsid w:val="1FD665CB"/>
    <w:rsid w:val="1FDB71CF"/>
    <w:rsid w:val="1FE453E2"/>
    <w:rsid w:val="1FE60DE3"/>
    <w:rsid w:val="1FE93B8D"/>
    <w:rsid w:val="1FEB7469"/>
    <w:rsid w:val="1FF07174"/>
    <w:rsid w:val="1FF1693B"/>
    <w:rsid w:val="1FF84581"/>
    <w:rsid w:val="1FF8671E"/>
    <w:rsid w:val="20005D65"/>
    <w:rsid w:val="2009459D"/>
    <w:rsid w:val="200E3310"/>
    <w:rsid w:val="20126E5F"/>
    <w:rsid w:val="20141159"/>
    <w:rsid w:val="201673B4"/>
    <w:rsid w:val="201D0F3D"/>
    <w:rsid w:val="20220C48"/>
    <w:rsid w:val="2024673D"/>
    <w:rsid w:val="202624C1"/>
    <w:rsid w:val="202905D3"/>
    <w:rsid w:val="20290B61"/>
    <w:rsid w:val="202E57CB"/>
    <w:rsid w:val="20330EE3"/>
    <w:rsid w:val="203F6EF4"/>
    <w:rsid w:val="20475540"/>
    <w:rsid w:val="204824B6"/>
    <w:rsid w:val="20490E7D"/>
    <w:rsid w:val="20531417"/>
    <w:rsid w:val="20646707"/>
    <w:rsid w:val="20692E24"/>
    <w:rsid w:val="206973AB"/>
    <w:rsid w:val="20702F46"/>
    <w:rsid w:val="20774389"/>
    <w:rsid w:val="207D338B"/>
    <w:rsid w:val="20893E70"/>
    <w:rsid w:val="208E5D79"/>
    <w:rsid w:val="20955EB5"/>
    <w:rsid w:val="20975384"/>
    <w:rsid w:val="209B180C"/>
    <w:rsid w:val="20A0783F"/>
    <w:rsid w:val="20A3249B"/>
    <w:rsid w:val="20AC0480"/>
    <w:rsid w:val="20AF62AE"/>
    <w:rsid w:val="20B24A5D"/>
    <w:rsid w:val="20B31431"/>
    <w:rsid w:val="20B77599"/>
    <w:rsid w:val="20BA6E08"/>
    <w:rsid w:val="20C07D28"/>
    <w:rsid w:val="20C813D6"/>
    <w:rsid w:val="20C84710"/>
    <w:rsid w:val="20CD585E"/>
    <w:rsid w:val="20D12B0B"/>
    <w:rsid w:val="20DB2206"/>
    <w:rsid w:val="20E33285"/>
    <w:rsid w:val="20E51AC6"/>
    <w:rsid w:val="20E9190B"/>
    <w:rsid w:val="20EA7CE6"/>
    <w:rsid w:val="20F2001C"/>
    <w:rsid w:val="20F4351F"/>
    <w:rsid w:val="20F62700"/>
    <w:rsid w:val="20F766A2"/>
    <w:rsid w:val="20F95428"/>
    <w:rsid w:val="20FD0AEC"/>
    <w:rsid w:val="20FD6452"/>
    <w:rsid w:val="20FE7FC6"/>
    <w:rsid w:val="21011F76"/>
    <w:rsid w:val="21016FB2"/>
    <w:rsid w:val="21087647"/>
    <w:rsid w:val="210A78C1"/>
    <w:rsid w:val="210C71E2"/>
    <w:rsid w:val="210D40C9"/>
    <w:rsid w:val="211303C8"/>
    <w:rsid w:val="21135FD2"/>
    <w:rsid w:val="21141355"/>
    <w:rsid w:val="21143A54"/>
    <w:rsid w:val="21151131"/>
    <w:rsid w:val="21192919"/>
    <w:rsid w:val="21290176"/>
    <w:rsid w:val="213C3913"/>
    <w:rsid w:val="2142329E"/>
    <w:rsid w:val="214B612C"/>
    <w:rsid w:val="214C26E8"/>
    <w:rsid w:val="215522BF"/>
    <w:rsid w:val="21583C6E"/>
    <w:rsid w:val="21660FDB"/>
    <w:rsid w:val="21675A5C"/>
    <w:rsid w:val="216A315E"/>
    <w:rsid w:val="216A5400"/>
    <w:rsid w:val="216E32C3"/>
    <w:rsid w:val="21733A6D"/>
    <w:rsid w:val="21783778"/>
    <w:rsid w:val="21786F46"/>
    <w:rsid w:val="217A6C7B"/>
    <w:rsid w:val="217F4373"/>
    <w:rsid w:val="21816606"/>
    <w:rsid w:val="21893A13"/>
    <w:rsid w:val="21894543"/>
    <w:rsid w:val="218C4997"/>
    <w:rsid w:val="218F1E4B"/>
    <w:rsid w:val="219D26B3"/>
    <w:rsid w:val="219F5BB6"/>
    <w:rsid w:val="21A05357"/>
    <w:rsid w:val="21A22C62"/>
    <w:rsid w:val="21A46446"/>
    <w:rsid w:val="21A53343"/>
    <w:rsid w:val="21A74D5D"/>
    <w:rsid w:val="21A77C96"/>
    <w:rsid w:val="21AF42BB"/>
    <w:rsid w:val="21B325F1"/>
    <w:rsid w:val="21B4442B"/>
    <w:rsid w:val="21B81ECD"/>
    <w:rsid w:val="21B82218"/>
    <w:rsid w:val="21C260D3"/>
    <w:rsid w:val="21C27070"/>
    <w:rsid w:val="21C2DA93"/>
    <w:rsid w:val="21C44A9A"/>
    <w:rsid w:val="21C85928"/>
    <w:rsid w:val="21C96FEA"/>
    <w:rsid w:val="21D134C5"/>
    <w:rsid w:val="21D3730A"/>
    <w:rsid w:val="21DB3C74"/>
    <w:rsid w:val="21DC5A1B"/>
    <w:rsid w:val="21DE69A0"/>
    <w:rsid w:val="21EB79D7"/>
    <w:rsid w:val="21EE3E21"/>
    <w:rsid w:val="21F076A0"/>
    <w:rsid w:val="21F259FA"/>
    <w:rsid w:val="21FC20C8"/>
    <w:rsid w:val="21FD7810"/>
    <w:rsid w:val="21FF6ED4"/>
    <w:rsid w:val="22093067"/>
    <w:rsid w:val="22124FE4"/>
    <w:rsid w:val="22160D89"/>
    <w:rsid w:val="2217626B"/>
    <w:rsid w:val="22202C8C"/>
    <w:rsid w:val="22250295"/>
    <w:rsid w:val="22264B96"/>
    <w:rsid w:val="222A508E"/>
    <w:rsid w:val="222D671F"/>
    <w:rsid w:val="22315F6D"/>
    <w:rsid w:val="22324B71"/>
    <w:rsid w:val="22384AB0"/>
    <w:rsid w:val="224030DA"/>
    <w:rsid w:val="22451BC7"/>
    <w:rsid w:val="2245402E"/>
    <w:rsid w:val="224717BC"/>
    <w:rsid w:val="2249604F"/>
    <w:rsid w:val="224B70FF"/>
    <w:rsid w:val="224E55FB"/>
    <w:rsid w:val="224FEEB4"/>
    <w:rsid w:val="22516FAB"/>
    <w:rsid w:val="225C6D87"/>
    <w:rsid w:val="22667B7E"/>
    <w:rsid w:val="226755FF"/>
    <w:rsid w:val="22690B02"/>
    <w:rsid w:val="226B4005"/>
    <w:rsid w:val="226C6BFB"/>
    <w:rsid w:val="226D7508"/>
    <w:rsid w:val="22705A00"/>
    <w:rsid w:val="22712C34"/>
    <w:rsid w:val="22762396"/>
    <w:rsid w:val="227677BA"/>
    <w:rsid w:val="2278331B"/>
    <w:rsid w:val="22787473"/>
    <w:rsid w:val="22872C29"/>
    <w:rsid w:val="22873A35"/>
    <w:rsid w:val="228A39DF"/>
    <w:rsid w:val="228C116D"/>
    <w:rsid w:val="228E32C0"/>
    <w:rsid w:val="228E5D40"/>
    <w:rsid w:val="22932F25"/>
    <w:rsid w:val="22967689"/>
    <w:rsid w:val="2297614E"/>
    <w:rsid w:val="22981BC6"/>
    <w:rsid w:val="2299E94F"/>
    <w:rsid w:val="229A37FF"/>
    <w:rsid w:val="229C0F74"/>
    <w:rsid w:val="229D0946"/>
    <w:rsid w:val="22A3415F"/>
    <w:rsid w:val="22A4496E"/>
    <w:rsid w:val="22AA3280"/>
    <w:rsid w:val="22AD24F0"/>
    <w:rsid w:val="22B02E93"/>
    <w:rsid w:val="22B61C24"/>
    <w:rsid w:val="22B95F31"/>
    <w:rsid w:val="22BF54B4"/>
    <w:rsid w:val="22C72083"/>
    <w:rsid w:val="22C757AE"/>
    <w:rsid w:val="22D35FB3"/>
    <w:rsid w:val="22D636B5"/>
    <w:rsid w:val="22DA593E"/>
    <w:rsid w:val="22DB2A40"/>
    <w:rsid w:val="22E92AB8"/>
    <w:rsid w:val="22EC5858"/>
    <w:rsid w:val="22ED19A4"/>
    <w:rsid w:val="22F422C8"/>
    <w:rsid w:val="22F46F43"/>
    <w:rsid w:val="22F506E6"/>
    <w:rsid w:val="22F548CA"/>
    <w:rsid w:val="22F776BB"/>
    <w:rsid w:val="230044F9"/>
    <w:rsid w:val="23024749"/>
    <w:rsid w:val="2303547D"/>
    <w:rsid w:val="23046782"/>
    <w:rsid w:val="230752CA"/>
    <w:rsid w:val="230D5D8D"/>
    <w:rsid w:val="230E7092"/>
    <w:rsid w:val="23129046"/>
    <w:rsid w:val="23181B9F"/>
    <w:rsid w:val="231B3181"/>
    <w:rsid w:val="231F4E1A"/>
    <w:rsid w:val="23322DB3"/>
    <w:rsid w:val="23370256"/>
    <w:rsid w:val="23384D2F"/>
    <w:rsid w:val="233B0E5B"/>
    <w:rsid w:val="23431AEA"/>
    <w:rsid w:val="234671EC"/>
    <w:rsid w:val="23474F72"/>
    <w:rsid w:val="234E78B1"/>
    <w:rsid w:val="23567ACE"/>
    <w:rsid w:val="235F5B97"/>
    <w:rsid w:val="23635A76"/>
    <w:rsid w:val="2368207F"/>
    <w:rsid w:val="236B2F24"/>
    <w:rsid w:val="23730FB4"/>
    <w:rsid w:val="237D7345"/>
    <w:rsid w:val="23813B4D"/>
    <w:rsid w:val="238237CD"/>
    <w:rsid w:val="23834AD2"/>
    <w:rsid w:val="239D4D6A"/>
    <w:rsid w:val="23A21B04"/>
    <w:rsid w:val="23AF258A"/>
    <w:rsid w:val="23B00E19"/>
    <w:rsid w:val="23B1211E"/>
    <w:rsid w:val="23B21385"/>
    <w:rsid w:val="23BC26AD"/>
    <w:rsid w:val="23BE2382"/>
    <w:rsid w:val="23BF2D5C"/>
    <w:rsid w:val="23BF608C"/>
    <w:rsid w:val="23C0709C"/>
    <w:rsid w:val="23C123B8"/>
    <w:rsid w:val="23C40309"/>
    <w:rsid w:val="23CA5246"/>
    <w:rsid w:val="23CF103A"/>
    <w:rsid w:val="23D43B09"/>
    <w:rsid w:val="23D47C42"/>
    <w:rsid w:val="23DB5B9A"/>
    <w:rsid w:val="23E24AEB"/>
    <w:rsid w:val="23E704BC"/>
    <w:rsid w:val="23F07684"/>
    <w:rsid w:val="23FC3497"/>
    <w:rsid w:val="24026708"/>
    <w:rsid w:val="24061828"/>
    <w:rsid w:val="240B5CB0"/>
    <w:rsid w:val="240E157D"/>
    <w:rsid w:val="241330BC"/>
    <w:rsid w:val="24191BFE"/>
    <w:rsid w:val="241957C6"/>
    <w:rsid w:val="241C39CC"/>
    <w:rsid w:val="2424304F"/>
    <w:rsid w:val="24243831"/>
    <w:rsid w:val="2426692F"/>
    <w:rsid w:val="24271A83"/>
    <w:rsid w:val="24286B52"/>
    <w:rsid w:val="242C2A29"/>
    <w:rsid w:val="243200EE"/>
    <w:rsid w:val="24323971"/>
    <w:rsid w:val="243328FB"/>
    <w:rsid w:val="243548F6"/>
    <w:rsid w:val="24370AE6"/>
    <w:rsid w:val="243840DE"/>
    <w:rsid w:val="2438587A"/>
    <w:rsid w:val="243954FA"/>
    <w:rsid w:val="24435E0A"/>
    <w:rsid w:val="244B16B7"/>
    <w:rsid w:val="244B7442"/>
    <w:rsid w:val="2459492E"/>
    <w:rsid w:val="2459601B"/>
    <w:rsid w:val="246B0981"/>
    <w:rsid w:val="246B154C"/>
    <w:rsid w:val="246D1444"/>
    <w:rsid w:val="246F59D4"/>
    <w:rsid w:val="247026F4"/>
    <w:rsid w:val="24716CD9"/>
    <w:rsid w:val="247507E8"/>
    <w:rsid w:val="247C0C4C"/>
    <w:rsid w:val="24812AE6"/>
    <w:rsid w:val="24844675"/>
    <w:rsid w:val="248A66C2"/>
    <w:rsid w:val="24904A8E"/>
    <w:rsid w:val="2493065F"/>
    <w:rsid w:val="2493680A"/>
    <w:rsid w:val="249A0C51"/>
    <w:rsid w:val="249C559F"/>
    <w:rsid w:val="249E0AA2"/>
    <w:rsid w:val="24A40D10"/>
    <w:rsid w:val="24A713B1"/>
    <w:rsid w:val="24A91DC6"/>
    <w:rsid w:val="24AA3A0B"/>
    <w:rsid w:val="24AB7BFA"/>
    <w:rsid w:val="24B061FD"/>
    <w:rsid w:val="24B351C4"/>
    <w:rsid w:val="24B970CD"/>
    <w:rsid w:val="24BB25D0"/>
    <w:rsid w:val="24CD15F1"/>
    <w:rsid w:val="24D054B5"/>
    <w:rsid w:val="24D84B58"/>
    <w:rsid w:val="24DB0907"/>
    <w:rsid w:val="24E355E7"/>
    <w:rsid w:val="24E37F11"/>
    <w:rsid w:val="24E4247E"/>
    <w:rsid w:val="24E537E5"/>
    <w:rsid w:val="24E91459"/>
    <w:rsid w:val="24F35FAE"/>
    <w:rsid w:val="24F3B6A9"/>
    <w:rsid w:val="24F43A2F"/>
    <w:rsid w:val="24F91FD7"/>
    <w:rsid w:val="24FF7842"/>
    <w:rsid w:val="250011E1"/>
    <w:rsid w:val="25007493"/>
    <w:rsid w:val="25040446"/>
    <w:rsid w:val="250E69CA"/>
    <w:rsid w:val="250F7ADC"/>
    <w:rsid w:val="2516749D"/>
    <w:rsid w:val="25171665"/>
    <w:rsid w:val="25217736"/>
    <w:rsid w:val="25267701"/>
    <w:rsid w:val="252C160A"/>
    <w:rsid w:val="252F258F"/>
    <w:rsid w:val="253744E7"/>
    <w:rsid w:val="2539642B"/>
    <w:rsid w:val="25446CB1"/>
    <w:rsid w:val="254C1727"/>
    <w:rsid w:val="255E30DE"/>
    <w:rsid w:val="25631DA5"/>
    <w:rsid w:val="256571E6"/>
    <w:rsid w:val="2569146F"/>
    <w:rsid w:val="256B10EF"/>
    <w:rsid w:val="256E58F7"/>
    <w:rsid w:val="256F06A2"/>
    <w:rsid w:val="257225F5"/>
    <w:rsid w:val="257264FC"/>
    <w:rsid w:val="257D0D91"/>
    <w:rsid w:val="257E27AD"/>
    <w:rsid w:val="2584004C"/>
    <w:rsid w:val="258864A1"/>
    <w:rsid w:val="258E03AA"/>
    <w:rsid w:val="259F0334"/>
    <w:rsid w:val="259F075C"/>
    <w:rsid w:val="25A073CB"/>
    <w:rsid w:val="25AB7FDA"/>
    <w:rsid w:val="25B636FD"/>
    <w:rsid w:val="25BB59F6"/>
    <w:rsid w:val="25C11248"/>
    <w:rsid w:val="25CA498C"/>
    <w:rsid w:val="25CB4399"/>
    <w:rsid w:val="25D21D98"/>
    <w:rsid w:val="25D71AA3"/>
    <w:rsid w:val="25D87FAB"/>
    <w:rsid w:val="25DA20CE"/>
    <w:rsid w:val="25DA6A07"/>
    <w:rsid w:val="25DC01B8"/>
    <w:rsid w:val="25DE1DD1"/>
    <w:rsid w:val="25E12AFC"/>
    <w:rsid w:val="25E35A27"/>
    <w:rsid w:val="25E52FB7"/>
    <w:rsid w:val="25E76469"/>
    <w:rsid w:val="25E8EDB2"/>
    <w:rsid w:val="25EB3B3B"/>
    <w:rsid w:val="25EF7007"/>
    <w:rsid w:val="25F22023"/>
    <w:rsid w:val="25FE49EA"/>
    <w:rsid w:val="260A0FF9"/>
    <w:rsid w:val="260E417C"/>
    <w:rsid w:val="260F20A0"/>
    <w:rsid w:val="26125E8D"/>
    <w:rsid w:val="26164A91"/>
    <w:rsid w:val="261A2CD6"/>
    <w:rsid w:val="261E4416"/>
    <w:rsid w:val="26200809"/>
    <w:rsid w:val="2629602A"/>
    <w:rsid w:val="26360F68"/>
    <w:rsid w:val="26384FC0"/>
    <w:rsid w:val="264136D1"/>
    <w:rsid w:val="264138F5"/>
    <w:rsid w:val="26436BD4"/>
    <w:rsid w:val="26446854"/>
    <w:rsid w:val="2647305C"/>
    <w:rsid w:val="264777D9"/>
    <w:rsid w:val="26493963"/>
    <w:rsid w:val="264C5EC6"/>
    <w:rsid w:val="264F324D"/>
    <w:rsid w:val="26604706"/>
    <w:rsid w:val="26645FA8"/>
    <w:rsid w:val="26683591"/>
    <w:rsid w:val="267E0CAB"/>
    <w:rsid w:val="2680161F"/>
    <w:rsid w:val="26811F3C"/>
    <w:rsid w:val="26822D5C"/>
    <w:rsid w:val="268259D5"/>
    <w:rsid w:val="268C02CD"/>
    <w:rsid w:val="268D0EEE"/>
    <w:rsid w:val="268F1252"/>
    <w:rsid w:val="268F53FB"/>
    <w:rsid w:val="26921487"/>
    <w:rsid w:val="269221D6"/>
    <w:rsid w:val="269243D5"/>
    <w:rsid w:val="26952DF8"/>
    <w:rsid w:val="26992656"/>
    <w:rsid w:val="26AE5FBD"/>
    <w:rsid w:val="26B24DF9"/>
    <w:rsid w:val="26B26E88"/>
    <w:rsid w:val="26B37620"/>
    <w:rsid w:val="26B71D3C"/>
    <w:rsid w:val="26BE0515"/>
    <w:rsid w:val="26C00334"/>
    <w:rsid w:val="26C2F6BB"/>
    <w:rsid w:val="26C31EAD"/>
    <w:rsid w:val="26C54A60"/>
    <w:rsid w:val="26C96D36"/>
    <w:rsid w:val="26CB02AF"/>
    <w:rsid w:val="26D01CBB"/>
    <w:rsid w:val="26D10790"/>
    <w:rsid w:val="26D12FC0"/>
    <w:rsid w:val="26D519C6"/>
    <w:rsid w:val="26D63BC5"/>
    <w:rsid w:val="26D71646"/>
    <w:rsid w:val="26DD72D1"/>
    <w:rsid w:val="26E0627B"/>
    <w:rsid w:val="26E649A4"/>
    <w:rsid w:val="26E776E2"/>
    <w:rsid w:val="26EE6AA2"/>
    <w:rsid w:val="26F24FD1"/>
    <w:rsid w:val="26FF6F87"/>
    <w:rsid w:val="2700280A"/>
    <w:rsid w:val="2705365D"/>
    <w:rsid w:val="2709311A"/>
    <w:rsid w:val="270A0B9B"/>
    <w:rsid w:val="27174FE9"/>
    <w:rsid w:val="27220C9E"/>
    <w:rsid w:val="27252DB6"/>
    <w:rsid w:val="272D4881"/>
    <w:rsid w:val="27365A22"/>
    <w:rsid w:val="273E5B72"/>
    <w:rsid w:val="2740175F"/>
    <w:rsid w:val="274676FC"/>
    <w:rsid w:val="274B2253"/>
    <w:rsid w:val="274C0DA9"/>
    <w:rsid w:val="27536A11"/>
    <w:rsid w:val="2754DBA0"/>
    <w:rsid w:val="2758671C"/>
    <w:rsid w:val="27594A18"/>
    <w:rsid w:val="275B76A1"/>
    <w:rsid w:val="275C189F"/>
    <w:rsid w:val="27632F91"/>
    <w:rsid w:val="27675BE3"/>
    <w:rsid w:val="276854B7"/>
    <w:rsid w:val="276C147E"/>
    <w:rsid w:val="276E4B5C"/>
    <w:rsid w:val="277240D9"/>
    <w:rsid w:val="277549C7"/>
    <w:rsid w:val="277A7DF1"/>
    <w:rsid w:val="27807A2B"/>
    <w:rsid w:val="278C3568"/>
    <w:rsid w:val="279E3FA3"/>
    <w:rsid w:val="27A45517"/>
    <w:rsid w:val="27B04BAD"/>
    <w:rsid w:val="27B51034"/>
    <w:rsid w:val="27B800C2"/>
    <w:rsid w:val="27BB0E76"/>
    <w:rsid w:val="27C04E47"/>
    <w:rsid w:val="27C50CA4"/>
    <w:rsid w:val="27C5AD7E"/>
    <w:rsid w:val="27CC0C59"/>
    <w:rsid w:val="27D40264"/>
    <w:rsid w:val="27D5F294"/>
    <w:rsid w:val="27D76283"/>
    <w:rsid w:val="27D80145"/>
    <w:rsid w:val="27D82912"/>
    <w:rsid w:val="27DA59F1"/>
    <w:rsid w:val="27DC5671"/>
    <w:rsid w:val="27EB370D"/>
    <w:rsid w:val="27EC7F67"/>
    <w:rsid w:val="27EE4691"/>
    <w:rsid w:val="27F23097"/>
    <w:rsid w:val="280276BA"/>
    <w:rsid w:val="280520B8"/>
    <w:rsid w:val="280C46D6"/>
    <w:rsid w:val="280E7074"/>
    <w:rsid w:val="28157229"/>
    <w:rsid w:val="281A2C55"/>
    <w:rsid w:val="281B645A"/>
    <w:rsid w:val="281C3EDC"/>
    <w:rsid w:val="281E6E30"/>
    <w:rsid w:val="2821731C"/>
    <w:rsid w:val="282536B5"/>
    <w:rsid w:val="28290FF3"/>
    <w:rsid w:val="283050FB"/>
    <w:rsid w:val="28331903"/>
    <w:rsid w:val="28333D17"/>
    <w:rsid w:val="28347384"/>
    <w:rsid w:val="28354E06"/>
    <w:rsid w:val="283B4790"/>
    <w:rsid w:val="284952E9"/>
    <w:rsid w:val="284F0B4B"/>
    <w:rsid w:val="285508FD"/>
    <w:rsid w:val="28572556"/>
    <w:rsid w:val="28593831"/>
    <w:rsid w:val="28660E58"/>
    <w:rsid w:val="28733BC8"/>
    <w:rsid w:val="287A7AF8"/>
    <w:rsid w:val="287D0A63"/>
    <w:rsid w:val="28812CAE"/>
    <w:rsid w:val="28813C00"/>
    <w:rsid w:val="28815DAD"/>
    <w:rsid w:val="28855E8A"/>
    <w:rsid w:val="28866DB6"/>
    <w:rsid w:val="28956124"/>
    <w:rsid w:val="2897135B"/>
    <w:rsid w:val="289724F8"/>
    <w:rsid w:val="2899001E"/>
    <w:rsid w:val="289D3530"/>
    <w:rsid w:val="28A279B8"/>
    <w:rsid w:val="28A718C1"/>
    <w:rsid w:val="28B23594"/>
    <w:rsid w:val="28B356D4"/>
    <w:rsid w:val="28BA1DC8"/>
    <w:rsid w:val="28BC3155"/>
    <w:rsid w:val="28C17575"/>
    <w:rsid w:val="28C3038B"/>
    <w:rsid w:val="28C438FA"/>
    <w:rsid w:val="28CC1A9B"/>
    <w:rsid w:val="28CD627E"/>
    <w:rsid w:val="28CF0D0F"/>
    <w:rsid w:val="28CF5004"/>
    <w:rsid w:val="28CF57EE"/>
    <w:rsid w:val="28D0506B"/>
    <w:rsid w:val="28DD431A"/>
    <w:rsid w:val="28E0749D"/>
    <w:rsid w:val="28ED67B2"/>
    <w:rsid w:val="28EF4262"/>
    <w:rsid w:val="28FA0047"/>
    <w:rsid w:val="28FD484F"/>
    <w:rsid w:val="29171B75"/>
    <w:rsid w:val="291A3CFB"/>
    <w:rsid w:val="291E385C"/>
    <w:rsid w:val="291F2805"/>
    <w:rsid w:val="29214463"/>
    <w:rsid w:val="292766C9"/>
    <w:rsid w:val="29288D46"/>
    <w:rsid w:val="29295EFB"/>
    <w:rsid w:val="2935022C"/>
    <w:rsid w:val="293F655C"/>
    <w:rsid w:val="294626C4"/>
    <w:rsid w:val="29491A44"/>
    <w:rsid w:val="29492507"/>
    <w:rsid w:val="295B6DE6"/>
    <w:rsid w:val="295E7D6B"/>
    <w:rsid w:val="29606AF1"/>
    <w:rsid w:val="296341F3"/>
    <w:rsid w:val="2966709C"/>
    <w:rsid w:val="296BE5DA"/>
    <w:rsid w:val="296E5E07"/>
    <w:rsid w:val="296F3EFA"/>
    <w:rsid w:val="296F5A87"/>
    <w:rsid w:val="2975482A"/>
    <w:rsid w:val="29776A7E"/>
    <w:rsid w:val="297A596B"/>
    <w:rsid w:val="297B511D"/>
    <w:rsid w:val="297E72AD"/>
    <w:rsid w:val="297F7B50"/>
    <w:rsid w:val="29835275"/>
    <w:rsid w:val="298F09D8"/>
    <w:rsid w:val="29946AC2"/>
    <w:rsid w:val="29A504DF"/>
    <w:rsid w:val="29A7676B"/>
    <w:rsid w:val="29B2144F"/>
    <w:rsid w:val="29B551FF"/>
    <w:rsid w:val="29B67AFA"/>
    <w:rsid w:val="29BE6BC8"/>
    <w:rsid w:val="29BE7749"/>
    <w:rsid w:val="29BF1089"/>
    <w:rsid w:val="29BF6B0B"/>
    <w:rsid w:val="29C27A8F"/>
    <w:rsid w:val="29C3CDA9"/>
    <w:rsid w:val="29CB291D"/>
    <w:rsid w:val="29CB7625"/>
    <w:rsid w:val="29D100AA"/>
    <w:rsid w:val="29D741B2"/>
    <w:rsid w:val="29DB09B9"/>
    <w:rsid w:val="29E75E14"/>
    <w:rsid w:val="29E8151E"/>
    <w:rsid w:val="29E87CCF"/>
    <w:rsid w:val="29F437F5"/>
    <w:rsid w:val="29F445B7"/>
    <w:rsid w:val="29FCCC9C"/>
    <w:rsid w:val="2A012DF7"/>
    <w:rsid w:val="2A0B4CC0"/>
    <w:rsid w:val="2A113092"/>
    <w:rsid w:val="2A120B13"/>
    <w:rsid w:val="2A16751A"/>
    <w:rsid w:val="2A1923F5"/>
    <w:rsid w:val="2A1B220E"/>
    <w:rsid w:val="2A1F59CF"/>
    <w:rsid w:val="2A351FC9"/>
    <w:rsid w:val="2A365850"/>
    <w:rsid w:val="2A3856FA"/>
    <w:rsid w:val="2A3A313B"/>
    <w:rsid w:val="2A3E73D9"/>
    <w:rsid w:val="2A4041DA"/>
    <w:rsid w:val="2A457C91"/>
    <w:rsid w:val="2A4931EC"/>
    <w:rsid w:val="2A4C79F4"/>
    <w:rsid w:val="2A4E11F7"/>
    <w:rsid w:val="2A575D85"/>
    <w:rsid w:val="2A5A37DD"/>
    <w:rsid w:val="2A5F3191"/>
    <w:rsid w:val="2A64509A"/>
    <w:rsid w:val="2A6B02A8"/>
    <w:rsid w:val="2A6B4A25"/>
    <w:rsid w:val="2A750BB8"/>
    <w:rsid w:val="2A7684F7"/>
    <w:rsid w:val="2A784B2D"/>
    <w:rsid w:val="2A7975BE"/>
    <w:rsid w:val="2A905451"/>
    <w:rsid w:val="2A907DAF"/>
    <w:rsid w:val="2A9818BA"/>
    <w:rsid w:val="2A9D6249"/>
    <w:rsid w:val="2A9E5653"/>
    <w:rsid w:val="2AA0747E"/>
    <w:rsid w:val="2AA22981"/>
    <w:rsid w:val="2AA73D32"/>
    <w:rsid w:val="2AA81007"/>
    <w:rsid w:val="2ABC4498"/>
    <w:rsid w:val="2AC11DF3"/>
    <w:rsid w:val="2AC32EB5"/>
    <w:rsid w:val="2AD134D0"/>
    <w:rsid w:val="2AD17C4D"/>
    <w:rsid w:val="2AE354C8"/>
    <w:rsid w:val="2AE46C6D"/>
    <w:rsid w:val="2AF12700"/>
    <w:rsid w:val="2AF3793F"/>
    <w:rsid w:val="2AF57C7E"/>
    <w:rsid w:val="2AF929C6"/>
    <w:rsid w:val="2AFC6660"/>
    <w:rsid w:val="2B011EB4"/>
    <w:rsid w:val="2B107731"/>
    <w:rsid w:val="2B133388"/>
    <w:rsid w:val="2B15163B"/>
    <w:rsid w:val="2B151F0D"/>
    <w:rsid w:val="2B1A7609"/>
    <w:rsid w:val="2B1B4D87"/>
    <w:rsid w:val="2B2576D7"/>
    <w:rsid w:val="2B2B78AE"/>
    <w:rsid w:val="2B2E0950"/>
    <w:rsid w:val="2B355773"/>
    <w:rsid w:val="2B3A3DF9"/>
    <w:rsid w:val="2B3C5056"/>
    <w:rsid w:val="2B413784"/>
    <w:rsid w:val="2B421205"/>
    <w:rsid w:val="2B443561"/>
    <w:rsid w:val="2B4C1511"/>
    <w:rsid w:val="2B4C27D5"/>
    <w:rsid w:val="2B4D18B6"/>
    <w:rsid w:val="2B4E089B"/>
    <w:rsid w:val="2B5272A1"/>
    <w:rsid w:val="2B552424"/>
    <w:rsid w:val="2B563729"/>
    <w:rsid w:val="2B575927"/>
    <w:rsid w:val="2B5946AE"/>
    <w:rsid w:val="2B64168E"/>
    <w:rsid w:val="2B660140"/>
    <w:rsid w:val="2B6C794F"/>
    <w:rsid w:val="2B700A50"/>
    <w:rsid w:val="2B7C4C1C"/>
    <w:rsid w:val="2B8207AD"/>
    <w:rsid w:val="2B844FB6"/>
    <w:rsid w:val="2B882EEA"/>
    <w:rsid w:val="2B895FC1"/>
    <w:rsid w:val="2B8A2F99"/>
    <w:rsid w:val="2B8B28FE"/>
    <w:rsid w:val="2B9C061A"/>
    <w:rsid w:val="2B9F159F"/>
    <w:rsid w:val="2BA35DA7"/>
    <w:rsid w:val="2BA56A96"/>
    <w:rsid w:val="2BAA7930"/>
    <w:rsid w:val="2BBE15E2"/>
    <w:rsid w:val="2BC01AD4"/>
    <w:rsid w:val="2BC362DB"/>
    <w:rsid w:val="2BC74DEB"/>
    <w:rsid w:val="2BD22280"/>
    <w:rsid w:val="2BD561F6"/>
    <w:rsid w:val="2BDD6474"/>
    <w:rsid w:val="2BEB619B"/>
    <w:rsid w:val="2BF35EF6"/>
    <w:rsid w:val="2BF5452C"/>
    <w:rsid w:val="2BFD1938"/>
    <w:rsid w:val="2C013BC2"/>
    <w:rsid w:val="2C0D5456"/>
    <w:rsid w:val="2C1105D9"/>
    <w:rsid w:val="2C14155E"/>
    <w:rsid w:val="2C1527E6"/>
    <w:rsid w:val="2C152862"/>
    <w:rsid w:val="2C1D2237"/>
    <w:rsid w:val="2C1E78EF"/>
    <w:rsid w:val="2C1F4CDE"/>
    <w:rsid w:val="2C216675"/>
    <w:rsid w:val="2C286CBB"/>
    <w:rsid w:val="2C2C7301"/>
    <w:rsid w:val="2C311CC2"/>
    <w:rsid w:val="2C324A12"/>
    <w:rsid w:val="2C335F5A"/>
    <w:rsid w:val="2C420DA8"/>
    <w:rsid w:val="2C46263D"/>
    <w:rsid w:val="2C496CF0"/>
    <w:rsid w:val="2C5A0151"/>
    <w:rsid w:val="2C634B60"/>
    <w:rsid w:val="2C7502FD"/>
    <w:rsid w:val="2C7A0008"/>
    <w:rsid w:val="2C7A1B9F"/>
    <w:rsid w:val="2C7C7C88"/>
    <w:rsid w:val="2C7D6FDE"/>
    <w:rsid w:val="2C817993"/>
    <w:rsid w:val="2C8B37AF"/>
    <w:rsid w:val="2C8C5D24"/>
    <w:rsid w:val="2C9021AC"/>
    <w:rsid w:val="2C9B053D"/>
    <w:rsid w:val="2C9B4B91"/>
    <w:rsid w:val="2CA12446"/>
    <w:rsid w:val="2CA5221B"/>
    <w:rsid w:val="2CA87853"/>
    <w:rsid w:val="2CAA2A2D"/>
    <w:rsid w:val="2CAA2BF1"/>
    <w:rsid w:val="2CAD3CDB"/>
    <w:rsid w:val="2CBF5993"/>
    <w:rsid w:val="2CC80BFF"/>
    <w:rsid w:val="2CCB328B"/>
    <w:rsid w:val="2CD55EF9"/>
    <w:rsid w:val="2CD633F9"/>
    <w:rsid w:val="2CDD3333"/>
    <w:rsid w:val="2CE34819"/>
    <w:rsid w:val="2CE4035C"/>
    <w:rsid w:val="2CEC4138"/>
    <w:rsid w:val="2CF23945"/>
    <w:rsid w:val="2CF52844"/>
    <w:rsid w:val="2CF577ED"/>
    <w:rsid w:val="2CF775D2"/>
    <w:rsid w:val="2CFE4050"/>
    <w:rsid w:val="2D0A3299"/>
    <w:rsid w:val="2D0F4C79"/>
    <w:rsid w:val="2D127FD2"/>
    <w:rsid w:val="2D15219B"/>
    <w:rsid w:val="2D23171B"/>
    <w:rsid w:val="2D244788"/>
    <w:rsid w:val="2D272A6B"/>
    <w:rsid w:val="2D297497"/>
    <w:rsid w:val="2D2C76B3"/>
    <w:rsid w:val="2D2F71A3"/>
    <w:rsid w:val="2D3164B2"/>
    <w:rsid w:val="2D3252A7"/>
    <w:rsid w:val="2D354EB8"/>
    <w:rsid w:val="2D3A17E1"/>
    <w:rsid w:val="2D431C50"/>
    <w:rsid w:val="2D4E69FD"/>
    <w:rsid w:val="2D58628E"/>
    <w:rsid w:val="2D5B685D"/>
    <w:rsid w:val="2D621DCA"/>
    <w:rsid w:val="2D786883"/>
    <w:rsid w:val="2D824FB8"/>
    <w:rsid w:val="2D832A39"/>
    <w:rsid w:val="2D8404BB"/>
    <w:rsid w:val="2D856BEC"/>
    <w:rsid w:val="2D87143F"/>
    <w:rsid w:val="2D8A23C4"/>
    <w:rsid w:val="2D8B6F64"/>
    <w:rsid w:val="2D930D3F"/>
    <w:rsid w:val="2D946557"/>
    <w:rsid w:val="2D963C58"/>
    <w:rsid w:val="2D9C5B61"/>
    <w:rsid w:val="2D9D11F1"/>
    <w:rsid w:val="2DA11FE9"/>
    <w:rsid w:val="2DA759C0"/>
    <w:rsid w:val="2DA96B06"/>
    <w:rsid w:val="2DAA06FA"/>
    <w:rsid w:val="2DAF2B71"/>
    <w:rsid w:val="2DAF6D80"/>
    <w:rsid w:val="2DB3100A"/>
    <w:rsid w:val="2DB9608A"/>
    <w:rsid w:val="2DC53BCE"/>
    <w:rsid w:val="2DC56D26"/>
    <w:rsid w:val="2DC83F3D"/>
    <w:rsid w:val="2DC931AE"/>
    <w:rsid w:val="2DD04C09"/>
    <w:rsid w:val="2DD105BA"/>
    <w:rsid w:val="2DD12008"/>
    <w:rsid w:val="2DD438A6"/>
    <w:rsid w:val="2DD82143"/>
    <w:rsid w:val="2DD864D4"/>
    <w:rsid w:val="2DDB30C8"/>
    <w:rsid w:val="2DDF1ACE"/>
    <w:rsid w:val="2DE0754F"/>
    <w:rsid w:val="2DED3C3C"/>
    <w:rsid w:val="2DF20AEF"/>
    <w:rsid w:val="2DF36570"/>
    <w:rsid w:val="2DF472B4"/>
    <w:rsid w:val="2DF67A69"/>
    <w:rsid w:val="2DFF4C08"/>
    <w:rsid w:val="2E013307"/>
    <w:rsid w:val="2E03143D"/>
    <w:rsid w:val="2E0A52EF"/>
    <w:rsid w:val="2E0F261D"/>
    <w:rsid w:val="2E1555DF"/>
    <w:rsid w:val="2E22698C"/>
    <w:rsid w:val="2E2746AC"/>
    <w:rsid w:val="2E2B1F4D"/>
    <w:rsid w:val="2E2B414C"/>
    <w:rsid w:val="2E303E57"/>
    <w:rsid w:val="2E304F81"/>
    <w:rsid w:val="2E334350"/>
    <w:rsid w:val="2E3572F6"/>
    <w:rsid w:val="2E3B71C5"/>
    <w:rsid w:val="2E406990"/>
    <w:rsid w:val="2E49012D"/>
    <w:rsid w:val="2E586DFA"/>
    <w:rsid w:val="2E5B4C9B"/>
    <w:rsid w:val="2E64336D"/>
    <w:rsid w:val="2E694025"/>
    <w:rsid w:val="2E6D3BCE"/>
    <w:rsid w:val="2E6E40B7"/>
    <w:rsid w:val="2E704C40"/>
    <w:rsid w:val="2E735BC5"/>
    <w:rsid w:val="2E7438E5"/>
    <w:rsid w:val="2E7D5CEC"/>
    <w:rsid w:val="2E801657"/>
    <w:rsid w:val="2E8B047A"/>
    <w:rsid w:val="2E8C5556"/>
    <w:rsid w:val="2E921785"/>
    <w:rsid w:val="2E923ABF"/>
    <w:rsid w:val="2E9402F8"/>
    <w:rsid w:val="2E9C1DA9"/>
    <w:rsid w:val="2EAD4823"/>
    <w:rsid w:val="2EB61B31"/>
    <w:rsid w:val="2EB86D24"/>
    <w:rsid w:val="2EC02441"/>
    <w:rsid w:val="2ED139E0"/>
    <w:rsid w:val="2ED741E5"/>
    <w:rsid w:val="2ED87511"/>
    <w:rsid w:val="2ED965EE"/>
    <w:rsid w:val="2EDC03C7"/>
    <w:rsid w:val="2EDD3F6F"/>
    <w:rsid w:val="2EE3501E"/>
    <w:rsid w:val="2EE57BD0"/>
    <w:rsid w:val="2EEA1087"/>
    <w:rsid w:val="2EEA5313"/>
    <w:rsid w:val="2EF36113"/>
    <w:rsid w:val="2EF71FF7"/>
    <w:rsid w:val="2F005429"/>
    <w:rsid w:val="2F0316A8"/>
    <w:rsid w:val="2F1203F2"/>
    <w:rsid w:val="2F1C22B0"/>
    <w:rsid w:val="2F27B110"/>
    <w:rsid w:val="2F285C12"/>
    <w:rsid w:val="2F287E07"/>
    <w:rsid w:val="2F2F348A"/>
    <w:rsid w:val="2F3314F6"/>
    <w:rsid w:val="2F380E06"/>
    <w:rsid w:val="2F3A4309"/>
    <w:rsid w:val="2F3D0B11"/>
    <w:rsid w:val="2F3D3B1D"/>
    <w:rsid w:val="2F401A95"/>
    <w:rsid w:val="2F48361F"/>
    <w:rsid w:val="2F4B48D4"/>
    <w:rsid w:val="2F523ABD"/>
    <w:rsid w:val="2F532CB4"/>
    <w:rsid w:val="2F5862E9"/>
    <w:rsid w:val="2F631E13"/>
    <w:rsid w:val="2F6D0F58"/>
    <w:rsid w:val="2F79457E"/>
    <w:rsid w:val="2F810D19"/>
    <w:rsid w:val="2F814A7D"/>
    <w:rsid w:val="2F860BD0"/>
    <w:rsid w:val="2F863A1A"/>
    <w:rsid w:val="2F90493A"/>
    <w:rsid w:val="2F916651"/>
    <w:rsid w:val="2F920DA6"/>
    <w:rsid w:val="2F937E29"/>
    <w:rsid w:val="2F9477B2"/>
    <w:rsid w:val="2F9810E3"/>
    <w:rsid w:val="2F9B0EAA"/>
    <w:rsid w:val="2FA03C59"/>
    <w:rsid w:val="2FA66A7B"/>
    <w:rsid w:val="2FA96B3D"/>
    <w:rsid w:val="2FAA79BA"/>
    <w:rsid w:val="2FB20AD0"/>
    <w:rsid w:val="2FB32CCE"/>
    <w:rsid w:val="2FB54349"/>
    <w:rsid w:val="2FB74F57"/>
    <w:rsid w:val="2FBBE561"/>
    <w:rsid w:val="2FBD48E2"/>
    <w:rsid w:val="2FC367EB"/>
    <w:rsid w:val="2FCAD2F1"/>
    <w:rsid w:val="2FCD67FF"/>
    <w:rsid w:val="2FCE2B17"/>
    <w:rsid w:val="2FD23583"/>
    <w:rsid w:val="2FD36F28"/>
    <w:rsid w:val="2FDB3934"/>
    <w:rsid w:val="2FF54A3C"/>
    <w:rsid w:val="2FF92B43"/>
    <w:rsid w:val="2FFA5AA5"/>
    <w:rsid w:val="2FFE4C0B"/>
    <w:rsid w:val="300078FB"/>
    <w:rsid w:val="300206F2"/>
    <w:rsid w:val="300914DE"/>
    <w:rsid w:val="300E05A8"/>
    <w:rsid w:val="30103067"/>
    <w:rsid w:val="301850CF"/>
    <w:rsid w:val="301A3977"/>
    <w:rsid w:val="301E7DFF"/>
    <w:rsid w:val="30225714"/>
    <w:rsid w:val="302503E9"/>
    <w:rsid w:val="30283F91"/>
    <w:rsid w:val="30355826"/>
    <w:rsid w:val="303809A8"/>
    <w:rsid w:val="3039422C"/>
    <w:rsid w:val="303D4E30"/>
    <w:rsid w:val="303F5701"/>
    <w:rsid w:val="303F66E2"/>
    <w:rsid w:val="304545E8"/>
    <w:rsid w:val="304A1F48"/>
    <w:rsid w:val="304A772E"/>
    <w:rsid w:val="304B055B"/>
    <w:rsid w:val="304C5C8C"/>
    <w:rsid w:val="305279F7"/>
    <w:rsid w:val="305502D9"/>
    <w:rsid w:val="305A1716"/>
    <w:rsid w:val="306F4706"/>
    <w:rsid w:val="30742770"/>
    <w:rsid w:val="30773D10"/>
    <w:rsid w:val="30780C48"/>
    <w:rsid w:val="307B22C3"/>
    <w:rsid w:val="307D5C1A"/>
    <w:rsid w:val="307F111D"/>
    <w:rsid w:val="308333A6"/>
    <w:rsid w:val="30840E28"/>
    <w:rsid w:val="308952B0"/>
    <w:rsid w:val="308A51D5"/>
    <w:rsid w:val="308C0433"/>
    <w:rsid w:val="308C5D5A"/>
    <w:rsid w:val="3092233C"/>
    <w:rsid w:val="30952BDD"/>
    <w:rsid w:val="30986E0D"/>
    <w:rsid w:val="309B0CAA"/>
    <w:rsid w:val="30A67227"/>
    <w:rsid w:val="30A734F4"/>
    <w:rsid w:val="30B702B4"/>
    <w:rsid w:val="30B75796"/>
    <w:rsid w:val="30BC54E0"/>
    <w:rsid w:val="30BF4176"/>
    <w:rsid w:val="30C74045"/>
    <w:rsid w:val="30C74740"/>
    <w:rsid w:val="30CE14CF"/>
    <w:rsid w:val="30D04186"/>
    <w:rsid w:val="30D20112"/>
    <w:rsid w:val="30D53BBD"/>
    <w:rsid w:val="30D541D4"/>
    <w:rsid w:val="30D7502F"/>
    <w:rsid w:val="30DE587B"/>
    <w:rsid w:val="30E36C85"/>
    <w:rsid w:val="30E84BF4"/>
    <w:rsid w:val="30E92D4B"/>
    <w:rsid w:val="30EE04FB"/>
    <w:rsid w:val="30EF394C"/>
    <w:rsid w:val="30F2365A"/>
    <w:rsid w:val="30F46B5D"/>
    <w:rsid w:val="30FA04CF"/>
    <w:rsid w:val="30FB1D6B"/>
    <w:rsid w:val="30FE746D"/>
    <w:rsid w:val="31005F33"/>
    <w:rsid w:val="3105267B"/>
    <w:rsid w:val="31056DF8"/>
    <w:rsid w:val="310622FB"/>
    <w:rsid w:val="310B330B"/>
    <w:rsid w:val="310E2F8A"/>
    <w:rsid w:val="31102E48"/>
    <w:rsid w:val="3110AC7C"/>
    <w:rsid w:val="31121EB3"/>
    <w:rsid w:val="311259C8"/>
    <w:rsid w:val="31140B8A"/>
    <w:rsid w:val="311C1421"/>
    <w:rsid w:val="31271357"/>
    <w:rsid w:val="312C5FD1"/>
    <w:rsid w:val="312F34BF"/>
    <w:rsid w:val="3130189D"/>
    <w:rsid w:val="313047C4"/>
    <w:rsid w:val="31324B8F"/>
    <w:rsid w:val="313B72D2"/>
    <w:rsid w:val="313D6058"/>
    <w:rsid w:val="313E0256"/>
    <w:rsid w:val="3141444D"/>
    <w:rsid w:val="31414A5E"/>
    <w:rsid w:val="314224E0"/>
    <w:rsid w:val="31447BE1"/>
    <w:rsid w:val="314A1AEA"/>
    <w:rsid w:val="31545C7D"/>
    <w:rsid w:val="315B181D"/>
    <w:rsid w:val="315D14FB"/>
    <w:rsid w:val="316250E0"/>
    <w:rsid w:val="31683342"/>
    <w:rsid w:val="31763C33"/>
    <w:rsid w:val="317A82AB"/>
    <w:rsid w:val="3181001F"/>
    <w:rsid w:val="318956D7"/>
    <w:rsid w:val="318C2AF7"/>
    <w:rsid w:val="3192410B"/>
    <w:rsid w:val="31925762"/>
    <w:rsid w:val="31970F3E"/>
    <w:rsid w:val="319C18F5"/>
    <w:rsid w:val="31A11C85"/>
    <w:rsid w:val="31B5119A"/>
    <w:rsid w:val="31B935FE"/>
    <w:rsid w:val="31BA5621"/>
    <w:rsid w:val="31C03BAB"/>
    <w:rsid w:val="31C66EB6"/>
    <w:rsid w:val="31D5284E"/>
    <w:rsid w:val="31D80455"/>
    <w:rsid w:val="31D80513"/>
    <w:rsid w:val="31D95CA2"/>
    <w:rsid w:val="31E00548"/>
    <w:rsid w:val="31E131F7"/>
    <w:rsid w:val="31E46E3B"/>
    <w:rsid w:val="31E72C6D"/>
    <w:rsid w:val="31F23F89"/>
    <w:rsid w:val="31F33DF2"/>
    <w:rsid w:val="31F43BC1"/>
    <w:rsid w:val="31FA1C8E"/>
    <w:rsid w:val="31FB7710"/>
    <w:rsid w:val="320109FD"/>
    <w:rsid w:val="32047826"/>
    <w:rsid w:val="320D376A"/>
    <w:rsid w:val="321506AE"/>
    <w:rsid w:val="321524B8"/>
    <w:rsid w:val="322070BA"/>
    <w:rsid w:val="32211B4E"/>
    <w:rsid w:val="322C7EDF"/>
    <w:rsid w:val="322D12EF"/>
    <w:rsid w:val="32342D6D"/>
    <w:rsid w:val="323629ED"/>
    <w:rsid w:val="32453007"/>
    <w:rsid w:val="324B1365"/>
    <w:rsid w:val="325356E2"/>
    <w:rsid w:val="325611A6"/>
    <w:rsid w:val="325B2637"/>
    <w:rsid w:val="325C64B0"/>
    <w:rsid w:val="32621283"/>
    <w:rsid w:val="32645ABA"/>
    <w:rsid w:val="32653528"/>
    <w:rsid w:val="32656435"/>
    <w:rsid w:val="327921DC"/>
    <w:rsid w:val="328421C3"/>
    <w:rsid w:val="328A5CFA"/>
    <w:rsid w:val="328C597A"/>
    <w:rsid w:val="32920A88"/>
    <w:rsid w:val="329B3A16"/>
    <w:rsid w:val="32A6777E"/>
    <w:rsid w:val="32A70D50"/>
    <w:rsid w:val="32A80A7D"/>
    <w:rsid w:val="32AA674C"/>
    <w:rsid w:val="32B62041"/>
    <w:rsid w:val="32B92FC6"/>
    <w:rsid w:val="32BA45C2"/>
    <w:rsid w:val="32BD2D68"/>
    <w:rsid w:val="32C10ADB"/>
    <w:rsid w:val="32C32F2F"/>
    <w:rsid w:val="32C74721"/>
    <w:rsid w:val="32C91062"/>
    <w:rsid w:val="32CD7A68"/>
    <w:rsid w:val="32CF2F6B"/>
    <w:rsid w:val="32CF5169"/>
    <w:rsid w:val="32D11EE7"/>
    <w:rsid w:val="32D415F1"/>
    <w:rsid w:val="32D549D9"/>
    <w:rsid w:val="32D57073"/>
    <w:rsid w:val="32D912FC"/>
    <w:rsid w:val="32DB47FF"/>
    <w:rsid w:val="32E874F3"/>
    <w:rsid w:val="32F31EA6"/>
    <w:rsid w:val="32FB3538"/>
    <w:rsid w:val="330322D6"/>
    <w:rsid w:val="330A6248"/>
    <w:rsid w:val="33120FB6"/>
    <w:rsid w:val="3317335F"/>
    <w:rsid w:val="331D35FA"/>
    <w:rsid w:val="331E1296"/>
    <w:rsid w:val="332562B4"/>
    <w:rsid w:val="332B4E2E"/>
    <w:rsid w:val="332F0A06"/>
    <w:rsid w:val="33301EA4"/>
    <w:rsid w:val="33334E8E"/>
    <w:rsid w:val="33370B5F"/>
    <w:rsid w:val="33371696"/>
    <w:rsid w:val="333D3C9C"/>
    <w:rsid w:val="33401FA5"/>
    <w:rsid w:val="33423F49"/>
    <w:rsid w:val="33446DD8"/>
    <w:rsid w:val="334873B2"/>
    <w:rsid w:val="334D0383"/>
    <w:rsid w:val="334D3839"/>
    <w:rsid w:val="334D5155"/>
    <w:rsid w:val="334F4237"/>
    <w:rsid w:val="335135AD"/>
    <w:rsid w:val="33527CC1"/>
    <w:rsid w:val="33537941"/>
    <w:rsid w:val="33571BCB"/>
    <w:rsid w:val="33580FD6"/>
    <w:rsid w:val="336165AC"/>
    <w:rsid w:val="3364345F"/>
    <w:rsid w:val="3364565D"/>
    <w:rsid w:val="33684063"/>
    <w:rsid w:val="33691AE5"/>
    <w:rsid w:val="336978E6"/>
    <w:rsid w:val="336A5368"/>
    <w:rsid w:val="33743F9A"/>
    <w:rsid w:val="33751688"/>
    <w:rsid w:val="337C5E49"/>
    <w:rsid w:val="337E2DBA"/>
    <w:rsid w:val="33830490"/>
    <w:rsid w:val="33921838"/>
    <w:rsid w:val="33941A2F"/>
    <w:rsid w:val="339729B4"/>
    <w:rsid w:val="339A446A"/>
    <w:rsid w:val="339B2007"/>
    <w:rsid w:val="339C21EB"/>
    <w:rsid w:val="33A154C2"/>
    <w:rsid w:val="33A3E1AF"/>
    <w:rsid w:val="33A806D0"/>
    <w:rsid w:val="33AD0EAF"/>
    <w:rsid w:val="33AD4B58"/>
    <w:rsid w:val="33AF005B"/>
    <w:rsid w:val="33B3759D"/>
    <w:rsid w:val="33B421B0"/>
    <w:rsid w:val="33B54162"/>
    <w:rsid w:val="33C235E5"/>
    <w:rsid w:val="33C259F7"/>
    <w:rsid w:val="33C36CFB"/>
    <w:rsid w:val="33D0278E"/>
    <w:rsid w:val="33D50AB3"/>
    <w:rsid w:val="33D7678D"/>
    <w:rsid w:val="33DA6921"/>
    <w:rsid w:val="33E54CB2"/>
    <w:rsid w:val="33F00AC4"/>
    <w:rsid w:val="33F229E1"/>
    <w:rsid w:val="33F97DCE"/>
    <w:rsid w:val="33FC48D7"/>
    <w:rsid w:val="33FD2358"/>
    <w:rsid w:val="34032AC0"/>
    <w:rsid w:val="340C6244"/>
    <w:rsid w:val="340F0A54"/>
    <w:rsid w:val="34120C85"/>
    <w:rsid w:val="34165481"/>
    <w:rsid w:val="341D068F"/>
    <w:rsid w:val="341E2485"/>
    <w:rsid w:val="3424001A"/>
    <w:rsid w:val="342844A1"/>
    <w:rsid w:val="34335D23"/>
    <w:rsid w:val="343D0BC3"/>
    <w:rsid w:val="34452C6C"/>
    <w:rsid w:val="34486F54"/>
    <w:rsid w:val="34580D8D"/>
    <w:rsid w:val="345952EB"/>
    <w:rsid w:val="345C49A7"/>
    <w:rsid w:val="346045FB"/>
    <w:rsid w:val="34612DBE"/>
    <w:rsid w:val="34692D0C"/>
    <w:rsid w:val="346B00EF"/>
    <w:rsid w:val="346B7135"/>
    <w:rsid w:val="34762022"/>
    <w:rsid w:val="347B2A3D"/>
    <w:rsid w:val="347C3F2B"/>
    <w:rsid w:val="3485123D"/>
    <w:rsid w:val="3487237B"/>
    <w:rsid w:val="348A7F1D"/>
    <w:rsid w:val="348F514A"/>
    <w:rsid w:val="349B0B0D"/>
    <w:rsid w:val="349F1B61"/>
    <w:rsid w:val="34AE48E2"/>
    <w:rsid w:val="34B453EB"/>
    <w:rsid w:val="34B8751A"/>
    <w:rsid w:val="34BA268B"/>
    <w:rsid w:val="34BE2416"/>
    <w:rsid w:val="34CD2A31"/>
    <w:rsid w:val="34D3493A"/>
    <w:rsid w:val="34D4418C"/>
    <w:rsid w:val="34D90A42"/>
    <w:rsid w:val="34DA2967"/>
    <w:rsid w:val="34E26D79"/>
    <w:rsid w:val="34E65B59"/>
    <w:rsid w:val="34E73EBF"/>
    <w:rsid w:val="34E83FCE"/>
    <w:rsid w:val="34EA6ECE"/>
    <w:rsid w:val="34EB675E"/>
    <w:rsid w:val="34EE76E2"/>
    <w:rsid w:val="34F315EC"/>
    <w:rsid w:val="34F528F0"/>
    <w:rsid w:val="351339A1"/>
    <w:rsid w:val="351D3D85"/>
    <w:rsid w:val="35375618"/>
    <w:rsid w:val="354229F0"/>
    <w:rsid w:val="35450520"/>
    <w:rsid w:val="354605BD"/>
    <w:rsid w:val="354613F6"/>
    <w:rsid w:val="35461952"/>
    <w:rsid w:val="35476E77"/>
    <w:rsid w:val="354D2F7F"/>
    <w:rsid w:val="35561690"/>
    <w:rsid w:val="355B5B18"/>
    <w:rsid w:val="355C6F55"/>
    <w:rsid w:val="355D06F3"/>
    <w:rsid w:val="356154A3"/>
    <w:rsid w:val="35621829"/>
    <w:rsid w:val="35634299"/>
    <w:rsid w:val="35673658"/>
    <w:rsid w:val="35764143"/>
    <w:rsid w:val="358E17EA"/>
    <w:rsid w:val="359330B7"/>
    <w:rsid w:val="35941175"/>
    <w:rsid w:val="359720FA"/>
    <w:rsid w:val="359833FE"/>
    <w:rsid w:val="3598597D"/>
    <w:rsid w:val="359D295D"/>
    <w:rsid w:val="359E6444"/>
    <w:rsid w:val="35A91A40"/>
    <w:rsid w:val="35AA111A"/>
    <w:rsid w:val="35B0680E"/>
    <w:rsid w:val="35B46497"/>
    <w:rsid w:val="35B516AA"/>
    <w:rsid w:val="35B83652"/>
    <w:rsid w:val="35BA60CE"/>
    <w:rsid w:val="35BF1FB9"/>
    <w:rsid w:val="35C10D3F"/>
    <w:rsid w:val="35C36441"/>
    <w:rsid w:val="35C651C7"/>
    <w:rsid w:val="35CE47D2"/>
    <w:rsid w:val="35CF7E2F"/>
    <w:rsid w:val="35D905E4"/>
    <w:rsid w:val="35DA7A1D"/>
    <w:rsid w:val="35DC736B"/>
    <w:rsid w:val="35E01715"/>
    <w:rsid w:val="35E627D5"/>
    <w:rsid w:val="35EB535C"/>
    <w:rsid w:val="35F36349"/>
    <w:rsid w:val="35FB0557"/>
    <w:rsid w:val="35FB7C20"/>
    <w:rsid w:val="35FC56A1"/>
    <w:rsid w:val="35FE1FBF"/>
    <w:rsid w:val="35FE5B10"/>
    <w:rsid w:val="36044383"/>
    <w:rsid w:val="360833DF"/>
    <w:rsid w:val="360949B7"/>
    <w:rsid w:val="360C24AB"/>
    <w:rsid w:val="360C2505"/>
    <w:rsid w:val="360D30A4"/>
    <w:rsid w:val="3619790A"/>
    <w:rsid w:val="361E5124"/>
    <w:rsid w:val="36203B2D"/>
    <w:rsid w:val="362115CD"/>
    <w:rsid w:val="36273F67"/>
    <w:rsid w:val="36325D12"/>
    <w:rsid w:val="36352F10"/>
    <w:rsid w:val="3635547B"/>
    <w:rsid w:val="36453517"/>
    <w:rsid w:val="364A6F3B"/>
    <w:rsid w:val="364E6FB0"/>
    <w:rsid w:val="3654172E"/>
    <w:rsid w:val="36592A97"/>
    <w:rsid w:val="365A7C39"/>
    <w:rsid w:val="365D5168"/>
    <w:rsid w:val="36625897"/>
    <w:rsid w:val="366372FB"/>
    <w:rsid w:val="366A5CD5"/>
    <w:rsid w:val="366F7BDE"/>
    <w:rsid w:val="36765FEC"/>
    <w:rsid w:val="36767D98"/>
    <w:rsid w:val="367837F6"/>
    <w:rsid w:val="367C093A"/>
    <w:rsid w:val="367F0458"/>
    <w:rsid w:val="36817537"/>
    <w:rsid w:val="3683687F"/>
    <w:rsid w:val="36844301"/>
    <w:rsid w:val="36896A78"/>
    <w:rsid w:val="368F2692"/>
    <w:rsid w:val="368F6A77"/>
    <w:rsid w:val="3699519F"/>
    <w:rsid w:val="369A2C21"/>
    <w:rsid w:val="369C6124"/>
    <w:rsid w:val="369E7586"/>
    <w:rsid w:val="36A003AE"/>
    <w:rsid w:val="36A040D2"/>
    <w:rsid w:val="36A622B7"/>
    <w:rsid w:val="36AB673F"/>
    <w:rsid w:val="36AF4EB1"/>
    <w:rsid w:val="36B23B4B"/>
    <w:rsid w:val="36B45BEF"/>
    <w:rsid w:val="36B6623F"/>
    <w:rsid w:val="36B9703B"/>
    <w:rsid w:val="36C20D6D"/>
    <w:rsid w:val="36CF5679"/>
    <w:rsid w:val="36D23C54"/>
    <w:rsid w:val="36D24400"/>
    <w:rsid w:val="36D474CE"/>
    <w:rsid w:val="36D82651"/>
    <w:rsid w:val="36DB148C"/>
    <w:rsid w:val="36DF1167"/>
    <w:rsid w:val="36E16C19"/>
    <w:rsid w:val="36EF012D"/>
    <w:rsid w:val="36F04CBD"/>
    <w:rsid w:val="36F100CE"/>
    <w:rsid w:val="36F445B4"/>
    <w:rsid w:val="36F52036"/>
    <w:rsid w:val="36FF03C7"/>
    <w:rsid w:val="36FF5762"/>
    <w:rsid w:val="36FF61C9"/>
    <w:rsid w:val="37031A58"/>
    <w:rsid w:val="37083929"/>
    <w:rsid w:val="370C62A9"/>
    <w:rsid w:val="370E3E66"/>
    <w:rsid w:val="3711635E"/>
    <w:rsid w:val="371371EE"/>
    <w:rsid w:val="371A47F4"/>
    <w:rsid w:val="372106AE"/>
    <w:rsid w:val="37250607"/>
    <w:rsid w:val="372A4E59"/>
    <w:rsid w:val="372E6D18"/>
    <w:rsid w:val="3730757F"/>
    <w:rsid w:val="373227CE"/>
    <w:rsid w:val="373359C2"/>
    <w:rsid w:val="37387627"/>
    <w:rsid w:val="373B4434"/>
    <w:rsid w:val="373B4692"/>
    <w:rsid w:val="373B602E"/>
    <w:rsid w:val="373E26A1"/>
    <w:rsid w:val="37433D8C"/>
    <w:rsid w:val="3745194B"/>
    <w:rsid w:val="374B0D46"/>
    <w:rsid w:val="375359FA"/>
    <w:rsid w:val="376016E5"/>
    <w:rsid w:val="376A5878"/>
    <w:rsid w:val="376E7A18"/>
    <w:rsid w:val="3776710C"/>
    <w:rsid w:val="377D6A97"/>
    <w:rsid w:val="37866CC0"/>
    <w:rsid w:val="379824DC"/>
    <w:rsid w:val="37A23453"/>
    <w:rsid w:val="37A36CD7"/>
    <w:rsid w:val="37A416A9"/>
    <w:rsid w:val="37A46956"/>
    <w:rsid w:val="37A64AE0"/>
    <w:rsid w:val="37A80BE0"/>
    <w:rsid w:val="37AB1B65"/>
    <w:rsid w:val="37AB2093"/>
    <w:rsid w:val="37B06B2D"/>
    <w:rsid w:val="37B54672"/>
    <w:rsid w:val="37B556B0"/>
    <w:rsid w:val="37B70636"/>
    <w:rsid w:val="37BA40B2"/>
    <w:rsid w:val="37C4498C"/>
    <w:rsid w:val="37D416A4"/>
    <w:rsid w:val="37DC2334"/>
    <w:rsid w:val="37F5325E"/>
    <w:rsid w:val="37F66761"/>
    <w:rsid w:val="37FB36FD"/>
    <w:rsid w:val="37FB7365"/>
    <w:rsid w:val="38035B86"/>
    <w:rsid w:val="38045A76"/>
    <w:rsid w:val="38086A4E"/>
    <w:rsid w:val="380E0584"/>
    <w:rsid w:val="380E0B5F"/>
    <w:rsid w:val="380F1889"/>
    <w:rsid w:val="381750B3"/>
    <w:rsid w:val="381C4D07"/>
    <w:rsid w:val="38215136"/>
    <w:rsid w:val="38283283"/>
    <w:rsid w:val="38289904"/>
    <w:rsid w:val="38291C1D"/>
    <w:rsid w:val="382B5936"/>
    <w:rsid w:val="382F3BDB"/>
    <w:rsid w:val="383425AF"/>
    <w:rsid w:val="38344F41"/>
    <w:rsid w:val="3836418A"/>
    <w:rsid w:val="3841400E"/>
    <w:rsid w:val="384C458D"/>
    <w:rsid w:val="38592F82"/>
    <w:rsid w:val="385B18FF"/>
    <w:rsid w:val="385B8949"/>
    <w:rsid w:val="385E4E8B"/>
    <w:rsid w:val="38635A90"/>
    <w:rsid w:val="386827C0"/>
    <w:rsid w:val="386A1B7A"/>
    <w:rsid w:val="386C3059"/>
    <w:rsid w:val="386C41A1"/>
    <w:rsid w:val="386D560E"/>
    <w:rsid w:val="386F7324"/>
    <w:rsid w:val="38736485"/>
    <w:rsid w:val="387B0127"/>
    <w:rsid w:val="387B3137"/>
    <w:rsid w:val="38866F49"/>
    <w:rsid w:val="388727CC"/>
    <w:rsid w:val="388A594F"/>
    <w:rsid w:val="388E4356"/>
    <w:rsid w:val="38934061"/>
    <w:rsid w:val="38934FD1"/>
    <w:rsid w:val="38941AE2"/>
    <w:rsid w:val="38976673"/>
    <w:rsid w:val="389D10ED"/>
    <w:rsid w:val="38A13376"/>
    <w:rsid w:val="38AA3C86"/>
    <w:rsid w:val="38AA7101"/>
    <w:rsid w:val="38AE5657"/>
    <w:rsid w:val="38B668E3"/>
    <w:rsid w:val="38C138AB"/>
    <w:rsid w:val="38C4717C"/>
    <w:rsid w:val="38C61316"/>
    <w:rsid w:val="38D428CC"/>
    <w:rsid w:val="38D812D2"/>
    <w:rsid w:val="38E1517A"/>
    <w:rsid w:val="38E472E3"/>
    <w:rsid w:val="38EC24CB"/>
    <w:rsid w:val="38F00B77"/>
    <w:rsid w:val="38F01FC4"/>
    <w:rsid w:val="38F165F8"/>
    <w:rsid w:val="38F475C4"/>
    <w:rsid w:val="38F83D7C"/>
    <w:rsid w:val="38FA4D0A"/>
    <w:rsid w:val="390215F8"/>
    <w:rsid w:val="39026893"/>
    <w:rsid w:val="390E361C"/>
    <w:rsid w:val="39153335"/>
    <w:rsid w:val="39214D72"/>
    <w:rsid w:val="39243851"/>
    <w:rsid w:val="39291FD6"/>
    <w:rsid w:val="39296E78"/>
    <w:rsid w:val="392B1836"/>
    <w:rsid w:val="392C0D5C"/>
    <w:rsid w:val="39301FAF"/>
    <w:rsid w:val="393E08AF"/>
    <w:rsid w:val="394226E9"/>
    <w:rsid w:val="39430981"/>
    <w:rsid w:val="39473EF6"/>
    <w:rsid w:val="394D348F"/>
    <w:rsid w:val="394E0F10"/>
    <w:rsid w:val="394F2215"/>
    <w:rsid w:val="39540160"/>
    <w:rsid w:val="395C0A08"/>
    <w:rsid w:val="395E1A0F"/>
    <w:rsid w:val="395E4115"/>
    <w:rsid w:val="39607F31"/>
    <w:rsid w:val="39616862"/>
    <w:rsid w:val="39633163"/>
    <w:rsid w:val="39644874"/>
    <w:rsid w:val="39655B3E"/>
    <w:rsid w:val="3965C0E6"/>
    <w:rsid w:val="396B2A3F"/>
    <w:rsid w:val="396B4BF2"/>
    <w:rsid w:val="396B62C2"/>
    <w:rsid w:val="396D10DF"/>
    <w:rsid w:val="396E7247"/>
    <w:rsid w:val="3971469F"/>
    <w:rsid w:val="39754190"/>
    <w:rsid w:val="3980268B"/>
    <w:rsid w:val="3980612A"/>
    <w:rsid w:val="3989B596"/>
    <w:rsid w:val="39942CEA"/>
    <w:rsid w:val="39942EF0"/>
    <w:rsid w:val="39997D48"/>
    <w:rsid w:val="399A358E"/>
    <w:rsid w:val="399D7D96"/>
    <w:rsid w:val="39A86127"/>
    <w:rsid w:val="39AA162A"/>
    <w:rsid w:val="39AB4A90"/>
    <w:rsid w:val="39B40969"/>
    <w:rsid w:val="39B750BD"/>
    <w:rsid w:val="39BF2B1A"/>
    <w:rsid w:val="39C60C6E"/>
    <w:rsid w:val="39D349ED"/>
    <w:rsid w:val="39D41E0F"/>
    <w:rsid w:val="39D620EE"/>
    <w:rsid w:val="39D622F4"/>
    <w:rsid w:val="39D80072"/>
    <w:rsid w:val="39E056DD"/>
    <w:rsid w:val="39E96B90"/>
    <w:rsid w:val="39EF1CA6"/>
    <w:rsid w:val="39F057E5"/>
    <w:rsid w:val="39F30EC3"/>
    <w:rsid w:val="3A092B2A"/>
    <w:rsid w:val="3A127C30"/>
    <w:rsid w:val="3A145456"/>
    <w:rsid w:val="3A1976E0"/>
    <w:rsid w:val="3A22476C"/>
    <w:rsid w:val="3A247076"/>
    <w:rsid w:val="3A285059"/>
    <w:rsid w:val="3A2B43BC"/>
    <w:rsid w:val="3A2F07E2"/>
    <w:rsid w:val="3A3A7D4B"/>
    <w:rsid w:val="3A3E7A83"/>
    <w:rsid w:val="3A4F49E1"/>
    <w:rsid w:val="3A5133C8"/>
    <w:rsid w:val="3A532E7B"/>
    <w:rsid w:val="3A584C46"/>
    <w:rsid w:val="3A5977A8"/>
    <w:rsid w:val="3A5A17F8"/>
    <w:rsid w:val="3A5A39CA"/>
    <w:rsid w:val="3A5C3FFC"/>
    <w:rsid w:val="3A606BEE"/>
    <w:rsid w:val="3A613357"/>
    <w:rsid w:val="3A6677DF"/>
    <w:rsid w:val="3A691408"/>
    <w:rsid w:val="3A6B5E65"/>
    <w:rsid w:val="3A7024E5"/>
    <w:rsid w:val="3A726921"/>
    <w:rsid w:val="3A77082C"/>
    <w:rsid w:val="3A7D0F55"/>
    <w:rsid w:val="3A7D1602"/>
    <w:rsid w:val="3A7F4B06"/>
    <w:rsid w:val="3A836D8F"/>
    <w:rsid w:val="3A8B1E81"/>
    <w:rsid w:val="3A935D4C"/>
    <w:rsid w:val="3A941228"/>
    <w:rsid w:val="3A976BC0"/>
    <w:rsid w:val="3A9B44DE"/>
    <w:rsid w:val="3A9C505E"/>
    <w:rsid w:val="3AA23DC1"/>
    <w:rsid w:val="3AA36863"/>
    <w:rsid w:val="3AA50AA5"/>
    <w:rsid w:val="3AAC5253"/>
    <w:rsid w:val="3AB1708F"/>
    <w:rsid w:val="3AB318F1"/>
    <w:rsid w:val="3AB40E8F"/>
    <w:rsid w:val="3AB62A61"/>
    <w:rsid w:val="3AC1434A"/>
    <w:rsid w:val="3AC325CA"/>
    <w:rsid w:val="3ACC4C05"/>
    <w:rsid w:val="3ACD2686"/>
    <w:rsid w:val="3AD23763"/>
    <w:rsid w:val="3AD65514"/>
    <w:rsid w:val="3AD8429B"/>
    <w:rsid w:val="3AD9074E"/>
    <w:rsid w:val="3ADC741E"/>
    <w:rsid w:val="3AE138A5"/>
    <w:rsid w:val="3AE57D2D"/>
    <w:rsid w:val="3AF200AA"/>
    <w:rsid w:val="3AFD68B8"/>
    <w:rsid w:val="3AFE0C57"/>
    <w:rsid w:val="3B005BA8"/>
    <w:rsid w:val="3B006358"/>
    <w:rsid w:val="3B025860"/>
    <w:rsid w:val="3B092749"/>
    <w:rsid w:val="3B0B7F6D"/>
    <w:rsid w:val="3B0E3EF7"/>
    <w:rsid w:val="3B134555"/>
    <w:rsid w:val="3B156D7F"/>
    <w:rsid w:val="3B183024"/>
    <w:rsid w:val="3B199B34"/>
    <w:rsid w:val="3B1D4650"/>
    <w:rsid w:val="3B235613"/>
    <w:rsid w:val="3B2D5F23"/>
    <w:rsid w:val="3B3B0ABC"/>
    <w:rsid w:val="3B415344"/>
    <w:rsid w:val="3B46104B"/>
    <w:rsid w:val="3B4C09D6"/>
    <w:rsid w:val="3B4E0E59"/>
    <w:rsid w:val="3B4F0A10"/>
    <w:rsid w:val="3B561D9F"/>
    <w:rsid w:val="3B5F14D7"/>
    <w:rsid w:val="3B5F2F9C"/>
    <w:rsid w:val="3B62097B"/>
    <w:rsid w:val="3B6363FD"/>
    <w:rsid w:val="3B643E7F"/>
    <w:rsid w:val="3B677002"/>
    <w:rsid w:val="3B6B5C0B"/>
    <w:rsid w:val="3B7403EB"/>
    <w:rsid w:val="3B7D6FA7"/>
    <w:rsid w:val="3B7E4A28"/>
    <w:rsid w:val="3B83362A"/>
    <w:rsid w:val="3B851E35"/>
    <w:rsid w:val="3B875338"/>
    <w:rsid w:val="3B877655"/>
    <w:rsid w:val="3B9117A2"/>
    <w:rsid w:val="3B935B11"/>
    <w:rsid w:val="3B965952"/>
    <w:rsid w:val="3B982DA9"/>
    <w:rsid w:val="3B997AE8"/>
    <w:rsid w:val="3B9B16A2"/>
    <w:rsid w:val="3B9D74DC"/>
    <w:rsid w:val="3BA06262"/>
    <w:rsid w:val="3BB57101"/>
    <w:rsid w:val="3BBA100A"/>
    <w:rsid w:val="3BBC02C1"/>
    <w:rsid w:val="3BBCB03A"/>
    <w:rsid w:val="3BC95DA1"/>
    <w:rsid w:val="3BCC25A9"/>
    <w:rsid w:val="3BCF572C"/>
    <w:rsid w:val="3BD079E7"/>
    <w:rsid w:val="3BD11C22"/>
    <w:rsid w:val="3BD702F1"/>
    <w:rsid w:val="3BDC7928"/>
    <w:rsid w:val="3BE47CC6"/>
    <w:rsid w:val="3BF3721B"/>
    <w:rsid w:val="3BF868F0"/>
    <w:rsid w:val="3BFA1DF4"/>
    <w:rsid w:val="3BFC0772"/>
    <w:rsid w:val="3BFC6525"/>
    <w:rsid w:val="3C027200"/>
    <w:rsid w:val="3C045F6C"/>
    <w:rsid w:val="3C081952"/>
    <w:rsid w:val="3C097296"/>
    <w:rsid w:val="3C0E0A94"/>
    <w:rsid w:val="3C0F1D99"/>
    <w:rsid w:val="3C0F3A1C"/>
    <w:rsid w:val="3C0F7DD2"/>
    <w:rsid w:val="3C123E00"/>
    <w:rsid w:val="3C152DBD"/>
    <w:rsid w:val="3C154BC4"/>
    <w:rsid w:val="3C1C362D"/>
    <w:rsid w:val="3C1E6B30"/>
    <w:rsid w:val="3C227735"/>
    <w:rsid w:val="3C2564BB"/>
    <w:rsid w:val="3C2B25C3"/>
    <w:rsid w:val="3C340DBC"/>
    <w:rsid w:val="3C3A29F5"/>
    <w:rsid w:val="3C488DBC"/>
    <w:rsid w:val="3C4A2D55"/>
    <w:rsid w:val="3C4D289D"/>
    <w:rsid w:val="3C6669DF"/>
    <w:rsid w:val="3C666F24"/>
    <w:rsid w:val="3C6E4B61"/>
    <w:rsid w:val="3C700684"/>
    <w:rsid w:val="3C703FDA"/>
    <w:rsid w:val="3C740639"/>
    <w:rsid w:val="3C741ABD"/>
    <w:rsid w:val="3C743CBC"/>
    <w:rsid w:val="3C790143"/>
    <w:rsid w:val="3C7A1448"/>
    <w:rsid w:val="3C7B6ECA"/>
    <w:rsid w:val="3C7E45CB"/>
    <w:rsid w:val="3C826855"/>
    <w:rsid w:val="3C850B8A"/>
    <w:rsid w:val="3C8A164C"/>
    <w:rsid w:val="3C8F6323"/>
    <w:rsid w:val="3C92DBCE"/>
    <w:rsid w:val="3C930CED"/>
    <w:rsid w:val="3C965788"/>
    <w:rsid w:val="3C9A762D"/>
    <w:rsid w:val="3C9C5ED7"/>
    <w:rsid w:val="3C9F531B"/>
    <w:rsid w:val="3CA376E8"/>
    <w:rsid w:val="3CA57A27"/>
    <w:rsid w:val="3CAE2B9C"/>
    <w:rsid w:val="3CBE0C38"/>
    <w:rsid w:val="3CBE5B25"/>
    <w:rsid w:val="3CC20E74"/>
    <w:rsid w:val="3CC60243"/>
    <w:rsid w:val="3CCA4061"/>
    <w:rsid w:val="3CCB035F"/>
    <w:rsid w:val="3CCF0CF6"/>
    <w:rsid w:val="3CD80572"/>
    <w:rsid w:val="3CE04D3A"/>
    <w:rsid w:val="3CE1184F"/>
    <w:rsid w:val="3CE120F1"/>
    <w:rsid w:val="3CE138EA"/>
    <w:rsid w:val="3CE27D8E"/>
    <w:rsid w:val="3CE43418"/>
    <w:rsid w:val="3CE85EE2"/>
    <w:rsid w:val="3CE974FE"/>
    <w:rsid w:val="3CEA16FC"/>
    <w:rsid w:val="3CEA4F7F"/>
    <w:rsid w:val="3CF16B08"/>
    <w:rsid w:val="3CF4588F"/>
    <w:rsid w:val="3CF633F6"/>
    <w:rsid w:val="3CFC071D"/>
    <w:rsid w:val="3D025FB1"/>
    <w:rsid w:val="3D034B1E"/>
    <w:rsid w:val="3D03792A"/>
    <w:rsid w:val="3D0C2F35"/>
    <w:rsid w:val="3D0F0F12"/>
    <w:rsid w:val="3D145C82"/>
    <w:rsid w:val="3D2518E1"/>
    <w:rsid w:val="3D2B37EA"/>
    <w:rsid w:val="3D3665BE"/>
    <w:rsid w:val="3D3A6003"/>
    <w:rsid w:val="3D3C482B"/>
    <w:rsid w:val="3D407F0C"/>
    <w:rsid w:val="3D440B11"/>
    <w:rsid w:val="3D441AE9"/>
    <w:rsid w:val="3D4C3459"/>
    <w:rsid w:val="3D5567D1"/>
    <w:rsid w:val="3D5D239B"/>
    <w:rsid w:val="3D6267D9"/>
    <w:rsid w:val="3D6548C9"/>
    <w:rsid w:val="3D672CF3"/>
    <w:rsid w:val="3D78574A"/>
    <w:rsid w:val="3D7B053E"/>
    <w:rsid w:val="3D85737C"/>
    <w:rsid w:val="3D8748EF"/>
    <w:rsid w:val="3D880301"/>
    <w:rsid w:val="3D895F5B"/>
    <w:rsid w:val="3D8A58DE"/>
    <w:rsid w:val="3D9559C0"/>
    <w:rsid w:val="3D997A67"/>
    <w:rsid w:val="3D997DD2"/>
    <w:rsid w:val="3D9C2405"/>
    <w:rsid w:val="3D9D43E2"/>
    <w:rsid w:val="3DA420A1"/>
    <w:rsid w:val="3DA54918"/>
    <w:rsid w:val="3DA649C1"/>
    <w:rsid w:val="3DAE5EC2"/>
    <w:rsid w:val="3DAF6EFA"/>
    <w:rsid w:val="3DB8304E"/>
    <w:rsid w:val="3DBA5126"/>
    <w:rsid w:val="3DBB3FD3"/>
    <w:rsid w:val="3DBE07DB"/>
    <w:rsid w:val="3DC1175F"/>
    <w:rsid w:val="3DCA206F"/>
    <w:rsid w:val="3DCD4C9C"/>
    <w:rsid w:val="3DD54329"/>
    <w:rsid w:val="3DD97A46"/>
    <w:rsid w:val="3DDB173F"/>
    <w:rsid w:val="3DE85E9C"/>
    <w:rsid w:val="3DEC4562"/>
    <w:rsid w:val="3DED6BC5"/>
    <w:rsid w:val="3DEE3528"/>
    <w:rsid w:val="3DF01562"/>
    <w:rsid w:val="3DF022AF"/>
    <w:rsid w:val="3DF101A2"/>
    <w:rsid w:val="3DF257B2"/>
    <w:rsid w:val="3DF45431"/>
    <w:rsid w:val="3E026D61"/>
    <w:rsid w:val="3E0953D7"/>
    <w:rsid w:val="3E0DACA3"/>
    <w:rsid w:val="3E1024F0"/>
    <w:rsid w:val="3E134E2D"/>
    <w:rsid w:val="3E135CE6"/>
    <w:rsid w:val="3E143768"/>
    <w:rsid w:val="3E145966"/>
    <w:rsid w:val="3E1A5671"/>
    <w:rsid w:val="3E1F21E1"/>
    <w:rsid w:val="3E25365D"/>
    <w:rsid w:val="3E2972F7"/>
    <w:rsid w:val="3E2C6DE7"/>
    <w:rsid w:val="3E2DB9FD"/>
    <w:rsid w:val="3E2F6B19"/>
    <w:rsid w:val="3E322D18"/>
    <w:rsid w:val="3E332998"/>
    <w:rsid w:val="3E390124"/>
    <w:rsid w:val="3E4A7DCA"/>
    <w:rsid w:val="3E52324D"/>
    <w:rsid w:val="3E530CCE"/>
    <w:rsid w:val="3E5D15DE"/>
    <w:rsid w:val="3E5D4E61"/>
    <w:rsid w:val="3E605DE6"/>
    <w:rsid w:val="3E6B1BF8"/>
    <w:rsid w:val="3E6E2B7D"/>
    <w:rsid w:val="3E6F7D75"/>
    <w:rsid w:val="3E7027FD"/>
    <w:rsid w:val="3E7041CD"/>
    <w:rsid w:val="3E7A698F"/>
    <w:rsid w:val="3E7B660F"/>
    <w:rsid w:val="3E7D7914"/>
    <w:rsid w:val="3E823FEF"/>
    <w:rsid w:val="3E825F9A"/>
    <w:rsid w:val="3E887EA3"/>
    <w:rsid w:val="3E8A6C2A"/>
    <w:rsid w:val="3E92332F"/>
    <w:rsid w:val="3E9339D2"/>
    <w:rsid w:val="3E9B10C2"/>
    <w:rsid w:val="3E9B6EC4"/>
    <w:rsid w:val="3E9F7AC9"/>
    <w:rsid w:val="3EA33E40"/>
    <w:rsid w:val="3EAD0C60"/>
    <w:rsid w:val="3EAE00E3"/>
    <w:rsid w:val="3EAF5B65"/>
    <w:rsid w:val="3EB84C41"/>
    <w:rsid w:val="3EB956D8"/>
    <w:rsid w:val="3EC36034"/>
    <w:rsid w:val="3ECB5495"/>
    <w:rsid w:val="3ECC1E3C"/>
    <w:rsid w:val="3ECE641A"/>
    <w:rsid w:val="3ED734A6"/>
    <w:rsid w:val="3ED91273"/>
    <w:rsid w:val="3EDB1F8C"/>
    <w:rsid w:val="3EDE66B4"/>
    <w:rsid w:val="3EE21837"/>
    <w:rsid w:val="3EE32B3C"/>
    <w:rsid w:val="3EE86FC3"/>
    <w:rsid w:val="3EED39A0"/>
    <w:rsid w:val="3EF14050"/>
    <w:rsid w:val="3EF279E2"/>
    <w:rsid w:val="3EF9145C"/>
    <w:rsid w:val="3F05660B"/>
    <w:rsid w:val="3F0833B0"/>
    <w:rsid w:val="3F0C338F"/>
    <w:rsid w:val="3F116D9E"/>
    <w:rsid w:val="3F135889"/>
    <w:rsid w:val="3F203E04"/>
    <w:rsid w:val="3F246E28"/>
    <w:rsid w:val="3F27452A"/>
    <w:rsid w:val="3F3109A9"/>
    <w:rsid w:val="3F345DBE"/>
    <w:rsid w:val="3F3747C4"/>
    <w:rsid w:val="3F3770A0"/>
    <w:rsid w:val="3F3E414F"/>
    <w:rsid w:val="3F4305D7"/>
    <w:rsid w:val="3F444158"/>
    <w:rsid w:val="3F4A7F61"/>
    <w:rsid w:val="3F4E6CF1"/>
    <w:rsid w:val="3F5462F2"/>
    <w:rsid w:val="3F553D74"/>
    <w:rsid w:val="3F58057C"/>
    <w:rsid w:val="3F5A68AC"/>
    <w:rsid w:val="3F5D1180"/>
    <w:rsid w:val="3F5D52B0"/>
    <w:rsid w:val="3F675313"/>
    <w:rsid w:val="3F6A48DA"/>
    <w:rsid w:val="3F6C204C"/>
    <w:rsid w:val="3F6D721C"/>
    <w:rsid w:val="3F794503"/>
    <w:rsid w:val="3F7A2278"/>
    <w:rsid w:val="3F820E92"/>
    <w:rsid w:val="3F850146"/>
    <w:rsid w:val="3F8C1CD0"/>
    <w:rsid w:val="3F8E0A56"/>
    <w:rsid w:val="3F9503E1"/>
    <w:rsid w:val="3FAE03FB"/>
    <w:rsid w:val="3FAE25C0"/>
    <w:rsid w:val="3FB76397"/>
    <w:rsid w:val="3FC10EA5"/>
    <w:rsid w:val="3FC574F3"/>
    <w:rsid w:val="3FC656D4"/>
    <w:rsid w:val="3FC83D82"/>
    <w:rsid w:val="3FCB0CEA"/>
    <w:rsid w:val="3FCB338F"/>
    <w:rsid w:val="3FCB7E25"/>
    <w:rsid w:val="3FD24BCC"/>
    <w:rsid w:val="3FDA2F9E"/>
    <w:rsid w:val="3FDF15DC"/>
    <w:rsid w:val="3FED0FAD"/>
    <w:rsid w:val="3FEF3F72"/>
    <w:rsid w:val="3FFC108A"/>
    <w:rsid w:val="3FFD3288"/>
    <w:rsid w:val="40022F93"/>
    <w:rsid w:val="400A259E"/>
    <w:rsid w:val="400E3E4B"/>
    <w:rsid w:val="401A2EF0"/>
    <w:rsid w:val="401B7113"/>
    <w:rsid w:val="401D2DFB"/>
    <w:rsid w:val="401F6CC0"/>
    <w:rsid w:val="402121C3"/>
    <w:rsid w:val="40217FC5"/>
    <w:rsid w:val="40227C45"/>
    <w:rsid w:val="4026664B"/>
    <w:rsid w:val="40271FFF"/>
    <w:rsid w:val="402C0554"/>
    <w:rsid w:val="40353AD0"/>
    <w:rsid w:val="403542CB"/>
    <w:rsid w:val="403646E7"/>
    <w:rsid w:val="403A57EB"/>
    <w:rsid w:val="403F5E75"/>
    <w:rsid w:val="405073EB"/>
    <w:rsid w:val="40521E24"/>
    <w:rsid w:val="40526F76"/>
    <w:rsid w:val="4054083F"/>
    <w:rsid w:val="405469BD"/>
    <w:rsid w:val="405805AB"/>
    <w:rsid w:val="405E3BCF"/>
    <w:rsid w:val="406A5E3B"/>
    <w:rsid w:val="406C5660"/>
    <w:rsid w:val="406C577B"/>
    <w:rsid w:val="406D35B4"/>
    <w:rsid w:val="407035C7"/>
    <w:rsid w:val="407A60D5"/>
    <w:rsid w:val="408F05F9"/>
    <w:rsid w:val="409A0B88"/>
    <w:rsid w:val="409C2F01"/>
    <w:rsid w:val="409D1B0D"/>
    <w:rsid w:val="40A74181"/>
    <w:rsid w:val="40AA1C33"/>
    <w:rsid w:val="40B21AB2"/>
    <w:rsid w:val="40BB2268"/>
    <w:rsid w:val="40C377CE"/>
    <w:rsid w:val="40CC265C"/>
    <w:rsid w:val="40D06A32"/>
    <w:rsid w:val="40D15BCF"/>
    <w:rsid w:val="40D35AEA"/>
    <w:rsid w:val="40D50D6D"/>
    <w:rsid w:val="40D774DE"/>
    <w:rsid w:val="40DA4CE7"/>
    <w:rsid w:val="40DD36C9"/>
    <w:rsid w:val="40DE086C"/>
    <w:rsid w:val="40DE3BFB"/>
    <w:rsid w:val="40E81F8C"/>
    <w:rsid w:val="40E87E13"/>
    <w:rsid w:val="40F01AAE"/>
    <w:rsid w:val="40F32F73"/>
    <w:rsid w:val="40F47F9D"/>
    <w:rsid w:val="40F869A3"/>
    <w:rsid w:val="40F94425"/>
    <w:rsid w:val="40FA2BFE"/>
    <w:rsid w:val="40FD66AE"/>
    <w:rsid w:val="40FE77A8"/>
    <w:rsid w:val="40FF64E3"/>
    <w:rsid w:val="41162375"/>
    <w:rsid w:val="411D4691"/>
    <w:rsid w:val="412020E6"/>
    <w:rsid w:val="41251DF1"/>
    <w:rsid w:val="412946A5"/>
    <w:rsid w:val="412A0A6C"/>
    <w:rsid w:val="412E4FE4"/>
    <w:rsid w:val="41302380"/>
    <w:rsid w:val="41315365"/>
    <w:rsid w:val="413B76AF"/>
    <w:rsid w:val="413D1A37"/>
    <w:rsid w:val="413D5C75"/>
    <w:rsid w:val="413F299B"/>
    <w:rsid w:val="41415E9E"/>
    <w:rsid w:val="414D24AA"/>
    <w:rsid w:val="41523008"/>
    <w:rsid w:val="41595743"/>
    <w:rsid w:val="41610E0B"/>
    <w:rsid w:val="41637EDD"/>
    <w:rsid w:val="416719D0"/>
    <w:rsid w:val="416937DF"/>
    <w:rsid w:val="41697F5C"/>
    <w:rsid w:val="4171639E"/>
    <w:rsid w:val="417575F2"/>
    <w:rsid w:val="41807753"/>
    <w:rsid w:val="418B1795"/>
    <w:rsid w:val="418C27C9"/>
    <w:rsid w:val="418F019B"/>
    <w:rsid w:val="418F295E"/>
    <w:rsid w:val="41932425"/>
    <w:rsid w:val="41947EA6"/>
    <w:rsid w:val="41A144B5"/>
    <w:rsid w:val="41A2018F"/>
    <w:rsid w:val="41A213BA"/>
    <w:rsid w:val="41A40141"/>
    <w:rsid w:val="41A430D4"/>
    <w:rsid w:val="41A75842"/>
    <w:rsid w:val="41B015F1"/>
    <w:rsid w:val="41B26189"/>
    <w:rsid w:val="41B90FE0"/>
    <w:rsid w:val="41BE1D25"/>
    <w:rsid w:val="41C002C6"/>
    <w:rsid w:val="41C0096A"/>
    <w:rsid w:val="41C14660"/>
    <w:rsid w:val="41C9127A"/>
    <w:rsid w:val="41CF6407"/>
    <w:rsid w:val="41D1374D"/>
    <w:rsid w:val="41D16ECB"/>
    <w:rsid w:val="41D66391"/>
    <w:rsid w:val="41D97316"/>
    <w:rsid w:val="41E221A4"/>
    <w:rsid w:val="41E6662C"/>
    <w:rsid w:val="41ED183A"/>
    <w:rsid w:val="41ED5B9B"/>
    <w:rsid w:val="41F2243E"/>
    <w:rsid w:val="41F411C5"/>
    <w:rsid w:val="41FD0D85"/>
    <w:rsid w:val="420204DA"/>
    <w:rsid w:val="42020FBA"/>
    <w:rsid w:val="420662CD"/>
    <w:rsid w:val="420B5567"/>
    <w:rsid w:val="420C686B"/>
    <w:rsid w:val="42160A61"/>
    <w:rsid w:val="42165DE4"/>
    <w:rsid w:val="42263B92"/>
    <w:rsid w:val="422B429A"/>
    <w:rsid w:val="422B44D2"/>
    <w:rsid w:val="422E6A20"/>
    <w:rsid w:val="4233710D"/>
    <w:rsid w:val="42351C2E"/>
    <w:rsid w:val="42354ACF"/>
    <w:rsid w:val="42390622"/>
    <w:rsid w:val="42415AF1"/>
    <w:rsid w:val="42492E4D"/>
    <w:rsid w:val="424E4D56"/>
    <w:rsid w:val="42500259"/>
    <w:rsid w:val="425546E1"/>
    <w:rsid w:val="425E2DF2"/>
    <w:rsid w:val="42662D6D"/>
    <w:rsid w:val="426A0E03"/>
    <w:rsid w:val="426D5C02"/>
    <w:rsid w:val="426E308D"/>
    <w:rsid w:val="42702D0D"/>
    <w:rsid w:val="42764AD5"/>
    <w:rsid w:val="42791D7B"/>
    <w:rsid w:val="42825A3B"/>
    <w:rsid w:val="428469D2"/>
    <w:rsid w:val="428B1AA5"/>
    <w:rsid w:val="428F0EF5"/>
    <w:rsid w:val="4295099D"/>
    <w:rsid w:val="429C4E56"/>
    <w:rsid w:val="42A27568"/>
    <w:rsid w:val="42A56F6B"/>
    <w:rsid w:val="42A925FC"/>
    <w:rsid w:val="42AA529D"/>
    <w:rsid w:val="42AE1473"/>
    <w:rsid w:val="42B3131D"/>
    <w:rsid w:val="42B713F6"/>
    <w:rsid w:val="42C96C1E"/>
    <w:rsid w:val="42CA46A0"/>
    <w:rsid w:val="42CC3426"/>
    <w:rsid w:val="42CE63D2"/>
    <w:rsid w:val="42D01E2D"/>
    <w:rsid w:val="42D11AAC"/>
    <w:rsid w:val="42D17F20"/>
    <w:rsid w:val="42D42A31"/>
    <w:rsid w:val="42D96EB9"/>
    <w:rsid w:val="42DF267A"/>
    <w:rsid w:val="42E17B48"/>
    <w:rsid w:val="42E4524A"/>
    <w:rsid w:val="42E64009"/>
    <w:rsid w:val="42E77C3D"/>
    <w:rsid w:val="42EA4BD5"/>
    <w:rsid w:val="42EB2DDD"/>
    <w:rsid w:val="42F609E7"/>
    <w:rsid w:val="42FC431A"/>
    <w:rsid w:val="42FE57D8"/>
    <w:rsid w:val="4300323D"/>
    <w:rsid w:val="43041002"/>
    <w:rsid w:val="43081BD1"/>
    <w:rsid w:val="43086156"/>
    <w:rsid w:val="431C44AA"/>
    <w:rsid w:val="431E79AD"/>
    <w:rsid w:val="43211094"/>
    <w:rsid w:val="4325144D"/>
    <w:rsid w:val="4326283B"/>
    <w:rsid w:val="432F13E8"/>
    <w:rsid w:val="43301FD6"/>
    <w:rsid w:val="43322DCB"/>
    <w:rsid w:val="433330F0"/>
    <w:rsid w:val="43357305"/>
    <w:rsid w:val="433A1FFF"/>
    <w:rsid w:val="43407B62"/>
    <w:rsid w:val="43480EC8"/>
    <w:rsid w:val="434A0702"/>
    <w:rsid w:val="434C7418"/>
    <w:rsid w:val="434D6E78"/>
    <w:rsid w:val="434E3386"/>
    <w:rsid w:val="43513EE0"/>
    <w:rsid w:val="4353654D"/>
    <w:rsid w:val="435527BA"/>
    <w:rsid w:val="4355293C"/>
    <w:rsid w:val="43592C8A"/>
    <w:rsid w:val="43643AB0"/>
    <w:rsid w:val="43652320"/>
    <w:rsid w:val="436630F8"/>
    <w:rsid w:val="43672D9B"/>
    <w:rsid w:val="436B092E"/>
    <w:rsid w:val="436BE914"/>
    <w:rsid w:val="436D51AE"/>
    <w:rsid w:val="43807992"/>
    <w:rsid w:val="438276D2"/>
    <w:rsid w:val="43830D8B"/>
    <w:rsid w:val="43896F34"/>
    <w:rsid w:val="43903069"/>
    <w:rsid w:val="439353EE"/>
    <w:rsid w:val="43943C4F"/>
    <w:rsid w:val="439E597D"/>
    <w:rsid w:val="43A07D60"/>
    <w:rsid w:val="43A37C06"/>
    <w:rsid w:val="43AF4742"/>
    <w:rsid w:val="43AF5C17"/>
    <w:rsid w:val="43AF71D5"/>
    <w:rsid w:val="43B768A7"/>
    <w:rsid w:val="43B91DAA"/>
    <w:rsid w:val="43BE31A2"/>
    <w:rsid w:val="43C226BA"/>
    <w:rsid w:val="43C50218"/>
    <w:rsid w:val="43C76B41"/>
    <w:rsid w:val="43C9462F"/>
    <w:rsid w:val="43D019CF"/>
    <w:rsid w:val="43D203DB"/>
    <w:rsid w:val="43D46490"/>
    <w:rsid w:val="43DC3263"/>
    <w:rsid w:val="43E54ECF"/>
    <w:rsid w:val="43E85EA9"/>
    <w:rsid w:val="43EAEDB4"/>
    <w:rsid w:val="43F6212D"/>
    <w:rsid w:val="43F63E0D"/>
    <w:rsid w:val="43F72B9D"/>
    <w:rsid w:val="43FC114F"/>
    <w:rsid w:val="4400471D"/>
    <w:rsid w:val="44054428"/>
    <w:rsid w:val="440946B8"/>
    <w:rsid w:val="440E3217"/>
    <w:rsid w:val="440E72B6"/>
    <w:rsid w:val="44116432"/>
    <w:rsid w:val="4413593C"/>
    <w:rsid w:val="441445A5"/>
    <w:rsid w:val="44177CFA"/>
    <w:rsid w:val="441B1DD7"/>
    <w:rsid w:val="441C404D"/>
    <w:rsid w:val="441F3676"/>
    <w:rsid w:val="441F577B"/>
    <w:rsid w:val="442537E1"/>
    <w:rsid w:val="442742D8"/>
    <w:rsid w:val="442D64E6"/>
    <w:rsid w:val="443F5AC6"/>
    <w:rsid w:val="44406040"/>
    <w:rsid w:val="44433F0D"/>
    <w:rsid w:val="444A3897"/>
    <w:rsid w:val="444B1319"/>
    <w:rsid w:val="445166F8"/>
    <w:rsid w:val="44530834"/>
    <w:rsid w:val="445636D6"/>
    <w:rsid w:val="445709AF"/>
    <w:rsid w:val="445D28B8"/>
    <w:rsid w:val="446C7997"/>
    <w:rsid w:val="44750B28"/>
    <w:rsid w:val="447D2DED"/>
    <w:rsid w:val="44811263"/>
    <w:rsid w:val="44827275"/>
    <w:rsid w:val="448609C6"/>
    <w:rsid w:val="44865C7B"/>
    <w:rsid w:val="4488246F"/>
    <w:rsid w:val="44892E49"/>
    <w:rsid w:val="448A4681"/>
    <w:rsid w:val="4492750F"/>
    <w:rsid w:val="4496320C"/>
    <w:rsid w:val="449B239D"/>
    <w:rsid w:val="44A21D28"/>
    <w:rsid w:val="44A4522B"/>
    <w:rsid w:val="44A52CAC"/>
    <w:rsid w:val="44A71609"/>
    <w:rsid w:val="44ACFEC4"/>
    <w:rsid w:val="44AF666A"/>
    <w:rsid w:val="44B567CA"/>
    <w:rsid w:val="44B918C1"/>
    <w:rsid w:val="44BE5BCD"/>
    <w:rsid w:val="44C25999"/>
    <w:rsid w:val="44C84166"/>
    <w:rsid w:val="44CC63EF"/>
    <w:rsid w:val="44D4506E"/>
    <w:rsid w:val="44D96D16"/>
    <w:rsid w:val="44DD2402"/>
    <w:rsid w:val="44DE52DF"/>
    <w:rsid w:val="44DF3D8B"/>
    <w:rsid w:val="44E07E8F"/>
    <w:rsid w:val="44E17603"/>
    <w:rsid w:val="44EE0B22"/>
    <w:rsid w:val="44F55F2E"/>
    <w:rsid w:val="44FCFD1D"/>
    <w:rsid w:val="44FE3DE9"/>
    <w:rsid w:val="450774CE"/>
    <w:rsid w:val="451467E3"/>
    <w:rsid w:val="451A79E6"/>
    <w:rsid w:val="451F03F8"/>
    <w:rsid w:val="45204F5A"/>
    <w:rsid w:val="4523499D"/>
    <w:rsid w:val="45235A92"/>
    <w:rsid w:val="45252301"/>
    <w:rsid w:val="4529018E"/>
    <w:rsid w:val="452E1696"/>
    <w:rsid w:val="4530540F"/>
    <w:rsid w:val="453413AE"/>
    <w:rsid w:val="4535259B"/>
    <w:rsid w:val="45383520"/>
    <w:rsid w:val="45397FF5"/>
    <w:rsid w:val="454050A9"/>
    <w:rsid w:val="45412B2B"/>
    <w:rsid w:val="454163AE"/>
    <w:rsid w:val="454937BA"/>
    <w:rsid w:val="45520847"/>
    <w:rsid w:val="45582750"/>
    <w:rsid w:val="455A14D6"/>
    <w:rsid w:val="455B6133"/>
    <w:rsid w:val="456442B5"/>
    <w:rsid w:val="45647867"/>
    <w:rsid w:val="456674E7"/>
    <w:rsid w:val="456F7B59"/>
    <w:rsid w:val="45765221"/>
    <w:rsid w:val="45765583"/>
    <w:rsid w:val="45780A86"/>
    <w:rsid w:val="45800BDC"/>
    <w:rsid w:val="4585361F"/>
    <w:rsid w:val="458D5B36"/>
    <w:rsid w:val="45927E77"/>
    <w:rsid w:val="45946E7A"/>
    <w:rsid w:val="4599234E"/>
    <w:rsid w:val="45996074"/>
    <w:rsid w:val="45A97A79"/>
    <w:rsid w:val="45AC0F39"/>
    <w:rsid w:val="45B71870"/>
    <w:rsid w:val="45BB73CE"/>
    <w:rsid w:val="45BF1545"/>
    <w:rsid w:val="45C1217F"/>
    <w:rsid w:val="45C27C01"/>
    <w:rsid w:val="45C43104"/>
    <w:rsid w:val="45CA5C68"/>
    <w:rsid w:val="45CA7A30"/>
    <w:rsid w:val="45CB2964"/>
    <w:rsid w:val="45CB4ADB"/>
    <w:rsid w:val="45D27E9B"/>
    <w:rsid w:val="45D57E8E"/>
    <w:rsid w:val="45DF3AF8"/>
    <w:rsid w:val="45E14C32"/>
    <w:rsid w:val="45E43639"/>
    <w:rsid w:val="45F261D2"/>
    <w:rsid w:val="4605E8C3"/>
    <w:rsid w:val="46077070"/>
    <w:rsid w:val="460B5A77"/>
    <w:rsid w:val="46140783"/>
    <w:rsid w:val="4617510C"/>
    <w:rsid w:val="461E47A9"/>
    <w:rsid w:val="461F4717"/>
    <w:rsid w:val="46205483"/>
    <w:rsid w:val="4621349D"/>
    <w:rsid w:val="46297DF6"/>
    <w:rsid w:val="4634A6E9"/>
    <w:rsid w:val="463C18F7"/>
    <w:rsid w:val="463F2A4E"/>
    <w:rsid w:val="46565EF6"/>
    <w:rsid w:val="465935F7"/>
    <w:rsid w:val="465A48FC"/>
    <w:rsid w:val="465E1137"/>
    <w:rsid w:val="465E3302"/>
    <w:rsid w:val="465E6184"/>
    <w:rsid w:val="46640BA5"/>
    <w:rsid w:val="4666290D"/>
    <w:rsid w:val="46683C12"/>
    <w:rsid w:val="46695D2D"/>
    <w:rsid w:val="46712183"/>
    <w:rsid w:val="468247BC"/>
    <w:rsid w:val="4685793F"/>
    <w:rsid w:val="468808C3"/>
    <w:rsid w:val="468B50CB"/>
    <w:rsid w:val="469E03A8"/>
    <w:rsid w:val="469F3D6C"/>
    <w:rsid w:val="46A95479"/>
    <w:rsid w:val="46A973DC"/>
    <w:rsid w:val="46AA20FD"/>
    <w:rsid w:val="46AC10B2"/>
    <w:rsid w:val="46B1131B"/>
    <w:rsid w:val="46B129DB"/>
    <w:rsid w:val="46B362F7"/>
    <w:rsid w:val="46B75DE7"/>
    <w:rsid w:val="46BB6641"/>
    <w:rsid w:val="46BD331C"/>
    <w:rsid w:val="46C031B1"/>
    <w:rsid w:val="46C155FF"/>
    <w:rsid w:val="46D0054F"/>
    <w:rsid w:val="46D33C0B"/>
    <w:rsid w:val="46D52748"/>
    <w:rsid w:val="46DA265E"/>
    <w:rsid w:val="46DA7D28"/>
    <w:rsid w:val="46DEBB32"/>
    <w:rsid w:val="46E147D5"/>
    <w:rsid w:val="46E666DE"/>
    <w:rsid w:val="46EE50E8"/>
    <w:rsid w:val="46F3B1E3"/>
    <w:rsid w:val="46F669BE"/>
    <w:rsid w:val="46FA5AAD"/>
    <w:rsid w:val="46FD0882"/>
    <w:rsid w:val="4700508A"/>
    <w:rsid w:val="47086643"/>
    <w:rsid w:val="470B1C8F"/>
    <w:rsid w:val="470E2DEB"/>
    <w:rsid w:val="47112DA6"/>
    <w:rsid w:val="47121221"/>
    <w:rsid w:val="47136D96"/>
    <w:rsid w:val="47165645"/>
    <w:rsid w:val="47182731"/>
    <w:rsid w:val="471D77D7"/>
    <w:rsid w:val="472740F1"/>
    <w:rsid w:val="47274F4A"/>
    <w:rsid w:val="472A1751"/>
    <w:rsid w:val="47356354"/>
    <w:rsid w:val="473B3BEA"/>
    <w:rsid w:val="473B7B4E"/>
    <w:rsid w:val="473C3496"/>
    <w:rsid w:val="473D0A98"/>
    <w:rsid w:val="474033E0"/>
    <w:rsid w:val="474779FD"/>
    <w:rsid w:val="474E01C6"/>
    <w:rsid w:val="474FB9FA"/>
    <w:rsid w:val="47504375"/>
    <w:rsid w:val="47531291"/>
    <w:rsid w:val="47553DA7"/>
    <w:rsid w:val="47585719"/>
    <w:rsid w:val="475B1F20"/>
    <w:rsid w:val="475F5004"/>
    <w:rsid w:val="47613538"/>
    <w:rsid w:val="476240E0"/>
    <w:rsid w:val="47634ABA"/>
    <w:rsid w:val="476A0BED"/>
    <w:rsid w:val="476D1EF8"/>
    <w:rsid w:val="47734610"/>
    <w:rsid w:val="477439FA"/>
    <w:rsid w:val="477809B0"/>
    <w:rsid w:val="477947D7"/>
    <w:rsid w:val="477D5F84"/>
    <w:rsid w:val="47812160"/>
    <w:rsid w:val="47850B66"/>
    <w:rsid w:val="4787079B"/>
    <w:rsid w:val="4789176B"/>
    <w:rsid w:val="478919FA"/>
    <w:rsid w:val="478B56E4"/>
    <w:rsid w:val="478F351E"/>
    <w:rsid w:val="479512C3"/>
    <w:rsid w:val="479E6636"/>
    <w:rsid w:val="47B61E19"/>
    <w:rsid w:val="47B9650D"/>
    <w:rsid w:val="47BC7F6C"/>
    <w:rsid w:val="47BF63C2"/>
    <w:rsid w:val="47BF7F9B"/>
    <w:rsid w:val="47C22BCA"/>
    <w:rsid w:val="47C96CD1"/>
    <w:rsid w:val="47CA4753"/>
    <w:rsid w:val="47CC3797"/>
    <w:rsid w:val="47CF445E"/>
    <w:rsid w:val="47D3043F"/>
    <w:rsid w:val="47D56367"/>
    <w:rsid w:val="47E12BF6"/>
    <w:rsid w:val="47EB050B"/>
    <w:rsid w:val="47F830A4"/>
    <w:rsid w:val="47FF71AB"/>
    <w:rsid w:val="48087ABB"/>
    <w:rsid w:val="480D3F42"/>
    <w:rsid w:val="4811508F"/>
    <w:rsid w:val="48132128"/>
    <w:rsid w:val="48141018"/>
    <w:rsid w:val="481D24BB"/>
    <w:rsid w:val="4828256E"/>
    <w:rsid w:val="48297FEF"/>
    <w:rsid w:val="482B34F2"/>
    <w:rsid w:val="48383005"/>
    <w:rsid w:val="483D4A92"/>
    <w:rsid w:val="48457920"/>
    <w:rsid w:val="485567E2"/>
    <w:rsid w:val="485830BD"/>
    <w:rsid w:val="485972CA"/>
    <w:rsid w:val="48606233"/>
    <w:rsid w:val="486B7B5F"/>
    <w:rsid w:val="487C1FF8"/>
    <w:rsid w:val="487C33A3"/>
    <w:rsid w:val="48815F68"/>
    <w:rsid w:val="48827FAC"/>
    <w:rsid w:val="48847404"/>
    <w:rsid w:val="488520C4"/>
    <w:rsid w:val="488949B7"/>
    <w:rsid w:val="4893018E"/>
    <w:rsid w:val="489C032E"/>
    <w:rsid w:val="48A60C3E"/>
    <w:rsid w:val="48AB3B84"/>
    <w:rsid w:val="48B37F53"/>
    <w:rsid w:val="48B771CB"/>
    <w:rsid w:val="48B87C5F"/>
    <w:rsid w:val="48BB5360"/>
    <w:rsid w:val="48C017E8"/>
    <w:rsid w:val="48CB0E7D"/>
    <w:rsid w:val="48CE1E02"/>
    <w:rsid w:val="48D37BC4"/>
    <w:rsid w:val="48D64F62"/>
    <w:rsid w:val="48D74C90"/>
    <w:rsid w:val="48DF6FD2"/>
    <w:rsid w:val="48E77FE8"/>
    <w:rsid w:val="48E94BAA"/>
    <w:rsid w:val="48EC3DA5"/>
    <w:rsid w:val="48F1408E"/>
    <w:rsid w:val="48F60141"/>
    <w:rsid w:val="48FB3BCB"/>
    <w:rsid w:val="48FC5DC9"/>
    <w:rsid w:val="48FD01F3"/>
    <w:rsid w:val="49044BE8"/>
    <w:rsid w:val="49061806"/>
    <w:rsid w:val="490A6518"/>
    <w:rsid w:val="49142F9E"/>
    <w:rsid w:val="491856F9"/>
    <w:rsid w:val="491A0BFD"/>
    <w:rsid w:val="491F7DA8"/>
    <w:rsid w:val="49244D8F"/>
    <w:rsid w:val="4930182A"/>
    <w:rsid w:val="493C2436"/>
    <w:rsid w:val="49402818"/>
    <w:rsid w:val="49406F22"/>
    <w:rsid w:val="494C04FA"/>
    <w:rsid w:val="49505853"/>
    <w:rsid w:val="4954230A"/>
    <w:rsid w:val="49587CE4"/>
    <w:rsid w:val="495A19E6"/>
    <w:rsid w:val="49636A72"/>
    <w:rsid w:val="496A355B"/>
    <w:rsid w:val="496B0C52"/>
    <w:rsid w:val="496C156E"/>
    <w:rsid w:val="496D1A21"/>
    <w:rsid w:val="497E6723"/>
    <w:rsid w:val="497F4DF8"/>
    <w:rsid w:val="49820577"/>
    <w:rsid w:val="49865D2D"/>
    <w:rsid w:val="49866B78"/>
    <w:rsid w:val="49965FC8"/>
    <w:rsid w:val="49AA71E7"/>
    <w:rsid w:val="49B358F8"/>
    <w:rsid w:val="49B760FE"/>
    <w:rsid w:val="49BB0786"/>
    <w:rsid w:val="49C425C9"/>
    <w:rsid w:val="49C53294"/>
    <w:rsid w:val="49C608D5"/>
    <w:rsid w:val="49C74598"/>
    <w:rsid w:val="49CD36F0"/>
    <w:rsid w:val="49D203AB"/>
    <w:rsid w:val="49DB0073"/>
    <w:rsid w:val="49DC0CBB"/>
    <w:rsid w:val="49DD3461"/>
    <w:rsid w:val="49DE7C4B"/>
    <w:rsid w:val="49DF50EC"/>
    <w:rsid w:val="49DF5457"/>
    <w:rsid w:val="49EB34D3"/>
    <w:rsid w:val="49EE7CDB"/>
    <w:rsid w:val="49EF4246"/>
    <w:rsid w:val="49F22E5E"/>
    <w:rsid w:val="49F501CC"/>
    <w:rsid w:val="49FC1B85"/>
    <w:rsid w:val="49FD016C"/>
    <w:rsid w:val="4A000C7A"/>
    <w:rsid w:val="4A0345F4"/>
    <w:rsid w:val="4A065382"/>
    <w:rsid w:val="4A0F3E5B"/>
    <w:rsid w:val="4A11580F"/>
    <w:rsid w:val="4A1E2A29"/>
    <w:rsid w:val="4A247F5C"/>
    <w:rsid w:val="4A24F800"/>
    <w:rsid w:val="4A255417"/>
    <w:rsid w:val="4A282B58"/>
    <w:rsid w:val="4A2E1B0D"/>
    <w:rsid w:val="4A2E7440"/>
    <w:rsid w:val="4A2F4EC1"/>
    <w:rsid w:val="4A300745"/>
    <w:rsid w:val="4A314103"/>
    <w:rsid w:val="4A375B51"/>
    <w:rsid w:val="4A39002E"/>
    <w:rsid w:val="4A3B4557"/>
    <w:rsid w:val="4A4473E5"/>
    <w:rsid w:val="4A474A71"/>
    <w:rsid w:val="4A49386D"/>
    <w:rsid w:val="4A4B25F3"/>
    <w:rsid w:val="4A4D7CF5"/>
    <w:rsid w:val="4A530F91"/>
    <w:rsid w:val="4A5679C1"/>
    <w:rsid w:val="4A5C4AB8"/>
    <w:rsid w:val="4A5D0A54"/>
    <w:rsid w:val="4A5D250E"/>
    <w:rsid w:val="4A5D7053"/>
    <w:rsid w:val="4A5E48FC"/>
    <w:rsid w:val="4A5F5BA3"/>
    <w:rsid w:val="4A617BB2"/>
    <w:rsid w:val="4A693DA2"/>
    <w:rsid w:val="4A6D24A3"/>
    <w:rsid w:val="4A706FB0"/>
    <w:rsid w:val="4A7428FC"/>
    <w:rsid w:val="4A7843BC"/>
    <w:rsid w:val="4A826ECA"/>
    <w:rsid w:val="4A837611"/>
    <w:rsid w:val="4A880DD3"/>
    <w:rsid w:val="4A8B40DC"/>
    <w:rsid w:val="4A8C68A5"/>
    <w:rsid w:val="4A8D525B"/>
    <w:rsid w:val="4A8E1972"/>
    <w:rsid w:val="4A8F3FE1"/>
    <w:rsid w:val="4A8F62AB"/>
    <w:rsid w:val="4A944BE6"/>
    <w:rsid w:val="4A955EEB"/>
    <w:rsid w:val="4A9E6685"/>
    <w:rsid w:val="4A9E67FA"/>
    <w:rsid w:val="4AA00960"/>
    <w:rsid w:val="4AA13825"/>
    <w:rsid w:val="4AA25200"/>
    <w:rsid w:val="4AAB008E"/>
    <w:rsid w:val="4AAC5B10"/>
    <w:rsid w:val="4AAF6A94"/>
    <w:rsid w:val="4ABA28A7"/>
    <w:rsid w:val="4ABC2A1D"/>
    <w:rsid w:val="4ABD70AF"/>
    <w:rsid w:val="4ABE12AD"/>
    <w:rsid w:val="4ABE2113"/>
    <w:rsid w:val="4AC00034"/>
    <w:rsid w:val="4AC40C32"/>
    <w:rsid w:val="4AC62460"/>
    <w:rsid w:val="4AC72371"/>
    <w:rsid w:val="4ACF0D42"/>
    <w:rsid w:val="4ACF4DCB"/>
    <w:rsid w:val="4AD0284C"/>
    <w:rsid w:val="4AD24069"/>
    <w:rsid w:val="4AD64EF9"/>
    <w:rsid w:val="4AD7736C"/>
    <w:rsid w:val="4AD77C59"/>
    <w:rsid w:val="4ADD6D8E"/>
    <w:rsid w:val="4AE515FF"/>
    <w:rsid w:val="4AE9776E"/>
    <w:rsid w:val="4AF82825"/>
    <w:rsid w:val="4AF8490A"/>
    <w:rsid w:val="4AF9238C"/>
    <w:rsid w:val="4AFE21E2"/>
    <w:rsid w:val="4B1747FF"/>
    <w:rsid w:val="4B1E1850"/>
    <w:rsid w:val="4B1E4B4A"/>
    <w:rsid w:val="4B1F70F0"/>
    <w:rsid w:val="4B202CE0"/>
    <w:rsid w:val="4B221C9D"/>
    <w:rsid w:val="4B26325B"/>
    <w:rsid w:val="4B28675E"/>
    <w:rsid w:val="4B2941E0"/>
    <w:rsid w:val="4B297D95"/>
    <w:rsid w:val="4B2A63DE"/>
    <w:rsid w:val="4B2B3E60"/>
    <w:rsid w:val="4B2C18E1"/>
    <w:rsid w:val="4B3374C8"/>
    <w:rsid w:val="4B3621F1"/>
    <w:rsid w:val="4B481211"/>
    <w:rsid w:val="4B4C4BB5"/>
    <w:rsid w:val="4B4E2D08"/>
    <w:rsid w:val="4B4F7E0E"/>
    <w:rsid w:val="4B523D1F"/>
    <w:rsid w:val="4B533C05"/>
    <w:rsid w:val="4B560527"/>
    <w:rsid w:val="4B5C3221"/>
    <w:rsid w:val="4B5E7B32"/>
    <w:rsid w:val="4B5F0E37"/>
    <w:rsid w:val="4B6C0D50"/>
    <w:rsid w:val="4B6C26CB"/>
    <w:rsid w:val="4B726BB4"/>
    <w:rsid w:val="4B7645F1"/>
    <w:rsid w:val="4B794C10"/>
    <w:rsid w:val="4B812670"/>
    <w:rsid w:val="4B89862B"/>
    <w:rsid w:val="4B955A8D"/>
    <w:rsid w:val="4B956062"/>
    <w:rsid w:val="4B9B321A"/>
    <w:rsid w:val="4B9F0ACF"/>
    <w:rsid w:val="4B9F1C20"/>
    <w:rsid w:val="4BA31B2F"/>
    <w:rsid w:val="4BA9153A"/>
    <w:rsid w:val="4BB319AC"/>
    <w:rsid w:val="4BB4748A"/>
    <w:rsid w:val="4BB57ADD"/>
    <w:rsid w:val="4BC230D9"/>
    <w:rsid w:val="4BC507DB"/>
    <w:rsid w:val="4BC5405E"/>
    <w:rsid w:val="4BD023EF"/>
    <w:rsid w:val="4BD06395"/>
    <w:rsid w:val="4BD35482"/>
    <w:rsid w:val="4BD56877"/>
    <w:rsid w:val="4BE453F1"/>
    <w:rsid w:val="4BE95517"/>
    <w:rsid w:val="4BF23C29"/>
    <w:rsid w:val="4BF3029F"/>
    <w:rsid w:val="4BF4712C"/>
    <w:rsid w:val="4BF821AF"/>
    <w:rsid w:val="4BF94D80"/>
    <w:rsid w:val="4BFF76BB"/>
    <w:rsid w:val="4C084CA1"/>
    <w:rsid w:val="4C084E57"/>
    <w:rsid w:val="4C0F5757"/>
    <w:rsid w:val="4C0F7955"/>
    <w:rsid w:val="4C1213DC"/>
    <w:rsid w:val="4C18651C"/>
    <w:rsid w:val="4C18798A"/>
    <w:rsid w:val="4C1D2CE0"/>
    <w:rsid w:val="4C204881"/>
    <w:rsid w:val="4C24269D"/>
    <w:rsid w:val="4C272DFE"/>
    <w:rsid w:val="4C2A5F81"/>
    <w:rsid w:val="4C39659B"/>
    <w:rsid w:val="4C3A6A0C"/>
    <w:rsid w:val="4C3C1AD4"/>
    <w:rsid w:val="4C417D2D"/>
    <w:rsid w:val="4C451DA3"/>
    <w:rsid w:val="4C5B7DA1"/>
    <w:rsid w:val="4C6F6A75"/>
    <w:rsid w:val="4C721BF8"/>
    <w:rsid w:val="4C73767A"/>
    <w:rsid w:val="4C781A7F"/>
    <w:rsid w:val="4C783B02"/>
    <w:rsid w:val="4C800A2A"/>
    <w:rsid w:val="4C8A139D"/>
    <w:rsid w:val="4C8A31B1"/>
    <w:rsid w:val="4C8AD40D"/>
    <w:rsid w:val="4C8D0224"/>
    <w:rsid w:val="4C950EB3"/>
    <w:rsid w:val="4C962AE5"/>
    <w:rsid w:val="4CA32D7A"/>
    <w:rsid w:val="4CA95F3B"/>
    <w:rsid w:val="4CAC0AD9"/>
    <w:rsid w:val="4CB54F58"/>
    <w:rsid w:val="4CB9218D"/>
    <w:rsid w:val="4CBB5870"/>
    <w:rsid w:val="4CC13379"/>
    <w:rsid w:val="4CC208D3"/>
    <w:rsid w:val="4CCB5B0A"/>
    <w:rsid w:val="4CCC6E0F"/>
    <w:rsid w:val="4CD22170"/>
    <w:rsid w:val="4CD5641A"/>
    <w:rsid w:val="4CD907BB"/>
    <w:rsid w:val="4CDA2E4E"/>
    <w:rsid w:val="4CDC5F91"/>
    <w:rsid w:val="4CE51E03"/>
    <w:rsid w:val="4CEA3546"/>
    <w:rsid w:val="4CEF6B2A"/>
    <w:rsid w:val="4CF07880"/>
    <w:rsid w:val="4CF27F48"/>
    <w:rsid w:val="4D021C63"/>
    <w:rsid w:val="4D12627F"/>
    <w:rsid w:val="4D1C397E"/>
    <w:rsid w:val="4D21647E"/>
    <w:rsid w:val="4D226519"/>
    <w:rsid w:val="4D252D21"/>
    <w:rsid w:val="4D2729A1"/>
    <w:rsid w:val="4D2770F7"/>
    <w:rsid w:val="4D280422"/>
    <w:rsid w:val="4D2A13A7"/>
    <w:rsid w:val="4D354789"/>
    <w:rsid w:val="4D4344CF"/>
    <w:rsid w:val="4D4A1C5C"/>
    <w:rsid w:val="4D4A26F5"/>
    <w:rsid w:val="4D4A76DD"/>
    <w:rsid w:val="4D4B18DC"/>
    <w:rsid w:val="4D4C2BE0"/>
    <w:rsid w:val="4D5115E9"/>
    <w:rsid w:val="4D517068"/>
    <w:rsid w:val="4D536CE8"/>
    <w:rsid w:val="4D5521EB"/>
    <w:rsid w:val="4D5D2E7B"/>
    <w:rsid w:val="4D646055"/>
    <w:rsid w:val="4D6C5694"/>
    <w:rsid w:val="4D730A7F"/>
    <w:rsid w:val="4D796F0D"/>
    <w:rsid w:val="4D7D2618"/>
    <w:rsid w:val="4D8359A3"/>
    <w:rsid w:val="4D861AC1"/>
    <w:rsid w:val="4D8A04C7"/>
    <w:rsid w:val="4D8F10CB"/>
    <w:rsid w:val="4D907392"/>
    <w:rsid w:val="4D961CA8"/>
    <w:rsid w:val="4DA05BE3"/>
    <w:rsid w:val="4DA17752"/>
    <w:rsid w:val="4DA335EF"/>
    <w:rsid w:val="4DA34F8D"/>
    <w:rsid w:val="4DA95875"/>
    <w:rsid w:val="4DBC0187"/>
    <w:rsid w:val="4DBC2F09"/>
    <w:rsid w:val="4DC97D1D"/>
    <w:rsid w:val="4DDE62FD"/>
    <w:rsid w:val="4DE03454"/>
    <w:rsid w:val="4DE36EE4"/>
    <w:rsid w:val="4DEB427F"/>
    <w:rsid w:val="4DEC4CE8"/>
    <w:rsid w:val="4DF040E6"/>
    <w:rsid w:val="4DF307D4"/>
    <w:rsid w:val="4DF6613C"/>
    <w:rsid w:val="4DFB6352"/>
    <w:rsid w:val="4DFD4F82"/>
    <w:rsid w:val="4DFE4C02"/>
    <w:rsid w:val="4E0535DF"/>
    <w:rsid w:val="4E0568AD"/>
    <w:rsid w:val="4E0831B3"/>
    <w:rsid w:val="4E0841E5"/>
    <w:rsid w:val="4E1622A9"/>
    <w:rsid w:val="4E1707A1"/>
    <w:rsid w:val="4E1857AC"/>
    <w:rsid w:val="4E2077F1"/>
    <w:rsid w:val="4E2730CC"/>
    <w:rsid w:val="4E287FC5"/>
    <w:rsid w:val="4E2A36BC"/>
    <w:rsid w:val="4E314F2D"/>
    <w:rsid w:val="4E335C67"/>
    <w:rsid w:val="4E3917D8"/>
    <w:rsid w:val="4E4E1778"/>
    <w:rsid w:val="4E555611"/>
    <w:rsid w:val="4E5B4E73"/>
    <w:rsid w:val="4E5C4F50"/>
    <w:rsid w:val="4E6920B3"/>
    <w:rsid w:val="4E6A1D33"/>
    <w:rsid w:val="4E6C3038"/>
    <w:rsid w:val="4E6F16B1"/>
    <w:rsid w:val="4E734169"/>
    <w:rsid w:val="4E760D0B"/>
    <w:rsid w:val="4E7A547F"/>
    <w:rsid w:val="4E7D6D7D"/>
    <w:rsid w:val="4E821C30"/>
    <w:rsid w:val="4E8A0AEE"/>
    <w:rsid w:val="4E9066F0"/>
    <w:rsid w:val="4E950123"/>
    <w:rsid w:val="4E992DD9"/>
    <w:rsid w:val="4E9E6D0A"/>
    <w:rsid w:val="4EA0184A"/>
    <w:rsid w:val="4EA71B98"/>
    <w:rsid w:val="4EAC06BA"/>
    <w:rsid w:val="4EAF703B"/>
    <w:rsid w:val="4EB017F5"/>
    <w:rsid w:val="4EB41FBA"/>
    <w:rsid w:val="4EB878B4"/>
    <w:rsid w:val="4EBD0477"/>
    <w:rsid w:val="4EC250E6"/>
    <w:rsid w:val="4ECA0E53"/>
    <w:rsid w:val="4ED35788"/>
    <w:rsid w:val="4EDD6BA8"/>
    <w:rsid w:val="4EDE5BC3"/>
    <w:rsid w:val="4EDF1751"/>
    <w:rsid w:val="4EE528B7"/>
    <w:rsid w:val="4EE5747E"/>
    <w:rsid w:val="4EE91D9C"/>
    <w:rsid w:val="4EEE3BC3"/>
    <w:rsid w:val="4EF9289C"/>
    <w:rsid w:val="4F005AAA"/>
    <w:rsid w:val="4F064C6A"/>
    <w:rsid w:val="4F065435"/>
    <w:rsid w:val="4F0F02C3"/>
    <w:rsid w:val="4F113781"/>
    <w:rsid w:val="4F1D4C56"/>
    <w:rsid w:val="4F1E4F93"/>
    <w:rsid w:val="4F2449E5"/>
    <w:rsid w:val="4F2E0B78"/>
    <w:rsid w:val="4F360182"/>
    <w:rsid w:val="4F3E0E12"/>
    <w:rsid w:val="4F416513"/>
    <w:rsid w:val="4F4915A7"/>
    <w:rsid w:val="4F547732"/>
    <w:rsid w:val="4F5A0496"/>
    <w:rsid w:val="4F5A4EBF"/>
    <w:rsid w:val="4F682A17"/>
    <w:rsid w:val="4F6A6227"/>
    <w:rsid w:val="4F714FA1"/>
    <w:rsid w:val="4F724D1A"/>
    <w:rsid w:val="4F760F6C"/>
    <w:rsid w:val="4F764366"/>
    <w:rsid w:val="4F7E2395"/>
    <w:rsid w:val="4F83FB6C"/>
    <w:rsid w:val="4F85070E"/>
    <w:rsid w:val="4F86182F"/>
    <w:rsid w:val="4F874A89"/>
    <w:rsid w:val="4F8A1BE9"/>
    <w:rsid w:val="4F8A5A0E"/>
    <w:rsid w:val="4F8C1717"/>
    <w:rsid w:val="4F911547"/>
    <w:rsid w:val="4F932A9A"/>
    <w:rsid w:val="4F9F3ABC"/>
    <w:rsid w:val="4FA02771"/>
    <w:rsid w:val="4FA07362"/>
    <w:rsid w:val="4FA5088A"/>
    <w:rsid w:val="4FA67367"/>
    <w:rsid w:val="4FA7173B"/>
    <w:rsid w:val="4FAB39C4"/>
    <w:rsid w:val="4FAB675C"/>
    <w:rsid w:val="4FB3554D"/>
    <w:rsid w:val="4FB629B4"/>
    <w:rsid w:val="4FB664D2"/>
    <w:rsid w:val="4FB923D4"/>
    <w:rsid w:val="4FBB3189"/>
    <w:rsid w:val="4FBB61DD"/>
    <w:rsid w:val="4FBC446F"/>
    <w:rsid w:val="4FC235E9"/>
    <w:rsid w:val="4FC924FC"/>
    <w:rsid w:val="4FCD197A"/>
    <w:rsid w:val="4FCD637F"/>
    <w:rsid w:val="4FD30AB0"/>
    <w:rsid w:val="4FD32F7D"/>
    <w:rsid w:val="4FD33681"/>
    <w:rsid w:val="4FD41305"/>
    <w:rsid w:val="4FD44A54"/>
    <w:rsid w:val="4FD702E1"/>
    <w:rsid w:val="4FE2609D"/>
    <w:rsid w:val="4FE34983"/>
    <w:rsid w:val="4FE373A1"/>
    <w:rsid w:val="4FE70365"/>
    <w:rsid w:val="4FE95A27"/>
    <w:rsid w:val="4FEB0F2B"/>
    <w:rsid w:val="4FFC6AF7"/>
    <w:rsid w:val="50013BA7"/>
    <w:rsid w:val="500278FF"/>
    <w:rsid w:val="500574E0"/>
    <w:rsid w:val="50120070"/>
    <w:rsid w:val="501A61F6"/>
    <w:rsid w:val="50202E5E"/>
    <w:rsid w:val="5027550C"/>
    <w:rsid w:val="502C08F0"/>
    <w:rsid w:val="503A5D89"/>
    <w:rsid w:val="503C7AAB"/>
    <w:rsid w:val="50454464"/>
    <w:rsid w:val="50473843"/>
    <w:rsid w:val="50483BFF"/>
    <w:rsid w:val="5049071F"/>
    <w:rsid w:val="50496D46"/>
    <w:rsid w:val="504C61F5"/>
    <w:rsid w:val="5053615F"/>
    <w:rsid w:val="50587360"/>
    <w:rsid w:val="505C668F"/>
    <w:rsid w:val="505F4561"/>
    <w:rsid w:val="505F4CF1"/>
    <w:rsid w:val="50614472"/>
    <w:rsid w:val="50641EE4"/>
    <w:rsid w:val="50687CFD"/>
    <w:rsid w:val="50712488"/>
    <w:rsid w:val="50774392"/>
    <w:rsid w:val="507B7E86"/>
    <w:rsid w:val="50851129"/>
    <w:rsid w:val="508639ED"/>
    <w:rsid w:val="509A584B"/>
    <w:rsid w:val="509C305B"/>
    <w:rsid w:val="50A23CCF"/>
    <w:rsid w:val="50A33062"/>
    <w:rsid w:val="50AC6DEA"/>
    <w:rsid w:val="50B11AF9"/>
    <w:rsid w:val="50B22EF2"/>
    <w:rsid w:val="50C7199D"/>
    <w:rsid w:val="50CC731F"/>
    <w:rsid w:val="50D03E52"/>
    <w:rsid w:val="50D931FE"/>
    <w:rsid w:val="50E720C7"/>
    <w:rsid w:val="50EA5CF0"/>
    <w:rsid w:val="50EA66B3"/>
    <w:rsid w:val="50EB1B6E"/>
    <w:rsid w:val="50F07E93"/>
    <w:rsid w:val="50FE3B5D"/>
    <w:rsid w:val="51031A0F"/>
    <w:rsid w:val="510438B8"/>
    <w:rsid w:val="51054EFA"/>
    <w:rsid w:val="510703FD"/>
    <w:rsid w:val="5107F803"/>
    <w:rsid w:val="5109D77D"/>
    <w:rsid w:val="510A4104"/>
    <w:rsid w:val="510D2307"/>
    <w:rsid w:val="511B709E"/>
    <w:rsid w:val="511D09F7"/>
    <w:rsid w:val="51205319"/>
    <w:rsid w:val="51244113"/>
    <w:rsid w:val="51246450"/>
    <w:rsid w:val="512579AE"/>
    <w:rsid w:val="512A3E35"/>
    <w:rsid w:val="51324887"/>
    <w:rsid w:val="51326CC3"/>
    <w:rsid w:val="5135650B"/>
    <w:rsid w:val="513A40D0"/>
    <w:rsid w:val="513B53D4"/>
    <w:rsid w:val="514E2D70"/>
    <w:rsid w:val="514E7348"/>
    <w:rsid w:val="5150297B"/>
    <w:rsid w:val="51513CF5"/>
    <w:rsid w:val="51524FFA"/>
    <w:rsid w:val="515852F9"/>
    <w:rsid w:val="515B74D7"/>
    <w:rsid w:val="515E03EA"/>
    <w:rsid w:val="51625A9A"/>
    <w:rsid w:val="51635294"/>
    <w:rsid w:val="51677F27"/>
    <w:rsid w:val="51694C1F"/>
    <w:rsid w:val="51697F1E"/>
    <w:rsid w:val="51790BFB"/>
    <w:rsid w:val="517B61BE"/>
    <w:rsid w:val="517D5E7F"/>
    <w:rsid w:val="51802646"/>
    <w:rsid w:val="51804844"/>
    <w:rsid w:val="5185454F"/>
    <w:rsid w:val="518A5153"/>
    <w:rsid w:val="51954A02"/>
    <w:rsid w:val="519A53EE"/>
    <w:rsid w:val="51A11B6E"/>
    <w:rsid w:val="51A2607D"/>
    <w:rsid w:val="51B07591"/>
    <w:rsid w:val="51B15739"/>
    <w:rsid w:val="51B4181B"/>
    <w:rsid w:val="51B461D3"/>
    <w:rsid w:val="51BB7F2A"/>
    <w:rsid w:val="51BE212A"/>
    <w:rsid w:val="51BF4329"/>
    <w:rsid w:val="51C01DAA"/>
    <w:rsid w:val="51CC5C50"/>
    <w:rsid w:val="51D5415B"/>
    <w:rsid w:val="51D5F152"/>
    <w:rsid w:val="51DA7627"/>
    <w:rsid w:val="51E1640E"/>
    <w:rsid w:val="51E655A8"/>
    <w:rsid w:val="51E67A6C"/>
    <w:rsid w:val="51E932DA"/>
    <w:rsid w:val="51E94741"/>
    <w:rsid w:val="51F31E36"/>
    <w:rsid w:val="51F73523"/>
    <w:rsid w:val="51FE2F14"/>
    <w:rsid w:val="520333D5"/>
    <w:rsid w:val="52053204"/>
    <w:rsid w:val="52075749"/>
    <w:rsid w:val="520B012A"/>
    <w:rsid w:val="520B36D7"/>
    <w:rsid w:val="520D1EAA"/>
    <w:rsid w:val="520D572D"/>
    <w:rsid w:val="522265CC"/>
    <w:rsid w:val="52245352"/>
    <w:rsid w:val="522527EE"/>
    <w:rsid w:val="5225431B"/>
    <w:rsid w:val="52295F56"/>
    <w:rsid w:val="522A45EE"/>
    <w:rsid w:val="52390343"/>
    <w:rsid w:val="523957BE"/>
    <w:rsid w:val="524327CC"/>
    <w:rsid w:val="52467057"/>
    <w:rsid w:val="5248208F"/>
    <w:rsid w:val="5250749B"/>
    <w:rsid w:val="525B30B6"/>
    <w:rsid w:val="526261FD"/>
    <w:rsid w:val="52633DBC"/>
    <w:rsid w:val="52653BBD"/>
    <w:rsid w:val="52680501"/>
    <w:rsid w:val="526D56B7"/>
    <w:rsid w:val="527057A6"/>
    <w:rsid w:val="52742DDF"/>
    <w:rsid w:val="527618D9"/>
    <w:rsid w:val="52784DDC"/>
    <w:rsid w:val="527A02DF"/>
    <w:rsid w:val="527E074E"/>
    <w:rsid w:val="527E3F24"/>
    <w:rsid w:val="527F1783"/>
    <w:rsid w:val="527F6965"/>
    <w:rsid w:val="52810625"/>
    <w:rsid w:val="52811E68"/>
    <w:rsid w:val="528478C5"/>
    <w:rsid w:val="528775F5"/>
    <w:rsid w:val="528B140C"/>
    <w:rsid w:val="528C828F"/>
    <w:rsid w:val="52911BE2"/>
    <w:rsid w:val="52927562"/>
    <w:rsid w:val="52934461"/>
    <w:rsid w:val="529D38B6"/>
    <w:rsid w:val="52A122EE"/>
    <w:rsid w:val="52A25052"/>
    <w:rsid w:val="52A87A96"/>
    <w:rsid w:val="52AA68B0"/>
    <w:rsid w:val="52AC63CA"/>
    <w:rsid w:val="52AC6530"/>
    <w:rsid w:val="52AD62F0"/>
    <w:rsid w:val="52B471BF"/>
    <w:rsid w:val="52B513BE"/>
    <w:rsid w:val="52C051D0"/>
    <w:rsid w:val="52C9193E"/>
    <w:rsid w:val="52CB3561"/>
    <w:rsid w:val="52D675F5"/>
    <w:rsid w:val="52E26A0A"/>
    <w:rsid w:val="52E65AB1"/>
    <w:rsid w:val="52F1599F"/>
    <w:rsid w:val="52F46924"/>
    <w:rsid w:val="52F543A6"/>
    <w:rsid w:val="52FB1B32"/>
    <w:rsid w:val="530214BD"/>
    <w:rsid w:val="530971A6"/>
    <w:rsid w:val="530A032B"/>
    <w:rsid w:val="530F40D3"/>
    <w:rsid w:val="53144C5A"/>
    <w:rsid w:val="531910E2"/>
    <w:rsid w:val="531D5787"/>
    <w:rsid w:val="53270C19"/>
    <w:rsid w:val="53286E17"/>
    <w:rsid w:val="5328717E"/>
    <w:rsid w:val="532B7B38"/>
    <w:rsid w:val="532C2301"/>
    <w:rsid w:val="532E1087"/>
    <w:rsid w:val="532E1E59"/>
    <w:rsid w:val="532F6B09"/>
    <w:rsid w:val="533E38A0"/>
    <w:rsid w:val="53402B2D"/>
    <w:rsid w:val="5341106F"/>
    <w:rsid w:val="53420DCF"/>
    <w:rsid w:val="534D2836"/>
    <w:rsid w:val="534E7EC1"/>
    <w:rsid w:val="5350123C"/>
    <w:rsid w:val="5359794D"/>
    <w:rsid w:val="535C0C6D"/>
    <w:rsid w:val="537304F7"/>
    <w:rsid w:val="53840791"/>
    <w:rsid w:val="53862E55"/>
    <w:rsid w:val="538913CD"/>
    <w:rsid w:val="538C0077"/>
    <w:rsid w:val="538F5194"/>
    <w:rsid w:val="539625C7"/>
    <w:rsid w:val="539C5E38"/>
    <w:rsid w:val="539D4582"/>
    <w:rsid w:val="539F06B6"/>
    <w:rsid w:val="53A40CC6"/>
    <w:rsid w:val="53A75C1C"/>
    <w:rsid w:val="53A97FF0"/>
    <w:rsid w:val="53AB3ED4"/>
    <w:rsid w:val="53AC60D2"/>
    <w:rsid w:val="53AD3B54"/>
    <w:rsid w:val="53AF7057"/>
    <w:rsid w:val="53B166CE"/>
    <w:rsid w:val="53B405F1"/>
    <w:rsid w:val="53B45A28"/>
    <w:rsid w:val="53B87967"/>
    <w:rsid w:val="53BC416F"/>
    <w:rsid w:val="53C127F5"/>
    <w:rsid w:val="53C41A04"/>
    <w:rsid w:val="53E00EAB"/>
    <w:rsid w:val="53E2606E"/>
    <w:rsid w:val="53E56CFD"/>
    <w:rsid w:val="53E60836"/>
    <w:rsid w:val="53EA0B45"/>
    <w:rsid w:val="53EC33B3"/>
    <w:rsid w:val="53F00B6F"/>
    <w:rsid w:val="53F320CA"/>
    <w:rsid w:val="53F961D2"/>
    <w:rsid w:val="53F96921"/>
    <w:rsid w:val="54015914"/>
    <w:rsid w:val="54044563"/>
    <w:rsid w:val="540B5C9F"/>
    <w:rsid w:val="540F6177"/>
    <w:rsid w:val="541008E5"/>
    <w:rsid w:val="541966E7"/>
    <w:rsid w:val="541A2FDA"/>
    <w:rsid w:val="541C548D"/>
    <w:rsid w:val="541F6411"/>
    <w:rsid w:val="54327630"/>
    <w:rsid w:val="544A055A"/>
    <w:rsid w:val="544B2759"/>
    <w:rsid w:val="545033D7"/>
    <w:rsid w:val="54525967"/>
    <w:rsid w:val="545C1D7C"/>
    <w:rsid w:val="545C7FCE"/>
    <w:rsid w:val="546148FC"/>
    <w:rsid w:val="54635931"/>
    <w:rsid w:val="54660D84"/>
    <w:rsid w:val="54660E6B"/>
    <w:rsid w:val="546B0A8F"/>
    <w:rsid w:val="546C75CB"/>
    <w:rsid w:val="546D3345"/>
    <w:rsid w:val="54701694"/>
    <w:rsid w:val="547B0D29"/>
    <w:rsid w:val="54863837"/>
    <w:rsid w:val="54884872"/>
    <w:rsid w:val="548F08CC"/>
    <w:rsid w:val="54905ECA"/>
    <w:rsid w:val="5491544C"/>
    <w:rsid w:val="54963D57"/>
    <w:rsid w:val="54984B35"/>
    <w:rsid w:val="549B4F6D"/>
    <w:rsid w:val="549C75E7"/>
    <w:rsid w:val="549E44D1"/>
    <w:rsid w:val="54A430B8"/>
    <w:rsid w:val="54A43723"/>
    <w:rsid w:val="54AA699E"/>
    <w:rsid w:val="54AC3AFA"/>
    <w:rsid w:val="54AD6F7A"/>
    <w:rsid w:val="54B15980"/>
    <w:rsid w:val="54BA4CF5"/>
    <w:rsid w:val="54BF107A"/>
    <w:rsid w:val="54C06B56"/>
    <w:rsid w:val="54CC25C1"/>
    <w:rsid w:val="54CF07B4"/>
    <w:rsid w:val="54DA49DB"/>
    <w:rsid w:val="54DB45C6"/>
    <w:rsid w:val="54F36DBD"/>
    <w:rsid w:val="54FF3501"/>
    <w:rsid w:val="55032FC6"/>
    <w:rsid w:val="550B7314"/>
    <w:rsid w:val="550F159D"/>
    <w:rsid w:val="550F5A8F"/>
    <w:rsid w:val="55102440"/>
    <w:rsid w:val="551B2419"/>
    <w:rsid w:val="551C2A10"/>
    <w:rsid w:val="551E16FF"/>
    <w:rsid w:val="551E6B2A"/>
    <w:rsid w:val="552B4F4E"/>
    <w:rsid w:val="552C0EDB"/>
    <w:rsid w:val="552C79A0"/>
    <w:rsid w:val="552D3BE0"/>
    <w:rsid w:val="552E9F5C"/>
    <w:rsid w:val="5531675D"/>
    <w:rsid w:val="553255F1"/>
    <w:rsid w:val="553969A0"/>
    <w:rsid w:val="553D44F9"/>
    <w:rsid w:val="554145B1"/>
    <w:rsid w:val="55432CF1"/>
    <w:rsid w:val="554A0159"/>
    <w:rsid w:val="554A4C79"/>
    <w:rsid w:val="554E25D0"/>
    <w:rsid w:val="555076EA"/>
    <w:rsid w:val="55514205"/>
    <w:rsid w:val="555278C4"/>
    <w:rsid w:val="55583B90"/>
    <w:rsid w:val="555A0ACE"/>
    <w:rsid w:val="555E131C"/>
    <w:rsid w:val="55632428"/>
    <w:rsid w:val="55653867"/>
    <w:rsid w:val="556635C8"/>
    <w:rsid w:val="55767D2F"/>
    <w:rsid w:val="557A0C4C"/>
    <w:rsid w:val="557C08CC"/>
    <w:rsid w:val="557F1269"/>
    <w:rsid w:val="55823A64"/>
    <w:rsid w:val="55853420"/>
    <w:rsid w:val="558746DF"/>
    <w:rsid w:val="5589337C"/>
    <w:rsid w:val="558A353D"/>
    <w:rsid w:val="559262F3"/>
    <w:rsid w:val="55947D4B"/>
    <w:rsid w:val="55951476"/>
    <w:rsid w:val="55980885"/>
    <w:rsid w:val="55A053A5"/>
    <w:rsid w:val="55A37749"/>
    <w:rsid w:val="55AD0AB1"/>
    <w:rsid w:val="55B07AA1"/>
    <w:rsid w:val="55B75118"/>
    <w:rsid w:val="55BC34F3"/>
    <w:rsid w:val="55C62214"/>
    <w:rsid w:val="55D119FC"/>
    <w:rsid w:val="55D735B6"/>
    <w:rsid w:val="55DA66E7"/>
    <w:rsid w:val="55DC546E"/>
    <w:rsid w:val="55DD2EEF"/>
    <w:rsid w:val="55DD32FD"/>
    <w:rsid w:val="55E62390"/>
    <w:rsid w:val="55E745F2"/>
    <w:rsid w:val="55EC0126"/>
    <w:rsid w:val="55F37D99"/>
    <w:rsid w:val="55F93865"/>
    <w:rsid w:val="56050830"/>
    <w:rsid w:val="560C01BB"/>
    <w:rsid w:val="56114643"/>
    <w:rsid w:val="56153049"/>
    <w:rsid w:val="56193C4E"/>
    <w:rsid w:val="561F13DA"/>
    <w:rsid w:val="5621105A"/>
    <w:rsid w:val="5623455D"/>
    <w:rsid w:val="56235008"/>
    <w:rsid w:val="56293878"/>
    <w:rsid w:val="56296B2A"/>
    <w:rsid w:val="56324B78"/>
    <w:rsid w:val="563866AF"/>
    <w:rsid w:val="563BD861"/>
    <w:rsid w:val="56440D1A"/>
    <w:rsid w:val="56454776"/>
    <w:rsid w:val="56455D97"/>
    <w:rsid w:val="564811E5"/>
    <w:rsid w:val="56484CDA"/>
    <w:rsid w:val="564950C6"/>
    <w:rsid w:val="5649563E"/>
    <w:rsid w:val="564B08CB"/>
    <w:rsid w:val="564C1367"/>
    <w:rsid w:val="565518B4"/>
    <w:rsid w:val="566578BC"/>
    <w:rsid w:val="56661B4F"/>
    <w:rsid w:val="566C10BB"/>
    <w:rsid w:val="566C7903"/>
    <w:rsid w:val="567646C1"/>
    <w:rsid w:val="567B1CCB"/>
    <w:rsid w:val="56816114"/>
    <w:rsid w:val="568251EF"/>
    <w:rsid w:val="568410FF"/>
    <w:rsid w:val="56885586"/>
    <w:rsid w:val="568B650B"/>
    <w:rsid w:val="568D244F"/>
    <w:rsid w:val="568F4738"/>
    <w:rsid w:val="56925B1D"/>
    <w:rsid w:val="56933917"/>
    <w:rsid w:val="569B2F0C"/>
    <w:rsid w:val="569C03C4"/>
    <w:rsid w:val="56A63FEE"/>
    <w:rsid w:val="56AA6DC0"/>
    <w:rsid w:val="56AF3248"/>
    <w:rsid w:val="56AF79C4"/>
    <w:rsid w:val="56B62BD2"/>
    <w:rsid w:val="56B66BD3"/>
    <w:rsid w:val="56BAAE96"/>
    <w:rsid w:val="56BC6AA6"/>
    <w:rsid w:val="56C708EE"/>
    <w:rsid w:val="56CC1BE9"/>
    <w:rsid w:val="56CE0279"/>
    <w:rsid w:val="56D20724"/>
    <w:rsid w:val="56D26737"/>
    <w:rsid w:val="56D36553"/>
    <w:rsid w:val="56D36F95"/>
    <w:rsid w:val="56D457A6"/>
    <w:rsid w:val="56D73EF4"/>
    <w:rsid w:val="56E11498"/>
    <w:rsid w:val="56E223BD"/>
    <w:rsid w:val="56E31118"/>
    <w:rsid w:val="56E31E14"/>
    <w:rsid w:val="56E44B68"/>
    <w:rsid w:val="56E46B9A"/>
    <w:rsid w:val="56E66275"/>
    <w:rsid w:val="56EC2EAE"/>
    <w:rsid w:val="56EF33A1"/>
    <w:rsid w:val="56FE5BA9"/>
    <w:rsid w:val="57010F08"/>
    <w:rsid w:val="570F6AE4"/>
    <w:rsid w:val="571141E6"/>
    <w:rsid w:val="57183B71"/>
    <w:rsid w:val="571A0371"/>
    <w:rsid w:val="571B241A"/>
    <w:rsid w:val="571C5DB6"/>
    <w:rsid w:val="571D114B"/>
    <w:rsid w:val="571D1390"/>
    <w:rsid w:val="571F0A6C"/>
    <w:rsid w:val="57204800"/>
    <w:rsid w:val="57227D03"/>
    <w:rsid w:val="5723355E"/>
    <w:rsid w:val="57243206"/>
    <w:rsid w:val="572A5482"/>
    <w:rsid w:val="57301217"/>
    <w:rsid w:val="57347C1D"/>
    <w:rsid w:val="5739721D"/>
    <w:rsid w:val="573C2AAB"/>
    <w:rsid w:val="573D632F"/>
    <w:rsid w:val="5744373B"/>
    <w:rsid w:val="574F1ACC"/>
    <w:rsid w:val="574F3E27"/>
    <w:rsid w:val="575D5EE9"/>
    <w:rsid w:val="575D60AD"/>
    <w:rsid w:val="5763051D"/>
    <w:rsid w:val="57675E6B"/>
    <w:rsid w:val="57755F3A"/>
    <w:rsid w:val="577613A7"/>
    <w:rsid w:val="577C5FCD"/>
    <w:rsid w:val="578060C1"/>
    <w:rsid w:val="578135A0"/>
    <w:rsid w:val="57822336"/>
    <w:rsid w:val="57833220"/>
    <w:rsid w:val="578478DB"/>
    <w:rsid w:val="578754A9"/>
    <w:rsid w:val="578B1A8B"/>
    <w:rsid w:val="578C2417"/>
    <w:rsid w:val="578E5A47"/>
    <w:rsid w:val="57981DED"/>
    <w:rsid w:val="579B08C7"/>
    <w:rsid w:val="57A05E6D"/>
    <w:rsid w:val="57A6123A"/>
    <w:rsid w:val="57A85717"/>
    <w:rsid w:val="57AC65E2"/>
    <w:rsid w:val="57B277DD"/>
    <w:rsid w:val="57B7BD14"/>
    <w:rsid w:val="57BC467E"/>
    <w:rsid w:val="57C40364"/>
    <w:rsid w:val="57D442B7"/>
    <w:rsid w:val="57D83FAF"/>
    <w:rsid w:val="57D911BD"/>
    <w:rsid w:val="57E3453E"/>
    <w:rsid w:val="57EA3EC9"/>
    <w:rsid w:val="57F3463D"/>
    <w:rsid w:val="57F77651"/>
    <w:rsid w:val="58021D20"/>
    <w:rsid w:val="58024DF3"/>
    <w:rsid w:val="5809477E"/>
    <w:rsid w:val="5809697C"/>
    <w:rsid w:val="58104109"/>
    <w:rsid w:val="58132B0F"/>
    <w:rsid w:val="581A396B"/>
    <w:rsid w:val="581B113F"/>
    <w:rsid w:val="582043A3"/>
    <w:rsid w:val="582232DD"/>
    <w:rsid w:val="58266723"/>
    <w:rsid w:val="582E3A30"/>
    <w:rsid w:val="583475F3"/>
    <w:rsid w:val="58373FC8"/>
    <w:rsid w:val="583B8CE5"/>
    <w:rsid w:val="583C587A"/>
    <w:rsid w:val="583D3584"/>
    <w:rsid w:val="584026D9"/>
    <w:rsid w:val="58431C43"/>
    <w:rsid w:val="5844BBB8"/>
    <w:rsid w:val="584601D0"/>
    <w:rsid w:val="5849678B"/>
    <w:rsid w:val="58525E77"/>
    <w:rsid w:val="585B0D05"/>
    <w:rsid w:val="5860181D"/>
    <w:rsid w:val="5862288E"/>
    <w:rsid w:val="58685EEA"/>
    <w:rsid w:val="58699CAF"/>
    <w:rsid w:val="586F4122"/>
    <w:rsid w:val="58705427"/>
    <w:rsid w:val="58763B7D"/>
    <w:rsid w:val="5878487C"/>
    <w:rsid w:val="58918276"/>
    <w:rsid w:val="58944220"/>
    <w:rsid w:val="589D71F0"/>
    <w:rsid w:val="58AD748A"/>
    <w:rsid w:val="58B21713"/>
    <w:rsid w:val="58B32187"/>
    <w:rsid w:val="58C64E7E"/>
    <w:rsid w:val="58C72436"/>
    <w:rsid w:val="58C72BED"/>
    <w:rsid w:val="58C779E0"/>
    <w:rsid w:val="58CB127E"/>
    <w:rsid w:val="58CC0CA3"/>
    <w:rsid w:val="58D004CB"/>
    <w:rsid w:val="58D33E46"/>
    <w:rsid w:val="58D57CF1"/>
    <w:rsid w:val="58DF20B1"/>
    <w:rsid w:val="58E2665F"/>
    <w:rsid w:val="58E42340"/>
    <w:rsid w:val="58E526A9"/>
    <w:rsid w:val="58E83DEC"/>
    <w:rsid w:val="58EA72EF"/>
    <w:rsid w:val="58EC7908"/>
    <w:rsid w:val="58F133F6"/>
    <w:rsid w:val="59012AD0"/>
    <w:rsid w:val="5906339C"/>
    <w:rsid w:val="5908689F"/>
    <w:rsid w:val="590A1D69"/>
    <w:rsid w:val="590D2D27"/>
    <w:rsid w:val="591148CD"/>
    <w:rsid w:val="59127A0C"/>
    <w:rsid w:val="59134C30"/>
    <w:rsid w:val="59164907"/>
    <w:rsid w:val="59186B39"/>
    <w:rsid w:val="591A1C25"/>
    <w:rsid w:val="5927620B"/>
    <w:rsid w:val="5929303F"/>
    <w:rsid w:val="59296DD4"/>
    <w:rsid w:val="593645DE"/>
    <w:rsid w:val="593815EC"/>
    <w:rsid w:val="593C6736"/>
    <w:rsid w:val="594069F9"/>
    <w:rsid w:val="59433B27"/>
    <w:rsid w:val="59464082"/>
    <w:rsid w:val="59481573"/>
    <w:rsid w:val="594D420C"/>
    <w:rsid w:val="594E3FF0"/>
    <w:rsid w:val="59517F98"/>
    <w:rsid w:val="59581068"/>
    <w:rsid w:val="595B3457"/>
    <w:rsid w:val="595C5ED8"/>
    <w:rsid w:val="59657925"/>
    <w:rsid w:val="596C27D6"/>
    <w:rsid w:val="597204CD"/>
    <w:rsid w:val="59723D50"/>
    <w:rsid w:val="5975657A"/>
    <w:rsid w:val="597936DB"/>
    <w:rsid w:val="59793D78"/>
    <w:rsid w:val="597C7405"/>
    <w:rsid w:val="5986574F"/>
    <w:rsid w:val="59885EF4"/>
    <w:rsid w:val="598D6AF8"/>
    <w:rsid w:val="598F1FFB"/>
    <w:rsid w:val="59907A7D"/>
    <w:rsid w:val="5991320A"/>
    <w:rsid w:val="599568F4"/>
    <w:rsid w:val="599674DE"/>
    <w:rsid w:val="59972C8B"/>
    <w:rsid w:val="5999618E"/>
    <w:rsid w:val="599F2295"/>
    <w:rsid w:val="59A07D17"/>
    <w:rsid w:val="59A136A5"/>
    <w:rsid w:val="59AE5F6A"/>
    <w:rsid w:val="59B966C3"/>
    <w:rsid w:val="59BE0216"/>
    <w:rsid w:val="59C67F57"/>
    <w:rsid w:val="59C9625C"/>
    <w:rsid w:val="59CC5F82"/>
    <w:rsid w:val="59D225A0"/>
    <w:rsid w:val="59D5D793"/>
    <w:rsid w:val="59D601F1"/>
    <w:rsid w:val="59DD205E"/>
    <w:rsid w:val="59E7412B"/>
    <w:rsid w:val="59ED0ECA"/>
    <w:rsid w:val="59EF3319"/>
    <w:rsid w:val="59F70726"/>
    <w:rsid w:val="59FD5DAF"/>
    <w:rsid w:val="59FE5684"/>
    <w:rsid w:val="5A032C9A"/>
    <w:rsid w:val="5A063515"/>
    <w:rsid w:val="5A093EC3"/>
    <w:rsid w:val="5A0C4F72"/>
    <w:rsid w:val="5A102236"/>
    <w:rsid w:val="5A1225D4"/>
    <w:rsid w:val="5A1F6067"/>
    <w:rsid w:val="5A205E72"/>
    <w:rsid w:val="5A214DED"/>
    <w:rsid w:val="5A245D72"/>
    <w:rsid w:val="5A376F91"/>
    <w:rsid w:val="5A4161F7"/>
    <w:rsid w:val="5A494BC1"/>
    <w:rsid w:val="5A4A272E"/>
    <w:rsid w:val="5A4F2439"/>
    <w:rsid w:val="5A51593C"/>
    <w:rsid w:val="5A53E9D7"/>
    <w:rsid w:val="5A540ABF"/>
    <w:rsid w:val="5A5F26D4"/>
    <w:rsid w:val="5A66425D"/>
    <w:rsid w:val="5A670EED"/>
    <w:rsid w:val="5A682D95"/>
    <w:rsid w:val="5A6D3BE8"/>
    <w:rsid w:val="5A6E4EEC"/>
    <w:rsid w:val="5A735AF1"/>
    <w:rsid w:val="5A744438"/>
    <w:rsid w:val="5A7979FA"/>
    <w:rsid w:val="5A7A3EAC"/>
    <w:rsid w:val="5A850901"/>
    <w:rsid w:val="5A892511"/>
    <w:rsid w:val="5A893518"/>
    <w:rsid w:val="5A8935B7"/>
    <w:rsid w:val="5A8D6E0C"/>
    <w:rsid w:val="5A8F026E"/>
    <w:rsid w:val="5A9214FD"/>
    <w:rsid w:val="5A970FFD"/>
    <w:rsid w:val="5A975B2D"/>
    <w:rsid w:val="5A9E21B8"/>
    <w:rsid w:val="5A9F7C3A"/>
    <w:rsid w:val="5AA47119"/>
    <w:rsid w:val="5AB133D7"/>
    <w:rsid w:val="5AB135C4"/>
    <w:rsid w:val="5AB51DDE"/>
    <w:rsid w:val="5AB72D62"/>
    <w:rsid w:val="5ABD2A6D"/>
    <w:rsid w:val="5ABF7200"/>
    <w:rsid w:val="5AC727D6"/>
    <w:rsid w:val="5AC92D10"/>
    <w:rsid w:val="5ACA6500"/>
    <w:rsid w:val="5AD103AD"/>
    <w:rsid w:val="5AD461F7"/>
    <w:rsid w:val="5AD54636"/>
    <w:rsid w:val="5ADA7015"/>
    <w:rsid w:val="5ADD42BF"/>
    <w:rsid w:val="5ADD56BA"/>
    <w:rsid w:val="5AE119A8"/>
    <w:rsid w:val="5AE91224"/>
    <w:rsid w:val="5AF0501D"/>
    <w:rsid w:val="5AF06C4D"/>
    <w:rsid w:val="5AF77E50"/>
    <w:rsid w:val="5AF8134E"/>
    <w:rsid w:val="5AF94841"/>
    <w:rsid w:val="5AF97ECB"/>
    <w:rsid w:val="5AFB2552"/>
    <w:rsid w:val="5AFE34D7"/>
    <w:rsid w:val="5B01445B"/>
    <w:rsid w:val="5B0538E4"/>
    <w:rsid w:val="5B069567"/>
    <w:rsid w:val="5B0863DC"/>
    <w:rsid w:val="5B091590"/>
    <w:rsid w:val="5B13734F"/>
    <w:rsid w:val="5B1647AE"/>
    <w:rsid w:val="5B207E68"/>
    <w:rsid w:val="5B263D4D"/>
    <w:rsid w:val="5B265E82"/>
    <w:rsid w:val="5B27469B"/>
    <w:rsid w:val="5B2A30A1"/>
    <w:rsid w:val="5B2E1E47"/>
    <w:rsid w:val="5B3A1DDA"/>
    <w:rsid w:val="5B4019C2"/>
    <w:rsid w:val="5B4077C3"/>
    <w:rsid w:val="5B4119E9"/>
    <w:rsid w:val="5B4219B5"/>
    <w:rsid w:val="5B445318"/>
    <w:rsid w:val="5B505CE1"/>
    <w:rsid w:val="5B523ED9"/>
    <w:rsid w:val="5B532BE1"/>
    <w:rsid w:val="5B56294C"/>
    <w:rsid w:val="5B59036D"/>
    <w:rsid w:val="5B5A3781"/>
    <w:rsid w:val="5B5A7539"/>
    <w:rsid w:val="5B5D47D3"/>
    <w:rsid w:val="5B5E47F5"/>
    <w:rsid w:val="5B6870A3"/>
    <w:rsid w:val="5B6F4EB0"/>
    <w:rsid w:val="5B730F17"/>
    <w:rsid w:val="5B7D50AA"/>
    <w:rsid w:val="5B7E704A"/>
    <w:rsid w:val="5B8D63AC"/>
    <w:rsid w:val="5B96718F"/>
    <w:rsid w:val="5B9E55DE"/>
    <w:rsid w:val="5B9F77DD"/>
    <w:rsid w:val="5BA00AE1"/>
    <w:rsid w:val="5BAA35EF"/>
    <w:rsid w:val="5BAD4574"/>
    <w:rsid w:val="5BB662D5"/>
    <w:rsid w:val="5BC0071A"/>
    <w:rsid w:val="5BCC4E29"/>
    <w:rsid w:val="5BD40D92"/>
    <w:rsid w:val="5BD92AAC"/>
    <w:rsid w:val="5BDB1899"/>
    <w:rsid w:val="5BDB5443"/>
    <w:rsid w:val="5BDD3BC6"/>
    <w:rsid w:val="5BDF6F15"/>
    <w:rsid w:val="5BE03AC9"/>
    <w:rsid w:val="5BE9175E"/>
    <w:rsid w:val="5BEA7C5C"/>
    <w:rsid w:val="5BEF65F5"/>
    <w:rsid w:val="5BF07B73"/>
    <w:rsid w:val="5BF32AEA"/>
    <w:rsid w:val="5C032D84"/>
    <w:rsid w:val="5C1B251D"/>
    <w:rsid w:val="5C1E0CD1"/>
    <w:rsid w:val="5C2007A0"/>
    <w:rsid w:val="5C2E5CD5"/>
    <w:rsid w:val="5C383F59"/>
    <w:rsid w:val="5C3A1D29"/>
    <w:rsid w:val="5C3B6762"/>
    <w:rsid w:val="5C3D0977"/>
    <w:rsid w:val="5C433B6E"/>
    <w:rsid w:val="5C451514"/>
    <w:rsid w:val="5C473C2B"/>
    <w:rsid w:val="5C4A56F7"/>
    <w:rsid w:val="5C4B2B6A"/>
    <w:rsid w:val="5C61531C"/>
    <w:rsid w:val="5C6173BF"/>
    <w:rsid w:val="5C63730C"/>
    <w:rsid w:val="5C641B24"/>
    <w:rsid w:val="5C684CA7"/>
    <w:rsid w:val="5C6914DA"/>
    <w:rsid w:val="5C6C6F17"/>
    <w:rsid w:val="5C72639D"/>
    <w:rsid w:val="5C727278"/>
    <w:rsid w:val="5C7D36D7"/>
    <w:rsid w:val="5C7D4918"/>
    <w:rsid w:val="5C8210D4"/>
    <w:rsid w:val="5C86498B"/>
    <w:rsid w:val="5C882FDD"/>
    <w:rsid w:val="5C8D7465"/>
    <w:rsid w:val="5CA17566"/>
    <w:rsid w:val="5CA27422"/>
    <w:rsid w:val="5CA4708A"/>
    <w:rsid w:val="5CA55551"/>
    <w:rsid w:val="5CA579FB"/>
    <w:rsid w:val="5CA66901"/>
    <w:rsid w:val="5CA66EF8"/>
    <w:rsid w:val="5CAD799A"/>
    <w:rsid w:val="5CAE15E3"/>
    <w:rsid w:val="5CB74EF9"/>
    <w:rsid w:val="5CB9365E"/>
    <w:rsid w:val="5CBA122E"/>
    <w:rsid w:val="5CBDB2BA"/>
    <w:rsid w:val="5CC10BB9"/>
    <w:rsid w:val="5CC76E38"/>
    <w:rsid w:val="5CC83DC7"/>
    <w:rsid w:val="5CCB1593"/>
    <w:rsid w:val="5CCD578E"/>
    <w:rsid w:val="5CCE7ECF"/>
    <w:rsid w:val="5CD112EC"/>
    <w:rsid w:val="5CD37A58"/>
    <w:rsid w:val="5CD91AE3"/>
    <w:rsid w:val="5CDA167E"/>
    <w:rsid w:val="5CDC4C66"/>
    <w:rsid w:val="5CDE0169"/>
    <w:rsid w:val="5CE16EEF"/>
    <w:rsid w:val="5CE26B6F"/>
    <w:rsid w:val="5CE57AF4"/>
    <w:rsid w:val="5CE97CE3"/>
    <w:rsid w:val="5CEC75C2"/>
    <w:rsid w:val="5CED4F00"/>
    <w:rsid w:val="5CF241B7"/>
    <w:rsid w:val="5CF55B90"/>
    <w:rsid w:val="5CFB06F8"/>
    <w:rsid w:val="5CFC551B"/>
    <w:rsid w:val="5CFC7D64"/>
    <w:rsid w:val="5CFE64A1"/>
    <w:rsid w:val="5D0638AC"/>
    <w:rsid w:val="5D0E0CB8"/>
    <w:rsid w:val="5D146445"/>
    <w:rsid w:val="5D187049"/>
    <w:rsid w:val="5D1F603D"/>
    <w:rsid w:val="5D242E5C"/>
    <w:rsid w:val="5D254161"/>
    <w:rsid w:val="5D2914F2"/>
    <w:rsid w:val="5D2E6FEF"/>
    <w:rsid w:val="5D301C33"/>
    <w:rsid w:val="5D312413"/>
    <w:rsid w:val="5D3778FE"/>
    <w:rsid w:val="5D3D1807"/>
    <w:rsid w:val="5D40278C"/>
    <w:rsid w:val="5D464695"/>
    <w:rsid w:val="5D4E247E"/>
    <w:rsid w:val="5D5117FE"/>
    <w:rsid w:val="5D58743F"/>
    <w:rsid w:val="5D5A2CC2"/>
    <w:rsid w:val="5D6112A6"/>
    <w:rsid w:val="5D633BC6"/>
    <w:rsid w:val="5D657D78"/>
    <w:rsid w:val="5D683540"/>
    <w:rsid w:val="5D6D7DD8"/>
    <w:rsid w:val="5D724260"/>
    <w:rsid w:val="5D7A166C"/>
    <w:rsid w:val="5D841F7C"/>
    <w:rsid w:val="5D86767D"/>
    <w:rsid w:val="5D8A648E"/>
    <w:rsid w:val="5D967A22"/>
    <w:rsid w:val="5D9C7622"/>
    <w:rsid w:val="5DAE7DF5"/>
    <w:rsid w:val="5DB15F43"/>
    <w:rsid w:val="5DB239C4"/>
    <w:rsid w:val="5DB4788D"/>
    <w:rsid w:val="5DB54949"/>
    <w:rsid w:val="5DB778FF"/>
    <w:rsid w:val="5DB93D9B"/>
    <w:rsid w:val="5DBA0DD1"/>
    <w:rsid w:val="5DBC7B57"/>
    <w:rsid w:val="5DBE586A"/>
    <w:rsid w:val="5DBF65AD"/>
    <w:rsid w:val="5DD76224"/>
    <w:rsid w:val="5DDA298A"/>
    <w:rsid w:val="5DDB040C"/>
    <w:rsid w:val="5DE01011"/>
    <w:rsid w:val="5DE3706A"/>
    <w:rsid w:val="5DE62F1A"/>
    <w:rsid w:val="5DF179D9"/>
    <w:rsid w:val="5DF45567"/>
    <w:rsid w:val="5DF99D7F"/>
    <w:rsid w:val="5E014DC8"/>
    <w:rsid w:val="5E054653"/>
    <w:rsid w:val="5E0D665D"/>
    <w:rsid w:val="5E0E3B64"/>
    <w:rsid w:val="5E0F1C0D"/>
    <w:rsid w:val="5E180840"/>
    <w:rsid w:val="5E280B31"/>
    <w:rsid w:val="5E315072"/>
    <w:rsid w:val="5E3419DE"/>
    <w:rsid w:val="5E3C172A"/>
    <w:rsid w:val="5E3D313F"/>
    <w:rsid w:val="5E3E6E2C"/>
    <w:rsid w:val="5E417DB0"/>
    <w:rsid w:val="5E463AB2"/>
    <w:rsid w:val="5E4C19C5"/>
    <w:rsid w:val="5E57335E"/>
    <w:rsid w:val="5E5F2BE4"/>
    <w:rsid w:val="5E661471"/>
    <w:rsid w:val="5E713644"/>
    <w:rsid w:val="5E736001"/>
    <w:rsid w:val="5E744166"/>
    <w:rsid w:val="5E747306"/>
    <w:rsid w:val="5E777287"/>
    <w:rsid w:val="5E7FD54E"/>
    <w:rsid w:val="5E807F04"/>
    <w:rsid w:val="5E83629B"/>
    <w:rsid w:val="5E852D1B"/>
    <w:rsid w:val="5E870FAD"/>
    <w:rsid w:val="5E91630C"/>
    <w:rsid w:val="5EA35C3C"/>
    <w:rsid w:val="5EA97E19"/>
    <w:rsid w:val="5EAC2CE3"/>
    <w:rsid w:val="5EAD25AF"/>
    <w:rsid w:val="5EAE2963"/>
    <w:rsid w:val="5EB049D8"/>
    <w:rsid w:val="5EB24BEC"/>
    <w:rsid w:val="5EB411DC"/>
    <w:rsid w:val="5EB96BBE"/>
    <w:rsid w:val="5EBF6480"/>
    <w:rsid w:val="5EC61C02"/>
    <w:rsid w:val="5EC64161"/>
    <w:rsid w:val="5EC7073A"/>
    <w:rsid w:val="5EC86D90"/>
    <w:rsid w:val="5ECC2E23"/>
    <w:rsid w:val="5ED05841"/>
    <w:rsid w:val="5ED3731F"/>
    <w:rsid w:val="5EDA6CAA"/>
    <w:rsid w:val="5EDF3CD6"/>
    <w:rsid w:val="5EE04322"/>
    <w:rsid w:val="5EFE39E7"/>
    <w:rsid w:val="5F045E54"/>
    <w:rsid w:val="5F06425A"/>
    <w:rsid w:val="5F0B2CFC"/>
    <w:rsid w:val="5F1020E1"/>
    <w:rsid w:val="5F136B96"/>
    <w:rsid w:val="5F187E14"/>
    <w:rsid w:val="5F192F04"/>
    <w:rsid w:val="5F1D188E"/>
    <w:rsid w:val="5F2A7D2E"/>
    <w:rsid w:val="5F2D4536"/>
    <w:rsid w:val="5F313E05"/>
    <w:rsid w:val="5F356FD4"/>
    <w:rsid w:val="5F374E45"/>
    <w:rsid w:val="5F3D552F"/>
    <w:rsid w:val="5F403B22"/>
    <w:rsid w:val="5F4104EC"/>
    <w:rsid w:val="5F420C58"/>
    <w:rsid w:val="5F4C1567"/>
    <w:rsid w:val="5F4D6FE9"/>
    <w:rsid w:val="5F4F24EC"/>
    <w:rsid w:val="5F5C77ED"/>
    <w:rsid w:val="5F600208"/>
    <w:rsid w:val="5F6330EB"/>
    <w:rsid w:val="5F681F1D"/>
    <w:rsid w:val="5F6B5569"/>
    <w:rsid w:val="5F6C789E"/>
    <w:rsid w:val="5F7A4635"/>
    <w:rsid w:val="5F81073D"/>
    <w:rsid w:val="5F8261BE"/>
    <w:rsid w:val="5F845BA8"/>
    <w:rsid w:val="5F8613F6"/>
    <w:rsid w:val="5F91425A"/>
    <w:rsid w:val="5F946A28"/>
    <w:rsid w:val="5F952C60"/>
    <w:rsid w:val="5F9A70E8"/>
    <w:rsid w:val="5F9F7CED"/>
    <w:rsid w:val="5FA93E7F"/>
    <w:rsid w:val="5FAA07F1"/>
    <w:rsid w:val="5FB21B76"/>
    <w:rsid w:val="5FB2478F"/>
    <w:rsid w:val="5FB77575"/>
    <w:rsid w:val="5FC15189"/>
    <w:rsid w:val="5FC24A29"/>
    <w:rsid w:val="5FCC19D2"/>
    <w:rsid w:val="5FCC2847"/>
    <w:rsid w:val="5FCD3B2E"/>
    <w:rsid w:val="5FCDAF87"/>
    <w:rsid w:val="5FD61CC7"/>
    <w:rsid w:val="5FDA7ED2"/>
    <w:rsid w:val="5FDC1FC3"/>
    <w:rsid w:val="5FE1785D"/>
    <w:rsid w:val="5FE274DC"/>
    <w:rsid w:val="5FEE3FDA"/>
    <w:rsid w:val="5FF63F7F"/>
    <w:rsid w:val="5FF6617D"/>
    <w:rsid w:val="5FF70842"/>
    <w:rsid w:val="5FFB5E88"/>
    <w:rsid w:val="5FFE2848"/>
    <w:rsid w:val="60024CB0"/>
    <w:rsid w:val="600859EC"/>
    <w:rsid w:val="60086116"/>
    <w:rsid w:val="60097ACC"/>
    <w:rsid w:val="600A4E1D"/>
    <w:rsid w:val="600B203B"/>
    <w:rsid w:val="600E3909"/>
    <w:rsid w:val="600F6F06"/>
    <w:rsid w:val="60115C72"/>
    <w:rsid w:val="60160C30"/>
    <w:rsid w:val="601879B6"/>
    <w:rsid w:val="601A32B9"/>
    <w:rsid w:val="601B0D3D"/>
    <w:rsid w:val="601D05BB"/>
    <w:rsid w:val="602202C6"/>
    <w:rsid w:val="6027474E"/>
    <w:rsid w:val="602E4984"/>
    <w:rsid w:val="603752B7"/>
    <w:rsid w:val="604C7149"/>
    <w:rsid w:val="604D57AA"/>
    <w:rsid w:val="604E2F1A"/>
    <w:rsid w:val="605136F1"/>
    <w:rsid w:val="60561A1A"/>
    <w:rsid w:val="60584F1D"/>
    <w:rsid w:val="605A515F"/>
    <w:rsid w:val="606A0B05"/>
    <w:rsid w:val="606C02F9"/>
    <w:rsid w:val="606F4B42"/>
    <w:rsid w:val="606F72DB"/>
    <w:rsid w:val="607260AE"/>
    <w:rsid w:val="607522CE"/>
    <w:rsid w:val="60765321"/>
    <w:rsid w:val="607B1C59"/>
    <w:rsid w:val="60841264"/>
    <w:rsid w:val="608F2E78"/>
    <w:rsid w:val="6098366A"/>
    <w:rsid w:val="609907A5"/>
    <w:rsid w:val="609D1752"/>
    <w:rsid w:val="609F023B"/>
    <w:rsid w:val="60A4759A"/>
    <w:rsid w:val="60A5501C"/>
    <w:rsid w:val="60AA645C"/>
    <w:rsid w:val="60AB35B2"/>
    <w:rsid w:val="60AB6F25"/>
    <w:rsid w:val="60B31DB3"/>
    <w:rsid w:val="60BB7F81"/>
    <w:rsid w:val="60C75142"/>
    <w:rsid w:val="60D859C5"/>
    <w:rsid w:val="60DA41F1"/>
    <w:rsid w:val="60DA8C8B"/>
    <w:rsid w:val="60DF620F"/>
    <w:rsid w:val="60DF79C7"/>
    <w:rsid w:val="60F02A2F"/>
    <w:rsid w:val="60FF4431"/>
    <w:rsid w:val="61045C75"/>
    <w:rsid w:val="61051BBD"/>
    <w:rsid w:val="61067625"/>
    <w:rsid w:val="61146955"/>
    <w:rsid w:val="61192E81"/>
    <w:rsid w:val="611B04DE"/>
    <w:rsid w:val="61204966"/>
    <w:rsid w:val="61277B74"/>
    <w:rsid w:val="612967DF"/>
    <w:rsid w:val="612D3C7B"/>
    <w:rsid w:val="6131B616"/>
    <w:rsid w:val="61337CB0"/>
    <w:rsid w:val="613E3F16"/>
    <w:rsid w:val="613F280A"/>
    <w:rsid w:val="61405402"/>
    <w:rsid w:val="6141185E"/>
    <w:rsid w:val="614813F8"/>
    <w:rsid w:val="614B4C08"/>
    <w:rsid w:val="614E4F77"/>
    <w:rsid w:val="616366D4"/>
    <w:rsid w:val="61651BD7"/>
    <w:rsid w:val="616B2973"/>
    <w:rsid w:val="616E7A5A"/>
    <w:rsid w:val="617D2B01"/>
    <w:rsid w:val="617E0582"/>
    <w:rsid w:val="61830BFA"/>
    <w:rsid w:val="618D5C6B"/>
    <w:rsid w:val="61967E27"/>
    <w:rsid w:val="6198112C"/>
    <w:rsid w:val="61A34F3F"/>
    <w:rsid w:val="61AA15B1"/>
    <w:rsid w:val="61AA7405"/>
    <w:rsid w:val="61AE0FAA"/>
    <w:rsid w:val="61B42017"/>
    <w:rsid w:val="61B451D9"/>
    <w:rsid w:val="61BA7F0E"/>
    <w:rsid w:val="61C144EF"/>
    <w:rsid w:val="61D04B09"/>
    <w:rsid w:val="61D1258B"/>
    <w:rsid w:val="61D27B22"/>
    <w:rsid w:val="61D3787D"/>
    <w:rsid w:val="61D45648"/>
    <w:rsid w:val="61D45A07"/>
    <w:rsid w:val="61E559A8"/>
    <w:rsid w:val="61E63B2E"/>
    <w:rsid w:val="61EB26C7"/>
    <w:rsid w:val="61EF537D"/>
    <w:rsid w:val="61FA26C7"/>
    <w:rsid w:val="6203395D"/>
    <w:rsid w:val="62055EDD"/>
    <w:rsid w:val="62085F1F"/>
    <w:rsid w:val="62086E62"/>
    <w:rsid w:val="62090D31"/>
    <w:rsid w:val="620A5BE8"/>
    <w:rsid w:val="620B7DE6"/>
    <w:rsid w:val="620F67EC"/>
    <w:rsid w:val="62194B7D"/>
    <w:rsid w:val="621E60EC"/>
    <w:rsid w:val="621F58E4"/>
    <w:rsid w:val="62207D8C"/>
    <w:rsid w:val="62297D08"/>
    <w:rsid w:val="622A129B"/>
    <w:rsid w:val="623052EC"/>
    <w:rsid w:val="623054B0"/>
    <w:rsid w:val="62314AF8"/>
    <w:rsid w:val="623644AE"/>
    <w:rsid w:val="623937F7"/>
    <w:rsid w:val="623D6CC3"/>
    <w:rsid w:val="62467FCB"/>
    <w:rsid w:val="62475A4D"/>
    <w:rsid w:val="624932D9"/>
    <w:rsid w:val="624F2E59"/>
    <w:rsid w:val="62581227"/>
    <w:rsid w:val="625F7870"/>
    <w:rsid w:val="626049DC"/>
    <w:rsid w:val="62612D73"/>
    <w:rsid w:val="62670500"/>
    <w:rsid w:val="626D6B63"/>
    <w:rsid w:val="626F338E"/>
    <w:rsid w:val="62747B86"/>
    <w:rsid w:val="62774F17"/>
    <w:rsid w:val="627E4281"/>
    <w:rsid w:val="627E55B4"/>
    <w:rsid w:val="62832956"/>
    <w:rsid w:val="62850765"/>
    <w:rsid w:val="628864B6"/>
    <w:rsid w:val="628C3FC7"/>
    <w:rsid w:val="62931AF2"/>
    <w:rsid w:val="6299419B"/>
    <w:rsid w:val="62A57FE5"/>
    <w:rsid w:val="62A65A66"/>
    <w:rsid w:val="62A92BF7"/>
    <w:rsid w:val="62AA2731"/>
    <w:rsid w:val="62B56081"/>
    <w:rsid w:val="62B9572E"/>
    <w:rsid w:val="62BC40AF"/>
    <w:rsid w:val="62BD4E12"/>
    <w:rsid w:val="62BF0B8F"/>
    <w:rsid w:val="62C332D8"/>
    <w:rsid w:val="62C84A81"/>
    <w:rsid w:val="62CA27A3"/>
    <w:rsid w:val="62CE2E37"/>
    <w:rsid w:val="62CE5926"/>
    <w:rsid w:val="62CE653B"/>
    <w:rsid w:val="62D27BAF"/>
    <w:rsid w:val="62D612E7"/>
    <w:rsid w:val="62DD39C2"/>
    <w:rsid w:val="62DF5C71"/>
    <w:rsid w:val="62E01C64"/>
    <w:rsid w:val="62E50DCE"/>
    <w:rsid w:val="62E541D8"/>
    <w:rsid w:val="62E70A4E"/>
    <w:rsid w:val="62EC7AFD"/>
    <w:rsid w:val="62EE28E2"/>
    <w:rsid w:val="62EF16DE"/>
    <w:rsid w:val="62F51069"/>
    <w:rsid w:val="62F578A1"/>
    <w:rsid w:val="62FC09F3"/>
    <w:rsid w:val="63033C02"/>
    <w:rsid w:val="63076D84"/>
    <w:rsid w:val="630A358C"/>
    <w:rsid w:val="630B7964"/>
    <w:rsid w:val="630D670F"/>
    <w:rsid w:val="63183814"/>
    <w:rsid w:val="631C6836"/>
    <w:rsid w:val="631D47AB"/>
    <w:rsid w:val="6321792E"/>
    <w:rsid w:val="632A3916"/>
    <w:rsid w:val="633736B6"/>
    <w:rsid w:val="634023E1"/>
    <w:rsid w:val="6343792C"/>
    <w:rsid w:val="63470954"/>
    <w:rsid w:val="634E521D"/>
    <w:rsid w:val="63541865"/>
    <w:rsid w:val="63595768"/>
    <w:rsid w:val="635D341B"/>
    <w:rsid w:val="636218B0"/>
    <w:rsid w:val="63662621"/>
    <w:rsid w:val="638766EA"/>
    <w:rsid w:val="63894210"/>
    <w:rsid w:val="638A4BCC"/>
    <w:rsid w:val="638D02E2"/>
    <w:rsid w:val="638D707F"/>
    <w:rsid w:val="638F1633"/>
    <w:rsid w:val="6397120D"/>
    <w:rsid w:val="63980265"/>
    <w:rsid w:val="639D7628"/>
    <w:rsid w:val="63A26C03"/>
    <w:rsid w:val="63A34684"/>
    <w:rsid w:val="63A57B87"/>
    <w:rsid w:val="63AA1E11"/>
    <w:rsid w:val="63AD4F94"/>
    <w:rsid w:val="63B4281C"/>
    <w:rsid w:val="63B94D7A"/>
    <w:rsid w:val="63BB75EA"/>
    <w:rsid w:val="63C274B8"/>
    <w:rsid w:val="63C70247"/>
    <w:rsid w:val="63C86E42"/>
    <w:rsid w:val="63C948C4"/>
    <w:rsid w:val="63CC6451"/>
    <w:rsid w:val="63CF2051"/>
    <w:rsid w:val="63D47B81"/>
    <w:rsid w:val="63E50971"/>
    <w:rsid w:val="63EA067C"/>
    <w:rsid w:val="63ED1601"/>
    <w:rsid w:val="63FB7E82"/>
    <w:rsid w:val="63FD0E82"/>
    <w:rsid w:val="64037F21"/>
    <w:rsid w:val="64060298"/>
    <w:rsid w:val="641406D3"/>
    <w:rsid w:val="64176BC2"/>
    <w:rsid w:val="641D7281"/>
    <w:rsid w:val="642124B8"/>
    <w:rsid w:val="64281462"/>
    <w:rsid w:val="642A2117"/>
    <w:rsid w:val="643A1700"/>
    <w:rsid w:val="643C03E2"/>
    <w:rsid w:val="643C2838"/>
    <w:rsid w:val="643C4C03"/>
    <w:rsid w:val="64457A91"/>
    <w:rsid w:val="644D08F4"/>
    <w:rsid w:val="64516BDB"/>
    <w:rsid w:val="64553543"/>
    <w:rsid w:val="645C36D2"/>
    <w:rsid w:val="645F419B"/>
    <w:rsid w:val="646060BC"/>
    <w:rsid w:val="64701F44"/>
    <w:rsid w:val="647414DA"/>
    <w:rsid w:val="647E318E"/>
    <w:rsid w:val="648D1ADE"/>
    <w:rsid w:val="648E47C6"/>
    <w:rsid w:val="64940146"/>
    <w:rsid w:val="64963B81"/>
    <w:rsid w:val="649A40E6"/>
    <w:rsid w:val="649B069F"/>
    <w:rsid w:val="64A358AC"/>
    <w:rsid w:val="64A502A1"/>
    <w:rsid w:val="64A7700D"/>
    <w:rsid w:val="64AA19B4"/>
    <w:rsid w:val="64AC2938"/>
    <w:rsid w:val="64AC4EB7"/>
    <w:rsid w:val="64B41760"/>
    <w:rsid w:val="64B472D0"/>
    <w:rsid w:val="64B941CC"/>
    <w:rsid w:val="64BB76D0"/>
    <w:rsid w:val="64BE7B84"/>
    <w:rsid w:val="64C073DB"/>
    <w:rsid w:val="64D54FB3"/>
    <w:rsid w:val="64D73C68"/>
    <w:rsid w:val="64DB2183"/>
    <w:rsid w:val="64DC5686"/>
    <w:rsid w:val="64E2758F"/>
    <w:rsid w:val="64E838CB"/>
    <w:rsid w:val="64EB11D0"/>
    <w:rsid w:val="64EB5CA0"/>
    <w:rsid w:val="64EF3181"/>
    <w:rsid w:val="64F40B2E"/>
    <w:rsid w:val="64F72019"/>
    <w:rsid w:val="64F75669"/>
    <w:rsid w:val="64FC7CF4"/>
    <w:rsid w:val="65017B21"/>
    <w:rsid w:val="65040526"/>
    <w:rsid w:val="65067B4F"/>
    <w:rsid w:val="65081EF0"/>
    <w:rsid w:val="65102BD0"/>
    <w:rsid w:val="651475C2"/>
    <w:rsid w:val="651D7774"/>
    <w:rsid w:val="6521617A"/>
    <w:rsid w:val="652444D5"/>
    <w:rsid w:val="652C450B"/>
    <w:rsid w:val="653D2314"/>
    <w:rsid w:val="65406257"/>
    <w:rsid w:val="6542378D"/>
    <w:rsid w:val="65464CE2"/>
    <w:rsid w:val="65527816"/>
    <w:rsid w:val="655B110E"/>
    <w:rsid w:val="655D5CD2"/>
    <w:rsid w:val="65670CB9"/>
    <w:rsid w:val="6569656F"/>
    <w:rsid w:val="656B46CF"/>
    <w:rsid w:val="656C74F3"/>
    <w:rsid w:val="657D778E"/>
    <w:rsid w:val="65805624"/>
    <w:rsid w:val="65806194"/>
    <w:rsid w:val="6584299C"/>
    <w:rsid w:val="6589499B"/>
    <w:rsid w:val="658F24CC"/>
    <w:rsid w:val="65911CB1"/>
    <w:rsid w:val="65917ACB"/>
    <w:rsid w:val="65924E91"/>
    <w:rsid w:val="65944E94"/>
    <w:rsid w:val="659839DA"/>
    <w:rsid w:val="659B5266"/>
    <w:rsid w:val="65A26342"/>
    <w:rsid w:val="65A550CF"/>
    <w:rsid w:val="65A86053"/>
    <w:rsid w:val="65AC02DD"/>
    <w:rsid w:val="65AD4482"/>
    <w:rsid w:val="65B47867"/>
    <w:rsid w:val="65B66FA0"/>
    <w:rsid w:val="65BA221C"/>
    <w:rsid w:val="65C05087"/>
    <w:rsid w:val="65C418F3"/>
    <w:rsid w:val="65C71020"/>
    <w:rsid w:val="65CB530E"/>
    <w:rsid w:val="65D41489"/>
    <w:rsid w:val="65D649A4"/>
    <w:rsid w:val="65D72C34"/>
    <w:rsid w:val="65E05075"/>
    <w:rsid w:val="65E05BD0"/>
    <w:rsid w:val="65E74C3F"/>
    <w:rsid w:val="65E95143"/>
    <w:rsid w:val="65F067C8"/>
    <w:rsid w:val="65F17A91"/>
    <w:rsid w:val="65F62819"/>
    <w:rsid w:val="65F71656"/>
    <w:rsid w:val="65FC1E5E"/>
    <w:rsid w:val="65FF7089"/>
    <w:rsid w:val="66035F3C"/>
    <w:rsid w:val="660718F0"/>
    <w:rsid w:val="6612061A"/>
    <w:rsid w:val="66155F50"/>
    <w:rsid w:val="66171B8A"/>
    <w:rsid w:val="66204316"/>
    <w:rsid w:val="662F5A11"/>
    <w:rsid w:val="663028FA"/>
    <w:rsid w:val="663A7413"/>
    <w:rsid w:val="664A1A2C"/>
    <w:rsid w:val="664D7E66"/>
    <w:rsid w:val="66502B7B"/>
    <w:rsid w:val="66522FDF"/>
    <w:rsid w:val="665419EF"/>
    <w:rsid w:val="66563B83"/>
    <w:rsid w:val="6666770B"/>
    <w:rsid w:val="6668593B"/>
    <w:rsid w:val="666D166A"/>
    <w:rsid w:val="6670007D"/>
    <w:rsid w:val="6671351E"/>
    <w:rsid w:val="66736A21"/>
    <w:rsid w:val="66775427"/>
    <w:rsid w:val="667F2833"/>
    <w:rsid w:val="667F358A"/>
    <w:rsid w:val="668228C6"/>
    <w:rsid w:val="66855163"/>
    <w:rsid w:val="668B7DD7"/>
    <w:rsid w:val="668F35C4"/>
    <w:rsid w:val="669C7BE5"/>
    <w:rsid w:val="669E696B"/>
    <w:rsid w:val="66A1216A"/>
    <w:rsid w:val="66A85D63"/>
    <w:rsid w:val="66AC1B17"/>
    <w:rsid w:val="66B45BC9"/>
    <w:rsid w:val="66B7277F"/>
    <w:rsid w:val="66B934EE"/>
    <w:rsid w:val="66BB6220"/>
    <w:rsid w:val="66BF34F9"/>
    <w:rsid w:val="66C17E25"/>
    <w:rsid w:val="66CA18EE"/>
    <w:rsid w:val="66CA77F2"/>
    <w:rsid w:val="66CD266D"/>
    <w:rsid w:val="66DB1226"/>
    <w:rsid w:val="66DB514B"/>
    <w:rsid w:val="66DD064E"/>
    <w:rsid w:val="66DE6B36"/>
    <w:rsid w:val="66E512DE"/>
    <w:rsid w:val="66E63767"/>
    <w:rsid w:val="66E73F82"/>
    <w:rsid w:val="66EA5766"/>
    <w:rsid w:val="66ED66EB"/>
    <w:rsid w:val="66F07D3F"/>
    <w:rsid w:val="66F205F4"/>
    <w:rsid w:val="66F3D39D"/>
    <w:rsid w:val="66FC05DA"/>
    <w:rsid w:val="66FD3A84"/>
    <w:rsid w:val="670D5158"/>
    <w:rsid w:val="67144D2B"/>
    <w:rsid w:val="671B17B8"/>
    <w:rsid w:val="672116AD"/>
    <w:rsid w:val="672542C6"/>
    <w:rsid w:val="672F0459"/>
    <w:rsid w:val="6736719C"/>
    <w:rsid w:val="673934B3"/>
    <w:rsid w:val="673F4E70"/>
    <w:rsid w:val="67464746"/>
    <w:rsid w:val="674A0B92"/>
    <w:rsid w:val="67597011"/>
    <w:rsid w:val="675A043F"/>
    <w:rsid w:val="6762412B"/>
    <w:rsid w:val="676663B4"/>
    <w:rsid w:val="676D51B1"/>
    <w:rsid w:val="676E3E49"/>
    <w:rsid w:val="677221C7"/>
    <w:rsid w:val="67796DED"/>
    <w:rsid w:val="677A75D3"/>
    <w:rsid w:val="677B2AD6"/>
    <w:rsid w:val="677EAA6C"/>
    <w:rsid w:val="678000A0"/>
    <w:rsid w:val="6786745C"/>
    <w:rsid w:val="67880AE7"/>
    <w:rsid w:val="6789494D"/>
    <w:rsid w:val="6796514D"/>
    <w:rsid w:val="679A4285"/>
    <w:rsid w:val="679C2918"/>
    <w:rsid w:val="679E26DC"/>
    <w:rsid w:val="679E650E"/>
    <w:rsid w:val="67A0618E"/>
    <w:rsid w:val="67A51B77"/>
    <w:rsid w:val="67AA2321"/>
    <w:rsid w:val="67AA6A71"/>
    <w:rsid w:val="67BD3540"/>
    <w:rsid w:val="67DA0924"/>
    <w:rsid w:val="67DC14D2"/>
    <w:rsid w:val="67E9310A"/>
    <w:rsid w:val="67EA49D5"/>
    <w:rsid w:val="67ED3203"/>
    <w:rsid w:val="67F07212"/>
    <w:rsid w:val="67FC43B2"/>
    <w:rsid w:val="6805760C"/>
    <w:rsid w:val="680B6A6F"/>
    <w:rsid w:val="680F19A3"/>
    <w:rsid w:val="680F642E"/>
    <w:rsid w:val="68117C0A"/>
    <w:rsid w:val="6814544C"/>
    <w:rsid w:val="681C1AF7"/>
    <w:rsid w:val="681F15E7"/>
    <w:rsid w:val="682717EE"/>
    <w:rsid w:val="6839090B"/>
    <w:rsid w:val="6840EA4F"/>
    <w:rsid w:val="684A6627"/>
    <w:rsid w:val="684D1CB0"/>
    <w:rsid w:val="684D3CDE"/>
    <w:rsid w:val="684F1617"/>
    <w:rsid w:val="68503DB3"/>
    <w:rsid w:val="68523A33"/>
    <w:rsid w:val="685409C3"/>
    <w:rsid w:val="685549B8"/>
    <w:rsid w:val="68562439"/>
    <w:rsid w:val="685E1247"/>
    <w:rsid w:val="6860094C"/>
    <w:rsid w:val="6863174F"/>
    <w:rsid w:val="6865617D"/>
    <w:rsid w:val="6868611D"/>
    <w:rsid w:val="68696EDC"/>
    <w:rsid w:val="686A44A5"/>
    <w:rsid w:val="686F74D7"/>
    <w:rsid w:val="68710D40"/>
    <w:rsid w:val="6873052F"/>
    <w:rsid w:val="6874746B"/>
    <w:rsid w:val="68760770"/>
    <w:rsid w:val="68783C73"/>
    <w:rsid w:val="68836ACA"/>
    <w:rsid w:val="688D1A12"/>
    <w:rsid w:val="688F59F4"/>
    <w:rsid w:val="68900156"/>
    <w:rsid w:val="68960CA5"/>
    <w:rsid w:val="689B6B29"/>
    <w:rsid w:val="68A044D6"/>
    <w:rsid w:val="68A47FBA"/>
    <w:rsid w:val="68A66D41"/>
    <w:rsid w:val="68AB4314"/>
    <w:rsid w:val="68B05548"/>
    <w:rsid w:val="68B24D52"/>
    <w:rsid w:val="68B30505"/>
    <w:rsid w:val="68BD30E3"/>
    <w:rsid w:val="68C34FEC"/>
    <w:rsid w:val="68C83429"/>
    <w:rsid w:val="68C84CF7"/>
    <w:rsid w:val="68D11D83"/>
    <w:rsid w:val="68D141E7"/>
    <w:rsid w:val="68D47A7B"/>
    <w:rsid w:val="68D66D1E"/>
    <w:rsid w:val="68DD4322"/>
    <w:rsid w:val="68DE4FFE"/>
    <w:rsid w:val="68E424F2"/>
    <w:rsid w:val="68E63EB3"/>
    <w:rsid w:val="68E94B4A"/>
    <w:rsid w:val="68EC20A8"/>
    <w:rsid w:val="68ED8B0F"/>
    <w:rsid w:val="68F2471A"/>
    <w:rsid w:val="68F7727E"/>
    <w:rsid w:val="68FF2C52"/>
    <w:rsid w:val="690E1BE8"/>
    <w:rsid w:val="6910096E"/>
    <w:rsid w:val="691539D0"/>
    <w:rsid w:val="691F3B13"/>
    <w:rsid w:val="69207B74"/>
    <w:rsid w:val="69212E07"/>
    <w:rsid w:val="6923630A"/>
    <w:rsid w:val="69274D10"/>
    <w:rsid w:val="69282792"/>
    <w:rsid w:val="692A4BB7"/>
    <w:rsid w:val="692C2823"/>
    <w:rsid w:val="692D1AE1"/>
    <w:rsid w:val="692D6C1A"/>
    <w:rsid w:val="692F7B9E"/>
    <w:rsid w:val="69351AA8"/>
    <w:rsid w:val="69382A2C"/>
    <w:rsid w:val="693F23B7"/>
    <w:rsid w:val="69461D42"/>
    <w:rsid w:val="694675AC"/>
    <w:rsid w:val="69503956"/>
    <w:rsid w:val="69597DAE"/>
    <w:rsid w:val="69646B3E"/>
    <w:rsid w:val="69665AFA"/>
    <w:rsid w:val="696B1880"/>
    <w:rsid w:val="696D15A8"/>
    <w:rsid w:val="696E6789"/>
    <w:rsid w:val="69705E9C"/>
    <w:rsid w:val="69777A85"/>
    <w:rsid w:val="697F233D"/>
    <w:rsid w:val="697F6A24"/>
    <w:rsid w:val="69811F27"/>
    <w:rsid w:val="698C5D3A"/>
    <w:rsid w:val="698F1514"/>
    <w:rsid w:val="6991693E"/>
    <w:rsid w:val="69943784"/>
    <w:rsid w:val="69995F31"/>
    <w:rsid w:val="69A2465A"/>
    <w:rsid w:val="69A81DE6"/>
    <w:rsid w:val="69A86563"/>
    <w:rsid w:val="69AA52EA"/>
    <w:rsid w:val="69B71EB0"/>
    <w:rsid w:val="69BC36F8"/>
    <w:rsid w:val="69BF343C"/>
    <w:rsid w:val="69C34EFD"/>
    <w:rsid w:val="69C940D0"/>
    <w:rsid w:val="69CA7D9D"/>
    <w:rsid w:val="69CC0FC6"/>
    <w:rsid w:val="69CD4CEF"/>
    <w:rsid w:val="69D03B19"/>
    <w:rsid w:val="69D22DF1"/>
    <w:rsid w:val="69D64704"/>
    <w:rsid w:val="69E057C4"/>
    <w:rsid w:val="69E32EC5"/>
    <w:rsid w:val="69E563C8"/>
    <w:rsid w:val="69EC37D4"/>
    <w:rsid w:val="69F134E0"/>
    <w:rsid w:val="69F20F61"/>
    <w:rsid w:val="69F369E3"/>
    <w:rsid w:val="69F51EE6"/>
    <w:rsid w:val="69F908EC"/>
    <w:rsid w:val="69F94DBB"/>
    <w:rsid w:val="69FA636D"/>
    <w:rsid w:val="69FAA5E7"/>
    <w:rsid w:val="6A02377A"/>
    <w:rsid w:val="6A025978"/>
    <w:rsid w:val="6A0B4E3E"/>
    <w:rsid w:val="6A0E178B"/>
    <w:rsid w:val="6A0F2A90"/>
    <w:rsid w:val="6A116D0D"/>
    <w:rsid w:val="6A130FC8"/>
    <w:rsid w:val="6A176EBA"/>
    <w:rsid w:val="6A1F39A3"/>
    <w:rsid w:val="6A226039"/>
    <w:rsid w:val="6A231730"/>
    <w:rsid w:val="6A2527F9"/>
    <w:rsid w:val="6A257F8C"/>
    <w:rsid w:val="6A2A7525"/>
    <w:rsid w:val="6A2F5543"/>
    <w:rsid w:val="6A383847"/>
    <w:rsid w:val="6A385E52"/>
    <w:rsid w:val="6A3B42E8"/>
    <w:rsid w:val="6A40325F"/>
    <w:rsid w:val="6A492BFA"/>
    <w:rsid w:val="6A4946F9"/>
    <w:rsid w:val="6A4A3B6E"/>
    <w:rsid w:val="6A50DC1B"/>
    <w:rsid w:val="6A546D07"/>
    <w:rsid w:val="6A560449"/>
    <w:rsid w:val="6A5C1C27"/>
    <w:rsid w:val="6A617017"/>
    <w:rsid w:val="6A647F9B"/>
    <w:rsid w:val="6A66349E"/>
    <w:rsid w:val="6A687275"/>
    <w:rsid w:val="6A691E74"/>
    <w:rsid w:val="6A6A2F7E"/>
    <w:rsid w:val="6A6E6A2F"/>
    <w:rsid w:val="6A733DC8"/>
    <w:rsid w:val="6A7B584F"/>
    <w:rsid w:val="6A7C19FC"/>
    <w:rsid w:val="6A7C1DBF"/>
    <w:rsid w:val="6A7D75A8"/>
    <w:rsid w:val="6A7F4F36"/>
    <w:rsid w:val="6A855EE0"/>
    <w:rsid w:val="6A8739D3"/>
    <w:rsid w:val="6A8B3D7E"/>
    <w:rsid w:val="6A9277E6"/>
    <w:rsid w:val="6A972DFD"/>
    <w:rsid w:val="6AA13260"/>
    <w:rsid w:val="6AA50A05"/>
    <w:rsid w:val="6AA813AA"/>
    <w:rsid w:val="6AB029CA"/>
    <w:rsid w:val="6AB06375"/>
    <w:rsid w:val="6AB22299"/>
    <w:rsid w:val="6AB3359E"/>
    <w:rsid w:val="6AB75B07"/>
    <w:rsid w:val="6ABE3B2D"/>
    <w:rsid w:val="6ACE7B92"/>
    <w:rsid w:val="6AD050CC"/>
    <w:rsid w:val="6AD1136C"/>
    <w:rsid w:val="6AD21162"/>
    <w:rsid w:val="6AD439D8"/>
    <w:rsid w:val="6AD820D3"/>
    <w:rsid w:val="6AD97F5A"/>
    <w:rsid w:val="6ADE3093"/>
    <w:rsid w:val="6AE07BE0"/>
    <w:rsid w:val="6AEA0D00"/>
    <w:rsid w:val="6AFF6A89"/>
    <w:rsid w:val="6B0542A1"/>
    <w:rsid w:val="6B0E0304"/>
    <w:rsid w:val="6B0F2632"/>
    <w:rsid w:val="6B141979"/>
    <w:rsid w:val="6B154D26"/>
    <w:rsid w:val="6B1D240A"/>
    <w:rsid w:val="6B265B50"/>
    <w:rsid w:val="6B2A6550"/>
    <w:rsid w:val="6B2B5AE9"/>
    <w:rsid w:val="6B2E422E"/>
    <w:rsid w:val="6B3453A9"/>
    <w:rsid w:val="6B356FEF"/>
    <w:rsid w:val="6B363DC9"/>
    <w:rsid w:val="6B394838"/>
    <w:rsid w:val="6B3C21FD"/>
    <w:rsid w:val="6B464D0B"/>
    <w:rsid w:val="6B657311"/>
    <w:rsid w:val="6B674346"/>
    <w:rsid w:val="6B730171"/>
    <w:rsid w:val="6B7A2F8F"/>
    <w:rsid w:val="6B7E06E8"/>
    <w:rsid w:val="6B80746E"/>
    <w:rsid w:val="6B817D5D"/>
    <w:rsid w:val="6B843095"/>
    <w:rsid w:val="6B845E74"/>
    <w:rsid w:val="6B8922FC"/>
    <w:rsid w:val="6B8A1377"/>
    <w:rsid w:val="6B911907"/>
    <w:rsid w:val="6B9E0A74"/>
    <w:rsid w:val="6BA0262E"/>
    <w:rsid w:val="6BA66029"/>
    <w:rsid w:val="6BB40BC2"/>
    <w:rsid w:val="6BB76FF2"/>
    <w:rsid w:val="6BBD539F"/>
    <w:rsid w:val="6BC12456"/>
    <w:rsid w:val="6BC40E5C"/>
    <w:rsid w:val="6BD8207B"/>
    <w:rsid w:val="6BD826D9"/>
    <w:rsid w:val="6BDADFF6"/>
    <w:rsid w:val="6BDF75DB"/>
    <w:rsid w:val="6BE66E12"/>
    <w:rsid w:val="6BEE421F"/>
    <w:rsid w:val="6BEF5524"/>
    <w:rsid w:val="6BF5D23D"/>
    <w:rsid w:val="6BFA5AB3"/>
    <w:rsid w:val="6BFB1C7D"/>
    <w:rsid w:val="6C0079BC"/>
    <w:rsid w:val="6C031CF9"/>
    <w:rsid w:val="6C157962"/>
    <w:rsid w:val="6C180069"/>
    <w:rsid w:val="6C2157F2"/>
    <w:rsid w:val="6C22511C"/>
    <w:rsid w:val="6C263BD6"/>
    <w:rsid w:val="6C29298E"/>
    <w:rsid w:val="6C334D13"/>
    <w:rsid w:val="6C352415"/>
    <w:rsid w:val="6C375EE7"/>
    <w:rsid w:val="6C414357"/>
    <w:rsid w:val="6C460131"/>
    <w:rsid w:val="6C532055"/>
    <w:rsid w:val="6C597151"/>
    <w:rsid w:val="6C5C6003"/>
    <w:rsid w:val="6C5F3259"/>
    <w:rsid w:val="6C61334B"/>
    <w:rsid w:val="6C6321BD"/>
    <w:rsid w:val="6C6A7637"/>
    <w:rsid w:val="6C6E3873"/>
    <w:rsid w:val="6C700348"/>
    <w:rsid w:val="6C712D2B"/>
    <w:rsid w:val="6C745C65"/>
    <w:rsid w:val="6C760C80"/>
    <w:rsid w:val="6C7D1B5B"/>
    <w:rsid w:val="6C7E7F3F"/>
    <w:rsid w:val="6C8F3DA8"/>
    <w:rsid w:val="6C920A59"/>
    <w:rsid w:val="6C9846B8"/>
    <w:rsid w:val="6C997F3B"/>
    <w:rsid w:val="6C9B1095"/>
    <w:rsid w:val="6C9B343E"/>
    <w:rsid w:val="6CA32A49"/>
    <w:rsid w:val="6CA362CC"/>
    <w:rsid w:val="6CA81596"/>
    <w:rsid w:val="6CA82754"/>
    <w:rsid w:val="6CB23063"/>
    <w:rsid w:val="6CB829EE"/>
    <w:rsid w:val="6CBA5EF1"/>
    <w:rsid w:val="6CBD4F2A"/>
    <w:rsid w:val="6CBF6AF6"/>
    <w:rsid w:val="6CC61D04"/>
    <w:rsid w:val="6CC91B0A"/>
    <w:rsid w:val="6CCF4801"/>
    <w:rsid w:val="6CD9720D"/>
    <w:rsid w:val="6CDD60A6"/>
    <w:rsid w:val="6CE04AAC"/>
    <w:rsid w:val="6CFB5C25"/>
    <w:rsid w:val="6CFC3CA5"/>
    <w:rsid w:val="6CFE5E31"/>
    <w:rsid w:val="6CFF717F"/>
    <w:rsid w:val="6D0503EF"/>
    <w:rsid w:val="6D116900"/>
    <w:rsid w:val="6D131E03"/>
    <w:rsid w:val="6D13505E"/>
    <w:rsid w:val="6D140F40"/>
    <w:rsid w:val="6D1624B9"/>
    <w:rsid w:val="6D166292"/>
    <w:rsid w:val="6D1841D8"/>
    <w:rsid w:val="6D192AA9"/>
    <w:rsid w:val="6D1E2392"/>
    <w:rsid w:val="6D1F3697"/>
    <w:rsid w:val="6D207135"/>
    <w:rsid w:val="6D2C4F2B"/>
    <w:rsid w:val="6D37309C"/>
    <w:rsid w:val="6D394241"/>
    <w:rsid w:val="6D3D60D3"/>
    <w:rsid w:val="6D3E06C9"/>
    <w:rsid w:val="6D407CAB"/>
    <w:rsid w:val="6D4267D4"/>
    <w:rsid w:val="6D4B1F5D"/>
    <w:rsid w:val="6D4E28A9"/>
    <w:rsid w:val="6D502C59"/>
    <w:rsid w:val="6D5444AE"/>
    <w:rsid w:val="6D54588F"/>
    <w:rsid w:val="6D5E02C5"/>
    <w:rsid w:val="6D6E3416"/>
    <w:rsid w:val="6D6F0E98"/>
    <w:rsid w:val="6D733121"/>
    <w:rsid w:val="6D772CDA"/>
    <w:rsid w:val="6D7762A4"/>
    <w:rsid w:val="6D7D363F"/>
    <w:rsid w:val="6D7E504C"/>
    <w:rsid w:val="6D814635"/>
    <w:rsid w:val="6D834479"/>
    <w:rsid w:val="6D870249"/>
    <w:rsid w:val="6D8A0652"/>
    <w:rsid w:val="6D8C3D4A"/>
    <w:rsid w:val="6D8E300F"/>
    <w:rsid w:val="6D8F394B"/>
    <w:rsid w:val="6D947DD3"/>
    <w:rsid w:val="6D99255B"/>
    <w:rsid w:val="6D9B2892"/>
    <w:rsid w:val="6D9F4D49"/>
    <w:rsid w:val="6DA17531"/>
    <w:rsid w:val="6DAC289B"/>
    <w:rsid w:val="6DB53B8B"/>
    <w:rsid w:val="6DB63E53"/>
    <w:rsid w:val="6DBF3693"/>
    <w:rsid w:val="6DC77328"/>
    <w:rsid w:val="6DCC0152"/>
    <w:rsid w:val="6DCF2230"/>
    <w:rsid w:val="6DD61B41"/>
    <w:rsid w:val="6DDB175C"/>
    <w:rsid w:val="6DE211D7"/>
    <w:rsid w:val="6DE54A49"/>
    <w:rsid w:val="6DE662C0"/>
    <w:rsid w:val="6DE85FD7"/>
    <w:rsid w:val="6DEC3CE4"/>
    <w:rsid w:val="6DF22BF9"/>
    <w:rsid w:val="6DFC1D81"/>
    <w:rsid w:val="6DFC207D"/>
    <w:rsid w:val="6E004635"/>
    <w:rsid w:val="6E0C6169"/>
    <w:rsid w:val="6E10519E"/>
    <w:rsid w:val="6E117C17"/>
    <w:rsid w:val="6E154EA9"/>
    <w:rsid w:val="6E29242B"/>
    <w:rsid w:val="6E2B2FB6"/>
    <w:rsid w:val="6E2C7E59"/>
    <w:rsid w:val="6E3653DD"/>
    <w:rsid w:val="6E3676B3"/>
    <w:rsid w:val="6E370799"/>
    <w:rsid w:val="6E372E5F"/>
    <w:rsid w:val="6E37706B"/>
    <w:rsid w:val="6E3956E7"/>
    <w:rsid w:val="6E3B1C75"/>
    <w:rsid w:val="6E465678"/>
    <w:rsid w:val="6E50180B"/>
    <w:rsid w:val="6E524D0E"/>
    <w:rsid w:val="6E5AEECC"/>
    <w:rsid w:val="6E732CC4"/>
    <w:rsid w:val="6E7603C5"/>
    <w:rsid w:val="6E79134A"/>
    <w:rsid w:val="6E7A264F"/>
    <w:rsid w:val="6E877687"/>
    <w:rsid w:val="6E900BC6"/>
    <w:rsid w:val="6E92008D"/>
    <w:rsid w:val="6EA14A8D"/>
    <w:rsid w:val="6EA41295"/>
    <w:rsid w:val="6EA9791B"/>
    <w:rsid w:val="6EAB66A1"/>
    <w:rsid w:val="6EAF189C"/>
    <w:rsid w:val="6EB63C12"/>
    <w:rsid w:val="6EB76C30"/>
    <w:rsid w:val="6EBD2B14"/>
    <w:rsid w:val="6EC07540"/>
    <w:rsid w:val="6EC10D02"/>
    <w:rsid w:val="6EC27961"/>
    <w:rsid w:val="6EC33D48"/>
    <w:rsid w:val="6ECA36D3"/>
    <w:rsid w:val="6ECD4657"/>
    <w:rsid w:val="6ECE7490"/>
    <w:rsid w:val="6ECF42D7"/>
    <w:rsid w:val="6ED20ADF"/>
    <w:rsid w:val="6ED26591"/>
    <w:rsid w:val="6ED461E0"/>
    <w:rsid w:val="6ED4887E"/>
    <w:rsid w:val="6EDA385F"/>
    <w:rsid w:val="6EDC0F6E"/>
    <w:rsid w:val="6EDC1C75"/>
    <w:rsid w:val="6EDE407D"/>
    <w:rsid w:val="6EE37AB3"/>
    <w:rsid w:val="6EFA1CA3"/>
    <w:rsid w:val="6EFA4222"/>
    <w:rsid w:val="6EFF612B"/>
    <w:rsid w:val="6F004EB3"/>
    <w:rsid w:val="6F048D05"/>
    <w:rsid w:val="6F103A1D"/>
    <w:rsid w:val="6F146D68"/>
    <w:rsid w:val="6F156EF1"/>
    <w:rsid w:val="6F25123E"/>
    <w:rsid w:val="6F253209"/>
    <w:rsid w:val="6F254CE6"/>
    <w:rsid w:val="6F286A76"/>
    <w:rsid w:val="6F2D75CF"/>
    <w:rsid w:val="6F372726"/>
    <w:rsid w:val="6F401996"/>
    <w:rsid w:val="6F403311"/>
    <w:rsid w:val="6F410095"/>
    <w:rsid w:val="6F443CC4"/>
    <w:rsid w:val="6F4631D8"/>
    <w:rsid w:val="6F516A80"/>
    <w:rsid w:val="6F59423B"/>
    <w:rsid w:val="6F5E1933"/>
    <w:rsid w:val="6F5E79F6"/>
    <w:rsid w:val="6F5F19C8"/>
    <w:rsid w:val="6F6325CC"/>
    <w:rsid w:val="6F6438D1"/>
    <w:rsid w:val="6F65AFA8"/>
    <w:rsid w:val="6F663551"/>
    <w:rsid w:val="6F6C021C"/>
    <w:rsid w:val="6F6C0CDE"/>
    <w:rsid w:val="6F6D675F"/>
    <w:rsid w:val="6F6F63DF"/>
    <w:rsid w:val="6F77126D"/>
    <w:rsid w:val="6F7B35A7"/>
    <w:rsid w:val="6F7B7C73"/>
    <w:rsid w:val="6F83245B"/>
    <w:rsid w:val="6F863CF9"/>
    <w:rsid w:val="6F86588C"/>
    <w:rsid w:val="6F866004"/>
    <w:rsid w:val="6F875EB6"/>
    <w:rsid w:val="6F8B7DFD"/>
    <w:rsid w:val="6F8D5FC0"/>
    <w:rsid w:val="6F921A80"/>
    <w:rsid w:val="6F93311C"/>
    <w:rsid w:val="6F935FCD"/>
    <w:rsid w:val="6F95026E"/>
    <w:rsid w:val="6F9775A3"/>
    <w:rsid w:val="6F9D2A7C"/>
    <w:rsid w:val="6F9D37F2"/>
    <w:rsid w:val="6FA06B69"/>
    <w:rsid w:val="6FA81A3C"/>
    <w:rsid w:val="6FA82893"/>
    <w:rsid w:val="6FAA63F9"/>
    <w:rsid w:val="6FAB07A1"/>
    <w:rsid w:val="6FAB2F26"/>
    <w:rsid w:val="6FAE57BF"/>
    <w:rsid w:val="6FB30B03"/>
    <w:rsid w:val="6FB82179"/>
    <w:rsid w:val="6FCF3AAC"/>
    <w:rsid w:val="6FD00A02"/>
    <w:rsid w:val="6FDC0F91"/>
    <w:rsid w:val="6FE663C9"/>
    <w:rsid w:val="6FEC4AAF"/>
    <w:rsid w:val="6FF07C32"/>
    <w:rsid w:val="6FF333D4"/>
    <w:rsid w:val="6FF34EB6"/>
    <w:rsid w:val="7005064A"/>
    <w:rsid w:val="70086EBD"/>
    <w:rsid w:val="701139EA"/>
    <w:rsid w:val="701461F9"/>
    <w:rsid w:val="701A152C"/>
    <w:rsid w:val="701C6B3E"/>
    <w:rsid w:val="70270861"/>
    <w:rsid w:val="7028360F"/>
    <w:rsid w:val="70297AED"/>
    <w:rsid w:val="70375E28"/>
    <w:rsid w:val="703C22B0"/>
    <w:rsid w:val="703D35B4"/>
    <w:rsid w:val="70404CD4"/>
    <w:rsid w:val="704054A7"/>
    <w:rsid w:val="70405AF6"/>
    <w:rsid w:val="704109B2"/>
    <w:rsid w:val="70430561"/>
    <w:rsid w:val="704354BE"/>
    <w:rsid w:val="704716DB"/>
    <w:rsid w:val="70511770"/>
    <w:rsid w:val="70524F5E"/>
    <w:rsid w:val="70542D9D"/>
    <w:rsid w:val="705638DF"/>
    <w:rsid w:val="705838E8"/>
    <w:rsid w:val="705B72E1"/>
    <w:rsid w:val="7063216F"/>
    <w:rsid w:val="70653474"/>
    <w:rsid w:val="706633D4"/>
    <w:rsid w:val="706731CF"/>
    <w:rsid w:val="70683D6E"/>
    <w:rsid w:val="7076338E"/>
    <w:rsid w:val="707F3F7B"/>
    <w:rsid w:val="70821962"/>
    <w:rsid w:val="708404D0"/>
    <w:rsid w:val="70845F27"/>
    <w:rsid w:val="708B5462"/>
    <w:rsid w:val="708E7987"/>
    <w:rsid w:val="709410AA"/>
    <w:rsid w:val="70951A45"/>
    <w:rsid w:val="709561C1"/>
    <w:rsid w:val="709C1A48"/>
    <w:rsid w:val="70A86C13"/>
    <w:rsid w:val="70AC7377"/>
    <w:rsid w:val="70AD5162"/>
    <w:rsid w:val="70B0226E"/>
    <w:rsid w:val="70B25771"/>
    <w:rsid w:val="70B82EFE"/>
    <w:rsid w:val="70BC1904"/>
    <w:rsid w:val="70C1148D"/>
    <w:rsid w:val="70C34349"/>
    <w:rsid w:val="70C5552E"/>
    <w:rsid w:val="70CB5F98"/>
    <w:rsid w:val="70CC10B5"/>
    <w:rsid w:val="70CD25AE"/>
    <w:rsid w:val="70CD3D9D"/>
    <w:rsid w:val="70D005A5"/>
    <w:rsid w:val="70D23AA8"/>
    <w:rsid w:val="70D54A2C"/>
    <w:rsid w:val="70D66C2B"/>
    <w:rsid w:val="70DA60AB"/>
    <w:rsid w:val="70EF2110"/>
    <w:rsid w:val="70F61FEA"/>
    <w:rsid w:val="70FC2C1E"/>
    <w:rsid w:val="70FE120B"/>
    <w:rsid w:val="71003B2D"/>
    <w:rsid w:val="71041CF8"/>
    <w:rsid w:val="710806FF"/>
    <w:rsid w:val="71080E6A"/>
    <w:rsid w:val="710F6A7D"/>
    <w:rsid w:val="71167A14"/>
    <w:rsid w:val="711E28A2"/>
    <w:rsid w:val="712B62A8"/>
    <w:rsid w:val="712D2EBD"/>
    <w:rsid w:val="71394751"/>
    <w:rsid w:val="714040DC"/>
    <w:rsid w:val="714B41F3"/>
    <w:rsid w:val="714B6C0C"/>
    <w:rsid w:val="714E7C87"/>
    <w:rsid w:val="714F0E73"/>
    <w:rsid w:val="715A093B"/>
    <w:rsid w:val="715F1BA2"/>
    <w:rsid w:val="71617E94"/>
    <w:rsid w:val="71633397"/>
    <w:rsid w:val="716A2D22"/>
    <w:rsid w:val="716D50F6"/>
    <w:rsid w:val="71733631"/>
    <w:rsid w:val="7178569C"/>
    <w:rsid w:val="717A1A06"/>
    <w:rsid w:val="717C6E02"/>
    <w:rsid w:val="717E19C2"/>
    <w:rsid w:val="718507FD"/>
    <w:rsid w:val="71866DCF"/>
    <w:rsid w:val="718C2365"/>
    <w:rsid w:val="7194350F"/>
    <w:rsid w:val="71997FEE"/>
    <w:rsid w:val="719B5CA9"/>
    <w:rsid w:val="719C451B"/>
    <w:rsid w:val="719D69F4"/>
    <w:rsid w:val="71A3637F"/>
    <w:rsid w:val="71A86F83"/>
    <w:rsid w:val="71AB378B"/>
    <w:rsid w:val="71B11484"/>
    <w:rsid w:val="71B23116"/>
    <w:rsid w:val="71B38984"/>
    <w:rsid w:val="71B615C9"/>
    <w:rsid w:val="71C11BF7"/>
    <w:rsid w:val="71C646CF"/>
    <w:rsid w:val="71C82FE9"/>
    <w:rsid w:val="71D15BC9"/>
    <w:rsid w:val="71D523D1"/>
    <w:rsid w:val="71D77AD2"/>
    <w:rsid w:val="71E722EB"/>
    <w:rsid w:val="71ED62B6"/>
    <w:rsid w:val="71EF2F7B"/>
    <w:rsid w:val="71F907B3"/>
    <w:rsid w:val="71FC6A0D"/>
    <w:rsid w:val="72083B25"/>
    <w:rsid w:val="72090794"/>
    <w:rsid w:val="720C50EA"/>
    <w:rsid w:val="72103F0B"/>
    <w:rsid w:val="721E0247"/>
    <w:rsid w:val="72270B56"/>
    <w:rsid w:val="722B70F5"/>
    <w:rsid w:val="722E3D64"/>
    <w:rsid w:val="723352B8"/>
    <w:rsid w:val="7233658F"/>
    <w:rsid w:val="723658ED"/>
    <w:rsid w:val="72365D0D"/>
    <w:rsid w:val="723B77F7"/>
    <w:rsid w:val="72434C03"/>
    <w:rsid w:val="72453989"/>
    <w:rsid w:val="724C3314"/>
    <w:rsid w:val="724D2119"/>
    <w:rsid w:val="72541F51"/>
    <w:rsid w:val="725F6EC6"/>
    <w:rsid w:val="72606732"/>
    <w:rsid w:val="72616F8F"/>
    <w:rsid w:val="726208AB"/>
    <w:rsid w:val="726254B8"/>
    <w:rsid w:val="726763BE"/>
    <w:rsid w:val="726915C0"/>
    <w:rsid w:val="72694E43"/>
    <w:rsid w:val="726E12CB"/>
    <w:rsid w:val="726E2F4F"/>
    <w:rsid w:val="72725752"/>
    <w:rsid w:val="727E20F3"/>
    <w:rsid w:val="7293150A"/>
    <w:rsid w:val="72935C87"/>
    <w:rsid w:val="72994EFB"/>
    <w:rsid w:val="729C2671"/>
    <w:rsid w:val="729E4018"/>
    <w:rsid w:val="72A526E9"/>
    <w:rsid w:val="72AA58AC"/>
    <w:rsid w:val="72AA5E54"/>
    <w:rsid w:val="72B616BF"/>
    <w:rsid w:val="72BF102A"/>
    <w:rsid w:val="72C32889"/>
    <w:rsid w:val="72C806E0"/>
    <w:rsid w:val="72CE60E3"/>
    <w:rsid w:val="72CE725C"/>
    <w:rsid w:val="72D20FEF"/>
    <w:rsid w:val="72D2576C"/>
    <w:rsid w:val="72DA4D9E"/>
    <w:rsid w:val="72DB607B"/>
    <w:rsid w:val="72E12BDD"/>
    <w:rsid w:val="72E5220E"/>
    <w:rsid w:val="72E9381E"/>
    <w:rsid w:val="72EC3B81"/>
    <w:rsid w:val="72F1592E"/>
    <w:rsid w:val="72F67062"/>
    <w:rsid w:val="72FC1E33"/>
    <w:rsid w:val="72FD3138"/>
    <w:rsid w:val="72FE0BBA"/>
    <w:rsid w:val="72FF5977"/>
    <w:rsid w:val="73000839"/>
    <w:rsid w:val="730040BD"/>
    <w:rsid w:val="730275C0"/>
    <w:rsid w:val="730E55D1"/>
    <w:rsid w:val="730ED73B"/>
    <w:rsid w:val="73100AD4"/>
    <w:rsid w:val="73116555"/>
    <w:rsid w:val="73133AF6"/>
    <w:rsid w:val="73252FF8"/>
    <w:rsid w:val="73257F57"/>
    <w:rsid w:val="732775A1"/>
    <w:rsid w:val="732D30C7"/>
    <w:rsid w:val="732E0084"/>
    <w:rsid w:val="7333450C"/>
    <w:rsid w:val="7334649C"/>
    <w:rsid w:val="733C304D"/>
    <w:rsid w:val="73401623"/>
    <w:rsid w:val="73424B26"/>
    <w:rsid w:val="73481ADA"/>
    <w:rsid w:val="734844B1"/>
    <w:rsid w:val="734B0AAB"/>
    <w:rsid w:val="734F3CAD"/>
    <w:rsid w:val="73505E3C"/>
    <w:rsid w:val="735142CD"/>
    <w:rsid w:val="73522A45"/>
    <w:rsid w:val="73577E87"/>
    <w:rsid w:val="73596638"/>
    <w:rsid w:val="735B7F50"/>
    <w:rsid w:val="735F255F"/>
    <w:rsid w:val="736E0E6D"/>
    <w:rsid w:val="73724CC1"/>
    <w:rsid w:val="73741484"/>
    <w:rsid w:val="73775FE8"/>
    <w:rsid w:val="737F240C"/>
    <w:rsid w:val="7381208C"/>
    <w:rsid w:val="73837890"/>
    <w:rsid w:val="73897499"/>
    <w:rsid w:val="738A200A"/>
    <w:rsid w:val="738E13A2"/>
    <w:rsid w:val="73944C37"/>
    <w:rsid w:val="73985535"/>
    <w:rsid w:val="73B01C91"/>
    <w:rsid w:val="73B3623A"/>
    <w:rsid w:val="73B95A69"/>
    <w:rsid w:val="73BA34EB"/>
    <w:rsid w:val="73BE0AEE"/>
    <w:rsid w:val="73C21CCE"/>
    <w:rsid w:val="73C550FF"/>
    <w:rsid w:val="73CB43D1"/>
    <w:rsid w:val="73CF4A2B"/>
    <w:rsid w:val="73D10333"/>
    <w:rsid w:val="73D24415"/>
    <w:rsid w:val="73E0372B"/>
    <w:rsid w:val="73E51DB1"/>
    <w:rsid w:val="73EB753D"/>
    <w:rsid w:val="73EC5178"/>
    <w:rsid w:val="73ED4C8A"/>
    <w:rsid w:val="73EE04C2"/>
    <w:rsid w:val="73EF26C0"/>
    <w:rsid w:val="73F67ACD"/>
    <w:rsid w:val="73F67FF1"/>
    <w:rsid w:val="73F92801"/>
    <w:rsid w:val="73F94BF8"/>
    <w:rsid w:val="73FE369D"/>
    <w:rsid w:val="740A0CEC"/>
    <w:rsid w:val="740E243A"/>
    <w:rsid w:val="740E5173"/>
    <w:rsid w:val="7410F9FD"/>
    <w:rsid w:val="741B228B"/>
    <w:rsid w:val="7420471D"/>
    <w:rsid w:val="74294E24"/>
    <w:rsid w:val="74327CB2"/>
    <w:rsid w:val="743453B3"/>
    <w:rsid w:val="7434641A"/>
    <w:rsid w:val="74383DB9"/>
    <w:rsid w:val="743C6043"/>
    <w:rsid w:val="743F0E42"/>
    <w:rsid w:val="74412467"/>
    <w:rsid w:val="74436FF2"/>
    <w:rsid w:val="74442E6C"/>
    <w:rsid w:val="74444FD6"/>
    <w:rsid w:val="74460B51"/>
    <w:rsid w:val="74466860"/>
    <w:rsid w:val="74466952"/>
    <w:rsid w:val="74491795"/>
    <w:rsid w:val="744A2D86"/>
    <w:rsid w:val="744E67CF"/>
    <w:rsid w:val="744F39DE"/>
    <w:rsid w:val="74501460"/>
    <w:rsid w:val="74524963"/>
    <w:rsid w:val="74556698"/>
    <w:rsid w:val="74576634"/>
    <w:rsid w:val="745A3D0B"/>
    <w:rsid w:val="745B3074"/>
    <w:rsid w:val="745C6091"/>
    <w:rsid w:val="745F3B1C"/>
    <w:rsid w:val="746229FF"/>
    <w:rsid w:val="74694588"/>
    <w:rsid w:val="746C188E"/>
    <w:rsid w:val="74727416"/>
    <w:rsid w:val="747B12F9"/>
    <w:rsid w:val="747F1FAF"/>
    <w:rsid w:val="74864103"/>
    <w:rsid w:val="748E5089"/>
    <w:rsid w:val="74921694"/>
    <w:rsid w:val="749444D3"/>
    <w:rsid w:val="74945351"/>
    <w:rsid w:val="74996FAB"/>
    <w:rsid w:val="74A57F17"/>
    <w:rsid w:val="74A643ED"/>
    <w:rsid w:val="74AD3D78"/>
    <w:rsid w:val="74B10200"/>
    <w:rsid w:val="74B16002"/>
    <w:rsid w:val="74B33703"/>
    <w:rsid w:val="74B463B5"/>
    <w:rsid w:val="74B56C06"/>
    <w:rsid w:val="74B87B8B"/>
    <w:rsid w:val="74BC6591"/>
    <w:rsid w:val="74BF4D8C"/>
    <w:rsid w:val="74C07CAE"/>
    <w:rsid w:val="74C14349"/>
    <w:rsid w:val="74C2049A"/>
    <w:rsid w:val="74CE1CB0"/>
    <w:rsid w:val="74D15A17"/>
    <w:rsid w:val="74D54F3C"/>
    <w:rsid w:val="74DD0B23"/>
    <w:rsid w:val="74E05E61"/>
    <w:rsid w:val="74E267D1"/>
    <w:rsid w:val="74E93BDD"/>
    <w:rsid w:val="74FF02FF"/>
    <w:rsid w:val="750247A1"/>
    <w:rsid w:val="7507318D"/>
    <w:rsid w:val="75082C76"/>
    <w:rsid w:val="750B717B"/>
    <w:rsid w:val="750E2950"/>
    <w:rsid w:val="751A9F43"/>
    <w:rsid w:val="75306550"/>
    <w:rsid w:val="75311DD3"/>
    <w:rsid w:val="753374D4"/>
    <w:rsid w:val="7537175E"/>
    <w:rsid w:val="753A74C2"/>
    <w:rsid w:val="75446D82"/>
    <w:rsid w:val="754F1383"/>
    <w:rsid w:val="755074D5"/>
    <w:rsid w:val="755416E7"/>
    <w:rsid w:val="7558691B"/>
    <w:rsid w:val="755A19CB"/>
    <w:rsid w:val="756351F4"/>
    <w:rsid w:val="75664928"/>
    <w:rsid w:val="7571317C"/>
    <w:rsid w:val="75741257"/>
    <w:rsid w:val="75791105"/>
    <w:rsid w:val="75792D9E"/>
    <w:rsid w:val="757E15B9"/>
    <w:rsid w:val="75895CE5"/>
    <w:rsid w:val="75924904"/>
    <w:rsid w:val="759D1102"/>
    <w:rsid w:val="759D6F04"/>
    <w:rsid w:val="759F3338"/>
    <w:rsid w:val="75A02152"/>
    <w:rsid w:val="75A40A8D"/>
    <w:rsid w:val="75B6550E"/>
    <w:rsid w:val="75BA7197"/>
    <w:rsid w:val="75BC566D"/>
    <w:rsid w:val="75C95155"/>
    <w:rsid w:val="75CB2679"/>
    <w:rsid w:val="75CE76D3"/>
    <w:rsid w:val="75D27282"/>
    <w:rsid w:val="75D27C98"/>
    <w:rsid w:val="75D76F86"/>
    <w:rsid w:val="75E41876"/>
    <w:rsid w:val="75E605FD"/>
    <w:rsid w:val="75E769CD"/>
    <w:rsid w:val="75E84A35"/>
    <w:rsid w:val="75EB6F14"/>
    <w:rsid w:val="75EB782D"/>
    <w:rsid w:val="75EF348B"/>
    <w:rsid w:val="75EF516B"/>
    <w:rsid w:val="75F1440F"/>
    <w:rsid w:val="75F37912"/>
    <w:rsid w:val="760A7538"/>
    <w:rsid w:val="760B7AD9"/>
    <w:rsid w:val="761413A9"/>
    <w:rsid w:val="761B77D2"/>
    <w:rsid w:val="76203C5A"/>
    <w:rsid w:val="76263266"/>
    <w:rsid w:val="76294569"/>
    <w:rsid w:val="762B32F0"/>
    <w:rsid w:val="763151F9"/>
    <w:rsid w:val="763306FC"/>
    <w:rsid w:val="763D1574"/>
    <w:rsid w:val="76432C97"/>
    <w:rsid w:val="764865EB"/>
    <w:rsid w:val="764A4A9E"/>
    <w:rsid w:val="764F47A9"/>
    <w:rsid w:val="76566332"/>
    <w:rsid w:val="76571BB5"/>
    <w:rsid w:val="765E6A1F"/>
    <w:rsid w:val="766259C8"/>
    <w:rsid w:val="76642C4E"/>
    <w:rsid w:val="7664323B"/>
    <w:rsid w:val="766530C9"/>
    <w:rsid w:val="766639B0"/>
    <w:rsid w:val="767201E1"/>
    <w:rsid w:val="767251C4"/>
    <w:rsid w:val="76767CB6"/>
    <w:rsid w:val="7679389D"/>
    <w:rsid w:val="767E397C"/>
    <w:rsid w:val="76810168"/>
    <w:rsid w:val="768216BE"/>
    <w:rsid w:val="76916862"/>
    <w:rsid w:val="76935D1A"/>
    <w:rsid w:val="76970420"/>
    <w:rsid w:val="7698261F"/>
    <w:rsid w:val="769A2923"/>
    <w:rsid w:val="76A07D97"/>
    <w:rsid w:val="76AA3BBE"/>
    <w:rsid w:val="76B07CC5"/>
    <w:rsid w:val="76C43C71"/>
    <w:rsid w:val="76C577FD"/>
    <w:rsid w:val="76D101FA"/>
    <w:rsid w:val="76D66663"/>
    <w:rsid w:val="76D748F7"/>
    <w:rsid w:val="76DF570D"/>
    <w:rsid w:val="76E13D18"/>
    <w:rsid w:val="76E77330"/>
    <w:rsid w:val="76ED5F8C"/>
    <w:rsid w:val="76EF4421"/>
    <w:rsid w:val="76F31A34"/>
    <w:rsid w:val="76F374B5"/>
    <w:rsid w:val="76FB26C3"/>
    <w:rsid w:val="770B0B6F"/>
    <w:rsid w:val="770B3462"/>
    <w:rsid w:val="770B4B5C"/>
    <w:rsid w:val="77133CA5"/>
    <w:rsid w:val="77192D11"/>
    <w:rsid w:val="771976F5"/>
    <w:rsid w:val="771E4DE6"/>
    <w:rsid w:val="77224BBE"/>
    <w:rsid w:val="77226D00"/>
    <w:rsid w:val="77234781"/>
    <w:rsid w:val="77247C84"/>
    <w:rsid w:val="77260F89"/>
    <w:rsid w:val="77263187"/>
    <w:rsid w:val="77291F0E"/>
    <w:rsid w:val="772A2E6A"/>
    <w:rsid w:val="772B2E92"/>
    <w:rsid w:val="772C5091"/>
    <w:rsid w:val="773226E3"/>
    <w:rsid w:val="77324E93"/>
    <w:rsid w:val="77334A1B"/>
    <w:rsid w:val="77334A36"/>
    <w:rsid w:val="77376CA5"/>
    <w:rsid w:val="773A379B"/>
    <w:rsid w:val="773A7C2A"/>
    <w:rsid w:val="773B1E28"/>
    <w:rsid w:val="773E6630"/>
    <w:rsid w:val="773E756E"/>
    <w:rsid w:val="774052E5"/>
    <w:rsid w:val="77426541"/>
    <w:rsid w:val="77476F3F"/>
    <w:rsid w:val="775252D0"/>
    <w:rsid w:val="77550B81"/>
    <w:rsid w:val="7756000D"/>
    <w:rsid w:val="77617528"/>
    <w:rsid w:val="776564EF"/>
    <w:rsid w:val="77657795"/>
    <w:rsid w:val="776719F2"/>
    <w:rsid w:val="77682CF7"/>
    <w:rsid w:val="77714BF6"/>
    <w:rsid w:val="77715B85"/>
    <w:rsid w:val="77721026"/>
    <w:rsid w:val="77804029"/>
    <w:rsid w:val="778238A1"/>
    <w:rsid w:val="778A542A"/>
    <w:rsid w:val="778B6351"/>
    <w:rsid w:val="778C06AA"/>
    <w:rsid w:val="778E76B4"/>
    <w:rsid w:val="77906E40"/>
    <w:rsid w:val="779104F2"/>
    <w:rsid w:val="7795123D"/>
    <w:rsid w:val="77974CF6"/>
    <w:rsid w:val="779D7742"/>
    <w:rsid w:val="779E794E"/>
    <w:rsid w:val="779F6FD4"/>
    <w:rsid w:val="77A1474F"/>
    <w:rsid w:val="77A33DD6"/>
    <w:rsid w:val="77A66FA4"/>
    <w:rsid w:val="77AB3A64"/>
    <w:rsid w:val="77AD4519"/>
    <w:rsid w:val="77B33C85"/>
    <w:rsid w:val="77B71DDC"/>
    <w:rsid w:val="77B909F4"/>
    <w:rsid w:val="77C13386"/>
    <w:rsid w:val="77C56C4E"/>
    <w:rsid w:val="77C91904"/>
    <w:rsid w:val="77D6332B"/>
    <w:rsid w:val="77D777E8"/>
    <w:rsid w:val="77DD4321"/>
    <w:rsid w:val="77E34BBF"/>
    <w:rsid w:val="77F428DB"/>
    <w:rsid w:val="7801636E"/>
    <w:rsid w:val="78024183"/>
    <w:rsid w:val="78045C4E"/>
    <w:rsid w:val="780627F5"/>
    <w:rsid w:val="78121E8B"/>
    <w:rsid w:val="781B50D4"/>
    <w:rsid w:val="7821446A"/>
    <w:rsid w:val="78263FA6"/>
    <w:rsid w:val="78267E28"/>
    <w:rsid w:val="782B0837"/>
    <w:rsid w:val="78304CBF"/>
    <w:rsid w:val="783223C0"/>
    <w:rsid w:val="783B5319"/>
    <w:rsid w:val="783D0751"/>
    <w:rsid w:val="78454B82"/>
    <w:rsid w:val="784748E4"/>
    <w:rsid w:val="78494D99"/>
    <w:rsid w:val="784C3948"/>
    <w:rsid w:val="784D2D5B"/>
    <w:rsid w:val="784F3EEE"/>
    <w:rsid w:val="785051F3"/>
    <w:rsid w:val="78510915"/>
    <w:rsid w:val="78512C75"/>
    <w:rsid w:val="785D0042"/>
    <w:rsid w:val="785D6A87"/>
    <w:rsid w:val="786B51E2"/>
    <w:rsid w:val="78766669"/>
    <w:rsid w:val="78822566"/>
    <w:rsid w:val="78852DA0"/>
    <w:rsid w:val="7889092B"/>
    <w:rsid w:val="788C297D"/>
    <w:rsid w:val="78956788"/>
    <w:rsid w:val="789C1DEF"/>
    <w:rsid w:val="789D7871"/>
    <w:rsid w:val="78AB718F"/>
    <w:rsid w:val="78B01E02"/>
    <w:rsid w:val="78B02C8E"/>
    <w:rsid w:val="78B3147A"/>
    <w:rsid w:val="78B37A40"/>
    <w:rsid w:val="78B8391E"/>
    <w:rsid w:val="78B9139F"/>
    <w:rsid w:val="78BF595B"/>
    <w:rsid w:val="78C0780A"/>
    <w:rsid w:val="78C22A8A"/>
    <w:rsid w:val="78C47730"/>
    <w:rsid w:val="78C706B5"/>
    <w:rsid w:val="78CE223E"/>
    <w:rsid w:val="78CE2DE5"/>
    <w:rsid w:val="78DB03D1"/>
    <w:rsid w:val="78DF1CCF"/>
    <w:rsid w:val="78E50281"/>
    <w:rsid w:val="78E940ED"/>
    <w:rsid w:val="78EF290F"/>
    <w:rsid w:val="7904051A"/>
    <w:rsid w:val="79055F9C"/>
    <w:rsid w:val="79065C1B"/>
    <w:rsid w:val="790B162D"/>
    <w:rsid w:val="790B77C1"/>
    <w:rsid w:val="790F2AC2"/>
    <w:rsid w:val="791252B1"/>
    <w:rsid w:val="7917715F"/>
    <w:rsid w:val="791A1E16"/>
    <w:rsid w:val="792A2958"/>
    <w:rsid w:val="792D7857"/>
    <w:rsid w:val="792DF9A1"/>
    <w:rsid w:val="792F355C"/>
    <w:rsid w:val="7930686C"/>
    <w:rsid w:val="793A6B2D"/>
    <w:rsid w:val="793F4A83"/>
    <w:rsid w:val="7946709B"/>
    <w:rsid w:val="79487BA1"/>
    <w:rsid w:val="794F0342"/>
    <w:rsid w:val="794F0A18"/>
    <w:rsid w:val="79501AEB"/>
    <w:rsid w:val="79506EE3"/>
    <w:rsid w:val="7952069E"/>
    <w:rsid w:val="795C442C"/>
    <w:rsid w:val="795E32FD"/>
    <w:rsid w:val="79602E32"/>
    <w:rsid w:val="79603A76"/>
    <w:rsid w:val="79664D3B"/>
    <w:rsid w:val="796727BD"/>
    <w:rsid w:val="797322BE"/>
    <w:rsid w:val="797B5BDA"/>
    <w:rsid w:val="798412AA"/>
    <w:rsid w:val="798617C0"/>
    <w:rsid w:val="798677EE"/>
    <w:rsid w:val="79875270"/>
    <w:rsid w:val="79876B28"/>
    <w:rsid w:val="79882CF2"/>
    <w:rsid w:val="799D1612"/>
    <w:rsid w:val="799F0891"/>
    <w:rsid w:val="79AD76AE"/>
    <w:rsid w:val="79AE5130"/>
    <w:rsid w:val="79B157C1"/>
    <w:rsid w:val="79BD2A0E"/>
    <w:rsid w:val="79C27653"/>
    <w:rsid w:val="79CA058B"/>
    <w:rsid w:val="79CC46E0"/>
    <w:rsid w:val="79CD2161"/>
    <w:rsid w:val="79CF5664"/>
    <w:rsid w:val="79D1617C"/>
    <w:rsid w:val="79D86B8E"/>
    <w:rsid w:val="79DD26C3"/>
    <w:rsid w:val="79E00438"/>
    <w:rsid w:val="79E5308B"/>
    <w:rsid w:val="79E60B0D"/>
    <w:rsid w:val="79EB30D7"/>
    <w:rsid w:val="79F87409"/>
    <w:rsid w:val="79FE4490"/>
    <w:rsid w:val="79FF4DD4"/>
    <w:rsid w:val="7A035633"/>
    <w:rsid w:val="7A0379B9"/>
    <w:rsid w:val="7A051DED"/>
    <w:rsid w:val="7A0C20B9"/>
    <w:rsid w:val="7A1B68CA"/>
    <w:rsid w:val="7A1BAE2C"/>
    <w:rsid w:val="7A1F54BC"/>
    <w:rsid w:val="7A245426"/>
    <w:rsid w:val="7A2618F6"/>
    <w:rsid w:val="7A2902FC"/>
    <w:rsid w:val="7A2D36EF"/>
    <w:rsid w:val="7A2F56B9"/>
    <w:rsid w:val="7A305927"/>
    <w:rsid w:val="7A3731F1"/>
    <w:rsid w:val="7A37676F"/>
    <w:rsid w:val="7A3A0597"/>
    <w:rsid w:val="7A3A76E0"/>
    <w:rsid w:val="7A3C3A9A"/>
    <w:rsid w:val="7A3D6E1B"/>
    <w:rsid w:val="7A41719B"/>
    <w:rsid w:val="7A423425"/>
    <w:rsid w:val="7A480094"/>
    <w:rsid w:val="7A4867FC"/>
    <w:rsid w:val="7A4C3D34"/>
    <w:rsid w:val="7A4E39B4"/>
    <w:rsid w:val="7A4FCB4F"/>
    <w:rsid w:val="7A50273A"/>
    <w:rsid w:val="7A505823"/>
    <w:rsid w:val="7A536AC8"/>
    <w:rsid w:val="7A54333F"/>
    <w:rsid w:val="7A5A424F"/>
    <w:rsid w:val="7A5C1D7E"/>
    <w:rsid w:val="7A6115EB"/>
    <w:rsid w:val="7A625ED8"/>
    <w:rsid w:val="7A6535D9"/>
    <w:rsid w:val="7A656E5D"/>
    <w:rsid w:val="7A695863"/>
    <w:rsid w:val="7A6A32E4"/>
    <w:rsid w:val="7A6B04AD"/>
    <w:rsid w:val="7A740FC6"/>
    <w:rsid w:val="7A7570F7"/>
    <w:rsid w:val="7A7C4677"/>
    <w:rsid w:val="7A7D6F86"/>
    <w:rsid w:val="7A7E1F85"/>
    <w:rsid w:val="7A7F0F4D"/>
    <w:rsid w:val="7A8650E9"/>
    <w:rsid w:val="7A86E8AA"/>
    <w:rsid w:val="7A8E589E"/>
    <w:rsid w:val="7A912A6B"/>
    <w:rsid w:val="7A9366A7"/>
    <w:rsid w:val="7A9A18B5"/>
    <w:rsid w:val="7A9E572A"/>
    <w:rsid w:val="7AA196C1"/>
    <w:rsid w:val="7AAE0556"/>
    <w:rsid w:val="7AAF2356"/>
    <w:rsid w:val="7AB349DD"/>
    <w:rsid w:val="7AB666E0"/>
    <w:rsid w:val="7AB93063"/>
    <w:rsid w:val="7ABC1A6A"/>
    <w:rsid w:val="7AC13CF3"/>
    <w:rsid w:val="7AC4171B"/>
    <w:rsid w:val="7ACD0BC4"/>
    <w:rsid w:val="7AD15530"/>
    <w:rsid w:val="7AD9139A"/>
    <w:rsid w:val="7ADD0E32"/>
    <w:rsid w:val="7ADF0D25"/>
    <w:rsid w:val="7AE52C2E"/>
    <w:rsid w:val="7AED003A"/>
    <w:rsid w:val="7AF349A4"/>
    <w:rsid w:val="7AF44B79"/>
    <w:rsid w:val="7AF50CCA"/>
    <w:rsid w:val="7AF63020"/>
    <w:rsid w:val="7AFB2B52"/>
    <w:rsid w:val="7AFD3B58"/>
    <w:rsid w:val="7B083579"/>
    <w:rsid w:val="7B09796A"/>
    <w:rsid w:val="7B134D28"/>
    <w:rsid w:val="7B172452"/>
    <w:rsid w:val="7B1B3E90"/>
    <w:rsid w:val="7B21178E"/>
    <w:rsid w:val="7B227210"/>
    <w:rsid w:val="7B3051D6"/>
    <w:rsid w:val="7B322D2D"/>
    <w:rsid w:val="7B331DEC"/>
    <w:rsid w:val="7B3429AD"/>
    <w:rsid w:val="7B361733"/>
    <w:rsid w:val="7B3926B8"/>
    <w:rsid w:val="7B5735C7"/>
    <w:rsid w:val="7B5D3CC6"/>
    <w:rsid w:val="7B5E4E76"/>
    <w:rsid w:val="7B62387C"/>
    <w:rsid w:val="7B6A571A"/>
    <w:rsid w:val="7B6B4C94"/>
    <w:rsid w:val="7B6C790C"/>
    <w:rsid w:val="7B6D3E0C"/>
    <w:rsid w:val="7B720293"/>
    <w:rsid w:val="7B7956E3"/>
    <w:rsid w:val="7B867909"/>
    <w:rsid w:val="7B8F0147"/>
    <w:rsid w:val="7B911033"/>
    <w:rsid w:val="7B93404B"/>
    <w:rsid w:val="7B9553D2"/>
    <w:rsid w:val="7B9D6B59"/>
    <w:rsid w:val="7BA046D0"/>
    <w:rsid w:val="7BA07F4A"/>
    <w:rsid w:val="7BA1555F"/>
    <w:rsid w:val="7BA15D4D"/>
    <w:rsid w:val="7BA577E9"/>
    <w:rsid w:val="7BA760EB"/>
    <w:rsid w:val="7BA961EF"/>
    <w:rsid w:val="7BAD2677"/>
    <w:rsid w:val="7BAD6B85"/>
    <w:rsid w:val="7BB13D22"/>
    <w:rsid w:val="7BB47064"/>
    <w:rsid w:val="7BC13AA7"/>
    <w:rsid w:val="7BCB6C43"/>
    <w:rsid w:val="7BD1454E"/>
    <w:rsid w:val="7BD209F2"/>
    <w:rsid w:val="7BD86D3E"/>
    <w:rsid w:val="7BDA3403"/>
    <w:rsid w:val="7BDA751C"/>
    <w:rsid w:val="7BDE2E46"/>
    <w:rsid w:val="7BE009BA"/>
    <w:rsid w:val="7BE39455"/>
    <w:rsid w:val="7BE42B51"/>
    <w:rsid w:val="7BE875EF"/>
    <w:rsid w:val="7BEC1388"/>
    <w:rsid w:val="7BF47568"/>
    <w:rsid w:val="7BFB52F0"/>
    <w:rsid w:val="7C014E34"/>
    <w:rsid w:val="7C035E38"/>
    <w:rsid w:val="7C047400"/>
    <w:rsid w:val="7C065352"/>
    <w:rsid w:val="7C0829B8"/>
    <w:rsid w:val="7C0E6296"/>
    <w:rsid w:val="7C14589E"/>
    <w:rsid w:val="7C1C072C"/>
    <w:rsid w:val="7C207132"/>
    <w:rsid w:val="7C245B39"/>
    <w:rsid w:val="7C25567E"/>
    <w:rsid w:val="7C286EE2"/>
    <w:rsid w:val="7C2A009B"/>
    <w:rsid w:val="7C2A29F8"/>
    <w:rsid w:val="7C2E6448"/>
    <w:rsid w:val="7C336153"/>
    <w:rsid w:val="7C3847D9"/>
    <w:rsid w:val="7C4117BF"/>
    <w:rsid w:val="7C415704"/>
    <w:rsid w:val="7C417667"/>
    <w:rsid w:val="7C42265A"/>
    <w:rsid w:val="7C4A388D"/>
    <w:rsid w:val="7C4C127B"/>
    <w:rsid w:val="7C505703"/>
    <w:rsid w:val="7C58728C"/>
    <w:rsid w:val="7C5D6F97"/>
    <w:rsid w:val="7C5D7BDC"/>
    <w:rsid w:val="7C630EA1"/>
    <w:rsid w:val="7C661E25"/>
    <w:rsid w:val="7C6A2A2A"/>
    <w:rsid w:val="7C6B04AB"/>
    <w:rsid w:val="7C722250"/>
    <w:rsid w:val="7C7620C0"/>
    <w:rsid w:val="7C794503"/>
    <w:rsid w:val="7C844961"/>
    <w:rsid w:val="7C8B1F44"/>
    <w:rsid w:val="7C8B6DF3"/>
    <w:rsid w:val="7C8E4440"/>
    <w:rsid w:val="7C8F9B2E"/>
    <w:rsid w:val="7C913F6E"/>
    <w:rsid w:val="7C933BEE"/>
    <w:rsid w:val="7C9A0299"/>
    <w:rsid w:val="7C9C7E75"/>
    <w:rsid w:val="7C9D7D81"/>
    <w:rsid w:val="7CA30566"/>
    <w:rsid w:val="7CA9143D"/>
    <w:rsid w:val="7CB244A3"/>
    <w:rsid w:val="7CB41BA4"/>
    <w:rsid w:val="7CBD02B6"/>
    <w:rsid w:val="7CC20EBA"/>
    <w:rsid w:val="7CCB75CB"/>
    <w:rsid w:val="7CDE2024"/>
    <w:rsid w:val="7CDF1F94"/>
    <w:rsid w:val="7CE62894"/>
    <w:rsid w:val="7CE95C0F"/>
    <w:rsid w:val="7CEB4C94"/>
    <w:rsid w:val="7CF74FDB"/>
    <w:rsid w:val="7CF90032"/>
    <w:rsid w:val="7CFA4897"/>
    <w:rsid w:val="7D002024"/>
    <w:rsid w:val="7D0A03B5"/>
    <w:rsid w:val="7D0C3D15"/>
    <w:rsid w:val="7D0D702C"/>
    <w:rsid w:val="7D1818C9"/>
    <w:rsid w:val="7D1A5069"/>
    <w:rsid w:val="7D1A5A93"/>
    <w:rsid w:val="7D1B3CD3"/>
    <w:rsid w:val="7D21599B"/>
    <w:rsid w:val="7D2177FE"/>
    <w:rsid w:val="7D2569E0"/>
    <w:rsid w:val="7D2D1C58"/>
    <w:rsid w:val="7D2E7F9F"/>
    <w:rsid w:val="7D360636"/>
    <w:rsid w:val="7D3A3102"/>
    <w:rsid w:val="7D3A6542"/>
    <w:rsid w:val="7D3D4AFE"/>
    <w:rsid w:val="7D3D6FCD"/>
    <w:rsid w:val="7D43322A"/>
    <w:rsid w:val="7D453655"/>
    <w:rsid w:val="7D603342"/>
    <w:rsid w:val="7D63441B"/>
    <w:rsid w:val="7D6D0A06"/>
    <w:rsid w:val="7D7E706C"/>
    <w:rsid w:val="7D7F4AF0"/>
    <w:rsid w:val="7D892E81"/>
    <w:rsid w:val="7D896705"/>
    <w:rsid w:val="7D8A4186"/>
    <w:rsid w:val="7D8C3E06"/>
    <w:rsid w:val="7D8F060E"/>
    <w:rsid w:val="7D91028E"/>
    <w:rsid w:val="7D922123"/>
    <w:rsid w:val="7D933791"/>
    <w:rsid w:val="7D941212"/>
    <w:rsid w:val="7D9B661F"/>
    <w:rsid w:val="7DA1632A"/>
    <w:rsid w:val="7DAD7BBE"/>
    <w:rsid w:val="7DB47549"/>
    <w:rsid w:val="7DBB40E6"/>
    <w:rsid w:val="7DBE36DC"/>
    <w:rsid w:val="7DD554FF"/>
    <w:rsid w:val="7DD93F05"/>
    <w:rsid w:val="7DD97789"/>
    <w:rsid w:val="7DDB6351"/>
    <w:rsid w:val="7DE17650"/>
    <w:rsid w:val="7DE2206B"/>
    <w:rsid w:val="7DEC54FA"/>
    <w:rsid w:val="7DEF60A9"/>
    <w:rsid w:val="7DF34AAF"/>
    <w:rsid w:val="7DF42531"/>
    <w:rsid w:val="7DF6105B"/>
    <w:rsid w:val="7DF65765"/>
    <w:rsid w:val="7E031A99"/>
    <w:rsid w:val="7E060918"/>
    <w:rsid w:val="7E063AD0"/>
    <w:rsid w:val="7E094A54"/>
    <w:rsid w:val="7E0B1593"/>
    <w:rsid w:val="7E0D4E48"/>
    <w:rsid w:val="7E11354F"/>
    <w:rsid w:val="7E13B635"/>
    <w:rsid w:val="7E1963C6"/>
    <w:rsid w:val="7E21597E"/>
    <w:rsid w:val="7E2255FE"/>
    <w:rsid w:val="7E246903"/>
    <w:rsid w:val="7E271A86"/>
    <w:rsid w:val="7E2B7DF6"/>
    <w:rsid w:val="7E2D37B3"/>
    <w:rsid w:val="7E2D7213"/>
    <w:rsid w:val="7E2E2619"/>
    <w:rsid w:val="7E311815"/>
    <w:rsid w:val="7E3B0727"/>
    <w:rsid w:val="7E3B6528"/>
    <w:rsid w:val="7E3C3020"/>
    <w:rsid w:val="7E451036"/>
    <w:rsid w:val="7E46233B"/>
    <w:rsid w:val="7E484108"/>
    <w:rsid w:val="7E547594"/>
    <w:rsid w:val="7E580057"/>
    <w:rsid w:val="7E596D16"/>
    <w:rsid w:val="7E5D3E7C"/>
    <w:rsid w:val="7E5F0B44"/>
    <w:rsid w:val="7E5F4C59"/>
    <w:rsid w:val="7E727E7A"/>
    <w:rsid w:val="7E765088"/>
    <w:rsid w:val="7E7E10FB"/>
    <w:rsid w:val="7E806262"/>
    <w:rsid w:val="7E811F23"/>
    <w:rsid w:val="7E882DA4"/>
    <w:rsid w:val="7E8A719B"/>
    <w:rsid w:val="7E8B3D29"/>
    <w:rsid w:val="7E921135"/>
    <w:rsid w:val="7E994E83"/>
    <w:rsid w:val="7E9A2077"/>
    <w:rsid w:val="7E9A3CBB"/>
    <w:rsid w:val="7E9B26B9"/>
    <w:rsid w:val="7E9F26E2"/>
    <w:rsid w:val="7EA44F90"/>
    <w:rsid w:val="7EB011CF"/>
    <w:rsid w:val="7EB40C0B"/>
    <w:rsid w:val="7EBD6D09"/>
    <w:rsid w:val="7EBE327E"/>
    <w:rsid w:val="7EC16401"/>
    <w:rsid w:val="7EC30A9C"/>
    <w:rsid w:val="7EC54E07"/>
    <w:rsid w:val="7EC6610C"/>
    <w:rsid w:val="7EC73B8E"/>
    <w:rsid w:val="7EC95477"/>
    <w:rsid w:val="7ECA2008"/>
    <w:rsid w:val="7ECB6232"/>
    <w:rsid w:val="7ECD6E15"/>
    <w:rsid w:val="7EDC3010"/>
    <w:rsid w:val="7EF95386"/>
    <w:rsid w:val="7EFE1AE9"/>
    <w:rsid w:val="7F055A88"/>
    <w:rsid w:val="7F0709B3"/>
    <w:rsid w:val="7F0A1547"/>
    <w:rsid w:val="7F0C557C"/>
    <w:rsid w:val="7F0D3AEF"/>
    <w:rsid w:val="7F117485"/>
    <w:rsid w:val="7F166D43"/>
    <w:rsid w:val="7F17138E"/>
    <w:rsid w:val="7F187DBF"/>
    <w:rsid w:val="7F190115"/>
    <w:rsid w:val="7F194892"/>
    <w:rsid w:val="7F1A084E"/>
    <w:rsid w:val="7F1A16BB"/>
    <w:rsid w:val="7F1B7FBA"/>
    <w:rsid w:val="7F253F27"/>
    <w:rsid w:val="7F2619A9"/>
    <w:rsid w:val="7F311620"/>
    <w:rsid w:val="7F35093E"/>
    <w:rsid w:val="7F3776C5"/>
    <w:rsid w:val="7F3D43D5"/>
    <w:rsid w:val="7F3F34ED"/>
    <w:rsid w:val="7F41056D"/>
    <w:rsid w:val="7F4643AB"/>
    <w:rsid w:val="7F521573"/>
    <w:rsid w:val="7F5411F3"/>
    <w:rsid w:val="7F5523F4"/>
    <w:rsid w:val="7F556C75"/>
    <w:rsid w:val="7F5C11A2"/>
    <w:rsid w:val="7F5C17A8"/>
    <w:rsid w:val="7F5D5059"/>
    <w:rsid w:val="7F610509"/>
    <w:rsid w:val="7F652792"/>
    <w:rsid w:val="7F683488"/>
    <w:rsid w:val="7F6F01F1"/>
    <w:rsid w:val="7F820A3E"/>
    <w:rsid w:val="7F872CCD"/>
    <w:rsid w:val="7F886630"/>
    <w:rsid w:val="7F89546E"/>
    <w:rsid w:val="7F8A4E15"/>
    <w:rsid w:val="7F915FF5"/>
    <w:rsid w:val="7F9441DB"/>
    <w:rsid w:val="7F993EE6"/>
    <w:rsid w:val="7F9B4CB4"/>
    <w:rsid w:val="7FA112F3"/>
    <w:rsid w:val="7FA174D6"/>
    <w:rsid w:val="7FA26D74"/>
    <w:rsid w:val="7FA83C46"/>
    <w:rsid w:val="7FB1288A"/>
    <w:rsid w:val="7FB4040F"/>
    <w:rsid w:val="7FB86703"/>
    <w:rsid w:val="7FBA7C9E"/>
    <w:rsid w:val="7FBF8384"/>
    <w:rsid w:val="7FC94A35"/>
    <w:rsid w:val="7FCD0EBD"/>
    <w:rsid w:val="7FCF14C3"/>
    <w:rsid w:val="7FD324EB"/>
    <w:rsid w:val="7FD44FC5"/>
    <w:rsid w:val="7FD90D1A"/>
    <w:rsid w:val="7FD92575"/>
    <w:rsid w:val="7FDC23D1"/>
    <w:rsid w:val="7FE9630A"/>
    <w:rsid w:val="7FF01447"/>
    <w:rsid w:val="7FFE6DC6"/>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1"/>
    </o:shapelayout>
  </w:shapeDefaults>
  <w:decimalSymbol w:val="."/>
  <w:listSeparator w:val=","/>
  <w14:docId w14:val="54AA4AAD"/>
  <w15:docId w15:val="{4971FD30-E9B8-405D-B6E2-190D6DD89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uiPriority="99" w:unhideWhenUsed="1"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heme="minorHAnsi" w:eastAsiaTheme="minorEastAsia" w:hAnsiTheme="minorHAnsi" w:cstheme="minorBidi"/>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qFormat/>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character" w:styleId="Hyperlink">
    <w:name w:val="Hyperlink"/>
    <w:basedOn w:val="DefaultParagraphFont"/>
    <w:qFormat/>
    <w:rPr>
      <w:color w:val="0000FF"/>
      <w:u w:val="single"/>
    </w:rPr>
  </w:style>
  <w:style w:type="paragraph" w:styleId="NormalWeb">
    <w:name w:val="Normal (Web)"/>
    <w:qFormat/>
    <w:pPr>
      <w:spacing w:beforeAutospacing="1" w:afterAutospacing="1"/>
    </w:pPr>
    <w:rPr>
      <w:sz w:val="24"/>
      <w:szCs w:val="24"/>
      <w:lang w:eastAsia="zh-CN"/>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unhideWhenUsed/>
    <w:qFormat/>
    <w:pPr>
      <w:ind w:left="720"/>
      <w:contextualSpacing/>
    </w:pPr>
  </w:style>
  <w:style w:type="character" w:styleId="PlaceholderText">
    <w:name w:val="Placeholder Text"/>
    <w:basedOn w:val="DefaultParagraphFont"/>
    <w:uiPriority w:val="99"/>
    <w:unhideWhenUsed/>
    <w:qFormat/>
    <w:rPr>
      <w:color w:val="808080"/>
    </w:rPr>
  </w:style>
  <w:style w:type="character" w:styleId="UnresolvedMention">
    <w:name w:val="Unresolved Mention"/>
    <w:basedOn w:val="DefaultParagraphFont"/>
    <w:uiPriority w:val="99"/>
    <w:semiHidden/>
    <w:unhideWhenUsed/>
    <w:rsid w:val="008477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chart" Target="charts/chart1.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chart" Target="charts/chart3.xml"/><Relationship Id="rId23" Type="http://schemas.openxmlformats.org/officeDocument/2006/relationships/theme" Target="theme/theme1.xml"/><Relationship Id="rId10" Type="http://schemas.openxmlformats.org/officeDocument/2006/relationships/image" Target="media/image3.emf"/><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chart" Target="charts/chart2.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D:\OneDrive%20-%20Sigachi%20Industries%20Limited\Desktop\HPLC.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Rauf%20Pathan\Desktop\HPLC.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OneDrive%20-%20Sigachi%20Industries%20Limited\Desktop\HPLC.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0505494505494504E-2"/>
          <c:y val="5.65001307873398E-2"/>
          <c:w val="0.835802197802198"/>
          <c:h val="0.752393408318075"/>
        </c:manualLayout>
      </c:layout>
      <c:barChart>
        <c:barDir val="col"/>
        <c:grouping val="clustered"/>
        <c:varyColors val="0"/>
        <c:ser>
          <c:idx val="0"/>
          <c:order val="0"/>
          <c:tx>
            <c:strRef>
              <c:f>[HPLC.xlsx]Sheet12!$J$29</c:f>
              <c:strCache>
                <c:ptCount val="1"/>
                <c:pt idx="0">
                  <c:v>Angle of Repose</c:v>
                </c:pt>
              </c:strCache>
            </c:strRef>
          </c:tx>
          <c:spPr>
            <a:gradFill>
              <a:gsLst>
                <a:gs pos="0">
                  <a:srgbClr val="14CD68"/>
                </a:gs>
                <a:gs pos="100000">
                  <a:srgbClr val="035C7D"/>
                </a:gs>
              </a:gsLst>
              <a:lin ang="5400000" scaled="0"/>
            </a:gradFill>
            <a:ln>
              <a:noFill/>
            </a:ln>
            <a:effectLst/>
          </c:spPr>
          <c:invertIfNegative val="0"/>
          <c:cat>
            <c:strRef>
              <c:f>[HPLC.xlsx]Sheet12!$I$30:$I$35</c:f>
              <c:strCache>
                <c:ptCount val="6"/>
                <c:pt idx="0">
                  <c:v>F1</c:v>
                </c:pt>
                <c:pt idx="1">
                  <c:v>F2</c:v>
                </c:pt>
                <c:pt idx="2">
                  <c:v>F3</c:v>
                </c:pt>
                <c:pt idx="3">
                  <c:v>F4</c:v>
                </c:pt>
                <c:pt idx="4">
                  <c:v>F5</c:v>
                </c:pt>
                <c:pt idx="5">
                  <c:v>F6</c:v>
                </c:pt>
              </c:strCache>
            </c:strRef>
          </c:cat>
          <c:val>
            <c:numRef>
              <c:f>[HPLC.xlsx]Sheet12!$J$30:$J$35</c:f>
              <c:numCache>
                <c:formatCode>General</c:formatCode>
                <c:ptCount val="6"/>
                <c:pt idx="0">
                  <c:v>35</c:v>
                </c:pt>
                <c:pt idx="1">
                  <c:v>36</c:v>
                </c:pt>
                <c:pt idx="2">
                  <c:v>36</c:v>
                </c:pt>
                <c:pt idx="3">
                  <c:v>37</c:v>
                </c:pt>
                <c:pt idx="4">
                  <c:v>39</c:v>
                </c:pt>
                <c:pt idx="5">
                  <c:v>34</c:v>
                </c:pt>
              </c:numCache>
            </c:numRef>
          </c:val>
          <c:extLst>
            <c:ext xmlns:c16="http://schemas.microsoft.com/office/drawing/2014/chart" uri="{C3380CC4-5D6E-409C-BE32-E72D297353CC}">
              <c16:uniqueId val="{00000000-1D42-4A7C-8B29-4C5AFC83419F}"/>
            </c:ext>
          </c:extLst>
        </c:ser>
        <c:dLbls>
          <c:showLegendKey val="0"/>
          <c:showVal val="0"/>
          <c:showCatName val="0"/>
          <c:showSerName val="0"/>
          <c:showPercent val="0"/>
          <c:showBubbleSize val="0"/>
        </c:dLbls>
        <c:gapWidth val="246"/>
        <c:overlap val="-28"/>
        <c:axId val="997086139"/>
        <c:axId val="760719404"/>
      </c:barChart>
      <c:lineChart>
        <c:grouping val="standard"/>
        <c:varyColors val="0"/>
        <c:ser>
          <c:idx val="1"/>
          <c:order val="1"/>
          <c:tx>
            <c:strRef>
              <c:f>[HPLC.xlsx]Sheet12!$K$29</c:f>
              <c:strCache>
                <c:ptCount val="1"/>
                <c:pt idx="0">
                  <c:v>Carr's Index</c:v>
                </c:pt>
              </c:strCache>
            </c:strRef>
          </c:tx>
          <c:spPr>
            <a:ln w="28575" cap="rnd">
              <a:solidFill>
                <a:schemeClr val="accent1">
                  <a:lumMod val="40000"/>
                  <a:lumOff val="60000"/>
                </a:schemeClr>
              </a:solidFill>
              <a:round/>
            </a:ln>
            <a:effectLst/>
          </c:spPr>
          <c:marker>
            <c:symbol val="square"/>
            <c:size val="5"/>
            <c:spPr>
              <a:solidFill>
                <a:srgbClr val="FFFF00"/>
              </a:solidFill>
              <a:ln w="9525">
                <a:solidFill>
                  <a:schemeClr val="accent2">
                    <a:alpha val="97000"/>
                  </a:schemeClr>
                </a:solidFill>
              </a:ln>
              <a:effectLst/>
            </c:spPr>
          </c:marker>
          <c:cat>
            <c:strRef>
              <c:f>[HPLC.xlsx]Sheet12!$I$30:$I$35</c:f>
              <c:strCache>
                <c:ptCount val="6"/>
                <c:pt idx="0">
                  <c:v>F1</c:v>
                </c:pt>
                <c:pt idx="1">
                  <c:v>F2</c:v>
                </c:pt>
                <c:pt idx="2">
                  <c:v>F3</c:v>
                </c:pt>
                <c:pt idx="3">
                  <c:v>F4</c:v>
                </c:pt>
                <c:pt idx="4">
                  <c:v>F5</c:v>
                </c:pt>
                <c:pt idx="5">
                  <c:v>F6</c:v>
                </c:pt>
              </c:strCache>
            </c:strRef>
          </c:cat>
          <c:val>
            <c:numRef>
              <c:f>[HPLC.xlsx]Sheet12!$K$30:$K$35</c:f>
              <c:numCache>
                <c:formatCode>0.00_ </c:formatCode>
                <c:ptCount val="6"/>
                <c:pt idx="0" formatCode="General">
                  <c:v>23.26</c:v>
                </c:pt>
                <c:pt idx="1">
                  <c:v>24</c:v>
                </c:pt>
                <c:pt idx="2" formatCode="General">
                  <c:v>24.16</c:v>
                </c:pt>
                <c:pt idx="3" formatCode="General">
                  <c:v>25.41</c:v>
                </c:pt>
                <c:pt idx="4" formatCode="General">
                  <c:v>26.02</c:v>
                </c:pt>
                <c:pt idx="5" formatCode="General">
                  <c:v>21.99</c:v>
                </c:pt>
              </c:numCache>
            </c:numRef>
          </c:val>
          <c:smooth val="0"/>
          <c:extLst>
            <c:ext xmlns:c16="http://schemas.microsoft.com/office/drawing/2014/chart" uri="{C3380CC4-5D6E-409C-BE32-E72D297353CC}">
              <c16:uniqueId val="{00000001-1D42-4A7C-8B29-4C5AFC83419F}"/>
            </c:ext>
          </c:extLst>
        </c:ser>
        <c:dLbls>
          <c:showLegendKey val="0"/>
          <c:showVal val="0"/>
          <c:showCatName val="0"/>
          <c:showSerName val="0"/>
          <c:showPercent val="0"/>
          <c:showBubbleSize val="0"/>
        </c:dLbls>
        <c:marker val="1"/>
        <c:smooth val="0"/>
        <c:axId val="50148779"/>
        <c:axId val="554226600"/>
      </c:lineChart>
      <c:catAx>
        <c:axId val="997086139"/>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en-US" sz="900" b="1" i="0" u="none" strike="noStrike" kern="1200" baseline="0">
                <a:solidFill>
                  <a:schemeClr val="tx1"/>
                </a:solidFill>
                <a:latin typeface="+mn-lt"/>
                <a:ea typeface="+mn-ea"/>
                <a:cs typeface="+mn-cs"/>
              </a:defRPr>
            </a:pPr>
            <a:endParaRPr lang="en-US"/>
          </a:p>
        </c:txPr>
        <c:crossAx val="760719404"/>
        <c:crosses val="autoZero"/>
        <c:auto val="1"/>
        <c:lblAlgn val="ctr"/>
        <c:lblOffset val="100"/>
        <c:noMultiLvlLbl val="0"/>
      </c:catAx>
      <c:valAx>
        <c:axId val="760719404"/>
        <c:scaling>
          <c:orientation val="minMax"/>
          <c:max val="38"/>
          <c:min val="20"/>
        </c:scaling>
        <c:delete val="0"/>
        <c:axPos val="l"/>
        <c:title>
          <c:tx>
            <c:rich>
              <a:bodyPr rot="-5400000" spcFirstLastPara="0" vertOverflow="ellipsis" vert="horz" wrap="square" anchor="ctr" anchorCtr="1"/>
              <a:lstStyle/>
              <a:p>
                <a:pPr defTabSz="914400">
                  <a:defRPr lang="en-US" sz="1000" b="1" i="0" u="none" strike="noStrike" kern="1200" baseline="0">
                    <a:solidFill>
                      <a:schemeClr val="tx1"/>
                    </a:solidFill>
                    <a:latin typeface="+mn-lt"/>
                    <a:ea typeface="+mn-ea"/>
                    <a:cs typeface="+mn-cs"/>
                  </a:defRPr>
                </a:pPr>
                <a:r>
                  <a:rPr lang="en-US" b="1">
                    <a:solidFill>
                      <a:schemeClr val="tx1"/>
                    </a:solidFill>
                    <a:latin typeface="+mn-lt"/>
                    <a:ea typeface="+mn-ea"/>
                    <a:cs typeface="+mn-cs"/>
                  </a:rPr>
                  <a:t>Angle of Repose (°)</a:t>
                </a:r>
              </a:p>
            </c:rich>
          </c:tx>
          <c:layout>
            <c:manualLayout>
              <c:xMode val="edge"/>
              <c:yMode val="edge"/>
              <c:x val="6.0439560439559696E-3"/>
              <c:y val="0.21352930614521701"/>
            </c:manualLayout>
          </c:layout>
          <c:overlay val="0"/>
          <c:spPr>
            <a:noFill/>
            <a:ln>
              <a:noFill/>
            </a:ln>
            <a:effectLst/>
          </c:spPr>
          <c:txPr>
            <a:bodyPr rot="-5400000" spcFirstLastPara="0" vertOverflow="ellipsis" vert="horz" wrap="square" anchor="ctr" anchorCtr="1"/>
            <a:lstStyle/>
            <a:p>
              <a:pPr defTabSz="914400">
                <a:defRPr lang="en-US" sz="1000" b="1" i="0" u="none" strike="noStrike" kern="1200"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en-US" sz="900" b="1" i="0" u="none" strike="noStrike" kern="1200" baseline="0">
                <a:solidFill>
                  <a:schemeClr val="tx1"/>
                </a:solidFill>
                <a:latin typeface="+mn-lt"/>
                <a:ea typeface="+mn-ea"/>
                <a:cs typeface="+mn-cs"/>
              </a:defRPr>
            </a:pPr>
            <a:endParaRPr lang="en-US"/>
          </a:p>
        </c:txPr>
        <c:crossAx val="997086139"/>
        <c:crosses val="autoZero"/>
        <c:crossBetween val="between"/>
      </c:valAx>
      <c:catAx>
        <c:axId val="50148779"/>
        <c:scaling>
          <c:orientation val="minMax"/>
        </c:scaling>
        <c:delete val="1"/>
        <c:axPos val="b"/>
        <c:numFmt formatCode="General" sourceLinked="1"/>
        <c:majorTickMark val="none"/>
        <c:minorTickMark val="none"/>
        <c:tickLblPos val="nextTo"/>
        <c:crossAx val="554226600"/>
        <c:crosses val="autoZero"/>
        <c:auto val="1"/>
        <c:lblAlgn val="ctr"/>
        <c:lblOffset val="100"/>
        <c:noMultiLvlLbl val="0"/>
      </c:catAx>
      <c:valAx>
        <c:axId val="554226600"/>
        <c:scaling>
          <c:orientation val="minMax"/>
          <c:max val="28"/>
          <c:min val="15"/>
        </c:scaling>
        <c:delete val="0"/>
        <c:axPos val="r"/>
        <c:title>
          <c:tx>
            <c:rich>
              <a:bodyPr rot="-5400000" spcFirstLastPara="0" vertOverflow="ellipsis" vert="horz" wrap="square" anchor="ctr" anchorCtr="1"/>
              <a:lstStyle/>
              <a:p>
                <a:pPr defTabSz="914400">
                  <a:defRPr lang="en-US" sz="1000" b="1" i="0" u="none" strike="noStrike" kern="1200" baseline="0">
                    <a:solidFill>
                      <a:schemeClr val="tx1"/>
                    </a:solidFill>
                    <a:latin typeface="+mn-lt"/>
                    <a:ea typeface="+mn-ea"/>
                    <a:cs typeface="+mn-cs"/>
                  </a:defRPr>
                </a:pPr>
                <a:r>
                  <a:rPr lang="en-US" b="1">
                    <a:solidFill>
                      <a:schemeClr val="tx1"/>
                    </a:solidFill>
                    <a:latin typeface="+mn-lt"/>
                    <a:ea typeface="+mn-ea"/>
                    <a:cs typeface="+mn-cs"/>
                  </a:rPr>
                  <a:t>Carr’s Index (%)</a:t>
                </a:r>
              </a:p>
            </c:rich>
          </c:tx>
          <c:layout>
            <c:manualLayout>
              <c:xMode val="edge"/>
              <c:yMode val="edge"/>
              <c:x val="0.95461538461538498"/>
              <c:y val="0.22898148148148201"/>
            </c:manualLayout>
          </c:layout>
          <c:overlay val="0"/>
          <c:spPr>
            <a:noFill/>
            <a:ln>
              <a:noFill/>
            </a:ln>
            <a:effectLst/>
          </c:spPr>
          <c:txPr>
            <a:bodyPr rot="-5400000" spcFirstLastPara="0" vertOverflow="ellipsis" vert="horz" wrap="square" anchor="ctr" anchorCtr="1"/>
            <a:lstStyle/>
            <a:p>
              <a:pPr defTabSz="914400">
                <a:defRPr lang="en-US" sz="1000" b="1" i="0" u="none" strike="noStrike" kern="1200"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en-US" sz="900" b="1" i="0" u="none" strike="noStrike" kern="1200" baseline="0">
                <a:solidFill>
                  <a:schemeClr val="tx1"/>
                </a:solidFill>
                <a:latin typeface="+mn-lt"/>
                <a:ea typeface="+mn-ea"/>
                <a:cs typeface="+mn-cs"/>
              </a:defRPr>
            </a:pPr>
            <a:endParaRPr lang="en-US"/>
          </a:p>
        </c:txPr>
        <c:crossAx val="50148779"/>
        <c:crosses val="max"/>
        <c:crossBetween val="between"/>
      </c:valAx>
      <c:spPr>
        <a:noFill/>
        <a:ln>
          <a:noFill/>
        </a:ln>
        <a:effectLst/>
      </c:spPr>
    </c:plotArea>
    <c:legend>
      <c:legendPos val="b"/>
      <c:legendEntry>
        <c:idx val="0"/>
        <c:txPr>
          <a:bodyPr rot="0" spcFirstLastPara="0" vertOverflow="ellipsis" vert="horz" wrap="square" anchor="ctr" anchorCtr="1"/>
          <a:lstStyle/>
          <a:p>
            <a:pPr>
              <a:defRPr lang="en-US" sz="900" b="1" i="0" u="none" strike="noStrike" kern="1200" baseline="0">
                <a:solidFill>
                  <a:schemeClr val="tx1"/>
                </a:solidFill>
                <a:latin typeface="+mn-lt"/>
                <a:ea typeface="+mn-ea"/>
                <a:cs typeface="+mn-cs"/>
              </a:defRPr>
            </a:pPr>
            <a:endParaRPr lang="en-US"/>
          </a:p>
        </c:txPr>
      </c:legendEntry>
      <c:legendEntry>
        <c:idx val="1"/>
        <c:txPr>
          <a:bodyPr rot="0" spcFirstLastPara="0" vertOverflow="ellipsis" vert="horz" wrap="square" anchor="ctr" anchorCtr="1"/>
          <a:lstStyle/>
          <a:p>
            <a:pPr>
              <a:defRPr lang="en-US" sz="900" b="1" i="0" u="none" strike="noStrike" kern="1200" baseline="0">
                <a:solidFill>
                  <a:schemeClr val="tx1"/>
                </a:solidFill>
                <a:latin typeface="+mn-lt"/>
                <a:ea typeface="+mn-ea"/>
                <a:cs typeface="+mn-cs"/>
              </a:defRPr>
            </a:pPr>
            <a:endParaRPr lang="en-US"/>
          </a:p>
        </c:txPr>
      </c:legendEntry>
      <c:layout>
        <c:manualLayout>
          <c:xMode val="edge"/>
          <c:yMode val="edge"/>
          <c:x val="0.31818681318681302"/>
          <c:y val="0.89102564102564097"/>
        </c:manualLayout>
      </c:layout>
      <c:overlay val="0"/>
      <c:spPr>
        <a:noFill/>
        <a:ln>
          <a:noFill/>
        </a:ln>
        <a:effectLst/>
      </c:spPr>
      <c:txPr>
        <a:bodyPr rot="0" spcFirstLastPara="0" vertOverflow="ellipsis" vert="horz" wrap="square" anchor="ctr" anchorCtr="1"/>
        <a:lstStyle/>
        <a:p>
          <a:pPr>
            <a:defRPr lang="en-US" sz="900" b="1" i="0" u="none" strike="noStrike" kern="1200" baseline="0">
              <a:solidFill>
                <a:schemeClr val="tx1"/>
              </a:solidFill>
              <a:latin typeface="+mn-lt"/>
              <a:ea typeface="+mn-ea"/>
              <a:cs typeface="+mn-cs"/>
            </a:defRPr>
          </a:pPr>
          <a:endParaRPr lang="en-US"/>
        </a:p>
      </c:txPr>
    </c:legend>
    <c:plotVisOnly val="1"/>
    <c:dispBlanksAs val="gap"/>
    <c:showDLblsOverMax val="0"/>
  </c:chart>
  <c:spPr>
    <a:noFill/>
    <a:ln w="12700" cap="flat" cmpd="sng" algn="ctr">
      <a:solidFill>
        <a:prstClr val="black"/>
      </a:solidFill>
      <a:prstDash val="solid"/>
      <a:miter lim="800000"/>
    </a:ln>
    <a:effectLst/>
  </c:spPr>
  <c:txPr>
    <a:bodyPr/>
    <a:lstStyle/>
    <a:p>
      <a:pPr>
        <a:defRPr lang="en-US" b="1">
          <a:solidFill>
            <a:schemeClr val="tx1"/>
          </a:solidFill>
          <a:latin typeface="+mn-lt"/>
          <a:ea typeface="+mn-ea"/>
          <a:cs typeface="+mn-cs"/>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7680861980502794E-2"/>
          <c:y val="4.5397620538509702E-2"/>
          <c:w val="0.90102616726526397"/>
          <c:h val="0.75403882279273604"/>
        </c:manualLayout>
      </c:layout>
      <c:scatterChart>
        <c:scatterStyle val="lineMarker"/>
        <c:varyColors val="0"/>
        <c:ser>
          <c:idx val="0"/>
          <c:order val="0"/>
          <c:tx>
            <c:strRef>
              <c:f>[HPLC.xlsx]Sheet12!$P$32</c:f>
              <c:strCache>
                <c:ptCount val="1"/>
                <c:pt idx="0">
                  <c:v>Absorbance</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flat" cmpd="sng" algn="ctr">
                <a:solidFill>
                  <a:schemeClr val="accent1"/>
                </a:solidFill>
                <a:prstDash val="solid"/>
                <a:miter lim="800000"/>
              </a:ln>
              <a:effectLst/>
            </c:spPr>
            <c:trendlineType val="linear"/>
            <c:dispRSqr val="1"/>
            <c:dispEq val="1"/>
            <c:trendlineLbl>
              <c:layout>
                <c:manualLayout>
                  <c:x val="-0.23394495412843999"/>
                  <c:y val="1.57013258897418E-2"/>
                </c:manualLayout>
              </c:layout>
              <c:numFmt formatCode="General" sourceLinked="0"/>
              <c:spPr>
                <a:noFill/>
                <a:ln>
                  <a:noFill/>
                </a:ln>
                <a:effectLst/>
              </c:spPr>
              <c:txPr>
                <a:bodyPr rot="0" spcFirstLastPara="0" vertOverflow="ellipsis" vert="horz" wrap="square" anchor="ctr" anchorCtr="1"/>
                <a:lstStyle/>
                <a:p>
                  <a:pPr>
                    <a:defRPr lang="en-US" sz="900" b="0" i="0" u="none" strike="noStrike" kern="1200" baseline="0">
                      <a:solidFill>
                        <a:schemeClr val="tx1"/>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trendlineLbl>
          </c:trendline>
          <c:xVal>
            <c:numRef>
              <c:f>[HPLC.xlsx]Sheet12!$O$33:$O$37</c:f>
              <c:numCache>
                <c:formatCode>General</c:formatCode>
                <c:ptCount val="5"/>
                <c:pt idx="0">
                  <c:v>0</c:v>
                </c:pt>
                <c:pt idx="1">
                  <c:v>10</c:v>
                </c:pt>
                <c:pt idx="2">
                  <c:v>20</c:v>
                </c:pt>
                <c:pt idx="3">
                  <c:v>30</c:v>
                </c:pt>
                <c:pt idx="4">
                  <c:v>40</c:v>
                </c:pt>
              </c:numCache>
            </c:numRef>
          </c:xVal>
          <c:yVal>
            <c:numRef>
              <c:f>[HPLC.xlsx]Sheet12!$P$33:$P$37</c:f>
              <c:numCache>
                <c:formatCode>General</c:formatCode>
                <c:ptCount val="5"/>
                <c:pt idx="0">
                  <c:v>0</c:v>
                </c:pt>
                <c:pt idx="1">
                  <c:v>0.85</c:v>
                </c:pt>
                <c:pt idx="2">
                  <c:v>1.7</c:v>
                </c:pt>
                <c:pt idx="3">
                  <c:v>2.5099999999999998</c:v>
                </c:pt>
                <c:pt idx="4">
                  <c:v>3.28</c:v>
                </c:pt>
              </c:numCache>
            </c:numRef>
          </c:yVal>
          <c:smooth val="0"/>
          <c:extLst>
            <c:ext xmlns:c16="http://schemas.microsoft.com/office/drawing/2014/chart" uri="{C3380CC4-5D6E-409C-BE32-E72D297353CC}">
              <c16:uniqueId val="{00000001-DC26-42CB-AB5F-9F31FB8802FB}"/>
            </c:ext>
          </c:extLst>
        </c:ser>
        <c:dLbls>
          <c:showLegendKey val="0"/>
          <c:showVal val="0"/>
          <c:showCatName val="0"/>
          <c:showSerName val="0"/>
          <c:showPercent val="0"/>
          <c:showBubbleSize val="0"/>
        </c:dLbls>
        <c:axId val="155575813"/>
        <c:axId val="505114450"/>
      </c:scatterChart>
      <c:valAx>
        <c:axId val="155575813"/>
        <c:scaling>
          <c:orientation val="minMax"/>
        </c:scaling>
        <c:delete val="0"/>
        <c:axPos val="b"/>
        <c:title>
          <c:tx>
            <c:rich>
              <a:bodyPr rot="0" spcFirstLastPara="0" vertOverflow="ellipsis" vert="horz" wrap="square" anchor="ctr" anchorCtr="1"/>
              <a:lstStyle/>
              <a:p>
                <a:pPr defTabSz="914400">
                  <a:defRPr lang="en-US" sz="1000" b="1" i="0" u="none" strike="noStrike" kern="1200" baseline="0">
                    <a:solidFill>
                      <a:schemeClr val="tx1"/>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US" sz="1200" b="1">
                    <a:solidFill>
                      <a:schemeClr val="tx1"/>
                    </a:solidFill>
                    <a:latin typeface="Times New Roman" panose="02020603050405020304" charset="0"/>
                    <a:ea typeface="Times New Roman" panose="02020603050405020304" charset="0"/>
                    <a:cs typeface="Times New Roman" panose="02020603050405020304" charset="0"/>
                    <a:sym typeface="Times New Roman" panose="02020603050405020304" charset="0"/>
                  </a:rPr>
                  <a:t>Concentration</a:t>
                </a:r>
              </a:p>
            </c:rich>
          </c:tx>
          <c:layout>
            <c:manualLayout>
              <c:xMode val="edge"/>
              <c:yMode val="edge"/>
              <c:x val="0.42892105263157898"/>
              <c:y val="0.90295796574986997"/>
            </c:manualLayout>
          </c:layout>
          <c:overlay val="0"/>
          <c:spPr>
            <a:noFill/>
            <a:ln>
              <a:noFill/>
            </a:ln>
            <a:effectLst/>
          </c:spPr>
          <c:txPr>
            <a:bodyPr rot="0" spcFirstLastPara="0" vertOverflow="ellipsis" vert="horz" wrap="square" anchor="ctr" anchorCtr="1"/>
            <a:lstStyle/>
            <a:p>
              <a:pPr defTabSz="914400">
                <a:defRPr lang="en-US" sz="1000" b="1" i="0" u="none" strike="noStrike" kern="1200" baseline="0">
                  <a:solidFill>
                    <a:schemeClr val="tx1"/>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en-US" sz="900" b="1" i="0" u="none" strike="noStrike" kern="1200" baseline="0">
                <a:solidFill>
                  <a:schemeClr val="tx1"/>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crossAx val="505114450"/>
        <c:crosses val="autoZero"/>
        <c:crossBetween val="midCat"/>
      </c:valAx>
      <c:valAx>
        <c:axId val="505114450"/>
        <c:scaling>
          <c:orientation val="minMax"/>
          <c:max val="4"/>
        </c:scaling>
        <c:delete val="0"/>
        <c:axPos val="l"/>
        <c:title>
          <c:tx>
            <c:rich>
              <a:bodyPr rot="-5400000" spcFirstLastPara="0" vertOverflow="ellipsis" vert="horz" wrap="square" anchor="ctr" anchorCtr="1"/>
              <a:lstStyle/>
              <a:p>
                <a:pPr defTabSz="914400">
                  <a:defRPr lang="en-US" sz="1000" b="1" i="0" u="none" strike="noStrike" kern="1200" baseline="0">
                    <a:solidFill>
                      <a:schemeClr val="tx1"/>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US" sz="1200" b="1">
                    <a:solidFill>
                      <a:schemeClr val="tx1"/>
                    </a:solidFill>
                    <a:latin typeface="Times New Roman" panose="02020603050405020304" charset="0"/>
                    <a:ea typeface="Times New Roman" panose="02020603050405020304" charset="0"/>
                    <a:cs typeface="Times New Roman" panose="02020603050405020304" charset="0"/>
                    <a:sym typeface="Times New Roman" panose="02020603050405020304" charset="0"/>
                  </a:rPr>
                  <a:t>Absorbance</a:t>
                </a:r>
              </a:p>
            </c:rich>
          </c:tx>
          <c:layout>
            <c:manualLayout>
              <c:xMode val="edge"/>
              <c:yMode val="edge"/>
              <c:x val="3.8481272447408901E-3"/>
              <c:y val="0.22256890165542501"/>
            </c:manualLayout>
          </c:layout>
          <c:overlay val="0"/>
          <c:spPr>
            <a:noFill/>
            <a:ln>
              <a:noFill/>
            </a:ln>
            <a:effectLst/>
          </c:spPr>
          <c:txPr>
            <a:bodyPr rot="-5400000" spcFirstLastPara="0" vertOverflow="ellipsis" vert="horz" wrap="square" anchor="ctr" anchorCtr="1"/>
            <a:lstStyle/>
            <a:p>
              <a:pPr defTabSz="914400">
                <a:defRPr lang="en-US" sz="1000" b="1" i="0" u="none" strike="noStrike" kern="1200" baseline="0">
                  <a:solidFill>
                    <a:schemeClr val="tx1"/>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title>
        <c:numFmt formatCode="General" sourceLinked="1"/>
        <c:majorTickMark val="out"/>
        <c:minorTickMark val="out"/>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en-US" sz="900" b="1" i="0" u="none" strike="noStrike" kern="1200" baseline="0">
                <a:solidFill>
                  <a:schemeClr val="tx1"/>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crossAx val="155575813"/>
        <c:crosses val="autoZero"/>
        <c:crossBetween val="midCat"/>
        <c:majorUnit val="1"/>
      </c:valAx>
      <c:spPr>
        <a:noFill/>
        <a:ln w="9525" cap="flat" cmpd="sng" algn="ctr">
          <a:solidFill>
            <a:schemeClr val="tx1">
              <a:lumMod val="15000"/>
              <a:lumOff val="85000"/>
            </a:schemeClr>
          </a:solidFill>
          <a:round/>
        </a:ln>
        <a:effectLst/>
      </c:spPr>
    </c:plotArea>
    <c:plotVisOnly val="1"/>
    <c:dispBlanksAs val="gap"/>
    <c:showDLblsOverMax val="0"/>
  </c:chart>
  <c:spPr>
    <a:noFill/>
    <a:ln w="12700" cap="flat" cmpd="sng" algn="ctr">
      <a:solidFill>
        <a:schemeClr val="tx1"/>
      </a:solidFill>
      <a:prstDash val="solid"/>
      <a:miter lim="800000"/>
    </a:ln>
    <a:effectLst/>
  </c:spPr>
  <c:txPr>
    <a:bodyPr/>
    <a:lstStyle/>
    <a:p>
      <a:pPr>
        <a:defRPr lang="en-US" b="1">
          <a:solidFill>
            <a:schemeClr val="tx1"/>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9289473684210497E-2"/>
          <c:y val="5.0287356321839102E-2"/>
          <c:w val="0.65136842105263104"/>
          <c:h val="0.74293103448275899"/>
        </c:manualLayout>
      </c:layout>
      <c:scatterChart>
        <c:scatterStyle val="smoothMarker"/>
        <c:varyColors val="0"/>
        <c:ser>
          <c:idx val="0"/>
          <c:order val="0"/>
          <c:tx>
            <c:strRef>
              <c:f>[HPLC.xlsx]Sheet11!$G$4</c:f>
              <c:strCache>
                <c:ptCount val="1"/>
                <c:pt idx="0">
                  <c:v>F1</c:v>
                </c:pt>
              </c:strCache>
            </c:strRef>
          </c:tx>
          <c:spPr>
            <a:ln w="19050" cap="flat">
              <a:solidFill>
                <a:schemeClr val="accent2">
                  <a:lumMod val="60000"/>
                  <a:lumOff val="40000"/>
                </a:schemeClr>
              </a:solidFill>
              <a:round/>
            </a:ln>
            <a:effectLst/>
          </c:spPr>
          <c:marker>
            <c:symbol val="triangle"/>
            <c:size val="5"/>
            <c:spPr>
              <a:solidFill>
                <a:schemeClr val="accent1"/>
              </a:solidFill>
              <a:ln w="9525">
                <a:solidFill>
                  <a:schemeClr val="accent1"/>
                </a:solidFill>
                <a:miter lim="800000"/>
              </a:ln>
              <a:effectLst/>
            </c:spPr>
          </c:marker>
          <c:xVal>
            <c:numRef>
              <c:f>[HPLC.xlsx]Sheet11!$F$5:$F$8</c:f>
              <c:numCache>
                <c:formatCode>General</c:formatCode>
                <c:ptCount val="4"/>
                <c:pt idx="0">
                  <c:v>0</c:v>
                </c:pt>
                <c:pt idx="1">
                  <c:v>1</c:v>
                </c:pt>
                <c:pt idx="2">
                  <c:v>3</c:v>
                </c:pt>
                <c:pt idx="3">
                  <c:v>10</c:v>
                </c:pt>
              </c:numCache>
            </c:numRef>
          </c:xVal>
          <c:yVal>
            <c:numRef>
              <c:f>[HPLC.xlsx]Sheet11!$G$5:$G$8</c:f>
              <c:numCache>
                <c:formatCode>0.00_ </c:formatCode>
                <c:ptCount val="4"/>
                <c:pt idx="0" formatCode="General">
                  <c:v>0</c:v>
                </c:pt>
                <c:pt idx="1">
                  <c:v>42.15</c:v>
                </c:pt>
                <c:pt idx="2" formatCode="General">
                  <c:v>75.84</c:v>
                </c:pt>
                <c:pt idx="3" formatCode="General">
                  <c:v>92.29</c:v>
                </c:pt>
              </c:numCache>
            </c:numRef>
          </c:yVal>
          <c:smooth val="1"/>
          <c:extLst>
            <c:ext xmlns:c16="http://schemas.microsoft.com/office/drawing/2014/chart" uri="{C3380CC4-5D6E-409C-BE32-E72D297353CC}">
              <c16:uniqueId val="{00000000-25A7-4594-818B-E0BF5ADB32B6}"/>
            </c:ext>
          </c:extLst>
        </c:ser>
        <c:ser>
          <c:idx val="1"/>
          <c:order val="1"/>
          <c:tx>
            <c:strRef>
              <c:f>[HPLC.xlsx]Sheet11!$H$4</c:f>
              <c:strCache>
                <c:ptCount val="1"/>
                <c:pt idx="0">
                  <c:v>F2</c:v>
                </c:pt>
              </c:strCache>
            </c:strRef>
          </c:tx>
          <c:spPr>
            <a:ln w="19050" cap="rnd">
              <a:solidFill>
                <a:schemeClr val="accent4">
                  <a:lumMod val="75000"/>
                </a:schemeClr>
              </a:solidFill>
              <a:round/>
            </a:ln>
            <a:effectLst/>
          </c:spPr>
          <c:marker>
            <c:symbol val="star"/>
            <c:size val="5"/>
            <c:spPr>
              <a:noFill/>
              <a:ln w="9525">
                <a:solidFill>
                  <a:schemeClr val="accent2"/>
                </a:solidFill>
              </a:ln>
              <a:effectLst/>
            </c:spPr>
          </c:marker>
          <c:xVal>
            <c:numRef>
              <c:f>[HPLC.xlsx]Sheet11!$F$5:$F$8</c:f>
              <c:numCache>
                <c:formatCode>General</c:formatCode>
                <c:ptCount val="4"/>
                <c:pt idx="0">
                  <c:v>0</c:v>
                </c:pt>
                <c:pt idx="1">
                  <c:v>1</c:v>
                </c:pt>
                <c:pt idx="2">
                  <c:v>3</c:v>
                </c:pt>
                <c:pt idx="3">
                  <c:v>10</c:v>
                </c:pt>
              </c:numCache>
            </c:numRef>
          </c:xVal>
          <c:yVal>
            <c:numRef>
              <c:f>[HPLC.xlsx]Sheet11!$H$5:$H$8</c:f>
              <c:numCache>
                <c:formatCode>0.00_ </c:formatCode>
                <c:ptCount val="4"/>
                <c:pt idx="0" formatCode="General">
                  <c:v>0</c:v>
                </c:pt>
                <c:pt idx="1">
                  <c:v>31.84</c:v>
                </c:pt>
                <c:pt idx="2" formatCode="General">
                  <c:v>68.930000000000007</c:v>
                </c:pt>
                <c:pt idx="3" formatCode="General">
                  <c:v>89.82</c:v>
                </c:pt>
              </c:numCache>
            </c:numRef>
          </c:yVal>
          <c:smooth val="1"/>
          <c:extLst>
            <c:ext xmlns:c16="http://schemas.microsoft.com/office/drawing/2014/chart" uri="{C3380CC4-5D6E-409C-BE32-E72D297353CC}">
              <c16:uniqueId val="{00000001-25A7-4594-818B-E0BF5ADB32B6}"/>
            </c:ext>
          </c:extLst>
        </c:ser>
        <c:ser>
          <c:idx val="2"/>
          <c:order val="2"/>
          <c:tx>
            <c:strRef>
              <c:f>[HPLC.xlsx]Sheet11!$I$4</c:f>
              <c:strCache>
                <c:ptCount val="1"/>
                <c:pt idx="0">
                  <c:v>F3</c:v>
                </c:pt>
              </c:strCache>
            </c:strRef>
          </c:tx>
          <c:spPr>
            <a:ln w="19050" cap="rnd">
              <a:solidFill>
                <a:srgbClr val="FF0000"/>
              </a:solidFill>
              <a:round/>
            </a:ln>
            <a:effectLst/>
          </c:spPr>
          <c:marker>
            <c:symbol val="x"/>
            <c:size val="7"/>
            <c:spPr>
              <a:noFill/>
              <a:ln w="9525">
                <a:solidFill>
                  <a:srgbClr val="FF0000"/>
                </a:solidFill>
              </a:ln>
              <a:effectLst/>
            </c:spPr>
          </c:marker>
          <c:xVal>
            <c:numRef>
              <c:f>[HPLC.xlsx]Sheet11!$F$5:$F$8</c:f>
              <c:numCache>
                <c:formatCode>General</c:formatCode>
                <c:ptCount val="4"/>
                <c:pt idx="0">
                  <c:v>0</c:v>
                </c:pt>
                <c:pt idx="1">
                  <c:v>1</c:v>
                </c:pt>
                <c:pt idx="2">
                  <c:v>3</c:v>
                </c:pt>
                <c:pt idx="3">
                  <c:v>10</c:v>
                </c:pt>
              </c:numCache>
            </c:numRef>
          </c:xVal>
          <c:yVal>
            <c:numRef>
              <c:f>[HPLC.xlsx]Sheet11!$I$5:$I$8</c:f>
              <c:numCache>
                <c:formatCode>0.00_ </c:formatCode>
                <c:ptCount val="4"/>
                <c:pt idx="0" formatCode="General">
                  <c:v>0</c:v>
                </c:pt>
                <c:pt idx="1">
                  <c:v>26.93</c:v>
                </c:pt>
                <c:pt idx="2" formatCode="General">
                  <c:v>51.18</c:v>
                </c:pt>
                <c:pt idx="3" formatCode="General">
                  <c:v>93.18</c:v>
                </c:pt>
              </c:numCache>
            </c:numRef>
          </c:yVal>
          <c:smooth val="1"/>
          <c:extLst>
            <c:ext xmlns:c16="http://schemas.microsoft.com/office/drawing/2014/chart" uri="{C3380CC4-5D6E-409C-BE32-E72D297353CC}">
              <c16:uniqueId val="{00000002-25A7-4594-818B-E0BF5ADB32B6}"/>
            </c:ext>
          </c:extLst>
        </c:ser>
        <c:ser>
          <c:idx val="3"/>
          <c:order val="3"/>
          <c:tx>
            <c:strRef>
              <c:f>[HPLC.xlsx]Sheet11!$J$4</c:f>
              <c:strCache>
                <c:ptCount val="1"/>
                <c:pt idx="0">
                  <c:v>F4</c:v>
                </c:pt>
              </c:strCache>
            </c:strRef>
          </c:tx>
          <c:spPr>
            <a:ln w="19050" cap="rnd">
              <a:solidFill>
                <a:schemeClr val="accent2"/>
              </a:solidFill>
              <a:round/>
            </a:ln>
            <a:effectLst/>
          </c:spPr>
          <c:marker>
            <c:symbol val="square"/>
            <c:size val="5"/>
            <c:spPr>
              <a:solidFill>
                <a:schemeClr val="accent4"/>
              </a:solidFill>
              <a:ln w="9525">
                <a:solidFill>
                  <a:schemeClr val="accent4"/>
                </a:solidFill>
              </a:ln>
              <a:effectLst/>
            </c:spPr>
          </c:marker>
          <c:xVal>
            <c:numRef>
              <c:f>[HPLC.xlsx]Sheet11!$F$5:$F$8</c:f>
              <c:numCache>
                <c:formatCode>General</c:formatCode>
                <c:ptCount val="4"/>
                <c:pt idx="0">
                  <c:v>0</c:v>
                </c:pt>
                <c:pt idx="1">
                  <c:v>1</c:v>
                </c:pt>
                <c:pt idx="2">
                  <c:v>3</c:v>
                </c:pt>
                <c:pt idx="3">
                  <c:v>10</c:v>
                </c:pt>
              </c:numCache>
            </c:numRef>
          </c:xVal>
          <c:yVal>
            <c:numRef>
              <c:f>[HPLC.xlsx]Sheet11!$J$5:$J$8</c:f>
              <c:numCache>
                <c:formatCode>0.00_ </c:formatCode>
                <c:ptCount val="4"/>
                <c:pt idx="0" formatCode="General">
                  <c:v>0</c:v>
                </c:pt>
                <c:pt idx="1">
                  <c:v>23.59</c:v>
                </c:pt>
                <c:pt idx="2" formatCode="General">
                  <c:v>46.33</c:v>
                </c:pt>
                <c:pt idx="3" formatCode="General">
                  <c:v>83.57</c:v>
                </c:pt>
              </c:numCache>
            </c:numRef>
          </c:yVal>
          <c:smooth val="1"/>
          <c:extLst>
            <c:ext xmlns:c16="http://schemas.microsoft.com/office/drawing/2014/chart" uri="{C3380CC4-5D6E-409C-BE32-E72D297353CC}">
              <c16:uniqueId val="{00000003-25A7-4594-818B-E0BF5ADB32B6}"/>
            </c:ext>
          </c:extLst>
        </c:ser>
        <c:ser>
          <c:idx val="4"/>
          <c:order val="4"/>
          <c:tx>
            <c:strRef>
              <c:f>[HPLC.xlsx]Sheet11!$K$4</c:f>
              <c:strCache>
                <c:ptCount val="1"/>
                <c:pt idx="0">
                  <c:v>F5</c:v>
                </c:pt>
              </c:strCache>
            </c:strRef>
          </c:tx>
          <c:spPr>
            <a:ln w="19050" cap="rnd">
              <a:solidFill>
                <a:srgbClr val="00B0F0"/>
              </a:solidFill>
              <a:round/>
            </a:ln>
            <a:effectLst/>
          </c:spPr>
          <c:marker>
            <c:symbol val="circle"/>
            <c:size val="5"/>
            <c:spPr>
              <a:solidFill>
                <a:schemeClr val="accent5"/>
              </a:solidFill>
              <a:ln w="9525">
                <a:solidFill>
                  <a:schemeClr val="accent5"/>
                </a:solidFill>
              </a:ln>
              <a:effectLst/>
            </c:spPr>
          </c:marker>
          <c:xVal>
            <c:numRef>
              <c:f>[HPLC.xlsx]Sheet11!$F$5:$F$8</c:f>
              <c:numCache>
                <c:formatCode>General</c:formatCode>
                <c:ptCount val="4"/>
                <c:pt idx="0">
                  <c:v>0</c:v>
                </c:pt>
                <c:pt idx="1">
                  <c:v>1</c:v>
                </c:pt>
                <c:pt idx="2">
                  <c:v>3</c:v>
                </c:pt>
                <c:pt idx="3">
                  <c:v>10</c:v>
                </c:pt>
              </c:numCache>
            </c:numRef>
          </c:xVal>
          <c:yVal>
            <c:numRef>
              <c:f>[HPLC.xlsx]Sheet11!$K$5:$K$8</c:f>
              <c:numCache>
                <c:formatCode>General</c:formatCode>
                <c:ptCount val="4"/>
                <c:pt idx="0">
                  <c:v>0</c:v>
                </c:pt>
                <c:pt idx="1">
                  <c:v>18.91</c:v>
                </c:pt>
                <c:pt idx="2">
                  <c:v>41.84</c:v>
                </c:pt>
                <c:pt idx="3">
                  <c:v>81.680000000000007</c:v>
                </c:pt>
              </c:numCache>
            </c:numRef>
          </c:yVal>
          <c:smooth val="1"/>
          <c:extLst>
            <c:ext xmlns:c16="http://schemas.microsoft.com/office/drawing/2014/chart" uri="{C3380CC4-5D6E-409C-BE32-E72D297353CC}">
              <c16:uniqueId val="{00000004-25A7-4594-818B-E0BF5ADB32B6}"/>
            </c:ext>
          </c:extLst>
        </c:ser>
        <c:ser>
          <c:idx val="5"/>
          <c:order val="5"/>
          <c:tx>
            <c:strRef>
              <c:f>[HPLC.xlsx]Sheet11!$L$4</c:f>
              <c:strCache>
                <c:ptCount val="1"/>
                <c:pt idx="0">
                  <c:v>F6</c:v>
                </c:pt>
              </c:strCache>
            </c:strRef>
          </c:tx>
          <c:spPr>
            <a:ln w="19050" cap="rnd">
              <a:solidFill>
                <a:schemeClr val="accent6"/>
              </a:solidFill>
              <a:round/>
            </a:ln>
            <a:effectLst/>
          </c:spPr>
          <c:marker>
            <c:symbol val="circle"/>
            <c:size val="5"/>
            <c:spPr>
              <a:solidFill>
                <a:schemeClr val="accent6"/>
              </a:solidFill>
              <a:ln w="9525">
                <a:solidFill>
                  <a:schemeClr val="accent6"/>
                </a:solidFill>
              </a:ln>
              <a:effectLst/>
            </c:spPr>
          </c:marker>
          <c:xVal>
            <c:numRef>
              <c:f>[HPLC.xlsx]Sheet11!$F$5:$F$8</c:f>
              <c:numCache>
                <c:formatCode>General</c:formatCode>
                <c:ptCount val="4"/>
                <c:pt idx="0">
                  <c:v>0</c:v>
                </c:pt>
                <c:pt idx="1">
                  <c:v>1</c:v>
                </c:pt>
                <c:pt idx="2">
                  <c:v>3</c:v>
                </c:pt>
                <c:pt idx="3">
                  <c:v>10</c:v>
                </c:pt>
              </c:numCache>
            </c:numRef>
          </c:xVal>
          <c:yVal>
            <c:numRef>
              <c:f>[HPLC.xlsx]Sheet11!$L$5:$L$8</c:f>
              <c:numCache>
                <c:formatCode>General</c:formatCode>
                <c:ptCount val="4"/>
                <c:pt idx="0">
                  <c:v>0</c:v>
                </c:pt>
                <c:pt idx="1">
                  <c:v>96.18</c:v>
                </c:pt>
                <c:pt idx="2">
                  <c:v>99.78</c:v>
                </c:pt>
                <c:pt idx="3">
                  <c:v>99.91</c:v>
                </c:pt>
              </c:numCache>
            </c:numRef>
          </c:yVal>
          <c:smooth val="1"/>
          <c:extLst>
            <c:ext xmlns:c16="http://schemas.microsoft.com/office/drawing/2014/chart" uri="{C3380CC4-5D6E-409C-BE32-E72D297353CC}">
              <c16:uniqueId val="{00000005-25A7-4594-818B-E0BF5ADB32B6}"/>
            </c:ext>
          </c:extLst>
        </c:ser>
        <c:ser>
          <c:idx val="6"/>
          <c:order val="6"/>
          <c:tx>
            <c:strRef>
              <c:f>[HPLC.xlsx]Sheet11!$M$4</c:f>
              <c:strCache>
                <c:ptCount val="1"/>
                <c:pt idx="0">
                  <c:v>Marketed Tablet</c:v>
                </c:pt>
              </c:strCache>
            </c:strRef>
          </c:tx>
          <c:spPr>
            <a:ln w="19050" cap="rnd">
              <a:solidFill>
                <a:schemeClr val="accent1">
                  <a:lumMod val="60000"/>
                </a:schemeClr>
              </a:solidFill>
              <a:round/>
            </a:ln>
            <a:effectLst/>
          </c:spPr>
          <c:marker>
            <c:symbol val="x"/>
            <c:size val="5"/>
            <c:spPr>
              <a:solidFill>
                <a:schemeClr val="accent5">
                  <a:lumMod val="60000"/>
                  <a:lumOff val="40000"/>
                </a:schemeClr>
              </a:solidFill>
              <a:ln w="9525">
                <a:solidFill>
                  <a:schemeClr val="accent1">
                    <a:lumMod val="60000"/>
                  </a:schemeClr>
                </a:solidFill>
              </a:ln>
              <a:effectLst/>
            </c:spPr>
          </c:marker>
          <c:xVal>
            <c:numRef>
              <c:f>[HPLC.xlsx]Sheet11!$F$5:$F$8</c:f>
              <c:numCache>
                <c:formatCode>General</c:formatCode>
                <c:ptCount val="4"/>
                <c:pt idx="0">
                  <c:v>0</c:v>
                </c:pt>
                <c:pt idx="1">
                  <c:v>1</c:v>
                </c:pt>
                <c:pt idx="2">
                  <c:v>3</c:v>
                </c:pt>
                <c:pt idx="3">
                  <c:v>10</c:v>
                </c:pt>
              </c:numCache>
            </c:numRef>
          </c:xVal>
          <c:yVal>
            <c:numRef>
              <c:f>[HPLC.xlsx]Sheet11!$M$5:$M$8</c:f>
              <c:numCache>
                <c:formatCode>General</c:formatCode>
                <c:ptCount val="4"/>
                <c:pt idx="0">
                  <c:v>0</c:v>
                </c:pt>
                <c:pt idx="1">
                  <c:v>25.71</c:v>
                </c:pt>
                <c:pt idx="2">
                  <c:v>50.11</c:v>
                </c:pt>
                <c:pt idx="3">
                  <c:v>90.79</c:v>
                </c:pt>
              </c:numCache>
            </c:numRef>
          </c:yVal>
          <c:smooth val="1"/>
          <c:extLst>
            <c:ext xmlns:c16="http://schemas.microsoft.com/office/drawing/2014/chart" uri="{C3380CC4-5D6E-409C-BE32-E72D297353CC}">
              <c16:uniqueId val="{00000006-25A7-4594-818B-E0BF5ADB32B6}"/>
            </c:ext>
          </c:extLst>
        </c:ser>
        <c:dLbls>
          <c:showLegendKey val="0"/>
          <c:showVal val="0"/>
          <c:showCatName val="0"/>
          <c:showSerName val="0"/>
          <c:showPercent val="0"/>
          <c:showBubbleSize val="0"/>
        </c:dLbls>
        <c:axId val="676855715"/>
        <c:axId val="124039479"/>
      </c:scatterChart>
      <c:valAx>
        <c:axId val="676855715"/>
        <c:scaling>
          <c:orientation val="minMax"/>
          <c:max val="10"/>
        </c:scaling>
        <c:delete val="0"/>
        <c:axPos val="b"/>
        <c:title>
          <c:tx>
            <c:rich>
              <a:bodyPr rot="0" spcFirstLastPara="0" vertOverflow="ellipsis" vert="horz" wrap="square" anchor="ctr" anchorCtr="1"/>
              <a:lstStyle/>
              <a:p>
                <a:pPr defTabSz="914400">
                  <a:defRPr lang="en-US" sz="1000" b="1" i="0" u="none" strike="noStrike" kern="1200" baseline="0">
                    <a:solidFill>
                      <a:schemeClr val="tx1"/>
                    </a:solidFill>
                    <a:latin typeface="+mn-lt"/>
                    <a:ea typeface="+mn-ea"/>
                    <a:cs typeface="+mn-cs"/>
                  </a:defRPr>
                </a:pPr>
                <a:r>
                  <a:rPr lang="en-US" b="1">
                    <a:solidFill>
                      <a:schemeClr val="tx1"/>
                    </a:solidFill>
                    <a:latin typeface="+mn-lt"/>
                    <a:ea typeface="+mn-ea"/>
                    <a:cs typeface="+mn-cs"/>
                  </a:rPr>
                  <a:t>Time (hours)</a:t>
                </a:r>
              </a:p>
            </c:rich>
          </c:tx>
          <c:layout>
            <c:manualLayout>
              <c:xMode val="edge"/>
              <c:yMode val="edge"/>
              <c:x val="0.34760526315789497"/>
              <c:y val="0.90816464005322195"/>
            </c:manualLayout>
          </c:layout>
          <c:overlay val="0"/>
          <c:spPr>
            <a:noFill/>
            <a:ln>
              <a:noFill/>
            </a:ln>
            <a:effectLst/>
          </c:spPr>
          <c:txPr>
            <a:bodyPr rot="0" spcFirstLastPara="0" vertOverflow="ellipsis" vert="horz" wrap="square" anchor="ctr" anchorCtr="1"/>
            <a:lstStyle/>
            <a:p>
              <a:pPr defTabSz="914400">
                <a:defRPr lang="en-US" sz="1000" b="1" i="0" u="none" strike="noStrike" kern="1200"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en-US" sz="900" b="1" i="0" u="none" strike="noStrike" kern="1200" baseline="0">
                <a:solidFill>
                  <a:schemeClr val="tx1"/>
                </a:solidFill>
                <a:latin typeface="+mn-lt"/>
                <a:ea typeface="+mn-ea"/>
                <a:cs typeface="+mn-cs"/>
              </a:defRPr>
            </a:pPr>
            <a:endParaRPr lang="en-US"/>
          </a:p>
        </c:txPr>
        <c:crossAx val="124039479"/>
        <c:crosses val="autoZero"/>
        <c:crossBetween val="midCat"/>
      </c:valAx>
      <c:valAx>
        <c:axId val="124039479"/>
        <c:scaling>
          <c:orientation val="minMax"/>
        </c:scaling>
        <c:delete val="0"/>
        <c:axPos val="l"/>
        <c:majorGridlines>
          <c:spPr>
            <a:ln w="9525" cap="flat" cmpd="sng" algn="ctr">
              <a:solidFill>
                <a:schemeClr val="lt1">
                  <a:lumMod val="90200"/>
                </a:schemeClr>
              </a:solidFill>
              <a:round/>
            </a:ln>
            <a:effectLst/>
          </c:spPr>
        </c:majorGridlines>
        <c:title>
          <c:tx>
            <c:rich>
              <a:bodyPr rot="-5400000" spcFirstLastPara="0" vertOverflow="ellipsis" vert="horz" wrap="square" anchor="ctr" anchorCtr="1"/>
              <a:lstStyle/>
              <a:p>
                <a:pPr defTabSz="914400">
                  <a:defRPr lang="en-US" sz="1000" b="1" i="0" u="none" strike="noStrike" kern="1200" baseline="0">
                    <a:solidFill>
                      <a:schemeClr val="tx1"/>
                    </a:solidFill>
                    <a:latin typeface="+mn-lt"/>
                    <a:ea typeface="+mn-ea"/>
                    <a:cs typeface="+mn-cs"/>
                  </a:defRPr>
                </a:pPr>
                <a:r>
                  <a:rPr lang="en-US" b="1">
                    <a:solidFill>
                      <a:schemeClr val="tx1"/>
                    </a:solidFill>
                    <a:latin typeface="+mn-lt"/>
                    <a:ea typeface="+mn-ea"/>
                    <a:cs typeface="+mn-cs"/>
                  </a:rPr>
                  <a:t>Drug Release (%)</a:t>
                </a:r>
              </a:p>
            </c:rich>
          </c:tx>
          <c:layout>
            <c:manualLayout>
              <c:xMode val="edge"/>
              <c:yMode val="edge"/>
              <c:x val="5.67460666109223E-3"/>
              <c:y val="0.202014639490809"/>
            </c:manualLayout>
          </c:layout>
          <c:overlay val="0"/>
          <c:spPr>
            <a:noFill/>
            <a:ln>
              <a:noFill/>
            </a:ln>
            <a:effectLst/>
          </c:spPr>
          <c:txPr>
            <a:bodyPr rot="-5400000" spcFirstLastPara="0" vertOverflow="ellipsis" vert="horz" wrap="square" anchor="ctr" anchorCtr="1"/>
            <a:lstStyle/>
            <a:p>
              <a:pPr defTabSz="914400">
                <a:defRPr lang="en-US" sz="1000" b="1" i="0" u="none" strike="noStrike" kern="1200"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en-US" sz="900" b="1" i="0" u="none" strike="noStrike" kern="1200" baseline="0">
                <a:solidFill>
                  <a:schemeClr val="tx1"/>
                </a:solidFill>
                <a:latin typeface="+mn-lt"/>
                <a:ea typeface="+mn-ea"/>
                <a:cs typeface="+mn-cs"/>
              </a:defRPr>
            </a:pPr>
            <a:endParaRPr lang="en-US"/>
          </a:p>
        </c:txPr>
        <c:crossAx val="676855715"/>
        <c:crosses val="autoZero"/>
        <c:crossBetween val="midCat"/>
      </c:valAx>
      <c:spPr>
        <a:noFill/>
        <a:ln w="9525" cap="flat" cmpd="sng" algn="ctr">
          <a:solidFill>
            <a:schemeClr val="tx1">
              <a:lumMod val="15000"/>
              <a:lumOff val="85000"/>
            </a:schemeClr>
          </a:solidFill>
          <a:round/>
        </a:ln>
        <a:effectLst/>
      </c:spPr>
    </c:plotArea>
    <c:legend>
      <c:legendPos val="r"/>
      <c:legendEntry>
        <c:idx val="0"/>
        <c:txPr>
          <a:bodyPr rot="0" spcFirstLastPara="0" vertOverflow="ellipsis" vert="horz" wrap="square" anchor="ctr" anchorCtr="1"/>
          <a:lstStyle/>
          <a:p>
            <a:pPr>
              <a:defRPr lang="en-US" sz="900" b="1" i="0" u="none" strike="noStrike" kern="1200" baseline="0">
                <a:solidFill>
                  <a:schemeClr val="tx1"/>
                </a:solidFill>
                <a:latin typeface="+mn-lt"/>
                <a:ea typeface="+mn-ea"/>
                <a:cs typeface="+mn-cs"/>
              </a:defRPr>
            </a:pPr>
            <a:endParaRPr lang="en-US"/>
          </a:p>
        </c:txPr>
      </c:legendEntry>
      <c:legendEntry>
        <c:idx val="1"/>
        <c:txPr>
          <a:bodyPr rot="0" spcFirstLastPara="0" vertOverflow="ellipsis" vert="horz" wrap="square" anchor="ctr" anchorCtr="1"/>
          <a:lstStyle/>
          <a:p>
            <a:pPr>
              <a:defRPr lang="en-US" sz="900" b="1" i="0" u="none" strike="noStrike" kern="1200" baseline="0">
                <a:solidFill>
                  <a:schemeClr val="tx1"/>
                </a:solidFill>
                <a:latin typeface="+mn-lt"/>
                <a:ea typeface="+mn-ea"/>
                <a:cs typeface="+mn-cs"/>
              </a:defRPr>
            </a:pPr>
            <a:endParaRPr lang="en-US"/>
          </a:p>
        </c:txPr>
      </c:legendEntry>
      <c:legendEntry>
        <c:idx val="2"/>
        <c:txPr>
          <a:bodyPr rot="0" spcFirstLastPara="0" vertOverflow="ellipsis" vert="horz" wrap="square" anchor="ctr" anchorCtr="1"/>
          <a:lstStyle/>
          <a:p>
            <a:pPr>
              <a:defRPr lang="en-US" sz="900" b="1" i="0" u="none" strike="noStrike" kern="1200" baseline="0">
                <a:solidFill>
                  <a:schemeClr val="tx1"/>
                </a:solidFill>
                <a:latin typeface="+mn-lt"/>
                <a:ea typeface="+mn-ea"/>
                <a:cs typeface="+mn-cs"/>
              </a:defRPr>
            </a:pPr>
            <a:endParaRPr lang="en-US"/>
          </a:p>
        </c:txPr>
      </c:legendEntry>
      <c:legendEntry>
        <c:idx val="3"/>
        <c:txPr>
          <a:bodyPr rot="0" spcFirstLastPara="0" vertOverflow="ellipsis" vert="horz" wrap="square" anchor="ctr" anchorCtr="1"/>
          <a:lstStyle/>
          <a:p>
            <a:pPr>
              <a:defRPr lang="en-US" sz="900" b="1" i="0" u="none" strike="noStrike" kern="1200" baseline="0">
                <a:solidFill>
                  <a:schemeClr val="tx1"/>
                </a:solidFill>
                <a:latin typeface="+mn-lt"/>
                <a:ea typeface="+mn-ea"/>
                <a:cs typeface="+mn-cs"/>
              </a:defRPr>
            </a:pPr>
            <a:endParaRPr lang="en-US"/>
          </a:p>
        </c:txPr>
      </c:legendEntry>
      <c:legendEntry>
        <c:idx val="4"/>
        <c:txPr>
          <a:bodyPr rot="0" spcFirstLastPara="0" vertOverflow="ellipsis" vert="horz" wrap="square" anchor="ctr" anchorCtr="1"/>
          <a:lstStyle/>
          <a:p>
            <a:pPr>
              <a:defRPr lang="en-US" sz="900" b="1" i="0" u="none" strike="noStrike" kern="1200" baseline="0">
                <a:solidFill>
                  <a:schemeClr val="tx1"/>
                </a:solidFill>
                <a:latin typeface="+mn-lt"/>
                <a:ea typeface="+mn-ea"/>
                <a:cs typeface="+mn-cs"/>
              </a:defRPr>
            </a:pPr>
            <a:endParaRPr lang="en-US"/>
          </a:p>
        </c:txPr>
      </c:legendEntry>
      <c:legendEntry>
        <c:idx val="5"/>
        <c:txPr>
          <a:bodyPr rot="0" spcFirstLastPara="0" vertOverflow="ellipsis" vert="horz" wrap="square" anchor="ctr" anchorCtr="1"/>
          <a:lstStyle/>
          <a:p>
            <a:pPr>
              <a:defRPr lang="en-US" sz="900" b="1" i="0" u="none" strike="noStrike" kern="1200" baseline="0">
                <a:solidFill>
                  <a:schemeClr val="tx1"/>
                </a:solidFill>
                <a:latin typeface="+mn-lt"/>
                <a:ea typeface="+mn-ea"/>
                <a:cs typeface="+mn-cs"/>
              </a:defRPr>
            </a:pPr>
            <a:endParaRPr lang="en-US"/>
          </a:p>
        </c:txPr>
      </c:legendEntry>
      <c:legendEntry>
        <c:idx val="6"/>
        <c:txPr>
          <a:bodyPr rot="0" spcFirstLastPara="0" vertOverflow="ellipsis" vert="horz" wrap="square" anchor="ctr" anchorCtr="1"/>
          <a:lstStyle/>
          <a:p>
            <a:pPr>
              <a:defRPr lang="en-US" sz="900" b="1" i="0" u="none" strike="noStrike" kern="1200" baseline="0">
                <a:solidFill>
                  <a:schemeClr val="tx1"/>
                </a:solidFill>
                <a:latin typeface="+mn-lt"/>
                <a:ea typeface="+mn-ea"/>
                <a:cs typeface="+mn-cs"/>
              </a:defRPr>
            </a:pPr>
            <a:endParaRPr lang="en-US"/>
          </a:p>
        </c:txPr>
      </c:legendEntry>
      <c:layout>
        <c:manualLayout>
          <c:xMode val="edge"/>
          <c:yMode val="edge"/>
          <c:x val="0.77236842105263204"/>
          <c:y val="0.21321839080459801"/>
          <c:w val="0.22302631578947399"/>
          <c:h val="0.62241379310344802"/>
        </c:manualLayout>
      </c:layout>
      <c:overlay val="0"/>
      <c:spPr>
        <a:noFill/>
        <a:ln>
          <a:noFill/>
        </a:ln>
        <a:effectLst/>
      </c:spPr>
      <c:txPr>
        <a:bodyPr rot="0" spcFirstLastPara="0" vertOverflow="ellipsis" vert="horz" wrap="square" anchor="ctr" anchorCtr="1"/>
        <a:lstStyle/>
        <a:p>
          <a:pPr>
            <a:defRPr lang="en-US" sz="900" b="1" i="0" u="none" strike="noStrike" kern="1200" baseline="0">
              <a:solidFill>
                <a:schemeClr val="tx1"/>
              </a:solidFill>
              <a:latin typeface="+mn-lt"/>
              <a:ea typeface="+mn-ea"/>
              <a:cs typeface="+mn-cs"/>
            </a:defRPr>
          </a:pPr>
          <a:endParaRPr lang="en-US"/>
        </a:p>
      </c:txPr>
    </c:legend>
    <c:plotVisOnly val="1"/>
    <c:dispBlanksAs val="gap"/>
    <c:showDLblsOverMax val="0"/>
  </c:chart>
  <c:spPr>
    <a:noFill/>
    <a:ln w="12700" cap="flat" cmpd="sng" algn="ctr">
      <a:solidFill>
        <a:prstClr val="black"/>
      </a:solidFill>
      <a:prstDash val="solid"/>
      <a:miter lim="800000"/>
    </a:ln>
    <a:effectLst/>
  </c:spPr>
  <c:txPr>
    <a:bodyPr/>
    <a:lstStyle/>
    <a:p>
      <a:pPr>
        <a:defRPr lang="en-US" b="1">
          <a:solidFill>
            <a:schemeClr val="tx1"/>
          </a:solidFill>
          <a:latin typeface="+mn-lt"/>
          <a:ea typeface="+mn-ea"/>
          <a:cs typeface="+mn-cs"/>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17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w="19050" cap="rnd">
        <a:noFill/>
        <a:round/>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dk1"/>
    </cs:fontRef>
    <cs:spPr>
      <a:ln w="9525">
        <a:solidFill>
          <a:schemeClr val="phClr"/>
        </a:solidFill>
      </a:ln>
      <a:effectLst/>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spPr>
      <a:ln w="9525" cap="flat" cmpd="sng" algn="ctr">
        <a:solidFill>
          <a:schemeClr val="tx1">
            <a:lumMod val="15000"/>
            <a:lumOff val="85000"/>
          </a:schemeClr>
        </a:solidFill>
        <a:round/>
      </a:ln>
    </cs:spPr>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17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w="19050" cap="rnd">
        <a:noFill/>
        <a:round/>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dk1"/>
    </cs:fontRef>
    <cs:spPr>
      <a:ln w="9525">
        <a:solidFill>
          <a:schemeClr val="phClr"/>
        </a:solidFill>
      </a:ln>
      <a:effectLst/>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spPr>
      <a:ln w="9525" cap="flat" cmpd="sng" algn="ctr">
        <a:solidFill>
          <a:schemeClr val="tx1">
            <a:lumMod val="15000"/>
            <a:lumOff val="85000"/>
          </a:schemeClr>
        </a:solidFill>
        <a:round/>
      </a:ln>
    </cs:spPr>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12</Pages>
  <Words>4259</Words>
  <Characters>24278</Characters>
  <Application>Microsoft Office Word</Application>
  <DocSecurity>0</DocSecurity>
  <Lines>202</Lines>
  <Paragraphs>56</Paragraphs>
  <ScaleCrop>false</ScaleCrop>
  <Company/>
  <LinksUpToDate>false</LinksUpToDate>
  <CharactersWithSpaces>28481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Rauf Pathan</dc:creator>
  <cp:lastModifiedBy>SDI 1180</cp:lastModifiedBy>
  <cp:revision>56</cp:revision>
  <cp:lastPrinted>2025-02-14T10:09:00Z</cp:lastPrinted>
  <dcterms:created xsi:type="dcterms:W3CDTF">2023-08-30T10:25:00Z</dcterms:created>
  <dcterms:modified xsi:type="dcterms:W3CDTF">2025-10-14T10:52:00Z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1033-11.2.0.11254</vt:lpwstr>
  </property>
  <property fmtid="{D5CDD505-2E9C-101B-9397-08002B2CF9AE}" pid="3" name="ICV">
    <vt:lpwstr>96079BD0E86B43E58F5297B29DD9B83A_12</vt:lpwstr>
  </property>
  <property fmtid="{D5CDD505-2E9C-101B-9397-08002B2CF9AE}" pid="4" name="GrammarlyDocumentId">
    <vt:lpwstr>ccbdeb2019cac8be2752afca8df4e8aab4ad344408faebaf2186acbae921a763</vt:lpwstr>
  </property>
</Properties>
</file>