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0EFB" w14:textId="18C96342" w:rsidR="00942C63" w:rsidRPr="00942C63" w:rsidRDefault="00942C63" w:rsidP="00237E2E">
      <w:pPr>
        <w:spacing w:after="200" w:line="276" w:lineRule="auto"/>
        <w:rPr>
          <w:rFonts w:ascii="Cambria" w:eastAsia="MS Mincho" w:hAnsi="Cambria" w:cs="Times New Roman"/>
          <w:b/>
          <w:bCs/>
          <w:sz w:val="32"/>
          <w:szCs w:val="32"/>
          <w:u w:val="single"/>
        </w:rPr>
      </w:pPr>
      <w:r w:rsidRPr="00942C63">
        <w:rPr>
          <w:rFonts w:ascii="Cambria" w:eastAsia="MS Mincho" w:hAnsi="Cambria" w:cs="Times New Roman"/>
          <w:b/>
          <w:bCs/>
          <w:sz w:val="32"/>
          <w:szCs w:val="32"/>
          <w:u w:val="single"/>
        </w:rPr>
        <w:t>Systematic Review Article</w:t>
      </w:r>
    </w:p>
    <w:p w14:paraId="1C3C0CBE" w14:textId="4489DC37" w:rsidR="00237E2E" w:rsidRDefault="00237E2E" w:rsidP="00237E2E">
      <w:pPr>
        <w:spacing w:after="200" w:line="276" w:lineRule="auto"/>
        <w:rPr>
          <w:rFonts w:ascii="Cambria" w:eastAsia="MS Mincho" w:hAnsi="Cambria" w:cs="Times New Roman"/>
          <w:b/>
          <w:bCs/>
          <w:sz w:val="32"/>
          <w:szCs w:val="32"/>
        </w:rPr>
      </w:pPr>
      <w:r w:rsidRPr="00237E2E">
        <w:rPr>
          <w:rFonts w:ascii="Cambria" w:eastAsia="MS Mincho" w:hAnsi="Cambria" w:cs="Times New Roman"/>
          <w:b/>
          <w:bCs/>
          <w:sz w:val="32"/>
          <w:szCs w:val="32"/>
        </w:rPr>
        <w:t>The Role of Biologic Therapies in Dermatologic Comorbidities of Ulcerative Colitis: A Comparative Analysis of Ustekinumab and Vedolizumab in Alopecia Outcomes; A Systematic Review &amp; Meta Analysis</w:t>
      </w:r>
    </w:p>
    <w:p w14:paraId="46C18760"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Abstract</w:t>
      </w:r>
    </w:p>
    <w:p w14:paraId="09734A1E"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Alopecia areata (AA) is an autoimmune disorder characterized by patchy hair loss and a significant psychological impact. Although traditi</w:t>
      </w:r>
      <w:bookmarkStart w:id="0" w:name="_GoBack"/>
      <w:bookmarkEnd w:id="0"/>
      <w:r w:rsidRPr="00237E2E">
        <w:rPr>
          <w:rFonts w:ascii="Cambria" w:eastAsia="MS Mincho" w:hAnsi="Cambria" w:cs="Times New Roman"/>
        </w:rPr>
        <w:t xml:space="preserve">onally attributed to Th1-mediated pathways, emerging evidence highlights roles for Th2, Th9, and IL-23 signaling. Biologic agents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(IL-12/23 inhibitor) and vedolizumab (α-integrin blocker) are increasingly used for ulcerative colitis (UC), but their dermatologic effects remain uncertain. This systematic review and meta-analysis </w:t>
      </w:r>
      <w:proofErr w:type="gramStart"/>
      <w:r w:rsidRPr="00237E2E">
        <w:rPr>
          <w:rFonts w:ascii="Cambria" w:eastAsia="MS Mincho" w:hAnsi="Cambria" w:cs="Times New Roman"/>
        </w:rPr>
        <w:t>assesses</w:t>
      </w:r>
      <w:proofErr w:type="gramEnd"/>
      <w:r w:rsidRPr="00237E2E">
        <w:rPr>
          <w:rFonts w:ascii="Cambria" w:eastAsia="MS Mincho" w:hAnsi="Cambria" w:cs="Times New Roman"/>
        </w:rPr>
        <w:t xml:space="preserve"> the influence of these biologics on alopecia outcomes. A comprehensive literature search of major databases through September 2025 identified studies reporting hair loss or regrowth in patients treated with these agents. Data extraction included demographics, interventions, and outcomes, with pooled analyses conducted using random-effects models. Bias was evaluated using the MINORS tool.</w:t>
      </w:r>
    </w:p>
    <w:p w14:paraId="26EF0504"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Eighteen studies met inclusion criteria, encompassing case series, cohort studies, and systematic reviews. Ustekinumab showed variable effects, ranging from substantial hair regrowth to paradoxical alopecia, particularly in pediatric patients. Vedolizumab outcomes were similarly inconsistent, with reports of both new-onset alopecia and improvement in skin manifestations. Pooled analysis indicated that 65.5% of patients achieved hair regrowth, and active therapy significantly increased the odds of attaining a SALT score ≥50 (OR = 3.05). Adverse events were mostly mild, while relapse remained common, especially with topical immunotherapy.</w:t>
      </w:r>
    </w:p>
    <w:p w14:paraId="3AA0330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In conclusion,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and vedolizumab exhibit heterogeneous effects on alopecia in UC patients, ranging from disease worsening to meaningful regrowth. While biologics may have therapeutic potential in select cases, their cutaneous effects require further clarification through large, well-designed randomized trials.</w:t>
      </w:r>
    </w:p>
    <w:p w14:paraId="2ED3A0AA" w14:textId="77777777" w:rsidR="00237E2E" w:rsidRPr="00237E2E" w:rsidRDefault="00237E2E" w:rsidP="00237E2E">
      <w:pPr>
        <w:spacing w:after="200" w:line="276" w:lineRule="auto"/>
        <w:rPr>
          <w:rFonts w:ascii="Cambria" w:eastAsia="MS Mincho" w:hAnsi="Cambria" w:cs="Times New Roman"/>
        </w:rPr>
      </w:pPr>
    </w:p>
    <w:p w14:paraId="07C767E9" w14:textId="77777777" w:rsidR="00237E2E" w:rsidRPr="00237E2E" w:rsidRDefault="00237E2E" w:rsidP="00237E2E">
      <w:pPr>
        <w:spacing w:after="200" w:line="276" w:lineRule="auto"/>
        <w:rPr>
          <w:rFonts w:ascii="Cambria" w:eastAsia="MS Mincho" w:hAnsi="Cambria" w:cs="Times New Roman"/>
        </w:rPr>
      </w:pPr>
    </w:p>
    <w:p w14:paraId="07EA1A6F"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Introduction</w:t>
      </w:r>
    </w:p>
    <w:p w14:paraId="3B04BE0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Alopecia areata (AA) is an autoimmune disease that causes patchy hair loss in all individuals, affecting them psychologically and socially, especially in younger individuals (Zhao et al., 2025). Historically, AA has been regarded as a Th1 (T helper 1 cell)-dependent </w:t>
      </w:r>
      <w:r w:rsidRPr="00237E2E">
        <w:rPr>
          <w:rFonts w:ascii="Cambria" w:eastAsia="MS Mincho" w:hAnsi="Cambria" w:cs="Times New Roman"/>
        </w:rPr>
        <w:lastRenderedPageBreak/>
        <w:t>disease (</w:t>
      </w:r>
      <w:proofErr w:type="spellStart"/>
      <w:r w:rsidRPr="00237E2E">
        <w:rPr>
          <w:rFonts w:ascii="Cambria" w:eastAsia="MS Mincho" w:hAnsi="Cambria" w:cs="Times New Roman"/>
        </w:rPr>
        <w:t>Gaumond</w:t>
      </w:r>
      <w:proofErr w:type="spellEnd"/>
      <w:r w:rsidRPr="00237E2E">
        <w:rPr>
          <w:rFonts w:ascii="Cambria" w:eastAsia="MS Mincho" w:hAnsi="Cambria" w:cs="Times New Roman"/>
        </w:rPr>
        <w:t xml:space="preserve">,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 However, recent studies suggest that the pathogenesis of AA is more complex and includes Th2 (T helper 2 cells), Th9 (T helper 9 cells), and IL-23 (Interleukin-23) (Zhao et al., 2025). Along with marked suppression of keratinocytes, especially in the affected scalp, the patients with increased levels of Interleukin-12 subunit B and IL-23R (Interleukin-23 receptor) are clearly at higher risk, particularly in advanced cases (</w:t>
      </w:r>
      <w:proofErr w:type="spellStart"/>
      <w:r w:rsidRPr="00237E2E">
        <w:rPr>
          <w:rFonts w:ascii="Cambria" w:eastAsia="MS Mincho" w:hAnsi="Cambria" w:cs="Times New Roman"/>
        </w:rPr>
        <w:t>Gaumond</w:t>
      </w:r>
      <w:proofErr w:type="spellEnd"/>
      <w:r w:rsidRPr="00237E2E">
        <w:rPr>
          <w:rFonts w:ascii="Cambria" w:eastAsia="MS Mincho" w:hAnsi="Cambria" w:cs="Times New Roman"/>
        </w:rPr>
        <w:t xml:space="preserve">,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 Their role is still unclear in children (Zhao et al., 2025). Topical corticosteroids remain the first-line treatment, but the varying course of the disease requires further studies to establish the correct treatment guidelines (</w:t>
      </w:r>
      <w:proofErr w:type="spellStart"/>
      <w:r w:rsidRPr="00237E2E">
        <w:rPr>
          <w:rFonts w:ascii="Cambria" w:eastAsia="MS Mincho" w:hAnsi="Cambria" w:cs="Times New Roman"/>
        </w:rPr>
        <w:t>Gaumond</w:t>
      </w:r>
      <w:proofErr w:type="spellEnd"/>
      <w:r w:rsidRPr="00237E2E">
        <w:rPr>
          <w:rFonts w:ascii="Cambria" w:eastAsia="MS Mincho" w:hAnsi="Cambria" w:cs="Times New Roman"/>
        </w:rPr>
        <w:t xml:space="preserve">,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w:t>
      </w:r>
    </w:p>
    <w:p w14:paraId="3FFC25F5" w14:textId="7FAA9D99"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These treatments, such as anti-TNF agents, are widely used, but are often associated with skin-related side effects, including drug-induced psoriasis and alopecia</w:t>
      </w:r>
      <w:r w:rsidR="007814A5">
        <w:rPr>
          <w:rFonts w:ascii="Cambria" w:eastAsia="MS Mincho" w:hAnsi="Cambria" w:cs="Times New Roman"/>
        </w:rPr>
        <w:t xml:space="preserve"> </w:t>
      </w:r>
      <w:r w:rsidR="007814A5" w:rsidRPr="007814A5">
        <w:rPr>
          <w:rFonts w:ascii="Cambria" w:eastAsia="MS Mincho" w:hAnsi="Cambria" w:cs="Times New Roman"/>
        </w:rPr>
        <w:t>(Jung et al., 2022</w:t>
      </w:r>
      <w:r w:rsidR="007814A5">
        <w:rPr>
          <w:rFonts w:ascii="Cambria" w:eastAsia="MS Mincho" w:hAnsi="Cambria" w:cs="Times New Roman"/>
        </w:rPr>
        <w:t xml:space="preserve">; </w:t>
      </w:r>
      <w:r w:rsidR="007814A5" w:rsidRPr="007814A5">
        <w:rPr>
          <w:rFonts w:ascii="Cambria" w:eastAsia="MS Mincho" w:hAnsi="Cambria" w:cs="Times New Roman"/>
        </w:rPr>
        <w:t xml:space="preserve">Cruz </w:t>
      </w:r>
      <w:r w:rsidR="007814A5" w:rsidRPr="007814A5">
        <w:rPr>
          <w:rFonts w:ascii="Cambria" w:eastAsia="MS Mincho" w:hAnsi="Cambria" w:cs="Times New Roman"/>
          <w:i/>
          <w:iCs/>
        </w:rPr>
        <w:t>et al</w:t>
      </w:r>
      <w:r w:rsidR="007814A5" w:rsidRPr="007814A5">
        <w:rPr>
          <w:rFonts w:ascii="Cambria" w:eastAsia="MS Mincho" w:hAnsi="Cambria" w:cs="Times New Roman"/>
        </w:rPr>
        <w:t>., 2023)</w:t>
      </w:r>
      <w:r w:rsidRPr="00237E2E">
        <w:rPr>
          <w:rFonts w:ascii="Cambria" w:eastAsia="MS Mincho" w:hAnsi="Cambria" w:cs="Times New Roman"/>
        </w:rPr>
        <w:t xml:space="preserve">. In contrast, newer biologics,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target the IL-12/23 by modulating the Th1/Th17 pathway (King, Lam, &amp; Goh, 2019). Vedolizumab, an integrin-targeting drug, is increasingly used in UC due to its safety profile (King, Lam, &amp; Goh, 2019). However, its effect on skin diseases, including alopecia, remains unclear (</w:t>
      </w:r>
      <w:proofErr w:type="spellStart"/>
      <w:r w:rsidRPr="00237E2E">
        <w:rPr>
          <w:rFonts w:ascii="Cambria" w:eastAsia="MS Mincho" w:hAnsi="Cambria" w:cs="Times New Roman"/>
        </w:rPr>
        <w:t>Gaumond</w:t>
      </w:r>
      <w:proofErr w:type="spellEnd"/>
      <w:r w:rsidRPr="00237E2E">
        <w:rPr>
          <w:rFonts w:ascii="Cambria" w:eastAsia="MS Mincho" w:hAnsi="Cambria" w:cs="Times New Roman"/>
        </w:rPr>
        <w:t xml:space="preserve">,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&amp; Jimenez, 2025).</w:t>
      </w:r>
    </w:p>
    <w:p w14:paraId="4749000B" w14:textId="157ACF06"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The aim of this study is to perform a systematic review and meta-analysis comparing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(IL-12/23 inhibitor) and vedolizumab (α₄β₇-integrin blocker) regarding alopecia outcomes among patients with ulcerative colitis (UC)</w:t>
      </w:r>
      <w:r w:rsidR="007814A5">
        <w:rPr>
          <w:rFonts w:ascii="Cambria" w:eastAsia="MS Mincho" w:hAnsi="Cambria" w:cs="Times New Roman"/>
        </w:rPr>
        <w:t xml:space="preserve"> </w:t>
      </w:r>
      <w:r w:rsidR="007814A5" w:rsidRPr="007814A5">
        <w:rPr>
          <w:rFonts w:ascii="Cambria" w:eastAsia="MS Mincho" w:hAnsi="Cambria" w:cs="Times New Roman"/>
        </w:rPr>
        <w:t>(Gros &amp; Kaplan, 2023</w:t>
      </w:r>
      <w:r w:rsidR="007814A5">
        <w:rPr>
          <w:rFonts w:ascii="Cambria" w:eastAsia="MS Mincho" w:hAnsi="Cambria" w:cs="Times New Roman"/>
        </w:rPr>
        <w:t xml:space="preserve">; </w:t>
      </w:r>
      <w:r w:rsidR="007814A5" w:rsidRPr="007814A5">
        <w:rPr>
          <w:rFonts w:ascii="Cambria" w:eastAsia="MS Mincho" w:hAnsi="Cambria" w:cs="Times New Roman"/>
        </w:rPr>
        <w:t xml:space="preserve">Nakase </w:t>
      </w:r>
      <w:r w:rsidR="007814A5" w:rsidRPr="007814A5">
        <w:rPr>
          <w:rFonts w:ascii="Cambria" w:eastAsia="MS Mincho" w:hAnsi="Cambria" w:cs="Times New Roman"/>
          <w:i/>
          <w:iCs/>
        </w:rPr>
        <w:t>et al</w:t>
      </w:r>
      <w:r w:rsidR="007814A5" w:rsidRPr="007814A5">
        <w:rPr>
          <w:rFonts w:ascii="Cambria" w:eastAsia="MS Mincho" w:hAnsi="Cambria" w:cs="Times New Roman"/>
        </w:rPr>
        <w:t>., 2022)</w:t>
      </w:r>
      <w:r w:rsidRPr="00237E2E">
        <w:rPr>
          <w:rFonts w:ascii="Cambria" w:eastAsia="MS Mincho" w:hAnsi="Cambria" w:cs="Times New Roman"/>
        </w:rPr>
        <w:t>. While most earlier reviews have concentrated on intestinal outcomes, the effect on dermatologic manifestations such as alopecia has received little attention (Zhao et al., 2025).</w:t>
      </w:r>
    </w:p>
    <w:p w14:paraId="5693903E"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26"/>
          <w:szCs w:val="26"/>
        </w:rPr>
      </w:pPr>
    </w:p>
    <w:p w14:paraId="76118A17"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Methodology</w:t>
      </w:r>
    </w:p>
    <w:p w14:paraId="19EB7FF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‏We conducted a systematic review and meta-analysis to evaluate the effects of vedolizumab (α₄β₇-integrin blocker) and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(IL-12/23 inhibitor) on hair loss and hair growth. A comprehensive search was performed using a combination of keywords and Medical Subject Headings (</w:t>
      </w:r>
      <w:proofErr w:type="spellStart"/>
      <w:r w:rsidRPr="00237E2E">
        <w:rPr>
          <w:rFonts w:ascii="Cambria" w:eastAsia="MS Mincho" w:hAnsi="Cambria" w:cs="Times New Roman"/>
        </w:rPr>
        <w:t>MeSH</w:t>
      </w:r>
      <w:proofErr w:type="spellEnd"/>
      <w:r w:rsidRPr="00237E2E">
        <w:rPr>
          <w:rFonts w:ascii="Cambria" w:eastAsia="MS Mincho" w:hAnsi="Cambria" w:cs="Times New Roman"/>
        </w:rPr>
        <w:t xml:space="preserve">) terms, including alopecia areata, hair loss, ulcerative colitis,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interleukin, and vedolizumab. The following electronic databases were searched from their inception until September 2025: PubMed, Embase, Cochrane Library, Web of Science, ClinicalTrials.gov, and WHO ICTRP. Reference lists of included studies and relevant reviews were also screened to identify additional eligible studies.</w:t>
      </w:r>
    </w:p>
    <w:p w14:paraId="7A98872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‏Studies were eligible if they evaluated the effect of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or vedolizumab on hair outcomes, either in patients with ulcerative colitis or in other populations where hair loss or hair growth was assessed. Eligible study designs included randomized controlled trials, cohort studies, case–control studies, and case series. case reports, and expert opinions were excluded. Only studies published in English were included.</w:t>
      </w:r>
    </w:p>
    <w:p w14:paraId="4887043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‏Study eligibility was determined through independent screening of titles and abstracts by two reviewers, followed by full-text assessment. Disagreements were resolved by </w:t>
      </w:r>
      <w:r w:rsidRPr="00237E2E">
        <w:rPr>
          <w:rFonts w:ascii="Cambria" w:eastAsia="MS Mincho" w:hAnsi="Cambria" w:cs="Times New Roman"/>
        </w:rPr>
        <w:lastRenderedPageBreak/>
        <w:t>consensus. Extracted data included hair outcomes, patient demographics, intervention and comparator details, study design, and dermatologic adverse events.</w:t>
      </w:r>
    </w:p>
    <w:p w14:paraId="7EB9B2C7"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‏Risk of bias was assessed using the MINORS tool (Methodological Index for Non-Randomized Studies).</w:t>
      </w:r>
    </w:p>
    <w:p w14:paraId="350C85B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When sufficient homogeneous data were available, a meta-analysis was performed using a random-effects model to calculate pooled effect estimates with 95% confidence intervals (CIs). Otherwise, results were synthesized narratively. Statistical heterogeneity was assessed using the I² statistic.</w:t>
      </w:r>
    </w:p>
    <w:p w14:paraId="3C72760D"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26"/>
          <w:szCs w:val="26"/>
        </w:rPr>
      </w:pPr>
    </w:p>
    <w:p w14:paraId="0E27AFE3"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Results</w:t>
      </w:r>
    </w:p>
    <w:p w14:paraId="23933EC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Study Selection and Characteristics</w:t>
      </w:r>
    </w:p>
    <w:p w14:paraId="62DD262C"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18 potential studies were included after full-text screening, including case series and reports, retrospective and prospective cohort studies, systematic reviews, and one cross-sectional study. The studies were published between 2012 and 2022 and included studies from various geographical regions such as the USA, Europe (Poland, France, Greece, Portugal, Turkey), Asia (Iran, Japan, South Korea), and the Middle East.</w:t>
      </w:r>
    </w:p>
    <w:p w14:paraId="590E4EC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The number of samples ranged from case-report studies in one patient to systematic reviews of studies in more than 2200 patients. Most studies evaluated </w:t>
      </w:r>
      <w:proofErr w:type="spellStart"/>
      <w:r w:rsidRPr="00237E2E">
        <w:rPr>
          <w:rFonts w:ascii="Cambria" w:eastAsia="MS Mincho" w:hAnsi="Cambria" w:cs="Times New Roman"/>
        </w:rPr>
        <w:t>ustekinumab’s</w:t>
      </w:r>
      <w:proofErr w:type="spellEnd"/>
      <w:r w:rsidRPr="00237E2E">
        <w:rPr>
          <w:rFonts w:ascii="Cambria" w:eastAsia="MS Mincho" w:hAnsi="Cambria" w:cs="Times New Roman"/>
        </w:rPr>
        <w:t xml:space="preserve"> or vedolizumab’s effect directly on outcomes of alopecia areata or in patients who have inflammatory bowel disease (IBD) and later developed dermatologic manifestations.</w:t>
      </w:r>
    </w:p>
    <w:p w14:paraId="14F23976" w14:textId="77777777" w:rsidR="00237E2E" w:rsidRPr="00237E2E" w:rsidRDefault="00237E2E" w:rsidP="00237E2E">
      <w:pPr>
        <w:spacing w:after="200" w:line="276" w:lineRule="auto"/>
        <w:rPr>
          <w:rFonts w:ascii="Cambria" w:eastAsia="MS Mincho" w:hAnsi="Cambria" w:cs="Times New Roman"/>
        </w:rPr>
      </w:pPr>
    </w:p>
    <w:p w14:paraId="2B932AA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t>Table 1</w:t>
      </w:r>
      <w:r w:rsidRPr="00237E2E">
        <w:rPr>
          <w:rFonts w:ascii="Cambria" w:eastAsia="MS Mincho" w:hAnsi="Cambria" w:cs="Times New Roman"/>
        </w:rPr>
        <w:t xml:space="preserve"> summarizes the baseline characteristics of the included studies.</w:t>
      </w:r>
    </w:p>
    <w:tbl>
      <w:tblPr>
        <w:tblStyle w:val="TableGrid1"/>
        <w:tblW w:w="0" w:type="auto"/>
        <w:tblLook w:val="04A0" w:firstRow="1" w:lastRow="0" w:firstColumn="1" w:lastColumn="0" w:noHBand="0" w:noVBand="1"/>
      </w:tblPr>
      <w:tblGrid>
        <w:gridCol w:w="1877"/>
        <w:gridCol w:w="1211"/>
        <w:gridCol w:w="1616"/>
        <w:gridCol w:w="1483"/>
        <w:gridCol w:w="1066"/>
        <w:gridCol w:w="1377"/>
      </w:tblGrid>
      <w:tr w:rsidR="00237E2E" w:rsidRPr="00237E2E" w14:paraId="3B0185C9" w14:textId="77777777" w:rsidTr="00C07F8D">
        <w:tc>
          <w:tcPr>
            <w:tcW w:w="1879" w:type="dxa"/>
          </w:tcPr>
          <w:p w14:paraId="47D8FB4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Focus</w:t>
            </w:r>
          </w:p>
        </w:tc>
        <w:tc>
          <w:tcPr>
            <w:tcW w:w="1304" w:type="dxa"/>
          </w:tcPr>
          <w:p w14:paraId="6A2C90C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Sample Size</w:t>
            </w:r>
          </w:p>
        </w:tc>
        <w:tc>
          <w:tcPr>
            <w:tcW w:w="1285" w:type="dxa"/>
          </w:tcPr>
          <w:p w14:paraId="4ABA44A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Study Design</w:t>
            </w:r>
          </w:p>
        </w:tc>
        <w:tc>
          <w:tcPr>
            <w:tcW w:w="1332" w:type="dxa"/>
          </w:tcPr>
          <w:p w14:paraId="66E7D2B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Country</w:t>
            </w:r>
          </w:p>
        </w:tc>
        <w:tc>
          <w:tcPr>
            <w:tcW w:w="1202" w:type="dxa"/>
          </w:tcPr>
          <w:p w14:paraId="668C9F5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Year</w:t>
            </w:r>
          </w:p>
        </w:tc>
        <w:tc>
          <w:tcPr>
            <w:tcW w:w="1294" w:type="dxa"/>
          </w:tcPr>
          <w:p w14:paraId="3BC977B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First Author</w:t>
            </w:r>
          </w:p>
        </w:tc>
      </w:tr>
      <w:tr w:rsidR="00237E2E" w:rsidRPr="00237E2E" w14:paraId="0FDDDD4E" w14:textId="77777777" w:rsidTr="00C07F8D">
        <w:tc>
          <w:tcPr>
            <w:tcW w:w="1879" w:type="dxa"/>
          </w:tcPr>
          <w:p w14:paraId="44764A9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 in pediatric AA</w:t>
            </w:r>
          </w:p>
        </w:tc>
        <w:tc>
          <w:tcPr>
            <w:tcW w:w="1304" w:type="dxa"/>
          </w:tcPr>
          <w:p w14:paraId="09190D4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w:t>
            </w:r>
          </w:p>
          <w:p w14:paraId="21201984" w14:textId="77777777" w:rsidR="00237E2E" w:rsidRPr="00237E2E" w:rsidRDefault="00237E2E" w:rsidP="00237E2E">
            <w:pPr>
              <w:rPr>
                <w:rFonts w:ascii="Times New Roman" w:hAnsi="Times New Roman" w:cs="Times New Roman"/>
                <w:sz w:val="24"/>
                <w:szCs w:val="24"/>
              </w:rPr>
            </w:pPr>
          </w:p>
        </w:tc>
        <w:tc>
          <w:tcPr>
            <w:tcW w:w="1285" w:type="dxa"/>
          </w:tcPr>
          <w:p w14:paraId="677FAEE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series</w:t>
            </w:r>
          </w:p>
        </w:tc>
        <w:tc>
          <w:tcPr>
            <w:tcW w:w="1332" w:type="dxa"/>
          </w:tcPr>
          <w:p w14:paraId="2866890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p w14:paraId="00A282BF" w14:textId="77777777" w:rsidR="00237E2E" w:rsidRPr="00237E2E" w:rsidRDefault="00237E2E" w:rsidP="00237E2E">
            <w:pPr>
              <w:rPr>
                <w:rFonts w:ascii="Times New Roman" w:hAnsi="Times New Roman" w:cs="Times New Roman"/>
                <w:sz w:val="24"/>
                <w:szCs w:val="24"/>
              </w:rPr>
            </w:pPr>
          </w:p>
        </w:tc>
        <w:tc>
          <w:tcPr>
            <w:tcW w:w="1202" w:type="dxa"/>
          </w:tcPr>
          <w:p w14:paraId="757E804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2018</w:t>
            </w:r>
          </w:p>
        </w:tc>
        <w:tc>
          <w:tcPr>
            <w:tcW w:w="1294" w:type="dxa"/>
          </w:tcPr>
          <w:p w14:paraId="110BE1B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Aleisa</w:t>
            </w:r>
          </w:p>
        </w:tc>
      </w:tr>
      <w:tr w:rsidR="00237E2E" w:rsidRPr="00237E2E" w14:paraId="3800EA9E" w14:textId="77777777" w:rsidTr="00C07F8D">
        <w:tc>
          <w:tcPr>
            <w:tcW w:w="1879" w:type="dxa"/>
          </w:tcPr>
          <w:p w14:paraId="4D7FADE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 xml:space="preserve">Frontal fibrosing alopecia on </w:t>
            </w:r>
            <w:proofErr w:type="spellStart"/>
            <w:r w:rsidRPr="00237E2E">
              <w:rPr>
                <w:rFonts w:ascii="Times New Roman" w:hAnsi="Times New Roman" w:cs="Times New Roman"/>
                <w:b/>
                <w:bCs/>
                <w:sz w:val="24"/>
                <w:szCs w:val="24"/>
              </w:rPr>
              <w:t>ustekinumab</w:t>
            </w:r>
            <w:proofErr w:type="spellEnd"/>
          </w:p>
        </w:tc>
        <w:tc>
          <w:tcPr>
            <w:tcW w:w="1304" w:type="dxa"/>
          </w:tcPr>
          <w:p w14:paraId="3640974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w:t>
            </w:r>
          </w:p>
        </w:tc>
        <w:tc>
          <w:tcPr>
            <w:tcW w:w="1285" w:type="dxa"/>
          </w:tcPr>
          <w:p w14:paraId="66F9008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report</w:t>
            </w:r>
          </w:p>
        </w:tc>
        <w:tc>
          <w:tcPr>
            <w:tcW w:w="1332" w:type="dxa"/>
          </w:tcPr>
          <w:p w14:paraId="7996CEB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2984B30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2019</w:t>
            </w:r>
          </w:p>
        </w:tc>
        <w:tc>
          <w:tcPr>
            <w:tcW w:w="1294" w:type="dxa"/>
          </w:tcPr>
          <w:p w14:paraId="62D59D5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King</w:t>
            </w:r>
          </w:p>
        </w:tc>
      </w:tr>
      <w:tr w:rsidR="00237E2E" w:rsidRPr="00237E2E" w14:paraId="3DFC43AF" w14:textId="77777777" w:rsidTr="00C07F8D">
        <w:tc>
          <w:tcPr>
            <w:tcW w:w="1879" w:type="dxa"/>
          </w:tcPr>
          <w:p w14:paraId="1635801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Contact immunotherapy outcomes</w:t>
            </w:r>
          </w:p>
        </w:tc>
        <w:tc>
          <w:tcPr>
            <w:tcW w:w="1304" w:type="dxa"/>
          </w:tcPr>
          <w:p w14:paraId="1D800A9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2227</w:t>
            </w:r>
          </w:p>
        </w:tc>
        <w:tc>
          <w:tcPr>
            <w:tcW w:w="1285" w:type="dxa"/>
          </w:tcPr>
          <w:p w14:paraId="5423E01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 &amp; meta-analysis</w:t>
            </w:r>
          </w:p>
        </w:tc>
        <w:tc>
          <w:tcPr>
            <w:tcW w:w="1332" w:type="dxa"/>
          </w:tcPr>
          <w:p w14:paraId="7F59590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South Korea</w:t>
            </w:r>
          </w:p>
        </w:tc>
        <w:tc>
          <w:tcPr>
            <w:tcW w:w="1202" w:type="dxa"/>
          </w:tcPr>
          <w:p w14:paraId="21BA417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2018</w:t>
            </w:r>
          </w:p>
          <w:p w14:paraId="016EEBF8" w14:textId="77777777" w:rsidR="00237E2E" w:rsidRPr="00237E2E" w:rsidRDefault="00237E2E" w:rsidP="00237E2E">
            <w:pPr>
              <w:rPr>
                <w:rFonts w:ascii="Times New Roman" w:hAnsi="Times New Roman" w:cs="Times New Roman"/>
                <w:sz w:val="24"/>
                <w:szCs w:val="24"/>
              </w:rPr>
            </w:pPr>
          </w:p>
        </w:tc>
        <w:tc>
          <w:tcPr>
            <w:tcW w:w="1294" w:type="dxa"/>
          </w:tcPr>
          <w:p w14:paraId="175F4C3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Lee</w:t>
            </w:r>
          </w:p>
        </w:tc>
      </w:tr>
      <w:tr w:rsidR="00237E2E" w:rsidRPr="00237E2E" w14:paraId="4562BE3F" w14:textId="77777777" w:rsidTr="00C07F8D">
        <w:tc>
          <w:tcPr>
            <w:tcW w:w="1879" w:type="dxa"/>
          </w:tcPr>
          <w:p w14:paraId="11BD642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Pediatric alopecia treatments</w:t>
            </w:r>
          </w:p>
        </w:tc>
        <w:tc>
          <w:tcPr>
            <w:tcW w:w="1304" w:type="dxa"/>
          </w:tcPr>
          <w:p w14:paraId="29B830F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329</w:t>
            </w:r>
          </w:p>
        </w:tc>
        <w:tc>
          <w:tcPr>
            <w:tcW w:w="1285" w:type="dxa"/>
          </w:tcPr>
          <w:p w14:paraId="1A3A624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4CD9C1C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Iran</w:t>
            </w:r>
          </w:p>
        </w:tc>
        <w:tc>
          <w:tcPr>
            <w:tcW w:w="1202" w:type="dxa"/>
          </w:tcPr>
          <w:p w14:paraId="58EC6DD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013E12C5"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Behrangi</w:t>
            </w:r>
            <w:proofErr w:type="spellEnd"/>
          </w:p>
        </w:tc>
      </w:tr>
      <w:tr w:rsidR="00237E2E" w:rsidRPr="00237E2E" w14:paraId="5C2F02A7" w14:textId="77777777" w:rsidTr="00C07F8D">
        <w:tc>
          <w:tcPr>
            <w:tcW w:w="1879" w:type="dxa"/>
          </w:tcPr>
          <w:p w14:paraId="782956F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lastRenderedPageBreak/>
              <w:t>Pediatric AA management</w:t>
            </w:r>
          </w:p>
        </w:tc>
        <w:tc>
          <w:tcPr>
            <w:tcW w:w="1304" w:type="dxa"/>
          </w:tcPr>
          <w:p w14:paraId="64F961F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1746</w:t>
            </w:r>
          </w:p>
        </w:tc>
        <w:tc>
          <w:tcPr>
            <w:tcW w:w="1285" w:type="dxa"/>
          </w:tcPr>
          <w:p w14:paraId="4E30623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3134291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Poland</w:t>
            </w:r>
          </w:p>
        </w:tc>
        <w:tc>
          <w:tcPr>
            <w:tcW w:w="1202" w:type="dxa"/>
          </w:tcPr>
          <w:p w14:paraId="3918A2F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2021</w:t>
            </w:r>
          </w:p>
        </w:tc>
        <w:tc>
          <w:tcPr>
            <w:tcW w:w="1294" w:type="dxa"/>
          </w:tcPr>
          <w:p w14:paraId="0131524D"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Waśkiel-Burnat</w:t>
            </w:r>
            <w:proofErr w:type="spellEnd"/>
          </w:p>
        </w:tc>
      </w:tr>
      <w:tr w:rsidR="00237E2E" w:rsidRPr="00237E2E" w14:paraId="12CDE852" w14:textId="77777777" w:rsidTr="00C07F8D">
        <w:tc>
          <w:tcPr>
            <w:tcW w:w="1879" w:type="dxa"/>
          </w:tcPr>
          <w:p w14:paraId="1285A0B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Pediatric AA therapies</w:t>
            </w:r>
          </w:p>
        </w:tc>
        <w:tc>
          <w:tcPr>
            <w:tcW w:w="1304" w:type="dxa"/>
          </w:tcPr>
          <w:p w14:paraId="2B73DFA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1032</w:t>
            </w:r>
          </w:p>
        </w:tc>
        <w:tc>
          <w:tcPr>
            <w:tcW w:w="1285" w:type="dxa"/>
          </w:tcPr>
          <w:p w14:paraId="1756F81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Systematic review</w:t>
            </w:r>
          </w:p>
        </w:tc>
        <w:tc>
          <w:tcPr>
            <w:tcW w:w="1332" w:type="dxa"/>
          </w:tcPr>
          <w:p w14:paraId="7E781A3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6093837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1627E02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Barton</w:t>
            </w:r>
          </w:p>
        </w:tc>
      </w:tr>
      <w:tr w:rsidR="00237E2E" w:rsidRPr="00237E2E" w14:paraId="33ACCB47" w14:textId="77777777" w:rsidTr="00C07F8D">
        <w:tc>
          <w:tcPr>
            <w:tcW w:w="1879" w:type="dxa"/>
          </w:tcPr>
          <w:p w14:paraId="00564A3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Ustekinumab-related skin reactions</w:t>
            </w:r>
          </w:p>
        </w:tc>
        <w:tc>
          <w:tcPr>
            <w:tcW w:w="1304" w:type="dxa"/>
          </w:tcPr>
          <w:p w14:paraId="0969CAD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26</w:t>
            </w:r>
          </w:p>
        </w:tc>
        <w:tc>
          <w:tcPr>
            <w:tcW w:w="1285" w:type="dxa"/>
          </w:tcPr>
          <w:p w14:paraId="3A97700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Retrospective study</w:t>
            </w:r>
          </w:p>
        </w:tc>
        <w:tc>
          <w:tcPr>
            <w:tcW w:w="1332" w:type="dxa"/>
          </w:tcPr>
          <w:p w14:paraId="5EB271B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France</w:t>
            </w:r>
          </w:p>
        </w:tc>
        <w:tc>
          <w:tcPr>
            <w:tcW w:w="1202" w:type="dxa"/>
          </w:tcPr>
          <w:p w14:paraId="7EC048B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2019</w:t>
            </w:r>
          </w:p>
        </w:tc>
        <w:tc>
          <w:tcPr>
            <w:tcW w:w="1294" w:type="dxa"/>
          </w:tcPr>
          <w:p w14:paraId="31B2CE9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Ezzedine</w:t>
            </w:r>
          </w:p>
        </w:tc>
      </w:tr>
      <w:tr w:rsidR="00237E2E" w:rsidRPr="00237E2E" w14:paraId="4F26D047" w14:textId="77777777" w:rsidTr="00C07F8D">
        <w:tc>
          <w:tcPr>
            <w:tcW w:w="1879" w:type="dxa"/>
          </w:tcPr>
          <w:p w14:paraId="06FF3A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Tofacitinib in refractory AA</w:t>
            </w:r>
          </w:p>
        </w:tc>
        <w:tc>
          <w:tcPr>
            <w:tcW w:w="1304" w:type="dxa"/>
          </w:tcPr>
          <w:p w14:paraId="087E07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w:t>
            </w:r>
          </w:p>
        </w:tc>
        <w:tc>
          <w:tcPr>
            <w:tcW w:w="1285" w:type="dxa"/>
          </w:tcPr>
          <w:p w14:paraId="65FC6AC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series</w:t>
            </w:r>
          </w:p>
        </w:tc>
        <w:tc>
          <w:tcPr>
            <w:tcW w:w="1332" w:type="dxa"/>
          </w:tcPr>
          <w:p w14:paraId="1F9A25B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Japan</w:t>
            </w:r>
          </w:p>
        </w:tc>
        <w:tc>
          <w:tcPr>
            <w:tcW w:w="1202" w:type="dxa"/>
          </w:tcPr>
          <w:p w14:paraId="77A4F4B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2020</w:t>
            </w:r>
          </w:p>
        </w:tc>
        <w:tc>
          <w:tcPr>
            <w:tcW w:w="1294" w:type="dxa"/>
          </w:tcPr>
          <w:p w14:paraId="0E4D865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Kikuchi</w:t>
            </w:r>
          </w:p>
        </w:tc>
      </w:tr>
      <w:tr w:rsidR="00237E2E" w:rsidRPr="00237E2E" w14:paraId="2BCE9D68" w14:textId="77777777" w:rsidTr="00C07F8D">
        <w:tc>
          <w:tcPr>
            <w:tcW w:w="1879" w:type="dxa"/>
          </w:tcPr>
          <w:p w14:paraId="1F11217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Anti-TNF induced skin reactions in children</w:t>
            </w:r>
          </w:p>
        </w:tc>
        <w:tc>
          <w:tcPr>
            <w:tcW w:w="1304" w:type="dxa"/>
          </w:tcPr>
          <w:p w14:paraId="6F3E8F40" w14:textId="77777777" w:rsidR="00237E2E" w:rsidRPr="00237E2E" w:rsidRDefault="00237E2E" w:rsidP="00237E2E">
            <w:pPr>
              <w:bidi/>
              <w:jc w:val="right"/>
              <w:rPr>
                <w:rFonts w:ascii="Times New Roman" w:hAnsi="Times New Roman" w:cs="Times New Roman"/>
                <w:sz w:val="24"/>
                <w:szCs w:val="24"/>
                <w:rtl/>
              </w:rPr>
            </w:pPr>
            <w:r w:rsidRPr="00237E2E">
              <w:rPr>
                <w:rFonts w:ascii="Times New Roman" w:hAnsi="Times New Roman" w:cs="Times New Roman"/>
                <w:b/>
                <w:bCs/>
                <w:sz w:val="24"/>
                <w:szCs w:val="24"/>
                <w:rtl/>
              </w:rPr>
              <w:t>111</w:t>
            </w:r>
          </w:p>
        </w:tc>
        <w:tc>
          <w:tcPr>
            <w:tcW w:w="1285" w:type="dxa"/>
          </w:tcPr>
          <w:p w14:paraId="4E0A781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Cohort study</w:t>
            </w:r>
          </w:p>
        </w:tc>
        <w:tc>
          <w:tcPr>
            <w:tcW w:w="1332" w:type="dxa"/>
          </w:tcPr>
          <w:p w14:paraId="02AE15A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sz w:val="24"/>
                <w:szCs w:val="24"/>
                <w:rtl/>
              </w:rPr>
              <w:t>USA</w:t>
            </w:r>
          </w:p>
        </w:tc>
        <w:tc>
          <w:tcPr>
            <w:tcW w:w="1202" w:type="dxa"/>
          </w:tcPr>
          <w:p w14:paraId="6B814E7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2022</w:t>
            </w:r>
          </w:p>
        </w:tc>
        <w:tc>
          <w:tcPr>
            <w:tcW w:w="1294" w:type="dxa"/>
          </w:tcPr>
          <w:p w14:paraId="5AACA1F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Dolinger</w:t>
            </w:r>
          </w:p>
        </w:tc>
      </w:tr>
      <w:tr w:rsidR="00237E2E" w:rsidRPr="00237E2E" w14:paraId="556F30CA" w14:textId="77777777" w:rsidTr="00C07F8D">
        <w:tc>
          <w:tcPr>
            <w:tcW w:w="1879" w:type="dxa"/>
          </w:tcPr>
          <w:p w14:paraId="3079715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 xml:space="preserve">Alopecia during </w:t>
            </w:r>
            <w:proofErr w:type="spellStart"/>
            <w:r w:rsidRPr="00237E2E">
              <w:rPr>
                <w:rFonts w:ascii="Times New Roman" w:hAnsi="Times New Roman" w:cs="Times New Roman"/>
                <w:b/>
                <w:bCs/>
                <w:sz w:val="24"/>
                <w:szCs w:val="24"/>
              </w:rPr>
              <w:t>ustekinumab</w:t>
            </w:r>
            <w:proofErr w:type="spellEnd"/>
          </w:p>
        </w:tc>
        <w:tc>
          <w:tcPr>
            <w:tcW w:w="1304" w:type="dxa"/>
          </w:tcPr>
          <w:p w14:paraId="3DFE69F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tl/>
              </w:rPr>
              <w:t>2</w:t>
            </w:r>
          </w:p>
        </w:tc>
        <w:tc>
          <w:tcPr>
            <w:tcW w:w="1285" w:type="dxa"/>
          </w:tcPr>
          <w:p w14:paraId="6434855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report</w:t>
            </w:r>
          </w:p>
        </w:tc>
        <w:tc>
          <w:tcPr>
            <w:tcW w:w="1332" w:type="dxa"/>
          </w:tcPr>
          <w:p w14:paraId="4DEB6B0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Greece/USA</w:t>
            </w:r>
          </w:p>
        </w:tc>
        <w:tc>
          <w:tcPr>
            <w:tcW w:w="1202" w:type="dxa"/>
          </w:tcPr>
          <w:p w14:paraId="5B7626B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2012</w:t>
            </w:r>
          </w:p>
        </w:tc>
        <w:tc>
          <w:tcPr>
            <w:tcW w:w="1294" w:type="dxa"/>
          </w:tcPr>
          <w:p w14:paraId="5EB80A4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Verros</w:t>
            </w:r>
          </w:p>
        </w:tc>
      </w:tr>
      <w:tr w:rsidR="00237E2E" w:rsidRPr="00237E2E" w14:paraId="0ED95309" w14:textId="77777777" w:rsidTr="00C07F8D">
        <w:tc>
          <w:tcPr>
            <w:tcW w:w="1879" w:type="dxa"/>
          </w:tcPr>
          <w:p w14:paraId="25AF9DE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IL12B &amp; IL23R polymorphisms</w:t>
            </w:r>
          </w:p>
        </w:tc>
        <w:tc>
          <w:tcPr>
            <w:tcW w:w="1304" w:type="dxa"/>
          </w:tcPr>
          <w:p w14:paraId="5D49B60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tl/>
              </w:rPr>
              <w:t>60</w:t>
            </w:r>
          </w:p>
        </w:tc>
        <w:tc>
          <w:tcPr>
            <w:tcW w:w="1285" w:type="dxa"/>
          </w:tcPr>
          <w:p w14:paraId="6FD928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Case-control</w:t>
            </w:r>
          </w:p>
        </w:tc>
        <w:tc>
          <w:tcPr>
            <w:tcW w:w="1332" w:type="dxa"/>
          </w:tcPr>
          <w:p w14:paraId="78E7F7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Iran</w:t>
            </w:r>
          </w:p>
        </w:tc>
        <w:tc>
          <w:tcPr>
            <w:tcW w:w="1202" w:type="dxa"/>
          </w:tcPr>
          <w:p w14:paraId="760D0F8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2020</w:t>
            </w:r>
          </w:p>
        </w:tc>
        <w:tc>
          <w:tcPr>
            <w:tcW w:w="1294" w:type="dxa"/>
          </w:tcPr>
          <w:p w14:paraId="6E1AA28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Tabatabaei</w:t>
            </w:r>
          </w:p>
        </w:tc>
      </w:tr>
      <w:tr w:rsidR="00237E2E" w:rsidRPr="00237E2E" w14:paraId="12F98032" w14:textId="77777777" w:rsidTr="00C07F8D">
        <w:tc>
          <w:tcPr>
            <w:tcW w:w="1879" w:type="dxa"/>
          </w:tcPr>
          <w:p w14:paraId="425332D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AA immunological profiling</w:t>
            </w:r>
          </w:p>
        </w:tc>
        <w:tc>
          <w:tcPr>
            <w:tcW w:w="1304" w:type="dxa"/>
          </w:tcPr>
          <w:p w14:paraId="0CD2799D" w14:textId="77777777" w:rsidR="00237E2E" w:rsidRPr="00237E2E" w:rsidRDefault="00237E2E" w:rsidP="00237E2E">
            <w:pPr>
              <w:rPr>
                <w:rFonts w:ascii="Times New Roman" w:hAnsi="Times New Roman" w:cs="Times New Roman"/>
                <w:sz w:val="24"/>
                <w:szCs w:val="24"/>
                <w:rtl/>
              </w:rPr>
            </w:pPr>
            <w:r w:rsidRPr="00237E2E">
              <w:rPr>
                <w:rFonts w:ascii="Times New Roman" w:hAnsi="Times New Roman" w:cs="Times New Roman"/>
                <w:b/>
                <w:bCs/>
                <w:sz w:val="24"/>
                <w:szCs w:val="24"/>
                <w:rtl/>
              </w:rPr>
              <w:t>22</w:t>
            </w:r>
          </w:p>
        </w:tc>
        <w:tc>
          <w:tcPr>
            <w:tcW w:w="1285" w:type="dxa"/>
          </w:tcPr>
          <w:p w14:paraId="01903A2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Cross-sectional</w:t>
            </w:r>
          </w:p>
        </w:tc>
        <w:tc>
          <w:tcPr>
            <w:tcW w:w="1332" w:type="dxa"/>
          </w:tcPr>
          <w:p w14:paraId="1513B3E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USA</w:t>
            </w:r>
          </w:p>
        </w:tc>
        <w:tc>
          <w:tcPr>
            <w:tcW w:w="1202" w:type="dxa"/>
          </w:tcPr>
          <w:p w14:paraId="2FE94E3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2015</w:t>
            </w:r>
          </w:p>
        </w:tc>
        <w:tc>
          <w:tcPr>
            <w:tcW w:w="1294" w:type="dxa"/>
          </w:tcPr>
          <w:p w14:paraId="246A09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Suárez-Fariñas</w:t>
            </w:r>
          </w:p>
        </w:tc>
      </w:tr>
    </w:tbl>
    <w:p w14:paraId="08B7C038" w14:textId="77777777" w:rsidR="00237E2E" w:rsidRPr="00237E2E" w:rsidRDefault="00237E2E" w:rsidP="00237E2E">
      <w:pPr>
        <w:spacing w:after="200" w:line="276" w:lineRule="auto"/>
        <w:rPr>
          <w:rFonts w:ascii="Cambria" w:eastAsia="MS Mincho" w:hAnsi="Cambria" w:cs="Times New Roman"/>
        </w:rPr>
      </w:pPr>
    </w:p>
    <w:p w14:paraId="0C55C919"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Hair Regrowth Outcomes</w:t>
      </w:r>
    </w:p>
    <w:p w14:paraId="52108E5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The effectiveness of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during studies varied. Partial regrowth in small case series was observed with SALT score improvement, but complete regrowth was not uniform. While in pediatric cases, partial regrowth occurred with dramatic SALT improvement from 36% to 82%, in another case report, it was observed to be ineffective in inhibiting progression of frontal fibrosing alopecia.</w:t>
      </w:r>
    </w:p>
    <w:p w14:paraId="6032C33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Complete rates of regrowth in larger systematic reviews varied substantially by treatment:</w:t>
      </w:r>
    </w:p>
    <w:p w14:paraId="1678F2E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Topical immunotherapy (SADBE): complete regrowth as high as 79.6%, and an average response rate of 53.8%.</w:t>
      </w:r>
    </w:p>
    <w:p w14:paraId="390B1F1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Light/laser therapy: complete regrowth 63.6%, mean response 52.6.</w:t>
      </w:r>
    </w:p>
    <w:p w14:paraId="7AB3D43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Anthralin/contact sensitization: diminished efficacy at 30–35% complete regrowth and mean response 30.8%, but it matches more stable responses and lower relapse rates (43.5%).</w:t>
      </w:r>
    </w:p>
    <w:p w14:paraId="5FE26581"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Vedolizumab was associated in some studies with paradoxical skin reactions (psoriasis, alopecia), but in some cases, it induced remission of skin manifestations, including positive hair outcomes.</w:t>
      </w:r>
    </w:p>
    <w:p w14:paraId="0B5CE001" w14:textId="77777777" w:rsidR="00237E2E" w:rsidRPr="00237E2E" w:rsidRDefault="00237E2E" w:rsidP="00237E2E">
      <w:pPr>
        <w:spacing w:after="200" w:line="276" w:lineRule="auto"/>
        <w:rPr>
          <w:rFonts w:ascii="Cambria" w:eastAsia="MS Mincho" w:hAnsi="Cambria" w:cs="Times New Roman"/>
        </w:rPr>
      </w:pPr>
    </w:p>
    <w:p w14:paraId="050A4D8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lastRenderedPageBreak/>
        <w:t>Table 2</w:t>
      </w:r>
      <w:r w:rsidRPr="00237E2E">
        <w:rPr>
          <w:rFonts w:ascii="Cambria" w:eastAsia="MS Mincho" w:hAnsi="Cambria" w:cs="Times New Roman"/>
        </w:rPr>
        <w:t xml:space="preserve"> summarizes efficacy outcomes across the included studies.</w:t>
      </w:r>
    </w:p>
    <w:tbl>
      <w:tblPr>
        <w:tblStyle w:val="TableGrid1"/>
        <w:tblW w:w="8698" w:type="dxa"/>
        <w:tblLook w:val="04A0" w:firstRow="1" w:lastRow="0" w:firstColumn="1" w:lastColumn="0" w:noHBand="0" w:noVBand="1"/>
      </w:tblPr>
      <w:tblGrid>
        <w:gridCol w:w="1684"/>
        <w:gridCol w:w="1536"/>
        <w:gridCol w:w="2430"/>
        <w:gridCol w:w="1671"/>
        <w:gridCol w:w="1377"/>
      </w:tblGrid>
      <w:tr w:rsidR="00237E2E" w:rsidRPr="00237E2E" w14:paraId="3A1C30E8" w14:textId="77777777" w:rsidTr="00C07F8D">
        <w:trPr>
          <w:trHeight w:val="345"/>
        </w:trPr>
        <w:tc>
          <w:tcPr>
            <w:tcW w:w="1878" w:type="dxa"/>
          </w:tcPr>
          <w:p w14:paraId="774DBC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Efficacy &amp; Safety</w:t>
            </w:r>
          </w:p>
        </w:tc>
        <w:tc>
          <w:tcPr>
            <w:tcW w:w="1054" w:type="dxa"/>
          </w:tcPr>
          <w:p w14:paraId="7C4F7AE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Side Effects</w:t>
            </w:r>
          </w:p>
        </w:tc>
        <w:tc>
          <w:tcPr>
            <w:tcW w:w="2766" w:type="dxa"/>
          </w:tcPr>
          <w:p w14:paraId="102BBA2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Relapse/Recurrence</w:t>
            </w:r>
          </w:p>
        </w:tc>
        <w:tc>
          <w:tcPr>
            <w:tcW w:w="1896" w:type="dxa"/>
          </w:tcPr>
          <w:p w14:paraId="78904A5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Hair Regrowth (Full/Partial)</w:t>
            </w:r>
          </w:p>
        </w:tc>
        <w:tc>
          <w:tcPr>
            <w:tcW w:w="1104" w:type="dxa"/>
          </w:tcPr>
          <w:p w14:paraId="5281015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First Author</w:t>
            </w:r>
          </w:p>
        </w:tc>
      </w:tr>
      <w:tr w:rsidR="00237E2E" w:rsidRPr="00237E2E" w14:paraId="1284C3C7" w14:textId="77777777" w:rsidTr="00C07F8D">
        <w:trPr>
          <w:trHeight w:val="368"/>
        </w:trPr>
        <w:tc>
          <w:tcPr>
            <w:tcW w:w="1878" w:type="dxa"/>
          </w:tcPr>
          <w:p w14:paraId="668CFB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Ustekinumab effective in some pediatric cases</w:t>
            </w:r>
          </w:p>
        </w:tc>
        <w:tc>
          <w:tcPr>
            <w:tcW w:w="1054" w:type="dxa"/>
          </w:tcPr>
          <w:p w14:paraId="49A34C9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None significant</w:t>
            </w:r>
          </w:p>
        </w:tc>
        <w:tc>
          <w:tcPr>
            <w:tcW w:w="2766" w:type="dxa"/>
          </w:tcPr>
          <w:p w14:paraId="18BF2F0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896" w:type="dxa"/>
          </w:tcPr>
          <w:p w14:paraId="797AF88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Partial regrowth, SALT ↑36→82</w:t>
            </w:r>
          </w:p>
        </w:tc>
        <w:tc>
          <w:tcPr>
            <w:tcW w:w="1104" w:type="dxa"/>
          </w:tcPr>
          <w:p w14:paraId="7D9D319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Aleisa</w:t>
            </w:r>
          </w:p>
        </w:tc>
      </w:tr>
      <w:tr w:rsidR="00237E2E" w:rsidRPr="00237E2E" w14:paraId="0319EB52" w14:textId="77777777" w:rsidTr="00C07F8D">
        <w:trPr>
          <w:trHeight w:val="322"/>
        </w:trPr>
        <w:tc>
          <w:tcPr>
            <w:tcW w:w="1878" w:type="dxa"/>
          </w:tcPr>
          <w:p w14:paraId="0A57734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Ineffective for FFA</w:t>
            </w:r>
          </w:p>
        </w:tc>
        <w:tc>
          <w:tcPr>
            <w:tcW w:w="1054" w:type="dxa"/>
          </w:tcPr>
          <w:p w14:paraId="57ED1C7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Alopecia progression</w:t>
            </w:r>
          </w:p>
        </w:tc>
        <w:tc>
          <w:tcPr>
            <w:tcW w:w="2766" w:type="dxa"/>
          </w:tcPr>
          <w:p w14:paraId="3E68EBC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5A28F04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regrowth observed</w:t>
            </w:r>
          </w:p>
        </w:tc>
        <w:tc>
          <w:tcPr>
            <w:tcW w:w="1104" w:type="dxa"/>
          </w:tcPr>
          <w:p w14:paraId="6F96B13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King</w:t>
            </w:r>
          </w:p>
        </w:tc>
      </w:tr>
      <w:tr w:rsidR="00237E2E" w:rsidRPr="00237E2E" w14:paraId="5C228A11" w14:textId="77777777" w:rsidTr="00C07F8D">
        <w:trPr>
          <w:trHeight w:val="322"/>
        </w:trPr>
        <w:tc>
          <w:tcPr>
            <w:tcW w:w="1878" w:type="dxa"/>
          </w:tcPr>
          <w:p w14:paraId="146555F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High efficacy but relapse common</w:t>
            </w:r>
          </w:p>
        </w:tc>
        <w:tc>
          <w:tcPr>
            <w:tcW w:w="1054" w:type="dxa"/>
          </w:tcPr>
          <w:p w14:paraId="0E9FF93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Severe eczema with DPCP</w:t>
            </w:r>
          </w:p>
        </w:tc>
        <w:tc>
          <w:tcPr>
            <w:tcW w:w="2766" w:type="dxa"/>
          </w:tcPr>
          <w:p w14:paraId="2A298A7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Recurrence after DPCP reported</w:t>
            </w:r>
          </w:p>
        </w:tc>
        <w:tc>
          <w:tcPr>
            <w:tcW w:w="1896" w:type="dxa"/>
          </w:tcPr>
          <w:p w14:paraId="16B150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32.3% full regrowth; 65% any regrowth</w:t>
            </w:r>
          </w:p>
        </w:tc>
        <w:tc>
          <w:tcPr>
            <w:tcW w:w="1104" w:type="dxa"/>
          </w:tcPr>
          <w:p w14:paraId="2B5E4FA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sz w:val="24"/>
                <w:szCs w:val="24"/>
                <w:rtl/>
              </w:rPr>
              <w:t>Lee</w:t>
            </w:r>
          </w:p>
        </w:tc>
      </w:tr>
      <w:tr w:rsidR="00237E2E" w:rsidRPr="00237E2E" w14:paraId="69607C7A" w14:textId="77777777" w:rsidTr="00C07F8D">
        <w:trPr>
          <w:trHeight w:val="322"/>
        </w:trPr>
        <w:tc>
          <w:tcPr>
            <w:tcW w:w="1878" w:type="dxa"/>
          </w:tcPr>
          <w:p w14:paraId="341784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and laser most effective</w:t>
            </w:r>
          </w:p>
        </w:tc>
        <w:tc>
          <w:tcPr>
            <w:tcW w:w="1054" w:type="dxa"/>
          </w:tcPr>
          <w:p w14:paraId="053739B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Contact dermatitis, erythema</w:t>
            </w:r>
          </w:p>
        </w:tc>
        <w:tc>
          <w:tcPr>
            <w:tcW w:w="2766" w:type="dxa"/>
          </w:tcPr>
          <w:p w14:paraId="32AE339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relapse 57%; Anthralin 43%</w:t>
            </w:r>
          </w:p>
        </w:tc>
        <w:tc>
          <w:tcPr>
            <w:tcW w:w="1896" w:type="dxa"/>
          </w:tcPr>
          <w:p w14:paraId="5FFE095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SADBE 79.6%; Laser 63.6%; Anthralin 30%</w:t>
            </w:r>
          </w:p>
        </w:tc>
        <w:tc>
          <w:tcPr>
            <w:tcW w:w="1104" w:type="dxa"/>
          </w:tcPr>
          <w:p w14:paraId="2FB90E25"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Behrangi</w:t>
            </w:r>
            <w:proofErr w:type="spellEnd"/>
          </w:p>
        </w:tc>
      </w:tr>
      <w:tr w:rsidR="00237E2E" w:rsidRPr="00237E2E" w14:paraId="7820749E" w14:textId="77777777" w:rsidTr="00C07F8D">
        <w:trPr>
          <w:trHeight w:val="322"/>
        </w:trPr>
        <w:tc>
          <w:tcPr>
            <w:tcW w:w="1878" w:type="dxa"/>
          </w:tcPr>
          <w:p w14:paraId="359448C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Moderate efficacy overall</w:t>
            </w:r>
          </w:p>
        </w:tc>
        <w:tc>
          <w:tcPr>
            <w:tcW w:w="1054" w:type="dxa"/>
          </w:tcPr>
          <w:p w14:paraId="14B81EA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Irritation, pruritus</w:t>
            </w:r>
          </w:p>
        </w:tc>
        <w:tc>
          <w:tcPr>
            <w:tcW w:w="2766" w:type="dxa"/>
          </w:tcPr>
          <w:p w14:paraId="767CE73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consistent</w:t>
            </w:r>
          </w:p>
        </w:tc>
        <w:tc>
          <w:tcPr>
            <w:tcW w:w="1896" w:type="dxa"/>
          </w:tcPr>
          <w:p w14:paraId="30C0626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Ranged 10–70% depending on therapy</w:t>
            </w:r>
          </w:p>
        </w:tc>
        <w:tc>
          <w:tcPr>
            <w:tcW w:w="1104" w:type="dxa"/>
          </w:tcPr>
          <w:p w14:paraId="5F8B253D" w14:textId="77777777" w:rsidR="00237E2E" w:rsidRPr="00237E2E" w:rsidRDefault="00237E2E" w:rsidP="00237E2E">
            <w:pPr>
              <w:rPr>
                <w:rFonts w:ascii="Times New Roman" w:hAnsi="Times New Roman" w:cs="Times New Roman"/>
                <w:sz w:val="24"/>
                <w:szCs w:val="24"/>
              </w:rPr>
            </w:pPr>
            <w:proofErr w:type="spellStart"/>
            <w:r w:rsidRPr="00237E2E">
              <w:rPr>
                <w:rFonts w:ascii="Times New Roman" w:hAnsi="Times New Roman" w:cs="Times New Roman"/>
                <w:b/>
                <w:bCs/>
                <w:sz w:val="24"/>
                <w:szCs w:val="24"/>
              </w:rPr>
              <w:t>Waśkiel-Burnat</w:t>
            </w:r>
            <w:proofErr w:type="spellEnd"/>
          </w:p>
        </w:tc>
      </w:tr>
      <w:tr w:rsidR="00237E2E" w:rsidRPr="00237E2E" w14:paraId="01E5E226" w14:textId="77777777" w:rsidTr="00C07F8D">
        <w:trPr>
          <w:trHeight w:val="322"/>
        </w:trPr>
        <w:tc>
          <w:tcPr>
            <w:tcW w:w="1878" w:type="dxa"/>
          </w:tcPr>
          <w:p w14:paraId="1026BAFA"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Considered moderately effective</w:t>
            </w:r>
          </w:p>
        </w:tc>
        <w:tc>
          <w:tcPr>
            <w:tcW w:w="1054" w:type="dxa"/>
          </w:tcPr>
          <w:p w14:paraId="38DFB9C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Skin staining, irritation</w:t>
            </w:r>
          </w:p>
        </w:tc>
        <w:tc>
          <w:tcPr>
            <w:tcW w:w="2766" w:type="dxa"/>
          </w:tcPr>
          <w:p w14:paraId="79E5C5A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Some relapse</w:t>
            </w:r>
          </w:p>
        </w:tc>
        <w:tc>
          <w:tcPr>
            <w:tcW w:w="1896" w:type="dxa"/>
          </w:tcPr>
          <w:p w14:paraId="7EDD704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Anthralin: complete response 9.5–64%</w:t>
            </w:r>
          </w:p>
        </w:tc>
        <w:tc>
          <w:tcPr>
            <w:tcW w:w="1104" w:type="dxa"/>
          </w:tcPr>
          <w:p w14:paraId="1028A24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Barton</w:t>
            </w:r>
          </w:p>
        </w:tc>
      </w:tr>
      <w:tr w:rsidR="00237E2E" w:rsidRPr="00237E2E" w14:paraId="2563BCE4" w14:textId="77777777" w:rsidTr="00C07F8D">
        <w:trPr>
          <w:trHeight w:val="322"/>
        </w:trPr>
        <w:tc>
          <w:tcPr>
            <w:tcW w:w="1878" w:type="dxa"/>
          </w:tcPr>
          <w:p w14:paraId="6B217E4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Favorable outcomes</w:t>
            </w:r>
          </w:p>
        </w:tc>
        <w:tc>
          <w:tcPr>
            <w:tcW w:w="1054" w:type="dxa"/>
          </w:tcPr>
          <w:p w14:paraId="7EF7608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Facial paralysis (rare)</w:t>
            </w:r>
          </w:p>
        </w:tc>
        <w:tc>
          <w:tcPr>
            <w:tcW w:w="2766" w:type="dxa"/>
          </w:tcPr>
          <w:p w14:paraId="733E5AD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896" w:type="dxa"/>
          </w:tcPr>
          <w:p w14:paraId="3A2F5DB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Full regrowth in 2/2 cases</w:t>
            </w:r>
          </w:p>
        </w:tc>
        <w:tc>
          <w:tcPr>
            <w:tcW w:w="1104" w:type="dxa"/>
          </w:tcPr>
          <w:p w14:paraId="462C1D1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Ezzedine</w:t>
            </w:r>
          </w:p>
        </w:tc>
      </w:tr>
      <w:tr w:rsidR="00237E2E" w:rsidRPr="00237E2E" w14:paraId="3CA2784E" w14:textId="77777777" w:rsidTr="00C07F8D">
        <w:trPr>
          <w:trHeight w:val="322"/>
        </w:trPr>
        <w:tc>
          <w:tcPr>
            <w:tcW w:w="1878" w:type="dxa"/>
          </w:tcPr>
          <w:p w14:paraId="7E5234A4"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Tofacitinib effective in refractory cases</w:t>
            </w:r>
          </w:p>
        </w:tc>
        <w:tc>
          <w:tcPr>
            <w:tcW w:w="1054" w:type="dxa"/>
          </w:tcPr>
          <w:p w14:paraId="32BA7229"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None</w:t>
            </w:r>
          </w:p>
        </w:tc>
        <w:tc>
          <w:tcPr>
            <w:tcW w:w="2766" w:type="dxa"/>
          </w:tcPr>
          <w:p w14:paraId="35BA6F07"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relapse reported</w:t>
            </w:r>
          </w:p>
        </w:tc>
        <w:tc>
          <w:tcPr>
            <w:tcW w:w="1896" w:type="dxa"/>
          </w:tcPr>
          <w:p w14:paraId="4C423B1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Case 1: Complete regrowth; Case 2: Partial</w:t>
            </w:r>
          </w:p>
        </w:tc>
        <w:tc>
          <w:tcPr>
            <w:tcW w:w="1104" w:type="dxa"/>
          </w:tcPr>
          <w:p w14:paraId="23E2534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Kikuchi</w:t>
            </w:r>
          </w:p>
        </w:tc>
      </w:tr>
      <w:tr w:rsidR="00237E2E" w:rsidRPr="00237E2E" w14:paraId="45863068" w14:textId="77777777" w:rsidTr="00C07F8D">
        <w:trPr>
          <w:trHeight w:val="322"/>
        </w:trPr>
        <w:tc>
          <w:tcPr>
            <w:tcW w:w="1878" w:type="dxa"/>
          </w:tcPr>
          <w:p w14:paraId="3FEE1F2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Improved outcomes after switch</w:t>
            </w:r>
          </w:p>
        </w:tc>
        <w:tc>
          <w:tcPr>
            <w:tcW w:w="1054" w:type="dxa"/>
          </w:tcPr>
          <w:p w14:paraId="2D2EEF3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Psoriasiform dermatitis</w:t>
            </w:r>
          </w:p>
        </w:tc>
        <w:tc>
          <w:tcPr>
            <w:tcW w:w="2766" w:type="dxa"/>
          </w:tcPr>
          <w:p w14:paraId="7C9B0F9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relapse data</w:t>
            </w:r>
          </w:p>
        </w:tc>
        <w:tc>
          <w:tcPr>
            <w:tcW w:w="1896" w:type="dxa"/>
          </w:tcPr>
          <w:p w14:paraId="63B1865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Not reported</w:t>
            </w:r>
          </w:p>
        </w:tc>
        <w:tc>
          <w:tcPr>
            <w:tcW w:w="1104" w:type="dxa"/>
          </w:tcPr>
          <w:p w14:paraId="2C7CA9AE"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Dolinger</w:t>
            </w:r>
          </w:p>
        </w:tc>
      </w:tr>
      <w:tr w:rsidR="00237E2E" w:rsidRPr="00237E2E" w14:paraId="35F7962A" w14:textId="77777777" w:rsidTr="00C07F8D">
        <w:trPr>
          <w:trHeight w:val="322"/>
        </w:trPr>
        <w:tc>
          <w:tcPr>
            <w:tcW w:w="1878" w:type="dxa"/>
          </w:tcPr>
          <w:p w14:paraId="47FBE87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Mixed efficacy</w:t>
            </w:r>
          </w:p>
        </w:tc>
        <w:tc>
          <w:tcPr>
            <w:tcW w:w="1054" w:type="dxa"/>
          </w:tcPr>
          <w:p w14:paraId="2611D92D"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Alopecia worsening</w:t>
            </w:r>
          </w:p>
        </w:tc>
        <w:tc>
          <w:tcPr>
            <w:tcW w:w="2766" w:type="dxa"/>
          </w:tcPr>
          <w:p w14:paraId="15C552D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4E06C9A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Partial response only</w:t>
            </w:r>
          </w:p>
        </w:tc>
        <w:tc>
          <w:tcPr>
            <w:tcW w:w="1104" w:type="dxa"/>
          </w:tcPr>
          <w:p w14:paraId="75721E0C"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Verros</w:t>
            </w:r>
          </w:p>
        </w:tc>
      </w:tr>
      <w:tr w:rsidR="00237E2E" w:rsidRPr="00237E2E" w14:paraId="05CE5DEB" w14:textId="77777777" w:rsidTr="00C07F8D">
        <w:trPr>
          <w:trHeight w:val="322"/>
        </w:trPr>
        <w:tc>
          <w:tcPr>
            <w:tcW w:w="1878" w:type="dxa"/>
          </w:tcPr>
          <w:p w14:paraId="7648A0FF"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Genetic study only</w:t>
            </w:r>
          </w:p>
        </w:tc>
        <w:tc>
          <w:tcPr>
            <w:tcW w:w="1054" w:type="dxa"/>
          </w:tcPr>
          <w:p w14:paraId="5B554B60"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2766" w:type="dxa"/>
          </w:tcPr>
          <w:p w14:paraId="72397BB6"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224BED28"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hair regrowth outcomes</w:t>
            </w:r>
          </w:p>
        </w:tc>
        <w:tc>
          <w:tcPr>
            <w:tcW w:w="1104" w:type="dxa"/>
          </w:tcPr>
          <w:p w14:paraId="55D5CAB5"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Tabatabaei</w:t>
            </w:r>
          </w:p>
        </w:tc>
      </w:tr>
      <w:tr w:rsidR="00237E2E" w:rsidRPr="00237E2E" w14:paraId="04E0BEE2" w14:textId="77777777" w:rsidTr="00C07F8D">
        <w:trPr>
          <w:trHeight w:val="322"/>
        </w:trPr>
        <w:tc>
          <w:tcPr>
            <w:tcW w:w="1878" w:type="dxa"/>
          </w:tcPr>
          <w:p w14:paraId="58F5C3E1"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lastRenderedPageBreak/>
              <w:t>Biomarker study</w:t>
            </w:r>
          </w:p>
        </w:tc>
        <w:tc>
          <w:tcPr>
            <w:tcW w:w="1054" w:type="dxa"/>
          </w:tcPr>
          <w:p w14:paraId="676881D3"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2766" w:type="dxa"/>
          </w:tcPr>
          <w:p w14:paraId="2F497BD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NA</w:t>
            </w:r>
          </w:p>
        </w:tc>
        <w:tc>
          <w:tcPr>
            <w:tcW w:w="1896" w:type="dxa"/>
          </w:tcPr>
          <w:p w14:paraId="3121523B"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No clinical regrowth data</w:t>
            </w:r>
          </w:p>
        </w:tc>
        <w:tc>
          <w:tcPr>
            <w:tcW w:w="1104" w:type="dxa"/>
          </w:tcPr>
          <w:p w14:paraId="665C7AD2" w14:textId="77777777" w:rsidR="00237E2E" w:rsidRPr="00237E2E" w:rsidRDefault="00237E2E" w:rsidP="00237E2E">
            <w:pPr>
              <w:rPr>
                <w:rFonts w:ascii="Times New Roman" w:hAnsi="Times New Roman" w:cs="Times New Roman"/>
                <w:sz w:val="24"/>
                <w:szCs w:val="24"/>
              </w:rPr>
            </w:pPr>
            <w:r w:rsidRPr="00237E2E">
              <w:rPr>
                <w:rFonts w:ascii="Times New Roman" w:hAnsi="Times New Roman" w:cs="Times New Roman"/>
                <w:b/>
                <w:bCs/>
                <w:sz w:val="24"/>
                <w:szCs w:val="24"/>
              </w:rPr>
              <w:t>Suárez-Fariñas</w:t>
            </w:r>
          </w:p>
        </w:tc>
      </w:tr>
    </w:tbl>
    <w:p w14:paraId="3D07897E" w14:textId="77777777" w:rsidR="00237E2E" w:rsidRPr="00237E2E" w:rsidRDefault="00237E2E" w:rsidP="00237E2E">
      <w:pPr>
        <w:spacing w:after="200" w:line="276" w:lineRule="auto"/>
        <w:rPr>
          <w:rFonts w:ascii="Cambria" w:eastAsia="MS Mincho" w:hAnsi="Cambria" w:cs="Times New Roman"/>
        </w:rPr>
      </w:pPr>
    </w:p>
    <w:p w14:paraId="653272C0" w14:textId="77777777" w:rsidR="00237E2E" w:rsidRPr="00237E2E" w:rsidRDefault="00237E2E" w:rsidP="00237E2E">
      <w:pPr>
        <w:spacing w:after="200" w:line="276" w:lineRule="auto"/>
        <w:rPr>
          <w:rFonts w:ascii="Cambria" w:eastAsia="MS Mincho" w:hAnsi="Cambria" w:cs="Times New Roman"/>
        </w:rPr>
      </w:pPr>
    </w:p>
    <w:p w14:paraId="5B6910A2" w14:textId="77777777" w:rsidR="00237E2E" w:rsidRPr="00237E2E" w:rsidRDefault="00237E2E" w:rsidP="00237E2E">
      <w:pPr>
        <w:spacing w:after="200" w:line="276" w:lineRule="auto"/>
        <w:rPr>
          <w:rFonts w:ascii="Cambria" w:eastAsia="MS Mincho" w:hAnsi="Cambria" w:cs="Times New Roman"/>
        </w:rPr>
      </w:pPr>
    </w:p>
    <w:p w14:paraId="68AFEB5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Recurrence and Relapse Rates</w:t>
      </w:r>
    </w:p>
    <w:p w14:paraId="3FE5712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Consistent reporting of relapse rates did not occur. Relapse under topical immunotherapy was relatively high (57%), in contrast to lower relapse rates in anthralin/contact dermatitis (43.5%). Ustekinumab cases did not have much long-term follow-up, not allowing conclusions to be drawn as to durability of regrowth. Vedolizumab-associated cases varied in outcome: while some patients had persistent remission, others had paradoxical psoriasis and hair loss despite continued medication.</w:t>
      </w:r>
    </w:p>
    <w:p w14:paraId="6032D69C" w14:textId="77777777" w:rsidR="00237E2E" w:rsidRPr="00237E2E" w:rsidRDefault="00237E2E" w:rsidP="00237E2E">
      <w:pPr>
        <w:spacing w:after="200" w:line="276" w:lineRule="auto"/>
        <w:rPr>
          <w:rFonts w:ascii="Cambria" w:eastAsia="MS Mincho" w:hAnsi="Cambria" w:cs="Times New Roman"/>
        </w:rPr>
      </w:pPr>
    </w:p>
    <w:p w14:paraId="195FF8AA"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Meta-Analysis Results</w:t>
      </w:r>
    </w:p>
    <w:p w14:paraId="11D34B0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When combining homogeneous data (mostly from systematic reviews and cohort studies):</w:t>
      </w:r>
    </w:p>
    <w:p w14:paraId="71F1368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Regrowth of hair was noted in 65.5% (95% CI, 59.1–71.3).</w:t>
      </w:r>
    </w:p>
    <w:p w14:paraId="4DC50E90"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SALT ≥50 achievement was significantly more likely during active therapy compared to control participants (OR = 3.05, 95% CI 2.26–4.11).</w:t>
      </w:r>
    </w:p>
    <w:p w14:paraId="1BCC958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The relapse-free survival could not be combined due to heterogeneity.</w:t>
      </w:r>
    </w:p>
    <w:p w14:paraId="12917FD7"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Statistical heterogeneity was moderate to high (I² &gt; 50% in most analyses), reflecting diversity of interventions and study designs.</w:t>
      </w:r>
    </w:p>
    <w:p w14:paraId="72E21120" w14:textId="77777777" w:rsidR="00237E2E" w:rsidRPr="00237E2E" w:rsidRDefault="00237E2E" w:rsidP="00237E2E">
      <w:pPr>
        <w:spacing w:after="200" w:line="276" w:lineRule="auto"/>
        <w:rPr>
          <w:rFonts w:ascii="Cambria" w:eastAsia="MS Mincho" w:hAnsi="Cambria" w:cs="Times New Roman"/>
        </w:rPr>
      </w:pPr>
    </w:p>
    <w:p w14:paraId="65B7F767"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Safety Outcomes</w:t>
      </w:r>
    </w:p>
    <w:p w14:paraId="5D9B112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Adverse events included:</w:t>
      </w:r>
    </w:p>
    <w:p w14:paraId="20ED936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Ustekinumab: worsening of alopecia, paradoxical psoriasis, and scalp.</w:t>
      </w:r>
    </w:p>
    <w:p w14:paraId="553CC3E3"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Vedolizumab: paradoxical severe psoriasis in rare cases, while other studies noted favorable tolerance and remission of alopecia.</w:t>
      </w:r>
    </w:p>
    <w:p w14:paraId="1733C3C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Topical immunotherapy: eczema, erythema, pruritus, and contact dermatitis.</w:t>
      </w:r>
    </w:p>
    <w:p w14:paraId="37EA0A0C"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Anthralin: skin discoloration, localized irritation, and occasional lymphadenopathy.</w:t>
      </w:r>
    </w:p>
    <w:p w14:paraId="28905204"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lastRenderedPageBreak/>
        <w:t>Overall, there were no life-threatening adverse events reported. Therapies were in most cases safe and tolerable in pediatric patients.</w:t>
      </w:r>
    </w:p>
    <w:p w14:paraId="43A72D42" w14:textId="77777777" w:rsidR="00237E2E" w:rsidRPr="00237E2E" w:rsidRDefault="00237E2E" w:rsidP="00237E2E">
      <w:pPr>
        <w:spacing w:after="200" w:line="276" w:lineRule="auto"/>
        <w:rPr>
          <w:rFonts w:ascii="Cambria" w:eastAsia="MS Mincho" w:hAnsi="Cambria" w:cs="Times New Roman"/>
        </w:rPr>
      </w:pPr>
    </w:p>
    <w:p w14:paraId="7F801397"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Risk of Bias Assessment</w:t>
      </w:r>
    </w:p>
    <w:p w14:paraId="6F7C872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With the MINORS tool, non-comparative studies had 8-11/16 and comparative studies 13-23/24 scores, indicating moderate risk of bias, notably small sample sizes, retrospective studies, and inadequate prospective data gathering. Systematic reviews and meta-analyses alone reported higher methodology, although heterogeneity was still an issue.</w:t>
      </w:r>
    </w:p>
    <w:p w14:paraId="1759FAC0" w14:textId="77777777" w:rsidR="00237E2E" w:rsidRPr="00237E2E" w:rsidRDefault="00237E2E" w:rsidP="00237E2E">
      <w:pPr>
        <w:spacing w:after="200" w:line="276" w:lineRule="auto"/>
        <w:rPr>
          <w:rFonts w:ascii="Cambria" w:eastAsia="MS Mincho" w:hAnsi="Cambria" w:cs="Times New Roman"/>
        </w:rPr>
      </w:pPr>
    </w:p>
    <w:p w14:paraId="71F55CE8"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Summary:</w:t>
      </w:r>
    </w:p>
    <w:p w14:paraId="6CFA2338"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Ustekinumab and vedolizumab have both positive and negative evidence regarding hair regrowth in alopecia areata in patients with UC, and topical immunotherapy and laser therapy have demonstrated optimal regrowth of &gt;60%. Relapse is frequent, especially following immunotherapy, and anthralin can provide more stable responses at lower rates of regrowth. The biologics have variable responses, and paradoxical reaction risk needs to be factored in treatment plans in select cases.</w:t>
      </w:r>
    </w:p>
    <w:p w14:paraId="53260DC2" w14:textId="77777777" w:rsidR="00237E2E" w:rsidRPr="00237E2E" w:rsidRDefault="00237E2E" w:rsidP="00237E2E">
      <w:pPr>
        <w:spacing w:after="200" w:line="276" w:lineRule="auto"/>
        <w:rPr>
          <w:rFonts w:ascii="Cambria" w:eastAsia="MS Mincho" w:hAnsi="Cambria" w:cs="Times New Roman"/>
        </w:rPr>
      </w:pPr>
    </w:p>
    <w:p w14:paraId="2AFA5BBB" w14:textId="77777777" w:rsidR="00237E2E" w:rsidRDefault="00237E2E" w:rsidP="00237E2E">
      <w:pPr>
        <w:spacing w:after="200" w:line="276" w:lineRule="auto"/>
        <w:rPr>
          <w:rFonts w:ascii="Cambria" w:eastAsia="MS Mincho" w:hAnsi="Cambria" w:cs="Times New Roman"/>
          <w:b/>
          <w:bCs/>
        </w:rPr>
      </w:pPr>
    </w:p>
    <w:p w14:paraId="6EBD640B" w14:textId="10E48CCD"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SADBE (Topical Immunotherapy):</w:t>
      </w:r>
    </w:p>
    <w:p w14:paraId="72B3D9F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79.6%</w:t>
      </w:r>
    </w:p>
    <w:p w14:paraId="78BE3FE2"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rPr>
        <w:t>•</w:t>
      </w:r>
      <w:r w:rsidRPr="00237E2E">
        <w:rPr>
          <w:rFonts w:ascii="Cambria" w:eastAsia="MS Mincho" w:hAnsi="Cambria" w:cs="Times New Roman"/>
        </w:rPr>
        <w:tab/>
        <w:t xml:space="preserve">Average response: </w:t>
      </w:r>
      <w:r w:rsidRPr="00237E2E">
        <w:rPr>
          <w:rFonts w:ascii="Cambria" w:eastAsia="MS Mincho" w:hAnsi="Cambria" w:cs="Times New Roman"/>
          <w:b/>
          <w:bCs/>
        </w:rPr>
        <w:t>53.8%</w:t>
      </w:r>
    </w:p>
    <w:p w14:paraId="2F4C893F"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Laser/Light Therapy:</w:t>
      </w:r>
    </w:p>
    <w:p w14:paraId="2639F0A2"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63.6%</w:t>
      </w:r>
    </w:p>
    <w:p w14:paraId="17D139EA"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Average response: </w:t>
      </w:r>
      <w:r w:rsidRPr="00237E2E">
        <w:rPr>
          <w:rFonts w:ascii="Cambria" w:eastAsia="MS Mincho" w:hAnsi="Cambria" w:cs="Times New Roman"/>
          <w:b/>
          <w:bCs/>
        </w:rPr>
        <w:t>52.6%</w:t>
      </w:r>
    </w:p>
    <w:p w14:paraId="4730D61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b/>
          <w:bCs/>
        </w:rPr>
        <w:t>Anthralin (Contact Sensitization):</w:t>
      </w:r>
    </w:p>
    <w:p w14:paraId="3791D96B" w14:textId="7F3B01DB"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w:t>
      </w:r>
      <w:r w:rsidRPr="00237E2E">
        <w:rPr>
          <w:rFonts w:ascii="Cambria" w:eastAsia="MS Mincho" w:hAnsi="Cambria" w:cs="Times New Roman"/>
        </w:rPr>
        <w:tab/>
        <w:t xml:space="preserve">Complete regrowth: </w:t>
      </w:r>
      <w:r w:rsidRPr="00237E2E">
        <w:rPr>
          <w:rFonts w:ascii="Cambria" w:eastAsia="MS Mincho" w:hAnsi="Cambria" w:cs="Times New Roman"/>
          <w:b/>
          <w:bCs/>
        </w:rPr>
        <w:t>30%</w:t>
      </w:r>
    </w:p>
    <w:p w14:paraId="714EA606" w14:textId="1532894C" w:rsidR="00237E2E" w:rsidRPr="00237E2E" w:rsidRDefault="00237E2E" w:rsidP="00237E2E">
      <w:pPr>
        <w:spacing w:after="200" w:line="276" w:lineRule="auto"/>
        <w:rPr>
          <w:rFonts w:ascii="Cambria" w:eastAsia="MS Mincho" w:hAnsi="Cambria" w:cs="Times New Roman"/>
        </w:rPr>
      </w:pPr>
      <w:r w:rsidRPr="00237E2E">
        <w:rPr>
          <w:rFonts w:ascii="Times New Roman" w:eastAsia="MS Mincho" w:hAnsi="Times New Roman" w:cs="Times New Roman"/>
          <w:noProof/>
          <w:sz w:val="24"/>
          <w:szCs w:val="24"/>
          <w:rtl/>
          <w:lang w:val="ar-SA"/>
          <w14:ligatures w14:val="standardContextual"/>
        </w:rPr>
        <w:lastRenderedPageBreak/>
        <w:drawing>
          <wp:anchor distT="0" distB="0" distL="114300" distR="114300" simplePos="0" relativeHeight="251659264" behindDoc="0" locked="0" layoutInCell="1" allowOverlap="1" wp14:anchorId="6F546BCA" wp14:editId="06077C47">
            <wp:simplePos x="0" y="0"/>
            <wp:positionH relativeFrom="margin">
              <wp:posOffset>514350</wp:posOffset>
            </wp:positionH>
            <wp:positionV relativeFrom="paragraph">
              <wp:posOffset>327660</wp:posOffset>
            </wp:positionV>
            <wp:extent cx="2863715" cy="2038350"/>
            <wp:effectExtent l="0" t="0" r="0" b="0"/>
            <wp:wrapTopAndBottom/>
            <wp:docPr id="121412694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26949" name="صورة 12141269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4715" cy="2039062"/>
                    </a:xfrm>
                    <a:prstGeom prst="rect">
                      <a:avLst/>
                    </a:prstGeom>
                  </pic:spPr>
                </pic:pic>
              </a:graphicData>
            </a:graphic>
            <wp14:sizeRelH relativeFrom="margin">
              <wp14:pctWidth>0</wp14:pctWidth>
            </wp14:sizeRelH>
            <wp14:sizeRelV relativeFrom="margin">
              <wp14:pctHeight>0</wp14:pctHeight>
            </wp14:sizeRelV>
          </wp:anchor>
        </w:drawing>
      </w:r>
      <w:r w:rsidRPr="00237E2E">
        <w:rPr>
          <w:rFonts w:ascii="Cambria" w:eastAsia="MS Mincho" w:hAnsi="Cambria" w:cs="Times New Roman"/>
        </w:rPr>
        <w:t>•</w:t>
      </w:r>
      <w:r w:rsidRPr="00237E2E">
        <w:rPr>
          <w:rFonts w:ascii="Cambria" w:eastAsia="MS Mincho" w:hAnsi="Cambria" w:cs="Times New Roman"/>
        </w:rPr>
        <w:tab/>
        <w:t xml:space="preserve">Average response: </w:t>
      </w:r>
      <w:r w:rsidRPr="00237E2E">
        <w:rPr>
          <w:rFonts w:ascii="Cambria" w:eastAsia="MS Mincho" w:hAnsi="Cambria" w:cs="Times New Roman"/>
          <w:b/>
          <w:bCs/>
        </w:rPr>
        <w:t>30.8%</w:t>
      </w:r>
    </w:p>
    <w:p w14:paraId="383585FC" w14:textId="77777777" w:rsidR="0003233E" w:rsidRDefault="0003233E" w:rsidP="00237E2E">
      <w:pPr>
        <w:spacing w:after="200" w:line="276" w:lineRule="auto"/>
        <w:rPr>
          <w:rFonts w:ascii="Cambria" w:eastAsia="MS Mincho" w:hAnsi="Cambria" w:cs="Times New Roman"/>
          <w:b/>
          <w:bCs/>
        </w:rPr>
      </w:pPr>
      <w:r w:rsidRPr="0003233E">
        <w:rPr>
          <w:rFonts w:ascii="Cambria" w:eastAsia="MS Mincho" w:hAnsi="Cambria" w:cs="Times New Roman"/>
          <w:b/>
          <w:bCs/>
        </w:rPr>
        <w:t>Figure 1. Complete and Average Hair Regrowth by Therapy</w:t>
      </w:r>
    </w:p>
    <w:p w14:paraId="6F8BACDA" w14:textId="39742829"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b/>
        <w:t>•</w:t>
      </w:r>
      <w:r w:rsidRPr="00237E2E">
        <w:rPr>
          <w:rFonts w:ascii="Cambria" w:eastAsia="MS Mincho" w:hAnsi="Cambria" w:cs="Times New Roman"/>
        </w:rPr>
        <w:tab/>
        <w:t xml:space="preserve">SADBE (Topical Immunotherapy): Average response </w:t>
      </w:r>
      <w:r w:rsidRPr="00237E2E">
        <w:rPr>
          <w:rFonts w:ascii="Cambria" w:eastAsia="MS Mincho" w:hAnsi="Cambria" w:cs="Times New Roman"/>
          <w:b/>
          <w:bCs/>
        </w:rPr>
        <w:t>53.8%</w:t>
      </w:r>
    </w:p>
    <w:p w14:paraId="5C730D0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b/>
        <w:t>•</w:t>
      </w:r>
      <w:r w:rsidRPr="00237E2E">
        <w:rPr>
          <w:rFonts w:ascii="Cambria" w:eastAsia="MS Mincho" w:hAnsi="Cambria" w:cs="Times New Roman"/>
        </w:rPr>
        <w:tab/>
        <w:t xml:space="preserve">Laser/Light Therapy: Average response </w:t>
      </w:r>
      <w:r w:rsidRPr="00237E2E">
        <w:rPr>
          <w:rFonts w:ascii="Cambria" w:eastAsia="MS Mincho" w:hAnsi="Cambria" w:cs="Times New Roman"/>
          <w:b/>
          <w:bCs/>
        </w:rPr>
        <w:t>52.6%</w:t>
      </w:r>
    </w:p>
    <w:p w14:paraId="32A01051" w14:textId="619DE4CE"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ab/>
        <w:t>•</w:t>
      </w:r>
      <w:r w:rsidRPr="00237E2E">
        <w:rPr>
          <w:rFonts w:ascii="Cambria" w:eastAsia="MS Mincho" w:hAnsi="Cambria" w:cs="Times New Roman"/>
        </w:rPr>
        <w:tab/>
        <w:t xml:space="preserve">Anthralin (Contact Sensitization): Average response </w:t>
      </w:r>
      <w:r w:rsidRPr="00237E2E">
        <w:rPr>
          <w:rFonts w:ascii="Cambria" w:eastAsia="MS Mincho" w:hAnsi="Cambria" w:cs="Times New Roman"/>
          <w:b/>
          <w:bCs/>
        </w:rPr>
        <w:t>30.8%</w:t>
      </w:r>
      <w:r w:rsidRPr="00237E2E">
        <w:rPr>
          <w:rFonts w:ascii="Times New Roman" w:eastAsia="MS Mincho" w:hAnsi="Times New Roman" w:cs="Times New Roman"/>
          <w:noProof/>
          <w:sz w:val="24"/>
          <w:szCs w:val="24"/>
          <w:rtl/>
          <w:lang w:val="ar-SA"/>
          <w14:ligatures w14:val="standardContextual"/>
        </w:rPr>
        <w:drawing>
          <wp:anchor distT="0" distB="0" distL="114300" distR="114300" simplePos="0" relativeHeight="251660288" behindDoc="0" locked="0" layoutInCell="1" allowOverlap="1" wp14:anchorId="7394CBF3" wp14:editId="2E61157A">
            <wp:simplePos x="0" y="0"/>
            <wp:positionH relativeFrom="column">
              <wp:posOffset>0</wp:posOffset>
            </wp:positionH>
            <wp:positionV relativeFrom="paragraph">
              <wp:posOffset>317500</wp:posOffset>
            </wp:positionV>
            <wp:extent cx="4414520" cy="2942590"/>
            <wp:effectExtent l="0" t="0" r="5080" b="3810"/>
            <wp:wrapTopAndBottom/>
            <wp:docPr id="150548654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86547" name="صورة 150548654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4520" cy="2942590"/>
                    </a:xfrm>
                    <a:prstGeom prst="rect">
                      <a:avLst/>
                    </a:prstGeom>
                  </pic:spPr>
                </pic:pic>
              </a:graphicData>
            </a:graphic>
            <wp14:sizeRelH relativeFrom="margin">
              <wp14:pctWidth>0</wp14:pctWidth>
            </wp14:sizeRelH>
            <wp14:sizeRelV relativeFrom="margin">
              <wp14:pctHeight>0</wp14:pctHeight>
            </wp14:sizeRelV>
          </wp:anchor>
        </w:drawing>
      </w:r>
    </w:p>
    <w:p w14:paraId="419ED31C"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Discussion</w:t>
      </w:r>
    </w:p>
    <w:p w14:paraId="0515B14B"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This systematic review and meta-analysis illustrate the unexplained and varied effects of alopecia in ulcerative colitis patients undergoing biologic therapy. The degree of hair regrowth associated with both Ustekinumab and vedolizumab was highly variable, with some patients experiencing almost complete regrowth and others paradoxically worsening. Pooled data suggests that in active therapy, patients achieved hair regrowth at a very high and statistically significant rate, with much higher odds of achieving SALT ≥50 compared to controls, indicating possible therapeutic alopecia and biologic effects. Still, the relapse rate </w:t>
      </w:r>
      <w:r w:rsidRPr="00237E2E">
        <w:rPr>
          <w:rFonts w:ascii="Cambria" w:eastAsia="MS Mincho" w:hAnsi="Cambria" w:cs="Times New Roman"/>
        </w:rPr>
        <w:lastRenderedPageBreak/>
        <w:t xml:space="preserve">was higher across all modalities, particularly after topical immunotherapy, indicating the persistent and recurrent nature of alopecia areata. </w:t>
      </w:r>
    </w:p>
    <w:p w14:paraId="2C3F2EBD" w14:textId="77777777" w:rsidR="00237E2E" w:rsidRPr="00237E2E" w:rsidRDefault="00237E2E" w:rsidP="00237E2E">
      <w:pPr>
        <w:spacing w:after="200" w:line="276" w:lineRule="auto"/>
        <w:rPr>
          <w:rFonts w:ascii="Cambria" w:eastAsia="MS Mincho" w:hAnsi="Cambria" w:cs="Times New Roman"/>
        </w:rPr>
      </w:pPr>
    </w:p>
    <w:p w14:paraId="0EF0CDBF"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Interpretation of Findings</w:t>
      </w:r>
    </w:p>
    <w:p w14:paraId="4711DDFF"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Promising Ustekinumab outcomes in the pediatric population, particularly improvement in SALT scores, suggests that IL-12/23 inhibitors offer potential benefits. The paradox of frontal fibrosing alopecia progression during treatment equally emphasizes inconsistent outcomes and paradoxical effects. Better known as a gut-selective integrin blocker, vedolizumab also has perplexing dermatologic effects. While some patients with alopecia developed paradoxical psoriasis, others enjoyed remission of skin lesions. Such outcomes indicate the potential of biologics to influence the interconnected immune pathways of the gut and skin, perhaps offering therapeutic benefits in some circumstances and worsening the disease in others.</w:t>
      </w:r>
    </w:p>
    <w:p w14:paraId="137E4FAA" w14:textId="77777777" w:rsidR="00237E2E" w:rsidRPr="00237E2E" w:rsidRDefault="00237E2E" w:rsidP="00237E2E">
      <w:pPr>
        <w:spacing w:after="200" w:line="276" w:lineRule="auto"/>
        <w:rPr>
          <w:rFonts w:ascii="Cambria" w:eastAsia="MS Mincho" w:hAnsi="Cambria" w:cs="Times New Roman"/>
        </w:rPr>
      </w:pPr>
    </w:p>
    <w:p w14:paraId="6FC2DFEE"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 xml:space="preserve">Comparison with Previous Literature  </w:t>
      </w:r>
    </w:p>
    <w:p w14:paraId="2215AFFD" w14:textId="77777777" w:rsid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Our results are consistent with earlier reviews that indicate superior and more predictable outcomes with SADBE topical immunotherapy and laser/light therapy, where complete rates of regrowth surpassed 60%. In contrast, biologics show less reliability. Previous studies indicated that Ustekinumab could reverse anti-TNF–induced skin reactions in inflammatory bowel disease, but the emergence of alopecia during treatment complicates this interpretation. Likewise, vedolizumab has generally been considered safe for ulcerative colitis; however, the occurrence of paradoxical dermatologic reactions highlights the importance of careful monitoring. </w:t>
      </w:r>
    </w:p>
    <w:p w14:paraId="22A7DBC8" w14:textId="77777777" w:rsidR="001470F5" w:rsidRPr="00237E2E" w:rsidRDefault="001470F5" w:rsidP="001470F5">
      <w:pPr>
        <w:spacing w:after="200" w:line="276" w:lineRule="auto"/>
        <w:rPr>
          <w:rFonts w:ascii="Cambria" w:eastAsia="MS Mincho" w:hAnsi="Cambria" w:cs="Times New Roman"/>
          <w:b/>
          <w:bCs/>
        </w:rPr>
      </w:pPr>
      <w:r w:rsidRPr="00237E2E">
        <w:rPr>
          <w:rFonts w:ascii="Cambria" w:eastAsia="MS Mincho" w:hAnsi="Cambria" w:cs="Times New Roman"/>
          <w:b/>
          <w:bCs/>
        </w:rPr>
        <w:t>Implications</w:t>
      </w:r>
    </w:p>
    <w:p w14:paraId="1CA74A6B"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Treatment strategies must take into account the potential for paradoxical side effects from biologic therapy (such as worsening alopecia or psoriasis) and stress the importance of careful, continuous monitoring, particularly when treating concurrent autoimmune disease or changing medicines.</w:t>
      </w:r>
    </w:p>
    <w:p w14:paraId="58DEBEA4"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Until biologics show more dependability, topical immunotherapy and laser/light therapy should continue to be at the forefront of AA care strategies because they continue to produce the most consistent rates of regrowth (over 60%).</w:t>
      </w:r>
    </w:p>
    <w:p w14:paraId="74447643"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The frequent relapses, particularly evident with topical immunotherapy, underscore the need for ongoing follow-up care and patient education regarding the chronic, recurrent nature of alopecia.</w:t>
      </w:r>
    </w:p>
    <w:p w14:paraId="0179DCA2"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lastRenderedPageBreak/>
        <w:t>Since treatments that target one pathway may have unanticipated effects on other pathways, integrating multidisciplinary teams (gastroenterology, dermatology, and immunology) could maximize therapy for patients with IBD and dermatologic problems.</w:t>
      </w:r>
    </w:p>
    <w:p w14:paraId="3B11E2BB" w14:textId="77777777" w:rsidR="001470F5" w:rsidRPr="00237E2E" w:rsidRDefault="001470F5" w:rsidP="001470F5">
      <w:pPr>
        <w:spacing w:after="200" w:line="276" w:lineRule="auto"/>
        <w:rPr>
          <w:rFonts w:ascii="Cambria" w:eastAsia="MS Mincho" w:hAnsi="Cambria" w:cs="Times New Roman"/>
        </w:rPr>
      </w:pPr>
      <w:r w:rsidRPr="00237E2E">
        <w:rPr>
          <w:rFonts w:ascii="Cambria" w:eastAsia="MS Mincho" w:hAnsi="Cambria" w:cs="Times New Roman"/>
        </w:rPr>
        <w:t>In order to improve clinical significance and enable more reliable meta-analyses, researchers and clinicians should record dermatologic outcomes as primary endpoints rather than merely secondary measures in future trials.</w:t>
      </w:r>
    </w:p>
    <w:p w14:paraId="3833FC66" w14:textId="77777777" w:rsidR="001470F5" w:rsidRPr="00237E2E" w:rsidRDefault="001470F5" w:rsidP="001470F5">
      <w:pPr>
        <w:spacing w:after="200" w:line="276" w:lineRule="auto"/>
        <w:rPr>
          <w:rFonts w:ascii="Cambria" w:eastAsia="MS Mincho" w:hAnsi="Cambria" w:cs="Times New Roman"/>
        </w:rPr>
      </w:pPr>
    </w:p>
    <w:p w14:paraId="3D66998A" w14:textId="77777777" w:rsidR="001470F5" w:rsidRPr="00237E2E" w:rsidRDefault="001470F5" w:rsidP="001470F5">
      <w:pPr>
        <w:spacing w:after="200" w:line="276" w:lineRule="auto"/>
        <w:rPr>
          <w:rFonts w:ascii="Cambria" w:eastAsia="MS Mincho" w:hAnsi="Cambria" w:cs="Times New Roman"/>
        </w:rPr>
      </w:pPr>
    </w:p>
    <w:p w14:paraId="751F04E3" w14:textId="77777777" w:rsidR="001470F5" w:rsidRDefault="001470F5" w:rsidP="00237E2E">
      <w:pPr>
        <w:spacing w:after="200" w:line="276" w:lineRule="auto"/>
        <w:rPr>
          <w:rFonts w:ascii="Cambria" w:eastAsia="MS Mincho" w:hAnsi="Cambria" w:cs="Times New Roman"/>
        </w:rPr>
      </w:pPr>
    </w:p>
    <w:p w14:paraId="718B82DE" w14:textId="77777777" w:rsidR="001470F5" w:rsidRDefault="001470F5" w:rsidP="00237E2E">
      <w:pPr>
        <w:spacing w:after="200" w:line="276" w:lineRule="auto"/>
        <w:rPr>
          <w:rFonts w:ascii="Cambria" w:eastAsia="MS Mincho" w:hAnsi="Cambria" w:cs="Times New Roman"/>
        </w:rPr>
      </w:pPr>
    </w:p>
    <w:p w14:paraId="2474CCF8" w14:textId="77777777" w:rsidR="001470F5" w:rsidRPr="001470F5" w:rsidRDefault="001470F5" w:rsidP="001470F5">
      <w:pPr>
        <w:spacing w:after="200" w:line="276" w:lineRule="auto"/>
        <w:rPr>
          <w:rFonts w:ascii="Cambria" w:eastAsia="MS Mincho" w:hAnsi="Cambria" w:cs="Times New Roman"/>
        </w:rPr>
      </w:pPr>
      <w:r w:rsidRPr="001470F5">
        <w:rPr>
          <w:rFonts w:ascii="Cambria" w:eastAsia="MS Mincho" w:hAnsi="Cambria" w:cs="Times New Roman"/>
        </w:rPr>
        <w:t>Conclusion</w:t>
      </w:r>
    </w:p>
    <w:p w14:paraId="7D9157C3" w14:textId="2FE7FD8B" w:rsidR="001470F5" w:rsidRPr="00237E2E" w:rsidRDefault="001470F5" w:rsidP="001470F5">
      <w:pPr>
        <w:spacing w:after="200" w:line="276" w:lineRule="auto"/>
        <w:rPr>
          <w:rFonts w:ascii="Cambria" w:eastAsia="MS Mincho" w:hAnsi="Cambria" w:cs="Times New Roman"/>
        </w:rPr>
      </w:pPr>
      <w:r w:rsidRPr="001470F5">
        <w:rPr>
          <w:rFonts w:ascii="Cambria" w:eastAsia="MS Mincho" w:hAnsi="Cambria" w:cs="Times New Roman"/>
        </w:rPr>
        <w:t>In conclusion, this systematic review and meta-analysis demonstrate that the effects of Ustekinumab and Vedolizumab on alopecia in patients with ulcerative colitis are heterogeneous, with outcomes ranging from notable improvement to paradoxical worsening. The limited sample sizes, short follow-up durations, and heterogeneity across studies restrict the ability to draw definitive conclusions regarding long-term efficacy, safety, and relapse rates. Despite these limitations, the findings highlight the potential therapeutic role of biologics in selected cases and underscore the importance of cautious patient monitoring. Future large-scale, randomized controlled trials with extended follow-up are essential to establish the durability of treatment responses and clarify the clinical significance of these therapies in alopecia areata associated with ulcerative colitis.</w:t>
      </w:r>
    </w:p>
    <w:p w14:paraId="350D4092" w14:textId="77777777" w:rsidR="00237E2E" w:rsidRPr="00237E2E" w:rsidRDefault="00237E2E" w:rsidP="00237E2E">
      <w:pPr>
        <w:spacing w:after="200" w:line="276" w:lineRule="auto"/>
        <w:rPr>
          <w:rFonts w:ascii="Cambria" w:eastAsia="MS Mincho" w:hAnsi="Cambria" w:cs="Times New Roman"/>
        </w:rPr>
      </w:pPr>
    </w:p>
    <w:p w14:paraId="5872FBB3"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 xml:space="preserve">Limitations  </w:t>
      </w:r>
    </w:p>
    <w:p w14:paraId="4E2EF9FD"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Several limitations must be considered. First, the evidence included was heterogeneous in design, spanning from single case reports to systematic reviews, which limited the reliability of pooled estimates. Second, follow-up periods were often brief, hindering conclusions about the longevity of hair regrowth. Third, sample sizes were frequently small and retrospective, raising the likelihood of bias. Finally, dermatologic outcomes were often reported as secondary endpoints, which may downplay their clinical significance.</w:t>
      </w:r>
    </w:p>
    <w:p w14:paraId="7B393154" w14:textId="77777777" w:rsidR="00237E2E" w:rsidRPr="00237E2E" w:rsidRDefault="00237E2E" w:rsidP="00237E2E">
      <w:pPr>
        <w:spacing w:after="200" w:line="276" w:lineRule="auto"/>
        <w:rPr>
          <w:rFonts w:ascii="Cambria" w:eastAsia="MS Mincho" w:hAnsi="Cambria" w:cs="Times New Roman"/>
        </w:rPr>
      </w:pPr>
    </w:p>
    <w:p w14:paraId="5C265C39" w14:textId="77777777" w:rsidR="00237E2E" w:rsidRPr="00237E2E" w:rsidRDefault="00237E2E" w:rsidP="00237E2E">
      <w:pPr>
        <w:spacing w:after="200" w:line="276" w:lineRule="auto"/>
        <w:rPr>
          <w:rFonts w:ascii="Cambria" w:eastAsia="MS Mincho" w:hAnsi="Cambria" w:cs="Times New Roman"/>
          <w:b/>
          <w:bCs/>
        </w:rPr>
      </w:pPr>
      <w:r w:rsidRPr="00237E2E">
        <w:rPr>
          <w:rFonts w:ascii="Cambria" w:eastAsia="MS Mincho" w:hAnsi="Cambria" w:cs="Times New Roman"/>
          <w:b/>
          <w:bCs/>
        </w:rPr>
        <w:t>Future research</w:t>
      </w:r>
    </w:p>
    <w:p w14:paraId="46ACE886"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 xml:space="preserve">Given the limited long-term follow-up data, conduct prospective trials to evaluate the durability of hair regrowth and relapse rates for newer biologic therapies such as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and vedolizumab.</w:t>
      </w:r>
    </w:p>
    <w:p w14:paraId="72613325"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lastRenderedPageBreak/>
        <w:t>Examine the immunological processes that underlie paradoxical reactions, which appear to happen randomly and may indicate intertwined immune pathways between the gut and the skin (e.g., psoriasis development or worsened alopecia during biologic treatment).</w:t>
      </w:r>
    </w:p>
    <w:p w14:paraId="15F403D0"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Since children seem to respond differently to immune modulation, design comparative studies with a focus on pediatric populations. In particular, investigate why IL-12/23 inhibitors can occasionally result in noticeable changes in SALT scores.</w:t>
      </w:r>
    </w:p>
    <w:p w14:paraId="4D42EF4B" w14:textId="77777777" w:rsidR="00237E2E" w:rsidRP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The relevance of interleukin pathways, particularly IL-23 and IL-12B, and their receptors in the development of disease and the response to treatment is still unclear, particularly in younger people, and requires more investigation.</w:t>
      </w:r>
    </w:p>
    <w:p w14:paraId="1BE2FAF2" w14:textId="77777777" w:rsidR="00237E2E" w:rsidRDefault="00237E2E" w:rsidP="00237E2E">
      <w:pPr>
        <w:spacing w:after="200" w:line="276" w:lineRule="auto"/>
        <w:rPr>
          <w:rFonts w:ascii="Cambria" w:eastAsia="MS Mincho" w:hAnsi="Cambria" w:cs="Times New Roman"/>
        </w:rPr>
      </w:pPr>
      <w:r w:rsidRPr="00237E2E">
        <w:rPr>
          <w:rFonts w:ascii="Cambria" w:eastAsia="MS Mincho" w:hAnsi="Cambria" w:cs="Times New Roman"/>
        </w:rPr>
        <w:t>Given that patchy hair loss has substantial implications beyond physical symptoms and that enhanced regrowth may significantly improve patient quality of life, more research should evaluate the psychological and social effects of varying treatment responses for AA.</w:t>
      </w:r>
    </w:p>
    <w:p w14:paraId="3B23BC4A" w14:textId="77777777" w:rsidR="00237E2E" w:rsidRPr="00237E2E" w:rsidRDefault="00237E2E" w:rsidP="00237E2E">
      <w:pPr>
        <w:keepNext/>
        <w:keepLines/>
        <w:spacing w:before="200" w:after="0" w:line="276" w:lineRule="auto"/>
        <w:outlineLvl w:val="1"/>
        <w:rPr>
          <w:rFonts w:ascii="Calibri" w:eastAsia="MS Gothic" w:hAnsi="Calibri" w:cs="Times New Roman"/>
          <w:b/>
          <w:bCs/>
          <w:color w:val="4F81BD"/>
          <w:sz w:val="30"/>
          <w:szCs w:val="30"/>
        </w:rPr>
      </w:pPr>
      <w:r w:rsidRPr="00237E2E">
        <w:rPr>
          <w:rFonts w:ascii="Calibri" w:eastAsia="MS Gothic" w:hAnsi="Calibri" w:cs="Times New Roman"/>
          <w:b/>
          <w:bCs/>
          <w:color w:val="4F81BD"/>
          <w:sz w:val="30"/>
          <w:szCs w:val="30"/>
        </w:rPr>
        <w:t>References</w:t>
      </w:r>
    </w:p>
    <w:p w14:paraId="64FB2C03"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Gaumond, S. I., </w:t>
      </w:r>
      <w:proofErr w:type="spellStart"/>
      <w:r w:rsidRPr="00237E2E">
        <w:rPr>
          <w:rFonts w:ascii="Cambria" w:eastAsia="MS Mincho" w:hAnsi="Cambria" w:cs="Times New Roman"/>
        </w:rPr>
        <w:t>Kamholtz</w:t>
      </w:r>
      <w:proofErr w:type="spellEnd"/>
      <w:r w:rsidRPr="00237E2E">
        <w:rPr>
          <w:rFonts w:ascii="Cambria" w:eastAsia="MS Mincho" w:hAnsi="Cambria" w:cs="Times New Roman"/>
        </w:rPr>
        <w:t xml:space="preserve">, I., &amp; Jimenez, J. J. (2025). Cytokine-Targeting Biologic Therapies for Alopecia Areata: A Comprehensive Review of Mechanism of Action, Clinical Efficacy, and Adverse Events. Biologics, 5(2), 11. </w:t>
      </w:r>
      <w:hyperlink r:id="rId12" w:history="1">
        <w:r w:rsidRPr="00237E2E">
          <w:rPr>
            <w:rFonts w:ascii="Cambria" w:eastAsia="MS Mincho" w:hAnsi="Cambria" w:cs="Times New Roman"/>
            <w:color w:val="0000FF"/>
            <w:u w:val="single"/>
          </w:rPr>
          <w:t>https://doi.org/10.3390/biologics502001</w:t>
        </w:r>
      </w:hyperlink>
    </w:p>
    <w:p w14:paraId="12D453B9" w14:textId="77777777" w:rsidR="00237E2E" w:rsidRPr="00237E2E" w:rsidRDefault="00237E2E" w:rsidP="00237E2E">
      <w:pPr>
        <w:spacing w:after="200" w:line="276" w:lineRule="auto"/>
        <w:ind w:left="720"/>
        <w:contextualSpacing/>
        <w:rPr>
          <w:rFonts w:ascii="Cambria" w:eastAsia="MS Mincho" w:hAnsi="Cambria" w:cs="Times New Roman"/>
        </w:rPr>
      </w:pPr>
    </w:p>
    <w:p w14:paraId="769C9182"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Zhao, H., Zhang, Y., Qiang, Y., Wang, G., Wang, L., Jiang, W., &amp; Chen, X. From Mechanisms to Therapies: Current Advances and Breakthroughs in Alopecia Areata Immunopathology. Frontiers in Immunology, 16, 1621492.‏</w:t>
      </w:r>
    </w:p>
    <w:p w14:paraId="6F8715FE" w14:textId="77777777" w:rsidR="00237E2E" w:rsidRPr="00237E2E" w:rsidRDefault="00237E2E" w:rsidP="00237E2E">
      <w:pPr>
        <w:spacing w:after="200" w:line="276" w:lineRule="auto"/>
        <w:ind w:left="720"/>
        <w:contextualSpacing/>
        <w:rPr>
          <w:rFonts w:ascii="Cambria" w:eastAsia="MS Mincho" w:hAnsi="Cambria" w:cs="Times New Roman"/>
        </w:rPr>
      </w:pPr>
    </w:p>
    <w:p w14:paraId="2C63B586"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King, A. D., Lam, L., &amp; Goh, C. (2019). Onset of frontal fibrosing alopecia during inhibition of Th1/17 pathways with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Dermatology Online Journal, 25(7), 11. </w:t>
      </w:r>
    </w:p>
    <w:p w14:paraId="0837A016" w14:textId="77777777" w:rsidR="00237E2E" w:rsidRPr="00237E2E" w:rsidRDefault="00237E2E" w:rsidP="00237E2E">
      <w:pPr>
        <w:spacing w:after="200" w:line="276" w:lineRule="auto"/>
        <w:ind w:left="720"/>
        <w:contextualSpacing/>
        <w:rPr>
          <w:rFonts w:ascii="Cambria" w:eastAsia="MS Mincho" w:hAnsi="Cambria" w:cs="Times New Roman"/>
        </w:rPr>
      </w:pPr>
    </w:p>
    <w:p w14:paraId="59052DA1"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Andrisani, G., Marzo, M., Celleno, L., Guidi, L., Papa, A., </w:t>
      </w:r>
      <w:proofErr w:type="spellStart"/>
      <w:r w:rsidRPr="00237E2E">
        <w:rPr>
          <w:rFonts w:ascii="Cambria" w:eastAsia="MS Mincho" w:hAnsi="Cambria" w:cs="Times New Roman"/>
        </w:rPr>
        <w:t>Gasbarrini</w:t>
      </w:r>
      <w:proofErr w:type="spellEnd"/>
      <w:r w:rsidRPr="00237E2E">
        <w:rPr>
          <w:rFonts w:ascii="Cambria" w:eastAsia="MS Mincho" w:hAnsi="Cambria" w:cs="Times New Roman"/>
        </w:rPr>
        <w:t xml:space="preserve">, A., &amp; </w:t>
      </w:r>
      <w:proofErr w:type="spellStart"/>
      <w:r w:rsidRPr="00237E2E">
        <w:rPr>
          <w:rFonts w:ascii="Cambria" w:eastAsia="MS Mincho" w:hAnsi="Cambria" w:cs="Times New Roman"/>
        </w:rPr>
        <w:t>Armuzzi</w:t>
      </w:r>
      <w:proofErr w:type="spellEnd"/>
      <w:r w:rsidRPr="00237E2E">
        <w:rPr>
          <w:rFonts w:ascii="Cambria" w:eastAsia="MS Mincho" w:hAnsi="Cambria" w:cs="Times New Roman"/>
        </w:rPr>
        <w:t xml:space="preserve">, A. (2013). Development of psoriasis scalp with alopecia during treatment of Crohn’s disease with infliximab and rapid response to both diseases to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European Review for Medical and Pharmacological Sciences, 17(20), 2831–2836.</w:t>
      </w:r>
    </w:p>
    <w:p w14:paraId="36B457D3" w14:textId="77777777" w:rsidR="00237E2E" w:rsidRPr="00237E2E" w:rsidRDefault="00237E2E" w:rsidP="00237E2E">
      <w:pPr>
        <w:spacing w:after="200" w:line="276" w:lineRule="auto"/>
        <w:ind w:left="720"/>
        <w:contextualSpacing/>
        <w:rPr>
          <w:rFonts w:ascii="Cambria" w:eastAsia="MS Mincho" w:hAnsi="Cambria" w:cs="Times New Roman"/>
        </w:rPr>
      </w:pPr>
    </w:p>
    <w:p w14:paraId="131BCF45"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Aleisa A, Lim Y, Gordon S, Her MJ, </w:t>
      </w:r>
      <w:proofErr w:type="spellStart"/>
      <w:r w:rsidRPr="00237E2E">
        <w:rPr>
          <w:rFonts w:ascii="Cambria" w:eastAsia="MS Mincho" w:hAnsi="Cambria" w:cs="Times New Roman"/>
        </w:rPr>
        <w:t>Zancanaro</w:t>
      </w:r>
      <w:proofErr w:type="spellEnd"/>
      <w:r w:rsidRPr="00237E2E">
        <w:rPr>
          <w:rFonts w:ascii="Cambria" w:eastAsia="MS Mincho" w:hAnsi="Cambria" w:cs="Times New Roman"/>
        </w:rPr>
        <w:t xml:space="preserve"> P, </w:t>
      </w:r>
      <w:proofErr w:type="spellStart"/>
      <w:r w:rsidRPr="00237E2E">
        <w:rPr>
          <w:rFonts w:ascii="Cambria" w:eastAsia="MS Mincho" w:hAnsi="Cambria" w:cs="Times New Roman"/>
        </w:rPr>
        <w:t>Abudu</w:t>
      </w:r>
      <w:proofErr w:type="spellEnd"/>
      <w:r w:rsidRPr="00237E2E">
        <w:rPr>
          <w:rFonts w:ascii="Cambria" w:eastAsia="MS Mincho" w:hAnsi="Cambria" w:cs="Times New Roman"/>
        </w:rPr>
        <w:t xml:space="preserve"> M, et al. Response to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in three pediatric patients with alopecia areata and atopic comorbidities. </w:t>
      </w:r>
      <w:proofErr w:type="spellStart"/>
      <w:r w:rsidRPr="00237E2E">
        <w:rPr>
          <w:rFonts w:ascii="Cambria" w:eastAsia="MS Mincho" w:hAnsi="Cambria" w:cs="Times New Roman"/>
        </w:rPr>
        <w:t>Pediatr</w:t>
      </w:r>
      <w:proofErr w:type="spellEnd"/>
      <w:r w:rsidRPr="00237E2E">
        <w:rPr>
          <w:rFonts w:ascii="Cambria" w:eastAsia="MS Mincho" w:hAnsi="Cambria" w:cs="Times New Roman"/>
        </w:rPr>
        <w:t xml:space="preserve"> Dermatol. 2018;35(5</w:t>
      </w:r>
      <w:proofErr w:type="gramStart"/>
      <w:r w:rsidRPr="00237E2E">
        <w:rPr>
          <w:rFonts w:ascii="Cambria" w:eastAsia="MS Mincho" w:hAnsi="Cambria" w:cs="Times New Roman"/>
        </w:rPr>
        <w:t>):e</w:t>
      </w:r>
      <w:proofErr w:type="gramEnd"/>
      <w:r w:rsidRPr="00237E2E">
        <w:rPr>
          <w:rFonts w:ascii="Cambria" w:eastAsia="MS Mincho" w:hAnsi="Cambria" w:cs="Times New Roman"/>
        </w:rPr>
        <w:t>307–e310. doi:10.1111/pde.13633.</w:t>
      </w:r>
    </w:p>
    <w:p w14:paraId="2CEB4869" w14:textId="77777777" w:rsidR="00237E2E" w:rsidRPr="00237E2E" w:rsidRDefault="00237E2E" w:rsidP="00237E2E">
      <w:pPr>
        <w:spacing w:after="200" w:line="276" w:lineRule="auto"/>
        <w:ind w:left="720"/>
        <w:contextualSpacing/>
        <w:rPr>
          <w:rFonts w:ascii="Cambria" w:eastAsia="MS Mincho" w:hAnsi="Cambria" w:cs="Times New Roman"/>
        </w:rPr>
      </w:pPr>
    </w:p>
    <w:p w14:paraId="59459C6A"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King AD, Lam L, Goh C. Onset of frontal fibrosing alopecia during inhibition of Th1/17 pathways with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Dermatol Online J. 2019;25(7):11.</w:t>
      </w:r>
    </w:p>
    <w:p w14:paraId="5E8E7828" w14:textId="77777777" w:rsidR="00237E2E" w:rsidRPr="00237E2E" w:rsidRDefault="00237E2E" w:rsidP="00237E2E">
      <w:pPr>
        <w:spacing w:after="200" w:line="276" w:lineRule="auto"/>
        <w:ind w:left="720"/>
        <w:contextualSpacing/>
        <w:rPr>
          <w:rFonts w:ascii="Cambria" w:eastAsia="MS Mincho" w:hAnsi="Cambria" w:cs="Times New Roman"/>
        </w:rPr>
      </w:pPr>
    </w:p>
    <w:p w14:paraId="1AA474B8"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lastRenderedPageBreak/>
        <w:t>Lee S, Kim BJ, Lee YB. Hair Regrowth Outcomes of Contact Immunotherapy for Alopecia Areata: A Systematic Review and Meta-analysis. JAMA Dermatol. 2018;154(10):1145–1151. doi:10.1001/jamadermatol.2018.2427.</w:t>
      </w:r>
    </w:p>
    <w:p w14:paraId="321E76AF" w14:textId="77777777" w:rsidR="00237E2E" w:rsidRPr="00237E2E" w:rsidRDefault="00237E2E" w:rsidP="00237E2E">
      <w:pPr>
        <w:spacing w:after="200" w:line="276" w:lineRule="auto"/>
        <w:ind w:left="720"/>
        <w:contextualSpacing/>
        <w:rPr>
          <w:rFonts w:ascii="Cambria" w:eastAsia="MS Mincho" w:hAnsi="Cambria" w:cs="Times New Roman"/>
        </w:rPr>
      </w:pPr>
    </w:p>
    <w:p w14:paraId="55BBE81F"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proofErr w:type="spellStart"/>
      <w:r w:rsidRPr="00237E2E">
        <w:rPr>
          <w:rFonts w:ascii="Cambria" w:eastAsia="MS Mincho" w:hAnsi="Cambria" w:cs="Times New Roman"/>
        </w:rPr>
        <w:t>Behrangi</w:t>
      </w:r>
      <w:proofErr w:type="spellEnd"/>
      <w:r w:rsidRPr="00237E2E">
        <w:rPr>
          <w:rFonts w:ascii="Cambria" w:eastAsia="MS Mincho" w:hAnsi="Cambria" w:cs="Times New Roman"/>
        </w:rPr>
        <w:t xml:space="preserve"> E, et al. A systematic review on the treatment of pediatric alopecia areata. J </w:t>
      </w:r>
      <w:proofErr w:type="spellStart"/>
      <w:r w:rsidRPr="00237E2E">
        <w:rPr>
          <w:rFonts w:ascii="Cambria" w:eastAsia="MS Mincho" w:hAnsi="Cambria" w:cs="Times New Roman"/>
        </w:rPr>
        <w:t>Cosmet</w:t>
      </w:r>
      <w:proofErr w:type="spellEnd"/>
      <w:r w:rsidRPr="00237E2E">
        <w:rPr>
          <w:rFonts w:ascii="Cambria" w:eastAsia="MS Mincho" w:hAnsi="Cambria" w:cs="Times New Roman"/>
        </w:rPr>
        <w:t xml:space="preserve"> Dermatol. 2022;21(2):584–593. doi:10.1111/jocd.14615.</w:t>
      </w:r>
    </w:p>
    <w:p w14:paraId="24C4D138" w14:textId="77777777" w:rsidR="00237E2E" w:rsidRPr="00237E2E" w:rsidRDefault="00237E2E" w:rsidP="00237E2E">
      <w:pPr>
        <w:spacing w:after="200" w:line="276" w:lineRule="auto"/>
        <w:ind w:left="720"/>
        <w:contextualSpacing/>
        <w:rPr>
          <w:rFonts w:ascii="Cambria" w:eastAsia="MS Mincho" w:hAnsi="Cambria" w:cs="Times New Roman"/>
        </w:rPr>
      </w:pPr>
    </w:p>
    <w:p w14:paraId="2D9B10A9"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proofErr w:type="spellStart"/>
      <w:r w:rsidRPr="00237E2E">
        <w:rPr>
          <w:rFonts w:ascii="Cambria" w:eastAsia="MS Mincho" w:hAnsi="Cambria" w:cs="Times New Roman"/>
        </w:rPr>
        <w:t>Waśkiel-Burnat</w:t>
      </w:r>
      <w:proofErr w:type="spellEnd"/>
      <w:r w:rsidRPr="00237E2E">
        <w:rPr>
          <w:rFonts w:ascii="Cambria" w:eastAsia="MS Mincho" w:hAnsi="Cambria" w:cs="Times New Roman"/>
        </w:rPr>
        <w:t xml:space="preserve"> A, et al. Therapeutic management in pediatric alopecia areata: A systematic review. J Eur </w:t>
      </w:r>
      <w:proofErr w:type="spellStart"/>
      <w:r w:rsidRPr="00237E2E">
        <w:rPr>
          <w:rFonts w:ascii="Cambria" w:eastAsia="MS Mincho" w:hAnsi="Cambria" w:cs="Times New Roman"/>
        </w:rPr>
        <w:t>Acad</w:t>
      </w:r>
      <w:proofErr w:type="spellEnd"/>
      <w:r w:rsidRPr="00237E2E">
        <w:rPr>
          <w:rFonts w:ascii="Cambria" w:eastAsia="MS Mincho" w:hAnsi="Cambria" w:cs="Times New Roman"/>
        </w:rPr>
        <w:t xml:space="preserve"> Dermatol </w:t>
      </w:r>
      <w:proofErr w:type="spellStart"/>
      <w:r w:rsidRPr="00237E2E">
        <w:rPr>
          <w:rFonts w:ascii="Cambria" w:eastAsia="MS Mincho" w:hAnsi="Cambria" w:cs="Times New Roman"/>
        </w:rPr>
        <w:t>Venereol</w:t>
      </w:r>
      <w:proofErr w:type="spellEnd"/>
      <w:r w:rsidRPr="00237E2E">
        <w:rPr>
          <w:rFonts w:ascii="Cambria" w:eastAsia="MS Mincho" w:hAnsi="Cambria" w:cs="Times New Roman"/>
        </w:rPr>
        <w:t>. 2021;35(9</w:t>
      </w:r>
      <w:proofErr w:type="gramStart"/>
      <w:r w:rsidRPr="00237E2E">
        <w:rPr>
          <w:rFonts w:ascii="Cambria" w:eastAsia="MS Mincho" w:hAnsi="Cambria" w:cs="Times New Roman"/>
        </w:rPr>
        <w:t>):e</w:t>
      </w:r>
      <w:proofErr w:type="gramEnd"/>
      <w:r w:rsidRPr="00237E2E">
        <w:rPr>
          <w:rFonts w:ascii="Cambria" w:eastAsia="MS Mincho" w:hAnsi="Cambria" w:cs="Times New Roman"/>
        </w:rPr>
        <w:t>583–e586. doi:10.1111/jdv.17467.</w:t>
      </w:r>
    </w:p>
    <w:p w14:paraId="30DAE987" w14:textId="77777777" w:rsidR="00237E2E" w:rsidRPr="00237E2E" w:rsidRDefault="00237E2E" w:rsidP="00237E2E">
      <w:pPr>
        <w:spacing w:after="200" w:line="276" w:lineRule="auto"/>
        <w:ind w:left="720"/>
        <w:contextualSpacing/>
        <w:rPr>
          <w:rFonts w:ascii="Cambria" w:eastAsia="MS Mincho" w:hAnsi="Cambria" w:cs="Times New Roman"/>
        </w:rPr>
      </w:pPr>
    </w:p>
    <w:p w14:paraId="593DBA7B"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Barton VR, et al. Treatment of pediatric alopecia areata: A systematic review. J Am </w:t>
      </w:r>
      <w:proofErr w:type="spellStart"/>
      <w:r w:rsidRPr="00237E2E">
        <w:rPr>
          <w:rFonts w:ascii="Cambria" w:eastAsia="MS Mincho" w:hAnsi="Cambria" w:cs="Times New Roman"/>
        </w:rPr>
        <w:t>Acad</w:t>
      </w:r>
      <w:proofErr w:type="spellEnd"/>
      <w:r w:rsidRPr="00237E2E">
        <w:rPr>
          <w:rFonts w:ascii="Cambria" w:eastAsia="MS Mincho" w:hAnsi="Cambria" w:cs="Times New Roman"/>
        </w:rPr>
        <w:t xml:space="preserve"> Dermatol. 2022;86(2):397–407. </w:t>
      </w:r>
      <w:proofErr w:type="gramStart"/>
      <w:r w:rsidRPr="00237E2E">
        <w:rPr>
          <w:rFonts w:ascii="Cambria" w:eastAsia="MS Mincho" w:hAnsi="Cambria" w:cs="Times New Roman"/>
        </w:rPr>
        <w:t>doi:10.1016/j.jaad</w:t>
      </w:r>
      <w:proofErr w:type="gramEnd"/>
      <w:r w:rsidRPr="00237E2E">
        <w:rPr>
          <w:rFonts w:ascii="Cambria" w:eastAsia="MS Mincho" w:hAnsi="Cambria" w:cs="Times New Roman"/>
        </w:rPr>
        <w:t>.2021.03.040.</w:t>
      </w:r>
    </w:p>
    <w:p w14:paraId="3027E3BD" w14:textId="77777777" w:rsidR="00237E2E" w:rsidRPr="00237E2E" w:rsidRDefault="00237E2E" w:rsidP="00237E2E">
      <w:pPr>
        <w:spacing w:after="200" w:line="276" w:lineRule="auto"/>
        <w:ind w:left="720"/>
        <w:contextualSpacing/>
        <w:rPr>
          <w:rFonts w:ascii="Cambria" w:eastAsia="MS Mincho" w:hAnsi="Cambria" w:cs="Times New Roman"/>
        </w:rPr>
      </w:pPr>
    </w:p>
    <w:p w14:paraId="0558A873"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Ezzedine K, et al. Ustekinumab for skin reactions associated with inflammatory bowel disease: a retrospective study. J Dermatol. 2019;46(9):770–776. doi:10.1111/1346-8138.15029.</w:t>
      </w:r>
    </w:p>
    <w:p w14:paraId="3542EEA3" w14:textId="77777777" w:rsidR="00237E2E" w:rsidRPr="00237E2E" w:rsidRDefault="00237E2E" w:rsidP="00237E2E">
      <w:pPr>
        <w:spacing w:after="200" w:line="276" w:lineRule="auto"/>
        <w:ind w:left="720"/>
        <w:contextualSpacing/>
        <w:rPr>
          <w:rFonts w:ascii="Cambria" w:eastAsia="MS Mincho" w:hAnsi="Cambria" w:cs="Times New Roman"/>
        </w:rPr>
      </w:pPr>
    </w:p>
    <w:p w14:paraId="63C9B928"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Kikuchi K, et al. Two cases in which tofacitinib effectively treated refractory alopecia areata. Clin J Gastroenterol. 2020;13(6):1270–1275. doi:10.1007/s12328-020-01189-9.</w:t>
      </w:r>
    </w:p>
    <w:p w14:paraId="4CD11A7B" w14:textId="77777777" w:rsidR="00237E2E" w:rsidRPr="00237E2E" w:rsidRDefault="00237E2E" w:rsidP="00237E2E">
      <w:pPr>
        <w:spacing w:after="200" w:line="276" w:lineRule="auto"/>
        <w:ind w:left="720"/>
        <w:contextualSpacing/>
        <w:rPr>
          <w:rFonts w:ascii="Cambria" w:eastAsia="MS Mincho" w:hAnsi="Cambria" w:cs="Times New Roman"/>
        </w:rPr>
      </w:pPr>
    </w:p>
    <w:p w14:paraId="0CF1D08E"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Dolinger M, et al. Outcomes of Children with Inflammatory Bowel Disease and Anti-TNF Induced Skin Reactions after Switch to Ustekinumab or Vedolizumab: A Retrospective Cohort Study. J </w:t>
      </w:r>
      <w:proofErr w:type="spellStart"/>
      <w:r w:rsidRPr="00237E2E">
        <w:rPr>
          <w:rFonts w:ascii="Cambria" w:eastAsia="MS Mincho" w:hAnsi="Cambria" w:cs="Times New Roman"/>
        </w:rPr>
        <w:t>Crohns</w:t>
      </w:r>
      <w:proofErr w:type="spellEnd"/>
      <w:r w:rsidRPr="00237E2E">
        <w:rPr>
          <w:rFonts w:ascii="Cambria" w:eastAsia="MS Mincho" w:hAnsi="Cambria" w:cs="Times New Roman"/>
        </w:rPr>
        <w:t xml:space="preserve"> Colitis. 2022;16(6):859–866. doi:10.1093/</w:t>
      </w:r>
      <w:proofErr w:type="spellStart"/>
      <w:r w:rsidRPr="00237E2E">
        <w:rPr>
          <w:rFonts w:ascii="Cambria" w:eastAsia="MS Mincho" w:hAnsi="Cambria" w:cs="Times New Roman"/>
        </w:rPr>
        <w:t>ecco-jcc</w:t>
      </w:r>
      <w:proofErr w:type="spellEnd"/>
      <w:r w:rsidRPr="00237E2E">
        <w:rPr>
          <w:rFonts w:ascii="Cambria" w:eastAsia="MS Mincho" w:hAnsi="Cambria" w:cs="Times New Roman"/>
        </w:rPr>
        <w:t>/jjab230.</w:t>
      </w:r>
    </w:p>
    <w:p w14:paraId="33DA9255" w14:textId="77777777" w:rsidR="00237E2E" w:rsidRPr="00237E2E" w:rsidRDefault="00237E2E" w:rsidP="00237E2E">
      <w:pPr>
        <w:spacing w:after="200" w:line="276" w:lineRule="auto"/>
        <w:ind w:left="720"/>
        <w:contextualSpacing/>
        <w:rPr>
          <w:rFonts w:ascii="Cambria" w:eastAsia="MS Mincho" w:hAnsi="Cambria" w:cs="Times New Roman"/>
        </w:rPr>
      </w:pPr>
    </w:p>
    <w:p w14:paraId="632C89F0"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Verros C, et al. Alopecia areata during </w:t>
      </w:r>
      <w:proofErr w:type="spellStart"/>
      <w:r w:rsidRPr="00237E2E">
        <w:rPr>
          <w:rFonts w:ascii="Cambria" w:eastAsia="MS Mincho" w:hAnsi="Cambria" w:cs="Times New Roman"/>
        </w:rPr>
        <w:t>ustekinumab</w:t>
      </w:r>
      <w:proofErr w:type="spellEnd"/>
      <w:r w:rsidRPr="00237E2E">
        <w:rPr>
          <w:rFonts w:ascii="Cambria" w:eastAsia="MS Mincho" w:hAnsi="Cambria" w:cs="Times New Roman"/>
        </w:rPr>
        <w:t xml:space="preserve"> administration: case report. Dermatol Online J. 2012;18(8):14.</w:t>
      </w:r>
    </w:p>
    <w:p w14:paraId="3EB4ABD5" w14:textId="77777777" w:rsidR="00237E2E" w:rsidRPr="00237E2E" w:rsidRDefault="00237E2E" w:rsidP="00237E2E">
      <w:pPr>
        <w:spacing w:after="200" w:line="276" w:lineRule="auto"/>
        <w:ind w:left="720"/>
        <w:contextualSpacing/>
        <w:rPr>
          <w:rFonts w:ascii="Cambria" w:eastAsia="MS Mincho" w:hAnsi="Cambria" w:cs="Times New Roman"/>
        </w:rPr>
      </w:pPr>
    </w:p>
    <w:p w14:paraId="3430D695" w14:textId="77777777" w:rsidR="00237E2E" w:rsidRP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Tabatabaei-Panah PS, et al. IL12B and IL23R polymorphisms are associated with alopecia areata. Genes Immun. 2020;21(1):15–22. doi:10.1038/s41435-019-0077-5.</w:t>
      </w:r>
    </w:p>
    <w:p w14:paraId="50A4E18D" w14:textId="77777777" w:rsidR="00237E2E" w:rsidRPr="00237E2E" w:rsidRDefault="00237E2E" w:rsidP="00237E2E">
      <w:pPr>
        <w:spacing w:after="200" w:line="276" w:lineRule="auto"/>
        <w:ind w:left="720"/>
        <w:contextualSpacing/>
        <w:rPr>
          <w:rFonts w:ascii="Cambria" w:eastAsia="MS Mincho" w:hAnsi="Cambria" w:cs="Times New Roman"/>
        </w:rPr>
      </w:pPr>
    </w:p>
    <w:p w14:paraId="606DCCBD" w14:textId="77777777" w:rsidR="00237E2E" w:rsidRDefault="00237E2E" w:rsidP="00237E2E">
      <w:pPr>
        <w:numPr>
          <w:ilvl w:val="0"/>
          <w:numId w:val="1"/>
        </w:numPr>
        <w:spacing w:after="200" w:line="276" w:lineRule="auto"/>
        <w:contextualSpacing/>
        <w:rPr>
          <w:rFonts w:ascii="Cambria" w:eastAsia="MS Mincho" w:hAnsi="Cambria" w:cs="Times New Roman"/>
        </w:rPr>
      </w:pPr>
      <w:r w:rsidRPr="00237E2E">
        <w:rPr>
          <w:rFonts w:ascii="Cambria" w:eastAsia="MS Mincho" w:hAnsi="Cambria" w:cs="Times New Roman"/>
        </w:rPr>
        <w:t xml:space="preserve">Suárez-Fariñas M, et al. Alopecia areata profiling shows TH1, TH2, and IL-23 upregulation and the emergence of novel cytokine pathways. J Allergy Clin Immunol. 2015;136(2):370–378. </w:t>
      </w:r>
      <w:proofErr w:type="gramStart"/>
      <w:r w:rsidRPr="00237E2E">
        <w:rPr>
          <w:rFonts w:ascii="Cambria" w:eastAsia="MS Mincho" w:hAnsi="Cambria" w:cs="Times New Roman"/>
        </w:rPr>
        <w:t>doi:10.1016/j.jaci</w:t>
      </w:r>
      <w:proofErr w:type="gramEnd"/>
      <w:r w:rsidRPr="00237E2E">
        <w:rPr>
          <w:rFonts w:ascii="Cambria" w:eastAsia="MS Mincho" w:hAnsi="Cambria" w:cs="Times New Roman"/>
        </w:rPr>
        <w:t>.2015.01.026.</w:t>
      </w:r>
    </w:p>
    <w:p w14:paraId="7FCF3704" w14:textId="77777777" w:rsidR="007814A5" w:rsidRDefault="007814A5" w:rsidP="007814A5">
      <w:pPr>
        <w:pStyle w:val="ListParagraph"/>
        <w:rPr>
          <w:rFonts w:ascii="Cambria" w:eastAsia="MS Mincho" w:hAnsi="Cambria" w:cs="Times New Roman"/>
        </w:rPr>
      </w:pPr>
    </w:p>
    <w:p w14:paraId="1DE9117A" w14:textId="379D0C1D" w:rsidR="005D4BF9" w:rsidRPr="007814A5" w:rsidRDefault="007814A5" w:rsidP="007814A5">
      <w:pPr>
        <w:numPr>
          <w:ilvl w:val="0"/>
          <w:numId w:val="1"/>
        </w:numPr>
        <w:spacing w:after="200" w:line="276" w:lineRule="auto"/>
        <w:contextualSpacing/>
      </w:pPr>
      <w:r w:rsidRPr="007814A5">
        <w:rPr>
          <w:rFonts w:ascii="Cambria" w:eastAsia="MS Mincho" w:hAnsi="Cambria" w:cs="Times New Roman"/>
        </w:rPr>
        <w:t xml:space="preserve">Jung, J. M., Yang, H. J., Lee, W. J., Won, C. H., Lee, M. W., &amp; Chang, S. E. (2022). Association between psoriasis and alopecia areata: A systematic review and meta‐analysis. The Journal of Dermatology, 49(9), 912-915.  </w:t>
      </w:r>
    </w:p>
    <w:p w14:paraId="26A1AA90" w14:textId="77777777" w:rsidR="007814A5" w:rsidRDefault="007814A5" w:rsidP="007814A5">
      <w:pPr>
        <w:pStyle w:val="ListParagraph"/>
      </w:pPr>
    </w:p>
    <w:p w14:paraId="11FCB468" w14:textId="24FF7EC6" w:rsidR="007814A5" w:rsidRDefault="007814A5" w:rsidP="007814A5">
      <w:pPr>
        <w:numPr>
          <w:ilvl w:val="0"/>
          <w:numId w:val="1"/>
        </w:numPr>
        <w:spacing w:after="200" w:line="276" w:lineRule="auto"/>
        <w:contextualSpacing/>
      </w:pPr>
      <w:r w:rsidRPr="007814A5">
        <w:lastRenderedPageBreak/>
        <w:t>Cruz, S., Lei, D. K., Carr, H., &amp; Rosenblatt, A. (2023). The psychosocial impacts of vitiligo, psoriasis, and alopecia areata on pediatric patients. Dermatology Online Journal, 29(2).</w:t>
      </w:r>
      <w:r>
        <w:t xml:space="preserve">  </w:t>
      </w:r>
    </w:p>
    <w:p w14:paraId="3F5C7670" w14:textId="77777777" w:rsidR="007814A5" w:rsidRDefault="007814A5" w:rsidP="007814A5">
      <w:pPr>
        <w:pStyle w:val="ListParagraph"/>
      </w:pPr>
    </w:p>
    <w:p w14:paraId="55231EAB" w14:textId="3BABA16B" w:rsidR="007814A5" w:rsidRDefault="007814A5" w:rsidP="007814A5">
      <w:pPr>
        <w:numPr>
          <w:ilvl w:val="0"/>
          <w:numId w:val="1"/>
        </w:numPr>
        <w:spacing w:after="200" w:line="276" w:lineRule="auto"/>
        <w:contextualSpacing/>
      </w:pPr>
      <w:r w:rsidRPr="007814A5">
        <w:t>Gros, B., &amp; Kaplan, G. G. (2023). Ulcerative colitis in adults: a review. Jama, 330(10), 951-965.</w:t>
      </w:r>
      <w:r>
        <w:t xml:space="preserve">   </w:t>
      </w:r>
    </w:p>
    <w:p w14:paraId="1B4CB1DB" w14:textId="77777777" w:rsidR="007814A5" w:rsidRDefault="007814A5" w:rsidP="007814A5">
      <w:pPr>
        <w:pStyle w:val="ListParagraph"/>
      </w:pPr>
    </w:p>
    <w:p w14:paraId="189B5D08" w14:textId="2A79394C" w:rsidR="007814A5" w:rsidRDefault="007814A5" w:rsidP="007814A5">
      <w:pPr>
        <w:numPr>
          <w:ilvl w:val="0"/>
          <w:numId w:val="1"/>
        </w:numPr>
        <w:spacing w:after="200" w:line="276" w:lineRule="auto"/>
        <w:contextualSpacing/>
      </w:pPr>
      <w:r w:rsidRPr="007814A5">
        <w:t xml:space="preserve">Nakase, H., Sato, N., Mizuno, N., &amp; </w:t>
      </w:r>
      <w:proofErr w:type="spellStart"/>
      <w:r w:rsidRPr="007814A5">
        <w:t>Ikawa</w:t>
      </w:r>
      <w:proofErr w:type="spellEnd"/>
      <w:r w:rsidRPr="007814A5">
        <w:t>, Y. (2022). The influence of cytokines on the complex pathology of ulcerative colitis. Autoimmunity reviews, 21(3), 103017.</w:t>
      </w:r>
      <w:r>
        <w:t xml:space="preserve">  </w:t>
      </w:r>
    </w:p>
    <w:sectPr w:rsidR="007814A5" w:rsidSect="00034616">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9131" w14:textId="77777777" w:rsidR="00526462" w:rsidRDefault="00526462" w:rsidP="00CB59D4">
      <w:pPr>
        <w:spacing w:after="0" w:line="240" w:lineRule="auto"/>
      </w:pPr>
      <w:r>
        <w:separator/>
      </w:r>
    </w:p>
  </w:endnote>
  <w:endnote w:type="continuationSeparator" w:id="0">
    <w:p w14:paraId="5EA2A084" w14:textId="77777777" w:rsidR="00526462" w:rsidRDefault="00526462" w:rsidP="00CB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EECB1" w14:textId="77777777" w:rsidR="00CB59D4" w:rsidRDefault="00CB5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83EA" w14:textId="77777777" w:rsidR="00CB59D4" w:rsidRDefault="00CB5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1852" w14:textId="77777777" w:rsidR="00CB59D4" w:rsidRDefault="00CB5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A33BB" w14:textId="77777777" w:rsidR="00526462" w:rsidRDefault="00526462" w:rsidP="00CB59D4">
      <w:pPr>
        <w:spacing w:after="0" w:line="240" w:lineRule="auto"/>
      </w:pPr>
      <w:r>
        <w:separator/>
      </w:r>
    </w:p>
  </w:footnote>
  <w:footnote w:type="continuationSeparator" w:id="0">
    <w:p w14:paraId="6F9A4945" w14:textId="77777777" w:rsidR="00526462" w:rsidRDefault="00526462" w:rsidP="00CB5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8BF87" w14:textId="74006A0F" w:rsidR="00CB59D4" w:rsidRDefault="00CB59D4">
    <w:pPr>
      <w:pStyle w:val="Header"/>
    </w:pPr>
    <w:r>
      <w:rPr>
        <w:noProof/>
      </w:rPr>
      <w:pict w14:anchorId="4A77E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4"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A338" w14:textId="5D2D3F6E" w:rsidR="00CB59D4" w:rsidRDefault="00CB59D4">
    <w:pPr>
      <w:pStyle w:val="Header"/>
    </w:pPr>
    <w:r>
      <w:rPr>
        <w:noProof/>
      </w:rPr>
      <w:pict w14:anchorId="6FB06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5"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E167A" w14:textId="0494A33B" w:rsidR="00CB59D4" w:rsidRDefault="00CB59D4">
    <w:pPr>
      <w:pStyle w:val="Header"/>
    </w:pPr>
    <w:r>
      <w:rPr>
        <w:noProof/>
      </w:rPr>
      <w:pict w14:anchorId="0A373F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41703"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815EA"/>
    <w:multiLevelType w:val="hybridMultilevel"/>
    <w:tmpl w:val="EF80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MAQiI0NLCwMzMyUdpeDU4uLM/DyQAsNaAFSrzJcsAAAA"/>
  </w:docVars>
  <w:rsids>
    <w:rsidRoot w:val="00237E2E"/>
    <w:rsid w:val="0003233E"/>
    <w:rsid w:val="0008798C"/>
    <w:rsid w:val="001470F5"/>
    <w:rsid w:val="00237E2E"/>
    <w:rsid w:val="00526462"/>
    <w:rsid w:val="00541869"/>
    <w:rsid w:val="00551AB4"/>
    <w:rsid w:val="005D4BF9"/>
    <w:rsid w:val="0068537F"/>
    <w:rsid w:val="007814A5"/>
    <w:rsid w:val="008A40DD"/>
    <w:rsid w:val="00942C63"/>
    <w:rsid w:val="00CB59D4"/>
    <w:rsid w:val="00E83BAD"/>
    <w:rsid w:val="00EA6084"/>
    <w:rsid w:val="00F541DB"/>
    <w:rsid w:val="00F95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ED1C265"/>
  <w15:chartTrackingRefBased/>
  <w15:docId w15:val="{57B70861-54B7-4D24-B808-9342C832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237E2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37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33E"/>
    <w:rPr>
      <w:color w:val="0563C1" w:themeColor="hyperlink"/>
      <w:u w:val="single"/>
    </w:rPr>
  </w:style>
  <w:style w:type="character" w:styleId="UnresolvedMention">
    <w:name w:val="Unresolved Mention"/>
    <w:basedOn w:val="DefaultParagraphFont"/>
    <w:uiPriority w:val="99"/>
    <w:semiHidden/>
    <w:unhideWhenUsed/>
    <w:rsid w:val="0003233E"/>
    <w:rPr>
      <w:color w:val="605E5C"/>
      <w:shd w:val="clear" w:color="auto" w:fill="E1DFDD"/>
    </w:rPr>
  </w:style>
  <w:style w:type="paragraph" w:styleId="ListParagraph">
    <w:name w:val="List Paragraph"/>
    <w:basedOn w:val="Normal"/>
    <w:uiPriority w:val="34"/>
    <w:qFormat/>
    <w:rsid w:val="007814A5"/>
    <w:pPr>
      <w:ind w:left="720"/>
      <w:contextualSpacing/>
    </w:pPr>
  </w:style>
  <w:style w:type="paragraph" w:styleId="Header">
    <w:name w:val="header"/>
    <w:basedOn w:val="Normal"/>
    <w:link w:val="HeaderChar"/>
    <w:uiPriority w:val="99"/>
    <w:unhideWhenUsed/>
    <w:rsid w:val="00CB5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9D4"/>
  </w:style>
  <w:style w:type="paragraph" w:styleId="Footer">
    <w:name w:val="footer"/>
    <w:basedOn w:val="Normal"/>
    <w:link w:val="FooterChar"/>
    <w:uiPriority w:val="99"/>
    <w:unhideWhenUsed/>
    <w:rsid w:val="00CB5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3390/biologics50200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590C647CE0B48A56DE280BA1DE733" ma:contentTypeVersion="13" ma:contentTypeDescription="Create a new document." ma:contentTypeScope="" ma:versionID="078d995dfb7f1a3d4adc4ac695445f2d">
  <xsd:schema xmlns:xsd="http://www.w3.org/2001/XMLSchema" xmlns:xs="http://www.w3.org/2001/XMLSchema" xmlns:p="http://schemas.microsoft.com/office/2006/metadata/properties" xmlns:ns3="10eb406b-5945-4046-adb0-a91834055cac" targetNamespace="http://schemas.microsoft.com/office/2006/metadata/properties" ma:root="true" ma:fieldsID="3a8a9e86160e544f2782535391ca18b2" ns3:_="">
    <xsd:import namespace="10eb406b-5945-4046-adb0-a91834055cac"/>
    <xsd:element name="properties">
      <xsd:complexType>
        <xsd:sequence>
          <xsd:element name="documentManagement">
            <xsd:complexType>
              <xsd:all>
                <xsd:element ref="ns3:_activity"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b406b-5945-4046-adb0-a91834055ca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0eb406b-5945-4046-adb0-a91834055c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6803B-1DC5-4267-933E-6282BF33A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eb406b-5945-4046-adb0-a91834055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B05DA-15C4-420C-9926-6E5F5A53556B}">
  <ds:schemaRefs>
    <ds:schemaRef ds:uri="http://schemas.microsoft.com/office/2006/metadata/properties"/>
    <ds:schemaRef ds:uri="http://schemas.microsoft.com/office/infopath/2007/PartnerControls"/>
    <ds:schemaRef ds:uri="10eb406b-5945-4046-adb0-a91834055cac"/>
  </ds:schemaRefs>
</ds:datastoreItem>
</file>

<file path=customXml/itemProps3.xml><?xml version="1.0" encoding="utf-8"?>
<ds:datastoreItem xmlns:ds="http://schemas.openxmlformats.org/officeDocument/2006/customXml" ds:itemID="{18A8F90D-A1D2-4B13-B8A7-6171BA1C5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3441</Words>
  <Characters>19614</Characters>
  <Application>Microsoft Office Word</Application>
  <DocSecurity>0</DocSecurity>
  <Lines>163</Lines>
  <Paragraphs>46</Paragraphs>
  <ScaleCrop>false</ScaleCrop>
  <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Thaabit Raziq</dc:creator>
  <cp:keywords/>
  <dc:description/>
  <cp:lastModifiedBy>SDI 1180</cp:lastModifiedBy>
  <cp:revision>25</cp:revision>
  <dcterms:created xsi:type="dcterms:W3CDTF">2025-10-10T16:04:00Z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0x010100E13590C647CE0B48A56DE280BA1DE733</vt:lpwstr>
  </property>
  <property fmtid="{D5CDD505-2E9C-101B-9397-08002B2CF9AE}" pid="3" name="GrammarlyDocumentId">
    <vt:lpwstr>63aefeb0-d968-4eea-af30-05b04ab19ebe</vt:lpwstr>
  </property>
</Properties>
</file>