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A0F557" w14:textId="77777777" w:rsidR="00D1586D" w:rsidRPr="00B87A5C" w:rsidRDefault="00D1586D" w:rsidP="00D1586D">
      <w:pPr>
        <w:spacing w:before="160" w:after="320"/>
        <w:jc w:val="center"/>
        <w:rPr>
          <w:rFonts w:asciiTheme="majorBidi" w:eastAsia="MS Mincho" w:hAnsiTheme="majorBidi" w:cstheme="majorBidi"/>
          <w:sz w:val="48"/>
          <w:szCs w:val="48"/>
        </w:rPr>
      </w:pPr>
      <w:r w:rsidRPr="00B87A5C">
        <w:rPr>
          <w:rFonts w:asciiTheme="majorBidi" w:eastAsia="MS Mincho" w:hAnsiTheme="majorBidi" w:cstheme="majorBidi"/>
          <w:sz w:val="48"/>
          <w:szCs w:val="48"/>
        </w:rPr>
        <w:t>Climate as a Tourism Factor in South Sinai Governorate</w:t>
      </w:r>
      <w:r w:rsidR="00D32D4D">
        <w:rPr>
          <w:rFonts w:asciiTheme="majorBidi" w:eastAsia="MS Mincho" w:hAnsiTheme="majorBidi" w:cstheme="majorBidi"/>
          <w:sz w:val="48"/>
          <w:szCs w:val="48"/>
        </w:rPr>
        <w:t>, Egypt</w:t>
      </w:r>
    </w:p>
    <w:p w14:paraId="06E3EF2E" w14:textId="77777777" w:rsidR="00D1586D" w:rsidRPr="00187853" w:rsidRDefault="00D1586D" w:rsidP="00D1586D">
      <w:pPr>
        <w:jc w:val="both"/>
        <w:rPr>
          <w:rFonts w:asciiTheme="majorBidi" w:hAnsiTheme="majorBidi" w:cstheme="majorBidi"/>
          <w:sz w:val="20"/>
          <w:szCs w:val="20"/>
        </w:rPr>
      </w:pPr>
      <w:bookmarkStart w:id="0" w:name="_GoBack"/>
      <w:bookmarkEnd w:id="0"/>
      <w:r w:rsidRPr="00187853">
        <w:rPr>
          <w:rFonts w:asciiTheme="majorBidi" w:hAnsiTheme="majorBidi" w:cstheme="majorBidi"/>
          <w:sz w:val="20"/>
          <w:szCs w:val="20"/>
        </w:rPr>
        <w:t>______________________________________________________________________________________________</w:t>
      </w:r>
    </w:p>
    <w:p w14:paraId="715B5ED2" w14:textId="77777777" w:rsidR="00C643C4" w:rsidRPr="005F15D3" w:rsidRDefault="00A428E2" w:rsidP="00B87A5C">
      <w:pPr>
        <w:pStyle w:val="Heading2"/>
        <w:spacing w:before="160" w:beforeAutospacing="0" w:after="80" w:afterAutospacing="0"/>
        <w:jc w:val="both"/>
        <w:rPr>
          <w:rFonts w:asciiTheme="majorBidi" w:hAnsiTheme="majorBidi" w:cstheme="majorBidi"/>
          <w:b w:val="0"/>
          <w:bCs w:val="0"/>
          <w:sz w:val="24"/>
          <w:szCs w:val="24"/>
        </w:rPr>
      </w:pPr>
      <w:r w:rsidRPr="005F15D3">
        <w:rPr>
          <w:rFonts w:asciiTheme="majorBidi" w:hAnsiTheme="majorBidi" w:cstheme="majorBidi"/>
          <w:i/>
          <w:iCs/>
          <w:sz w:val="24"/>
          <w:szCs w:val="24"/>
        </w:rPr>
        <w:t>Abstract</w:t>
      </w:r>
      <w:r w:rsidR="00224121" w:rsidRPr="005F15D3">
        <w:rPr>
          <w:rFonts w:asciiTheme="majorBidi" w:hAnsiTheme="majorBidi" w:cstheme="majorBidi"/>
          <w:i/>
          <w:iCs/>
          <w:sz w:val="24"/>
          <w:szCs w:val="24"/>
        </w:rPr>
        <w:t>:</w:t>
      </w:r>
      <w:r w:rsidR="00224121" w:rsidRPr="005F15D3">
        <w:rPr>
          <w:rFonts w:asciiTheme="majorBidi" w:hAnsiTheme="majorBidi" w:cstheme="majorBidi"/>
          <w:sz w:val="24"/>
          <w:szCs w:val="24"/>
        </w:rPr>
        <w:t xml:space="preserve"> </w:t>
      </w:r>
      <w:r w:rsidR="00C643C4" w:rsidRPr="005F15D3">
        <w:rPr>
          <w:rFonts w:asciiTheme="majorBidi" w:hAnsiTheme="majorBidi" w:cstheme="majorBidi"/>
          <w:b w:val="0"/>
          <w:bCs w:val="0"/>
          <w:sz w:val="24"/>
          <w:szCs w:val="24"/>
        </w:rPr>
        <w:t>The South Sinai Governorate's arid climate is a paramount tourism asset, acting as a powerful "pull factor" due to its favorable characteristics: moderate winds (ideal for water sports), high insolation (ensuring clear water for diving), and a temperate annual average of 21.4</w:t>
      </w:r>
      <w:r w:rsidR="00285FA9" w:rsidRPr="005F15D3">
        <w:rPr>
          <w:rFonts w:asciiTheme="majorBidi" w:hAnsiTheme="majorBidi" w:cstheme="majorBidi"/>
          <w:b w:val="0"/>
          <w:bCs w:val="0"/>
          <w:sz w:val="24"/>
          <w:szCs w:val="24"/>
        </w:rPr>
        <w:t>°</w:t>
      </w:r>
      <w:r w:rsidR="00C643C4" w:rsidRPr="005F15D3">
        <w:rPr>
          <w:rFonts w:asciiTheme="majorBidi" w:hAnsiTheme="majorBidi" w:cstheme="majorBidi"/>
          <w:b w:val="0"/>
          <w:bCs w:val="0"/>
          <w:sz w:val="24"/>
          <w:szCs w:val="24"/>
        </w:rPr>
        <w:t xml:space="preserve">C. Bioclimatic analysis (Thom and </w:t>
      </w:r>
      <w:proofErr w:type="spellStart"/>
      <w:r w:rsidR="00C643C4" w:rsidRPr="005F15D3">
        <w:rPr>
          <w:rFonts w:asciiTheme="majorBidi" w:hAnsiTheme="majorBidi" w:cstheme="majorBidi"/>
          <w:b w:val="0"/>
          <w:bCs w:val="0"/>
          <w:sz w:val="24"/>
          <w:szCs w:val="24"/>
        </w:rPr>
        <w:t>Pesi</w:t>
      </w:r>
      <w:proofErr w:type="spellEnd"/>
      <w:r w:rsidR="00C643C4" w:rsidRPr="005F15D3">
        <w:rPr>
          <w:rFonts w:asciiTheme="majorBidi" w:hAnsiTheme="majorBidi" w:cstheme="majorBidi"/>
          <w:b w:val="0"/>
          <w:bCs w:val="0"/>
          <w:sz w:val="24"/>
          <w:szCs w:val="24"/>
        </w:rPr>
        <w:t xml:space="preserve"> </w:t>
      </w:r>
      <w:r w:rsidR="00331123" w:rsidRPr="005F15D3">
        <w:rPr>
          <w:rFonts w:asciiTheme="majorBidi" w:hAnsiTheme="majorBidi" w:cstheme="majorBidi"/>
          <w:b w:val="0"/>
          <w:bCs w:val="0"/>
          <w:sz w:val="24"/>
          <w:szCs w:val="24"/>
        </w:rPr>
        <w:t>m</w:t>
      </w:r>
      <w:r w:rsidR="00C643C4" w:rsidRPr="005F15D3">
        <w:rPr>
          <w:rFonts w:asciiTheme="majorBidi" w:hAnsiTheme="majorBidi" w:cstheme="majorBidi"/>
          <w:b w:val="0"/>
          <w:bCs w:val="0"/>
          <w:sz w:val="24"/>
          <w:szCs w:val="24"/>
        </w:rPr>
        <w:t xml:space="preserve">odels) confirms high tourist comfort, critically maintained by low relative humidity, which extends the </w:t>
      </w:r>
      <w:r w:rsidR="00331123" w:rsidRPr="005F15D3">
        <w:rPr>
          <w:rFonts w:asciiTheme="majorBidi" w:hAnsiTheme="majorBidi" w:cstheme="majorBidi"/>
          <w:b w:val="0"/>
          <w:bCs w:val="0"/>
          <w:sz w:val="24"/>
          <w:szCs w:val="24"/>
        </w:rPr>
        <w:t>o</w:t>
      </w:r>
      <w:r w:rsidR="00C643C4" w:rsidRPr="005F15D3">
        <w:rPr>
          <w:rFonts w:asciiTheme="majorBidi" w:hAnsiTheme="majorBidi" w:cstheme="majorBidi"/>
          <w:b w:val="0"/>
          <w:bCs w:val="0"/>
          <w:sz w:val="24"/>
          <w:szCs w:val="24"/>
        </w:rPr>
        <w:t xml:space="preserve">ptimal </w:t>
      </w:r>
      <w:r w:rsidR="00331123" w:rsidRPr="005F15D3">
        <w:rPr>
          <w:rFonts w:asciiTheme="majorBidi" w:hAnsiTheme="majorBidi" w:cstheme="majorBidi"/>
          <w:b w:val="0"/>
          <w:bCs w:val="0"/>
          <w:sz w:val="24"/>
          <w:szCs w:val="24"/>
        </w:rPr>
        <w:t>c</w:t>
      </w:r>
      <w:r w:rsidR="00C643C4" w:rsidRPr="005F15D3">
        <w:rPr>
          <w:rFonts w:asciiTheme="majorBidi" w:hAnsiTheme="majorBidi" w:cstheme="majorBidi"/>
          <w:b w:val="0"/>
          <w:bCs w:val="0"/>
          <w:sz w:val="24"/>
          <w:szCs w:val="24"/>
        </w:rPr>
        <w:t xml:space="preserve">omfort </w:t>
      </w:r>
      <w:r w:rsidR="00331123" w:rsidRPr="005F15D3">
        <w:rPr>
          <w:rFonts w:asciiTheme="majorBidi" w:hAnsiTheme="majorBidi" w:cstheme="majorBidi"/>
          <w:b w:val="0"/>
          <w:bCs w:val="0"/>
          <w:sz w:val="24"/>
          <w:szCs w:val="24"/>
        </w:rPr>
        <w:t>p</w:t>
      </w:r>
      <w:r w:rsidR="00C643C4" w:rsidRPr="005F15D3">
        <w:rPr>
          <w:rFonts w:asciiTheme="majorBidi" w:hAnsiTheme="majorBidi" w:cstheme="majorBidi"/>
          <w:b w:val="0"/>
          <w:bCs w:val="0"/>
          <w:sz w:val="24"/>
          <w:szCs w:val="24"/>
        </w:rPr>
        <w:t>eriod for mass tourism to six continuous months (May–October). This climatic profile provides the region with a distinct competitive advantage for year-round coastal and outdoor tourism.</w:t>
      </w:r>
    </w:p>
    <w:p w14:paraId="59519772" w14:textId="77777777" w:rsidR="00A428E2" w:rsidRPr="00002ED5" w:rsidRDefault="00C643C4" w:rsidP="00187853">
      <w:pPr>
        <w:pStyle w:val="NormalWeb"/>
        <w:spacing w:before="0" w:beforeAutospacing="0" w:after="0" w:afterAutospacing="0" w:line="276" w:lineRule="auto"/>
        <w:jc w:val="both"/>
        <w:rPr>
          <w:rFonts w:asciiTheme="majorBidi" w:hAnsiTheme="majorBidi" w:cstheme="majorBidi"/>
          <w:sz w:val="22"/>
          <w:szCs w:val="22"/>
        </w:rPr>
      </w:pPr>
      <w:r w:rsidRPr="00002ED5">
        <w:rPr>
          <w:rFonts w:asciiTheme="majorBidi" w:hAnsiTheme="majorBidi" w:cstheme="majorBidi"/>
          <w:b/>
          <w:bCs/>
          <w:i/>
          <w:iCs/>
          <w:sz w:val="22"/>
          <w:szCs w:val="22"/>
        </w:rPr>
        <w:t>Key words:</w:t>
      </w:r>
      <w:r w:rsidRPr="00002ED5">
        <w:rPr>
          <w:rFonts w:asciiTheme="majorBidi" w:hAnsiTheme="majorBidi" w:cstheme="majorBidi"/>
          <w:b/>
          <w:bCs/>
          <w:sz w:val="22"/>
          <w:szCs w:val="22"/>
        </w:rPr>
        <w:t xml:space="preserve"> Tourism Geography, South Sinai, climate, Bioclimatic Comfort, seasonality</w:t>
      </w:r>
      <w:r w:rsidR="00A428E2" w:rsidRPr="00002ED5">
        <w:rPr>
          <w:rFonts w:asciiTheme="majorBidi" w:hAnsiTheme="majorBidi" w:cstheme="majorBidi"/>
          <w:b/>
          <w:bCs/>
          <w:sz w:val="22"/>
          <w:szCs w:val="22"/>
        </w:rPr>
        <w:t>.</w:t>
      </w:r>
    </w:p>
    <w:p w14:paraId="2A2BE5AE" w14:textId="77777777" w:rsidR="00187853" w:rsidRPr="005F15D3" w:rsidRDefault="00187853" w:rsidP="00187853">
      <w:pPr>
        <w:jc w:val="both"/>
        <w:rPr>
          <w:rFonts w:asciiTheme="majorBidi" w:hAnsiTheme="majorBidi" w:cstheme="majorBidi"/>
          <w:sz w:val="24"/>
          <w:szCs w:val="24"/>
        </w:rPr>
      </w:pPr>
      <w:r w:rsidRPr="005F15D3">
        <w:rPr>
          <w:rFonts w:asciiTheme="majorBidi" w:hAnsiTheme="majorBidi" w:cstheme="majorBidi"/>
          <w:sz w:val="24"/>
          <w:szCs w:val="24"/>
        </w:rPr>
        <w:t>______________________________________________________________</w:t>
      </w:r>
      <w:r w:rsidR="00002ED5">
        <w:rPr>
          <w:rFonts w:asciiTheme="majorBidi" w:hAnsiTheme="majorBidi" w:cstheme="majorBidi"/>
          <w:sz w:val="24"/>
          <w:szCs w:val="24"/>
        </w:rPr>
        <w:t>_______________________</w:t>
      </w:r>
    </w:p>
    <w:p w14:paraId="711701F3" w14:textId="77777777" w:rsidR="00B71B16" w:rsidRPr="005F15D3" w:rsidRDefault="00B71B16" w:rsidP="00B87A5C">
      <w:pPr>
        <w:pStyle w:val="Heading2"/>
        <w:spacing w:before="160" w:beforeAutospacing="0" w:after="80" w:afterAutospacing="0" w:line="276" w:lineRule="auto"/>
        <w:rPr>
          <w:rFonts w:asciiTheme="majorBidi" w:hAnsiTheme="majorBidi" w:cstheme="majorBidi"/>
          <w:sz w:val="24"/>
          <w:szCs w:val="24"/>
        </w:rPr>
      </w:pPr>
      <w:r w:rsidRPr="005F15D3">
        <w:rPr>
          <w:rFonts w:asciiTheme="majorBidi" w:hAnsiTheme="majorBidi" w:cstheme="majorBidi"/>
          <w:sz w:val="24"/>
          <w:szCs w:val="24"/>
        </w:rPr>
        <w:t>Introduction</w:t>
      </w:r>
    </w:p>
    <w:p w14:paraId="1AB2BAE5" w14:textId="77777777" w:rsidR="00B71B16" w:rsidRPr="005F15D3" w:rsidRDefault="00B71B16" w:rsidP="00002ED5">
      <w:pPr>
        <w:pStyle w:val="NormalWeb"/>
        <w:spacing w:before="0" w:beforeAutospacing="0" w:after="120" w:afterAutospacing="0" w:line="276" w:lineRule="auto"/>
        <w:jc w:val="both"/>
        <w:rPr>
          <w:rFonts w:asciiTheme="majorBidi" w:hAnsiTheme="majorBidi" w:cstheme="majorBidi"/>
        </w:rPr>
      </w:pPr>
      <w:r w:rsidRPr="005F15D3">
        <w:rPr>
          <w:rFonts w:asciiTheme="majorBidi" w:hAnsiTheme="majorBidi" w:cstheme="majorBidi"/>
        </w:rPr>
        <w:t xml:space="preserve">Tourism is the fastest growing industry in the world. In many countries, it represents a major, rapidly developing economic sector. Climate forms a crucial part of the environmental context in which leisure and tourism activities take place, serving as an important tourism resource. </w:t>
      </w:r>
      <w:r w:rsidR="00CF3ED4" w:rsidRPr="005F15D3">
        <w:rPr>
          <w:rFonts w:asciiTheme="majorBidi" w:hAnsiTheme="majorBidi" w:cstheme="majorBidi"/>
        </w:rPr>
        <w:t>As</w:t>
      </w:r>
      <w:r w:rsidRPr="005F15D3">
        <w:rPr>
          <w:rFonts w:asciiTheme="majorBidi" w:hAnsiTheme="majorBidi" w:cstheme="majorBidi"/>
        </w:rPr>
        <w:t xml:space="preserve"> tourism is a voluntary activity, its practice depends on the perceived climatic conditions of the tourist destination, which is one of the main influences on the decision to take a holiday and choose a destination (Perry, 2005, 730-731). Climatic extremes often prevent many tourism activities from taking place. Winds, for example, often lead to various forms of destruction, also sand and dust storms are considered destructive climatic elements that cause the cessation of beach and other tourism activities (Boniface &amp; Cooper, 1990, 210).</w:t>
      </w:r>
      <w:r w:rsidR="002911A0" w:rsidRPr="005F15D3">
        <w:rPr>
          <w:rFonts w:asciiTheme="majorBidi" w:hAnsiTheme="majorBidi" w:cstheme="majorBidi"/>
        </w:rPr>
        <w:t xml:space="preserve"> The climate pattern </w:t>
      </w:r>
      <w:proofErr w:type="gramStart"/>
      <w:r w:rsidR="002911A0" w:rsidRPr="005F15D3">
        <w:rPr>
          <w:rFonts w:asciiTheme="majorBidi" w:hAnsiTheme="majorBidi" w:cstheme="majorBidi"/>
        </w:rPr>
        <w:t>act</w:t>
      </w:r>
      <w:proofErr w:type="gramEnd"/>
      <w:r w:rsidR="002911A0" w:rsidRPr="005F15D3">
        <w:rPr>
          <w:rFonts w:asciiTheme="majorBidi" w:hAnsiTheme="majorBidi" w:cstheme="majorBidi"/>
        </w:rPr>
        <w:t xml:space="preserve"> as pull factor in the receiving area, occurring in relation to a specific time of year, season, resulting in unevenness or fluctuation during the course of the year (Corluka, 2019, 22).</w:t>
      </w:r>
    </w:p>
    <w:p w14:paraId="55B8A128" w14:textId="77777777" w:rsidR="002C399A" w:rsidRPr="005F15D3" w:rsidRDefault="002C399A" w:rsidP="00002ED5">
      <w:pPr>
        <w:spacing w:after="120" w:line="276" w:lineRule="auto"/>
        <w:jc w:val="both"/>
        <w:rPr>
          <w:rFonts w:asciiTheme="majorBidi" w:eastAsia="Times New Roman" w:hAnsiTheme="majorBidi" w:cstheme="majorBidi"/>
          <w:sz w:val="24"/>
          <w:szCs w:val="24"/>
        </w:rPr>
      </w:pPr>
      <w:r w:rsidRPr="005F15D3">
        <w:rPr>
          <w:rFonts w:asciiTheme="majorBidi" w:eastAsia="Times New Roman" w:hAnsiTheme="majorBidi" w:cstheme="majorBidi"/>
          <w:sz w:val="24"/>
          <w:szCs w:val="24"/>
        </w:rPr>
        <w:t xml:space="preserve">Climate is neither transported nor stored; rather, it's a </w:t>
      </w:r>
      <w:r w:rsidR="00CF3ED4" w:rsidRPr="005F15D3">
        <w:rPr>
          <w:rFonts w:asciiTheme="majorBidi" w:eastAsia="Times New Roman" w:hAnsiTheme="majorBidi" w:cstheme="majorBidi"/>
          <w:sz w:val="24"/>
          <w:szCs w:val="24"/>
        </w:rPr>
        <w:t>unique spatial im</w:t>
      </w:r>
      <w:r w:rsidRPr="005F15D3">
        <w:rPr>
          <w:rFonts w:asciiTheme="majorBidi" w:eastAsia="Times New Roman" w:hAnsiTheme="majorBidi" w:cstheme="majorBidi"/>
          <w:sz w:val="24"/>
          <w:szCs w:val="24"/>
        </w:rPr>
        <w:t xml:space="preserve">print that obliges the tourist to direct their desire to travel to a specific </w:t>
      </w:r>
      <w:r w:rsidR="00CF3ED4" w:rsidRPr="005F15D3">
        <w:rPr>
          <w:rFonts w:asciiTheme="majorBidi" w:eastAsia="Times New Roman" w:hAnsiTheme="majorBidi" w:cstheme="majorBidi"/>
          <w:sz w:val="24"/>
          <w:szCs w:val="24"/>
        </w:rPr>
        <w:t>destination</w:t>
      </w:r>
      <w:r w:rsidRPr="005F15D3">
        <w:rPr>
          <w:rFonts w:asciiTheme="majorBidi" w:eastAsia="Times New Roman" w:hAnsiTheme="majorBidi" w:cstheme="majorBidi"/>
          <w:sz w:val="24"/>
          <w:szCs w:val="24"/>
        </w:rPr>
        <w:t xml:space="preserve"> to enjoy it.</w:t>
      </w:r>
      <w:r w:rsidR="00D31426" w:rsidRPr="005F15D3">
        <w:rPr>
          <w:rFonts w:asciiTheme="majorBidi" w:eastAsia="Times New Roman" w:hAnsiTheme="majorBidi" w:cstheme="majorBidi"/>
          <w:sz w:val="24"/>
          <w:szCs w:val="24"/>
        </w:rPr>
        <w:t xml:space="preserve"> </w:t>
      </w:r>
      <w:r w:rsidRPr="005F15D3">
        <w:rPr>
          <w:rFonts w:asciiTheme="majorBidi" w:eastAsia="Times New Roman" w:hAnsiTheme="majorBidi" w:cstheme="majorBidi"/>
          <w:sz w:val="24"/>
          <w:szCs w:val="24"/>
        </w:rPr>
        <w:t xml:space="preserve">Since the elements of climate represent the raw material necessary for practicing many tourism activities, they influence tourism from </w:t>
      </w:r>
      <w:r w:rsidR="00333555" w:rsidRPr="005F15D3">
        <w:rPr>
          <w:rFonts w:asciiTheme="majorBidi" w:eastAsia="Times New Roman" w:hAnsiTheme="majorBidi" w:cstheme="majorBidi"/>
          <w:sz w:val="24"/>
          <w:szCs w:val="24"/>
        </w:rPr>
        <w:t>two</w:t>
      </w:r>
      <w:r w:rsidRPr="005F15D3">
        <w:rPr>
          <w:rFonts w:asciiTheme="majorBidi" w:eastAsia="Times New Roman" w:hAnsiTheme="majorBidi" w:cstheme="majorBidi"/>
          <w:sz w:val="24"/>
          <w:szCs w:val="24"/>
        </w:rPr>
        <w:t xml:space="preserve"> aspects: </w:t>
      </w:r>
      <w:r w:rsidR="00333555" w:rsidRPr="005F15D3">
        <w:rPr>
          <w:rFonts w:asciiTheme="majorBidi" w:eastAsia="Times New Roman" w:hAnsiTheme="majorBidi" w:cstheme="majorBidi"/>
          <w:sz w:val="24"/>
          <w:szCs w:val="24"/>
        </w:rPr>
        <w:t>comfort and seasonality</w:t>
      </w:r>
      <w:r w:rsidRPr="005F15D3">
        <w:rPr>
          <w:rFonts w:asciiTheme="majorBidi" w:eastAsia="Times New Roman" w:hAnsiTheme="majorBidi" w:cstheme="majorBidi"/>
          <w:sz w:val="24"/>
          <w:szCs w:val="24"/>
        </w:rPr>
        <w:t xml:space="preserve"> (Martin, 2005, 575-580).</w:t>
      </w:r>
      <w:r w:rsidR="00915DCB" w:rsidRPr="005F15D3">
        <w:rPr>
          <w:rFonts w:asciiTheme="majorBidi" w:eastAsia="Times New Roman" w:hAnsiTheme="majorBidi" w:cstheme="majorBidi"/>
          <w:sz w:val="24"/>
          <w:szCs w:val="24"/>
        </w:rPr>
        <w:t xml:space="preserve"> </w:t>
      </w:r>
      <w:r w:rsidRPr="005F15D3">
        <w:rPr>
          <w:rFonts w:asciiTheme="majorBidi" w:eastAsia="Times New Roman" w:hAnsiTheme="majorBidi" w:cstheme="majorBidi"/>
          <w:sz w:val="24"/>
          <w:szCs w:val="24"/>
        </w:rPr>
        <w:t xml:space="preserve">Tourism geography is concerned with studying the relationship between climate and tourism to clarify the importance and role of climate in practicing tourism activities and in making decisions regarding the location and planning of tourism </w:t>
      </w:r>
      <w:r w:rsidR="00915DCB" w:rsidRPr="005F15D3">
        <w:rPr>
          <w:rFonts w:asciiTheme="majorBidi" w:eastAsia="Times New Roman" w:hAnsiTheme="majorBidi" w:cstheme="majorBidi"/>
          <w:sz w:val="24"/>
          <w:szCs w:val="24"/>
        </w:rPr>
        <w:t>sites</w:t>
      </w:r>
      <w:r w:rsidRPr="005F15D3">
        <w:rPr>
          <w:rFonts w:asciiTheme="majorBidi" w:eastAsia="Times New Roman" w:hAnsiTheme="majorBidi" w:cstheme="majorBidi"/>
          <w:sz w:val="24"/>
          <w:szCs w:val="24"/>
        </w:rPr>
        <w:t>. It does this by analyzing the tourism components provided by the climatic conditions in the areas of interest.</w:t>
      </w:r>
    </w:p>
    <w:p w14:paraId="270B5DB0" w14:textId="77777777" w:rsidR="00B832A7" w:rsidRPr="005F15D3" w:rsidRDefault="00333555" w:rsidP="00002ED5">
      <w:pPr>
        <w:spacing w:after="120" w:line="276" w:lineRule="auto"/>
        <w:jc w:val="both"/>
        <w:rPr>
          <w:rFonts w:asciiTheme="majorBidi" w:hAnsiTheme="majorBidi" w:cstheme="majorBidi"/>
          <w:sz w:val="24"/>
          <w:szCs w:val="24"/>
        </w:rPr>
      </w:pPr>
      <w:r w:rsidRPr="005F15D3">
        <w:rPr>
          <w:rFonts w:asciiTheme="majorBidi" w:hAnsiTheme="majorBidi" w:cstheme="majorBidi"/>
          <w:sz w:val="24"/>
          <w:szCs w:val="24"/>
        </w:rPr>
        <w:t>Drawing from the preceding ideas, this study aims to geographically investigate the impact of climate on the tourism sector in the South Sinai Governorate. This involves analyzing key climatic parameters and their corresponding influence on the viability of tourism activities, the level of tourist comfort, and the</w:t>
      </w:r>
      <w:r w:rsidR="00D30299" w:rsidRPr="005F15D3">
        <w:rPr>
          <w:rFonts w:asciiTheme="majorBidi" w:hAnsiTheme="majorBidi" w:cstheme="majorBidi"/>
          <w:sz w:val="24"/>
          <w:szCs w:val="24"/>
        </w:rPr>
        <w:t xml:space="preserve"> resulting seasonality patterns</w:t>
      </w:r>
      <w:r w:rsidR="003E3C69" w:rsidRPr="005F15D3">
        <w:rPr>
          <w:rFonts w:asciiTheme="majorBidi" w:hAnsiTheme="majorBidi" w:cstheme="majorBidi"/>
          <w:sz w:val="24"/>
          <w:szCs w:val="24"/>
        </w:rPr>
        <w:t>.</w:t>
      </w:r>
    </w:p>
    <w:p w14:paraId="7A1600D3" w14:textId="77777777" w:rsidR="00EF62F4" w:rsidRPr="005F15D3" w:rsidRDefault="00EF62F4" w:rsidP="00B87A5C">
      <w:pPr>
        <w:pStyle w:val="Heading2"/>
        <w:spacing w:before="160" w:beforeAutospacing="0" w:after="80" w:afterAutospacing="0" w:line="276" w:lineRule="auto"/>
        <w:rPr>
          <w:rFonts w:asciiTheme="majorBidi" w:hAnsiTheme="majorBidi" w:cstheme="majorBidi"/>
          <w:sz w:val="24"/>
          <w:szCs w:val="24"/>
          <w:rtl/>
        </w:rPr>
      </w:pPr>
      <w:r w:rsidRPr="005F15D3">
        <w:rPr>
          <w:rFonts w:asciiTheme="majorBidi" w:hAnsiTheme="majorBidi" w:cstheme="majorBidi"/>
          <w:sz w:val="24"/>
          <w:szCs w:val="24"/>
        </w:rPr>
        <w:t>Study area</w:t>
      </w:r>
    </w:p>
    <w:p w14:paraId="392AA154" w14:textId="77777777" w:rsidR="00E064E2" w:rsidRPr="005F15D3" w:rsidRDefault="00002ED5" w:rsidP="00002ED5">
      <w:pPr>
        <w:spacing w:after="120" w:line="276" w:lineRule="auto"/>
        <w:jc w:val="both"/>
        <w:rPr>
          <w:rFonts w:asciiTheme="majorBidi" w:eastAsia="Times New Roman" w:hAnsiTheme="majorBidi" w:cstheme="majorBidi"/>
          <w:sz w:val="24"/>
          <w:szCs w:val="24"/>
        </w:rPr>
      </w:pPr>
      <w:r w:rsidRPr="005F15D3">
        <w:rPr>
          <w:rFonts w:asciiTheme="majorBidi" w:hAnsiTheme="majorBidi" w:cstheme="majorBidi"/>
          <w:noProof/>
          <w:sz w:val="24"/>
          <w:szCs w:val="24"/>
        </w:rPr>
        <w:lastRenderedPageBreak/>
        <w:drawing>
          <wp:anchor distT="0" distB="0" distL="114300" distR="114300" simplePos="0" relativeHeight="251667456" behindDoc="1" locked="0" layoutInCell="1" allowOverlap="1" wp14:anchorId="020446BB" wp14:editId="791A29F4">
            <wp:simplePos x="0" y="0"/>
            <wp:positionH relativeFrom="margin">
              <wp:posOffset>2015490</wp:posOffset>
            </wp:positionH>
            <wp:positionV relativeFrom="paragraph">
              <wp:posOffset>942975</wp:posOffset>
            </wp:positionV>
            <wp:extent cx="4432935" cy="4498340"/>
            <wp:effectExtent l="0" t="0" r="5715" b="0"/>
            <wp:wrapTight wrapText="bothSides">
              <wp:wrapPolygon edited="0">
                <wp:start x="0" y="0"/>
                <wp:lineTo x="0" y="21496"/>
                <wp:lineTo x="21535" y="21496"/>
                <wp:lineTo x="21535"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32935" cy="4498340"/>
                    </a:xfrm>
                    <a:prstGeom prst="rect">
                      <a:avLst/>
                    </a:prstGeom>
                    <a:noFill/>
                    <a:ln>
                      <a:noFill/>
                    </a:ln>
                  </pic:spPr>
                </pic:pic>
              </a:graphicData>
            </a:graphic>
            <wp14:sizeRelH relativeFrom="page">
              <wp14:pctWidth>0</wp14:pctWidth>
            </wp14:sizeRelH>
            <wp14:sizeRelV relativeFrom="page">
              <wp14:pctHeight>0</wp14:pctHeight>
            </wp14:sizeRelV>
          </wp:anchor>
        </w:drawing>
      </w:r>
      <w:r w:rsidR="00E064E2" w:rsidRPr="005F15D3">
        <w:rPr>
          <w:rFonts w:asciiTheme="majorBidi" w:eastAsia="Times New Roman" w:hAnsiTheme="majorBidi" w:cstheme="majorBidi"/>
          <w:sz w:val="24"/>
          <w:szCs w:val="24"/>
        </w:rPr>
        <w:t xml:space="preserve">The South Sinai Governorate (Figure 1) occupies a strategic geographic location, extending approximately between latitudes </w:t>
      </w:r>
      <w:r w:rsidR="00E064E2" w:rsidRPr="005F15D3">
        <w:rPr>
          <w:rFonts w:asciiTheme="majorBidi" w:hAnsiTheme="majorBidi" w:cstheme="majorBidi"/>
          <w:sz w:val="24"/>
          <w:szCs w:val="24"/>
        </w:rPr>
        <w:t>27° 30' and 29° 30' north and longitudes 32° 30' and 34° 50' east.</w:t>
      </w:r>
      <w:r w:rsidR="00E064E2" w:rsidRPr="005F15D3">
        <w:rPr>
          <w:rFonts w:asciiTheme="majorBidi" w:eastAsia="Times New Roman" w:hAnsiTheme="majorBidi" w:cstheme="majorBidi"/>
          <w:sz w:val="24"/>
          <w:szCs w:val="24"/>
        </w:rPr>
        <w:t xml:space="preserve"> Situated at the southern tip of the Sinai Peninsula in Egypt, its boundaries are defined by the Gulf of Suez to the west and the Gulf of Aqaba to the east, which converge dramatically at the renowned Ras Muhammad promontory.</w:t>
      </w:r>
      <w:r w:rsidR="00DC7791" w:rsidRPr="005F15D3">
        <w:rPr>
          <w:rFonts w:asciiTheme="majorBidi" w:eastAsia="Times New Roman" w:hAnsiTheme="majorBidi" w:cstheme="majorBidi"/>
          <w:sz w:val="24"/>
          <w:szCs w:val="24"/>
        </w:rPr>
        <w:t xml:space="preserve"> </w:t>
      </w:r>
      <w:r w:rsidR="00E064E2" w:rsidRPr="005F15D3">
        <w:rPr>
          <w:rFonts w:asciiTheme="majorBidi" w:eastAsia="Times New Roman" w:hAnsiTheme="majorBidi" w:cstheme="majorBidi"/>
          <w:sz w:val="24"/>
          <w:szCs w:val="24"/>
        </w:rPr>
        <w:t>The Governorate spans an area of nearly 3</w:t>
      </w:r>
      <w:r w:rsidR="00804631" w:rsidRPr="005F15D3">
        <w:rPr>
          <w:rFonts w:asciiTheme="majorBidi" w:eastAsia="Times New Roman" w:hAnsiTheme="majorBidi" w:cstheme="majorBidi"/>
          <w:sz w:val="24"/>
          <w:szCs w:val="24"/>
          <w:rtl/>
        </w:rPr>
        <w:t>1</w:t>
      </w:r>
      <w:r w:rsidR="00E064E2" w:rsidRPr="005F15D3">
        <w:rPr>
          <w:rFonts w:asciiTheme="majorBidi" w:eastAsia="Times New Roman" w:hAnsiTheme="majorBidi" w:cstheme="majorBidi"/>
          <w:sz w:val="24"/>
          <w:szCs w:val="24"/>
        </w:rPr>
        <w:t>,</w:t>
      </w:r>
      <w:r w:rsidR="00804631" w:rsidRPr="005F15D3">
        <w:rPr>
          <w:rFonts w:asciiTheme="majorBidi" w:eastAsia="Times New Roman" w:hAnsiTheme="majorBidi" w:cstheme="majorBidi"/>
          <w:sz w:val="24"/>
          <w:szCs w:val="24"/>
        </w:rPr>
        <w:t>272</w:t>
      </w:r>
      <w:r w:rsidR="00E064E2" w:rsidRPr="005F15D3">
        <w:rPr>
          <w:rFonts w:asciiTheme="majorBidi" w:eastAsia="Times New Roman" w:hAnsiTheme="majorBidi" w:cstheme="majorBidi"/>
          <w:sz w:val="24"/>
          <w:szCs w:val="24"/>
        </w:rPr>
        <w:t xml:space="preserve"> km</w:t>
      </w:r>
      <w:r w:rsidR="00E064E2" w:rsidRPr="005F15D3">
        <w:rPr>
          <w:rFonts w:asciiTheme="majorBidi" w:eastAsia="Times New Roman" w:hAnsiTheme="majorBidi" w:cstheme="majorBidi"/>
          <w:sz w:val="24"/>
          <w:szCs w:val="24"/>
          <w:vertAlign w:val="superscript"/>
        </w:rPr>
        <w:t>2</w:t>
      </w:r>
      <w:r w:rsidR="00E064E2" w:rsidRPr="005F15D3">
        <w:rPr>
          <w:rFonts w:asciiTheme="majorBidi" w:eastAsia="Times New Roman" w:hAnsiTheme="majorBidi" w:cstheme="majorBidi"/>
          <w:sz w:val="24"/>
          <w:szCs w:val="24"/>
        </w:rPr>
        <w:t xml:space="preserve">. Administratively, it comprises nine principal cities: Ras </w:t>
      </w:r>
      <w:proofErr w:type="spellStart"/>
      <w:r w:rsidR="00E064E2" w:rsidRPr="005F15D3">
        <w:rPr>
          <w:rFonts w:asciiTheme="majorBidi" w:eastAsia="Times New Roman" w:hAnsiTheme="majorBidi" w:cstheme="majorBidi"/>
          <w:sz w:val="24"/>
          <w:szCs w:val="24"/>
        </w:rPr>
        <w:t>Sudr</w:t>
      </w:r>
      <w:proofErr w:type="spellEnd"/>
      <w:r w:rsidR="00E064E2" w:rsidRPr="005F15D3">
        <w:rPr>
          <w:rFonts w:asciiTheme="majorBidi" w:eastAsia="Times New Roman" w:hAnsiTheme="majorBidi" w:cstheme="majorBidi"/>
          <w:sz w:val="24"/>
          <w:szCs w:val="24"/>
        </w:rPr>
        <w:t xml:space="preserve">, Abu </w:t>
      </w:r>
      <w:proofErr w:type="spellStart"/>
      <w:r w:rsidR="00E064E2" w:rsidRPr="005F15D3">
        <w:rPr>
          <w:rFonts w:asciiTheme="majorBidi" w:eastAsia="Times New Roman" w:hAnsiTheme="majorBidi" w:cstheme="majorBidi"/>
          <w:sz w:val="24"/>
          <w:szCs w:val="24"/>
        </w:rPr>
        <w:t>Zenima</w:t>
      </w:r>
      <w:proofErr w:type="spellEnd"/>
      <w:r w:rsidR="00E064E2" w:rsidRPr="005F15D3">
        <w:rPr>
          <w:rFonts w:asciiTheme="majorBidi" w:eastAsia="Times New Roman" w:hAnsiTheme="majorBidi" w:cstheme="majorBidi"/>
          <w:sz w:val="24"/>
          <w:szCs w:val="24"/>
        </w:rPr>
        <w:t xml:space="preserve">, Abu Rudeis, Saint Catherine, El Tor (The capital), Sharm El Sheikh, Dahab, </w:t>
      </w:r>
      <w:proofErr w:type="spellStart"/>
      <w:r w:rsidR="00E064E2" w:rsidRPr="005F15D3">
        <w:rPr>
          <w:rFonts w:asciiTheme="majorBidi" w:eastAsia="Times New Roman" w:hAnsiTheme="majorBidi" w:cstheme="majorBidi"/>
          <w:sz w:val="24"/>
          <w:szCs w:val="24"/>
        </w:rPr>
        <w:t>Nuweiba</w:t>
      </w:r>
      <w:proofErr w:type="spellEnd"/>
      <w:r w:rsidR="00E064E2" w:rsidRPr="005F15D3">
        <w:rPr>
          <w:rFonts w:asciiTheme="majorBidi" w:eastAsia="Times New Roman" w:hAnsiTheme="majorBidi" w:cstheme="majorBidi"/>
          <w:sz w:val="24"/>
          <w:szCs w:val="24"/>
        </w:rPr>
        <w:t xml:space="preserve">, and </w:t>
      </w:r>
      <w:proofErr w:type="spellStart"/>
      <w:r w:rsidR="00E064E2" w:rsidRPr="005F15D3">
        <w:rPr>
          <w:rFonts w:asciiTheme="majorBidi" w:eastAsia="Times New Roman" w:hAnsiTheme="majorBidi" w:cstheme="majorBidi"/>
          <w:sz w:val="24"/>
          <w:szCs w:val="24"/>
        </w:rPr>
        <w:t>Taba</w:t>
      </w:r>
      <w:proofErr w:type="spellEnd"/>
      <w:r w:rsidR="00E064E2" w:rsidRPr="005F15D3">
        <w:rPr>
          <w:rFonts w:asciiTheme="majorBidi" w:eastAsia="Times New Roman" w:hAnsiTheme="majorBidi" w:cstheme="majorBidi"/>
          <w:sz w:val="24"/>
          <w:szCs w:val="24"/>
        </w:rPr>
        <w:t xml:space="preserve">. Furthermore, the region encompasses an estimated 81 Bedouin communities. It is also home to five significant declared nature reserves: Ras Muhammad, Saint Catherine, Taba, Nabq, and Abu </w:t>
      </w:r>
      <w:proofErr w:type="spellStart"/>
      <w:r w:rsidR="00E064E2" w:rsidRPr="005F15D3">
        <w:rPr>
          <w:rFonts w:asciiTheme="majorBidi" w:eastAsia="Times New Roman" w:hAnsiTheme="majorBidi" w:cstheme="majorBidi"/>
          <w:sz w:val="24"/>
          <w:szCs w:val="24"/>
        </w:rPr>
        <w:t>Galum</w:t>
      </w:r>
      <w:proofErr w:type="spellEnd"/>
      <w:r w:rsidR="004F1C82" w:rsidRPr="005F15D3">
        <w:rPr>
          <w:rFonts w:asciiTheme="majorBidi" w:eastAsia="Times New Roman" w:hAnsiTheme="majorBidi" w:cstheme="majorBidi"/>
          <w:sz w:val="24"/>
          <w:szCs w:val="24"/>
        </w:rPr>
        <w:t xml:space="preserve"> </w:t>
      </w:r>
      <w:r w:rsidR="00FA5932" w:rsidRPr="005F15D3">
        <w:rPr>
          <w:rFonts w:asciiTheme="majorBidi" w:eastAsia="Times New Roman" w:hAnsiTheme="majorBidi" w:cstheme="majorBidi"/>
          <w:sz w:val="24"/>
          <w:szCs w:val="24"/>
        </w:rPr>
        <w:t>(South Sinai Governorate Electronic Portal).</w:t>
      </w:r>
    </w:p>
    <w:p w14:paraId="337BE4F7" w14:textId="77777777" w:rsidR="00B675D1" w:rsidRPr="005F15D3" w:rsidRDefault="00B675D1" w:rsidP="00B87A5C">
      <w:pPr>
        <w:pStyle w:val="Heading2"/>
        <w:spacing w:before="160" w:beforeAutospacing="0" w:after="80" w:afterAutospacing="0" w:line="276" w:lineRule="auto"/>
        <w:rPr>
          <w:rFonts w:asciiTheme="majorBidi" w:hAnsiTheme="majorBidi" w:cstheme="majorBidi"/>
          <w:sz w:val="24"/>
          <w:szCs w:val="24"/>
        </w:rPr>
      </w:pPr>
      <w:r w:rsidRPr="005F15D3">
        <w:rPr>
          <w:rFonts w:asciiTheme="majorBidi" w:hAnsiTheme="majorBidi" w:cstheme="majorBidi"/>
          <w:sz w:val="24"/>
          <w:szCs w:val="24"/>
        </w:rPr>
        <w:t>Hypotheses</w:t>
      </w:r>
    </w:p>
    <w:p w14:paraId="330B9C37" w14:textId="77777777" w:rsidR="00B675D1" w:rsidRPr="005F15D3" w:rsidRDefault="00B675D1" w:rsidP="00002ED5">
      <w:pPr>
        <w:spacing w:after="120" w:line="276" w:lineRule="auto"/>
        <w:jc w:val="both"/>
        <w:rPr>
          <w:rFonts w:asciiTheme="majorBidi" w:hAnsiTheme="majorBidi" w:cstheme="majorBidi"/>
          <w:sz w:val="24"/>
          <w:szCs w:val="24"/>
        </w:rPr>
      </w:pPr>
      <w:r w:rsidRPr="005F15D3">
        <w:rPr>
          <w:rFonts w:asciiTheme="majorBidi" w:hAnsiTheme="majorBidi" w:cstheme="majorBidi"/>
          <w:sz w:val="24"/>
          <w:szCs w:val="24"/>
        </w:rPr>
        <w:t xml:space="preserve">The research issue of the study examines the following question: </w:t>
      </w:r>
      <w:r w:rsidRPr="005F15D3">
        <w:rPr>
          <w:rFonts w:asciiTheme="majorBidi" w:hAnsiTheme="majorBidi" w:cstheme="majorBidi"/>
          <w:i/>
          <w:iCs/>
          <w:sz w:val="24"/>
          <w:szCs w:val="24"/>
        </w:rPr>
        <w:t>To what extent and in what manner does the climate of South Sinai Governorate influence the tourism industry, tourist comfort, and seasonality patterns?</w:t>
      </w:r>
      <w:r w:rsidRPr="005F15D3">
        <w:rPr>
          <w:rFonts w:asciiTheme="majorBidi" w:hAnsiTheme="majorBidi" w:cstheme="majorBidi"/>
          <w:sz w:val="24"/>
          <w:szCs w:val="24"/>
        </w:rPr>
        <w:t xml:space="preserve"> Therefore, the hypotheses can be formulated as follows:</w:t>
      </w:r>
    </w:p>
    <w:p w14:paraId="5F74C491" w14:textId="77777777" w:rsidR="00B675D1" w:rsidRPr="005F15D3" w:rsidRDefault="00B675D1" w:rsidP="00002ED5">
      <w:pPr>
        <w:pStyle w:val="NormalWeb"/>
        <w:numPr>
          <w:ilvl w:val="0"/>
          <w:numId w:val="2"/>
        </w:numPr>
        <w:spacing w:before="0" w:beforeAutospacing="0" w:after="120" w:afterAutospacing="0" w:line="276" w:lineRule="auto"/>
        <w:jc w:val="both"/>
        <w:rPr>
          <w:rFonts w:asciiTheme="majorBidi" w:hAnsiTheme="majorBidi" w:cstheme="majorBidi"/>
        </w:rPr>
      </w:pPr>
      <w:r w:rsidRPr="005F15D3">
        <w:rPr>
          <w:rFonts w:asciiTheme="majorBidi" w:hAnsiTheme="majorBidi" w:cstheme="majorBidi"/>
        </w:rPr>
        <w:t>The primary climatic elements significantly influence the viability and practice of specific tourism activities across destinations in South Sinai.</w:t>
      </w:r>
    </w:p>
    <w:p w14:paraId="1DA5DFAC" w14:textId="77777777" w:rsidR="00026216" w:rsidRPr="005F15D3" w:rsidRDefault="003D206A" w:rsidP="00002ED5">
      <w:pPr>
        <w:pStyle w:val="NormalWeb"/>
        <w:numPr>
          <w:ilvl w:val="0"/>
          <w:numId w:val="2"/>
        </w:numPr>
        <w:spacing w:before="0" w:beforeAutospacing="0" w:after="120" w:afterAutospacing="0" w:line="276" w:lineRule="auto"/>
        <w:jc w:val="both"/>
        <w:rPr>
          <w:rFonts w:asciiTheme="majorBidi" w:hAnsiTheme="majorBidi" w:cstheme="majorBidi"/>
        </w:rPr>
      </w:pPr>
      <w:r w:rsidRPr="005F15D3">
        <w:rPr>
          <w:rFonts w:asciiTheme="majorBidi" w:hAnsiTheme="majorBidi" w:cstheme="majorBidi"/>
        </w:rPr>
        <w:t>There is a direct correlation between South Sinai's climatic conditions and the perceived level of tourist comfort.</w:t>
      </w:r>
    </w:p>
    <w:p w14:paraId="7F8279A9" w14:textId="77777777" w:rsidR="006C7D0A" w:rsidRPr="005F15D3" w:rsidRDefault="006363E1" w:rsidP="00002ED5">
      <w:pPr>
        <w:pStyle w:val="NormalWeb"/>
        <w:numPr>
          <w:ilvl w:val="0"/>
          <w:numId w:val="2"/>
        </w:numPr>
        <w:spacing w:before="0" w:beforeAutospacing="0" w:after="120" w:afterAutospacing="0" w:line="276" w:lineRule="auto"/>
        <w:jc w:val="both"/>
        <w:rPr>
          <w:rFonts w:asciiTheme="majorBidi" w:hAnsiTheme="majorBidi" w:cstheme="majorBidi"/>
        </w:rPr>
      </w:pPr>
      <w:r w:rsidRPr="005F15D3">
        <w:rPr>
          <w:rFonts w:asciiTheme="majorBidi" w:hAnsiTheme="majorBidi" w:cstheme="majorBidi"/>
        </w:rPr>
        <w:t>The distinct seasonal variations in South Sinai's climate are the key determinant shaping the temporal patterns (seasonality) of tourism demand.</w:t>
      </w:r>
    </w:p>
    <w:p w14:paraId="4B8240BB" w14:textId="77777777" w:rsidR="00E9339C" w:rsidRPr="005F15D3" w:rsidRDefault="00E9339C" w:rsidP="00B87A5C">
      <w:pPr>
        <w:pStyle w:val="Heading2"/>
        <w:spacing w:before="160" w:beforeAutospacing="0" w:after="80" w:afterAutospacing="0" w:line="276" w:lineRule="auto"/>
        <w:rPr>
          <w:rFonts w:asciiTheme="majorBidi" w:hAnsiTheme="majorBidi" w:cstheme="majorBidi"/>
          <w:sz w:val="24"/>
          <w:szCs w:val="24"/>
        </w:rPr>
      </w:pPr>
      <w:r w:rsidRPr="005F15D3">
        <w:rPr>
          <w:rFonts w:asciiTheme="majorBidi" w:hAnsiTheme="majorBidi" w:cstheme="majorBidi"/>
          <w:sz w:val="24"/>
          <w:szCs w:val="24"/>
        </w:rPr>
        <w:t>Methodology</w:t>
      </w:r>
    </w:p>
    <w:p w14:paraId="5EFA14FB" w14:textId="77777777" w:rsidR="00B93193" w:rsidRPr="005F15D3" w:rsidRDefault="00B93193" w:rsidP="00002ED5">
      <w:pPr>
        <w:pStyle w:val="NormalWeb"/>
        <w:spacing w:before="0" w:beforeAutospacing="0" w:after="120" w:afterAutospacing="0" w:line="276" w:lineRule="auto"/>
        <w:jc w:val="both"/>
        <w:rPr>
          <w:rFonts w:asciiTheme="majorBidi" w:hAnsiTheme="majorBidi" w:cstheme="majorBidi"/>
        </w:rPr>
      </w:pPr>
      <w:r w:rsidRPr="005F15D3">
        <w:rPr>
          <w:rFonts w:asciiTheme="majorBidi" w:hAnsiTheme="majorBidi" w:cstheme="majorBidi"/>
        </w:rPr>
        <w:t xml:space="preserve">This study employs a descriptive-analytical method to investigate the critical role of climate in determining tourism viability, tourist comfort levels, and seasonality patterns within the South Sinai Governorate, Egypt. This approach necessitates both the description and rigorous analysis of the regional climate's </w:t>
      </w:r>
      <w:r w:rsidRPr="005F15D3">
        <w:rPr>
          <w:rFonts w:asciiTheme="majorBidi" w:hAnsiTheme="majorBidi" w:cstheme="majorBidi"/>
        </w:rPr>
        <w:lastRenderedPageBreak/>
        <w:t>characteristics and its subsequent impact on tourism activity. Given that climate stands as one of the most prominent determinants affecting the tourism sector within the governorate, the study adopts a robust descriptive, analytical, and quantitative research design.</w:t>
      </w:r>
    </w:p>
    <w:p w14:paraId="3B03D33A" w14:textId="77777777" w:rsidR="00B93193" w:rsidRPr="005F15D3" w:rsidRDefault="00B93193" w:rsidP="00002ED5">
      <w:pPr>
        <w:pStyle w:val="NormalWeb"/>
        <w:spacing w:before="0" w:beforeAutospacing="0" w:after="120" w:afterAutospacing="0" w:line="276" w:lineRule="auto"/>
        <w:jc w:val="both"/>
        <w:rPr>
          <w:rFonts w:asciiTheme="majorBidi" w:hAnsiTheme="majorBidi" w:cstheme="majorBidi"/>
        </w:rPr>
      </w:pPr>
      <w:r w:rsidRPr="005F15D3">
        <w:rPr>
          <w:rFonts w:asciiTheme="majorBidi" w:hAnsiTheme="majorBidi" w:cstheme="majorBidi"/>
        </w:rPr>
        <w:t xml:space="preserve"> Data Sources and Collection</w:t>
      </w:r>
    </w:p>
    <w:p w14:paraId="1CCB1D15" w14:textId="77777777" w:rsidR="00B93193" w:rsidRPr="005F15D3" w:rsidRDefault="00B93193" w:rsidP="00002ED5">
      <w:pPr>
        <w:pStyle w:val="NormalWeb"/>
        <w:spacing w:before="0" w:beforeAutospacing="0" w:after="120" w:afterAutospacing="0" w:line="276" w:lineRule="auto"/>
        <w:jc w:val="both"/>
        <w:rPr>
          <w:rFonts w:asciiTheme="majorBidi" w:hAnsiTheme="majorBidi" w:cstheme="majorBidi"/>
        </w:rPr>
      </w:pPr>
      <w:r w:rsidRPr="005F15D3">
        <w:rPr>
          <w:rFonts w:asciiTheme="majorBidi" w:hAnsiTheme="majorBidi" w:cstheme="majorBidi"/>
        </w:rPr>
        <w:t>The quantitative analysis relies on two primary categories of data:</w:t>
      </w:r>
    </w:p>
    <w:p w14:paraId="37276D45" w14:textId="77777777" w:rsidR="00B93193" w:rsidRPr="005F15D3" w:rsidRDefault="00B93193" w:rsidP="00002ED5">
      <w:pPr>
        <w:pStyle w:val="Heading4"/>
        <w:spacing w:before="0" w:after="120" w:line="276" w:lineRule="auto"/>
        <w:rPr>
          <w:rFonts w:asciiTheme="majorBidi" w:hAnsiTheme="majorBidi"/>
          <w:sz w:val="24"/>
          <w:szCs w:val="24"/>
        </w:rPr>
      </w:pPr>
      <w:r w:rsidRPr="005F15D3">
        <w:rPr>
          <w:rFonts w:asciiTheme="majorBidi" w:eastAsia="Times New Roman" w:hAnsiTheme="majorBidi"/>
          <w:color w:val="auto"/>
          <w:sz w:val="24"/>
          <w:szCs w:val="24"/>
        </w:rPr>
        <w:t>1. Climatic Data</w:t>
      </w:r>
    </w:p>
    <w:p w14:paraId="7E97C435" w14:textId="77777777" w:rsidR="00B93193" w:rsidRPr="005F15D3" w:rsidRDefault="00B93193" w:rsidP="00002ED5">
      <w:pPr>
        <w:pStyle w:val="NormalWeb"/>
        <w:spacing w:before="0" w:beforeAutospacing="0" w:after="120" w:afterAutospacing="0" w:line="276" w:lineRule="auto"/>
        <w:jc w:val="both"/>
        <w:rPr>
          <w:rFonts w:asciiTheme="majorBidi" w:hAnsiTheme="majorBidi" w:cstheme="majorBidi"/>
        </w:rPr>
      </w:pPr>
      <w:r w:rsidRPr="005F15D3">
        <w:rPr>
          <w:rFonts w:asciiTheme="majorBidi" w:hAnsiTheme="majorBidi" w:cstheme="majorBidi"/>
        </w:rPr>
        <w:t>Data are sourced from the Egyptian Meteorological Authority (EMA). The dataset encompasses monthly and annual averages for key climatic parameters, including wind (direction and speed), insolation, air temperature, and relative humidity. These data are utilized to analyze their direct influence on the viability and practice of specific tourism activities.</w:t>
      </w:r>
    </w:p>
    <w:p w14:paraId="1F4F24C9" w14:textId="77777777" w:rsidR="00B93193" w:rsidRPr="005F15D3" w:rsidRDefault="00B93193" w:rsidP="00002ED5">
      <w:pPr>
        <w:pStyle w:val="Heading4"/>
        <w:spacing w:before="0" w:after="120" w:line="276" w:lineRule="auto"/>
        <w:rPr>
          <w:rFonts w:asciiTheme="majorBidi" w:eastAsia="Times New Roman" w:hAnsiTheme="majorBidi"/>
          <w:color w:val="auto"/>
          <w:sz w:val="24"/>
          <w:szCs w:val="24"/>
        </w:rPr>
      </w:pPr>
      <w:r w:rsidRPr="005F15D3">
        <w:rPr>
          <w:rFonts w:asciiTheme="majorBidi" w:eastAsia="Times New Roman" w:hAnsiTheme="majorBidi"/>
          <w:color w:val="auto"/>
          <w:sz w:val="24"/>
          <w:szCs w:val="24"/>
        </w:rPr>
        <w:t>2. Tourism Data</w:t>
      </w:r>
    </w:p>
    <w:p w14:paraId="3A42EC7D" w14:textId="77777777" w:rsidR="00B93193" w:rsidRPr="005F15D3" w:rsidRDefault="00B93193" w:rsidP="00002ED5">
      <w:pPr>
        <w:pStyle w:val="NormalWeb"/>
        <w:spacing w:before="0" w:beforeAutospacing="0" w:after="120" w:afterAutospacing="0" w:line="276" w:lineRule="auto"/>
        <w:jc w:val="both"/>
        <w:rPr>
          <w:rFonts w:asciiTheme="majorBidi" w:hAnsiTheme="majorBidi" w:cstheme="majorBidi"/>
        </w:rPr>
      </w:pPr>
      <w:r w:rsidRPr="005F15D3">
        <w:rPr>
          <w:rFonts w:asciiTheme="majorBidi" w:hAnsiTheme="majorBidi" w:cstheme="majorBidi"/>
        </w:rPr>
        <w:t>Data are gathered from the South Sinai Governorate Statistics Department. The dataset comprises monthly tourist flow figures, which are further disaggregated by Nationality (Egyptian, Arab, and Foreign).</w:t>
      </w:r>
    </w:p>
    <w:p w14:paraId="34775D77" w14:textId="77777777" w:rsidR="00B93193" w:rsidRPr="005F15D3" w:rsidRDefault="00B93193" w:rsidP="00002ED5">
      <w:pPr>
        <w:pStyle w:val="NormalWeb"/>
        <w:spacing w:before="0" w:beforeAutospacing="0" w:after="120" w:afterAutospacing="0" w:line="276" w:lineRule="auto"/>
        <w:jc w:val="both"/>
        <w:rPr>
          <w:rFonts w:asciiTheme="majorBidi" w:hAnsiTheme="majorBidi" w:cstheme="majorBidi"/>
        </w:rPr>
      </w:pPr>
      <w:r w:rsidRPr="005F15D3">
        <w:rPr>
          <w:rFonts w:asciiTheme="majorBidi" w:hAnsiTheme="majorBidi" w:cstheme="majorBidi"/>
        </w:rPr>
        <w:t>Data Processing and Analytical Techniques</w:t>
      </w:r>
    </w:p>
    <w:p w14:paraId="624960D7" w14:textId="77777777" w:rsidR="00B93193" w:rsidRPr="005F15D3" w:rsidRDefault="00B93193" w:rsidP="00002ED5">
      <w:pPr>
        <w:pStyle w:val="NormalWeb"/>
        <w:spacing w:before="0" w:beforeAutospacing="0" w:after="120" w:afterAutospacing="0" w:line="276" w:lineRule="auto"/>
        <w:rPr>
          <w:rFonts w:asciiTheme="majorBidi" w:hAnsiTheme="majorBidi" w:cstheme="majorBidi"/>
        </w:rPr>
      </w:pPr>
      <w:r w:rsidRPr="005F15D3">
        <w:rPr>
          <w:rFonts w:asciiTheme="majorBidi" w:hAnsiTheme="majorBidi" w:cstheme="majorBidi"/>
        </w:rPr>
        <w:t>The collected data are processed using three main analytical techniques:</w:t>
      </w:r>
    </w:p>
    <w:p w14:paraId="3415044E" w14:textId="77777777" w:rsidR="00B93193" w:rsidRPr="005F15D3" w:rsidRDefault="00B93193" w:rsidP="00002ED5">
      <w:pPr>
        <w:pStyle w:val="Heading4"/>
        <w:spacing w:before="0" w:after="120" w:line="276" w:lineRule="auto"/>
        <w:rPr>
          <w:rFonts w:asciiTheme="majorBidi" w:hAnsiTheme="majorBidi"/>
          <w:color w:val="auto"/>
          <w:sz w:val="24"/>
          <w:szCs w:val="24"/>
        </w:rPr>
      </w:pPr>
      <w:r w:rsidRPr="005F15D3">
        <w:rPr>
          <w:rFonts w:asciiTheme="majorBidi" w:hAnsiTheme="majorBidi"/>
          <w:color w:val="auto"/>
          <w:sz w:val="24"/>
          <w:szCs w:val="24"/>
        </w:rPr>
        <w:t>1. Direct Climatic Analysis</w:t>
      </w:r>
    </w:p>
    <w:p w14:paraId="2552E2E7" w14:textId="77777777" w:rsidR="00B93193" w:rsidRPr="005F15D3" w:rsidRDefault="00B93193" w:rsidP="00002ED5">
      <w:pPr>
        <w:pStyle w:val="NormalWeb"/>
        <w:spacing w:before="0" w:beforeAutospacing="0" w:after="120" w:afterAutospacing="0" w:line="276" w:lineRule="auto"/>
        <w:jc w:val="both"/>
        <w:rPr>
          <w:rFonts w:asciiTheme="majorBidi" w:hAnsiTheme="majorBidi" w:cstheme="majorBidi"/>
        </w:rPr>
      </w:pPr>
      <w:r w:rsidRPr="005F15D3">
        <w:rPr>
          <w:rFonts w:asciiTheme="majorBidi" w:hAnsiTheme="majorBidi" w:cstheme="majorBidi"/>
        </w:rPr>
        <w:t>This stage involves comparing the collected climatic parameters against established scientific standards for tourism suitability and safety (e.g., optimal wind speeds for water sports, standard thermal comfort ranges).</w:t>
      </w:r>
    </w:p>
    <w:p w14:paraId="77D78517" w14:textId="77777777" w:rsidR="00B93193" w:rsidRPr="005F15D3" w:rsidRDefault="00B93193" w:rsidP="00002ED5">
      <w:pPr>
        <w:pStyle w:val="Heading4"/>
        <w:spacing w:before="0" w:after="120" w:line="276" w:lineRule="auto"/>
        <w:rPr>
          <w:rFonts w:asciiTheme="majorBidi" w:hAnsiTheme="majorBidi"/>
          <w:color w:val="auto"/>
          <w:sz w:val="24"/>
          <w:szCs w:val="24"/>
        </w:rPr>
      </w:pPr>
      <w:r w:rsidRPr="005F15D3">
        <w:rPr>
          <w:rFonts w:asciiTheme="majorBidi" w:hAnsiTheme="majorBidi"/>
          <w:color w:val="auto"/>
          <w:sz w:val="24"/>
          <w:szCs w:val="24"/>
        </w:rPr>
        <w:t>2. Bioclimatic Modeling</w:t>
      </w:r>
    </w:p>
    <w:p w14:paraId="2219C702" w14:textId="77777777" w:rsidR="00B93193" w:rsidRPr="005F15D3" w:rsidRDefault="00B93193" w:rsidP="00002ED5">
      <w:pPr>
        <w:pStyle w:val="NormalWeb"/>
        <w:spacing w:before="0" w:beforeAutospacing="0" w:after="120" w:afterAutospacing="0" w:line="276" w:lineRule="auto"/>
        <w:jc w:val="both"/>
        <w:rPr>
          <w:rFonts w:asciiTheme="majorBidi" w:hAnsiTheme="majorBidi" w:cstheme="majorBidi"/>
        </w:rPr>
      </w:pPr>
      <w:r w:rsidRPr="005F15D3">
        <w:rPr>
          <w:rFonts w:asciiTheme="majorBidi" w:hAnsiTheme="majorBidi" w:cstheme="majorBidi"/>
        </w:rPr>
        <w:t>To quantify the complex relationship between climate and perceived tourist comfort, bioclimatic modeling is employed using two established indices:</w:t>
      </w:r>
    </w:p>
    <w:p w14:paraId="51F450BF" w14:textId="77777777" w:rsidR="00B93193" w:rsidRPr="005F15D3" w:rsidRDefault="00B93193" w:rsidP="00002ED5">
      <w:pPr>
        <w:pStyle w:val="NormalWeb"/>
        <w:numPr>
          <w:ilvl w:val="0"/>
          <w:numId w:val="19"/>
        </w:numPr>
        <w:spacing w:before="0" w:beforeAutospacing="0" w:after="120" w:afterAutospacing="0" w:line="276" w:lineRule="auto"/>
        <w:jc w:val="both"/>
        <w:rPr>
          <w:rFonts w:asciiTheme="majorBidi" w:hAnsiTheme="majorBidi" w:cstheme="majorBidi"/>
        </w:rPr>
      </w:pPr>
      <w:r w:rsidRPr="005F15D3">
        <w:rPr>
          <w:rFonts w:asciiTheme="majorBidi" w:hAnsiTheme="majorBidi" w:cstheme="majorBidi"/>
        </w:rPr>
        <w:t>Thom Model (Discomfort Index - DI): Utilized for assessing spatial comfort variations across different geographical stations.</w:t>
      </w:r>
    </w:p>
    <w:p w14:paraId="24CA91FF" w14:textId="77777777" w:rsidR="00B93193" w:rsidRPr="005F15D3" w:rsidRDefault="00B93193" w:rsidP="00002ED5">
      <w:pPr>
        <w:pStyle w:val="NormalWeb"/>
        <w:numPr>
          <w:ilvl w:val="0"/>
          <w:numId w:val="19"/>
        </w:numPr>
        <w:spacing w:before="0" w:beforeAutospacing="0" w:after="120" w:afterAutospacing="0" w:line="276" w:lineRule="auto"/>
        <w:jc w:val="both"/>
        <w:rPr>
          <w:rFonts w:asciiTheme="majorBidi" w:hAnsiTheme="majorBidi" w:cstheme="majorBidi"/>
        </w:rPr>
      </w:pPr>
      <w:proofErr w:type="spellStart"/>
      <w:r w:rsidRPr="005F15D3">
        <w:rPr>
          <w:rFonts w:asciiTheme="majorBidi" w:hAnsiTheme="majorBidi" w:cstheme="majorBidi"/>
        </w:rPr>
        <w:t>Pesi</w:t>
      </w:r>
      <w:proofErr w:type="spellEnd"/>
      <w:r w:rsidRPr="005F15D3">
        <w:rPr>
          <w:rFonts w:asciiTheme="majorBidi" w:hAnsiTheme="majorBidi" w:cstheme="majorBidi"/>
        </w:rPr>
        <w:t xml:space="preserve"> Model (Temperature Humidity Index - THI): Utilized for mapping temporal comfort variations and defining annual seasonal comfort periods.</w:t>
      </w:r>
    </w:p>
    <w:p w14:paraId="0A4F989D" w14:textId="77777777" w:rsidR="00B93193" w:rsidRPr="005F15D3" w:rsidRDefault="00B93193" w:rsidP="00002ED5">
      <w:pPr>
        <w:pStyle w:val="Heading4"/>
        <w:spacing w:before="0" w:after="120" w:line="276" w:lineRule="auto"/>
        <w:rPr>
          <w:rFonts w:asciiTheme="majorBidi" w:hAnsiTheme="majorBidi"/>
          <w:color w:val="auto"/>
          <w:sz w:val="24"/>
          <w:szCs w:val="24"/>
        </w:rPr>
      </w:pPr>
      <w:r w:rsidRPr="005F15D3">
        <w:rPr>
          <w:rFonts w:asciiTheme="majorBidi" w:hAnsiTheme="majorBidi"/>
          <w:color w:val="auto"/>
          <w:sz w:val="24"/>
          <w:szCs w:val="24"/>
        </w:rPr>
        <w:t>3. Seasonality Analysis</w:t>
      </w:r>
    </w:p>
    <w:p w14:paraId="2A9E829F" w14:textId="77777777" w:rsidR="00E9339C" w:rsidRPr="005F15D3" w:rsidRDefault="00B93193" w:rsidP="00002ED5">
      <w:pPr>
        <w:pStyle w:val="NormalWeb"/>
        <w:spacing w:before="0" w:beforeAutospacing="0" w:after="120" w:afterAutospacing="0" w:line="276" w:lineRule="auto"/>
        <w:jc w:val="both"/>
        <w:rPr>
          <w:rFonts w:asciiTheme="majorBidi" w:hAnsiTheme="majorBidi" w:cstheme="majorBidi"/>
        </w:rPr>
      </w:pPr>
      <w:r w:rsidRPr="005F15D3">
        <w:rPr>
          <w:rFonts w:asciiTheme="majorBidi" w:hAnsiTheme="majorBidi" w:cstheme="majorBidi"/>
        </w:rPr>
        <w:t xml:space="preserve">The tourism flow data are used to calculate the Seasonality Index (SI). This index serves to quantify the degree of monthly fluctuation in tourist demand and is subsequently correlated with the </w:t>
      </w:r>
      <w:proofErr w:type="spellStart"/>
      <w:r w:rsidRPr="005F15D3">
        <w:rPr>
          <w:rFonts w:asciiTheme="majorBidi" w:hAnsiTheme="majorBidi" w:cstheme="majorBidi"/>
        </w:rPr>
        <w:t>Pesi</w:t>
      </w:r>
      <w:proofErr w:type="spellEnd"/>
      <w:r w:rsidRPr="005F15D3">
        <w:rPr>
          <w:rFonts w:asciiTheme="majorBidi" w:hAnsiTheme="majorBidi" w:cstheme="majorBidi"/>
        </w:rPr>
        <w:t xml:space="preserve"> comfort periods to precisely determine the climatic i</w:t>
      </w:r>
      <w:r w:rsidR="00C922E7" w:rsidRPr="005F15D3">
        <w:rPr>
          <w:rFonts w:asciiTheme="majorBidi" w:hAnsiTheme="majorBidi" w:cstheme="majorBidi"/>
        </w:rPr>
        <w:t>nfluence on tourism seasonality</w:t>
      </w:r>
      <w:r w:rsidR="00E9339C" w:rsidRPr="005F15D3">
        <w:rPr>
          <w:rFonts w:asciiTheme="majorBidi" w:hAnsiTheme="majorBidi" w:cstheme="majorBidi"/>
        </w:rPr>
        <w:t>.</w:t>
      </w:r>
    </w:p>
    <w:p w14:paraId="1E05E176" w14:textId="77777777" w:rsidR="00EE34D3" w:rsidRPr="005F15D3" w:rsidRDefault="00EE34D3" w:rsidP="00B87A5C">
      <w:pPr>
        <w:pStyle w:val="Heading2"/>
        <w:spacing w:before="160" w:beforeAutospacing="0" w:after="80" w:afterAutospacing="0" w:line="276" w:lineRule="auto"/>
        <w:rPr>
          <w:rFonts w:asciiTheme="majorBidi" w:hAnsiTheme="majorBidi" w:cstheme="majorBidi"/>
          <w:sz w:val="24"/>
          <w:szCs w:val="24"/>
        </w:rPr>
      </w:pPr>
      <w:r w:rsidRPr="005F15D3">
        <w:rPr>
          <w:rFonts w:asciiTheme="majorBidi" w:hAnsiTheme="majorBidi" w:cstheme="majorBidi"/>
          <w:sz w:val="24"/>
          <w:szCs w:val="24"/>
        </w:rPr>
        <w:t xml:space="preserve">Discussion </w:t>
      </w:r>
    </w:p>
    <w:p w14:paraId="62A71B38" w14:textId="77777777" w:rsidR="009C6987" w:rsidRPr="005F15D3" w:rsidRDefault="00476F41" w:rsidP="00B87A5C">
      <w:pPr>
        <w:pStyle w:val="Heading2"/>
        <w:spacing w:before="160" w:beforeAutospacing="0" w:after="80" w:afterAutospacing="0" w:line="276" w:lineRule="auto"/>
        <w:rPr>
          <w:rFonts w:asciiTheme="majorBidi" w:hAnsiTheme="majorBidi" w:cstheme="majorBidi"/>
          <w:sz w:val="24"/>
          <w:szCs w:val="24"/>
        </w:rPr>
      </w:pPr>
      <w:r w:rsidRPr="005F15D3">
        <w:rPr>
          <w:rFonts w:asciiTheme="majorBidi" w:hAnsiTheme="majorBidi" w:cstheme="majorBidi"/>
          <w:sz w:val="24"/>
          <w:szCs w:val="24"/>
        </w:rPr>
        <w:t>1-</w:t>
      </w:r>
      <w:r w:rsidR="009C6987" w:rsidRPr="005F15D3">
        <w:rPr>
          <w:rFonts w:asciiTheme="majorBidi" w:hAnsiTheme="majorBidi" w:cstheme="majorBidi"/>
          <w:sz w:val="24"/>
          <w:szCs w:val="24"/>
        </w:rPr>
        <w:t>Climatic Elements</w:t>
      </w:r>
    </w:p>
    <w:p w14:paraId="3FCC2BC1" w14:textId="77777777" w:rsidR="009C6987" w:rsidRPr="005F15D3" w:rsidRDefault="009C6987" w:rsidP="00B87A5C">
      <w:pPr>
        <w:pStyle w:val="Heading3"/>
        <w:spacing w:before="160" w:after="80" w:line="276" w:lineRule="auto"/>
        <w:jc w:val="both"/>
        <w:rPr>
          <w:rFonts w:asciiTheme="majorBidi" w:eastAsia="Times New Roman" w:hAnsiTheme="majorBidi"/>
          <w:b/>
          <w:bCs/>
          <w:color w:val="auto"/>
        </w:rPr>
      </w:pPr>
      <w:r w:rsidRPr="005F15D3">
        <w:rPr>
          <w:rFonts w:asciiTheme="majorBidi" w:eastAsia="Times New Roman" w:hAnsiTheme="majorBidi"/>
          <w:b/>
          <w:bCs/>
          <w:color w:val="auto"/>
        </w:rPr>
        <w:t>1-1. Wind</w:t>
      </w:r>
    </w:p>
    <w:p w14:paraId="16B760FC" w14:textId="77777777" w:rsidR="009C6987" w:rsidRPr="005F15D3" w:rsidRDefault="00E018E6" w:rsidP="00002ED5">
      <w:pPr>
        <w:pStyle w:val="NormalWeb"/>
        <w:spacing w:before="0" w:beforeAutospacing="0" w:after="120" w:afterAutospacing="0" w:line="276" w:lineRule="auto"/>
        <w:jc w:val="both"/>
        <w:rPr>
          <w:rFonts w:asciiTheme="majorBidi" w:hAnsiTheme="majorBidi" w:cstheme="majorBidi"/>
        </w:rPr>
      </w:pPr>
      <w:r w:rsidRPr="005F15D3">
        <w:rPr>
          <w:rFonts w:asciiTheme="majorBidi" w:hAnsiTheme="majorBidi" w:cstheme="majorBidi"/>
        </w:rPr>
        <w:t xml:space="preserve">Wind is the movement of air that results from an uneven distribution of air pressure. Air tends to move from regions of high pressure to regions of low pressure at a speed that is proportional to the pressure gradient. </w:t>
      </w:r>
      <w:r w:rsidRPr="005F15D3">
        <w:rPr>
          <w:rFonts w:asciiTheme="majorBidi" w:hAnsiTheme="majorBidi" w:cstheme="majorBidi"/>
        </w:rPr>
        <w:lastRenderedPageBreak/>
        <w:t>It does not flow directly from the center of high pressure to the center of low pressure, however, owing to the Coriolis effect caused by the rotation of the Earth. Local effects also produce winds. Winds are generally thought of as blowing horizontally, but they can also have a vertical component</w:t>
      </w:r>
      <w:r w:rsidR="009C6987" w:rsidRPr="005F15D3">
        <w:rPr>
          <w:rFonts w:asciiTheme="majorBidi" w:hAnsiTheme="majorBidi" w:cstheme="majorBidi"/>
        </w:rPr>
        <w:t xml:space="preserve"> (</w:t>
      </w:r>
      <w:proofErr w:type="spellStart"/>
      <w:r w:rsidR="009C6987" w:rsidRPr="005F15D3">
        <w:rPr>
          <w:rFonts w:asciiTheme="majorBidi" w:hAnsiTheme="majorBidi" w:cstheme="majorBidi"/>
        </w:rPr>
        <w:t>Allaby</w:t>
      </w:r>
      <w:proofErr w:type="spellEnd"/>
      <w:r w:rsidR="009C6987" w:rsidRPr="005F15D3">
        <w:rPr>
          <w:rFonts w:asciiTheme="majorBidi" w:hAnsiTheme="majorBidi" w:cstheme="majorBidi"/>
        </w:rPr>
        <w:t xml:space="preserve">, 2007, 549). To monitor the characteristics of wind in South Sinai Governorate, the data presented in (Table 1 and Figure </w:t>
      </w:r>
      <w:r w:rsidR="00D26C48" w:rsidRPr="005F15D3">
        <w:rPr>
          <w:rFonts w:asciiTheme="majorBidi" w:hAnsiTheme="majorBidi" w:cstheme="majorBidi"/>
        </w:rPr>
        <w:t>2</w:t>
      </w:r>
      <w:r w:rsidR="009C6987" w:rsidRPr="005F15D3">
        <w:rPr>
          <w:rFonts w:asciiTheme="majorBidi" w:hAnsiTheme="majorBidi" w:cstheme="majorBidi"/>
        </w:rPr>
        <w:t>) are used as follows:</w:t>
      </w:r>
    </w:p>
    <w:p w14:paraId="14105D2B" w14:textId="77777777" w:rsidR="0064455B" w:rsidRPr="00187853" w:rsidRDefault="0064455B" w:rsidP="00B87A5C">
      <w:pPr>
        <w:pStyle w:val="Heading2"/>
        <w:spacing w:before="120" w:beforeAutospacing="0" w:after="0" w:afterAutospacing="0" w:line="276" w:lineRule="auto"/>
        <w:jc w:val="center"/>
        <w:rPr>
          <w:rFonts w:asciiTheme="majorBidi" w:hAnsiTheme="majorBidi" w:cstheme="majorBidi"/>
          <w:sz w:val="20"/>
          <w:szCs w:val="20"/>
        </w:rPr>
      </w:pPr>
      <w:r w:rsidRPr="00187853">
        <w:rPr>
          <w:rFonts w:asciiTheme="majorBidi" w:hAnsiTheme="majorBidi" w:cstheme="majorBidi"/>
          <w:sz w:val="20"/>
          <w:szCs w:val="20"/>
        </w:rPr>
        <w:t>Table 1: Wind Direction and Speed in South Sinai Governorate</w:t>
      </w:r>
    </w:p>
    <w:tbl>
      <w:tblPr>
        <w:tblStyle w:val="TableGrid"/>
        <w:tblW w:w="9540" w:type="dxa"/>
        <w:jc w:val="center"/>
        <w:tblLayout w:type="fixed"/>
        <w:tblLook w:val="04A0" w:firstRow="1" w:lastRow="0" w:firstColumn="1" w:lastColumn="0" w:noHBand="0" w:noVBand="1"/>
      </w:tblPr>
      <w:tblGrid>
        <w:gridCol w:w="1106"/>
        <w:gridCol w:w="1560"/>
        <w:gridCol w:w="759"/>
        <w:gridCol w:w="1143"/>
        <w:gridCol w:w="652"/>
        <w:gridCol w:w="1080"/>
        <w:gridCol w:w="990"/>
        <w:gridCol w:w="1170"/>
        <w:gridCol w:w="1080"/>
      </w:tblGrid>
      <w:tr w:rsidR="0064455B" w:rsidRPr="00187853" w14:paraId="01EDE198" w14:textId="77777777" w:rsidTr="00F65E73">
        <w:trPr>
          <w:jc w:val="center"/>
        </w:trPr>
        <w:tc>
          <w:tcPr>
            <w:tcW w:w="2666" w:type="dxa"/>
            <w:gridSpan w:val="2"/>
            <w:vAlign w:val="center"/>
          </w:tcPr>
          <w:p w14:paraId="52D3083F" w14:textId="77777777" w:rsidR="0064455B" w:rsidRPr="00187853" w:rsidRDefault="0064455B" w:rsidP="00F62E72">
            <w:pPr>
              <w:spacing w:line="360" w:lineRule="auto"/>
              <w:jc w:val="center"/>
              <w:rPr>
                <w:rFonts w:asciiTheme="majorBidi" w:hAnsiTheme="majorBidi" w:cstheme="majorBidi"/>
                <w:sz w:val="20"/>
                <w:szCs w:val="20"/>
              </w:rPr>
            </w:pPr>
            <w:r w:rsidRPr="00187853">
              <w:rPr>
                <w:rStyle w:val="Strong"/>
                <w:rFonts w:asciiTheme="majorBidi" w:hAnsiTheme="majorBidi" w:cstheme="majorBidi"/>
                <w:sz w:val="20"/>
                <w:szCs w:val="20"/>
              </w:rPr>
              <w:t>Station</w:t>
            </w:r>
          </w:p>
        </w:tc>
        <w:tc>
          <w:tcPr>
            <w:tcW w:w="759" w:type="dxa"/>
            <w:vAlign w:val="center"/>
            <w:hideMark/>
          </w:tcPr>
          <w:p w14:paraId="04F039A0" w14:textId="77777777" w:rsidR="0064455B" w:rsidRPr="00187853" w:rsidRDefault="0064455B" w:rsidP="00F62E72">
            <w:pPr>
              <w:spacing w:line="360" w:lineRule="auto"/>
              <w:jc w:val="center"/>
              <w:rPr>
                <w:rFonts w:asciiTheme="majorBidi" w:hAnsiTheme="majorBidi" w:cstheme="majorBidi"/>
                <w:sz w:val="20"/>
                <w:szCs w:val="20"/>
              </w:rPr>
            </w:pPr>
            <w:r w:rsidRPr="00187853">
              <w:rPr>
                <w:rStyle w:val="Strong"/>
                <w:rFonts w:asciiTheme="majorBidi" w:hAnsiTheme="majorBidi" w:cstheme="majorBidi"/>
                <w:sz w:val="20"/>
                <w:szCs w:val="20"/>
              </w:rPr>
              <w:t>Taba</w:t>
            </w:r>
          </w:p>
        </w:tc>
        <w:tc>
          <w:tcPr>
            <w:tcW w:w="1143" w:type="dxa"/>
            <w:vAlign w:val="center"/>
            <w:hideMark/>
          </w:tcPr>
          <w:p w14:paraId="0EDF4F59" w14:textId="77777777" w:rsidR="0064455B" w:rsidRPr="00187853" w:rsidRDefault="0064455B" w:rsidP="00F62E72">
            <w:pPr>
              <w:spacing w:line="360" w:lineRule="auto"/>
              <w:jc w:val="center"/>
              <w:rPr>
                <w:rFonts w:asciiTheme="majorBidi" w:hAnsiTheme="majorBidi" w:cstheme="majorBidi"/>
                <w:sz w:val="20"/>
                <w:szCs w:val="20"/>
              </w:rPr>
            </w:pPr>
            <w:r w:rsidRPr="00187853">
              <w:rPr>
                <w:rStyle w:val="Strong"/>
                <w:rFonts w:asciiTheme="majorBidi" w:hAnsiTheme="majorBidi" w:cstheme="majorBidi"/>
                <w:sz w:val="20"/>
                <w:szCs w:val="20"/>
              </w:rPr>
              <w:t>Sharm El Sheikh</w:t>
            </w:r>
          </w:p>
        </w:tc>
        <w:tc>
          <w:tcPr>
            <w:tcW w:w="652" w:type="dxa"/>
            <w:vAlign w:val="center"/>
            <w:hideMark/>
          </w:tcPr>
          <w:p w14:paraId="27F3C0DB" w14:textId="77777777" w:rsidR="0064455B" w:rsidRPr="00187853" w:rsidRDefault="0064455B" w:rsidP="00F62E72">
            <w:pPr>
              <w:spacing w:line="360" w:lineRule="auto"/>
              <w:jc w:val="center"/>
              <w:rPr>
                <w:rFonts w:asciiTheme="majorBidi" w:hAnsiTheme="majorBidi" w:cstheme="majorBidi"/>
                <w:sz w:val="20"/>
                <w:szCs w:val="20"/>
              </w:rPr>
            </w:pPr>
            <w:r w:rsidRPr="00187853">
              <w:rPr>
                <w:rStyle w:val="Strong"/>
                <w:rFonts w:asciiTheme="majorBidi" w:hAnsiTheme="majorBidi" w:cstheme="majorBidi"/>
                <w:sz w:val="20"/>
                <w:szCs w:val="20"/>
              </w:rPr>
              <w:t>El Tor</w:t>
            </w:r>
          </w:p>
        </w:tc>
        <w:tc>
          <w:tcPr>
            <w:tcW w:w="1080" w:type="dxa"/>
            <w:vAlign w:val="center"/>
            <w:hideMark/>
          </w:tcPr>
          <w:p w14:paraId="4D3A5BE3" w14:textId="77777777" w:rsidR="0064455B" w:rsidRPr="00187853" w:rsidRDefault="0064455B" w:rsidP="00F62E72">
            <w:pPr>
              <w:spacing w:line="360" w:lineRule="auto"/>
              <w:jc w:val="center"/>
              <w:rPr>
                <w:rFonts w:asciiTheme="majorBidi" w:hAnsiTheme="majorBidi" w:cstheme="majorBidi"/>
                <w:sz w:val="20"/>
                <w:szCs w:val="20"/>
              </w:rPr>
            </w:pPr>
            <w:r w:rsidRPr="00187853">
              <w:rPr>
                <w:rStyle w:val="Strong"/>
                <w:rFonts w:asciiTheme="majorBidi" w:hAnsiTheme="majorBidi" w:cstheme="majorBidi"/>
                <w:sz w:val="20"/>
                <w:szCs w:val="20"/>
              </w:rPr>
              <w:t>Abu Rudeis</w:t>
            </w:r>
          </w:p>
        </w:tc>
        <w:tc>
          <w:tcPr>
            <w:tcW w:w="990" w:type="dxa"/>
            <w:vAlign w:val="center"/>
            <w:hideMark/>
          </w:tcPr>
          <w:p w14:paraId="52E3F47F" w14:textId="77777777" w:rsidR="0064455B" w:rsidRPr="00187853" w:rsidRDefault="0064455B" w:rsidP="00F62E72">
            <w:pPr>
              <w:spacing w:line="360" w:lineRule="auto"/>
              <w:jc w:val="center"/>
              <w:rPr>
                <w:rFonts w:asciiTheme="majorBidi" w:hAnsiTheme="majorBidi" w:cstheme="majorBidi"/>
                <w:sz w:val="20"/>
                <w:szCs w:val="20"/>
              </w:rPr>
            </w:pPr>
            <w:r w:rsidRPr="00187853">
              <w:rPr>
                <w:rStyle w:val="Strong"/>
                <w:rFonts w:asciiTheme="majorBidi" w:hAnsiTheme="majorBidi" w:cstheme="majorBidi"/>
                <w:sz w:val="20"/>
                <w:szCs w:val="20"/>
              </w:rPr>
              <w:t xml:space="preserve">Ras </w:t>
            </w:r>
            <w:proofErr w:type="spellStart"/>
            <w:r w:rsidRPr="00187853">
              <w:rPr>
                <w:rStyle w:val="Strong"/>
                <w:rFonts w:asciiTheme="majorBidi" w:hAnsiTheme="majorBidi" w:cstheme="majorBidi"/>
                <w:sz w:val="20"/>
                <w:szCs w:val="20"/>
              </w:rPr>
              <w:t>Sudr</w:t>
            </w:r>
            <w:proofErr w:type="spellEnd"/>
          </w:p>
        </w:tc>
        <w:tc>
          <w:tcPr>
            <w:tcW w:w="1170" w:type="dxa"/>
            <w:vAlign w:val="center"/>
            <w:hideMark/>
          </w:tcPr>
          <w:p w14:paraId="0E278E99" w14:textId="77777777" w:rsidR="0064455B" w:rsidRPr="00187853" w:rsidRDefault="0064455B" w:rsidP="00F62E72">
            <w:pPr>
              <w:spacing w:line="360" w:lineRule="auto"/>
              <w:jc w:val="center"/>
              <w:rPr>
                <w:rFonts w:asciiTheme="majorBidi" w:hAnsiTheme="majorBidi" w:cstheme="majorBidi"/>
                <w:sz w:val="20"/>
                <w:szCs w:val="20"/>
              </w:rPr>
            </w:pPr>
            <w:r w:rsidRPr="00187853">
              <w:rPr>
                <w:rStyle w:val="Strong"/>
                <w:rFonts w:asciiTheme="majorBidi" w:hAnsiTheme="majorBidi" w:cstheme="majorBidi"/>
                <w:sz w:val="20"/>
                <w:szCs w:val="20"/>
              </w:rPr>
              <w:t>St. Catherine</w:t>
            </w:r>
          </w:p>
        </w:tc>
        <w:tc>
          <w:tcPr>
            <w:tcW w:w="1080" w:type="dxa"/>
            <w:vAlign w:val="center"/>
            <w:hideMark/>
          </w:tcPr>
          <w:p w14:paraId="1E962A9F" w14:textId="77777777" w:rsidR="0064455B" w:rsidRPr="00187853" w:rsidRDefault="0064455B" w:rsidP="00F62E72">
            <w:pPr>
              <w:spacing w:line="360" w:lineRule="auto"/>
              <w:jc w:val="center"/>
              <w:rPr>
                <w:rFonts w:asciiTheme="majorBidi" w:hAnsiTheme="majorBidi" w:cstheme="majorBidi"/>
                <w:sz w:val="20"/>
                <w:szCs w:val="20"/>
              </w:rPr>
            </w:pPr>
            <w:r w:rsidRPr="00187853">
              <w:rPr>
                <w:rStyle w:val="Strong"/>
                <w:rFonts w:asciiTheme="majorBidi" w:hAnsiTheme="majorBidi" w:cstheme="majorBidi"/>
                <w:sz w:val="20"/>
                <w:szCs w:val="20"/>
              </w:rPr>
              <w:t>Average</w:t>
            </w:r>
          </w:p>
        </w:tc>
      </w:tr>
      <w:tr w:rsidR="0064455B" w:rsidRPr="00187853" w14:paraId="674FB036" w14:textId="77777777" w:rsidTr="00F65E73">
        <w:trPr>
          <w:trHeight w:val="440"/>
          <w:jc w:val="center"/>
        </w:trPr>
        <w:tc>
          <w:tcPr>
            <w:tcW w:w="1106" w:type="dxa"/>
            <w:vMerge w:val="restart"/>
            <w:vAlign w:val="center"/>
          </w:tcPr>
          <w:p w14:paraId="1DF430CE" w14:textId="77777777" w:rsidR="0064455B" w:rsidRPr="00187853" w:rsidRDefault="0064455B" w:rsidP="00F62E72">
            <w:pPr>
              <w:spacing w:line="360" w:lineRule="auto"/>
              <w:rPr>
                <w:rFonts w:asciiTheme="majorBidi" w:hAnsiTheme="majorBidi" w:cstheme="majorBidi"/>
                <w:b/>
                <w:bCs/>
                <w:sz w:val="20"/>
                <w:szCs w:val="20"/>
              </w:rPr>
            </w:pPr>
          </w:p>
          <w:p w14:paraId="3C01053D" w14:textId="77777777" w:rsidR="0064455B" w:rsidRPr="00187853" w:rsidRDefault="0064455B" w:rsidP="00F62E72">
            <w:pPr>
              <w:spacing w:line="360" w:lineRule="auto"/>
              <w:jc w:val="center"/>
              <w:rPr>
                <w:rFonts w:asciiTheme="majorBidi" w:hAnsiTheme="majorBidi" w:cstheme="majorBidi"/>
                <w:b/>
                <w:bCs/>
                <w:sz w:val="20"/>
                <w:szCs w:val="20"/>
              </w:rPr>
            </w:pPr>
            <w:r w:rsidRPr="00187853">
              <w:rPr>
                <w:rFonts w:asciiTheme="majorBidi" w:hAnsiTheme="majorBidi" w:cstheme="majorBidi"/>
                <w:b/>
                <w:bCs/>
                <w:sz w:val="20"/>
                <w:szCs w:val="20"/>
              </w:rPr>
              <w:t>Wind Direction (%)</w:t>
            </w:r>
          </w:p>
        </w:tc>
        <w:tc>
          <w:tcPr>
            <w:tcW w:w="1560" w:type="dxa"/>
            <w:vAlign w:val="center"/>
            <w:hideMark/>
          </w:tcPr>
          <w:p w14:paraId="0E32BAB2" w14:textId="77777777" w:rsidR="0064455B" w:rsidRPr="00187853" w:rsidRDefault="0064455B" w:rsidP="00F62E72">
            <w:pPr>
              <w:spacing w:line="360" w:lineRule="auto"/>
              <w:rPr>
                <w:rFonts w:asciiTheme="majorBidi" w:hAnsiTheme="majorBidi" w:cstheme="majorBidi"/>
                <w:b/>
                <w:bCs/>
                <w:sz w:val="20"/>
                <w:szCs w:val="20"/>
              </w:rPr>
            </w:pPr>
            <w:r w:rsidRPr="00187853">
              <w:rPr>
                <w:rFonts w:asciiTheme="majorBidi" w:hAnsiTheme="majorBidi" w:cstheme="majorBidi"/>
                <w:b/>
                <w:bCs/>
                <w:sz w:val="20"/>
                <w:szCs w:val="20"/>
              </w:rPr>
              <w:t>Northerly</w:t>
            </w:r>
          </w:p>
        </w:tc>
        <w:tc>
          <w:tcPr>
            <w:tcW w:w="759" w:type="dxa"/>
            <w:vAlign w:val="center"/>
            <w:hideMark/>
          </w:tcPr>
          <w:p w14:paraId="4B3107B8" w14:textId="77777777" w:rsidR="0064455B" w:rsidRPr="00187853" w:rsidRDefault="0064455B" w:rsidP="00F62E72">
            <w:pPr>
              <w:spacing w:line="360" w:lineRule="auto"/>
              <w:jc w:val="center"/>
              <w:rPr>
                <w:rFonts w:asciiTheme="majorBidi" w:hAnsiTheme="majorBidi" w:cstheme="majorBidi"/>
                <w:sz w:val="20"/>
                <w:szCs w:val="20"/>
              </w:rPr>
            </w:pPr>
            <w:r w:rsidRPr="00187853">
              <w:rPr>
                <w:rStyle w:val="math-inline"/>
                <w:rFonts w:asciiTheme="majorBidi" w:hAnsiTheme="majorBidi" w:cstheme="majorBidi"/>
                <w:sz w:val="20"/>
                <w:szCs w:val="20"/>
              </w:rPr>
              <w:t>25.8</w:t>
            </w:r>
          </w:p>
        </w:tc>
        <w:tc>
          <w:tcPr>
            <w:tcW w:w="1143" w:type="dxa"/>
            <w:vAlign w:val="center"/>
            <w:hideMark/>
          </w:tcPr>
          <w:p w14:paraId="3301FB81" w14:textId="77777777" w:rsidR="0064455B" w:rsidRPr="00187853" w:rsidRDefault="0064455B" w:rsidP="00F62E72">
            <w:pPr>
              <w:spacing w:line="360" w:lineRule="auto"/>
              <w:jc w:val="center"/>
              <w:rPr>
                <w:rFonts w:asciiTheme="majorBidi" w:hAnsiTheme="majorBidi" w:cstheme="majorBidi"/>
                <w:sz w:val="20"/>
                <w:szCs w:val="20"/>
              </w:rPr>
            </w:pPr>
            <w:r w:rsidRPr="00187853">
              <w:rPr>
                <w:rStyle w:val="math-inline"/>
                <w:rFonts w:asciiTheme="majorBidi" w:hAnsiTheme="majorBidi" w:cstheme="majorBidi"/>
                <w:sz w:val="20"/>
                <w:szCs w:val="20"/>
              </w:rPr>
              <w:t>48.6</w:t>
            </w:r>
          </w:p>
        </w:tc>
        <w:tc>
          <w:tcPr>
            <w:tcW w:w="652" w:type="dxa"/>
            <w:vAlign w:val="center"/>
            <w:hideMark/>
          </w:tcPr>
          <w:p w14:paraId="6E1A5FA6" w14:textId="77777777" w:rsidR="0064455B" w:rsidRPr="00187853" w:rsidRDefault="0064455B" w:rsidP="00F62E72">
            <w:pPr>
              <w:spacing w:line="360" w:lineRule="auto"/>
              <w:jc w:val="center"/>
              <w:rPr>
                <w:rFonts w:asciiTheme="majorBidi" w:hAnsiTheme="majorBidi" w:cstheme="majorBidi"/>
                <w:sz w:val="20"/>
                <w:szCs w:val="20"/>
              </w:rPr>
            </w:pPr>
            <w:r w:rsidRPr="00187853">
              <w:rPr>
                <w:rStyle w:val="math-inline"/>
                <w:rFonts w:asciiTheme="majorBidi" w:hAnsiTheme="majorBidi" w:cstheme="majorBidi"/>
                <w:sz w:val="20"/>
                <w:szCs w:val="20"/>
              </w:rPr>
              <w:t>10.6</w:t>
            </w:r>
          </w:p>
        </w:tc>
        <w:tc>
          <w:tcPr>
            <w:tcW w:w="1080" w:type="dxa"/>
            <w:vAlign w:val="center"/>
            <w:hideMark/>
          </w:tcPr>
          <w:p w14:paraId="04D450B4" w14:textId="77777777" w:rsidR="0064455B" w:rsidRPr="00187853" w:rsidRDefault="0064455B" w:rsidP="00F62E72">
            <w:pPr>
              <w:spacing w:line="360" w:lineRule="auto"/>
              <w:jc w:val="center"/>
              <w:rPr>
                <w:rFonts w:asciiTheme="majorBidi" w:hAnsiTheme="majorBidi" w:cstheme="majorBidi"/>
                <w:sz w:val="20"/>
                <w:szCs w:val="20"/>
              </w:rPr>
            </w:pPr>
            <w:r w:rsidRPr="00187853">
              <w:rPr>
                <w:rStyle w:val="math-inline"/>
                <w:rFonts w:asciiTheme="majorBidi" w:hAnsiTheme="majorBidi" w:cstheme="majorBidi"/>
                <w:sz w:val="20"/>
                <w:szCs w:val="20"/>
              </w:rPr>
              <w:t>10.3</w:t>
            </w:r>
          </w:p>
        </w:tc>
        <w:tc>
          <w:tcPr>
            <w:tcW w:w="990" w:type="dxa"/>
            <w:vAlign w:val="center"/>
            <w:hideMark/>
          </w:tcPr>
          <w:p w14:paraId="6028C45C" w14:textId="77777777" w:rsidR="0064455B" w:rsidRPr="00187853" w:rsidRDefault="0064455B" w:rsidP="00F62E72">
            <w:pPr>
              <w:spacing w:line="360" w:lineRule="auto"/>
              <w:jc w:val="center"/>
              <w:rPr>
                <w:rFonts w:asciiTheme="majorBidi" w:hAnsiTheme="majorBidi" w:cstheme="majorBidi"/>
                <w:sz w:val="20"/>
                <w:szCs w:val="20"/>
              </w:rPr>
            </w:pPr>
            <w:r w:rsidRPr="00187853">
              <w:rPr>
                <w:rStyle w:val="math-inline"/>
                <w:rFonts w:asciiTheme="majorBidi" w:hAnsiTheme="majorBidi" w:cstheme="majorBidi"/>
                <w:sz w:val="20"/>
                <w:szCs w:val="20"/>
              </w:rPr>
              <w:t>10.8</w:t>
            </w:r>
          </w:p>
        </w:tc>
        <w:tc>
          <w:tcPr>
            <w:tcW w:w="1170" w:type="dxa"/>
            <w:vAlign w:val="center"/>
            <w:hideMark/>
          </w:tcPr>
          <w:p w14:paraId="1701D564" w14:textId="77777777" w:rsidR="0064455B" w:rsidRPr="00187853" w:rsidRDefault="0064455B" w:rsidP="00F62E72">
            <w:pPr>
              <w:spacing w:line="360" w:lineRule="auto"/>
              <w:jc w:val="center"/>
              <w:rPr>
                <w:rFonts w:asciiTheme="majorBidi" w:hAnsiTheme="majorBidi" w:cstheme="majorBidi"/>
                <w:sz w:val="20"/>
                <w:szCs w:val="20"/>
              </w:rPr>
            </w:pPr>
            <w:r w:rsidRPr="00187853">
              <w:rPr>
                <w:rStyle w:val="math-inline"/>
                <w:rFonts w:asciiTheme="majorBidi" w:hAnsiTheme="majorBidi" w:cstheme="majorBidi"/>
                <w:sz w:val="20"/>
                <w:szCs w:val="20"/>
              </w:rPr>
              <w:t>7.1</w:t>
            </w:r>
          </w:p>
        </w:tc>
        <w:tc>
          <w:tcPr>
            <w:tcW w:w="1080" w:type="dxa"/>
            <w:vAlign w:val="center"/>
            <w:hideMark/>
          </w:tcPr>
          <w:p w14:paraId="3C641A3F" w14:textId="77777777" w:rsidR="0064455B" w:rsidRPr="00187853" w:rsidRDefault="0064455B" w:rsidP="00F62E72">
            <w:pPr>
              <w:spacing w:line="360" w:lineRule="auto"/>
              <w:jc w:val="center"/>
              <w:rPr>
                <w:rFonts w:asciiTheme="majorBidi" w:hAnsiTheme="majorBidi" w:cstheme="majorBidi"/>
                <w:sz w:val="20"/>
                <w:szCs w:val="20"/>
              </w:rPr>
            </w:pPr>
            <w:r w:rsidRPr="00187853">
              <w:rPr>
                <w:rStyle w:val="math-inline"/>
                <w:rFonts w:asciiTheme="majorBidi" w:hAnsiTheme="majorBidi" w:cstheme="majorBidi"/>
                <w:sz w:val="20"/>
                <w:szCs w:val="20"/>
              </w:rPr>
              <w:t>18.9</w:t>
            </w:r>
          </w:p>
        </w:tc>
      </w:tr>
      <w:tr w:rsidR="007B16F5" w:rsidRPr="00187853" w14:paraId="748C8B05" w14:textId="77777777" w:rsidTr="00F65E73">
        <w:trPr>
          <w:trHeight w:val="593"/>
          <w:jc w:val="center"/>
        </w:trPr>
        <w:tc>
          <w:tcPr>
            <w:tcW w:w="1106" w:type="dxa"/>
            <w:vMerge/>
            <w:vAlign w:val="center"/>
          </w:tcPr>
          <w:p w14:paraId="7727F2D6" w14:textId="77777777" w:rsidR="0064455B" w:rsidRPr="00187853" w:rsidRDefault="0064455B" w:rsidP="00F62E72">
            <w:pPr>
              <w:spacing w:line="360" w:lineRule="auto"/>
              <w:rPr>
                <w:rFonts w:asciiTheme="majorBidi" w:hAnsiTheme="majorBidi" w:cstheme="majorBidi"/>
                <w:sz w:val="20"/>
                <w:szCs w:val="20"/>
              </w:rPr>
            </w:pPr>
          </w:p>
        </w:tc>
        <w:tc>
          <w:tcPr>
            <w:tcW w:w="1560" w:type="dxa"/>
            <w:vAlign w:val="center"/>
            <w:hideMark/>
          </w:tcPr>
          <w:p w14:paraId="529BF92C" w14:textId="77777777" w:rsidR="0064455B" w:rsidRPr="00187853" w:rsidRDefault="0064455B" w:rsidP="00F62E72">
            <w:pPr>
              <w:spacing w:line="360" w:lineRule="auto"/>
              <w:rPr>
                <w:rFonts w:asciiTheme="majorBidi" w:hAnsiTheme="majorBidi" w:cstheme="majorBidi"/>
                <w:b/>
                <w:bCs/>
                <w:sz w:val="20"/>
                <w:szCs w:val="20"/>
              </w:rPr>
            </w:pPr>
            <w:r w:rsidRPr="00187853">
              <w:rPr>
                <w:rFonts w:asciiTheme="majorBidi" w:hAnsiTheme="majorBidi" w:cstheme="majorBidi"/>
                <w:b/>
                <w:bCs/>
                <w:sz w:val="20"/>
                <w:szCs w:val="20"/>
              </w:rPr>
              <w:t>Northeasterly</w:t>
            </w:r>
          </w:p>
        </w:tc>
        <w:tc>
          <w:tcPr>
            <w:tcW w:w="759" w:type="dxa"/>
            <w:vAlign w:val="center"/>
            <w:hideMark/>
          </w:tcPr>
          <w:p w14:paraId="44B2E985" w14:textId="77777777" w:rsidR="0064455B" w:rsidRPr="00187853" w:rsidRDefault="0064455B" w:rsidP="00F62E72">
            <w:pPr>
              <w:spacing w:line="360" w:lineRule="auto"/>
              <w:jc w:val="center"/>
              <w:rPr>
                <w:rFonts w:asciiTheme="majorBidi" w:hAnsiTheme="majorBidi" w:cstheme="majorBidi"/>
                <w:sz w:val="20"/>
                <w:szCs w:val="20"/>
              </w:rPr>
            </w:pPr>
            <w:r w:rsidRPr="00187853">
              <w:rPr>
                <w:rStyle w:val="math-inline"/>
                <w:rFonts w:asciiTheme="majorBidi" w:hAnsiTheme="majorBidi" w:cstheme="majorBidi"/>
                <w:sz w:val="20"/>
                <w:szCs w:val="20"/>
              </w:rPr>
              <w:t>4.4</w:t>
            </w:r>
          </w:p>
        </w:tc>
        <w:tc>
          <w:tcPr>
            <w:tcW w:w="1143" w:type="dxa"/>
            <w:vAlign w:val="center"/>
            <w:hideMark/>
          </w:tcPr>
          <w:p w14:paraId="1EB579AC" w14:textId="77777777" w:rsidR="0064455B" w:rsidRPr="00187853" w:rsidRDefault="0064455B" w:rsidP="00F62E72">
            <w:pPr>
              <w:spacing w:line="360" w:lineRule="auto"/>
              <w:jc w:val="center"/>
              <w:rPr>
                <w:rFonts w:asciiTheme="majorBidi" w:hAnsiTheme="majorBidi" w:cstheme="majorBidi"/>
                <w:sz w:val="20"/>
                <w:szCs w:val="20"/>
              </w:rPr>
            </w:pPr>
            <w:r w:rsidRPr="00187853">
              <w:rPr>
                <w:rStyle w:val="math-inline"/>
                <w:rFonts w:asciiTheme="majorBidi" w:hAnsiTheme="majorBidi" w:cstheme="majorBidi"/>
                <w:sz w:val="20"/>
                <w:szCs w:val="20"/>
              </w:rPr>
              <w:t>29.1</w:t>
            </w:r>
          </w:p>
        </w:tc>
        <w:tc>
          <w:tcPr>
            <w:tcW w:w="652" w:type="dxa"/>
            <w:vAlign w:val="center"/>
            <w:hideMark/>
          </w:tcPr>
          <w:p w14:paraId="3309739B" w14:textId="77777777" w:rsidR="0064455B" w:rsidRPr="00187853" w:rsidRDefault="0064455B" w:rsidP="00F62E72">
            <w:pPr>
              <w:spacing w:line="360" w:lineRule="auto"/>
              <w:jc w:val="center"/>
              <w:rPr>
                <w:rFonts w:asciiTheme="majorBidi" w:hAnsiTheme="majorBidi" w:cstheme="majorBidi"/>
                <w:sz w:val="20"/>
                <w:szCs w:val="20"/>
              </w:rPr>
            </w:pPr>
            <w:r w:rsidRPr="00187853">
              <w:rPr>
                <w:rStyle w:val="math-inline"/>
                <w:rFonts w:asciiTheme="majorBidi" w:hAnsiTheme="majorBidi" w:cstheme="majorBidi"/>
                <w:sz w:val="20"/>
                <w:szCs w:val="20"/>
              </w:rPr>
              <w:t>7.3</w:t>
            </w:r>
          </w:p>
        </w:tc>
        <w:tc>
          <w:tcPr>
            <w:tcW w:w="1080" w:type="dxa"/>
            <w:vAlign w:val="center"/>
            <w:hideMark/>
          </w:tcPr>
          <w:p w14:paraId="0CA4DD06" w14:textId="77777777" w:rsidR="0064455B" w:rsidRPr="00187853" w:rsidRDefault="0064455B" w:rsidP="00F62E72">
            <w:pPr>
              <w:spacing w:line="360" w:lineRule="auto"/>
              <w:jc w:val="center"/>
              <w:rPr>
                <w:rFonts w:asciiTheme="majorBidi" w:hAnsiTheme="majorBidi" w:cstheme="majorBidi"/>
                <w:sz w:val="20"/>
                <w:szCs w:val="20"/>
              </w:rPr>
            </w:pPr>
            <w:r w:rsidRPr="00187853">
              <w:rPr>
                <w:rStyle w:val="math-inline"/>
                <w:rFonts w:asciiTheme="majorBidi" w:hAnsiTheme="majorBidi" w:cstheme="majorBidi"/>
                <w:sz w:val="20"/>
                <w:szCs w:val="20"/>
              </w:rPr>
              <w:t>7.6</w:t>
            </w:r>
          </w:p>
        </w:tc>
        <w:tc>
          <w:tcPr>
            <w:tcW w:w="990" w:type="dxa"/>
            <w:vAlign w:val="center"/>
            <w:hideMark/>
          </w:tcPr>
          <w:p w14:paraId="2BBFEF3F" w14:textId="77777777" w:rsidR="0064455B" w:rsidRPr="00187853" w:rsidRDefault="0064455B" w:rsidP="00F62E72">
            <w:pPr>
              <w:spacing w:line="360" w:lineRule="auto"/>
              <w:jc w:val="center"/>
              <w:rPr>
                <w:rFonts w:asciiTheme="majorBidi" w:hAnsiTheme="majorBidi" w:cstheme="majorBidi"/>
                <w:sz w:val="20"/>
                <w:szCs w:val="20"/>
              </w:rPr>
            </w:pPr>
            <w:r w:rsidRPr="00187853">
              <w:rPr>
                <w:rStyle w:val="math-inline"/>
                <w:rFonts w:asciiTheme="majorBidi" w:hAnsiTheme="majorBidi" w:cstheme="majorBidi"/>
                <w:sz w:val="20"/>
                <w:szCs w:val="20"/>
              </w:rPr>
              <w:t>6.7</w:t>
            </w:r>
          </w:p>
        </w:tc>
        <w:tc>
          <w:tcPr>
            <w:tcW w:w="1170" w:type="dxa"/>
            <w:vAlign w:val="center"/>
            <w:hideMark/>
          </w:tcPr>
          <w:p w14:paraId="7D4A02F9" w14:textId="77777777" w:rsidR="0064455B" w:rsidRPr="00187853" w:rsidRDefault="0064455B" w:rsidP="00F62E72">
            <w:pPr>
              <w:spacing w:line="360" w:lineRule="auto"/>
              <w:jc w:val="center"/>
              <w:rPr>
                <w:rFonts w:asciiTheme="majorBidi" w:hAnsiTheme="majorBidi" w:cstheme="majorBidi"/>
                <w:sz w:val="20"/>
                <w:szCs w:val="20"/>
              </w:rPr>
            </w:pPr>
            <w:r w:rsidRPr="00187853">
              <w:rPr>
                <w:rStyle w:val="math-inline"/>
                <w:rFonts w:asciiTheme="majorBidi" w:hAnsiTheme="majorBidi" w:cstheme="majorBidi"/>
                <w:sz w:val="20"/>
                <w:szCs w:val="20"/>
              </w:rPr>
              <w:t>18.7</w:t>
            </w:r>
          </w:p>
        </w:tc>
        <w:tc>
          <w:tcPr>
            <w:tcW w:w="1080" w:type="dxa"/>
            <w:vAlign w:val="center"/>
            <w:hideMark/>
          </w:tcPr>
          <w:p w14:paraId="1B61086A" w14:textId="77777777" w:rsidR="0064455B" w:rsidRPr="00187853" w:rsidRDefault="0064455B" w:rsidP="00F62E72">
            <w:pPr>
              <w:spacing w:line="360" w:lineRule="auto"/>
              <w:jc w:val="center"/>
              <w:rPr>
                <w:rFonts w:asciiTheme="majorBidi" w:hAnsiTheme="majorBidi" w:cstheme="majorBidi"/>
                <w:sz w:val="20"/>
                <w:szCs w:val="20"/>
              </w:rPr>
            </w:pPr>
            <w:r w:rsidRPr="00187853">
              <w:rPr>
                <w:rStyle w:val="math-inline"/>
                <w:rFonts w:asciiTheme="majorBidi" w:hAnsiTheme="majorBidi" w:cstheme="majorBidi"/>
                <w:sz w:val="20"/>
                <w:szCs w:val="20"/>
              </w:rPr>
              <w:t>12.3</w:t>
            </w:r>
          </w:p>
        </w:tc>
      </w:tr>
      <w:tr w:rsidR="0064455B" w:rsidRPr="00187853" w14:paraId="12892A94" w14:textId="77777777" w:rsidTr="00F65E73">
        <w:trPr>
          <w:jc w:val="center"/>
        </w:trPr>
        <w:tc>
          <w:tcPr>
            <w:tcW w:w="1106" w:type="dxa"/>
            <w:vMerge/>
            <w:vAlign w:val="center"/>
          </w:tcPr>
          <w:p w14:paraId="4EBE27B7" w14:textId="77777777" w:rsidR="0064455B" w:rsidRPr="00187853" w:rsidRDefault="0064455B" w:rsidP="00F62E72">
            <w:pPr>
              <w:spacing w:line="360" w:lineRule="auto"/>
              <w:rPr>
                <w:rFonts w:asciiTheme="majorBidi" w:hAnsiTheme="majorBidi" w:cstheme="majorBidi"/>
                <w:sz w:val="20"/>
                <w:szCs w:val="20"/>
              </w:rPr>
            </w:pPr>
          </w:p>
        </w:tc>
        <w:tc>
          <w:tcPr>
            <w:tcW w:w="1560" w:type="dxa"/>
            <w:vAlign w:val="center"/>
            <w:hideMark/>
          </w:tcPr>
          <w:p w14:paraId="70067CB5" w14:textId="77777777" w:rsidR="0064455B" w:rsidRPr="00187853" w:rsidRDefault="0064455B" w:rsidP="00F62E72">
            <w:pPr>
              <w:spacing w:line="360" w:lineRule="auto"/>
              <w:rPr>
                <w:rFonts w:asciiTheme="majorBidi" w:hAnsiTheme="majorBidi" w:cstheme="majorBidi"/>
                <w:b/>
                <w:bCs/>
                <w:sz w:val="20"/>
                <w:szCs w:val="20"/>
              </w:rPr>
            </w:pPr>
            <w:r w:rsidRPr="00187853">
              <w:rPr>
                <w:rFonts w:asciiTheme="majorBidi" w:hAnsiTheme="majorBidi" w:cstheme="majorBidi"/>
                <w:b/>
                <w:bCs/>
                <w:sz w:val="20"/>
                <w:szCs w:val="20"/>
              </w:rPr>
              <w:t>Easterly</w:t>
            </w:r>
          </w:p>
        </w:tc>
        <w:tc>
          <w:tcPr>
            <w:tcW w:w="759" w:type="dxa"/>
            <w:vAlign w:val="center"/>
            <w:hideMark/>
          </w:tcPr>
          <w:p w14:paraId="43EB14CE" w14:textId="77777777" w:rsidR="0064455B" w:rsidRPr="00187853" w:rsidRDefault="0064455B" w:rsidP="00F62E72">
            <w:pPr>
              <w:spacing w:line="360" w:lineRule="auto"/>
              <w:jc w:val="center"/>
              <w:rPr>
                <w:rFonts w:asciiTheme="majorBidi" w:hAnsiTheme="majorBidi" w:cstheme="majorBidi"/>
                <w:sz w:val="20"/>
                <w:szCs w:val="20"/>
              </w:rPr>
            </w:pPr>
            <w:r w:rsidRPr="00187853">
              <w:rPr>
                <w:rStyle w:val="math-inline"/>
                <w:rFonts w:asciiTheme="majorBidi" w:hAnsiTheme="majorBidi" w:cstheme="majorBidi"/>
                <w:sz w:val="20"/>
                <w:szCs w:val="20"/>
              </w:rPr>
              <w:t>2.5</w:t>
            </w:r>
          </w:p>
        </w:tc>
        <w:tc>
          <w:tcPr>
            <w:tcW w:w="1143" w:type="dxa"/>
            <w:vAlign w:val="center"/>
            <w:hideMark/>
          </w:tcPr>
          <w:p w14:paraId="2C89EFCA" w14:textId="77777777" w:rsidR="0064455B" w:rsidRPr="00187853" w:rsidRDefault="0064455B" w:rsidP="00F62E72">
            <w:pPr>
              <w:spacing w:line="360" w:lineRule="auto"/>
              <w:jc w:val="center"/>
              <w:rPr>
                <w:rFonts w:asciiTheme="majorBidi" w:hAnsiTheme="majorBidi" w:cstheme="majorBidi"/>
                <w:sz w:val="20"/>
                <w:szCs w:val="20"/>
              </w:rPr>
            </w:pPr>
            <w:r w:rsidRPr="00187853">
              <w:rPr>
                <w:rStyle w:val="math-inline"/>
                <w:rFonts w:asciiTheme="majorBidi" w:hAnsiTheme="majorBidi" w:cstheme="majorBidi"/>
                <w:sz w:val="20"/>
                <w:szCs w:val="20"/>
              </w:rPr>
              <w:t>2.4</w:t>
            </w:r>
          </w:p>
        </w:tc>
        <w:tc>
          <w:tcPr>
            <w:tcW w:w="652" w:type="dxa"/>
            <w:vAlign w:val="center"/>
            <w:hideMark/>
          </w:tcPr>
          <w:p w14:paraId="42C0E0C4" w14:textId="77777777" w:rsidR="0064455B" w:rsidRPr="00187853" w:rsidRDefault="0064455B" w:rsidP="00F62E72">
            <w:pPr>
              <w:spacing w:line="360" w:lineRule="auto"/>
              <w:jc w:val="center"/>
              <w:rPr>
                <w:rFonts w:asciiTheme="majorBidi" w:hAnsiTheme="majorBidi" w:cstheme="majorBidi"/>
                <w:sz w:val="20"/>
                <w:szCs w:val="20"/>
              </w:rPr>
            </w:pPr>
            <w:r w:rsidRPr="00187853">
              <w:rPr>
                <w:rStyle w:val="math-inline"/>
                <w:rFonts w:asciiTheme="majorBidi" w:hAnsiTheme="majorBidi" w:cstheme="majorBidi"/>
                <w:sz w:val="20"/>
                <w:szCs w:val="20"/>
              </w:rPr>
              <w:t>2.3</w:t>
            </w:r>
          </w:p>
        </w:tc>
        <w:tc>
          <w:tcPr>
            <w:tcW w:w="1080" w:type="dxa"/>
            <w:vAlign w:val="center"/>
            <w:hideMark/>
          </w:tcPr>
          <w:p w14:paraId="7C7B8482" w14:textId="77777777" w:rsidR="0064455B" w:rsidRPr="00187853" w:rsidRDefault="0064455B" w:rsidP="00F62E72">
            <w:pPr>
              <w:spacing w:line="360" w:lineRule="auto"/>
              <w:jc w:val="center"/>
              <w:rPr>
                <w:rFonts w:asciiTheme="majorBidi" w:hAnsiTheme="majorBidi" w:cstheme="majorBidi"/>
                <w:sz w:val="20"/>
                <w:szCs w:val="20"/>
              </w:rPr>
            </w:pPr>
            <w:r w:rsidRPr="00187853">
              <w:rPr>
                <w:rStyle w:val="math-inline"/>
                <w:rFonts w:asciiTheme="majorBidi" w:hAnsiTheme="majorBidi" w:cstheme="majorBidi"/>
                <w:sz w:val="20"/>
                <w:szCs w:val="20"/>
              </w:rPr>
              <w:t>2.3</w:t>
            </w:r>
          </w:p>
        </w:tc>
        <w:tc>
          <w:tcPr>
            <w:tcW w:w="990" w:type="dxa"/>
            <w:vAlign w:val="center"/>
            <w:hideMark/>
          </w:tcPr>
          <w:p w14:paraId="2997701B" w14:textId="77777777" w:rsidR="0064455B" w:rsidRPr="00187853" w:rsidRDefault="0064455B" w:rsidP="00F62E72">
            <w:pPr>
              <w:spacing w:line="360" w:lineRule="auto"/>
              <w:jc w:val="center"/>
              <w:rPr>
                <w:rFonts w:asciiTheme="majorBidi" w:hAnsiTheme="majorBidi" w:cstheme="majorBidi"/>
                <w:sz w:val="20"/>
                <w:szCs w:val="20"/>
              </w:rPr>
            </w:pPr>
            <w:r w:rsidRPr="00187853">
              <w:rPr>
                <w:rStyle w:val="math-inline"/>
                <w:rFonts w:asciiTheme="majorBidi" w:hAnsiTheme="majorBidi" w:cstheme="majorBidi"/>
                <w:sz w:val="20"/>
                <w:szCs w:val="20"/>
              </w:rPr>
              <w:t>2.5</w:t>
            </w:r>
          </w:p>
        </w:tc>
        <w:tc>
          <w:tcPr>
            <w:tcW w:w="1170" w:type="dxa"/>
            <w:vAlign w:val="center"/>
            <w:hideMark/>
          </w:tcPr>
          <w:p w14:paraId="31B47F78" w14:textId="77777777" w:rsidR="0064455B" w:rsidRPr="00187853" w:rsidRDefault="0064455B" w:rsidP="00F62E72">
            <w:pPr>
              <w:spacing w:line="360" w:lineRule="auto"/>
              <w:jc w:val="center"/>
              <w:rPr>
                <w:rFonts w:asciiTheme="majorBidi" w:hAnsiTheme="majorBidi" w:cstheme="majorBidi"/>
                <w:sz w:val="20"/>
                <w:szCs w:val="20"/>
              </w:rPr>
            </w:pPr>
            <w:r w:rsidRPr="00187853">
              <w:rPr>
                <w:rStyle w:val="math-inline"/>
                <w:rFonts w:asciiTheme="majorBidi" w:hAnsiTheme="majorBidi" w:cstheme="majorBidi"/>
                <w:sz w:val="20"/>
                <w:szCs w:val="20"/>
              </w:rPr>
              <w:t>3.3</w:t>
            </w:r>
          </w:p>
        </w:tc>
        <w:tc>
          <w:tcPr>
            <w:tcW w:w="1080" w:type="dxa"/>
            <w:vAlign w:val="center"/>
            <w:hideMark/>
          </w:tcPr>
          <w:p w14:paraId="748AF941" w14:textId="77777777" w:rsidR="0064455B" w:rsidRPr="00187853" w:rsidRDefault="0064455B" w:rsidP="00F62E72">
            <w:pPr>
              <w:spacing w:line="360" w:lineRule="auto"/>
              <w:jc w:val="center"/>
              <w:rPr>
                <w:rFonts w:asciiTheme="majorBidi" w:hAnsiTheme="majorBidi" w:cstheme="majorBidi"/>
                <w:sz w:val="20"/>
                <w:szCs w:val="20"/>
              </w:rPr>
            </w:pPr>
            <w:r w:rsidRPr="00187853">
              <w:rPr>
                <w:rStyle w:val="math-inline"/>
                <w:rFonts w:asciiTheme="majorBidi" w:hAnsiTheme="majorBidi" w:cstheme="majorBidi"/>
                <w:sz w:val="20"/>
                <w:szCs w:val="20"/>
              </w:rPr>
              <w:t>2.6</w:t>
            </w:r>
          </w:p>
        </w:tc>
      </w:tr>
      <w:tr w:rsidR="0064455B" w:rsidRPr="00187853" w14:paraId="17A9EABB" w14:textId="77777777" w:rsidTr="00F65E73">
        <w:trPr>
          <w:jc w:val="center"/>
        </w:trPr>
        <w:tc>
          <w:tcPr>
            <w:tcW w:w="1106" w:type="dxa"/>
            <w:vMerge/>
            <w:vAlign w:val="center"/>
          </w:tcPr>
          <w:p w14:paraId="33331BE6" w14:textId="77777777" w:rsidR="0064455B" w:rsidRPr="00187853" w:rsidRDefault="0064455B" w:rsidP="00F62E72">
            <w:pPr>
              <w:spacing w:line="360" w:lineRule="auto"/>
              <w:rPr>
                <w:rFonts w:asciiTheme="majorBidi" w:hAnsiTheme="majorBidi" w:cstheme="majorBidi"/>
                <w:sz w:val="20"/>
                <w:szCs w:val="20"/>
              </w:rPr>
            </w:pPr>
          </w:p>
        </w:tc>
        <w:tc>
          <w:tcPr>
            <w:tcW w:w="1560" w:type="dxa"/>
            <w:vAlign w:val="center"/>
            <w:hideMark/>
          </w:tcPr>
          <w:p w14:paraId="4AC21FDE" w14:textId="77777777" w:rsidR="0064455B" w:rsidRPr="00187853" w:rsidRDefault="0064455B" w:rsidP="00F62E72">
            <w:pPr>
              <w:spacing w:line="360" w:lineRule="auto"/>
              <w:rPr>
                <w:rFonts w:asciiTheme="majorBidi" w:hAnsiTheme="majorBidi" w:cstheme="majorBidi"/>
                <w:b/>
                <w:bCs/>
                <w:sz w:val="20"/>
                <w:szCs w:val="20"/>
              </w:rPr>
            </w:pPr>
            <w:r w:rsidRPr="00187853">
              <w:rPr>
                <w:rFonts w:asciiTheme="majorBidi" w:hAnsiTheme="majorBidi" w:cstheme="majorBidi"/>
                <w:b/>
                <w:bCs/>
                <w:sz w:val="20"/>
                <w:szCs w:val="20"/>
              </w:rPr>
              <w:t>Southeasterly</w:t>
            </w:r>
          </w:p>
        </w:tc>
        <w:tc>
          <w:tcPr>
            <w:tcW w:w="759" w:type="dxa"/>
            <w:vAlign w:val="center"/>
            <w:hideMark/>
          </w:tcPr>
          <w:p w14:paraId="144D7546" w14:textId="77777777" w:rsidR="0064455B" w:rsidRPr="00187853" w:rsidRDefault="0064455B" w:rsidP="00F62E72">
            <w:pPr>
              <w:spacing w:line="360" w:lineRule="auto"/>
              <w:jc w:val="center"/>
              <w:rPr>
                <w:rFonts w:asciiTheme="majorBidi" w:hAnsiTheme="majorBidi" w:cstheme="majorBidi"/>
                <w:sz w:val="20"/>
                <w:szCs w:val="20"/>
              </w:rPr>
            </w:pPr>
            <w:r w:rsidRPr="00187853">
              <w:rPr>
                <w:rStyle w:val="math-inline"/>
                <w:rFonts w:asciiTheme="majorBidi" w:hAnsiTheme="majorBidi" w:cstheme="majorBidi"/>
                <w:sz w:val="20"/>
                <w:szCs w:val="20"/>
              </w:rPr>
              <w:t>8.7</w:t>
            </w:r>
          </w:p>
        </w:tc>
        <w:tc>
          <w:tcPr>
            <w:tcW w:w="1143" w:type="dxa"/>
            <w:vAlign w:val="center"/>
            <w:hideMark/>
          </w:tcPr>
          <w:p w14:paraId="7A98A7F0" w14:textId="77777777" w:rsidR="0064455B" w:rsidRPr="00187853" w:rsidRDefault="0064455B" w:rsidP="00F62E72">
            <w:pPr>
              <w:spacing w:line="360" w:lineRule="auto"/>
              <w:jc w:val="center"/>
              <w:rPr>
                <w:rFonts w:asciiTheme="majorBidi" w:hAnsiTheme="majorBidi" w:cstheme="majorBidi"/>
                <w:sz w:val="20"/>
                <w:szCs w:val="20"/>
              </w:rPr>
            </w:pPr>
            <w:r w:rsidRPr="00187853">
              <w:rPr>
                <w:rStyle w:val="math-inline"/>
                <w:rFonts w:asciiTheme="majorBidi" w:hAnsiTheme="majorBidi" w:cstheme="majorBidi"/>
                <w:sz w:val="20"/>
                <w:szCs w:val="20"/>
              </w:rPr>
              <w:t>4.3</w:t>
            </w:r>
          </w:p>
        </w:tc>
        <w:tc>
          <w:tcPr>
            <w:tcW w:w="652" w:type="dxa"/>
            <w:vAlign w:val="center"/>
            <w:hideMark/>
          </w:tcPr>
          <w:p w14:paraId="4D6F9427" w14:textId="77777777" w:rsidR="0064455B" w:rsidRPr="00187853" w:rsidRDefault="0064455B" w:rsidP="00F62E72">
            <w:pPr>
              <w:spacing w:line="360" w:lineRule="auto"/>
              <w:jc w:val="center"/>
              <w:rPr>
                <w:rFonts w:asciiTheme="majorBidi" w:hAnsiTheme="majorBidi" w:cstheme="majorBidi"/>
                <w:sz w:val="20"/>
                <w:szCs w:val="20"/>
              </w:rPr>
            </w:pPr>
            <w:r w:rsidRPr="00187853">
              <w:rPr>
                <w:rStyle w:val="math-inline"/>
                <w:rFonts w:asciiTheme="majorBidi" w:hAnsiTheme="majorBidi" w:cstheme="majorBidi"/>
                <w:sz w:val="20"/>
                <w:szCs w:val="20"/>
              </w:rPr>
              <w:t>1.3</w:t>
            </w:r>
          </w:p>
        </w:tc>
        <w:tc>
          <w:tcPr>
            <w:tcW w:w="1080" w:type="dxa"/>
            <w:vAlign w:val="center"/>
            <w:hideMark/>
          </w:tcPr>
          <w:p w14:paraId="4C9380A5" w14:textId="77777777" w:rsidR="0064455B" w:rsidRPr="00187853" w:rsidRDefault="0064455B" w:rsidP="00F62E72">
            <w:pPr>
              <w:spacing w:line="360" w:lineRule="auto"/>
              <w:jc w:val="center"/>
              <w:rPr>
                <w:rFonts w:asciiTheme="majorBidi" w:hAnsiTheme="majorBidi" w:cstheme="majorBidi"/>
                <w:sz w:val="20"/>
                <w:szCs w:val="20"/>
              </w:rPr>
            </w:pPr>
            <w:r w:rsidRPr="00187853">
              <w:rPr>
                <w:rStyle w:val="math-inline"/>
                <w:rFonts w:asciiTheme="majorBidi" w:hAnsiTheme="majorBidi" w:cstheme="majorBidi"/>
                <w:sz w:val="20"/>
                <w:szCs w:val="20"/>
              </w:rPr>
              <w:t>1.2</w:t>
            </w:r>
          </w:p>
        </w:tc>
        <w:tc>
          <w:tcPr>
            <w:tcW w:w="990" w:type="dxa"/>
            <w:vAlign w:val="center"/>
            <w:hideMark/>
          </w:tcPr>
          <w:p w14:paraId="51BB2A09" w14:textId="77777777" w:rsidR="0064455B" w:rsidRPr="00187853" w:rsidRDefault="0064455B" w:rsidP="00F62E72">
            <w:pPr>
              <w:spacing w:line="360" w:lineRule="auto"/>
              <w:jc w:val="center"/>
              <w:rPr>
                <w:rFonts w:asciiTheme="majorBidi" w:hAnsiTheme="majorBidi" w:cstheme="majorBidi"/>
                <w:sz w:val="20"/>
                <w:szCs w:val="20"/>
              </w:rPr>
            </w:pPr>
            <w:r w:rsidRPr="00187853">
              <w:rPr>
                <w:rStyle w:val="math-inline"/>
                <w:rFonts w:asciiTheme="majorBidi" w:hAnsiTheme="majorBidi" w:cstheme="majorBidi"/>
                <w:sz w:val="20"/>
                <w:szCs w:val="20"/>
              </w:rPr>
              <w:t>1.4</w:t>
            </w:r>
          </w:p>
        </w:tc>
        <w:tc>
          <w:tcPr>
            <w:tcW w:w="1170" w:type="dxa"/>
            <w:vAlign w:val="center"/>
            <w:hideMark/>
          </w:tcPr>
          <w:p w14:paraId="14486AEC" w14:textId="77777777" w:rsidR="0064455B" w:rsidRPr="00187853" w:rsidRDefault="0064455B" w:rsidP="00F62E72">
            <w:pPr>
              <w:spacing w:line="360" w:lineRule="auto"/>
              <w:jc w:val="center"/>
              <w:rPr>
                <w:rFonts w:asciiTheme="majorBidi" w:hAnsiTheme="majorBidi" w:cstheme="majorBidi"/>
                <w:sz w:val="20"/>
                <w:szCs w:val="20"/>
              </w:rPr>
            </w:pPr>
            <w:r w:rsidRPr="00187853">
              <w:rPr>
                <w:rStyle w:val="math-inline"/>
                <w:rFonts w:asciiTheme="majorBidi" w:hAnsiTheme="majorBidi" w:cstheme="majorBidi"/>
                <w:sz w:val="20"/>
                <w:szCs w:val="20"/>
              </w:rPr>
              <w:t>6.8</w:t>
            </w:r>
          </w:p>
        </w:tc>
        <w:tc>
          <w:tcPr>
            <w:tcW w:w="1080" w:type="dxa"/>
            <w:vAlign w:val="center"/>
            <w:hideMark/>
          </w:tcPr>
          <w:p w14:paraId="393A966F" w14:textId="77777777" w:rsidR="0064455B" w:rsidRPr="00187853" w:rsidRDefault="0064455B" w:rsidP="00F62E72">
            <w:pPr>
              <w:spacing w:line="360" w:lineRule="auto"/>
              <w:jc w:val="center"/>
              <w:rPr>
                <w:rFonts w:asciiTheme="majorBidi" w:hAnsiTheme="majorBidi" w:cstheme="majorBidi"/>
                <w:sz w:val="20"/>
                <w:szCs w:val="20"/>
              </w:rPr>
            </w:pPr>
            <w:r w:rsidRPr="00187853">
              <w:rPr>
                <w:rStyle w:val="math-inline"/>
                <w:rFonts w:asciiTheme="majorBidi" w:hAnsiTheme="majorBidi" w:cstheme="majorBidi"/>
                <w:sz w:val="20"/>
                <w:szCs w:val="20"/>
              </w:rPr>
              <w:t>3.8</w:t>
            </w:r>
          </w:p>
        </w:tc>
      </w:tr>
      <w:tr w:rsidR="0064455B" w:rsidRPr="00187853" w14:paraId="26C53BC3" w14:textId="77777777" w:rsidTr="00F65E73">
        <w:trPr>
          <w:jc w:val="center"/>
        </w:trPr>
        <w:tc>
          <w:tcPr>
            <w:tcW w:w="1106" w:type="dxa"/>
            <w:vMerge/>
            <w:vAlign w:val="center"/>
          </w:tcPr>
          <w:p w14:paraId="6C9EC992" w14:textId="77777777" w:rsidR="0064455B" w:rsidRPr="00187853" w:rsidRDefault="0064455B" w:rsidP="00F62E72">
            <w:pPr>
              <w:spacing w:line="360" w:lineRule="auto"/>
              <w:rPr>
                <w:rFonts w:asciiTheme="majorBidi" w:hAnsiTheme="majorBidi" w:cstheme="majorBidi"/>
                <w:sz w:val="20"/>
                <w:szCs w:val="20"/>
              </w:rPr>
            </w:pPr>
          </w:p>
        </w:tc>
        <w:tc>
          <w:tcPr>
            <w:tcW w:w="1560" w:type="dxa"/>
            <w:vAlign w:val="center"/>
            <w:hideMark/>
          </w:tcPr>
          <w:p w14:paraId="22A7C460" w14:textId="77777777" w:rsidR="0064455B" w:rsidRPr="00187853" w:rsidRDefault="0064455B" w:rsidP="00F62E72">
            <w:pPr>
              <w:spacing w:line="360" w:lineRule="auto"/>
              <w:rPr>
                <w:rFonts w:asciiTheme="majorBidi" w:hAnsiTheme="majorBidi" w:cstheme="majorBidi"/>
                <w:b/>
                <w:bCs/>
                <w:sz w:val="20"/>
                <w:szCs w:val="20"/>
              </w:rPr>
            </w:pPr>
            <w:r w:rsidRPr="00187853">
              <w:rPr>
                <w:rFonts w:asciiTheme="majorBidi" w:hAnsiTheme="majorBidi" w:cstheme="majorBidi"/>
                <w:b/>
                <w:bCs/>
                <w:sz w:val="20"/>
                <w:szCs w:val="20"/>
              </w:rPr>
              <w:t>Southerly</w:t>
            </w:r>
          </w:p>
        </w:tc>
        <w:tc>
          <w:tcPr>
            <w:tcW w:w="759" w:type="dxa"/>
            <w:vAlign w:val="center"/>
            <w:hideMark/>
          </w:tcPr>
          <w:p w14:paraId="192564BA" w14:textId="77777777" w:rsidR="0064455B" w:rsidRPr="00187853" w:rsidRDefault="0064455B" w:rsidP="00F62E72">
            <w:pPr>
              <w:spacing w:line="360" w:lineRule="auto"/>
              <w:jc w:val="center"/>
              <w:rPr>
                <w:rFonts w:asciiTheme="majorBidi" w:hAnsiTheme="majorBidi" w:cstheme="majorBidi"/>
                <w:sz w:val="20"/>
                <w:szCs w:val="20"/>
              </w:rPr>
            </w:pPr>
            <w:r w:rsidRPr="00187853">
              <w:rPr>
                <w:rStyle w:val="math-inline"/>
                <w:rFonts w:asciiTheme="majorBidi" w:hAnsiTheme="majorBidi" w:cstheme="majorBidi"/>
                <w:sz w:val="20"/>
                <w:szCs w:val="20"/>
              </w:rPr>
              <w:t>1.5</w:t>
            </w:r>
          </w:p>
        </w:tc>
        <w:tc>
          <w:tcPr>
            <w:tcW w:w="1143" w:type="dxa"/>
            <w:vAlign w:val="center"/>
            <w:hideMark/>
          </w:tcPr>
          <w:p w14:paraId="4A9602D8" w14:textId="77777777" w:rsidR="0064455B" w:rsidRPr="00187853" w:rsidRDefault="0064455B" w:rsidP="00F62E72">
            <w:pPr>
              <w:spacing w:line="360" w:lineRule="auto"/>
              <w:jc w:val="center"/>
              <w:rPr>
                <w:rFonts w:asciiTheme="majorBidi" w:hAnsiTheme="majorBidi" w:cstheme="majorBidi"/>
                <w:sz w:val="20"/>
                <w:szCs w:val="20"/>
              </w:rPr>
            </w:pPr>
            <w:r w:rsidRPr="00187853">
              <w:rPr>
                <w:rStyle w:val="math-inline"/>
                <w:rFonts w:asciiTheme="majorBidi" w:hAnsiTheme="majorBidi" w:cstheme="majorBidi"/>
                <w:sz w:val="20"/>
                <w:szCs w:val="20"/>
              </w:rPr>
              <w:t>3.6</w:t>
            </w:r>
          </w:p>
        </w:tc>
        <w:tc>
          <w:tcPr>
            <w:tcW w:w="652" w:type="dxa"/>
            <w:vAlign w:val="center"/>
            <w:hideMark/>
          </w:tcPr>
          <w:p w14:paraId="77F7F90C" w14:textId="77777777" w:rsidR="0064455B" w:rsidRPr="00187853" w:rsidRDefault="0064455B" w:rsidP="00F62E72">
            <w:pPr>
              <w:spacing w:line="360" w:lineRule="auto"/>
              <w:jc w:val="center"/>
              <w:rPr>
                <w:rFonts w:asciiTheme="majorBidi" w:hAnsiTheme="majorBidi" w:cstheme="majorBidi"/>
                <w:sz w:val="20"/>
                <w:szCs w:val="20"/>
              </w:rPr>
            </w:pPr>
            <w:r w:rsidRPr="00187853">
              <w:rPr>
                <w:rStyle w:val="math-inline"/>
                <w:rFonts w:asciiTheme="majorBidi" w:hAnsiTheme="majorBidi" w:cstheme="majorBidi"/>
                <w:sz w:val="20"/>
                <w:szCs w:val="20"/>
              </w:rPr>
              <w:t>2.6</w:t>
            </w:r>
          </w:p>
        </w:tc>
        <w:tc>
          <w:tcPr>
            <w:tcW w:w="1080" w:type="dxa"/>
            <w:vAlign w:val="center"/>
            <w:hideMark/>
          </w:tcPr>
          <w:p w14:paraId="7F1A46BA" w14:textId="77777777" w:rsidR="0064455B" w:rsidRPr="00187853" w:rsidRDefault="0064455B" w:rsidP="00F62E72">
            <w:pPr>
              <w:spacing w:line="360" w:lineRule="auto"/>
              <w:jc w:val="center"/>
              <w:rPr>
                <w:rFonts w:asciiTheme="majorBidi" w:hAnsiTheme="majorBidi" w:cstheme="majorBidi"/>
                <w:sz w:val="20"/>
                <w:szCs w:val="20"/>
              </w:rPr>
            </w:pPr>
            <w:r w:rsidRPr="00187853">
              <w:rPr>
                <w:rStyle w:val="math-inline"/>
                <w:rFonts w:asciiTheme="majorBidi" w:hAnsiTheme="majorBidi" w:cstheme="majorBidi"/>
                <w:sz w:val="20"/>
                <w:szCs w:val="20"/>
              </w:rPr>
              <w:t>2.6</w:t>
            </w:r>
          </w:p>
        </w:tc>
        <w:tc>
          <w:tcPr>
            <w:tcW w:w="990" w:type="dxa"/>
            <w:vAlign w:val="center"/>
            <w:hideMark/>
          </w:tcPr>
          <w:p w14:paraId="2E185A10" w14:textId="77777777" w:rsidR="0064455B" w:rsidRPr="00187853" w:rsidRDefault="0064455B" w:rsidP="00F62E72">
            <w:pPr>
              <w:spacing w:line="360" w:lineRule="auto"/>
              <w:jc w:val="center"/>
              <w:rPr>
                <w:rFonts w:asciiTheme="majorBidi" w:hAnsiTheme="majorBidi" w:cstheme="majorBidi"/>
                <w:sz w:val="20"/>
                <w:szCs w:val="20"/>
              </w:rPr>
            </w:pPr>
            <w:r w:rsidRPr="00187853">
              <w:rPr>
                <w:rStyle w:val="math-inline"/>
                <w:rFonts w:asciiTheme="majorBidi" w:hAnsiTheme="majorBidi" w:cstheme="majorBidi"/>
                <w:sz w:val="20"/>
                <w:szCs w:val="20"/>
              </w:rPr>
              <w:t>2.3</w:t>
            </w:r>
          </w:p>
        </w:tc>
        <w:tc>
          <w:tcPr>
            <w:tcW w:w="1170" w:type="dxa"/>
            <w:vAlign w:val="center"/>
            <w:hideMark/>
          </w:tcPr>
          <w:p w14:paraId="7743E177" w14:textId="77777777" w:rsidR="0064455B" w:rsidRPr="00187853" w:rsidRDefault="0064455B" w:rsidP="00F62E72">
            <w:pPr>
              <w:spacing w:line="360" w:lineRule="auto"/>
              <w:jc w:val="center"/>
              <w:rPr>
                <w:rFonts w:asciiTheme="majorBidi" w:hAnsiTheme="majorBidi" w:cstheme="majorBidi"/>
                <w:sz w:val="20"/>
                <w:szCs w:val="20"/>
              </w:rPr>
            </w:pPr>
            <w:r w:rsidRPr="00187853">
              <w:rPr>
                <w:rStyle w:val="math-inline"/>
                <w:rFonts w:asciiTheme="majorBidi" w:hAnsiTheme="majorBidi" w:cstheme="majorBidi"/>
                <w:sz w:val="20"/>
                <w:szCs w:val="20"/>
              </w:rPr>
              <w:t>2.2</w:t>
            </w:r>
          </w:p>
        </w:tc>
        <w:tc>
          <w:tcPr>
            <w:tcW w:w="1080" w:type="dxa"/>
            <w:vAlign w:val="center"/>
            <w:hideMark/>
          </w:tcPr>
          <w:p w14:paraId="022D8147" w14:textId="77777777" w:rsidR="0064455B" w:rsidRPr="00187853" w:rsidRDefault="0064455B" w:rsidP="00F62E72">
            <w:pPr>
              <w:spacing w:line="360" w:lineRule="auto"/>
              <w:jc w:val="center"/>
              <w:rPr>
                <w:rFonts w:asciiTheme="majorBidi" w:hAnsiTheme="majorBidi" w:cstheme="majorBidi"/>
                <w:sz w:val="20"/>
                <w:szCs w:val="20"/>
              </w:rPr>
            </w:pPr>
            <w:r w:rsidRPr="00187853">
              <w:rPr>
                <w:rStyle w:val="math-inline"/>
                <w:rFonts w:asciiTheme="majorBidi" w:hAnsiTheme="majorBidi" w:cstheme="majorBidi"/>
                <w:sz w:val="20"/>
                <w:szCs w:val="20"/>
              </w:rPr>
              <w:t>2.5</w:t>
            </w:r>
          </w:p>
        </w:tc>
      </w:tr>
      <w:tr w:rsidR="0064455B" w:rsidRPr="00187853" w14:paraId="579192AF" w14:textId="77777777" w:rsidTr="00F65E73">
        <w:trPr>
          <w:jc w:val="center"/>
        </w:trPr>
        <w:tc>
          <w:tcPr>
            <w:tcW w:w="1106" w:type="dxa"/>
            <w:vMerge/>
            <w:vAlign w:val="center"/>
          </w:tcPr>
          <w:p w14:paraId="77927FCE" w14:textId="77777777" w:rsidR="0064455B" w:rsidRPr="00187853" w:rsidRDefault="0064455B" w:rsidP="00F62E72">
            <w:pPr>
              <w:spacing w:line="360" w:lineRule="auto"/>
              <w:rPr>
                <w:rFonts w:asciiTheme="majorBidi" w:hAnsiTheme="majorBidi" w:cstheme="majorBidi"/>
                <w:sz w:val="20"/>
                <w:szCs w:val="20"/>
              </w:rPr>
            </w:pPr>
          </w:p>
        </w:tc>
        <w:tc>
          <w:tcPr>
            <w:tcW w:w="1560" w:type="dxa"/>
            <w:vAlign w:val="center"/>
            <w:hideMark/>
          </w:tcPr>
          <w:p w14:paraId="4A3DFC1E" w14:textId="77777777" w:rsidR="0064455B" w:rsidRPr="00187853" w:rsidRDefault="0064455B" w:rsidP="00F62E72">
            <w:pPr>
              <w:spacing w:line="360" w:lineRule="auto"/>
              <w:rPr>
                <w:rFonts w:asciiTheme="majorBidi" w:hAnsiTheme="majorBidi" w:cstheme="majorBidi"/>
                <w:b/>
                <w:bCs/>
                <w:sz w:val="20"/>
                <w:szCs w:val="20"/>
              </w:rPr>
            </w:pPr>
            <w:r w:rsidRPr="00187853">
              <w:rPr>
                <w:rFonts w:asciiTheme="majorBidi" w:hAnsiTheme="majorBidi" w:cstheme="majorBidi"/>
                <w:b/>
                <w:bCs/>
                <w:sz w:val="20"/>
                <w:szCs w:val="20"/>
              </w:rPr>
              <w:t>Southwesterly</w:t>
            </w:r>
          </w:p>
        </w:tc>
        <w:tc>
          <w:tcPr>
            <w:tcW w:w="759" w:type="dxa"/>
            <w:vAlign w:val="center"/>
            <w:hideMark/>
          </w:tcPr>
          <w:p w14:paraId="46FDF585" w14:textId="77777777" w:rsidR="0064455B" w:rsidRPr="00187853" w:rsidRDefault="0064455B" w:rsidP="00F62E72">
            <w:pPr>
              <w:spacing w:line="360" w:lineRule="auto"/>
              <w:jc w:val="center"/>
              <w:rPr>
                <w:rFonts w:asciiTheme="majorBidi" w:hAnsiTheme="majorBidi" w:cstheme="majorBidi"/>
                <w:sz w:val="20"/>
                <w:szCs w:val="20"/>
              </w:rPr>
            </w:pPr>
            <w:r w:rsidRPr="00187853">
              <w:rPr>
                <w:rStyle w:val="math-inline"/>
                <w:rFonts w:asciiTheme="majorBidi" w:hAnsiTheme="majorBidi" w:cstheme="majorBidi"/>
                <w:sz w:val="20"/>
                <w:szCs w:val="20"/>
              </w:rPr>
              <w:t>3.2</w:t>
            </w:r>
          </w:p>
        </w:tc>
        <w:tc>
          <w:tcPr>
            <w:tcW w:w="1143" w:type="dxa"/>
            <w:vAlign w:val="center"/>
            <w:hideMark/>
          </w:tcPr>
          <w:p w14:paraId="17C0DB5E" w14:textId="77777777" w:rsidR="0064455B" w:rsidRPr="00187853" w:rsidRDefault="0064455B" w:rsidP="00F62E72">
            <w:pPr>
              <w:spacing w:line="360" w:lineRule="auto"/>
              <w:jc w:val="center"/>
              <w:rPr>
                <w:rFonts w:asciiTheme="majorBidi" w:hAnsiTheme="majorBidi" w:cstheme="majorBidi"/>
                <w:sz w:val="20"/>
                <w:szCs w:val="20"/>
              </w:rPr>
            </w:pPr>
            <w:r w:rsidRPr="00187853">
              <w:rPr>
                <w:rStyle w:val="math-inline"/>
                <w:rFonts w:asciiTheme="majorBidi" w:hAnsiTheme="majorBidi" w:cstheme="majorBidi"/>
                <w:sz w:val="20"/>
                <w:szCs w:val="20"/>
              </w:rPr>
              <w:t>1.5</w:t>
            </w:r>
          </w:p>
        </w:tc>
        <w:tc>
          <w:tcPr>
            <w:tcW w:w="652" w:type="dxa"/>
            <w:vAlign w:val="center"/>
            <w:hideMark/>
          </w:tcPr>
          <w:p w14:paraId="5CAC55C7" w14:textId="77777777" w:rsidR="0064455B" w:rsidRPr="00187853" w:rsidRDefault="0064455B" w:rsidP="00F62E72">
            <w:pPr>
              <w:spacing w:line="360" w:lineRule="auto"/>
              <w:jc w:val="center"/>
              <w:rPr>
                <w:rFonts w:asciiTheme="majorBidi" w:hAnsiTheme="majorBidi" w:cstheme="majorBidi"/>
                <w:sz w:val="20"/>
                <w:szCs w:val="20"/>
              </w:rPr>
            </w:pPr>
            <w:r w:rsidRPr="00187853">
              <w:rPr>
                <w:rStyle w:val="math-inline"/>
                <w:rFonts w:asciiTheme="majorBidi" w:hAnsiTheme="majorBidi" w:cstheme="majorBidi"/>
                <w:sz w:val="20"/>
                <w:szCs w:val="20"/>
              </w:rPr>
              <w:t>3.4</w:t>
            </w:r>
          </w:p>
        </w:tc>
        <w:tc>
          <w:tcPr>
            <w:tcW w:w="1080" w:type="dxa"/>
            <w:vAlign w:val="center"/>
            <w:hideMark/>
          </w:tcPr>
          <w:p w14:paraId="5A6388B6" w14:textId="77777777" w:rsidR="0064455B" w:rsidRPr="00187853" w:rsidRDefault="0064455B" w:rsidP="00F62E72">
            <w:pPr>
              <w:spacing w:line="360" w:lineRule="auto"/>
              <w:jc w:val="center"/>
              <w:rPr>
                <w:rFonts w:asciiTheme="majorBidi" w:hAnsiTheme="majorBidi" w:cstheme="majorBidi"/>
                <w:sz w:val="20"/>
                <w:szCs w:val="20"/>
              </w:rPr>
            </w:pPr>
            <w:r w:rsidRPr="00187853">
              <w:rPr>
                <w:rStyle w:val="math-inline"/>
                <w:rFonts w:asciiTheme="majorBidi" w:hAnsiTheme="majorBidi" w:cstheme="majorBidi"/>
                <w:sz w:val="20"/>
                <w:szCs w:val="20"/>
              </w:rPr>
              <w:t>2.1</w:t>
            </w:r>
          </w:p>
        </w:tc>
        <w:tc>
          <w:tcPr>
            <w:tcW w:w="990" w:type="dxa"/>
            <w:vAlign w:val="center"/>
            <w:hideMark/>
          </w:tcPr>
          <w:p w14:paraId="37808AA8" w14:textId="77777777" w:rsidR="0064455B" w:rsidRPr="00187853" w:rsidRDefault="0064455B" w:rsidP="00F62E72">
            <w:pPr>
              <w:spacing w:line="360" w:lineRule="auto"/>
              <w:jc w:val="center"/>
              <w:rPr>
                <w:rFonts w:asciiTheme="majorBidi" w:hAnsiTheme="majorBidi" w:cstheme="majorBidi"/>
                <w:sz w:val="20"/>
                <w:szCs w:val="20"/>
              </w:rPr>
            </w:pPr>
            <w:r w:rsidRPr="00187853">
              <w:rPr>
                <w:rStyle w:val="math-inline"/>
                <w:rFonts w:asciiTheme="majorBidi" w:hAnsiTheme="majorBidi" w:cstheme="majorBidi"/>
                <w:sz w:val="20"/>
                <w:szCs w:val="20"/>
              </w:rPr>
              <w:t>2.2</w:t>
            </w:r>
          </w:p>
        </w:tc>
        <w:tc>
          <w:tcPr>
            <w:tcW w:w="1170" w:type="dxa"/>
            <w:vAlign w:val="center"/>
            <w:hideMark/>
          </w:tcPr>
          <w:p w14:paraId="59540F05" w14:textId="77777777" w:rsidR="0064455B" w:rsidRPr="00187853" w:rsidRDefault="0064455B" w:rsidP="00F62E72">
            <w:pPr>
              <w:spacing w:line="360" w:lineRule="auto"/>
              <w:jc w:val="center"/>
              <w:rPr>
                <w:rFonts w:asciiTheme="majorBidi" w:hAnsiTheme="majorBidi" w:cstheme="majorBidi"/>
                <w:sz w:val="20"/>
                <w:szCs w:val="20"/>
              </w:rPr>
            </w:pPr>
            <w:r w:rsidRPr="00187853">
              <w:rPr>
                <w:rStyle w:val="math-inline"/>
                <w:rFonts w:asciiTheme="majorBidi" w:hAnsiTheme="majorBidi" w:cstheme="majorBidi"/>
                <w:sz w:val="20"/>
                <w:szCs w:val="20"/>
              </w:rPr>
              <w:t>8.2</w:t>
            </w:r>
          </w:p>
        </w:tc>
        <w:tc>
          <w:tcPr>
            <w:tcW w:w="1080" w:type="dxa"/>
            <w:vAlign w:val="center"/>
            <w:hideMark/>
          </w:tcPr>
          <w:p w14:paraId="08D1114E" w14:textId="77777777" w:rsidR="0064455B" w:rsidRPr="00187853" w:rsidRDefault="0064455B" w:rsidP="00F62E72">
            <w:pPr>
              <w:spacing w:line="360" w:lineRule="auto"/>
              <w:jc w:val="center"/>
              <w:rPr>
                <w:rFonts w:asciiTheme="majorBidi" w:hAnsiTheme="majorBidi" w:cstheme="majorBidi"/>
                <w:sz w:val="20"/>
                <w:szCs w:val="20"/>
              </w:rPr>
            </w:pPr>
            <w:r w:rsidRPr="00187853">
              <w:rPr>
                <w:rStyle w:val="math-inline"/>
                <w:rFonts w:asciiTheme="majorBidi" w:hAnsiTheme="majorBidi" w:cstheme="majorBidi"/>
                <w:sz w:val="20"/>
                <w:szCs w:val="20"/>
              </w:rPr>
              <w:t>3.4</w:t>
            </w:r>
          </w:p>
        </w:tc>
      </w:tr>
      <w:tr w:rsidR="0064455B" w:rsidRPr="00187853" w14:paraId="4AF2653D" w14:textId="77777777" w:rsidTr="00F65E73">
        <w:trPr>
          <w:jc w:val="center"/>
        </w:trPr>
        <w:tc>
          <w:tcPr>
            <w:tcW w:w="1106" w:type="dxa"/>
            <w:vMerge/>
            <w:vAlign w:val="center"/>
          </w:tcPr>
          <w:p w14:paraId="06B52A01" w14:textId="77777777" w:rsidR="0064455B" w:rsidRPr="00187853" w:rsidRDefault="0064455B" w:rsidP="00F62E72">
            <w:pPr>
              <w:spacing w:line="360" w:lineRule="auto"/>
              <w:rPr>
                <w:rFonts w:asciiTheme="majorBidi" w:hAnsiTheme="majorBidi" w:cstheme="majorBidi"/>
                <w:sz w:val="20"/>
                <w:szCs w:val="20"/>
              </w:rPr>
            </w:pPr>
          </w:p>
        </w:tc>
        <w:tc>
          <w:tcPr>
            <w:tcW w:w="1560" w:type="dxa"/>
            <w:vAlign w:val="center"/>
            <w:hideMark/>
          </w:tcPr>
          <w:p w14:paraId="6F192773" w14:textId="77777777" w:rsidR="0064455B" w:rsidRPr="00187853" w:rsidRDefault="0064455B" w:rsidP="00F62E72">
            <w:pPr>
              <w:spacing w:line="360" w:lineRule="auto"/>
              <w:rPr>
                <w:rFonts w:asciiTheme="majorBidi" w:hAnsiTheme="majorBidi" w:cstheme="majorBidi"/>
                <w:b/>
                <w:bCs/>
                <w:sz w:val="20"/>
                <w:szCs w:val="20"/>
              </w:rPr>
            </w:pPr>
            <w:r w:rsidRPr="00187853">
              <w:rPr>
                <w:rFonts w:asciiTheme="majorBidi" w:hAnsiTheme="majorBidi" w:cstheme="majorBidi"/>
                <w:b/>
                <w:bCs/>
                <w:sz w:val="20"/>
                <w:szCs w:val="20"/>
              </w:rPr>
              <w:t>Westerly</w:t>
            </w:r>
          </w:p>
        </w:tc>
        <w:tc>
          <w:tcPr>
            <w:tcW w:w="759" w:type="dxa"/>
            <w:vAlign w:val="center"/>
            <w:hideMark/>
          </w:tcPr>
          <w:p w14:paraId="330B64BC" w14:textId="77777777" w:rsidR="0064455B" w:rsidRPr="00187853" w:rsidRDefault="0064455B" w:rsidP="00F62E72">
            <w:pPr>
              <w:spacing w:line="360" w:lineRule="auto"/>
              <w:jc w:val="center"/>
              <w:rPr>
                <w:rFonts w:asciiTheme="majorBidi" w:hAnsiTheme="majorBidi" w:cstheme="majorBidi"/>
                <w:sz w:val="20"/>
                <w:szCs w:val="20"/>
              </w:rPr>
            </w:pPr>
            <w:r w:rsidRPr="00187853">
              <w:rPr>
                <w:rStyle w:val="math-inline"/>
                <w:rFonts w:asciiTheme="majorBidi" w:hAnsiTheme="majorBidi" w:cstheme="majorBidi"/>
                <w:sz w:val="20"/>
                <w:szCs w:val="20"/>
              </w:rPr>
              <w:t>6.1</w:t>
            </w:r>
          </w:p>
        </w:tc>
        <w:tc>
          <w:tcPr>
            <w:tcW w:w="1143" w:type="dxa"/>
            <w:vAlign w:val="center"/>
            <w:hideMark/>
          </w:tcPr>
          <w:p w14:paraId="572440CF" w14:textId="77777777" w:rsidR="0064455B" w:rsidRPr="00187853" w:rsidRDefault="0064455B" w:rsidP="00F62E72">
            <w:pPr>
              <w:spacing w:line="360" w:lineRule="auto"/>
              <w:jc w:val="center"/>
              <w:rPr>
                <w:rFonts w:asciiTheme="majorBidi" w:hAnsiTheme="majorBidi" w:cstheme="majorBidi"/>
                <w:sz w:val="20"/>
                <w:szCs w:val="20"/>
              </w:rPr>
            </w:pPr>
            <w:r w:rsidRPr="00187853">
              <w:rPr>
                <w:rStyle w:val="math-inline"/>
                <w:rFonts w:asciiTheme="majorBidi" w:hAnsiTheme="majorBidi" w:cstheme="majorBidi"/>
                <w:sz w:val="20"/>
                <w:szCs w:val="20"/>
              </w:rPr>
              <w:t>2.9</w:t>
            </w:r>
          </w:p>
        </w:tc>
        <w:tc>
          <w:tcPr>
            <w:tcW w:w="652" w:type="dxa"/>
            <w:vAlign w:val="center"/>
            <w:hideMark/>
          </w:tcPr>
          <w:p w14:paraId="24D72E1A" w14:textId="77777777" w:rsidR="0064455B" w:rsidRPr="00187853" w:rsidRDefault="0064455B" w:rsidP="00F62E72">
            <w:pPr>
              <w:spacing w:line="360" w:lineRule="auto"/>
              <w:jc w:val="center"/>
              <w:rPr>
                <w:rFonts w:asciiTheme="majorBidi" w:hAnsiTheme="majorBidi" w:cstheme="majorBidi"/>
                <w:sz w:val="20"/>
                <w:szCs w:val="20"/>
              </w:rPr>
            </w:pPr>
            <w:r w:rsidRPr="00187853">
              <w:rPr>
                <w:rStyle w:val="math-inline"/>
                <w:rFonts w:asciiTheme="majorBidi" w:hAnsiTheme="majorBidi" w:cstheme="majorBidi"/>
                <w:sz w:val="20"/>
                <w:szCs w:val="20"/>
              </w:rPr>
              <w:t>2.6</w:t>
            </w:r>
          </w:p>
        </w:tc>
        <w:tc>
          <w:tcPr>
            <w:tcW w:w="1080" w:type="dxa"/>
            <w:vAlign w:val="center"/>
            <w:hideMark/>
          </w:tcPr>
          <w:p w14:paraId="6E105A4F" w14:textId="77777777" w:rsidR="0064455B" w:rsidRPr="00187853" w:rsidRDefault="0064455B" w:rsidP="00F62E72">
            <w:pPr>
              <w:spacing w:line="360" w:lineRule="auto"/>
              <w:jc w:val="center"/>
              <w:rPr>
                <w:rFonts w:asciiTheme="majorBidi" w:hAnsiTheme="majorBidi" w:cstheme="majorBidi"/>
                <w:sz w:val="20"/>
                <w:szCs w:val="20"/>
              </w:rPr>
            </w:pPr>
            <w:r w:rsidRPr="00187853">
              <w:rPr>
                <w:rStyle w:val="math-inline"/>
                <w:rFonts w:asciiTheme="majorBidi" w:hAnsiTheme="majorBidi" w:cstheme="majorBidi"/>
                <w:sz w:val="20"/>
                <w:szCs w:val="20"/>
              </w:rPr>
              <w:t>2.8</w:t>
            </w:r>
          </w:p>
        </w:tc>
        <w:tc>
          <w:tcPr>
            <w:tcW w:w="990" w:type="dxa"/>
            <w:vAlign w:val="center"/>
            <w:hideMark/>
          </w:tcPr>
          <w:p w14:paraId="046571C1" w14:textId="77777777" w:rsidR="0064455B" w:rsidRPr="00187853" w:rsidRDefault="0064455B" w:rsidP="00F62E72">
            <w:pPr>
              <w:spacing w:line="360" w:lineRule="auto"/>
              <w:jc w:val="center"/>
              <w:rPr>
                <w:rFonts w:asciiTheme="majorBidi" w:hAnsiTheme="majorBidi" w:cstheme="majorBidi"/>
                <w:sz w:val="20"/>
                <w:szCs w:val="20"/>
              </w:rPr>
            </w:pPr>
            <w:r w:rsidRPr="00187853">
              <w:rPr>
                <w:rStyle w:val="math-inline"/>
                <w:rFonts w:asciiTheme="majorBidi" w:hAnsiTheme="majorBidi" w:cstheme="majorBidi"/>
                <w:sz w:val="20"/>
                <w:szCs w:val="20"/>
              </w:rPr>
              <w:t>4.3</w:t>
            </w:r>
          </w:p>
        </w:tc>
        <w:tc>
          <w:tcPr>
            <w:tcW w:w="1170" w:type="dxa"/>
            <w:vAlign w:val="center"/>
            <w:hideMark/>
          </w:tcPr>
          <w:p w14:paraId="42C99FB4" w14:textId="77777777" w:rsidR="0064455B" w:rsidRPr="00187853" w:rsidRDefault="0064455B" w:rsidP="00F62E72">
            <w:pPr>
              <w:spacing w:line="360" w:lineRule="auto"/>
              <w:jc w:val="center"/>
              <w:rPr>
                <w:rFonts w:asciiTheme="majorBidi" w:hAnsiTheme="majorBidi" w:cstheme="majorBidi"/>
                <w:sz w:val="20"/>
                <w:szCs w:val="20"/>
              </w:rPr>
            </w:pPr>
            <w:r w:rsidRPr="00187853">
              <w:rPr>
                <w:rStyle w:val="math-inline"/>
                <w:rFonts w:asciiTheme="majorBidi" w:hAnsiTheme="majorBidi" w:cstheme="majorBidi"/>
                <w:sz w:val="20"/>
                <w:szCs w:val="20"/>
              </w:rPr>
              <w:t>17.3</w:t>
            </w:r>
          </w:p>
        </w:tc>
        <w:tc>
          <w:tcPr>
            <w:tcW w:w="1080" w:type="dxa"/>
            <w:vAlign w:val="center"/>
            <w:hideMark/>
          </w:tcPr>
          <w:p w14:paraId="4C0084C5" w14:textId="77777777" w:rsidR="0064455B" w:rsidRPr="00187853" w:rsidRDefault="0064455B" w:rsidP="00F62E72">
            <w:pPr>
              <w:spacing w:line="360" w:lineRule="auto"/>
              <w:jc w:val="center"/>
              <w:rPr>
                <w:rFonts w:asciiTheme="majorBidi" w:hAnsiTheme="majorBidi" w:cstheme="majorBidi"/>
                <w:sz w:val="20"/>
                <w:szCs w:val="20"/>
              </w:rPr>
            </w:pPr>
            <w:r w:rsidRPr="00187853">
              <w:rPr>
                <w:rStyle w:val="math-inline"/>
                <w:rFonts w:asciiTheme="majorBidi" w:hAnsiTheme="majorBidi" w:cstheme="majorBidi"/>
                <w:sz w:val="20"/>
                <w:szCs w:val="20"/>
              </w:rPr>
              <w:t>6.0</w:t>
            </w:r>
          </w:p>
        </w:tc>
      </w:tr>
      <w:tr w:rsidR="007B16F5" w:rsidRPr="00187853" w14:paraId="6EB2D7D3" w14:textId="77777777" w:rsidTr="00F65E73">
        <w:trPr>
          <w:jc w:val="center"/>
        </w:trPr>
        <w:tc>
          <w:tcPr>
            <w:tcW w:w="1106" w:type="dxa"/>
            <w:vMerge/>
            <w:vAlign w:val="center"/>
          </w:tcPr>
          <w:p w14:paraId="5022AFAC" w14:textId="77777777" w:rsidR="0064455B" w:rsidRPr="00187853" w:rsidRDefault="0064455B" w:rsidP="00F62E72">
            <w:pPr>
              <w:spacing w:line="360" w:lineRule="auto"/>
              <w:rPr>
                <w:rFonts w:asciiTheme="majorBidi" w:hAnsiTheme="majorBidi" w:cstheme="majorBidi"/>
                <w:sz w:val="20"/>
                <w:szCs w:val="20"/>
              </w:rPr>
            </w:pPr>
          </w:p>
        </w:tc>
        <w:tc>
          <w:tcPr>
            <w:tcW w:w="1560" w:type="dxa"/>
            <w:vAlign w:val="center"/>
            <w:hideMark/>
          </w:tcPr>
          <w:p w14:paraId="5DBA4382" w14:textId="77777777" w:rsidR="0064455B" w:rsidRPr="00187853" w:rsidRDefault="0064455B" w:rsidP="00F62E72">
            <w:pPr>
              <w:spacing w:line="360" w:lineRule="auto"/>
              <w:rPr>
                <w:rFonts w:asciiTheme="majorBidi" w:hAnsiTheme="majorBidi" w:cstheme="majorBidi"/>
                <w:b/>
                <w:bCs/>
                <w:sz w:val="20"/>
                <w:szCs w:val="20"/>
              </w:rPr>
            </w:pPr>
            <w:r w:rsidRPr="00187853">
              <w:rPr>
                <w:rFonts w:asciiTheme="majorBidi" w:hAnsiTheme="majorBidi" w:cstheme="majorBidi"/>
                <w:b/>
                <w:bCs/>
                <w:sz w:val="20"/>
                <w:szCs w:val="20"/>
              </w:rPr>
              <w:t>Northwesterly</w:t>
            </w:r>
          </w:p>
        </w:tc>
        <w:tc>
          <w:tcPr>
            <w:tcW w:w="759" w:type="dxa"/>
            <w:vAlign w:val="center"/>
            <w:hideMark/>
          </w:tcPr>
          <w:p w14:paraId="4DBCACE4" w14:textId="77777777" w:rsidR="0064455B" w:rsidRPr="00187853" w:rsidRDefault="0064455B" w:rsidP="00F62E72">
            <w:pPr>
              <w:spacing w:line="360" w:lineRule="auto"/>
              <w:jc w:val="center"/>
              <w:rPr>
                <w:rFonts w:asciiTheme="majorBidi" w:hAnsiTheme="majorBidi" w:cstheme="majorBidi"/>
                <w:sz w:val="20"/>
                <w:szCs w:val="20"/>
              </w:rPr>
            </w:pPr>
            <w:r w:rsidRPr="00187853">
              <w:rPr>
                <w:rStyle w:val="math-inline"/>
                <w:rFonts w:asciiTheme="majorBidi" w:hAnsiTheme="majorBidi" w:cstheme="majorBidi"/>
                <w:sz w:val="20"/>
                <w:szCs w:val="20"/>
              </w:rPr>
              <w:t>36.7</w:t>
            </w:r>
          </w:p>
        </w:tc>
        <w:tc>
          <w:tcPr>
            <w:tcW w:w="1143" w:type="dxa"/>
            <w:vAlign w:val="center"/>
            <w:hideMark/>
          </w:tcPr>
          <w:p w14:paraId="5A41786C" w14:textId="77777777" w:rsidR="0064455B" w:rsidRPr="00187853" w:rsidRDefault="0064455B" w:rsidP="00F62E72">
            <w:pPr>
              <w:spacing w:line="360" w:lineRule="auto"/>
              <w:jc w:val="center"/>
              <w:rPr>
                <w:rFonts w:asciiTheme="majorBidi" w:hAnsiTheme="majorBidi" w:cstheme="majorBidi"/>
                <w:sz w:val="20"/>
                <w:szCs w:val="20"/>
              </w:rPr>
            </w:pPr>
            <w:r w:rsidRPr="00187853">
              <w:rPr>
                <w:rStyle w:val="math-inline"/>
                <w:rFonts w:asciiTheme="majorBidi" w:hAnsiTheme="majorBidi" w:cstheme="majorBidi"/>
                <w:sz w:val="20"/>
                <w:szCs w:val="20"/>
              </w:rPr>
              <w:t>4.4</w:t>
            </w:r>
          </w:p>
        </w:tc>
        <w:tc>
          <w:tcPr>
            <w:tcW w:w="652" w:type="dxa"/>
            <w:vAlign w:val="center"/>
            <w:hideMark/>
          </w:tcPr>
          <w:p w14:paraId="1CB5C005" w14:textId="77777777" w:rsidR="0064455B" w:rsidRPr="00187853" w:rsidRDefault="0064455B" w:rsidP="00F62E72">
            <w:pPr>
              <w:spacing w:line="360" w:lineRule="auto"/>
              <w:jc w:val="center"/>
              <w:rPr>
                <w:rFonts w:asciiTheme="majorBidi" w:hAnsiTheme="majorBidi" w:cstheme="majorBidi"/>
                <w:sz w:val="20"/>
                <w:szCs w:val="20"/>
              </w:rPr>
            </w:pPr>
            <w:r w:rsidRPr="00187853">
              <w:rPr>
                <w:rStyle w:val="math-inline"/>
                <w:rFonts w:asciiTheme="majorBidi" w:hAnsiTheme="majorBidi" w:cstheme="majorBidi"/>
                <w:sz w:val="20"/>
                <w:szCs w:val="20"/>
              </w:rPr>
              <w:t>63.1</w:t>
            </w:r>
          </w:p>
        </w:tc>
        <w:tc>
          <w:tcPr>
            <w:tcW w:w="1080" w:type="dxa"/>
            <w:vAlign w:val="center"/>
            <w:hideMark/>
          </w:tcPr>
          <w:p w14:paraId="0394522B" w14:textId="77777777" w:rsidR="0064455B" w:rsidRPr="00187853" w:rsidRDefault="0064455B" w:rsidP="00F62E72">
            <w:pPr>
              <w:spacing w:line="360" w:lineRule="auto"/>
              <w:jc w:val="center"/>
              <w:rPr>
                <w:rFonts w:asciiTheme="majorBidi" w:hAnsiTheme="majorBidi" w:cstheme="majorBidi"/>
                <w:sz w:val="20"/>
                <w:szCs w:val="20"/>
              </w:rPr>
            </w:pPr>
            <w:r w:rsidRPr="00187853">
              <w:rPr>
                <w:rStyle w:val="math-inline"/>
                <w:rFonts w:asciiTheme="majorBidi" w:hAnsiTheme="majorBidi" w:cstheme="majorBidi"/>
                <w:sz w:val="20"/>
                <w:szCs w:val="20"/>
              </w:rPr>
              <w:t>65.4</w:t>
            </w:r>
          </w:p>
        </w:tc>
        <w:tc>
          <w:tcPr>
            <w:tcW w:w="990" w:type="dxa"/>
            <w:vAlign w:val="center"/>
            <w:hideMark/>
          </w:tcPr>
          <w:p w14:paraId="6C20E0A2" w14:textId="77777777" w:rsidR="0064455B" w:rsidRPr="00187853" w:rsidRDefault="0064455B" w:rsidP="00F62E72">
            <w:pPr>
              <w:spacing w:line="360" w:lineRule="auto"/>
              <w:jc w:val="center"/>
              <w:rPr>
                <w:rFonts w:asciiTheme="majorBidi" w:hAnsiTheme="majorBidi" w:cstheme="majorBidi"/>
                <w:sz w:val="20"/>
                <w:szCs w:val="20"/>
              </w:rPr>
            </w:pPr>
            <w:r w:rsidRPr="00187853">
              <w:rPr>
                <w:rStyle w:val="math-inline"/>
                <w:rFonts w:asciiTheme="majorBidi" w:hAnsiTheme="majorBidi" w:cstheme="majorBidi"/>
                <w:sz w:val="20"/>
                <w:szCs w:val="20"/>
              </w:rPr>
              <w:t>64.1</w:t>
            </w:r>
          </w:p>
        </w:tc>
        <w:tc>
          <w:tcPr>
            <w:tcW w:w="1170" w:type="dxa"/>
            <w:vAlign w:val="center"/>
            <w:hideMark/>
          </w:tcPr>
          <w:p w14:paraId="44569CB7" w14:textId="77777777" w:rsidR="0064455B" w:rsidRPr="00187853" w:rsidRDefault="0064455B" w:rsidP="00F62E72">
            <w:pPr>
              <w:spacing w:line="360" w:lineRule="auto"/>
              <w:jc w:val="center"/>
              <w:rPr>
                <w:rFonts w:asciiTheme="majorBidi" w:hAnsiTheme="majorBidi" w:cstheme="majorBidi"/>
                <w:sz w:val="20"/>
                <w:szCs w:val="20"/>
              </w:rPr>
            </w:pPr>
            <w:r w:rsidRPr="00187853">
              <w:rPr>
                <w:rStyle w:val="math-inline"/>
                <w:rFonts w:asciiTheme="majorBidi" w:hAnsiTheme="majorBidi" w:cstheme="majorBidi"/>
                <w:sz w:val="20"/>
                <w:szCs w:val="20"/>
              </w:rPr>
              <w:t>17.1</w:t>
            </w:r>
          </w:p>
        </w:tc>
        <w:tc>
          <w:tcPr>
            <w:tcW w:w="1080" w:type="dxa"/>
            <w:vAlign w:val="center"/>
            <w:hideMark/>
          </w:tcPr>
          <w:p w14:paraId="49C6E7AE" w14:textId="77777777" w:rsidR="0064455B" w:rsidRPr="00187853" w:rsidRDefault="0064455B" w:rsidP="00F62E72">
            <w:pPr>
              <w:spacing w:line="360" w:lineRule="auto"/>
              <w:jc w:val="center"/>
              <w:rPr>
                <w:rFonts w:asciiTheme="majorBidi" w:hAnsiTheme="majorBidi" w:cstheme="majorBidi"/>
                <w:sz w:val="20"/>
                <w:szCs w:val="20"/>
              </w:rPr>
            </w:pPr>
            <w:r w:rsidRPr="00187853">
              <w:rPr>
                <w:rStyle w:val="math-inline"/>
                <w:rFonts w:asciiTheme="majorBidi" w:hAnsiTheme="majorBidi" w:cstheme="majorBidi"/>
                <w:sz w:val="20"/>
                <w:szCs w:val="20"/>
              </w:rPr>
              <w:t>41.8</w:t>
            </w:r>
          </w:p>
        </w:tc>
      </w:tr>
      <w:tr w:rsidR="007B16F5" w:rsidRPr="00187853" w14:paraId="3602EA76" w14:textId="77777777" w:rsidTr="00F65E73">
        <w:trPr>
          <w:jc w:val="center"/>
        </w:trPr>
        <w:tc>
          <w:tcPr>
            <w:tcW w:w="1106" w:type="dxa"/>
            <w:vMerge/>
            <w:vAlign w:val="center"/>
          </w:tcPr>
          <w:p w14:paraId="5E0E9CC8" w14:textId="77777777" w:rsidR="0064455B" w:rsidRPr="00187853" w:rsidRDefault="0064455B" w:rsidP="00F62E72">
            <w:pPr>
              <w:spacing w:line="360" w:lineRule="auto"/>
              <w:rPr>
                <w:rFonts w:asciiTheme="majorBidi" w:hAnsiTheme="majorBidi" w:cstheme="majorBidi"/>
                <w:b/>
                <w:bCs/>
                <w:sz w:val="20"/>
                <w:szCs w:val="20"/>
              </w:rPr>
            </w:pPr>
          </w:p>
        </w:tc>
        <w:tc>
          <w:tcPr>
            <w:tcW w:w="1560" w:type="dxa"/>
            <w:vAlign w:val="center"/>
            <w:hideMark/>
          </w:tcPr>
          <w:p w14:paraId="71A18A7B" w14:textId="77777777" w:rsidR="0064455B" w:rsidRPr="00187853" w:rsidRDefault="0064455B" w:rsidP="00F62E72">
            <w:pPr>
              <w:spacing w:line="360" w:lineRule="auto"/>
              <w:rPr>
                <w:rFonts w:asciiTheme="majorBidi" w:hAnsiTheme="majorBidi" w:cstheme="majorBidi"/>
                <w:b/>
                <w:bCs/>
                <w:sz w:val="20"/>
                <w:szCs w:val="20"/>
              </w:rPr>
            </w:pPr>
            <w:r w:rsidRPr="00187853">
              <w:rPr>
                <w:rFonts w:asciiTheme="majorBidi" w:hAnsiTheme="majorBidi" w:cstheme="majorBidi"/>
                <w:b/>
                <w:bCs/>
                <w:sz w:val="20"/>
                <w:szCs w:val="20"/>
              </w:rPr>
              <w:t>Calm</w:t>
            </w:r>
          </w:p>
        </w:tc>
        <w:tc>
          <w:tcPr>
            <w:tcW w:w="759" w:type="dxa"/>
            <w:vAlign w:val="center"/>
            <w:hideMark/>
          </w:tcPr>
          <w:p w14:paraId="5D4A8B1D" w14:textId="77777777" w:rsidR="0064455B" w:rsidRPr="00187853" w:rsidRDefault="0064455B" w:rsidP="00F62E72">
            <w:pPr>
              <w:spacing w:line="360" w:lineRule="auto"/>
              <w:jc w:val="center"/>
              <w:rPr>
                <w:rFonts w:asciiTheme="majorBidi" w:hAnsiTheme="majorBidi" w:cstheme="majorBidi"/>
                <w:sz w:val="20"/>
                <w:szCs w:val="20"/>
              </w:rPr>
            </w:pPr>
            <w:r w:rsidRPr="00187853">
              <w:rPr>
                <w:rStyle w:val="math-inline"/>
                <w:rFonts w:asciiTheme="majorBidi" w:hAnsiTheme="majorBidi" w:cstheme="majorBidi"/>
                <w:sz w:val="20"/>
                <w:szCs w:val="20"/>
              </w:rPr>
              <w:t>11.1</w:t>
            </w:r>
          </w:p>
        </w:tc>
        <w:tc>
          <w:tcPr>
            <w:tcW w:w="1143" w:type="dxa"/>
            <w:vAlign w:val="center"/>
            <w:hideMark/>
          </w:tcPr>
          <w:p w14:paraId="0FC7D03F" w14:textId="77777777" w:rsidR="0064455B" w:rsidRPr="00187853" w:rsidRDefault="0064455B" w:rsidP="00F62E72">
            <w:pPr>
              <w:spacing w:line="360" w:lineRule="auto"/>
              <w:jc w:val="center"/>
              <w:rPr>
                <w:rFonts w:asciiTheme="majorBidi" w:hAnsiTheme="majorBidi" w:cstheme="majorBidi"/>
                <w:sz w:val="20"/>
                <w:szCs w:val="20"/>
              </w:rPr>
            </w:pPr>
            <w:r w:rsidRPr="00187853">
              <w:rPr>
                <w:rStyle w:val="math-inline"/>
                <w:rFonts w:asciiTheme="majorBidi" w:hAnsiTheme="majorBidi" w:cstheme="majorBidi"/>
                <w:sz w:val="20"/>
                <w:szCs w:val="20"/>
              </w:rPr>
              <w:t>3.2</w:t>
            </w:r>
          </w:p>
        </w:tc>
        <w:tc>
          <w:tcPr>
            <w:tcW w:w="652" w:type="dxa"/>
            <w:vAlign w:val="center"/>
            <w:hideMark/>
          </w:tcPr>
          <w:p w14:paraId="7F8CCC43" w14:textId="77777777" w:rsidR="0064455B" w:rsidRPr="00187853" w:rsidRDefault="0064455B" w:rsidP="00F62E72">
            <w:pPr>
              <w:spacing w:line="360" w:lineRule="auto"/>
              <w:jc w:val="center"/>
              <w:rPr>
                <w:rFonts w:asciiTheme="majorBidi" w:hAnsiTheme="majorBidi" w:cstheme="majorBidi"/>
                <w:sz w:val="20"/>
                <w:szCs w:val="20"/>
              </w:rPr>
            </w:pPr>
            <w:r w:rsidRPr="00187853">
              <w:rPr>
                <w:rStyle w:val="math-inline"/>
                <w:rFonts w:asciiTheme="majorBidi" w:hAnsiTheme="majorBidi" w:cstheme="majorBidi"/>
                <w:sz w:val="20"/>
                <w:szCs w:val="20"/>
              </w:rPr>
              <w:t>6.8</w:t>
            </w:r>
          </w:p>
        </w:tc>
        <w:tc>
          <w:tcPr>
            <w:tcW w:w="1080" w:type="dxa"/>
            <w:vAlign w:val="center"/>
            <w:hideMark/>
          </w:tcPr>
          <w:p w14:paraId="57851C33" w14:textId="77777777" w:rsidR="0064455B" w:rsidRPr="00187853" w:rsidRDefault="0064455B" w:rsidP="00F62E72">
            <w:pPr>
              <w:spacing w:line="360" w:lineRule="auto"/>
              <w:jc w:val="center"/>
              <w:rPr>
                <w:rFonts w:asciiTheme="majorBidi" w:hAnsiTheme="majorBidi" w:cstheme="majorBidi"/>
                <w:sz w:val="20"/>
                <w:szCs w:val="20"/>
              </w:rPr>
            </w:pPr>
            <w:r w:rsidRPr="00187853">
              <w:rPr>
                <w:rStyle w:val="math-inline"/>
                <w:rFonts w:asciiTheme="majorBidi" w:hAnsiTheme="majorBidi" w:cstheme="majorBidi"/>
                <w:sz w:val="20"/>
                <w:szCs w:val="20"/>
              </w:rPr>
              <w:t>4.7</w:t>
            </w:r>
          </w:p>
        </w:tc>
        <w:tc>
          <w:tcPr>
            <w:tcW w:w="990" w:type="dxa"/>
            <w:vAlign w:val="center"/>
            <w:hideMark/>
          </w:tcPr>
          <w:p w14:paraId="2897C617" w14:textId="77777777" w:rsidR="0064455B" w:rsidRPr="00187853" w:rsidRDefault="0064455B" w:rsidP="00F62E72">
            <w:pPr>
              <w:spacing w:line="360" w:lineRule="auto"/>
              <w:jc w:val="center"/>
              <w:rPr>
                <w:rFonts w:asciiTheme="majorBidi" w:hAnsiTheme="majorBidi" w:cstheme="majorBidi"/>
                <w:sz w:val="20"/>
                <w:szCs w:val="20"/>
              </w:rPr>
            </w:pPr>
            <w:r w:rsidRPr="00187853">
              <w:rPr>
                <w:rStyle w:val="math-inline"/>
                <w:rFonts w:asciiTheme="majorBidi" w:hAnsiTheme="majorBidi" w:cstheme="majorBidi"/>
                <w:sz w:val="20"/>
                <w:szCs w:val="20"/>
              </w:rPr>
              <w:t>5.7</w:t>
            </w:r>
          </w:p>
        </w:tc>
        <w:tc>
          <w:tcPr>
            <w:tcW w:w="1170" w:type="dxa"/>
            <w:vAlign w:val="center"/>
            <w:hideMark/>
          </w:tcPr>
          <w:p w14:paraId="619739F8" w14:textId="77777777" w:rsidR="0064455B" w:rsidRPr="00187853" w:rsidRDefault="0064455B" w:rsidP="00F62E72">
            <w:pPr>
              <w:spacing w:line="360" w:lineRule="auto"/>
              <w:jc w:val="center"/>
              <w:rPr>
                <w:rFonts w:asciiTheme="majorBidi" w:hAnsiTheme="majorBidi" w:cstheme="majorBidi"/>
                <w:sz w:val="20"/>
                <w:szCs w:val="20"/>
              </w:rPr>
            </w:pPr>
            <w:r w:rsidRPr="00187853">
              <w:rPr>
                <w:rStyle w:val="math-inline"/>
                <w:rFonts w:asciiTheme="majorBidi" w:hAnsiTheme="majorBidi" w:cstheme="majorBidi"/>
                <w:sz w:val="20"/>
                <w:szCs w:val="20"/>
              </w:rPr>
              <w:t>19.3</w:t>
            </w:r>
          </w:p>
        </w:tc>
        <w:tc>
          <w:tcPr>
            <w:tcW w:w="1080" w:type="dxa"/>
            <w:vAlign w:val="center"/>
            <w:hideMark/>
          </w:tcPr>
          <w:p w14:paraId="0197C23A" w14:textId="77777777" w:rsidR="0064455B" w:rsidRPr="00187853" w:rsidRDefault="0064455B" w:rsidP="00F62E72">
            <w:pPr>
              <w:spacing w:line="360" w:lineRule="auto"/>
              <w:jc w:val="center"/>
              <w:rPr>
                <w:rFonts w:asciiTheme="majorBidi" w:hAnsiTheme="majorBidi" w:cstheme="majorBidi"/>
                <w:sz w:val="20"/>
                <w:szCs w:val="20"/>
              </w:rPr>
            </w:pPr>
            <w:r w:rsidRPr="00187853">
              <w:rPr>
                <w:rStyle w:val="math-inline"/>
                <w:rFonts w:asciiTheme="majorBidi" w:hAnsiTheme="majorBidi" w:cstheme="majorBidi"/>
                <w:sz w:val="20"/>
                <w:szCs w:val="20"/>
              </w:rPr>
              <w:t>8.5</w:t>
            </w:r>
          </w:p>
        </w:tc>
      </w:tr>
      <w:tr w:rsidR="0064455B" w:rsidRPr="00187853" w14:paraId="088E77DD" w14:textId="77777777" w:rsidTr="00F65E73">
        <w:trPr>
          <w:jc w:val="center"/>
        </w:trPr>
        <w:tc>
          <w:tcPr>
            <w:tcW w:w="2666" w:type="dxa"/>
            <w:gridSpan w:val="2"/>
            <w:vAlign w:val="center"/>
          </w:tcPr>
          <w:p w14:paraId="28E97DF9" w14:textId="77777777" w:rsidR="0064455B" w:rsidRPr="00187853" w:rsidRDefault="0064455B" w:rsidP="00F62E72">
            <w:pPr>
              <w:spacing w:line="360" w:lineRule="auto"/>
              <w:rPr>
                <w:rFonts w:asciiTheme="majorBidi" w:hAnsiTheme="majorBidi" w:cstheme="majorBidi"/>
                <w:b/>
                <w:bCs/>
                <w:sz w:val="20"/>
                <w:szCs w:val="20"/>
              </w:rPr>
            </w:pPr>
            <w:r w:rsidRPr="00187853">
              <w:rPr>
                <w:rFonts w:asciiTheme="majorBidi" w:hAnsiTheme="majorBidi" w:cstheme="majorBidi"/>
                <w:b/>
                <w:bCs/>
                <w:sz w:val="20"/>
                <w:szCs w:val="20"/>
              </w:rPr>
              <w:t>Average Speed (knots)</w:t>
            </w:r>
          </w:p>
        </w:tc>
        <w:tc>
          <w:tcPr>
            <w:tcW w:w="759" w:type="dxa"/>
            <w:vAlign w:val="center"/>
            <w:hideMark/>
          </w:tcPr>
          <w:p w14:paraId="209274E1" w14:textId="77777777" w:rsidR="0064455B" w:rsidRPr="00187853" w:rsidRDefault="0064455B" w:rsidP="00F62E72">
            <w:pPr>
              <w:spacing w:line="360" w:lineRule="auto"/>
              <w:jc w:val="center"/>
              <w:rPr>
                <w:rFonts w:asciiTheme="majorBidi" w:hAnsiTheme="majorBidi" w:cstheme="majorBidi"/>
                <w:b/>
                <w:bCs/>
                <w:sz w:val="20"/>
                <w:szCs w:val="20"/>
              </w:rPr>
            </w:pPr>
            <w:r w:rsidRPr="00187853">
              <w:rPr>
                <w:rStyle w:val="math-inline"/>
                <w:rFonts w:asciiTheme="majorBidi" w:hAnsiTheme="majorBidi" w:cstheme="majorBidi"/>
                <w:b/>
                <w:bCs/>
                <w:sz w:val="20"/>
                <w:szCs w:val="20"/>
              </w:rPr>
              <w:t>10.6</w:t>
            </w:r>
          </w:p>
        </w:tc>
        <w:tc>
          <w:tcPr>
            <w:tcW w:w="1143" w:type="dxa"/>
            <w:vAlign w:val="center"/>
            <w:hideMark/>
          </w:tcPr>
          <w:p w14:paraId="2D9A90CA" w14:textId="77777777" w:rsidR="0064455B" w:rsidRPr="00187853" w:rsidRDefault="0064455B" w:rsidP="00F62E72">
            <w:pPr>
              <w:spacing w:line="360" w:lineRule="auto"/>
              <w:jc w:val="center"/>
              <w:rPr>
                <w:rFonts w:asciiTheme="majorBidi" w:hAnsiTheme="majorBidi" w:cstheme="majorBidi"/>
                <w:b/>
                <w:bCs/>
                <w:sz w:val="20"/>
                <w:szCs w:val="20"/>
              </w:rPr>
            </w:pPr>
            <w:r w:rsidRPr="00187853">
              <w:rPr>
                <w:rStyle w:val="math-inline"/>
                <w:rFonts w:asciiTheme="majorBidi" w:hAnsiTheme="majorBidi" w:cstheme="majorBidi"/>
                <w:b/>
                <w:bCs/>
                <w:sz w:val="20"/>
                <w:szCs w:val="20"/>
              </w:rPr>
              <w:t>11.6</w:t>
            </w:r>
          </w:p>
        </w:tc>
        <w:tc>
          <w:tcPr>
            <w:tcW w:w="652" w:type="dxa"/>
            <w:vAlign w:val="center"/>
            <w:hideMark/>
          </w:tcPr>
          <w:p w14:paraId="1DB15FF0" w14:textId="77777777" w:rsidR="0064455B" w:rsidRPr="00187853" w:rsidRDefault="0064455B" w:rsidP="00F62E72">
            <w:pPr>
              <w:spacing w:line="360" w:lineRule="auto"/>
              <w:jc w:val="center"/>
              <w:rPr>
                <w:rFonts w:asciiTheme="majorBidi" w:hAnsiTheme="majorBidi" w:cstheme="majorBidi"/>
                <w:b/>
                <w:bCs/>
                <w:sz w:val="20"/>
                <w:szCs w:val="20"/>
              </w:rPr>
            </w:pPr>
            <w:r w:rsidRPr="00187853">
              <w:rPr>
                <w:rStyle w:val="math-inline"/>
                <w:rFonts w:asciiTheme="majorBidi" w:hAnsiTheme="majorBidi" w:cstheme="majorBidi"/>
                <w:b/>
                <w:bCs/>
                <w:sz w:val="20"/>
                <w:szCs w:val="20"/>
              </w:rPr>
              <w:t>15.6</w:t>
            </w:r>
          </w:p>
        </w:tc>
        <w:tc>
          <w:tcPr>
            <w:tcW w:w="1080" w:type="dxa"/>
            <w:vAlign w:val="center"/>
            <w:hideMark/>
          </w:tcPr>
          <w:p w14:paraId="38BA49C3" w14:textId="77777777" w:rsidR="0064455B" w:rsidRPr="00187853" w:rsidRDefault="0064455B" w:rsidP="00F62E72">
            <w:pPr>
              <w:spacing w:line="360" w:lineRule="auto"/>
              <w:jc w:val="center"/>
              <w:rPr>
                <w:rFonts w:asciiTheme="majorBidi" w:hAnsiTheme="majorBidi" w:cstheme="majorBidi"/>
                <w:b/>
                <w:bCs/>
                <w:sz w:val="20"/>
                <w:szCs w:val="20"/>
              </w:rPr>
            </w:pPr>
            <w:r w:rsidRPr="00187853">
              <w:rPr>
                <w:rStyle w:val="math-inline"/>
                <w:rFonts w:asciiTheme="majorBidi" w:hAnsiTheme="majorBidi" w:cstheme="majorBidi"/>
                <w:b/>
                <w:bCs/>
                <w:sz w:val="20"/>
                <w:szCs w:val="20"/>
              </w:rPr>
              <w:t>8.8</w:t>
            </w:r>
          </w:p>
        </w:tc>
        <w:tc>
          <w:tcPr>
            <w:tcW w:w="990" w:type="dxa"/>
            <w:vAlign w:val="center"/>
            <w:hideMark/>
          </w:tcPr>
          <w:p w14:paraId="5DAC93EE" w14:textId="77777777" w:rsidR="0064455B" w:rsidRPr="00187853" w:rsidRDefault="0064455B" w:rsidP="00F62E72">
            <w:pPr>
              <w:spacing w:line="360" w:lineRule="auto"/>
              <w:jc w:val="center"/>
              <w:rPr>
                <w:rFonts w:asciiTheme="majorBidi" w:hAnsiTheme="majorBidi" w:cstheme="majorBidi"/>
                <w:b/>
                <w:bCs/>
                <w:sz w:val="20"/>
                <w:szCs w:val="20"/>
              </w:rPr>
            </w:pPr>
            <w:r w:rsidRPr="00187853">
              <w:rPr>
                <w:rStyle w:val="math-inline"/>
                <w:rFonts w:asciiTheme="majorBidi" w:hAnsiTheme="majorBidi" w:cstheme="majorBidi"/>
                <w:b/>
                <w:bCs/>
                <w:sz w:val="20"/>
                <w:szCs w:val="20"/>
              </w:rPr>
              <w:t>7.8</w:t>
            </w:r>
          </w:p>
        </w:tc>
        <w:tc>
          <w:tcPr>
            <w:tcW w:w="1170" w:type="dxa"/>
            <w:vAlign w:val="center"/>
            <w:hideMark/>
          </w:tcPr>
          <w:p w14:paraId="40B40659" w14:textId="77777777" w:rsidR="0064455B" w:rsidRPr="00187853" w:rsidRDefault="0064455B" w:rsidP="00F62E72">
            <w:pPr>
              <w:spacing w:line="360" w:lineRule="auto"/>
              <w:jc w:val="center"/>
              <w:rPr>
                <w:rFonts w:asciiTheme="majorBidi" w:hAnsiTheme="majorBidi" w:cstheme="majorBidi"/>
                <w:b/>
                <w:bCs/>
                <w:sz w:val="20"/>
                <w:szCs w:val="20"/>
              </w:rPr>
            </w:pPr>
            <w:r w:rsidRPr="00187853">
              <w:rPr>
                <w:rStyle w:val="math-inline"/>
                <w:rFonts w:asciiTheme="majorBidi" w:hAnsiTheme="majorBidi" w:cstheme="majorBidi"/>
                <w:b/>
                <w:bCs/>
                <w:sz w:val="20"/>
                <w:szCs w:val="20"/>
              </w:rPr>
              <w:t>10.2</w:t>
            </w:r>
          </w:p>
        </w:tc>
        <w:tc>
          <w:tcPr>
            <w:tcW w:w="1080" w:type="dxa"/>
            <w:vAlign w:val="center"/>
            <w:hideMark/>
          </w:tcPr>
          <w:p w14:paraId="55646BF5" w14:textId="77777777" w:rsidR="0064455B" w:rsidRPr="00187853" w:rsidRDefault="0064455B" w:rsidP="00F62E72">
            <w:pPr>
              <w:spacing w:line="360" w:lineRule="auto"/>
              <w:jc w:val="center"/>
              <w:rPr>
                <w:rFonts w:asciiTheme="majorBidi" w:hAnsiTheme="majorBidi" w:cstheme="majorBidi"/>
                <w:b/>
                <w:bCs/>
                <w:sz w:val="20"/>
                <w:szCs w:val="20"/>
              </w:rPr>
            </w:pPr>
            <w:r w:rsidRPr="00187853">
              <w:rPr>
                <w:rStyle w:val="math-inline"/>
                <w:rFonts w:asciiTheme="majorBidi" w:hAnsiTheme="majorBidi" w:cstheme="majorBidi"/>
                <w:b/>
                <w:bCs/>
                <w:sz w:val="20"/>
                <w:szCs w:val="20"/>
              </w:rPr>
              <w:t>10.8</w:t>
            </w:r>
          </w:p>
        </w:tc>
      </w:tr>
    </w:tbl>
    <w:p w14:paraId="5C99154D" w14:textId="77777777" w:rsidR="005A5F1B" w:rsidRPr="005F15D3" w:rsidRDefault="00B87A5C" w:rsidP="005A5F1B">
      <w:pPr>
        <w:jc w:val="both"/>
        <w:rPr>
          <w:rFonts w:asciiTheme="majorBidi" w:hAnsiTheme="majorBidi" w:cstheme="majorBidi"/>
          <w:sz w:val="20"/>
          <w:szCs w:val="20"/>
        </w:rPr>
      </w:pPr>
      <w:r w:rsidRPr="005F15D3">
        <w:rPr>
          <w:rFonts w:asciiTheme="majorBidi" w:hAnsiTheme="majorBidi" w:cstheme="majorBidi"/>
          <w:b/>
          <w:bCs/>
          <w:sz w:val="20"/>
          <w:szCs w:val="20"/>
        </w:rPr>
        <w:t xml:space="preserve">             </w:t>
      </w:r>
      <w:r w:rsidR="005A5F1B" w:rsidRPr="005F15D3">
        <w:rPr>
          <w:rFonts w:asciiTheme="majorBidi" w:hAnsiTheme="majorBidi" w:cstheme="majorBidi"/>
          <w:b/>
          <w:bCs/>
          <w:sz w:val="20"/>
          <w:szCs w:val="20"/>
        </w:rPr>
        <w:t>Source:</w:t>
      </w:r>
      <w:r w:rsidR="005A5F1B" w:rsidRPr="005F15D3">
        <w:rPr>
          <w:rFonts w:asciiTheme="majorBidi" w:hAnsiTheme="majorBidi" w:cstheme="majorBidi"/>
          <w:sz w:val="20"/>
          <w:szCs w:val="20"/>
        </w:rPr>
        <w:t xml:space="preserve"> Egyptian Meteorological Authority (EMA), 2024 (Unpublished data).</w:t>
      </w:r>
    </w:p>
    <w:p w14:paraId="77D317C4" w14:textId="77777777" w:rsidR="003527D5" w:rsidRPr="005F15D3" w:rsidRDefault="003527D5" w:rsidP="00002ED5">
      <w:pPr>
        <w:spacing w:after="120" w:line="276" w:lineRule="auto"/>
        <w:jc w:val="both"/>
        <w:rPr>
          <w:rFonts w:asciiTheme="majorBidi" w:hAnsiTheme="majorBidi" w:cstheme="majorBidi"/>
          <w:sz w:val="24"/>
          <w:szCs w:val="24"/>
        </w:rPr>
      </w:pPr>
      <w:r w:rsidRPr="005F15D3">
        <w:rPr>
          <w:rFonts w:asciiTheme="majorBidi" w:hAnsiTheme="majorBidi" w:cstheme="majorBidi"/>
          <w:sz w:val="24"/>
          <w:szCs w:val="24"/>
        </w:rPr>
        <w:t>-</w:t>
      </w:r>
      <w:r w:rsidRPr="005F15D3">
        <w:rPr>
          <w:rFonts w:asciiTheme="majorBidi" w:hAnsiTheme="majorBidi" w:cstheme="majorBidi"/>
          <w:b/>
          <w:bCs/>
          <w:sz w:val="24"/>
          <w:szCs w:val="24"/>
        </w:rPr>
        <w:t>Wind direction</w:t>
      </w:r>
      <w:r w:rsidRPr="005F15D3">
        <w:rPr>
          <w:rFonts w:asciiTheme="majorBidi" w:hAnsiTheme="majorBidi" w:cstheme="majorBidi"/>
          <w:sz w:val="24"/>
          <w:szCs w:val="24"/>
        </w:rPr>
        <w:t xml:space="preserve">, the northerly, north-easterly, and north-westerly winds dominate the governorate. </w:t>
      </w:r>
      <w:r w:rsidRPr="005F15D3">
        <w:rPr>
          <w:rFonts w:asciiTheme="majorBidi" w:eastAsia="Times New Roman" w:hAnsiTheme="majorBidi" w:cstheme="majorBidi"/>
          <w:sz w:val="24"/>
          <w:szCs w:val="24"/>
        </w:rPr>
        <w:t xml:space="preserve">The average </w:t>
      </w:r>
      <w:r w:rsidRPr="005F15D3">
        <w:rPr>
          <w:rFonts w:asciiTheme="majorBidi" w:hAnsiTheme="majorBidi" w:cstheme="majorBidi"/>
          <w:sz w:val="24"/>
          <w:szCs w:val="24"/>
        </w:rPr>
        <w:t>annual rate of occurrence (or blowing) for each of them reached approximately 18.9\%, 12.3\%, and 41.8\%, respectively. This means that they represent approximately three-quarters of the winds that blow over the governorate. These winds originate from the Mediterranean region, carrying many of its climatic characteristics and bring a degree of moderate conditions to South Sinai over the year, which supports the tourism activities. It is also noted that these winds blow relatively parallel to the coasts of the Gulfs of Suez and Aqaba; thereby providing a suitable environment for water sports.</w:t>
      </w:r>
    </w:p>
    <w:p w14:paraId="7843B083" w14:textId="77777777" w:rsidR="003527D5" w:rsidRPr="005F15D3" w:rsidRDefault="003527D5" w:rsidP="00002ED5">
      <w:pPr>
        <w:spacing w:after="120" w:line="276" w:lineRule="auto"/>
        <w:jc w:val="both"/>
        <w:rPr>
          <w:rFonts w:asciiTheme="majorBidi" w:eastAsia="Times New Roman" w:hAnsiTheme="majorBidi" w:cstheme="majorBidi"/>
          <w:sz w:val="24"/>
          <w:szCs w:val="24"/>
        </w:rPr>
      </w:pPr>
      <w:r w:rsidRPr="005F15D3">
        <w:rPr>
          <w:rFonts w:asciiTheme="majorBidi" w:eastAsia="Times New Roman" w:hAnsiTheme="majorBidi" w:cstheme="majorBidi"/>
          <w:sz w:val="24"/>
          <w:szCs w:val="24"/>
        </w:rPr>
        <w:t xml:space="preserve">- </w:t>
      </w:r>
      <w:r w:rsidRPr="005F15D3">
        <w:rPr>
          <w:rFonts w:asciiTheme="majorBidi" w:eastAsia="Times New Roman" w:hAnsiTheme="majorBidi" w:cstheme="majorBidi"/>
          <w:b/>
          <w:bCs/>
          <w:sz w:val="24"/>
          <w:szCs w:val="24"/>
        </w:rPr>
        <w:t>Wind speed</w:t>
      </w:r>
      <w:r w:rsidRPr="005F15D3">
        <w:rPr>
          <w:rFonts w:asciiTheme="majorBidi" w:eastAsia="Times New Roman" w:hAnsiTheme="majorBidi" w:cstheme="majorBidi"/>
          <w:sz w:val="24"/>
          <w:szCs w:val="24"/>
        </w:rPr>
        <w:t>, the wind speed in South Sinai’s stations is gently and not stormy. The average wind speed recorded in the governorate was about 10.8 knots (</w:t>
      </w:r>
      <w:r w:rsidRPr="005F15D3">
        <w:rPr>
          <w:rStyle w:val="FootnoteReference"/>
          <w:rFonts w:asciiTheme="majorBidi" w:eastAsia="Times New Roman" w:hAnsiTheme="majorBidi" w:cstheme="majorBidi"/>
          <w:sz w:val="24"/>
          <w:szCs w:val="24"/>
        </w:rPr>
        <w:footnoteReference w:id="1"/>
      </w:r>
      <w:r w:rsidRPr="005F15D3">
        <w:rPr>
          <w:rFonts w:asciiTheme="majorBidi" w:eastAsia="Times New Roman" w:hAnsiTheme="majorBidi" w:cstheme="majorBidi"/>
          <w:sz w:val="24"/>
          <w:szCs w:val="24"/>
        </w:rPr>
        <w:t>). Temporally, the wind speed characterized by its variation through months around the year. The monthly average speed reaches its peak during the summer, while it decreases slightly during the autumn and spring, and then there is a markable drop in speed during the winter. Spatially, the wind speed in South Sinai increases towards the south, especially on the coasts of the Gulfs of Aqaba and Suez, due to their longitudinal extension in a direction that is largely consistent with the prevailing wind direction over them. The average wind speed along the Suez Gulf coast recorded about 10.7 knots, and it was 11.1 knots along the Aqaba Gulf coast.</w:t>
      </w:r>
      <w:r w:rsidRPr="005F15D3">
        <w:rPr>
          <w:rFonts w:asciiTheme="majorBidi" w:hAnsiTheme="majorBidi" w:cstheme="majorBidi"/>
          <w:noProof/>
          <w:sz w:val="24"/>
          <w:szCs w:val="24"/>
        </w:rPr>
        <w:t xml:space="preserve"> </w:t>
      </w:r>
    </w:p>
    <w:p w14:paraId="57D78A99" w14:textId="77777777" w:rsidR="004E7772" w:rsidRPr="005F15D3" w:rsidRDefault="00002ED5" w:rsidP="00002ED5">
      <w:pPr>
        <w:pStyle w:val="NormalWeb"/>
        <w:spacing w:before="0" w:beforeAutospacing="0" w:after="120" w:afterAutospacing="0" w:line="276" w:lineRule="auto"/>
        <w:jc w:val="both"/>
        <w:rPr>
          <w:rFonts w:asciiTheme="majorBidi" w:hAnsiTheme="majorBidi" w:cstheme="majorBidi"/>
        </w:rPr>
      </w:pPr>
      <w:r w:rsidRPr="005F15D3">
        <w:rPr>
          <w:rFonts w:asciiTheme="majorBidi" w:hAnsiTheme="majorBidi" w:cstheme="majorBidi"/>
          <w:noProof/>
        </w:rPr>
        <w:lastRenderedPageBreak/>
        <w:drawing>
          <wp:anchor distT="0" distB="0" distL="114300" distR="114300" simplePos="0" relativeHeight="251691008" behindDoc="1" locked="0" layoutInCell="1" allowOverlap="1" wp14:anchorId="7BC8746B" wp14:editId="54272AAD">
            <wp:simplePos x="0" y="0"/>
            <wp:positionH relativeFrom="margin">
              <wp:align>right</wp:align>
            </wp:positionH>
            <wp:positionV relativeFrom="paragraph">
              <wp:posOffset>1202055</wp:posOffset>
            </wp:positionV>
            <wp:extent cx="4399280" cy="3629025"/>
            <wp:effectExtent l="0" t="0" r="1270" b="9525"/>
            <wp:wrapTight wrapText="bothSides">
              <wp:wrapPolygon edited="0">
                <wp:start x="0" y="0"/>
                <wp:lineTo x="0" y="21543"/>
                <wp:lineTo x="21513" y="21543"/>
                <wp:lineTo x="21513"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99280" cy="3629025"/>
                    </a:xfrm>
                    <a:prstGeom prst="rect">
                      <a:avLst/>
                    </a:prstGeom>
                    <a:noFill/>
                    <a:ln>
                      <a:noFill/>
                    </a:ln>
                  </pic:spPr>
                </pic:pic>
              </a:graphicData>
            </a:graphic>
            <wp14:sizeRelH relativeFrom="page">
              <wp14:pctWidth>0</wp14:pctWidth>
            </wp14:sizeRelH>
            <wp14:sizeRelV relativeFrom="page">
              <wp14:pctHeight>0</wp14:pctHeight>
            </wp14:sizeRelV>
          </wp:anchor>
        </w:drawing>
      </w:r>
      <w:r w:rsidR="009C01BF" w:rsidRPr="005F15D3">
        <w:rPr>
          <w:rFonts w:asciiTheme="majorBidi" w:hAnsiTheme="majorBidi" w:cstheme="majorBidi"/>
        </w:rPr>
        <w:t>The</w:t>
      </w:r>
      <w:r w:rsidR="004E7772" w:rsidRPr="005F15D3">
        <w:rPr>
          <w:rFonts w:asciiTheme="majorBidi" w:hAnsiTheme="majorBidi" w:cstheme="majorBidi"/>
        </w:rPr>
        <w:t xml:space="preserve"> governorate is rarely exposed to stormy winds that exceed a speed of 34 knots. For instance, Saint Catherine is exposed to stormy winds for an average of </w:t>
      </w:r>
      <w:r w:rsidR="004E7772" w:rsidRPr="005F15D3">
        <w:rPr>
          <w:rStyle w:val="math-inline"/>
          <w:rFonts w:asciiTheme="majorBidi" w:hAnsiTheme="majorBidi" w:cstheme="majorBidi"/>
        </w:rPr>
        <w:t>0.5</w:t>
      </w:r>
      <w:r w:rsidR="004E7772" w:rsidRPr="005F15D3">
        <w:rPr>
          <w:rFonts w:asciiTheme="majorBidi" w:hAnsiTheme="majorBidi" w:cstheme="majorBidi"/>
        </w:rPr>
        <w:t xml:space="preserve"> days per year, and the average for stormy winds in Sharm El Sheikh reaches </w:t>
      </w:r>
      <w:r w:rsidR="004E7772" w:rsidRPr="005F15D3">
        <w:rPr>
          <w:rStyle w:val="math-inline"/>
          <w:rFonts w:asciiTheme="majorBidi" w:hAnsiTheme="majorBidi" w:cstheme="majorBidi"/>
        </w:rPr>
        <w:t>0.2</w:t>
      </w:r>
      <w:r w:rsidR="004E7772" w:rsidRPr="005F15D3">
        <w:rPr>
          <w:rFonts w:asciiTheme="majorBidi" w:hAnsiTheme="majorBidi" w:cstheme="majorBidi"/>
        </w:rPr>
        <w:t xml:space="preserve"> days per year. The geographical explanation for this is attributed to:</w:t>
      </w:r>
      <w:r w:rsidR="00D04996" w:rsidRPr="005F15D3">
        <w:rPr>
          <w:rFonts w:asciiTheme="majorBidi" w:hAnsiTheme="majorBidi" w:cstheme="majorBidi"/>
        </w:rPr>
        <w:t xml:space="preserve"> (1) t</w:t>
      </w:r>
      <w:r w:rsidR="004E7772" w:rsidRPr="005F15D3">
        <w:rPr>
          <w:rFonts w:asciiTheme="majorBidi" w:hAnsiTheme="majorBidi" w:cstheme="majorBidi"/>
        </w:rPr>
        <w:t>he very limited effect of low-pressure systems (depressions) – which are confined to extending along Egypt's Mediterranean coast in winter</w:t>
      </w:r>
      <w:r w:rsidR="00D04996" w:rsidRPr="005F15D3">
        <w:rPr>
          <w:rFonts w:asciiTheme="majorBidi" w:hAnsiTheme="majorBidi" w:cstheme="majorBidi"/>
        </w:rPr>
        <w:t>, (2) t</w:t>
      </w:r>
      <w:r w:rsidR="004E7772" w:rsidRPr="005F15D3">
        <w:rPr>
          <w:rFonts w:asciiTheme="majorBidi" w:hAnsiTheme="majorBidi" w:cstheme="majorBidi"/>
        </w:rPr>
        <w:t>he low impact of the Khamsin low-pressure systems on the g</w:t>
      </w:r>
      <w:r w:rsidR="006079CF" w:rsidRPr="005F15D3">
        <w:rPr>
          <w:rFonts w:asciiTheme="majorBidi" w:hAnsiTheme="majorBidi" w:cstheme="majorBidi"/>
        </w:rPr>
        <w:t xml:space="preserve">overnorate </w:t>
      </w:r>
      <w:r w:rsidR="004E7772" w:rsidRPr="005F15D3">
        <w:rPr>
          <w:rFonts w:asciiTheme="majorBidi" w:hAnsiTheme="majorBidi" w:cstheme="majorBidi"/>
        </w:rPr>
        <w:t>(S</w:t>
      </w:r>
      <w:r w:rsidR="00D04996" w:rsidRPr="005F15D3">
        <w:rPr>
          <w:rFonts w:asciiTheme="majorBidi" w:hAnsiTheme="majorBidi" w:cstheme="majorBidi"/>
        </w:rPr>
        <w:t>e</w:t>
      </w:r>
      <w:r w:rsidR="004E7772" w:rsidRPr="005F15D3">
        <w:rPr>
          <w:rFonts w:asciiTheme="majorBidi" w:hAnsiTheme="majorBidi" w:cstheme="majorBidi"/>
        </w:rPr>
        <w:t>l</w:t>
      </w:r>
      <w:r w:rsidR="00D04996" w:rsidRPr="005F15D3">
        <w:rPr>
          <w:rFonts w:asciiTheme="majorBidi" w:hAnsiTheme="majorBidi" w:cstheme="majorBidi"/>
        </w:rPr>
        <w:t>i</w:t>
      </w:r>
      <w:r w:rsidR="004E7772" w:rsidRPr="005F15D3">
        <w:rPr>
          <w:rFonts w:asciiTheme="majorBidi" w:hAnsiTheme="majorBidi" w:cstheme="majorBidi"/>
        </w:rPr>
        <w:t xml:space="preserve">m, </w:t>
      </w:r>
      <w:r w:rsidR="004E7772" w:rsidRPr="005F15D3">
        <w:rPr>
          <w:rStyle w:val="math-inline"/>
          <w:rFonts w:asciiTheme="majorBidi" w:hAnsiTheme="majorBidi" w:cstheme="majorBidi"/>
        </w:rPr>
        <w:t>1989</w:t>
      </w:r>
      <w:r w:rsidR="004E7772" w:rsidRPr="005F15D3">
        <w:rPr>
          <w:rFonts w:asciiTheme="majorBidi" w:hAnsiTheme="majorBidi" w:cstheme="majorBidi"/>
        </w:rPr>
        <w:t xml:space="preserve">, </w:t>
      </w:r>
      <w:r w:rsidR="004E7772" w:rsidRPr="005F15D3">
        <w:rPr>
          <w:rStyle w:val="math-inline"/>
          <w:rFonts w:asciiTheme="majorBidi" w:hAnsiTheme="majorBidi" w:cstheme="majorBidi"/>
        </w:rPr>
        <w:t>98</w:t>
      </w:r>
      <w:r w:rsidR="004E7772" w:rsidRPr="005F15D3">
        <w:rPr>
          <w:rFonts w:asciiTheme="majorBidi" w:hAnsiTheme="majorBidi" w:cstheme="majorBidi"/>
        </w:rPr>
        <w:t>)</w:t>
      </w:r>
      <w:r w:rsidR="006079CF" w:rsidRPr="005F15D3">
        <w:rPr>
          <w:rFonts w:asciiTheme="majorBidi" w:hAnsiTheme="majorBidi" w:cstheme="majorBidi"/>
        </w:rPr>
        <w:t>.</w:t>
      </w:r>
    </w:p>
    <w:p w14:paraId="02ECF6EA" w14:textId="77777777" w:rsidR="00343776" w:rsidRPr="005F15D3" w:rsidRDefault="00343776" w:rsidP="00002ED5">
      <w:pPr>
        <w:pStyle w:val="NormalWeb"/>
        <w:spacing w:before="0" w:beforeAutospacing="0" w:after="120" w:afterAutospacing="0" w:line="276" w:lineRule="auto"/>
        <w:jc w:val="both"/>
        <w:rPr>
          <w:rFonts w:asciiTheme="majorBidi" w:hAnsiTheme="majorBidi" w:cstheme="majorBidi"/>
        </w:rPr>
      </w:pPr>
      <w:r w:rsidRPr="005F15D3">
        <w:rPr>
          <w:rFonts w:asciiTheme="majorBidi" w:hAnsiTheme="majorBidi" w:cstheme="majorBidi"/>
        </w:rPr>
        <w:t>Based on the wind characteristics in South Sinai, it is clear that the governorate is considered an ideal environment for tourism</w:t>
      </w:r>
      <w:r w:rsidRPr="005F15D3">
        <w:rPr>
          <w:rFonts w:asciiTheme="majorBidi" w:hAnsiTheme="majorBidi" w:cstheme="majorBidi"/>
          <w:b/>
          <w:bCs/>
        </w:rPr>
        <w:t xml:space="preserve"> </w:t>
      </w:r>
      <w:r w:rsidRPr="005F15D3">
        <w:rPr>
          <w:rFonts w:asciiTheme="majorBidi" w:hAnsiTheme="majorBidi" w:cstheme="majorBidi"/>
        </w:rPr>
        <w:t>activities, specifically: (</w:t>
      </w:r>
      <w:r w:rsidRPr="005F15D3">
        <w:rPr>
          <w:rFonts w:asciiTheme="majorBidi" w:hAnsiTheme="majorBidi" w:cstheme="majorBidi"/>
          <w:b/>
          <w:bCs/>
        </w:rPr>
        <w:t>1</w:t>
      </w:r>
      <w:r w:rsidRPr="005F15D3">
        <w:rPr>
          <w:rFonts w:asciiTheme="majorBidi" w:hAnsiTheme="majorBidi" w:cstheme="majorBidi"/>
        </w:rPr>
        <w:t xml:space="preserve">) </w:t>
      </w:r>
      <w:r w:rsidRPr="005F15D3">
        <w:rPr>
          <w:rFonts w:asciiTheme="majorBidi" w:hAnsiTheme="majorBidi" w:cstheme="majorBidi"/>
          <w:b/>
          <w:bCs/>
        </w:rPr>
        <w:t>Safari Tourism</w:t>
      </w:r>
      <w:r w:rsidRPr="005F15D3">
        <w:rPr>
          <w:rFonts w:asciiTheme="majorBidi" w:hAnsiTheme="majorBidi" w:cstheme="majorBidi"/>
        </w:rPr>
        <w:t xml:space="preserve"> (Terrestrial and Marine), this is due to the winds being of moderate speed and not the stormy type that carries sand and dust and threatens the trip safety. (</w:t>
      </w:r>
      <w:r w:rsidRPr="005F15D3">
        <w:rPr>
          <w:rFonts w:asciiTheme="majorBidi" w:hAnsiTheme="majorBidi" w:cstheme="majorBidi"/>
          <w:b/>
          <w:bCs/>
        </w:rPr>
        <w:t>2</w:t>
      </w:r>
      <w:r w:rsidRPr="005F15D3">
        <w:rPr>
          <w:rFonts w:asciiTheme="majorBidi" w:hAnsiTheme="majorBidi" w:cstheme="majorBidi"/>
        </w:rPr>
        <w:t xml:space="preserve">) </w:t>
      </w:r>
      <w:r w:rsidRPr="005F15D3">
        <w:rPr>
          <w:rFonts w:asciiTheme="majorBidi" w:hAnsiTheme="majorBidi" w:cstheme="majorBidi"/>
          <w:b/>
          <w:bCs/>
        </w:rPr>
        <w:t>Water-based tourism</w:t>
      </w:r>
      <w:r w:rsidRPr="005F15D3">
        <w:rPr>
          <w:rFonts w:asciiTheme="majorBidi" w:hAnsiTheme="majorBidi" w:cstheme="majorBidi"/>
        </w:rPr>
        <w:t>, this type is considered one of the most important components of the tourist supply in South Sinai. The IISD (</w:t>
      </w:r>
      <w:r w:rsidRPr="005F15D3">
        <w:rPr>
          <w:rStyle w:val="FootnoteReference"/>
          <w:rFonts w:asciiTheme="majorBidi" w:hAnsiTheme="majorBidi" w:cstheme="majorBidi"/>
        </w:rPr>
        <w:footnoteReference w:id="2"/>
      </w:r>
      <w:r w:rsidRPr="005F15D3">
        <w:rPr>
          <w:rFonts w:asciiTheme="majorBidi" w:hAnsiTheme="majorBidi" w:cstheme="majorBidi"/>
        </w:rPr>
        <w:t>) in Canada (1997, 6) indicated that water sports can be practiced when the wind speed ranges between 8 - 29 knots. This aligns closely with the recommendations of the CDWS (</w:t>
      </w:r>
      <w:r w:rsidRPr="005F15D3">
        <w:rPr>
          <w:rStyle w:val="FootnoteReference"/>
          <w:rFonts w:asciiTheme="majorBidi" w:hAnsiTheme="majorBidi" w:cstheme="majorBidi"/>
        </w:rPr>
        <w:footnoteReference w:id="3"/>
      </w:r>
      <w:r w:rsidRPr="005F15D3">
        <w:rPr>
          <w:rFonts w:asciiTheme="majorBidi" w:hAnsiTheme="majorBidi" w:cstheme="majorBidi"/>
        </w:rPr>
        <w:t xml:space="preserve">) in Egypt, which state that the ideal wind speed for water sports ranges between 8 - 25 knots. For example, kitesurfing and windsurfing are practiced in wind speeds of no less than </w:t>
      </w:r>
      <w:r w:rsidRPr="005F15D3">
        <w:rPr>
          <w:rStyle w:val="math-inline"/>
          <w:rFonts w:asciiTheme="majorBidi" w:hAnsiTheme="majorBidi" w:cstheme="majorBidi"/>
        </w:rPr>
        <w:t>10</w:t>
      </w:r>
      <w:r w:rsidRPr="005F15D3">
        <w:rPr>
          <w:rFonts w:asciiTheme="majorBidi" w:hAnsiTheme="majorBidi" w:cstheme="majorBidi"/>
        </w:rPr>
        <w:t xml:space="preserve"> knots and no more than </w:t>
      </w:r>
      <w:r w:rsidRPr="005F15D3">
        <w:rPr>
          <w:rStyle w:val="math-inline"/>
          <w:rFonts w:asciiTheme="majorBidi" w:hAnsiTheme="majorBidi" w:cstheme="majorBidi"/>
        </w:rPr>
        <w:t>27</w:t>
      </w:r>
      <w:r w:rsidRPr="005F15D3">
        <w:rPr>
          <w:rFonts w:asciiTheme="majorBidi" w:hAnsiTheme="majorBidi" w:cstheme="majorBidi"/>
        </w:rPr>
        <w:t xml:space="preserve"> knots. The necessary wind speed for sailboat ranges between </w:t>
      </w:r>
      <w:r w:rsidRPr="005F15D3">
        <w:rPr>
          <w:rStyle w:val="math-inline"/>
          <w:rFonts w:asciiTheme="majorBidi" w:hAnsiTheme="majorBidi" w:cstheme="majorBidi"/>
        </w:rPr>
        <w:t>8</w:t>
      </w:r>
      <w:r w:rsidRPr="005F15D3">
        <w:rPr>
          <w:rFonts w:asciiTheme="majorBidi" w:hAnsiTheme="majorBidi" w:cstheme="majorBidi"/>
        </w:rPr>
        <w:t xml:space="preserve"> - </w:t>
      </w:r>
      <w:r w:rsidRPr="005F15D3">
        <w:rPr>
          <w:rStyle w:val="math-inline"/>
          <w:rFonts w:asciiTheme="majorBidi" w:hAnsiTheme="majorBidi" w:cstheme="majorBidi"/>
        </w:rPr>
        <w:t>29</w:t>
      </w:r>
      <w:r w:rsidRPr="005F15D3">
        <w:rPr>
          <w:rFonts w:asciiTheme="majorBidi" w:hAnsiTheme="majorBidi" w:cstheme="majorBidi"/>
        </w:rPr>
        <w:t xml:space="preserve"> knots. The required speed for swimming and fishing competitions should be between </w:t>
      </w:r>
      <w:r w:rsidRPr="005F15D3">
        <w:rPr>
          <w:rStyle w:val="math-inline"/>
          <w:rFonts w:asciiTheme="majorBidi" w:hAnsiTheme="majorBidi" w:cstheme="majorBidi"/>
        </w:rPr>
        <w:t>8</w:t>
      </w:r>
      <w:r w:rsidRPr="005F15D3">
        <w:rPr>
          <w:rFonts w:asciiTheme="majorBidi" w:hAnsiTheme="majorBidi" w:cstheme="majorBidi"/>
        </w:rPr>
        <w:t xml:space="preserve"> - </w:t>
      </w:r>
      <w:r w:rsidRPr="005F15D3">
        <w:rPr>
          <w:rStyle w:val="math-inline"/>
          <w:rFonts w:asciiTheme="majorBidi" w:hAnsiTheme="majorBidi" w:cstheme="majorBidi"/>
        </w:rPr>
        <w:t>10</w:t>
      </w:r>
      <w:r w:rsidRPr="005F15D3">
        <w:rPr>
          <w:rFonts w:asciiTheme="majorBidi" w:hAnsiTheme="majorBidi" w:cstheme="majorBidi"/>
        </w:rPr>
        <w:t xml:space="preserve"> knots, while canoeing/kayaking (boating) can be practiced in a wind speed that does not exceed </w:t>
      </w:r>
      <w:r w:rsidRPr="005F15D3">
        <w:rPr>
          <w:rStyle w:val="math-inline"/>
          <w:rFonts w:asciiTheme="majorBidi" w:hAnsiTheme="majorBidi" w:cstheme="majorBidi"/>
        </w:rPr>
        <w:t>29</w:t>
      </w:r>
      <w:r w:rsidRPr="005F15D3">
        <w:rPr>
          <w:rFonts w:asciiTheme="majorBidi" w:hAnsiTheme="majorBidi" w:cstheme="majorBidi"/>
        </w:rPr>
        <w:t xml:space="preserve"> knots (IISD, 1997, 6; CDWS-Egypt, 2009)</w:t>
      </w:r>
      <w:r w:rsidR="00002ED5">
        <w:rPr>
          <w:rFonts w:asciiTheme="majorBidi" w:hAnsiTheme="majorBidi" w:cstheme="majorBidi"/>
        </w:rPr>
        <w:t xml:space="preserve"> </w:t>
      </w:r>
    </w:p>
    <w:p w14:paraId="57C90EA0" w14:textId="77777777" w:rsidR="007755D8" w:rsidRPr="005F15D3" w:rsidRDefault="007755D8" w:rsidP="00B87A5C">
      <w:pPr>
        <w:pStyle w:val="Heading3"/>
        <w:spacing w:before="160" w:after="80" w:line="276" w:lineRule="auto"/>
        <w:jc w:val="both"/>
        <w:rPr>
          <w:rFonts w:asciiTheme="majorBidi" w:eastAsia="Times New Roman" w:hAnsiTheme="majorBidi"/>
          <w:b/>
          <w:bCs/>
          <w:color w:val="auto"/>
        </w:rPr>
      </w:pPr>
      <w:r w:rsidRPr="005F15D3">
        <w:rPr>
          <w:rFonts w:asciiTheme="majorBidi" w:eastAsia="Times New Roman" w:hAnsiTheme="majorBidi"/>
          <w:b/>
          <w:bCs/>
          <w:color w:val="auto"/>
        </w:rPr>
        <w:t>1-2-</w:t>
      </w:r>
      <w:r w:rsidR="00905115" w:rsidRPr="005F15D3">
        <w:rPr>
          <w:rFonts w:asciiTheme="majorBidi" w:eastAsia="Times New Roman" w:hAnsiTheme="majorBidi"/>
          <w:b/>
          <w:bCs/>
          <w:color w:val="auto"/>
        </w:rPr>
        <w:t xml:space="preserve">Insolation </w:t>
      </w:r>
    </w:p>
    <w:p w14:paraId="574302FE" w14:textId="77777777" w:rsidR="00D42681" w:rsidRPr="005F15D3" w:rsidRDefault="007755D8" w:rsidP="00002ED5">
      <w:pPr>
        <w:pStyle w:val="NormalWeb"/>
        <w:spacing w:before="0" w:beforeAutospacing="0" w:after="120" w:afterAutospacing="0" w:line="276" w:lineRule="auto"/>
        <w:jc w:val="both"/>
        <w:rPr>
          <w:rFonts w:asciiTheme="majorBidi" w:hAnsiTheme="majorBidi" w:cstheme="majorBidi"/>
        </w:rPr>
      </w:pPr>
      <w:r w:rsidRPr="005F15D3">
        <w:rPr>
          <w:rFonts w:asciiTheme="majorBidi" w:hAnsiTheme="majorBidi" w:cstheme="majorBidi"/>
        </w:rPr>
        <w:t xml:space="preserve">Insolation </w:t>
      </w:r>
      <w:r w:rsidR="00905115" w:rsidRPr="005F15D3">
        <w:rPr>
          <w:rFonts w:asciiTheme="majorBidi" w:hAnsiTheme="majorBidi" w:cstheme="majorBidi"/>
        </w:rPr>
        <w:t>refers to the amount of solar radiation that reaches the surface over a unit area of the surface of the Earth. The word insolation is a contraction of incoming solar radiation. This varies with the seasons and according to weather conditions. Knowing the insolation at a particular place is useful for economic activities such as tourism. Insolation is calculated for a whole day, then averaged over a number of days, chosen to include both cloudy and sunny conditions. Insolation is measured in megajoules per square meter (MJ/m2). Sunshine is most intense at noon, a typical value for insolation in middle latitudes is about 25 MJ/m2 (</w:t>
      </w:r>
      <w:proofErr w:type="spellStart"/>
      <w:r w:rsidR="00905115" w:rsidRPr="005F15D3">
        <w:rPr>
          <w:rFonts w:asciiTheme="majorBidi" w:hAnsiTheme="majorBidi" w:cstheme="majorBidi"/>
        </w:rPr>
        <w:t>Allaby</w:t>
      </w:r>
      <w:proofErr w:type="spellEnd"/>
      <w:r w:rsidR="00905115" w:rsidRPr="005F15D3">
        <w:rPr>
          <w:rFonts w:asciiTheme="majorBidi" w:hAnsiTheme="majorBidi" w:cstheme="majorBidi"/>
        </w:rPr>
        <w:t>, 2007, 246).</w:t>
      </w:r>
      <w:r w:rsidR="003644D0" w:rsidRPr="005F15D3">
        <w:rPr>
          <w:rFonts w:asciiTheme="majorBidi" w:hAnsiTheme="majorBidi" w:cstheme="majorBidi"/>
        </w:rPr>
        <w:t xml:space="preserve"> </w:t>
      </w:r>
      <w:r w:rsidR="009A255A" w:rsidRPr="005F15D3">
        <w:rPr>
          <w:rFonts w:asciiTheme="majorBidi" w:hAnsiTheme="majorBidi" w:cstheme="majorBidi"/>
        </w:rPr>
        <w:t>South Sinai is characterized by having clear sk</w:t>
      </w:r>
      <w:r w:rsidR="00D42681" w:rsidRPr="005F15D3">
        <w:rPr>
          <w:rFonts w:asciiTheme="majorBidi" w:hAnsiTheme="majorBidi" w:cstheme="majorBidi"/>
        </w:rPr>
        <w:t>y</w:t>
      </w:r>
      <w:r w:rsidR="009A255A" w:rsidRPr="005F15D3">
        <w:rPr>
          <w:rFonts w:asciiTheme="majorBidi" w:hAnsiTheme="majorBidi" w:cstheme="majorBidi"/>
        </w:rPr>
        <w:t xml:space="preserve"> almost year-round, providing </w:t>
      </w:r>
      <w:r w:rsidR="009A255A" w:rsidRPr="005F15D3">
        <w:rPr>
          <w:rFonts w:asciiTheme="majorBidi" w:hAnsiTheme="majorBidi" w:cstheme="majorBidi"/>
        </w:rPr>
        <w:lastRenderedPageBreak/>
        <w:t>it with a</w:t>
      </w:r>
      <w:r w:rsidR="00D42681" w:rsidRPr="005F15D3">
        <w:rPr>
          <w:rFonts w:asciiTheme="majorBidi" w:hAnsiTheme="majorBidi" w:cstheme="majorBidi"/>
        </w:rPr>
        <w:t>n</w:t>
      </w:r>
      <w:r w:rsidR="009A255A" w:rsidRPr="005F15D3">
        <w:rPr>
          <w:rFonts w:asciiTheme="majorBidi" w:hAnsiTheme="majorBidi" w:cstheme="majorBidi"/>
        </w:rPr>
        <w:t xml:space="preserve"> insolation quantity estimated at about </w:t>
      </w:r>
      <w:r w:rsidR="009A255A" w:rsidRPr="005F15D3">
        <w:rPr>
          <w:rStyle w:val="math-inline"/>
          <w:rFonts w:asciiTheme="majorBidi" w:hAnsiTheme="majorBidi" w:cstheme="majorBidi"/>
        </w:rPr>
        <w:t>6</w:t>
      </w:r>
      <w:r w:rsidR="009A255A" w:rsidRPr="005F15D3">
        <w:rPr>
          <w:rFonts w:asciiTheme="majorBidi" w:hAnsiTheme="majorBidi" w:cstheme="majorBidi"/>
        </w:rPr>
        <w:t xml:space="preserve"> KJ⁄m</w:t>
      </w:r>
      <w:r w:rsidR="009A255A" w:rsidRPr="005F15D3">
        <w:rPr>
          <w:rFonts w:asciiTheme="majorBidi" w:hAnsiTheme="majorBidi" w:cstheme="majorBidi"/>
          <w:vertAlign w:val="superscript"/>
        </w:rPr>
        <w:t>2</w:t>
      </w:r>
      <w:r w:rsidR="00D42681" w:rsidRPr="005F15D3">
        <w:rPr>
          <w:rFonts w:asciiTheme="majorBidi" w:hAnsiTheme="majorBidi" w:cstheme="majorBidi"/>
        </w:rPr>
        <w:t>; t</w:t>
      </w:r>
      <w:r w:rsidR="009A255A" w:rsidRPr="005F15D3">
        <w:rPr>
          <w:rFonts w:asciiTheme="majorBidi" w:hAnsiTheme="majorBidi" w:cstheme="majorBidi"/>
        </w:rPr>
        <w:t>h</w:t>
      </w:r>
      <w:r w:rsidR="00D42681" w:rsidRPr="005F15D3">
        <w:rPr>
          <w:rFonts w:asciiTheme="majorBidi" w:hAnsiTheme="majorBidi" w:cstheme="majorBidi"/>
        </w:rPr>
        <w:t xml:space="preserve">at represents </w:t>
      </w:r>
      <w:r w:rsidR="009A255A" w:rsidRPr="005F15D3">
        <w:rPr>
          <w:rFonts w:asciiTheme="majorBidi" w:hAnsiTheme="majorBidi" w:cstheme="majorBidi"/>
        </w:rPr>
        <w:t xml:space="preserve">one of the highest </w:t>
      </w:r>
      <w:r w:rsidR="00D42681" w:rsidRPr="005F15D3">
        <w:rPr>
          <w:rFonts w:asciiTheme="majorBidi" w:hAnsiTheme="majorBidi" w:cstheme="majorBidi"/>
        </w:rPr>
        <w:t xml:space="preserve">insolation </w:t>
      </w:r>
      <w:r w:rsidR="009A255A" w:rsidRPr="005F15D3">
        <w:rPr>
          <w:rFonts w:asciiTheme="majorBidi" w:hAnsiTheme="majorBidi" w:cstheme="majorBidi"/>
        </w:rPr>
        <w:t>quantities worldwide. Th</w:t>
      </w:r>
      <w:r w:rsidR="00D42681" w:rsidRPr="005F15D3">
        <w:rPr>
          <w:rFonts w:asciiTheme="majorBidi" w:hAnsiTheme="majorBidi" w:cstheme="majorBidi"/>
        </w:rPr>
        <w:t>e</w:t>
      </w:r>
      <w:r w:rsidR="009A255A" w:rsidRPr="005F15D3">
        <w:rPr>
          <w:rFonts w:asciiTheme="majorBidi" w:hAnsiTheme="majorBidi" w:cstheme="majorBidi"/>
        </w:rPr>
        <w:t xml:space="preserve"> </w:t>
      </w:r>
      <w:r w:rsidR="00D42681" w:rsidRPr="005F15D3">
        <w:rPr>
          <w:rFonts w:asciiTheme="majorBidi" w:hAnsiTheme="majorBidi" w:cstheme="majorBidi"/>
        </w:rPr>
        <w:t xml:space="preserve">insolation </w:t>
      </w:r>
      <w:r w:rsidR="009A255A" w:rsidRPr="005F15D3">
        <w:rPr>
          <w:rFonts w:asciiTheme="majorBidi" w:hAnsiTheme="majorBidi" w:cstheme="majorBidi"/>
        </w:rPr>
        <w:t xml:space="preserve">is a result of the governorate’s astronomical location, lying between latitudes </w:t>
      </w:r>
      <w:r w:rsidR="009A255A" w:rsidRPr="005F15D3">
        <w:rPr>
          <w:rStyle w:val="math-inline"/>
          <w:rFonts w:asciiTheme="majorBidi" w:hAnsiTheme="majorBidi" w:cstheme="majorBidi"/>
        </w:rPr>
        <w:t>27° 34⁻</w:t>
      </w:r>
      <w:r w:rsidR="009A255A" w:rsidRPr="005F15D3">
        <w:rPr>
          <w:rFonts w:asciiTheme="majorBidi" w:hAnsiTheme="majorBidi" w:cstheme="majorBidi"/>
        </w:rPr>
        <w:t xml:space="preserve"> and </w:t>
      </w:r>
      <w:r w:rsidR="009A255A" w:rsidRPr="005F15D3">
        <w:rPr>
          <w:rStyle w:val="math-inline"/>
          <w:rFonts w:asciiTheme="majorBidi" w:hAnsiTheme="majorBidi" w:cstheme="majorBidi"/>
        </w:rPr>
        <w:t>29° 44⁻</w:t>
      </w:r>
      <w:r w:rsidR="009A255A" w:rsidRPr="005F15D3">
        <w:rPr>
          <w:rFonts w:asciiTheme="majorBidi" w:hAnsiTheme="majorBidi" w:cstheme="majorBidi"/>
        </w:rPr>
        <w:t xml:space="preserve"> N</w:t>
      </w:r>
      <w:r w:rsidR="00D42681" w:rsidRPr="005F15D3">
        <w:rPr>
          <w:rFonts w:asciiTheme="majorBidi" w:hAnsiTheme="majorBidi" w:cstheme="majorBidi"/>
        </w:rPr>
        <w:t>; the</w:t>
      </w:r>
      <w:r w:rsidR="009A255A" w:rsidRPr="005F15D3">
        <w:rPr>
          <w:rFonts w:asciiTheme="majorBidi" w:hAnsiTheme="majorBidi" w:cstheme="majorBidi"/>
        </w:rPr>
        <w:t xml:space="preserve"> location places it within the hot desert climate, granting the governorate a high number of sunshine hours ranging between </w:t>
      </w:r>
      <w:r w:rsidR="009A255A" w:rsidRPr="005F15D3">
        <w:rPr>
          <w:rStyle w:val="math-inline"/>
          <w:rFonts w:asciiTheme="majorBidi" w:hAnsiTheme="majorBidi" w:cstheme="majorBidi"/>
        </w:rPr>
        <w:t>3400</w:t>
      </w:r>
      <w:r w:rsidR="009A255A" w:rsidRPr="005F15D3">
        <w:rPr>
          <w:rFonts w:asciiTheme="majorBidi" w:hAnsiTheme="majorBidi" w:cstheme="majorBidi"/>
        </w:rPr>
        <w:t xml:space="preserve"> - </w:t>
      </w:r>
      <w:r w:rsidR="009A255A" w:rsidRPr="005F15D3">
        <w:rPr>
          <w:rStyle w:val="math-inline"/>
          <w:rFonts w:asciiTheme="majorBidi" w:hAnsiTheme="majorBidi" w:cstheme="majorBidi"/>
        </w:rPr>
        <w:t>3870</w:t>
      </w:r>
      <w:r w:rsidR="009A255A" w:rsidRPr="005F15D3">
        <w:rPr>
          <w:rFonts w:asciiTheme="majorBidi" w:hAnsiTheme="majorBidi" w:cstheme="majorBidi"/>
        </w:rPr>
        <w:t xml:space="preserve"> hours annually, with a daily average sunshine duration of between </w:t>
      </w:r>
      <w:r w:rsidR="009A255A" w:rsidRPr="005F15D3">
        <w:rPr>
          <w:rStyle w:val="math-inline"/>
          <w:rFonts w:asciiTheme="majorBidi" w:hAnsiTheme="majorBidi" w:cstheme="majorBidi"/>
        </w:rPr>
        <w:t>9.3</w:t>
      </w:r>
      <w:r w:rsidR="009A255A" w:rsidRPr="005F15D3">
        <w:rPr>
          <w:rFonts w:asciiTheme="majorBidi" w:hAnsiTheme="majorBidi" w:cstheme="majorBidi"/>
        </w:rPr>
        <w:t xml:space="preserve"> - </w:t>
      </w:r>
      <w:r w:rsidR="009A255A" w:rsidRPr="005F15D3">
        <w:rPr>
          <w:rStyle w:val="math-inline"/>
          <w:rFonts w:asciiTheme="majorBidi" w:hAnsiTheme="majorBidi" w:cstheme="majorBidi"/>
        </w:rPr>
        <w:t>10.6</w:t>
      </w:r>
      <w:r w:rsidR="009A255A" w:rsidRPr="005F15D3">
        <w:rPr>
          <w:rFonts w:asciiTheme="majorBidi" w:hAnsiTheme="majorBidi" w:cstheme="majorBidi"/>
        </w:rPr>
        <w:t xml:space="preserve"> hours per day</w:t>
      </w:r>
      <w:r w:rsidR="002F489D" w:rsidRPr="005F15D3">
        <w:rPr>
          <w:rFonts w:asciiTheme="majorBidi" w:hAnsiTheme="majorBidi" w:cstheme="majorBidi"/>
        </w:rPr>
        <w:t xml:space="preserve"> </w:t>
      </w:r>
      <w:r w:rsidR="009A255A" w:rsidRPr="005F15D3">
        <w:rPr>
          <w:rFonts w:asciiTheme="majorBidi" w:hAnsiTheme="majorBidi" w:cstheme="majorBidi"/>
        </w:rPr>
        <w:t>(</w:t>
      </w:r>
      <w:proofErr w:type="spellStart"/>
      <w:r w:rsidR="009A255A" w:rsidRPr="005F15D3">
        <w:rPr>
          <w:rFonts w:asciiTheme="majorBidi" w:hAnsiTheme="majorBidi" w:cstheme="majorBidi"/>
        </w:rPr>
        <w:t>Rahom</w:t>
      </w:r>
      <w:proofErr w:type="spellEnd"/>
      <w:r w:rsidR="009A255A" w:rsidRPr="005F15D3">
        <w:rPr>
          <w:rFonts w:asciiTheme="majorBidi" w:hAnsiTheme="majorBidi" w:cstheme="majorBidi"/>
        </w:rPr>
        <w:t>, et al., 2025, 140-150)</w:t>
      </w:r>
      <w:r w:rsidR="002F489D" w:rsidRPr="005F15D3">
        <w:rPr>
          <w:rFonts w:asciiTheme="majorBidi" w:hAnsiTheme="majorBidi" w:cstheme="majorBidi"/>
        </w:rPr>
        <w:t>.</w:t>
      </w:r>
      <w:r w:rsidR="00D42681" w:rsidRPr="005F15D3">
        <w:rPr>
          <w:rFonts w:asciiTheme="majorBidi" w:hAnsiTheme="majorBidi" w:cstheme="majorBidi"/>
        </w:rPr>
        <w:t xml:space="preserve"> </w:t>
      </w:r>
    </w:p>
    <w:p w14:paraId="40D6A636" w14:textId="77777777" w:rsidR="00917767" w:rsidRPr="005F15D3" w:rsidRDefault="00917767" w:rsidP="00002ED5">
      <w:pPr>
        <w:pStyle w:val="NormalWeb"/>
        <w:spacing w:before="0" w:beforeAutospacing="0" w:after="120" w:afterAutospacing="0" w:line="276" w:lineRule="auto"/>
        <w:jc w:val="both"/>
        <w:rPr>
          <w:rFonts w:asciiTheme="majorBidi" w:hAnsiTheme="majorBidi" w:cstheme="majorBidi"/>
        </w:rPr>
      </w:pPr>
      <w:r w:rsidRPr="005F15D3">
        <w:rPr>
          <w:rFonts w:asciiTheme="majorBidi" w:hAnsiTheme="majorBidi" w:cstheme="majorBidi"/>
        </w:rPr>
        <w:t>According to the EMA (</w:t>
      </w:r>
      <w:r w:rsidRPr="005F15D3">
        <w:rPr>
          <w:rStyle w:val="math-inline"/>
          <w:rFonts w:asciiTheme="majorBidi" w:hAnsiTheme="majorBidi" w:cstheme="majorBidi"/>
        </w:rPr>
        <w:t>2024</w:t>
      </w:r>
      <w:r w:rsidRPr="005F15D3">
        <w:rPr>
          <w:rFonts w:asciiTheme="majorBidi" w:hAnsiTheme="majorBidi" w:cstheme="majorBidi"/>
        </w:rPr>
        <w:t xml:space="preserve">), the actual number of sunshine hours recorded in South Sinai during the winter was approximately </w:t>
      </w:r>
      <w:r w:rsidRPr="005F15D3">
        <w:rPr>
          <w:rStyle w:val="math-inline"/>
          <w:rFonts w:asciiTheme="majorBidi" w:hAnsiTheme="majorBidi" w:cstheme="majorBidi"/>
        </w:rPr>
        <w:t>8.5</w:t>
      </w:r>
      <w:r w:rsidRPr="005F15D3">
        <w:rPr>
          <w:rFonts w:asciiTheme="majorBidi" w:hAnsiTheme="majorBidi" w:cstheme="majorBidi"/>
        </w:rPr>
        <w:t xml:space="preserve"> hours/day, which is the lowest value among all seasons.</w:t>
      </w:r>
      <w:r w:rsidR="00A02D97" w:rsidRPr="005F15D3">
        <w:rPr>
          <w:rFonts w:asciiTheme="majorBidi" w:hAnsiTheme="majorBidi" w:cstheme="majorBidi"/>
        </w:rPr>
        <w:t xml:space="preserve"> </w:t>
      </w:r>
      <w:r w:rsidRPr="005F15D3">
        <w:rPr>
          <w:rFonts w:asciiTheme="majorBidi" w:hAnsiTheme="majorBidi" w:cstheme="majorBidi"/>
        </w:rPr>
        <w:t xml:space="preserve">In the spring, the sunshine recorded about </w:t>
      </w:r>
      <w:r w:rsidRPr="005F15D3">
        <w:rPr>
          <w:rStyle w:val="math-inline"/>
          <w:rFonts w:asciiTheme="majorBidi" w:hAnsiTheme="majorBidi" w:cstheme="majorBidi"/>
        </w:rPr>
        <w:t>10.2</w:t>
      </w:r>
      <w:r w:rsidRPr="005F15D3">
        <w:rPr>
          <w:rFonts w:asciiTheme="majorBidi" w:hAnsiTheme="majorBidi" w:cstheme="majorBidi"/>
        </w:rPr>
        <w:t xml:space="preserve"> hours/day, and in the autumn, the actual number of sunshine hours reached </w:t>
      </w:r>
      <w:r w:rsidRPr="005F15D3">
        <w:rPr>
          <w:rStyle w:val="math-inline"/>
          <w:rFonts w:asciiTheme="majorBidi" w:hAnsiTheme="majorBidi" w:cstheme="majorBidi"/>
        </w:rPr>
        <w:t>10</w:t>
      </w:r>
      <w:r w:rsidRPr="005F15D3">
        <w:rPr>
          <w:rFonts w:asciiTheme="majorBidi" w:hAnsiTheme="majorBidi" w:cstheme="majorBidi"/>
        </w:rPr>
        <w:t xml:space="preserve"> hours/day</w:t>
      </w:r>
      <w:r w:rsidR="00A02D97" w:rsidRPr="005F15D3">
        <w:rPr>
          <w:rFonts w:asciiTheme="majorBidi" w:hAnsiTheme="majorBidi" w:cstheme="majorBidi"/>
        </w:rPr>
        <w:t>; h</w:t>
      </w:r>
      <w:r w:rsidRPr="005F15D3">
        <w:rPr>
          <w:rFonts w:asciiTheme="majorBidi" w:hAnsiTheme="majorBidi" w:cstheme="majorBidi"/>
        </w:rPr>
        <w:t xml:space="preserve">owever, during the summer, the actual sunshine reached its maximum, approaching </w:t>
      </w:r>
      <w:r w:rsidRPr="005F15D3">
        <w:rPr>
          <w:rStyle w:val="math-inline"/>
          <w:rFonts w:asciiTheme="majorBidi" w:hAnsiTheme="majorBidi" w:cstheme="majorBidi"/>
        </w:rPr>
        <w:t>11</w:t>
      </w:r>
      <w:r w:rsidRPr="005F15D3">
        <w:rPr>
          <w:rFonts w:asciiTheme="majorBidi" w:hAnsiTheme="majorBidi" w:cstheme="majorBidi"/>
        </w:rPr>
        <w:t xml:space="preserve"> hours/day.</w:t>
      </w:r>
      <w:r w:rsidR="00A02D97" w:rsidRPr="005F15D3">
        <w:rPr>
          <w:rFonts w:asciiTheme="majorBidi" w:hAnsiTheme="majorBidi" w:cstheme="majorBidi"/>
        </w:rPr>
        <w:t xml:space="preserve"> </w:t>
      </w:r>
      <w:r w:rsidRPr="005F15D3">
        <w:rPr>
          <w:rFonts w:asciiTheme="majorBidi" w:hAnsiTheme="majorBidi" w:cstheme="majorBidi"/>
        </w:rPr>
        <w:t>Spatially, sunshine in the South Sinai is characterized by increasing the further south one travels</w:t>
      </w:r>
      <w:r w:rsidR="00313751" w:rsidRPr="005F15D3">
        <w:rPr>
          <w:rFonts w:asciiTheme="majorBidi" w:hAnsiTheme="majorBidi" w:cstheme="majorBidi"/>
        </w:rPr>
        <w:t>, t</w:t>
      </w:r>
      <w:r w:rsidRPr="005F15D3">
        <w:rPr>
          <w:rFonts w:asciiTheme="majorBidi" w:hAnsiTheme="majorBidi" w:cstheme="majorBidi"/>
        </w:rPr>
        <w:t xml:space="preserve">his is </w:t>
      </w:r>
      <w:r w:rsidR="00313751" w:rsidRPr="005F15D3">
        <w:rPr>
          <w:rFonts w:asciiTheme="majorBidi" w:hAnsiTheme="majorBidi" w:cstheme="majorBidi"/>
        </w:rPr>
        <w:t>due to</w:t>
      </w:r>
      <w:r w:rsidRPr="005F15D3">
        <w:rPr>
          <w:rFonts w:asciiTheme="majorBidi" w:hAnsiTheme="majorBidi" w:cstheme="majorBidi"/>
        </w:rPr>
        <w:t xml:space="preserve"> </w:t>
      </w:r>
      <w:r w:rsidR="00E130D0" w:rsidRPr="005F15D3">
        <w:rPr>
          <w:rFonts w:asciiTheme="majorBidi" w:hAnsiTheme="majorBidi" w:cstheme="majorBidi"/>
        </w:rPr>
        <w:t xml:space="preserve">the </w:t>
      </w:r>
      <w:r w:rsidRPr="005F15D3">
        <w:rPr>
          <w:rFonts w:asciiTheme="majorBidi" w:hAnsiTheme="majorBidi" w:cstheme="majorBidi"/>
        </w:rPr>
        <w:t>astronomical location, coupled with the low cloud cover</w:t>
      </w:r>
      <w:r w:rsidR="00166709" w:rsidRPr="005F15D3">
        <w:rPr>
          <w:rFonts w:asciiTheme="majorBidi" w:hAnsiTheme="majorBidi" w:cstheme="majorBidi"/>
        </w:rPr>
        <w:t xml:space="preserve"> it experiences</w:t>
      </w:r>
      <w:r w:rsidR="00E130D0" w:rsidRPr="005F15D3">
        <w:rPr>
          <w:rFonts w:asciiTheme="majorBidi" w:hAnsiTheme="majorBidi" w:cstheme="majorBidi"/>
        </w:rPr>
        <w:t>.</w:t>
      </w:r>
      <w:r w:rsidRPr="005F15D3">
        <w:rPr>
          <w:rFonts w:asciiTheme="majorBidi" w:hAnsiTheme="majorBidi" w:cstheme="majorBidi"/>
        </w:rPr>
        <w:t xml:space="preserve"> For example, the cloud cover percentage does not exceed </w:t>
      </w:r>
      <w:r w:rsidRPr="005F15D3">
        <w:rPr>
          <w:rStyle w:val="math-inline"/>
          <w:rFonts w:asciiTheme="majorBidi" w:hAnsiTheme="majorBidi" w:cstheme="majorBidi"/>
        </w:rPr>
        <w:t>7.4%</w:t>
      </w:r>
      <w:r w:rsidRPr="005F15D3">
        <w:rPr>
          <w:rFonts w:asciiTheme="majorBidi" w:hAnsiTheme="majorBidi" w:cstheme="majorBidi"/>
        </w:rPr>
        <w:t xml:space="preserve"> in Sharm El Sheikh and </w:t>
      </w:r>
      <w:r w:rsidRPr="005F15D3">
        <w:rPr>
          <w:rStyle w:val="math-inline"/>
          <w:rFonts w:asciiTheme="majorBidi" w:hAnsiTheme="majorBidi" w:cstheme="majorBidi"/>
        </w:rPr>
        <w:t>5%</w:t>
      </w:r>
      <w:r w:rsidRPr="005F15D3">
        <w:rPr>
          <w:rFonts w:asciiTheme="majorBidi" w:hAnsiTheme="majorBidi" w:cstheme="majorBidi"/>
        </w:rPr>
        <w:t xml:space="preserve"> in El Tor.</w:t>
      </w:r>
    </w:p>
    <w:p w14:paraId="05B33A97" w14:textId="77777777" w:rsidR="00EA531C" w:rsidRPr="005F15D3" w:rsidRDefault="00EA531C" w:rsidP="00002ED5">
      <w:pPr>
        <w:pStyle w:val="NormalWeb"/>
        <w:spacing w:before="0" w:beforeAutospacing="0" w:after="120" w:afterAutospacing="0" w:line="276" w:lineRule="auto"/>
        <w:jc w:val="both"/>
        <w:rPr>
          <w:rFonts w:asciiTheme="majorBidi" w:hAnsiTheme="majorBidi" w:cstheme="majorBidi"/>
        </w:rPr>
      </w:pPr>
      <w:r w:rsidRPr="005F15D3">
        <w:rPr>
          <w:rFonts w:asciiTheme="majorBidi" w:hAnsiTheme="majorBidi" w:cstheme="majorBidi"/>
        </w:rPr>
        <w:t>The aforementioned special characteristics of sunshine in the South Sinai have led to a clear atmosphere and a concentration of sun rays in the region. This clarity has aided the penetration of sunlight and its rays to great depths underwater, providing the water with appropriate warmth. Consequently, the waters of the two gulfs—Aqaba and Suez—and the Red Sea become a warmer, more transparent, and purer environment. This environment facilitates clear visibility for those practicing swimming and diving, allowing them to enjoy the underwater marine environment, which constitutes a main resource for attracting tourists. The clear atmosphere has also supported the practice of safari tourism, particularly in the inland mountainous areas located in the heart of the governorate.</w:t>
      </w:r>
    </w:p>
    <w:p w14:paraId="47DB6595" w14:textId="77777777" w:rsidR="006E58F1" w:rsidRPr="005F15D3" w:rsidRDefault="006E58F1" w:rsidP="00B87A5C">
      <w:pPr>
        <w:pStyle w:val="Heading3"/>
        <w:spacing w:before="160" w:after="80" w:line="276" w:lineRule="auto"/>
        <w:jc w:val="both"/>
        <w:rPr>
          <w:rFonts w:asciiTheme="majorBidi" w:eastAsia="Times New Roman" w:hAnsiTheme="majorBidi"/>
          <w:b/>
          <w:bCs/>
          <w:color w:val="auto"/>
        </w:rPr>
      </w:pPr>
      <w:r w:rsidRPr="005F15D3">
        <w:rPr>
          <w:rFonts w:asciiTheme="majorBidi" w:eastAsia="Times New Roman" w:hAnsiTheme="majorBidi"/>
          <w:b/>
          <w:bCs/>
          <w:color w:val="auto"/>
        </w:rPr>
        <w:t xml:space="preserve">1-3-Temperature  </w:t>
      </w:r>
    </w:p>
    <w:p w14:paraId="46D4DDD8" w14:textId="77777777" w:rsidR="00917767" w:rsidRPr="005F15D3" w:rsidRDefault="00FA1E77" w:rsidP="00002ED5">
      <w:pPr>
        <w:pStyle w:val="NormalWeb"/>
        <w:spacing w:before="0" w:beforeAutospacing="0" w:after="120" w:afterAutospacing="0" w:line="276" w:lineRule="auto"/>
        <w:jc w:val="both"/>
        <w:rPr>
          <w:rFonts w:asciiTheme="majorBidi" w:hAnsiTheme="majorBidi" w:cstheme="majorBidi"/>
        </w:rPr>
      </w:pPr>
      <w:r w:rsidRPr="005F15D3">
        <w:rPr>
          <w:rFonts w:asciiTheme="majorBidi" w:hAnsiTheme="majorBidi" w:cstheme="majorBidi"/>
        </w:rPr>
        <w:t>Temperature is a measure of the relative warmth of an object or substance that allows it to be compared to another object or substance (one is warmer or cooler than the other) or to a standard (so many degrees). Temperature and heat are not the same thing; heat is a form of energy, temperature the effect that energy produces</w:t>
      </w:r>
      <w:r w:rsidRPr="005F15D3">
        <w:rPr>
          <w:rFonts w:asciiTheme="majorBidi" w:hAnsiTheme="majorBidi" w:cstheme="majorBidi"/>
          <w:rtl/>
        </w:rPr>
        <w:t xml:space="preserve"> </w:t>
      </w:r>
      <w:r w:rsidRPr="005F15D3">
        <w:rPr>
          <w:rFonts w:asciiTheme="majorBidi" w:hAnsiTheme="majorBidi" w:cstheme="majorBidi"/>
        </w:rPr>
        <w:t>(</w:t>
      </w:r>
      <w:proofErr w:type="spellStart"/>
      <w:r w:rsidRPr="005F15D3">
        <w:rPr>
          <w:rFonts w:asciiTheme="majorBidi" w:hAnsiTheme="majorBidi" w:cstheme="majorBidi"/>
        </w:rPr>
        <w:t>Allaby</w:t>
      </w:r>
      <w:proofErr w:type="spellEnd"/>
      <w:r w:rsidRPr="005F15D3">
        <w:rPr>
          <w:rFonts w:asciiTheme="majorBidi" w:hAnsiTheme="majorBidi" w:cstheme="majorBidi"/>
        </w:rPr>
        <w:t>, 2007, 457).</w:t>
      </w:r>
    </w:p>
    <w:p w14:paraId="6F4F83B4" w14:textId="77777777" w:rsidR="009B6AC9" w:rsidRPr="005F15D3" w:rsidRDefault="009B6AC9" w:rsidP="00002ED5">
      <w:pPr>
        <w:pStyle w:val="NormalWeb"/>
        <w:spacing w:before="0" w:beforeAutospacing="0" w:after="120" w:afterAutospacing="0" w:line="276" w:lineRule="auto"/>
        <w:jc w:val="both"/>
        <w:rPr>
          <w:rFonts w:asciiTheme="majorBidi" w:hAnsiTheme="majorBidi" w:cstheme="majorBidi"/>
        </w:rPr>
      </w:pPr>
      <w:r w:rsidRPr="005F15D3">
        <w:rPr>
          <w:rFonts w:asciiTheme="majorBidi" w:hAnsiTheme="majorBidi" w:cstheme="majorBidi"/>
        </w:rPr>
        <w:t>To ascertain the characteristics of the temperature element in the South Sinai, the following observations can be derived from the data presented in Table (2) and Figure (</w:t>
      </w:r>
      <w:r w:rsidR="00FF1582" w:rsidRPr="005F15D3">
        <w:rPr>
          <w:rFonts w:asciiTheme="majorBidi" w:hAnsiTheme="majorBidi" w:cstheme="majorBidi"/>
        </w:rPr>
        <w:t>3</w:t>
      </w:r>
      <w:r w:rsidRPr="005F15D3">
        <w:rPr>
          <w:rFonts w:asciiTheme="majorBidi" w:hAnsiTheme="majorBidi" w:cstheme="majorBidi"/>
        </w:rPr>
        <w:t>):</w:t>
      </w:r>
    </w:p>
    <w:p w14:paraId="587C813B" w14:textId="77777777" w:rsidR="00962033" w:rsidRPr="00187853" w:rsidRDefault="00962033" w:rsidP="003527D5">
      <w:pPr>
        <w:spacing w:before="120" w:after="0"/>
        <w:jc w:val="center"/>
        <w:rPr>
          <w:rFonts w:asciiTheme="majorBidi" w:hAnsiTheme="majorBidi" w:cstheme="majorBidi"/>
          <w:b/>
          <w:bCs/>
          <w:sz w:val="20"/>
          <w:szCs w:val="20"/>
        </w:rPr>
      </w:pPr>
      <w:r w:rsidRPr="00187853">
        <w:rPr>
          <w:rFonts w:asciiTheme="majorBidi" w:hAnsiTheme="majorBidi" w:cstheme="majorBidi"/>
          <w:b/>
          <w:bCs/>
          <w:sz w:val="20"/>
          <w:szCs w:val="20"/>
        </w:rPr>
        <w:t>Table 2: Average Temperatures in South Sinai Governorate (</w:t>
      </w:r>
      <w:r w:rsidR="00EE34D3" w:rsidRPr="00187853">
        <w:rPr>
          <w:rFonts w:asciiTheme="majorBidi" w:hAnsiTheme="majorBidi" w:cstheme="majorBidi"/>
          <w:b/>
          <w:bCs/>
          <w:sz w:val="20"/>
          <w:szCs w:val="20"/>
        </w:rPr>
        <w:t>°</w:t>
      </w:r>
      <w:r w:rsidRPr="00187853">
        <w:rPr>
          <w:rFonts w:asciiTheme="majorBidi" w:hAnsiTheme="majorBidi" w:cstheme="majorBidi"/>
          <w:b/>
          <w:bCs/>
          <w:sz w:val="20"/>
          <w:szCs w:val="20"/>
        </w:rPr>
        <w:t xml:space="preserve"> C)</w:t>
      </w:r>
    </w:p>
    <w:tbl>
      <w:tblPr>
        <w:tblStyle w:val="TableGrid"/>
        <w:tblW w:w="0" w:type="auto"/>
        <w:jc w:val="center"/>
        <w:tblLook w:val="04A0" w:firstRow="1" w:lastRow="0" w:firstColumn="1" w:lastColumn="0" w:noHBand="0" w:noVBand="1"/>
      </w:tblPr>
      <w:tblGrid>
        <w:gridCol w:w="1023"/>
        <w:gridCol w:w="1730"/>
        <w:gridCol w:w="661"/>
        <w:gridCol w:w="810"/>
        <w:gridCol w:w="914"/>
        <w:gridCol w:w="1157"/>
        <w:gridCol w:w="814"/>
        <w:gridCol w:w="1076"/>
        <w:gridCol w:w="1080"/>
      </w:tblGrid>
      <w:tr w:rsidR="00962033" w:rsidRPr="00187853" w14:paraId="4AD433F2" w14:textId="77777777" w:rsidTr="006A3221">
        <w:trPr>
          <w:jc w:val="center"/>
        </w:trPr>
        <w:tc>
          <w:tcPr>
            <w:tcW w:w="1023" w:type="dxa"/>
            <w:vAlign w:val="center"/>
            <w:hideMark/>
          </w:tcPr>
          <w:p w14:paraId="3B76A38E" w14:textId="77777777" w:rsidR="00962033" w:rsidRPr="00187853" w:rsidRDefault="00962033" w:rsidP="00F62E72">
            <w:pP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Season</w:t>
            </w:r>
          </w:p>
        </w:tc>
        <w:tc>
          <w:tcPr>
            <w:tcW w:w="1730" w:type="dxa"/>
            <w:tcBorders>
              <w:tl2br w:val="single" w:sz="4" w:space="0" w:color="auto"/>
            </w:tcBorders>
            <w:vAlign w:val="center"/>
            <w:hideMark/>
          </w:tcPr>
          <w:p w14:paraId="516D405F" w14:textId="77777777" w:rsidR="00962033" w:rsidRPr="00187853" w:rsidRDefault="00962033" w:rsidP="00F62E72">
            <w:pP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 xml:space="preserve">         Station Month</w:t>
            </w:r>
          </w:p>
        </w:tc>
        <w:tc>
          <w:tcPr>
            <w:tcW w:w="661" w:type="dxa"/>
            <w:vAlign w:val="center"/>
            <w:hideMark/>
          </w:tcPr>
          <w:p w14:paraId="674B68C8"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Taba</w:t>
            </w:r>
          </w:p>
        </w:tc>
        <w:tc>
          <w:tcPr>
            <w:tcW w:w="810" w:type="dxa"/>
            <w:vAlign w:val="center"/>
            <w:hideMark/>
          </w:tcPr>
          <w:p w14:paraId="52FFAC8D"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 xml:space="preserve">Ras </w:t>
            </w:r>
            <w:proofErr w:type="spellStart"/>
            <w:r w:rsidRPr="00187853">
              <w:rPr>
                <w:rFonts w:asciiTheme="majorBidi" w:eastAsia="Times New Roman" w:hAnsiTheme="majorBidi" w:cstheme="majorBidi"/>
                <w:b/>
                <w:bCs/>
                <w:sz w:val="20"/>
                <w:szCs w:val="20"/>
              </w:rPr>
              <w:t>Sudr</w:t>
            </w:r>
            <w:proofErr w:type="spellEnd"/>
          </w:p>
        </w:tc>
        <w:tc>
          <w:tcPr>
            <w:tcW w:w="914" w:type="dxa"/>
            <w:vAlign w:val="center"/>
            <w:hideMark/>
          </w:tcPr>
          <w:p w14:paraId="358B8CA4"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Abu Rudeis</w:t>
            </w:r>
          </w:p>
        </w:tc>
        <w:tc>
          <w:tcPr>
            <w:tcW w:w="1157" w:type="dxa"/>
            <w:vAlign w:val="center"/>
            <w:hideMark/>
          </w:tcPr>
          <w:p w14:paraId="459F4D3D"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St. Catherine</w:t>
            </w:r>
          </w:p>
        </w:tc>
        <w:tc>
          <w:tcPr>
            <w:tcW w:w="814" w:type="dxa"/>
            <w:vAlign w:val="center"/>
            <w:hideMark/>
          </w:tcPr>
          <w:p w14:paraId="0B62F8F3"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El Tor</w:t>
            </w:r>
          </w:p>
        </w:tc>
        <w:tc>
          <w:tcPr>
            <w:tcW w:w="1076" w:type="dxa"/>
            <w:vAlign w:val="center"/>
            <w:hideMark/>
          </w:tcPr>
          <w:p w14:paraId="6EF5494F"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 xml:space="preserve">Sharm El </w:t>
            </w:r>
            <w:proofErr w:type="spellStart"/>
            <w:r w:rsidRPr="00187853">
              <w:rPr>
                <w:rFonts w:asciiTheme="majorBidi" w:eastAsia="Times New Roman" w:hAnsiTheme="majorBidi" w:cstheme="majorBidi"/>
                <w:b/>
                <w:bCs/>
                <w:sz w:val="20"/>
                <w:szCs w:val="20"/>
              </w:rPr>
              <w:t>heikh</w:t>
            </w:r>
            <w:proofErr w:type="spellEnd"/>
          </w:p>
        </w:tc>
        <w:tc>
          <w:tcPr>
            <w:tcW w:w="1080" w:type="dxa"/>
            <w:vAlign w:val="center"/>
            <w:hideMark/>
          </w:tcPr>
          <w:p w14:paraId="530A3D08"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Average</w:t>
            </w:r>
          </w:p>
        </w:tc>
      </w:tr>
      <w:tr w:rsidR="00962033" w:rsidRPr="00187853" w14:paraId="2C17CDB3" w14:textId="77777777" w:rsidTr="006A3221">
        <w:trPr>
          <w:jc w:val="center"/>
        </w:trPr>
        <w:tc>
          <w:tcPr>
            <w:tcW w:w="1023" w:type="dxa"/>
            <w:vMerge w:val="restart"/>
            <w:vAlign w:val="center"/>
            <w:hideMark/>
          </w:tcPr>
          <w:p w14:paraId="49D9B529" w14:textId="77777777" w:rsidR="00962033" w:rsidRPr="00187853" w:rsidRDefault="00962033" w:rsidP="00F62E72">
            <w:pP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Spring</w:t>
            </w:r>
          </w:p>
        </w:tc>
        <w:tc>
          <w:tcPr>
            <w:tcW w:w="1730" w:type="dxa"/>
            <w:vAlign w:val="center"/>
            <w:hideMark/>
          </w:tcPr>
          <w:p w14:paraId="4007D577" w14:textId="77777777" w:rsidR="00962033" w:rsidRPr="00187853" w:rsidRDefault="00962033" w:rsidP="00F62E72">
            <w:pP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March</w:t>
            </w:r>
          </w:p>
        </w:tc>
        <w:tc>
          <w:tcPr>
            <w:tcW w:w="661" w:type="dxa"/>
            <w:vAlign w:val="center"/>
            <w:hideMark/>
          </w:tcPr>
          <w:p w14:paraId="0794FB78"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13.8</w:t>
            </w:r>
          </w:p>
        </w:tc>
        <w:tc>
          <w:tcPr>
            <w:tcW w:w="810" w:type="dxa"/>
            <w:vAlign w:val="center"/>
            <w:hideMark/>
          </w:tcPr>
          <w:p w14:paraId="797FD7C6"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16.8</w:t>
            </w:r>
          </w:p>
        </w:tc>
        <w:tc>
          <w:tcPr>
            <w:tcW w:w="914" w:type="dxa"/>
            <w:vAlign w:val="center"/>
            <w:hideMark/>
          </w:tcPr>
          <w:p w14:paraId="3885B513"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18.0</w:t>
            </w:r>
          </w:p>
        </w:tc>
        <w:tc>
          <w:tcPr>
            <w:tcW w:w="1157" w:type="dxa"/>
            <w:vAlign w:val="center"/>
            <w:hideMark/>
          </w:tcPr>
          <w:p w14:paraId="7C807456"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12.3</w:t>
            </w:r>
          </w:p>
        </w:tc>
        <w:tc>
          <w:tcPr>
            <w:tcW w:w="814" w:type="dxa"/>
            <w:vAlign w:val="center"/>
            <w:hideMark/>
          </w:tcPr>
          <w:p w14:paraId="66FC10A9"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18.4</w:t>
            </w:r>
          </w:p>
        </w:tc>
        <w:tc>
          <w:tcPr>
            <w:tcW w:w="1076" w:type="dxa"/>
            <w:vAlign w:val="center"/>
            <w:hideMark/>
          </w:tcPr>
          <w:p w14:paraId="6F180253"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20.9</w:t>
            </w:r>
          </w:p>
        </w:tc>
        <w:tc>
          <w:tcPr>
            <w:tcW w:w="1080" w:type="dxa"/>
            <w:vAlign w:val="center"/>
            <w:hideMark/>
          </w:tcPr>
          <w:p w14:paraId="071E2FAE"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16.9</w:t>
            </w:r>
          </w:p>
        </w:tc>
      </w:tr>
      <w:tr w:rsidR="00962033" w:rsidRPr="00187853" w14:paraId="6EDC45F2" w14:textId="77777777" w:rsidTr="006A3221">
        <w:trPr>
          <w:jc w:val="center"/>
        </w:trPr>
        <w:tc>
          <w:tcPr>
            <w:tcW w:w="1023" w:type="dxa"/>
            <w:vMerge/>
            <w:vAlign w:val="center"/>
            <w:hideMark/>
          </w:tcPr>
          <w:p w14:paraId="283B1B4E" w14:textId="77777777" w:rsidR="00962033" w:rsidRPr="00187853" w:rsidRDefault="00962033" w:rsidP="00F62E72">
            <w:pPr>
              <w:rPr>
                <w:rFonts w:asciiTheme="majorBidi" w:eastAsia="Times New Roman" w:hAnsiTheme="majorBidi" w:cstheme="majorBidi"/>
                <w:sz w:val="20"/>
                <w:szCs w:val="20"/>
              </w:rPr>
            </w:pPr>
          </w:p>
        </w:tc>
        <w:tc>
          <w:tcPr>
            <w:tcW w:w="1730" w:type="dxa"/>
            <w:vAlign w:val="center"/>
            <w:hideMark/>
          </w:tcPr>
          <w:p w14:paraId="7E93398D" w14:textId="77777777" w:rsidR="00962033" w:rsidRPr="00187853" w:rsidRDefault="00962033" w:rsidP="00F62E72">
            <w:pP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April</w:t>
            </w:r>
          </w:p>
        </w:tc>
        <w:tc>
          <w:tcPr>
            <w:tcW w:w="661" w:type="dxa"/>
            <w:vAlign w:val="center"/>
            <w:hideMark/>
          </w:tcPr>
          <w:p w14:paraId="7113DB98"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17.9</w:t>
            </w:r>
          </w:p>
        </w:tc>
        <w:tc>
          <w:tcPr>
            <w:tcW w:w="810" w:type="dxa"/>
            <w:vAlign w:val="center"/>
            <w:hideMark/>
          </w:tcPr>
          <w:p w14:paraId="21DC3C59"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20.6</w:t>
            </w:r>
          </w:p>
        </w:tc>
        <w:tc>
          <w:tcPr>
            <w:tcW w:w="914" w:type="dxa"/>
            <w:vAlign w:val="center"/>
            <w:hideMark/>
          </w:tcPr>
          <w:p w14:paraId="1903EBFD"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22.3</w:t>
            </w:r>
          </w:p>
        </w:tc>
        <w:tc>
          <w:tcPr>
            <w:tcW w:w="1157" w:type="dxa"/>
            <w:vAlign w:val="center"/>
            <w:hideMark/>
          </w:tcPr>
          <w:p w14:paraId="46811197"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16.7</w:t>
            </w:r>
          </w:p>
        </w:tc>
        <w:tc>
          <w:tcPr>
            <w:tcW w:w="814" w:type="dxa"/>
            <w:vAlign w:val="center"/>
            <w:hideMark/>
          </w:tcPr>
          <w:p w14:paraId="608CAF09"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22.3</w:t>
            </w:r>
          </w:p>
        </w:tc>
        <w:tc>
          <w:tcPr>
            <w:tcW w:w="1076" w:type="dxa"/>
            <w:vAlign w:val="center"/>
            <w:hideMark/>
          </w:tcPr>
          <w:p w14:paraId="1023DCAA"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24.3</w:t>
            </w:r>
          </w:p>
        </w:tc>
        <w:tc>
          <w:tcPr>
            <w:tcW w:w="1080" w:type="dxa"/>
            <w:vAlign w:val="center"/>
            <w:hideMark/>
          </w:tcPr>
          <w:p w14:paraId="4AD52AEB"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20.9</w:t>
            </w:r>
          </w:p>
        </w:tc>
      </w:tr>
      <w:tr w:rsidR="00962033" w:rsidRPr="00187853" w14:paraId="4050581B" w14:textId="77777777" w:rsidTr="006A3221">
        <w:trPr>
          <w:jc w:val="center"/>
        </w:trPr>
        <w:tc>
          <w:tcPr>
            <w:tcW w:w="1023" w:type="dxa"/>
            <w:vMerge/>
            <w:vAlign w:val="center"/>
            <w:hideMark/>
          </w:tcPr>
          <w:p w14:paraId="1374472F" w14:textId="77777777" w:rsidR="00962033" w:rsidRPr="00187853" w:rsidRDefault="00962033" w:rsidP="00F62E72">
            <w:pPr>
              <w:rPr>
                <w:rFonts w:asciiTheme="majorBidi" w:eastAsia="Times New Roman" w:hAnsiTheme="majorBidi" w:cstheme="majorBidi"/>
                <w:sz w:val="20"/>
                <w:szCs w:val="20"/>
              </w:rPr>
            </w:pPr>
          </w:p>
        </w:tc>
        <w:tc>
          <w:tcPr>
            <w:tcW w:w="1730" w:type="dxa"/>
            <w:vAlign w:val="center"/>
            <w:hideMark/>
          </w:tcPr>
          <w:p w14:paraId="6EDB89B3" w14:textId="77777777" w:rsidR="00962033" w:rsidRPr="00187853" w:rsidRDefault="00962033" w:rsidP="00F62E72">
            <w:pP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May</w:t>
            </w:r>
          </w:p>
        </w:tc>
        <w:tc>
          <w:tcPr>
            <w:tcW w:w="661" w:type="dxa"/>
            <w:vAlign w:val="center"/>
            <w:hideMark/>
          </w:tcPr>
          <w:p w14:paraId="773E77A2"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22.8</w:t>
            </w:r>
          </w:p>
        </w:tc>
        <w:tc>
          <w:tcPr>
            <w:tcW w:w="810" w:type="dxa"/>
            <w:vAlign w:val="center"/>
            <w:hideMark/>
          </w:tcPr>
          <w:p w14:paraId="3280795D"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24.2</w:t>
            </w:r>
          </w:p>
        </w:tc>
        <w:tc>
          <w:tcPr>
            <w:tcW w:w="914" w:type="dxa"/>
            <w:vAlign w:val="center"/>
            <w:hideMark/>
          </w:tcPr>
          <w:p w14:paraId="05BCB3D7"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25.6</w:t>
            </w:r>
          </w:p>
        </w:tc>
        <w:tc>
          <w:tcPr>
            <w:tcW w:w="1157" w:type="dxa"/>
            <w:vAlign w:val="center"/>
            <w:hideMark/>
          </w:tcPr>
          <w:p w14:paraId="334BE46C"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20.9</w:t>
            </w:r>
          </w:p>
        </w:tc>
        <w:tc>
          <w:tcPr>
            <w:tcW w:w="814" w:type="dxa"/>
            <w:vAlign w:val="center"/>
            <w:hideMark/>
          </w:tcPr>
          <w:p w14:paraId="0186C83F"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25.6</w:t>
            </w:r>
          </w:p>
        </w:tc>
        <w:tc>
          <w:tcPr>
            <w:tcW w:w="1076" w:type="dxa"/>
            <w:vAlign w:val="center"/>
            <w:hideMark/>
          </w:tcPr>
          <w:p w14:paraId="2ABCD787"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28.8</w:t>
            </w:r>
          </w:p>
        </w:tc>
        <w:tc>
          <w:tcPr>
            <w:tcW w:w="1080" w:type="dxa"/>
            <w:vAlign w:val="center"/>
            <w:hideMark/>
          </w:tcPr>
          <w:p w14:paraId="29A52A31"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24.7</w:t>
            </w:r>
          </w:p>
        </w:tc>
      </w:tr>
      <w:tr w:rsidR="00962033" w:rsidRPr="00187853" w14:paraId="46BF923E" w14:textId="77777777" w:rsidTr="006A3221">
        <w:trPr>
          <w:jc w:val="center"/>
        </w:trPr>
        <w:tc>
          <w:tcPr>
            <w:tcW w:w="1023" w:type="dxa"/>
            <w:vMerge/>
            <w:vAlign w:val="center"/>
          </w:tcPr>
          <w:p w14:paraId="6550CBC6" w14:textId="77777777" w:rsidR="00962033" w:rsidRPr="00187853" w:rsidRDefault="00962033" w:rsidP="00F62E72">
            <w:pPr>
              <w:rPr>
                <w:rFonts w:asciiTheme="majorBidi" w:eastAsia="Times New Roman" w:hAnsiTheme="majorBidi" w:cstheme="majorBidi"/>
                <w:sz w:val="20"/>
                <w:szCs w:val="20"/>
              </w:rPr>
            </w:pPr>
          </w:p>
        </w:tc>
        <w:tc>
          <w:tcPr>
            <w:tcW w:w="1730" w:type="dxa"/>
            <w:vAlign w:val="center"/>
            <w:hideMark/>
          </w:tcPr>
          <w:p w14:paraId="67A669DB" w14:textId="77777777" w:rsidR="00962033" w:rsidRPr="00187853" w:rsidRDefault="00962033" w:rsidP="00F62E72">
            <w:pP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Seasonal Average</w:t>
            </w:r>
          </w:p>
        </w:tc>
        <w:tc>
          <w:tcPr>
            <w:tcW w:w="661" w:type="dxa"/>
            <w:vAlign w:val="center"/>
            <w:hideMark/>
          </w:tcPr>
          <w:p w14:paraId="7637EB38"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18.2</w:t>
            </w:r>
          </w:p>
        </w:tc>
        <w:tc>
          <w:tcPr>
            <w:tcW w:w="810" w:type="dxa"/>
            <w:vAlign w:val="center"/>
            <w:hideMark/>
          </w:tcPr>
          <w:p w14:paraId="5A47BC6D"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20.5</w:t>
            </w:r>
          </w:p>
        </w:tc>
        <w:tc>
          <w:tcPr>
            <w:tcW w:w="914" w:type="dxa"/>
            <w:vAlign w:val="center"/>
            <w:hideMark/>
          </w:tcPr>
          <w:p w14:paraId="0D148FD2"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22.0</w:t>
            </w:r>
          </w:p>
        </w:tc>
        <w:tc>
          <w:tcPr>
            <w:tcW w:w="1157" w:type="dxa"/>
            <w:vAlign w:val="center"/>
            <w:hideMark/>
          </w:tcPr>
          <w:p w14:paraId="68DE262E"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16.6</w:t>
            </w:r>
          </w:p>
        </w:tc>
        <w:tc>
          <w:tcPr>
            <w:tcW w:w="814" w:type="dxa"/>
            <w:vAlign w:val="center"/>
            <w:hideMark/>
          </w:tcPr>
          <w:p w14:paraId="2D6BAA13"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22.1</w:t>
            </w:r>
          </w:p>
        </w:tc>
        <w:tc>
          <w:tcPr>
            <w:tcW w:w="1076" w:type="dxa"/>
            <w:vAlign w:val="center"/>
            <w:hideMark/>
          </w:tcPr>
          <w:p w14:paraId="16685BF1"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24.6</w:t>
            </w:r>
          </w:p>
        </w:tc>
        <w:tc>
          <w:tcPr>
            <w:tcW w:w="1080" w:type="dxa"/>
            <w:vAlign w:val="center"/>
            <w:hideMark/>
          </w:tcPr>
          <w:p w14:paraId="3C9BF981"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20.8</w:t>
            </w:r>
          </w:p>
        </w:tc>
      </w:tr>
      <w:tr w:rsidR="00962033" w:rsidRPr="00187853" w14:paraId="7AC5493B" w14:textId="77777777" w:rsidTr="006A3221">
        <w:trPr>
          <w:jc w:val="center"/>
        </w:trPr>
        <w:tc>
          <w:tcPr>
            <w:tcW w:w="1023" w:type="dxa"/>
            <w:vMerge w:val="restart"/>
            <w:vAlign w:val="center"/>
            <w:hideMark/>
          </w:tcPr>
          <w:p w14:paraId="3E5A4032" w14:textId="77777777" w:rsidR="00962033" w:rsidRPr="00187853" w:rsidRDefault="00962033" w:rsidP="00F62E72">
            <w:pP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Summer</w:t>
            </w:r>
          </w:p>
        </w:tc>
        <w:tc>
          <w:tcPr>
            <w:tcW w:w="1730" w:type="dxa"/>
            <w:vAlign w:val="center"/>
            <w:hideMark/>
          </w:tcPr>
          <w:p w14:paraId="275D98AE" w14:textId="77777777" w:rsidR="00962033" w:rsidRPr="00187853" w:rsidRDefault="00962033" w:rsidP="00F62E72">
            <w:pP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June</w:t>
            </w:r>
          </w:p>
        </w:tc>
        <w:tc>
          <w:tcPr>
            <w:tcW w:w="661" w:type="dxa"/>
            <w:vAlign w:val="center"/>
            <w:hideMark/>
          </w:tcPr>
          <w:p w14:paraId="4CB70EDF"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24.8</w:t>
            </w:r>
          </w:p>
        </w:tc>
        <w:tc>
          <w:tcPr>
            <w:tcW w:w="810" w:type="dxa"/>
            <w:vAlign w:val="center"/>
            <w:hideMark/>
          </w:tcPr>
          <w:p w14:paraId="25C25BAD"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27.2</w:t>
            </w:r>
          </w:p>
        </w:tc>
        <w:tc>
          <w:tcPr>
            <w:tcW w:w="914" w:type="dxa"/>
            <w:vAlign w:val="center"/>
            <w:hideMark/>
          </w:tcPr>
          <w:p w14:paraId="2C43CD72"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27.8</w:t>
            </w:r>
          </w:p>
        </w:tc>
        <w:tc>
          <w:tcPr>
            <w:tcW w:w="1157" w:type="dxa"/>
            <w:vAlign w:val="center"/>
            <w:hideMark/>
          </w:tcPr>
          <w:p w14:paraId="402D60D6"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23.5</w:t>
            </w:r>
          </w:p>
        </w:tc>
        <w:tc>
          <w:tcPr>
            <w:tcW w:w="814" w:type="dxa"/>
            <w:vAlign w:val="center"/>
            <w:hideMark/>
          </w:tcPr>
          <w:p w14:paraId="27E8C417"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28.5</w:t>
            </w:r>
          </w:p>
        </w:tc>
        <w:tc>
          <w:tcPr>
            <w:tcW w:w="1076" w:type="dxa"/>
            <w:vAlign w:val="center"/>
            <w:hideMark/>
          </w:tcPr>
          <w:p w14:paraId="27B771BC"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31.6</w:t>
            </w:r>
          </w:p>
        </w:tc>
        <w:tc>
          <w:tcPr>
            <w:tcW w:w="1080" w:type="dxa"/>
            <w:vAlign w:val="center"/>
            <w:hideMark/>
          </w:tcPr>
          <w:p w14:paraId="439308CC"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27.3</w:t>
            </w:r>
          </w:p>
        </w:tc>
      </w:tr>
      <w:tr w:rsidR="00962033" w:rsidRPr="00187853" w14:paraId="11483D5A" w14:textId="77777777" w:rsidTr="006A3221">
        <w:trPr>
          <w:jc w:val="center"/>
        </w:trPr>
        <w:tc>
          <w:tcPr>
            <w:tcW w:w="1023" w:type="dxa"/>
            <w:vMerge/>
            <w:vAlign w:val="center"/>
            <w:hideMark/>
          </w:tcPr>
          <w:p w14:paraId="7D975570" w14:textId="77777777" w:rsidR="00962033" w:rsidRPr="00187853" w:rsidRDefault="00962033" w:rsidP="00F62E72">
            <w:pPr>
              <w:rPr>
                <w:rFonts w:asciiTheme="majorBidi" w:eastAsia="Times New Roman" w:hAnsiTheme="majorBidi" w:cstheme="majorBidi"/>
                <w:sz w:val="20"/>
                <w:szCs w:val="20"/>
              </w:rPr>
            </w:pPr>
          </w:p>
        </w:tc>
        <w:tc>
          <w:tcPr>
            <w:tcW w:w="1730" w:type="dxa"/>
            <w:vAlign w:val="center"/>
            <w:hideMark/>
          </w:tcPr>
          <w:p w14:paraId="31B5B761" w14:textId="77777777" w:rsidR="00962033" w:rsidRPr="00187853" w:rsidRDefault="00962033" w:rsidP="00F62E72">
            <w:pP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July</w:t>
            </w:r>
          </w:p>
        </w:tc>
        <w:tc>
          <w:tcPr>
            <w:tcW w:w="661" w:type="dxa"/>
            <w:vAlign w:val="center"/>
            <w:hideMark/>
          </w:tcPr>
          <w:p w14:paraId="2348CA4C"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26.4</w:t>
            </w:r>
          </w:p>
        </w:tc>
        <w:tc>
          <w:tcPr>
            <w:tcW w:w="810" w:type="dxa"/>
            <w:vAlign w:val="center"/>
            <w:hideMark/>
          </w:tcPr>
          <w:p w14:paraId="3A859915"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28.6</w:t>
            </w:r>
          </w:p>
        </w:tc>
        <w:tc>
          <w:tcPr>
            <w:tcW w:w="914" w:type="dxa"/>
            <w:vAlign w:val="center"/>
            <w:hideMark/>
          </w:tcPr>
          <w:p w14:paraId="324E7B71"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28.8</w:t>
            </w:r>
          </w:p>
        </w:tc>
        <w:tc>
          <w:tcPr>
            <w:tcW w:w="1157" w:type="dxa"/>
            <w:vAlign w:val="center"/>
            <w:hideMark/>
          </w:tcPr>
          <w:p w14:paraId="07E27C77"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24.7</w:t>
            </w:r>
          </w:p>
        </w:tc>
        <w:tc>
          <w:tcPr>
            <w:tcW w:w="814" w:type="dxa"/>
            <w:vAlign w:val="center"/>
            <w:hideMark/>
          </w:tcPr>
          <w:p w14:paraId="16CD8F9D"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29.5</w:t>
            </w:r>
          </w:p>
        </w:tc>
        <w:tc>
          <w:tcPr>
            <w:tcW w:w="1076" w:type="dxa"/>
            <w:vAlign w:val="center"/>
            <w:hideMark/>
          </w:tcPr>
          <w:p w14:paraId="670B3E38"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32.5</w:t>
            </w:r>
          </w:p>
        </w:tc>
        <w:tc>
          <w:tcPr>
            <w:tcW w:w="1080" w:type="dxa"/>
            <w:vAlign w:val="center"/>
            <w:hideMark/>
          </w:tcPr>
          <w:p w14:paraId="355ECF6C"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28.5</w:t>
            </w:r>
          </w:p>
        </w:tc>
      </w:tr>
      <w:tr w:rsidR="00962033" w:rsidRPr="00187853" w14:paraId="5EFAE0BB" w14:textId="77777777" w:rsidTr="006A3221">
        <w:trPr>
          <w:jc w:val="center"/>
        </w:trPr>
        <w:tc>
          <w:tcPr>
            <w:tcW w:w="1023" w:type="dxa"/>
            <w:vMerge/>
            <w:vAlign w:val="center"/>
            <w:hideMark/>
          </w:tcPr>
          <w:p w14:paraId="1B665461" w14:textId="77777777" w:rsidR="00962033" w:rsidRPr="00187853" w:rsidRDefault="00962033" w:rsidP="00F62E72">
            <w:pPr>
              <w:rPr>
                <w:rFonts w:asciiTheme="majorBidi" w:eastAsia="Times New Roman" w:hAnsiTheme="majorBidi" w:cstheme="majorBidi"/>
                <w:sz w:val="20"/>
                <w:szCs w:val="20"/>
              </w:rPr>
            </w:pPr>
          </w:p>
        </w:tc>
        <w:tc>
          <w:tcPr>
            <w:tcW w:w="1730" w:type="dxa"/>
            <w:vAlign w:val="center"/>
            <w:hideMark/>
          </w:tcPr>
          <w:p w14:paraId="3FBFC6EF" w14:textId="77777777" w:rsidR="00962033" w:rsidRPr="00187853" w:rsidRDefault="00962033" w:rsidP="00F62E72">
            <w:pP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August</w:t>
            </w:r>
          </w:p>
        </w:tc>
        <w:tc>
          <w:tcPr>
            <w:tcW w:w="661" w:type="dxa"/>
            <w:vAlign w:val="center"/>
            <w:hideMark/>
          </w:tcPr>
          <w:p w14:paraId="3B3F936B"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26.9</w:t>
            </w:r>
          </w:p>
        </w:tc>
        <w:tc>
          <w:tcPr>
            <w:tcW w:w="810" w:type="dxa"/>
            <w:vAlign w:val="center"/>
            <w:hideMark/>
          </w:tcPr>
          <w:p w14:paraId="11074C7C"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28.4</w:t>
            </w:r>
          </w:p>
        </w:tc>
        <w:tc>
          <w:tcPr>
            <w:tcW w:w="914" w:type="dxa"/>
            <w:vAlign w:val="center"/>
            <w:hideMark/>
          </w:tcPr>
          <w:p w14:paraId="600DF801"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28.7</w:t>
            </w:r>
          </w:p>
        </w:tc>
        <w:tc>
          <w:tcPr>
            <w:tcW w:w="1157" w:type="dxa"/>
            <w:vAlign w:val="center"/>
            <w:hideMark/>
          </w:tcPr>
          <w:p w14:paraId="12F018BB"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24.9</w:t>
            </w:r>
          </w:p>
        </w:tc>
        <w:tc>
          <w:tcPr>
            <w:tcW w:w="814" w:type="dxa"/>
            <w:vAlign w:val="center"/>
            <w:hideMark/>
          </w:tcPr>
          <w:p w14:paraId="1FF173A9"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29.4</w:t>
            </w:r>
          </w:p>
        </w:tc>
        <w:tc>
          <w:tcPr>
            <w:tcW w:w="1076" w:type="dxa"/>
            <w:vAlign w:val="center"/>
            <w:hideMark/>
          </w:tcPr>
          <w:p w14:paraId="0CEED6F1"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32.7</w:t>
            </w:r>
          </w:p>
        </w:tc>
        <w:tc>
          <w:tcPr>
            <w:tcW w:w="1080" w:type="dxa"/>
            <w:vAlign w:val="center"/>
            <w:hideMark/>
          </w:tcPr>
          <w:p w14:paraId="41B88609"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28.6</w:t>
            </w:r>
          </w:p>
        </w:tc>
      </w:tr>
      <w:tr w:rsidR="00962033" w:rsidRPr="00187853" w14:paraId="2151795A" w14:textId="77777777" w:rsidTr="006A3221">
        <w:trPr>
          <w:jc w:val="center"/>
        </w:trPr>
        <w:tc>
          <w:tcPr>
            <w:tcW w:w="1023" w:type="dxa"/>
            <w:vMerge/>
            <w:vAlign w:val="center"/>
          </w:tcPr>
          <w:p w14:paraId="598C617D" w14:textId="77777777" w:rsidR="00962033" w:rsidRPr="00187853" w:rsidRDefault="00962033" w:rsidP="00F62E72">
            <w:pPr>
              <w:rPr>
                <w:rFonts w:asciiTheme="majorBidi" w:eastAsia="Times New Roman" w:hAnsiTheme="majorBidi" w:cstheme="majorBidi"/>
                <w:sz w:val="20"/>
                <w:szCs w:val="20"/>
              </w:rPr>
            </w:pPr>
          </w:p>
        </w:tc>
        <w:tc>
          <w:tcPr>
            <w:tcW w:w="1730" w:type="dxa"/>
            <w:vAlign w:val="center"/>
            <w:hideMark/>
          </w:tcPr>
          <w:p w14:paraId="7984E667" w14:textId="77777777" w:rsidR="00962033" w:rsidRPr="00187853" w:rsidRDefault="00962033" w:rsidP="00F62E72">
            <w:pP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Seasonal Average</w:t>
            </w:r>
          </w:p>
        </w:tc>
        <w:tc>
          <w:tcPr>
            <w:tcW w:w="661" w:type="dxa"/>
            <w:vAlign w:val="center"/>
            <w:hideMark/>
          </w:tcPr>
          <w:p w14:paraId="7A87F021"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26.0</w:t>
            </w:r>
          </w:p>
        </w:tc>
        <w:tc>
          <w:tcPr>
            <w:tcW w:w="810" w:type="dxa"/>
            <w:vAlign w:val="center"/>
            <w:hideMark/>
          </w:tcPr>
          <w:p w14:paraId="4C1425C9"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28.1</w:t>
            </w:r>
          </w:p>
        </w:tc>
        <w:tc>
          <w:tcPr>
            <w:tcW w:w="914" w:type="dxa"/>
            <w:vAlign w:val="center"/>
            <w:hideMark/>
          </w:tcPr>
          <w:p w14:paraId="3BFA7D57"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28.4</w:t>
            </w:r>
          </w:p>
        </w:tc>
        <w:tc>
          <w:tcPr>
            <w:tcW w:w="1157" w:type="dxa"/>
            <w:vAlign w:val="center"/>
            <w:hideMark/>
          </w:tcPr>
          <w:p w14:paraId="13A74CF9"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24.4</w:t>
            </w:r>
          </w:p>
        </w:tc>
        <w:tc>
          <w:tcPr>
            <w:tcW w:w="814" w:type="dxa"/>
            <w:vAlign w:val="center"/>
            <w:hideMark/>
          </w:tcPr>
          <w:p w14:paraId="1440A22F"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29.1</w:t>
            </w:r>
          </w:p>
        </w:tc>
        <w:tc>
          <w:tcPr>
            <w:tcW w:w="1076" w:type="dxa"/>
            <w:vAlign w:val="center"/>
            <w:hideMark/>
          </w:tcPr>
          <w:p w14:paraId="0E9AA19F"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32.3</w:t>
            </w:r>
          </w:p>
        </w:tc>
        <w:tc>
          <w:tcPr>
            <w:tcW w:w="1080" w:type="dxa"/>
            <w:vAlign w:val="center"/>
            <w:hideMark/>
          </w:tcPr>
          <w:p w14:paraId="5D36FB3F"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28.1</w:t>
            </w:r>
          </w:p>
        </w:tc>
      </w:tr>
      <w:tr w:rsidR="00962033" w:rsidRPr="00187853" w14:paraId="5E6257DB" w14:textId="77777777" w:rsidTr="006A3221">
        <w:trPr>
          <w:jc w:val="center"/>
        </w:trPr>
        <w:tc>
          <w:tcPr>
            <w:tcW w:w="1023" w:type="dxa"/>
            <w:vMerge w:val="restart"/>
            <w:vAlign w:val="center"/>
            <w:hideMark/>
          </w:tcPr>
          <w:p w14:paraId="4DA946E3" w14:textId="77777777" w:rsidR="00962033" w:rsidRPr="00187853" w:rsidRDefault="00962033" w:rsidP="00F62E72">
            <w:pP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Autumn</w:t>
            </w:r>
          </w:p>
        </w:tc>
        <w:tc>
          <w:tcPr>
            <w:tcW w:w="1730" w:type="dxa"/>
            <w:vAlign w:val="center"/>
            <w:hideMark/>
          </w:tcPr>
          <w:p w14:paraId="72116075" w14:textId="77777777" w:rsidR="00962033" w:rsidRPr="00187853" w:rsidRDefault="00962033" w:rsidP="00F62E72">
            <w:pP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September</w:t>
            </w:r>
          </w:p>
        </w:tc>
        <w:tc>
          <w:tcPr>
            <w:tcW w:w="661" w:type="dxa"/>
            <w:vAlign w:val="center"/>
            <w:hideMark/>
          </w:tcPr>
          <w:p w14:paraId="1FAE5B39"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24.4</w:t>
            </w:r>
          </w:p>
        </w:tc>
        <w:tc>
          <w:tcPr>
            <w:tcW w:w="810" w:type="dxa"/>
            <w:vAlign w:val="center"/>
            <w:hideMark/>
          </w:tcPr>
          <w:p w14:paraId="7EEE50C7"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26.3</w:t>
            </w:r>
          </w:p>
        </w:tc>
        <w:tc>
          <w:tcPr>
            <w:tcW w:w="914" w:type="dxa"/>
            <w:vAlign w:val="center"/>
            <w:hideMark/>
          </w:tcPr>
          <w:p w14:paraId="179DCF8B"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27.3</w:t>
            </w:r>
          </w:p>
        </w:tc>
        <w:tc>
          <w:tcPr>
            <w:tcW w:w="1157" w:type="dxa"/>
            <w:vAlign w:val="center"/>
            <w:hideMark/>
          </w:tcPr>
          <w:p w14:paraId="1C2FB4AE"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23.1</w:t>
            </w:r>
          </w:p>
        </w:tc>
        <w:tc>
          <w:tcPr>
            <w:tcW w:w="814" w:type="dxa"/>
            <w:vAlign w:val="center"/>
            <w:hideMark/>
          </w:tcPr>
          <w:p w14:paraId="6D333EFD"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27.8</w:t>
            </w:r>
          </w:p>
        </w:tc>
        <w:tc>
          <w:tcPr>
            <w:tcW w:w="1076" w:type="dxa"/>
            <w:vAlign w:val="center"/>
            <w:hideMark/>
          </w:tcPr>
          <w:p w14:paraId="6204708F"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32.1</w:t>
            </w:r>
          </w:p>
        </w:tc>
        <w:tc>
          <w:tcPr>
            <w:tcW w:w="1080" w:type="dxa"/>
            <w:vAlign w:val="center"/>
            <w:hideMark/>
          </w:tcPr>
          <w:p w14:paraId="5F5F1981"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26.9</w:t>
            </w:r>
          </w:p>
        </w:tc>
      </w:tr>
      <w:tr w:rsidR="00962033" w:rsidRPr="00187853" w14:paraId="7F28CC29" w14:textId="77777777" w:rsidTr="006A3221">
        <w:trPr>
          <w:jc w:val="center"/>
        </w:trPr>
        <w:tc>
          <w:tcPr>
            <w:tcW w:w="1023" w:type="dxa"/>
            <w:vMerge/>
            <w:vAlign w:val="center"/>
            <w:hideMark/>
          </w:tcPr>
          <w:p w14:paraId="7DD15F45" w14:textId="77777777" w:rsidR="00962033" w:rsidRPr="00187853" w:rsidRDefault="00962033" w:rsidP="00F62E72">
            <w:pPr>
              <w:rPr>
                <w:rFonts w:asciiTheme="majorBidi" w:eastAsia="Times New Roman" w:hAnsiTheme="majorBidi" w:cstheme="majorBidi"/>
                <w:sz w:val="20"/>
                <w:szCs w:val="20"/>
              </w:rPr>
            </w:pPr>
          </w:p>
        </w:tc>
        <w:tc>
          <w:tcPr>
            <w:tcW w:w="1730" w:type="dxa"/>
            <w:vAlign w:val="center"/>
            <w:hideMark/>
          </w:tcPr>
          <w:p w14:paraId="6440DDCA" w14:textId="77777777" w:rsidR="00962033" w:rsidRPr="00187853" w:rsidRDefault="00962033" w:rsidP="00F62E72">
            <w:pP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October</w:t>
            </w:r>
          </w:p>
        </w:tc>
        <w:tc>
          <w:tcPr>
            <w:tcW w:w="661" w:type="dxa"/>
            <w:vAlign w:val="center"/>
            <w:hideMark/>
          </w:tcPr>
          <w:p w14:paraId="278974D0"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24.1</w:t>
            </w:r>
          </w:p>
        </w:tc>
        <w:tc>
          <w:tcPr>
            <w:tcW w:w="810" w:type="dxa"/>
            <w:vAlign w:val="center"/>
            <w:hideMark/>
          </w:tcPr>
          <w:p w14:paraId="5F530EA7"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23.0</w:t>
            </w:r>
          </w:p>
        </w:tc>
        <w:tc>
          <w:tcPr>
            <w:tcW w:w="914" w:type="dxa"/>
            <w:vAlign w:val="center"/>
            <w:hideMark/>
          </w:tcPr>
          <w:p w14:paraId="1065F443"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24.2</w:t>
            </w:r>
          </w:p>
        </w:tc>
        <w:tc>
          <w:tcPr>
            <w:tcW w:w="1157" w:type="dxa"/>
            <w:vAlign w:val="center"/>
            <w:hideMark/>
          </w:tcPr>
          <w:p w14:paraId="32586EC8"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18.8</w:t>
            </w:r>
          </w:p>
        </w:tc>
        <w:tc>
          <w:tcPr>
            <w:tcW w:w="814" w:type="dxa"/>
            <w:vAlign w:val="center"/>
            <w:hideMark/>
          </w:tcPr>
          <w:p w14:paraId="059EAA3A"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24.1</w:t>
            </w:r>
          </w:p>
        </w:tc>
        <w:tc>
          <w:tcPr>
            <w:tcW w:w="1076" w:type="dxa"/>
            <w:vAlign w:val="center"/>
            <w:hideMark/>
          </w:tcPr>
          <w:p w14:paraId="32F5360F"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27.0</w:t>
            </w:r>
          </w:p>
        </w:tc>
        <w:tc>
          <w:tcPr>
            <w:tcW w:w="1080" w:type="dxa"/>
            <w:vAlign w:val="center"/>
            <w:hideMark/>
          </w:tcPr>
          <w:p w14:paraId="04279FC4"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23.6</w:t>
            </w:r>
          </w:p>
        </w:tc>
      </w:tr>
      <w:tr w:rsidR="00962033" w:rsidRPr="00187853" w14:paraId="24945788" w14:textId="77777777" w:rsidTr="006A3221">
        <w:trPr>
          <w:jc w:val="center"/>
        </w:trPr>
        <w:tc>
          <w:tcPr>
            <w:tcW w:w="1023" w:type="dxa"/>
            <w:vMerge/>
            <w:vAlign w:val="center"/>
            <w:hideMark/>
          </w:tcPr>
          <w:p w14:paraId="5B2D364E" w14:textId="77777777" w:rsidR="00962033" w:rsidRPr="00187853" w:rsidRDefault="00962033" w:rsidP="00F62E72">
            <w:pPr>
              <w:rPr>
                <w:rFonts w:asciiTheme="majorBidi" w:eastAsia="Times New Roman" w:hAnsiTheme="majorBidi" w:cstheme="majorBidi"/>
                <w:sz w:val="20"/>
                <w:szCs w:val="20"/>
              </w:rPr>
            </w:pPr>
          </w:p>
        </w:tc>
        <w:tc>
          <w:tcPr>
            <w:tcW w:w="1730" w:type="dxa"/>
            <w:vAlign w:val="center"/>
            <w:hideMark/>
          </w:tcPr>
          <w:p w14:paraId="70894073" w14:textId="77777777" w:rsidR="00962033" w:rsidRPr="00187853" w:rsidRDefault="00962033" w:rsidP="00F62E72">
            <w:pP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November</w:t>
            </w:r>
          </w:p>
        </w:tc>
        <w:tc>
          <w:tcPr>
            <w:tcW w:w="661" w:type="dxa"/>
            <w:vAlign w:val="center"/>
            <w:hideMark/>
          </w:tcPr>
          <w:p w14:paraId="5C7A6E1E"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15.5</w:t>
            </w:r>
          </w:p>
        </w:tc>
        <w:tc>
          <w:tcPr>
            <w:tcW w:w="810" w:type="dxa"/>
            <w:vAlign w:val="center"/>
            <w:hideMark/>
          </w:tcPr>
          <w:p w14:paraId="5FDF55EE"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18.3</w:t>
            </w:r>
          </w:p>
        </w:tc>
        <w:tc>
          <w:tcPr>
            <w:tcW w:w="914" w:type="dxa"/>
            <w:vAlign w:val="center"/>
            <w:hideMark/>
          </w:tcPr>
          <w:p w14:paraId="15F06DEB"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19.6</w:t>
            </w:r>
          </w:p>
        </w:tc>
        <w:tc>
          <w:tcPr>
            <w:tcW w:w="1157" w:type="dxa"/>
            <w:vAlign w:val="center"/>
            <w:hideMark/>
          </w:tcPr>
          <w:p w14:paraId="43B59DC6"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13.0</w:t>
            </w:r>
          </w:p>
        </w:tc>
        <w:tc>
          <w:tcPr>
            <w:tcW w:w="814" w:type="dxa"/>
            <w:vAlign w:val="center"/>
            <w:hideMark/>
          </w:tcPr>
          <w:p w14:paraId="297280C2"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20.6</w:t>
            </w:r>
          </w:p>
        </w:tc>
        <w:tc>
          <w:tcPr>
            <w:tcW w:w="1076" w:type="dxa"/>
            <w:vAlign w:val="center"/>
            <w:hideMark/>
          </w:tcPr>
          <w:p w14:paraId="28C2656D"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22.5</w:t>
            </w:r>
          </w:p>
        </w:tc>
        <w:tc>
          <w:tcPr>
            <w:tcW w:w="1080" w:type="dxa"/>
            <w:vAlign w:val="center"/>
            <w:hideMark/>
          </w:tcPr>
          <w:p w14:paraId="44B9BCFF"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18.6</w:t>
            </w:r>
          </w:p>
        </w:tc>
      </w:tr>
      <w:tr w:rsidR="00962033" w:rsidRPr="00187853" w14:paraId="34781479" w14:textId="77777777" w:rsidTr="006A3221">
        <w:trPr>
          <w:jc w:val="center"/>
        </w:trPr>
        <w:tc>
          <w:tcPr>
            <w:tcW w:w="1023" w:type="dxa"/>
            <w:vMerge/>
            <w:vAlign w:val="center"/>
            <w:hideMark/>
          </w:tcPr>
          <w:p w14:paraId="69EECE87" w14:textId="77777777" w:rsidR="00962033" w:rsidRPr="00187853" w:rsidRDefault="00962033" w:rsidP="00F62E72">
            <w:pPr>
              <w:rPr>
                <w:rFonts w:asciiTheme="majorBidi" w:eastAsia="Times New Roman" w:hAnsiTheme="majorBidi" w:cstheme="majorBidi"/>
                <w:sz w:val="20"/>
                <w:szCs w:val="20"/>
              </w:rPr>
            </w:pPr>
          </w:p>
        </w:tc>
        <w:tc>
          <w:tcPr>
            <w:tcW w:w="1730" w:type="dxa"/>
            <w:vAlign w:val="center"/>
            <w:hideMark/>
          </w:tcPr>
          <w:p w14:paraId="0975EDE2" w14:textId="77777777" w:rsidR="00962033" w:rsidRPr="00187853" w:rsidRDefault="00962033" w:rsidP="00F62E72">
            <w:pP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Seasonal Average</w:t>
            </w:r>
          </w:p>
        </w:tc>
        <w:tc>
          <w:tcPr>
            <w:tcW w:w="661" w:type="dxa"/>
            <w:vAlign w:val="center"/>
            <w:hideMark/>
          </w:tcPr>
          <w:p w14:paraId="0C33AC9B"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21.3</w:t>
            </w:r>
          </w:p>
        </w:tc>
        <w:tc>
          <w:tcPr>
            <w:tcW w:w="810" w:type="dxa"/>
            <w:vAlign w:val="center"/>
            <w:hideMark/>
          </w:tcPr>
          <w:p w14:paraId="35715DF2"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22.5</w:t>
            </w:r>
          </w:p>
        </w:tc>
        <w:tc>
          <w:tcPr>
            <w:tcW w:w="914" w:type="dxa"/>
            <w:vAlign w:val="center"/>
            <w:hideMark/>
          </w:tcPr>
          <w:p w14:paraId="592DEA20"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23.7</w:t>
            </w:r>
          </w:p>
        </w:tc>
        <w:tc>
          <w:tcPr>
            <w:tcW w:w="1157" w:type="dxa"/>
            <w:vAlign w:val="center"/>
            <w:hideMark/>
          </w:tcPr>
          <w:p w14:paraId="517BA5F7"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18.3</w:t>
            </w:r>
          </w:p>
        </w:tc>
        <w:tc>
          <w:tcPr>
            <w:tcW w:w="814" w:type="dxa"/>
            <w:vAlign w:val="center"/>
            <w:hideMark/>
          </w:tcPr>
          <w:p w14:paraId="0F9AD47E"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24.2</w:t>
            </w:r>
          </w:p>
        </w:tc>
        <w:tc>
          <w:tcPr>
            <w:tcW w:w="1076" w:type="dxa"/>
            <w:vAlign w:val="center"/>
            <w:hideMark/>
          </w:tcPr>
          <w:p w14:paraId="41D69E7F"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27.2</w:t>
            </w:r>
          </w:p>
        </w:tc>
        <w:tc>
          <w:tcPr>
            <w:tcW w:w="1080" w:type="dxa"/>
            <w:vAlign w:val="center"/>
            <w:hideMark/>
          </w:tcPr>
          <w:p w14:paraId="618B34DE"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23.0</w:t>
            </w:r>
          </w:p>
        </w:tc>
      </w:tr>
      <w:tr w:rsidR="00962033" w:rsidRPr="00187853" w14:paraId="2CA41581" w14:textId="77777777" w:rsidTr="006A3221">
        <w:trPr>
          <w:jc w:val="center"/>
        </w:trPr>
        <w:tc>
          <w:tcPr>
            <w:tcW w:w="1023" w:type="dxa"/>
            <w:vMerge w:val="restart"/>
            <w:vAlign w:val="center"/>
            <w:hideMark/>
          </w:tcPr>
          <w:p w14:paraId="7DB6280A" w14:textId="77777777" w:rsidR="00962033" w:rsidRPr="00187853" w:rsidRDefault="00962033" w:rsidP="00F62E72">
            <w:pP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Winter</w:t>
            </w:r>
          </w:p>
        </w:tc>
        <w:tc>
          <w:tcPr>
            <w:tcW w:w="1730" w:type="dxa"/>
            <w:vAlign w:val="center"/>
            <w:hideMark/>
          </w:tcPr>
          <w:p w14:paraId="502B0FC7" w14:textId="77777777" w:rsidR="00962033" w:rsidRPr="00187853" w:rsidRDefault="00962033" w:rsidP="00F62E72">
            <w:pP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December</w:t>
            </w:r>
          </w:p>
        </w:tc>
        <w:tc>
          <w:tcPr>
            <w:tcW w:w="661" w:type="dxa"/>
            <w:vAlign w:val="center"/>
            <w:hideMark/>
          </w:tcPr>
          <w:p w14:paraId="1F0920C8"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11.4</w:t>
            </w:r>
          </w:p>
        </w:tc>
        <w:tc>
          <w:tcPr>
            <w:tcW w:w="810" w:type="dxa"/>
            <w:vAlign w:val="center"/>
            <w:hideMark/>
          </w:tcPr>
          <w:p w14:paraId="3C3B6A2E"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14.8</w:t>
            </w:r>
          </w:p>
        </w:tc>
        <w:tc>
          <w:tcPr>
            <w:tcW w:w="914" w:type="dxa"/>
            <w:vAlign w:val="center"/>
            <w:hideMark/>
          </w:tcPr>
          <w:p w14:paraId="4E65322A"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16.0</w:t>
            </w:r>
          </w:p>
        </w:tc>
        <w:tc>
          <w:tcPr>
            <w:tcW w:w="1157" w:type="dxa"/>
            <w:vAlign w:val="center"/>
            <w:hideMark/>
          </w:tcPr>
          <w:p w14:paraId="1B424BBA"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10.2</w:t>
            </w:r>
          </w:p>
        </w:tc>
        <w:tc>
          <w:tcPr>
            <w:tcW w:w="814" w:type="dxa"/>
            <w:vAlign w:val="center"/>
            <w:hideMark/>
          </w:tcPr>
          <w:p w14:paraId="595FE993"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17.6</w:t>
            </w:r>
          </w:p>
        </w:tc>
        <w:tc>
          <w:tcPr>
            <w:tcW w:w="1076" w:type="dxa"/>
            <w:vAlign w:val="center"/>
            <w:hideMark/>
          </w:tcPr>
          <w:p w14:paraId="4F907F6C"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18.9</w:t>
            </w:r>
          </w:p>
        </w:tc>
        <w:tc>
          <w:tcPr>
            <w:tcW w:w="1080" w:type="dxa"/>
            <w:vAlign w:val="center"/>
            <w:hideMark/>
          </w:tcPr>
          <w:p w14:paraId="757535F6"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14.9</w:t>
            </w:r>
          </w:p>
        </w:tc>
      </w:tr>
      <w:tr w:rsidR="00962033" w:rsidRPr="00187853" w14:paraId="28615BD2" w14:textId="77777777" w:rsidTr="006A3221">
        <w:trPr>
          <w:jc w:val="center"/>
        </w:trPr>
        <w:tc>
          <w:tcPr>
            <w:tcW w:w="1023" w:type="dxa"/>
            <w:vMerge/>
            <w:vAlign w:val="center"/>
            <w:hideMark/>
          </w:tcPr>
          <w:p w14:paraId="2DD9C883" w14:textId="77777777" w:rsidR="00962033" w:rsidRPr="00187853" w:rsidRDefault="00962033" w:rsidP="00F62E72">
            <w:pPr>
              <w:rPr>
                <w:rFonts w:asciiTheme="majorBidi" w:eastAsia="Times New Roman" w:hAnsiTheme="majorBidi" w:cstheme="majorBidi"/>
                <w:sz w:val="20"/>
                <w:szCs w:val="20"/>
              </w:rPr>
            </w:pPr>
          </w:p>
        </w:tc>
        <w:tc>
          <w:tcPr>
            <w:tcW w:w="1730" w:type="dxa"/>
            <w:vAlign w:val="center"/>
            <w:hideMark/>
          </w:tcPr>
          <w:p w14:paraId="16EE0A7B" w14:textId="77777777" w:rsidR="00962033" w:rsidRPr="00187853" w:rsidRDefault="00962033" w:rsidP="00F62E72">
            <w:pP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January</w:t>
            </w:r>
          </w:p>
        </w:tc>
        <w:tc>
          <w:tcPr>
            <w:tcW w:w="661" w:type="dxa"/>
            <w:vAlign w:val="center"/>
            <w:hideMark/>
          </w:tcPr>
          <w:p w14:paraId="4514CFB3"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10.8</w:t>
            </w:r>
          </w:p>
        </w:tc>
        <w:tc>
          <w:tcPr>
            <w:tcW w:w="810" w:type="dxa"/>
            <w:vAlign w:val="center"/>
            <w:hideMark/>
          </w:tcPr>
          <w:p w14:paraId="4A70D6A6"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13.8</w:t>
            </w:r>
          </w:p>
        </w:tc>
        <w:tc>
          <w:tcPr>
            <w:tcW w:w="914" w:type="dxa"/>
            <w:vAlign w:val="center"/>
            <w:hideMark/>
          </w:tcPr>
          <w:p w14:paraId="65E7893A"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14.3</w:t>
            </w:r>
          </w:p>
        </w:tc>
        <w:tc>
          <w:tcPr>
            <w:tcW w:w="1157" w:type="dxa"/>
            <w:vAlign w:val="center"/>
            <w:hideMark/>
          </w:tcPr>
          <w:p w14:paraId="7E8857A0"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8.1</w:t>
            </w:r>
          </w:p>
        </w:tc>
        <w:tc>
          <w:tcPr>
            <w:tcW w:w="814" w:type="dxa"/>
            <w:vAlign w:val="center"/>
            <w:hideMark/>
          </w:tcPr>
          <w:p w14:paraId="4F9681FF"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15.2</w:t>
            </w:r>
          </w:p>
        </w:tc>
        <w:tc>
          <w:tcPr>
            <w:tcW w:w="1076" w:type="dxa"/>
            <w:vAlign w:val="center"/>
            <w:hideMark/>
          </w:tcPr>
          <w:p w14:paraId="5C05EAA1"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17.8</w:t>
            </w:r>
          </w:p>
        </w:tc>
        <w:tc>
          <w:tcPr>
            <w:tcW w:w="1080" w:type="dxa"/>
            <w:vAlign w:val="center"/>
            <w:hideMark/>
          </w:tcPr>
          <w:p w14:paraId="6A06F7E7"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13.5</w:t>
            </w:r>
          </w:p>
        </w:tc>
      </w:tr>
      <w:tr w:rsidR="00962033" w:rsidRPr="00187853" w14:paraId="6AC9C9C5" w14:textId="77777777" w:rsidTr="006A3221">
        <w:trPr>
          <w:jc w:val="center"/>
        </w:trPr>
        <w:tc>
          <w:tcPr>
            <w:tcW w:w="1023" w:type="dxa"/>
            <w:vMerge/>
            <w:vAlign w:val="center"/>
            <w:hideMark/>
          </w:tcPr>
          <w:p w14:paraId="3A0C4747" w14:textId="77777777" w:rsidR="00962033" w:rsidRPr="00187853" w:rsidRDefault="00962033" w:rsidP="00F62E72">
            <w:pPr>
              <w:rPr>
                <w:rFonts w:asciiTheme="majorBidi" w:eastAsia="Times New Roman" w:hAnsiTheme="majorBidi" w:cstheme="majorBidi"/>
                <w:sz w:val="20"/>
                <w:szCs w:val="20"/>
              </w:rPr>
            </w:pPr>
          </w:p>
        </w:tc>
        <w:tc>
          <w:tcPr>
            <w:tcW w:w="1730" w:type="dxa"/>
            <w:vAlign w:val="center"/>
            <w:hideMark/>
          </w:tcPr>
          <w:p w14:paraId="04174D48" w14:textId="77777777" w:rsidR="00962033" w:rsidRPr="00187853" w:rsidRDefault="00962033" w:rsidP="00F62E72">
            <w:pP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February</w:t>
            </w:r>
          </w:p>
        </w:tc>
        <w:tc>
          <w:tcPr>
            <w:tcW w:w="661" w:type="dxa"/>
            <w:vAlign w:val="center"/>
            <w:hideMark/>
          </w:tcPr>
          <w:p w14:paraId="0CFC7882"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11.9</w:t>
            </w:r>
          </w:p>
        </w:tc>
        <w:tc>
          <w:tcPr>
            <w:tcW w:w="810" w:type="dxa"/>
            <w:vAlign w:val="center"/>
            <w:hideMark/>
          </w:tcPr>
          <w:p w14:paraId="4CA7D34A"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14.8</w:t>
            </w:r>
          </w:p>
        </w:tc>
        <w:tc>
          <w:tcPr>
            <w:tcW w:w="914" w:type="dxa"/>
            <w:vAlign w:val="center"/>
            <w:hideMark/>
          </w:tcPr>
          <w:p w14:paraId="5D61A356"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15.6</w:t>
            </w:r>
          </w:p>
        </w:tc>
        <w:tc>
          <w:tcPr>
            <w:tcW w:w="1157" w:type="dxa"/>
            <w:vAlign w:val="center"/>
            <w:hideMark/>
          </w:tcPr>
          <w:p w14:paraId="05C3F1D6"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8.8</w:t>
            </w:r>
          </w:p>
        </w:tc>
        <w:tc>
          <w:tcPr>
            <w:tcW w:w="814" w:type="dxa"/>
            <w:vAlign w:val="center"/>
            <w:hideMark/>
          </w:tcPr>
          <w:p w14:paraId="49215F2E"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15.7</w:t>
            </w:r>
          </w:p>
        </w:tc>
        <w:tc>
          <w:tcPr>
            <w:tcW w:w="1076" w:type="dxa"/>
            <w:vAlign w:val="center"/>
            <w:hideMark/>
          </w:tcPr>
          <w:p w14:paraId="204D49A5"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18.6</w:t>
            </w:r>
          </w:p>
        </w:tc>
        <w:tc>
          <w:tcPr>
            <w:tcW w:w="1080" w:type="dxa"/>
            <w:vAlign w:val="center"/>
            <w:hideMark/>
          </w:tcPr>
          <w:p w14:paraId="500F01ED"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14.5</w:t>
            </w:r>
          </w:p>
        </w:tc>
      </w:tr>
      <w:tr w:rsidR="00962033" w:rsidRPr="00187853" w14:paraId="06099E7E" w14:textId="77777777" w:rsidTr="006A3221">
        <w:trPr>
          <w:jc w:val="center"/>
        </w:trPr>
        <w:tc>
          <w:tcPr>
            <w:tcW w:w="1023" w:type="dxa"/>
            <w:vMerge/>
            <w:vAlign w:val="center"/>
            <w:hideMark/>
          </w:tcPr>
          <w:p w14:paraId="5A4E8140" w14:textId="77777777" w:rsidR="00962033" w:rsidRPr="00187853" w:rsidRDefault="00962033" w:rsidP="00F62E72">
            <w:pPr>
              <w:rPr>
                <w:rFonts w:asciiTheme="majorBidi" w:eastAsia="Times New Roman" w:hAnsiTheme="majorBidi" w:cstheme="majorBidi"/>
                <w:sz w:val="20"/>
                <w:szCs w:val="20"/>
              </w:rPr>
            </w:pPr>
          </w:p>
        </w:tc>
        <w:tc>
          <w:tcPr>
            <w:tcW w:w="1730" w:type="dxa"/>
            <w:vAlign w:val="center"/>
            <w:hideMark/>
          </w:tcPr>
          <w:p w14:paraId="10C169AA" w14:textId="77777777" w:rsidR="00962033" w:rsidRPr="00187853" w:rsidRDefault="00962033" w:rsidP="00F62E72">
            <w:pP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Seasonal Average</w:t>
            </w:r>
          </w:p>
        </w:tc>
        <w:tc>
          <w:tcPr>
            <w:tcW w:w="661" w:type="dxa"/>
            <w:vAlign w:val="center"/>
            <w:hideMark/>
          </w:tcPr>
          <w:p w14:paraId="66FF6A6F"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11.3</w:t>
            </w:r>
          </w:p>
        </w:tc>
        <w:tc>
          <w:tcPr>
            <w:tcW w:w="810" w:type="dxa"/>
            <w:vAlign w:val="center"/>
            <w:hideMark/>
          </w:tcPr>
          <w:p w14:paraId="6FA30FB2"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14.5</w:t>
            </w:r>
          </w:p>
        </w:tc>
        <w:tc>
          <w:tcPr>
            <w:tcW w:w="914" w:type="dxa"/>
            <w:vAlign w:val="center"/>
            <w:hideMark/>
          </w:tcPr>
          <w:p w14:paraId="5D9E04AA"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15.3</w:t>
            </w:r>
          </w:p>
        </w:tc>
        <w:tc>
          <w:tcPr>
            <w:tcW w:w="1157" w:type="dxa"/>
            <w:vAlign w:val="center"/>
            <w:hideMark/>
          </w:tcPr>
          <w:p w14:paraId="1225E845"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9.0</w:t>
            </w:r>
          </w:p>
        </w:tc>
        <w:tc>
          <w:tcPr>
            <w:tcW w:w="814" w:type="dxa"/>
            <w:vAlign w:val="center"/>
            <w:hideMark/>
          </w:tcPr>
          <w:p w14:paraId="534C51DE"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16.2</w:t>
            </w:r>
          </w:p>
        </w:tc>
        <w:tc>
          <w:tcPr>
            <w:tcW w:w="1076" w:type="dxa"/>
            <w:vAlign w:val="center"/>
            <w:hideMark/>
          </w:tcPr>
          <w:p w14:paraId="31ED9155"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18.4</w:t>
            </w:r>
          </w:p>
        </w:tc>
        <w:tc>
          <w:tcPr>
            <w:tcW w:w="1080" w:type="dxa"/>
            <w:vAlign w:val="center"/>
            <w:hideMark/>
          </w:tcPr>
          <w:p w14:paraId="01ED4200"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14.3</w:t>
            </w:r>
          </w:p>
        </w:tc>
      </w:tr>
      <w:tr w:rsidR="00962033" w:rsidRPr="00187853" w14:paraId="32243BD5" w14:textId="77777777" w:rsidTr="006A3221">
        <w:trPr>
          <w:jc w:val="center"/>
        </w:trPr>
        <w:tc>
          <w:tcPr>
            <w:tcW w:w="2753" w:type="dxa"/>
            <w:gridSpan w:val="2"/>
            <w:vAlign w:val="center"/>
            <w:hideMark/>
          </w:tcPr>
          <w:p w14:paraId="3A120CDC" w14:textId="77777777" w:rsidR="00962033" w:rsidRPr="00187853" w:rsidRDefault="00962033" w:rsidP="00F62E72">
            <w:pP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Annual Average</w:t>
            </w:r>
          </w:p>
        </w:tc>
        <w:tc>
          <w:tcPr>
            <w:tcW w:w="661" w:type="dxa"/>
            <w:vAlign w:val="center"/>
            <w:hideMark/>
          </w:tcPr>
          <w:p w14:paraId="61843086"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19.2</w:t>
            </w:r>
          </w:p>
        </w:tc>
        <w:tc>
          <w:tcPr>
            <w:tcW w:w="810" w:type="dxa"/>
            <w:vAlign w:val="center"/>
            <w:hideMark/>
          </w:tcPr>
          <w:p w14:paraId="274662B7"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21.4</w:t>
            </w:r>
          </w:p>
        </w:tc>
        <w:tc>
          <w:tcPr>
            <w:tcW w:w="914" w:type="dxa"/>
            <w:vAlign w:val="center"/>
            <w:hideMark/>
          </w:tcPr>
          <w:p w14:paraId="5245DEBF"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22.3</w:t>
            </w:r>
          </w:p>
        </w:tc>
        <w:tc>
          <w:tcPr>
            <w:tcW w:w="1157" w:type="dxa"/>
            <w:vAlign w:val="center"/>
            <w:hideMark/>
          </w:tcPr>
          <w:p w14:paraId="5D7F1E2D"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17.1</w:t>
            </w:r>
          </w:p>
        </w:tc>
        <w:tc>
          <w:tcPr>
            <w:tcW w:w="814" w:type="dxa"/>
            <w:vAlign w:val="center"/>
            <w:hideMark/>
          </w:tcPr>
          <w:p w14:paraId="70B5878D"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22.9</w:t>
            </w:r>
          </w:p>
        </w:tc>
        <w:tc>
          <w:tcPr>
            <w:tcW w:w="1076" w:type="dxa"/>
            <w:vAlign w:val="center"/>
            <w:hideMark/>
          </w:tcPr>
          <w:p w14:paraId="7F1E18F1"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25.6</w:t>
            </w:r>
          </w:p>
        </w:tc>
        <w:tc>
          <w:tcPr>
            <w:tcW w:w="1080" w:type="dxa"/>
            <w:vAlign w:val="center"/>
            <w:hideMark/>
          </w:tcPr>
          <w:p w14:paraId="40AFC4F8"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21.4</w:t>
            </w:r>
          </w:p>
        </w:tc>
      </w:tr>
    </w:tbl>
    <w:p w14:paraId="331816C6" w14:textId="77777777" w:rsidR="00962033" w:rsidRPr="005F15D3" w:rsidRDefault="00D53E2A" w:rsidP="00962033">
      <w:pPr>
        <w:spacing w:after="240"/>
        <w:jc w:val="both"/>
        <w:rPr>
          <w:rFonts w:asciiTheme="majorBidi" w:hAnsiTheme="majorBidi" w:cstheme="majorBidi"/>
          <w:sz w:val="20"/>
          <w:szCs w:val="20"/>
        </w:rPr>
      </w:pPr>
      <w:r w:rsidRPr="005F15D3">
        <w:rPr>
          <w:rFonts w:asciiTheme="majorBidi" w:hAnsiTheme="majorBidi" w:cstheme="majorBidi"/>
          <w:b/>
          <w:bCs/>
          <w:sz w:val="20"/>
          <w:szCs w:val="20"/>
        </w:rPr>
        <w:t xml:space="preserve">   </w:t>
      </w:r>
      <w:r w:rsidR="006A3221" w:rsidRPr="005F15D3">
        <w:rPr>
          <w:rFonts w:asciiTheme="majorBidi" w:hAnsiTheme="majorBidi" w:cstheme="majorBidi"/>
          <w:b/>
          <w:bCs/>
          <w:sz w:val="20"/>
          <w:szCs w:val="20"/>
        </w:rPr>
        <w:t xml:space="preserve">            </w:t>
      </w:r>
      <w:r w:rsidR="00962033" w:rsidRPr="005F15D3">
        <w:rPr>
          <w:rFonts w:asciiTheme="majorBidi" w:hAnsiTheme="majorBidi" w:cstheme="majorBidi"/>
          <w:b/>
          <w:bCs/>
          <w:sz w:val="20"/>
          <w:szCs w:val="20"/>
        </w:rPr>
        <w:t>Source:</w:t>
      </w:r>
      <w:r w:rsidR="00962033" w:rsidRPr="005F15D3">
        <w:rPr>
          <w:rFonts w:asciiTheme="majorBidi" w:hAnsiTheme="majorBidi" w:cstheme="majorBidi"/>
          <w:sz w:val="20"/>
          <w:szCs w:val="20"/>
        </w:rPr>
        <w:t xml:space="preserve"> (EMA, 2024) (Unpublished data).</w:t>
      </w:r>
    </w:p>
    <w:p w14:paraId="3E2E6CD7" w14:textId="77777777" w:rsidR="006A3221" w:rsidRPr="005F15D3" w:rsidRDefault="006A3221" w:rsidP="00002ED5">
      <w:pPr>
        <w:pStyle w:val="NormalWeb"/>
        <w:spacing w:before="0" w:beforeAutospacing="0" w:after="120" w:afterAutospacing="0" w:line="276" w:lineRule="auto"/>
        <w:jc w:val="both"/>
        <w:rPr>
          <w:rFonts w:asciiTheme="majorBidi" w:hAnsiTheme="majorBidi" w:cstheme="majorBidi"/>
        </w:rPr>
      </w:pPr>
      <w:r w:rsidRPr="005F15D3">
        <w:rPr>
          <w:rFonts w:asciiTheme="majorBidi" w:hAnsiTheme="majorBidi" w:cstheme="majorBidi"/>
        </w:rPr>
        <w:t xml:space="preserve">-The annual average temperature recorded at South Sinai’s climatic stations was approximately 21.4°C. Reviewing the annual temperature averages at the main stations reveals that the highest average was recorded in Sharm El Sheikh, reaching about 25.5°C; while the lowest average was recorded in Saint Catherine, reaching about 17.1°C. </w:t>
      </w:r>
    </w:p>
    <w:p w14:paraId="161255D1" w14:textId="77777777" w:rsidR="006A3221" w:rsidRPr="005F15D3" w:rsidRDefault="006A3221" w:rsidP="00002ED5">
      <w:pPr>
        <w:pStyle w:val="NormalWeb"/>
        <w:spacing w:before="0" w:beforeAutospacing="0" w:after="120" w:afterAutospacing="0" w:line="276" w:lineRule="auto"/>
        <w:jc w:val="both"/>
        <w:rPr>
          <w:rFonts w:asciiTheme="majorBidi" w:hAnsiTheme="majorBidi" w:cstheme="majorBidi"/>
        </w:rPr>
      </w:pPr>
      <w:r w:rsidRPr="005F15D3">
        <w:rPr>
          <w:rFonts w:asciiTheme="majorBidi" w:hAnsiTheme="majorBidi" w:cstheme="majorBidi"/>
        </w:rPr>
        <w:t>- The seasonal temperature averages showed a significant variation between the solstices (summer and winter) and a convergence between the equinoxes (spring and autumn). Summer recorded the highest average temperature, reaching 28.1°C. However, winter recorded the lowest average temperature, reaching about 14.3°C. Autumn and spring recorded seasonal averages of about 23°C and 20.8°C, respectively.</w:t>
      </w:r>
    </w:p>
    <w:p w14:paraId="5872E101" w14:textId="77777777" w:rsidR="000A57FC" w:rsidRPr="005F15D3" w:rsidRDefault="000A57FC" w:rsidP="00002ED5">
      <w:pPr>
        <w:pStyle w:val="NormalWeb"/>
        <w:spacing w:before="0" w:beforeAutospacing="0" w:after="120" w:afterAutospacing="0" w:line="276" w:lineRule="auto"/>
        <w:jc w:val="both"/>
        <w:rPr>
          <w:rFonts w:asciiTheme="majorBidi" w:hAnsiTheme="majorBidi" w:cstheme="majorBidi"/>
        </w:rPr>
      </w:pPr>
      <w:r w:rsidRPr="005F15D3">
        <w:rPr>
          <w:rFonts w:asciiTheme="majorBidi" w:hAnsiTheme="majorBidi" w:cstheme="majorBidi"/>
        </w:rPr>
        <w:t xml:space="preserve">- The monthly temperature averages showed a </w:t>
      </w:r>
      <w:r w:rsidR="00342CBA" w:rsidRPr="005F15D3">
        <w:rPr>
          <w:rFonts w:asciiTheme="majorBidi" w:hAnsiTheme="majorBidi" w:cstheme="majorBidi"/>
        </w:rPr>
        <w:t xml:space="preserve">clear difference </w:t>
      </w:r>
      <w:r w:rsidRPr="005F15D3">
        <w:rPr>
          <w:rFonts w:asciiTheme="majorBidi" w:hAnsiTheme="majorBidi" w:cstheme="majorBidi"/>
        </w:rPr>
        <w:t>t</w:t>
      </w:r>
      <w:r w:rsidR="00342CBA" w:rsidRPr="005F15D3">
        <w:rPr>
          <w:rFonts w:asciiTheme="majorBidi" w:hAnsiTheme="majorBidi" w:cstheme="majorBidi"/>
        </w:rPr>
        <w:t xml:space="preserve">hroughout the months of the year. </w:t>
      </w:r>
      <w:r w:rsidRPr="005F15D3">
        <w:rPr>
          <w:rFonts w:asciiTheme="majorBidi" w:hAnsiTheme="majorBidi" w:cstheme="majorBidi"/>
        </w:rPr>
        <w:t>August recorded the highest average temperature, reaching 28.6</w:t>
      </w:r>
      <w:r w:rsidR="00342CBA" w:rsidRPr="005F15D3">
        <w:rPr>
          <w:rFonts w:asciiTheme="majorBidi" w:hAnsiTheme="majorBidi" w:cstheme="majorBidi"/>
        </w:rPr>
        <w:t>°</w:t>
      </w:r>
      <w:r w:rsidRPr="005F15D3">
        <w:rPr>
          <w:rFonts w:asciiTheme="majorBidi" w:hAnsiTheme="majorBidi" w:cstheme="majorBidi"/>
        </w:rPr>
        <w:t>C.</w:t>
      </w:r>
      <w:r w:rsidR="00342CBA" w:rsidRPr="005F15D3">
        <w:rPr>
          <w:rFonts w:asciiTheme="majorBidi" w:hAnsiTheme="majorBidi" w:cstheme="majorBidi"/>
        </w:rPr>
        <w:t xml:space="preserve"> </w:t>
      </w:r>
      <w:r w:rsidRPr="005F15D3">
        <w:rPr>
          <w:rFonts w:asciiTheme="majorBidi" w:hAnsiTheme="majorBidi" w:cstheme="majorBidi"/>
        </w:rPr>
        <w:t>January recorded the lowest overall average temperature, reaching about 13.5</w:t>
      </w:r>
      <w:r w:rsidR="00342CBA" w:rsidRPr="005F15D3">
        <w:rPr>
          <w:rFonts w:asciiTheme="majorBidi" w:hAnsiTheme="majorBidi" w:cstheme="majorBidi"/>
        </w:rPr>
        <w:t>°</w:t>
      </w:r>
      <w:r w:rsidRPr="005F15D3">
        <w:rPr>
          <w:rFonts w:asciiTheme="majorBidi" w:hAnsiTheme="majorBidi" w:cstheme="majorBidi"/>
        </w:rPr>
        <w:t>C.</w:t>
      </w:r>
      <w:r w:rsidR="00342CBA" w:rsidRPr="005F15D3">
        <w:rPr>
          <w:rFonts w:asciiTheme="majorBidi" w:hAnsiTheme="majorBidi" w:cstheme="majorBidi"/>
        </w:rPr>
        <w:t xml:space="preserve"> Furthermore, analyzing recorded temperature of the key stations shows that</w:t>
      </w:r>
      <w:r w:rsidRPr="005F15D3">
        <w:rPr>
          <w:rFonts w:asciiTheme="majorBidi" w:hAnsiTheme="majorBidi" w:cstheme="majorBidi"/>
        </w:rPr>
        <w:t>:</w:t>
      </w:r>
      <w:r w:rsidR="001E7AE5" w:rsidRPr="005F15D3">
        <w:rPr>
          <w:rFonts w:asciiTheme="majorBidi" w:hAnsiTheme="majorBidi" w:cstheme="majorBidi"/>
        </w:rPr>
        <w:t xml:space="preserve"> </w:t>
      </w:r>
      <w:r w:rsidRPr="005F15D3">
        <w:rPr>
          <w:rFonts w:asciiTheme="majorBidi" w:hAnsiTheme="majorBidi" w:cstheme="majorBidi"/>
        </w:rPr>
        <w:t>Sharm El Sheikh recorded the highest monthly average at about 32.7</w:t>
      </w:r>
      <w:r w:rsidR="001E7AE5" w:rsidRPr="005F15D3">
        <w:rPr>
          <w:rFonts w:asciiTheme="majorBidi" w:hAnsiTheme="majorBidi" w:cstheme="majorBidi"/>
        </w:rPr>
        <w:t>°</w:t>
      </w:r>
      <w:r w:rsidRPr="005F15D3">
        <w:rPr>
          <w:rFonts w:asciiTheme="majorBidi" w:hAnsiTheme="majorBidi" w:cstheme="majorBidi"/>
        </w:rPr>
        <w:t>C during August</w:t>
      </w:r>
      <w:r w:rsidR="001E7AE5" w:rsidRPr="005F15D3">
        <w:rPr>
          <w:rFonts w:asciiTheme="majorBidi" w:hAnsiTheme="majorBidi" w:cstheme="majorBidi"/>
        </w:rPr>
        <w:t xml:space="preserve">; </w:t>
      </w:r>
      <w:proofErr w:type="gramStart"/>
      <w:r w:rsidR="001E7AE5" w:rsidRPr="005F15D3">
        <w:rPr>
          <w:rFonts w:asciiTheme="majorBidi" w:hAnsiTheme="majorBidi" w:cstheme="majorBidi"/>
        </w:rPr>
        <w:t>however</w:t>
      </w:r>
      <w:proofErr w:type="gramEnd"/>
      <w:r w:rsidR="001E7AE5" w:rsidRPr="005F15D3">
        <w:rPr>
          <w:rFonts w:asciiTheme="majorBidi" w:hAnsiTheme="majorBidi" w:cstheme="majorBidi"/>
        </w:rPr>
        <w:t xml:space="preserve"> </w:t>
      </w:r>
      <w:r w:rsidRPr="005F15D3">
        <w:rPr>
          <w:rFonts w:asciiTheme="majorBidi" w:hAnsiTheme="majorBidi" w:cstheme="majorBidi"/>
        </w:rPr>
        <w:t>Taba recorded the lowest monthly average at about 9</w:t>
      </w:r>
      <w:r w:rsidR="001E7AE5" w:rsidRPr="005F15D3">
        <w:rPr>
          <w:rFonts w:asciiTheme="majorBidi" w:hAnsiTheme="majorBidi" w:cstheme="majorBidi"/>
        </w:rPr>
        <w:t>°</w:t>
      </w:r>
      <w:r w:rsidRPr="005F15D3">
        <w:rPr>
          <w:rFonts w:asciiTheme="majorBidi" w:hAnsiTheme="majorBidi" w:cstheme="majorBidi"/>
        </w:rPr>
        <w:t>C during January.</w:t>
      </w:r>
    </w:p>
    <w:p w14:paraId="4A2ED867" w14:textId="77777777" w:rsidR="004C3686" w:rsidRPr="005F15D3" w:rsidRDefault="00002ED5" w:rsidP="00002ED5">
      <w:pPr>
        <w:pStyle w:val="NormalWeb"/>
        <w:spacing w:before="0" w:beforeAutospacing="0" w:after="120" w:afterAutospacing="0" w:line="276" w:lineRule="auto"/>
        <w:jc w:val="both"/>
        <w:rPr>
          <w:rFonts w:asciiTheme="majorBidi" w:hAnsiTheme="majorBidi" w:cstheme="majorBidi"/>
        </w:rPr>
      </w:pPr>
      <w:r w:rsidRPr="005F15D3">
        <w:rPr>
          <w:rFonts w:asciiTheme="majorBidi" w:hAnsiTheme="majorBidi" w:cstheme="majorBidi"/>
          <w:noProof/>
        </w:rPr>
        <w:drawing>
          <wp:anchor distT="0" distB="0" distL="114300" distR="114300" simplePos="0" relativeHeight="251688960" behindDoc="1" locked="0" layoutInCell="1" allowOverlap="1" wp14:anchorId="7D9D07C9" wp14:editId="0C409B2A">
            <wp:simplePos x="0" y="0"/>
            <wp:positionH relativeFrom="margin">
              <wp:align>right</wp:align>
            </wp:positionH>
            <wp:positionV relativeFrom="paragraph">
              <wp:posOffset>92075</wp:posOffset>
            </wp:positionV>
            <wp:extent cx="4017645" cy="3816350"/>
            <wp:effectExtent l="0" t="0" r="1905" b="0"/>
            <wp:wrapTight wrapText="bothSides">
              <wp:wrapPolygon edited="0">
                <wp:start x="0" y="0"/>
                <wp:lineTo x="0" y="21456"/>
                <wp:lineTo x="21508" y="21456"/>
                <wp:lineTo x="2150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17645" cy="3816350"/>
                    </a:xfrm>
                    <a:prstGeom prst="rect">
                      <a:avLst/>
                    </a:prstGeom>
                    <a:noFill/>
                    <a:ln>
                      <a:noFill/>
                    </a:ln>
                  </pic:spPr>
                </pic:pic>
              </a:graphicData>
            </a:graphic>
            <wp14:sizeRelH relativeFrom="page">
              <wp14:pctWidth>0</wp14:pctWidth>
            </wp14:sizeRelH>
            <wp14:sizeRelV relativeFrom="page">
              <wp14:pctHeight>0</wp14:pctHeight>
            </wp14:sizeRelV>
          </wp:anchor>
        </w:drawing>
      </w:r>
      <w:r w:rsidR="004C3686" w:rsidRPr="005F15D3">
        <w:rPr>
          <w:rFonts w:asciiTheme="majorBidi" w:hAnsiTheme="majorBidi" w:cstheme="majorBidi"/>
        </w:rPr>
        <w:t xml:space="preserve">Based on the foregoing, and given that the appropriate temperature for human comfort, which allows for effortless activity, ranges between </w:t>
      </w:r>
      <w:r w:rsidR="004C3686" w:rsidRPr="005F15D3">
        <w:rPr>
          <w:rStyle w:val="math-inline"/>
          <w:rFonts w:asciiTheme="majorBidi" w:hAnsiTheme="majorBidi" w:cstheme="majorBidi"/>
        </w:rPr>
        <w:t>18</w:t>
      </w:r>
      <w:r w:rsidR="001570B3" w:rsidRPr="005F15D3">
        <w:rPr>
          <w:rStyle w:val="math-inline"/>
          <w:rFonts w:asciiTheme="majorBidi" w:hAnsiTheme="majorBidi" w:cstheme="majorBidi"/>
        </w:rPr>
        <w:t xml:space="preserve">°C </w:t>
      </w:r>
      <w:r w:rsidR="004C3686" w:rsidRPr="005F15D3">
        <w:rPr>
          <w:rFonts w:asciiTheme="majorBidi" w:hAnsiTheme="majorBidi" w:cstheme="majorBidi"/>
        </w:rPr>
        <w:t xml:space="preserve">and </w:t>
      </w:r>
      <w:r w:rsidR="004C3686" w:rsidRPr="005F15D3">
        <w:rPr>
          <w:rStyle w:val="math-inline"/>
          <w:rFonts w:asciiTheme="majorBidi" w:hAnsiTheme="majorBidi" w:cstheme="majorBidi"/>
        </w:rPr>
        <w:t>25</w:t>
      </w:r>
      <w:r w:rsidR="001570B3" w:rsidRPr="005F15D3">
        <w:rPr>
          <w:rStyle w:val="math-inline"/>
          <w:rFonts w:asciiTheme="majorBidi" w:hAnsiTheme="majorBidi" w:cstheme="majorBidi"/>
        </w:rPr>
        <w:t>°C</w:t>
      </w:r>
      <w:r w:rsidR="004C3686" w:rsidRPr="005F15D3">
        <w:rPr>
          <w:rFonts w:asciiTheme="majorBidi" w:hAnsiTheme="majorBidi" w:cstheme="majorBidi"/>
        </w:rPr>
        <w:t xml:space="preserve"> (Mousa, 1998, 124), the temperature in the South Sinai is considered a factor of tourist attraction.</w:t>
      </w:r>
      <w:r w:rsidR="001570B3" w:rsidRPr="005F15D3">
        <w:rPr>
          <w:rFonts w:asciiTheme="majorBidi" w:hAnsiTheme="majorBidi" w:cstheme="majorBidi"/>
        </w:rPr>
        <w:t xml:space="preserve"> </w:t>
      </w:r>
      <w:r w:rsidR="004C3686" w:rsidRPr="005F15D3">
        <w:rPr>
          <w:rFonts w:asciiTheme="majorBidi" w:hAnsiTheme="majorBidi" w:cstheme="majorBidi"/>
        </w:rPr>
        <w:t xml:space="preserve">All annual averages recorded at the </w:t>
      </w:r>
      <w:r w:rsidR="001570B3" w:rsidRPr="005F15D3">
        <w:rPr>
          <w:rFonts w:asciiTheme="majorBidi" w:hAnsiTheme="majorBidi" w:cstheme="majorBidi"/>
        </w:rPr>
        <w:t xml:space="preserve">governorate’s </w:t>
      </w:r>
      <w:r w:rsidR="004C3686" w:rsidRPr="005F15D3">
        <w:rPr>
          <w:rFonts w:asciiTheme="majorBidi" w:hAnsiTheme="majorBidi" w:cstheme="majorBidi"/>
        </w:rPr>
        <w:t>climatic stations fall within the thermal comfort zone. Consequently, the temperature is suitable for various tourism activities.</w:t>
      </w:r>
      <w:r w:rsidR="00464498" w:rsidRPr="005F15D3">
        <w:rPr>
          <w:rFonts w:asciiTheme="majorBidi" w:hAnsiTheme="majorBidi" w:cstheme="majorBidi"/>
        </w:rPr>
        <w:t xml:space="preserve"> </w:t>
      </w:r>
      <w:r w:rsidR="004C3686" w:rsidRPr="005F15D3">
        <w:rPr>
          <w:rFonts w:asciiTheme="majorBidi" w:hAnsiTheme="majorBidi" w:cstheme="majorBidi"/>
        </w:rPr>
        <w:t xml:space="preserve">For example, practicing </w:t>
      </w:r>
      <w:r w:rsidR="001570B3" w:rsidRPr="005F15D3">
        <w:rPr>
          <w:rFonts w:asciiTheme="majorBidi" w:hAnsiTheme="majorBidi" w:cstheme="majorBidi"/>
        </w:rPr>
        <w:t>coastal</w:t>
      </w:r>
      <w:r w:rsidR="004C3686" w:rsidRPr="005F15D3">
        <w:rPr>
          <w:rFonts w:asciiTheme="majorBidi" w:hAnsiTheme="majorBidi" w:cstheme="majorBidi"/>
        </w:rPr>
        <w:t xml:space="preserve"> tourism and related water sports is more acceptable and popular if the air temperature exceeds </w:t>
      </w:r>
      <w:r w:rsidR="004C3686" w:rsidRPr="005F15D3">
        <w:rPr>
          <w:rStyle w:val="math-inline"/>
          <w:rFonts w:asciiTheme="majorBidi" w:hAnsiTheme="majorBidi" w:cstheme="majorBidi"/>
        </w:rPr>
        <w:t>21</w:t>
      </w:r>
      <w:r w:rsidR="001570B3" w:rsidRPr="005F15D3">
        <w:rPr>
          <w:rStyle w:val="math-inline"/>
          <w:rFonts w:asciiTheme="majorBidi" w:hAnsiTheme="majorBidi" w:cstheme="majorBidi"/>
        </w:rPr>
        <w:t>°</w:t>
      </w:r>
      <w:r w:rsidR="004C3686" w:rsidRPr="005F15D3">
        <w:rPr>
          <w:rStyle w:val="math-inline"/>
          <w:rFonts w:asciiTheme="majorBidi" w:hAnsiTheme="majorBidi" w:cstheme="majorBidi"/>
        </w:rPr>
        <w:t>C</w:t>
      </w:r>
      <w:r w:rsidR="004C3686" w:rsidRPr="005F15D3">
        <w:rPr>
          <w:rFonts w:asciiTheme="majorBidi" w:hAnsiTheme="majorBidi" w:cstheme="majorBidi"/>
        </w:rPr>
        <w:t xml:space="preserve"> (El Deeb, 1985, 56). This aligns with the study by the </w:t>
      </w:r>
      <w:r w:rsidR="006A1D58" w:rsidRPr="005F15D3">
        <w:rPr>
          <w:rFonts w:asciiTheme="majorBidi" w:hAnsiTheme="majorBidi" w:cstheme="majorBidi"/>
        </w:rPr>
        <w:t>IISD</w:t>
      </w:r>
      <w:r w:rsidR="004C3686" w:rsidRPr="005F15D3">
        <w:rPr>
          <w:rFonts w:asciiTheme="majorBidi" w:hAnsiTheme="majorBidi" w:cstheme="majorBidi"/>
        </w:rPr>
        <w:t xml:space="preserve"> in Canada (1997, 6), which indicated that the suitable air temperature for practicing water-based sports tourism ranges between </w:t>
      </w:r>
      <w:r w:rsidR="004C3686" w:rsidRPr="005F15D3">
        <w:rPr>
          <w:rStyle w:val="math-inline"/>
          <w:rFonts w:asciiTheme="majorBidi" w:hAnsiTheme="majorBidi" w:cstheme="majorBidi"/>
        </w:rPr>
        <w:t>15</w:t>
      </w:r>
      <w:r w:rsidR="001570B3" w:rsidRPr="005F15D3">
        <w:rPr>
          <w:rStyle w:val="math-inline"/>
          <w:rFonts w:asciiTheme="majorBidi" w:hAnsiTheme="majorBidi" w:cstheme="majorBidi"/>
        </w:rPr>
        <w:t>°C</w:t>
      </w:r>
      <w:r w:rsidR="001570B3" w:rsidRPr="005F15D3">
        <w:rPr>
          <w:rFonts w:asciiTheme="majorBidi" w:hAnsiTheme="majorBidi" w:cstheme="majorBidi"/>
        </w:rPr>
        <w:t xml:space="preserve"> </w:t>
      </w:r>
      <w:r w:rsidR="004C3686" w:rsidRPr="005F15D3">
        <w:rPr>
          <w:rFonts w:asciiTheme="majorBidi" w:hAnsiTheme="majorBidi" w:cstheme="majorBidi"/>
        </w:rPr>
        <w:t xml:space="preserve">and </w:t>
      </w:r>
      <w:r w:rsidR="004C3686" w:rsidRPr="005F15D3">
        <w:rPr>
          <w:rStyle w:val="math-inline"/>
          <w:rFonts w:asciiTheme="majorBidi" w:hAnsiTheme="majorBidi" w:cstheme="majorBidi"/>
        </w:rPr>
        <w:t>35</w:t>
      </w:r>
      <w:r w:rsidR="001570B3" w:rsidRPr="005F15D3">
        <w:rPr>
          <w:rStyle w:val="math-inline"/>
          <w:rFonts w:asciiTheme="majorBidi" w:hAnsiTheme="majorBidi" w:cstheme="majorBidi"/>
        </w:rPr>
        <w:t>°C</w:t>
      </w:r>
      <w:r w:rsidR="004C3686" w:rsidRPr="005F15D3">
        <w:rPr>
          <w:rFonts w:asciiTheme="majorBidi" w:hAnsiTheme="majorBidi" w:cstheme="majorBidi"/>
        </w:rPr>
        <w:t>.</w:t>
      </w:r>
      <w:r w:rsidR="00464498" w:rsidRPr="005F15D3">
        <w:rPr>
          <w:rFonts w:asciiTheme="majorBidi" w:hAnsiTheme="majorBidi" w:cstheme="majorBidi"/>
        </w:rPr>
        <w:t xml:space="preserve"> </w:t>
      </w:r>
      <w:r w:rsidR="004C3686" w:rsidRPr="005F15D3">
        <w:rPr>
          <w:rFonts w:asciiTheme="majorBidi" w:hAnsiTheme="majorBidi" w:cstheme="majorBidi"/>
        </w:rPr>
        <w:t xml:space="preserve">Therefore, the coastal cities in South Sinai are highly suitable for tourism activity. For instance, Sharm El Sheikh enjoys warm temperatures throughout the year; its highest temperature reaches </w:t>
      </w:r>
      <w:r w:rsidR="004C3686" w:rsidRPr="005F15D3">
        <w:rPr>
          <w:rStyle w:val="math-inline"/>
          <w:rFonts w:asciiTheme="majorBidi" w:hAnsiTheme="majorBidi" w:cstheme="majorBidi"/>
        </w:rPr>
        <w:t>32.7</w:t>
      </w:r>
      <w:r w:rsidR="001570B3" w:rsidRPr="005F15D3">
        <w:rPr>
          <w:rStyle w:val="math-inline"/>
          <w:rFonts w:asciiTheme="majorBidi" w:hAnsiTheme="majorBidi" w:cstheme="majorBidi"/>
        </w:rPr>
        <w:t>°C</w:t>
      </w:r>
      <w:r w:rsidR="001570B3" w:rsidRPr="005F15D3">
        <w:rPr>
          <w:rFonts w:asciiTheme="majorBidi" w:hAnsiTheme="majorBidi" w:cstheme="majorBidi"/>
        </w:rPr>
        <w:t xml:space="preserve"> </w:t>
      </w:r>
      <w:r w:rsidR="004C3686" w:rsidRPr="005F15D3">
        <w:rPr>
          <w:rFonts w:asciiTheme="majorBidi" w:hAnsiTheme="majorBidi" w:cstheme="majorBidi"/>
        </w:rPr>
        <w:t xml:space="preserve">and its lowest temperature reaches </w:t>
      </w:r>
      <w:r w:rsidR="004C3686" w:rsidRPr="005F15D3">
        <w:rPr>
          <w:rStyle w:val="math-inline"/>
          <w:rFonts w:asciiTheme="majorBidi" w:hAnsiTheme="majorBidi" w:cstheme="majorBidi"/>
        </w:rPr>
        <w:t>17.8</w:t>
      </w:r>
      <w:r w:rsidR="001570B3" w:rsidRPr="005F15D3">
        <w:rPr>
          <w:rStyle w:val="math-inline"/>
          <w:rFonts w:asciiTheme="majorBidi" w:hAnsiTheme="majorBidi" w:cstheme="majorBidi"/>
        </w:rPr>
        <w:t>°C</w:t>
      </w:r>
      <w:r w:rsidR="004C3686" w:rsidRPr="005F15D3">
        <w:rPr>
          <w:rFonts w:asciiTheme="majorBidi" w:hAnsiTheme="majorBidi" w:cstheme="majorBidi"/>
        </w:rPr>
        <w:t xml:space="preserve">. This has made it a </w:t>
      </w:r>
      <w:r w:rsidR="004C3686" w:rsidRPr="005F15D3">
        <w:rPr>
          <w:rFonts w:asciiTheme="majorBidi" w:hAnsiTheme="majorBidi" w:cstheme="majorBidi"/>
        </w:rPr>
        <w:lastRenderedPageBreak/>
        <w:t>destination for international tourism, particularly European tourists, who seek to enjoy its warm climate and practice water sports.</w:t>
      </w:r>
      <w:r w:rsidR="003527D5" w:rsidRPr="005F15D3">
        <w:rPr>
          <w:rFonts w:asciiTheme="majorBidi" w:hAnsiTheme="majorBidi" w:cstheme="majorBidi"/>
          <w:noProof/>
        </w:rPr>
        <w:t xml:space="preserve"> </w:t>
      </w:r>
    </w:p>
    <w:p w14:paraId="0230B69F" w14:textId="77777777" w:rsidR="00BB04AD" w:rsidRPr="005F15D3" w:rsidRDefault="00BB04AD" w:rsidP="003527D5">
      <w:pPr>
        <w:pStyle w:val="Heading3"/>
        <w:spacing w:before="160" w:after="80" w:line="276" w:lineRule="auto"/>
        <w:jc w:val="both"/>
        <w:rPr>
          <w:rFonts w:asciiTheme="majorBidi" w:eastAsia="Times New Roman" w:hAnsiTheme="majorBidi"/>
          <w:b/>
          <w:bCs/>
          <w:color w:val="auto"/>
        </w:rPr>
      </w:pPr>
      <w:r w:rsidRPr="005F15D3">
        <w:rPr>
          <w:rFonts w:asciiTheme="majorBidi" w:eastAsia="Times New Roman" w:hAnsiTheme="majorBidi"/>
          <w:b/>
          <w:bCs/>
          <w:color w:val="auto"/>
        </w:rPr>
        <w:t>1-4- Relative humidity</w:t>
      </w:r>
    </w:p>
    <w:p w14:paraId="21DAA504" w14:textId="77777777" w:rsidR="00BB04AD" w:rsidRPr="005F15D3" w:rsidRDefault="00BB04AD" w:rsidP="00002ED5">
      <w:pPr>
        <w:spacing w:after="120" w:line="276" w:lineRule="auto"/>
        <w:jc w:val="both"/>
        <w:rPr>
          <w:rFonts w:asciiTheme="majorBidi" w:hAnsiTheme="majorBidi" w:cstheme="majorBidi"/>
          <w:sz w:val="24"/>
          <w:szCs w:val="24"/>
          <w:lang w:bidi="ar-EG"/>
        </w:rPr>
      </w:pPr>
      <w:r w:rsidRPr="005F15D3">
        <w:rPr>
          <w:rFonts w:asciiTheme="majorBidi" w:hAnsiTheme="majorBidi" w:cstheme="majorBidi"/>
          <w:sz w:val="24"/>
          <w:szCs w:val="24"/>
          <w:lang w:bidi="ar-EG"/>
        </w:rPr>
        <w:t>Relative humidity refers to the amount of water vapor in the atmosphere at a given temperature usually expressed as a percentage of the amount of moisture that can exist in the same volume of air if it is saturated at the same temperature. Warm air can contain more water vapor than cold air, so the same amount of absolute humidity or specific humidity in a parcel of air will have a higher relative humidity if the air is cooler and a lower relative humidity if the air is warmer (</w:t>
      </w:r>
      <w:proofErr w:type="gramStart"/>
      <w:r w:rsidRPr="005F15D3">
        <w:rPr>
          <w:rFonts w:asciiTheme="majorBidi" w:hAnsiTheme="majorBidi" w:cstheme="majorBidi"/>
          <w:sz w:val="24"/>
          <w:szCs w:val="24"/>
          <w:lang w:bidi="ar-EG"/>
        </w:rPr>
        <w:t>Smith ,</w:t>
      </w:r>
      <w:proofErr w:type="gramEnd"/>
      <w:r w:rsidRPr="005F15D3">
        <w:rPr>
          <w:rFonts w:asciiTheme="majorBidi" w:hAnsiTheme="majorBidi" w:cstheme="majorBidi"/>
          <w:sz w:val="24"/>
          <w:szCs w:val="24"/>
          <w:lang w:bidi="ar-EG"/>
        </w:rPr>
        <w:t xml:space="preserve"> 2006, 187).</w:t>
      </w:r>
    </w:p>
    <w:p w14:paraId="5BF94739" w14:textId="77777777" w:rsidR="00C55520" w:rsidRPr="005F15D3" w:rsidRDefault="00C55520" w:rsidP="00002ED5">
      <w:pPr>
        <w:spacing w:after="120" w:line="276" w:lineRule="auto"/>
        <w:jc w:val="both"/>
        <w:rPr>
          <w:rFonts w:asciiTheme="majorBidi" w:hAnsiTheme="majorBidi" w:cstheme="majorBidi"/>
          <w:sz w:val="24"/>
          <w:szCs w:val="24"/>
          <w:lang w:bidi="ar-EG"/>
        </w:rPr>
      </w:pPr>
      <w:r w:rsidRPr="005F15D3">
        <w:rPr>
          <w:rFonts w:asciiTheme="majorBidi" w:hAnsiTheme="majorBidi" w:cstheme="majorBidi"/>
          <w:sz w:val="24"/>
          <w:szCs w:val="24"/>
          <w:lang w:bidi="ar-EG"/>
        </w:rPr>
        <w:t xml:space="preserve">Relative humidity (RH) in the South Sinai Governorate exhibits significant variability, both spatially—from one area to another—and temporally—seasonally throughout the year, and even diurnally over the course of a single day. This fluctuation is attributable to the combined influence of two primary atmospheric factors: temperature and wind, as well as the regional effect of the water bodies that surround the governorate from the east, west, and south. To establish the specific characteristics and features of the relative humidity regime within the South Sinai Governorate, the following observations are derived from the data presented in (Table 3 and Figure </w:t>
      </w:r>
      <w:r w:rsidR="00604FC4" w:rsidRPr="005F15D3">
        <w:rPr>
          <w:rFonts w:asciiTheme="majorBidi" w:hAnsiTheme="majorBidi" w:cstheme="majorBidi"/>
          <w:sz w:val="24"/>
          <w:szCs w:val="24"/>
          <w:lang w:bidi="ar-EG"/>
        </w:rPr>
        <w:t>4</w:t>
      </w:r>
      <w:r w:rsidRPr="005F15D3">
        <w:rPr>
          <w:rFonts w:asciiTheme="majorBidi" w:hAnsiTheme="majorBidi" w:cstheme="majorBidi"/>
          <w:sz w:val="24"/>
          <w:szCs w:val="24"/>
          <w:lang w:bidi="ar-EG"/>
        </w:rPr>
        <w:t>):</w:t>
      </w:r>
    </w:p>
    <w:p w14:paraId="052E2C1A" w14:textId="77777777" w:rsidR="00A56036" w:rsidRPr="00187853" w:rsidRDefault="00A56036" w:rsidP="00377F44">
      <w:pPr>
        <w:spacing w:before="120" w:after="0" w:line="240" w:lineRule="auto"/>
        <w:jc w:val="center"/>
        <w:outlineLvl w:val="1"/>
        <w:rPr>
          <w:rFonts w:asciiTheme="majorBidi" w:eastAsia="Times New Roman" w:hAnsiTheme="majorBidi" w:cstheme="majorBidi"/>
          <w:b/>
          <w:bCs/>
          <w:sz w:val="20"/>
          <w:szCs w:val="20"/>
        </w:rPr>
      </w:pPr>
      <w:r w:rsidRPr="00187853">
        <w:rPr>
          <w:rFonts w:asciiTheme="majorBidi" w:eastAsia="Times New Roman" w:hAnsiTheme="majorBidi" w:cstheme="majorBidi"/>
          <w:b/>
          <w:bCs/>
          <w:sz w:val="20"/>
          <w:szCs w:val="20"/>
        </w:rPr>
        <w:t>Table 3: Average relative humidity in South Sinai Governorate (%)</w:t>
      </w:r>
    </w:p>
    <w:tbl>
      <w:tblPr>
        <w:tblStyle w:val="TableGrid"/>
        <w:tblW w:w="0" w:type="auto"/>
        <w:jc w:val="center"/>
        <w:tblLayout w:type="fixed"/>
        <w:tblLook w:val="04A0" w:firstRow="1" w:lastRow="0" w:firstColumn="1" w:lastColumn="0" w:noHBand="0" w:noVBand="1"/>
      </w:tblPr>
      <w:tblGrid>
        <w:gridCol w:w="805"/>
        <w:gridCol w:w="1797"/>
        <w:gridCol w:w="685"/>
        <w:gridCol w:w="1205"/>
        <w:gridCol w:w="1083"/>
        <w:gridCol w:w="1261"/>
        <w:gridCol w:w="787"/>
        <w:gridCol w:w="1664"/>
        <w:gridCol w:w="927"/>
      </w:tblGrid>
      <w:tr w:rsidR="00A56036" w:rsidRPr="00187853" w14:paraId="1AE9012E" w14:textId="77777777" w:rsidTr="00002ED5">
        <w:trPr>
          <w:jc w:val="center"/>
        </w:trPr>
        <w:tc>
          <w:tcPr>
            <w:tcW w:w="805" w:type="dxa"/>
            <w:vAlign w:val="center"/>
            <w:hideMark/>
          </w:tcPr>
          <w:p w14:paraId="575EA57B" w14:textId="77777777" w:rsidR="00A56036" w:rsidRPr="00187853" w:rsidRDefault="00A56036" w:rsidP="00C91E96">
            <w:pP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Season</w:t>
            </w:r>
          </w:p>
        </w:tc>
        <w:tc>
          <w:tcPr>
            <w:tcW w:w="1797" w:type="dxa"/>
            <w:tcBorders>
              <w:tl2br w:val="single" w:sz="4" w:space="0" w:color="auto"/>
            </w:tcBorders>
            <w:vAlign w:val="center"/>
            <w:hideMark/>
          </w:tcPr>
          <w:p w14:paraId="64FF36D3" w14:textId="77777777" w:rsidR="00A56036" w:rsidRPr="00187853" w:rsidRDefault="00A56036" w:rsidP="00C91E96">
            <w:pP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 xml:space="preserve">         </w:t>
            </w:r>
            <w:proofErr w:type="gramStart"/>
            <w:r w:rsidRPr="00187853">
              <w:rPr>
                <w:rFonts w:asciiTheme="majorBidi" w:eastAsia="Times New Roman" w:hAnsiTheme="majorBidi" w:cstheme="majorBidi"/>
                <w:b/>
                <w:bCs/>
                <w:sz w:val="20"/>
                <w:szCs w:val="20"/>
              </w:rPr>
              <w:t>Station  Month</w:t>
            </w:r>
            <w:proofErr w:type="gramEnd"/>
          </w:p>
        </w:tc>
        <w:tc>
          <w:tcPr>
            <w:tcW w:w="685" w:type="dxa"/>
            <w:vAlign w:val="center"/>
            <w:hideMark/>
          </w:tcPr>
          <w:p w14:paraId="2DE72002"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Taba</w:t>
            </w:r>
          </w:p>
        </w:tc>
        <w:tc>
          <w:tcPr>
            <w:tcW w:w="1205" w:type="dxa"/>
            <w:vAlign w:val="center"/>
            <w:hideMark/>
          </w:tcPr>
          <w:p w14:paraId="16C3C106"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 xml:space="preserve">Ras </w:t>
            </w:r>
            <w:proofErr w:type="spellStart"/>
            <w:r w:rsidRPr="00187853">
              <w:rPr>
                <w:rFonts w:asciiTheme="majorBidi" w:eastAsia="Times New Roman" w:hAnsiTheme="majorBidi" w:cstheme="majorBidi"/>
                <w:b/>
                <w:bCs/>
                <w:sz w:val="20"/>
                <w:szCs w:val="20"/>
              </w:rPr>
              <w:t>Sudr</w:t>
            </w:r>
            <w:proofErr w:type="spellEnd"/>
          </w:p>
        </w:tc>
        <w:tc>
          <w:tcPr>
            <w:tcW w:w="1083" w:type="dxa"/>
            <w:vAlign w:val="center"/>
            <w:hideMark/>
          </w:tcPr>
          <w:p w14:paraId="6ED0C3EA"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Abu Rudeis</w:t>
            </w:r>
          </w:p>
        </w:tc>
        <w:tc>
          <w:tcPr>
            <w:tcW w:w="1261" w:type="dxa"/>
            <w:vAlign w:val="center"/>
            <w:hideMark/>
          </w:tcPr>
          <w:p w14:paraId="59F8E5D0"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St. Catherine</w:t>
            </w:r>
          </w:p>
        </w:tc>
        <w:tc>
          <w:tcPr>
            <w:tcW w:w="787" w:type="dxa"/>
            <w:vAlign w:val="center"/>
            <w:hideMark/>
          </w:tcPr>
          <w:p w14:paraId="3C953581"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El-Tor</w:t>
            </w:r>
          </w:p>
        </w:tc>
        <w:tc>
          <w:tcPr>
            <w:tcW w:w="1664" w:type="dxa"/>
            <w:vAlign w:val="center"/>
            <w:hideMark/>
          </w:tcPr>
          <w:p w14:paraId="433260A4"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Sharm El-Sheikh</w:t>
            </w:r>
          </w:p>
        </w:tc>
        <w:tc>
          <w:tcPr>
            <w:tcW w:w="927" w:type="dxa"/>
            <w:vAlign w:val="center"/>
            <w:hideMark/>
          </w:tcPr>
          <w:p w14:paraId="7EB2580E"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Average</w:t>
            </w:r>
          </w:p>
        </w:tc>
      </w:tr>
      <w:tr w:rsidR="00A56036" w:rsidRPr="00187853" w14:paraId="7599F974" w14:textId="77777777" w:rsidTr="00002ED5">
        <w:trPr>
          <w:jc w:val="center"/>
        </w:trPr>
        <w:tc>
          <w:tcPr>
            <w:tcW w:w="805" w:type="dxa"/>
            <w:vMerge w:val="restart"/>
            <w:vAlign w:val="center"/>
            <w:hideMark/>
          </w:tcPr>
          <w:p w14:paraId="77DF115B" w14:textId="77777777" w:rsidR="00A56036" w:rsidRPr="00187853" w:rsidRDefault="00A56036" w:rsidP="00C91E96">
            <w:pP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Spring</w:t>
            </w:r>
          </w:p>
        </w:tc>
        <w:tc>
          <w:tcPr>
            <w:tcW w:w="1797" w:type="dxa"/>
            <w:vAlign w:val="center"/>
            <w:hideMark/>
          </w:tcPr>
          <w:p w14:paraId="43A9D37C" w14:textId="77777777" w:rsidR="00A56036" w:rsidRPr="00187853" w:rsidRDefault="00A56036" w:rsidP="00C91E96">
            <w:pP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March</w:t>
            </w:r>
          </w:p>
        </w:tc>
        <w:tc>
          <w:tcPr>
            <w:tcW w:w="685" w:type="dxa"/>
            <w:vAlign w:val="center"/>
            <w:hideMark/>
          </w:tcPr>
          <w:p w14:paraId="65230699"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46</w:t>
            </w:r>
          </w:p>
        </w:tc>
        <w:tc>
          <w:tcPr>
            <w:tcW w:w="1205" w:type="dxa"/>
            <w:vAlign w:val="center"/>
            <w:hideMark/>
          </w:tcPr>
          <w:p w14:paraId="0BC11186"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56</w:t>
            </w:r>
          </w:p>
        </w:tc>
        <w:tc>
          <w:tcPr>
            <w:tcW w:w="1083" w:type="dxa"/>
            <w:vAlign w:val="center"/>
            <w:hideMark/>
          </w:tcPr>
          <w:p w14:paraId="08C9F16A"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52</w:t>
            </w:r>
          </w:p>
        </w:tc>
        <w:tc>
          <w:tcPr>
            <w:tcW w:w="1261" w:type="dxa"/>
            <w:vAlign w:val="center"/>
            <w:hideMark/>
          </w:tcPr>
          <w:p w14:paraId="463F17AB"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36</w:t>
            </w:r>
          </w:p>
        </w:tc>
        <w:tc>
          <w:tcPr>
            <w:tcW w:w="787" w:type="dxa"/>
            <w:vAlign w:val="center"/>
            <w:hideMark/>
          </w:tcPr>
          <w:p w14:paraId="7D7BE2BE"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53</w:t>
            </w:r>
          </w:p>
        </w:tc>
        <w:tc>
          <w:tcPr>
            <w:tcW w:w="1664" w:type="dxa"/>
            <w:vAlign w:val="center"/>
            <w:hideMark/>
          </w:tcPr>
          <w:p w14:paraId="14B69B3F"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45</w:t>
            </w:r>
          </w:p>
        </w:tc>
        <w:tc>
          <w:tcPr>
            <w:tcW w:w="927" w:type="dxa"/>
            <w:vAlign w:val="center"/>
            <w:hideMark/>
          </w:tcPr>
          <w:p w14:paraId="3C6E7C0E"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48.0</w:t>
            </w:r>
          </w:p>
        </w:tc>
      </w:tr>
      <w:tr w:rsidR="00A56036" w:rsidRPr="00187853" w14:paraId="7BAACDB0" w14:textId="77777777" w:rsidTr="00002ED5">
        <w:trPr>
          <w:jc w:val="center"/>
        </w:trPr>
        <w:tc>
          <w:tcPr>
            <w:tcW w:w="805" w:type="dxa"/>
            <w:vMerge/>
            <w:vAlign w:val="center"/>
            <w:hideMark/>
          </w:tcPr>
          <w:p w14:paraId="2F03C536" w14:textId="77777777" w:rsidR="00A56036" w:rsidRPr="00187853" w:rsidRDefault="00A56036" w:rsidP="00C91E96">
            <w:pPr>
              <w:rPr>
                <w:rFonts w:asciiTheme="majorBidi" w:eastAsia="Times New Roman" w:hAnsiTheme="majorBidi" w:cstheme="majorBidi"/>
                <w:sz w:val="20"/>
                <w:szCs w:val="20"/>
              </w:rPr>
            </w:pPr>
          </w:p>
        </w:tc>
        <w:tc>
          <w:tcPr>
            <w:tcW w:w="1797" w:type="dxa"/>
            <w:vAlign w:val="center"/>
            <w:hideMark/>
          </w:tcPr>
          <w:p w14:paraId="3EB17C03" w14:textId="77777777" w:rsidR="00A56036" w:rsidRPr="00187853" w:rsidRDefault="00A56036" w:rsidP="00C91E96">
            <w:pP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April</w:t>
            </w:r>
          </w:p>
        </w:tc>
        <w:tc>
          <w:tcPr>
            <w:tcW w:w="685" w:type="dxa"/>
            <w:vAlign w:val="center"/>
            <w:hideMark/>
          </w:tcPr>
          <w:p w14:paraId="39EF5F4C"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37</w:t>
            </w:r>
          </w:p>
        </w:tc>
        <w:tc>
          <w:tcPr>
            <w:tcW w:w="1205" w:type="dxa"/>
            <w:vAlign w:val="center"/>
            <w:hideMark/>
          </w:tcPr>
          <w:p w14:paraId="2F27C924"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49</w:t>
            </w:r>
          </w:p>
        </w:tc>
        <w:tc>
          <w:tcPr>
            <w:tcW w:w="1083" w:type="dxa"/>
            <w:vAlign w:val="center"/>
            <w:hideMark/>
          </w:tcPr>
          <w:p w14:paraId="245C3E73"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51</w:t>
            </w:r>
          </w:p>
        </w:tc>
        <w:tc>
          <w:tcPr>
            <w:tcW w:w="1261" w:type="dxa"/>
            <w:vAlign w:val="center"/>
            <w:hideMark/>
          </w:tcPr>
          <w:p w14:paraId="01D4897D"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28</w:t>
            </w:r>
          </w:p>
        </w:tc>
        <w:tc>
          <w:tcPr>
            <w:tcW w:w="787" w:type="dxa"/>
            <w:vAlign w:val="center"/>
            <w:hideMark/>
          </w:tcPr>
          <w:p w14:paraId="51AB2D5E"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57</w:t>
            </w:r>
          </w:p>
        </w:tc>
        <w:tc>
          <w:tcPr>
            <w:tcW w:w="1664" w:type="dxa"/>
            <w:vAlign w:val="center"/>
            <w:hideMark/>
          </w:tcPr>
          <w:p w14:paraId="2EF84864"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39</w:t>
            </w:r>
          </w:p>
        </w:tc>
        <w:tc>
          <w:tcPr>
            <w:tcW w:w="927" w:type="dxa"/>
            <w:vAlign w:val="center"/>
            <w:hideMark/>
          </w:tcPr>
          <w:p w14:paraId="05FDFBA0"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43.5</w:t>
            </w:r>
          </w:p>
        </w:tc>
      </w:tr>
      <w:tr w:rsidR="00A56036" w:rsidRPr="00187853" w14:paraId="796BD89F" w14:textId="77777777" w:rsidTr="00002ED5">
        <w:trPr>
          <w:jc w:val="center"/>
        </w:trPr>
        <w:tc>
          <w:tcPr>
            <w:tcW w:w="805" w:type="dxa"/>
            <w:vMerge/>
            <w:vAlign w:val="center"/>
            <w:hideMark/>
          </w:tcPr>
          <w:p w14:paraId="62A1CB5A" w14:textId="77777777" w:rsidR="00A56036" w:rsidRPr="00187853" w:rsidRDefault="00A56036" w:rsidP="00C91E96">
            <w:pPr>
              <w:rPr>
                <w:rFonts w:asciiTheme="majorBidi" w:eastAsia="Times New Roman" w:hAnsiTheme="majorBidi" w:cstheme="majorBidi"/>
                <w:sz w:val="20"/>
                <w:szCs w:val="20"/>
              </w:rPr>
            </w:pPr>
          </w:p>
        </w:tc>
        <w:tc>
          <w:tcPr>
            <w:tcW w:w="1797" w:type="dxa"/>
            <w:vAlign w:val="center"/>
            <w:hideMark/>
          </w:tcPr>
          <w:p w14:paraId="7403239E" w14:textId="77777777" w:rsidR="00A56036" w:rsidRPr="00187853" w:rsidRDefault="00A56036" w:rsidP="00C91E96">
            <w:pP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May</w:t>
            </w:r>
          </w:p>
        </w:tc>
        <w:tc>
          <w:tcPr>
            <w:tcW w:w="685" w:type="dxa"/>
            <w:vAlign w:val="center"/>
            <w:hideMark/>
          </w:tcPr>
          <w:p w14:paraId="377A6221"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33</w:t>
            </w:r>
          </w:p>
        </w:tc>
        <w:tc>
          <w:tcPr>
            <w:tcW w:w="1205" w:type="dxa"/>
            <w:vAlign w:val="center"/>
            <w:hideMark/>
          </w:tcPr>
          <w:p w14:paraId="6D135E08"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49</w:t>
            </w:r>
          </w:p>
        </w:tc>
        <w:tc>
          <w:tcPr>
            <w:tcW w:w="1083" w:type="dxa"/>
            <w:vAlign w:val="center"/>
            <w:hideMark/>
          </w:tcPr>
          <w:p w14:paraId="1B0B5524"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53</w:t>
            </w:r>
          </w:p>
        </w:tc>
        <w:tc>
          <w:tcPr>
            <w:tcW w:w="1261" w:type="dxa"/>
            <w:vAlign w:val="center"/>
            <w:hideMark/>
          </w:tcPr>
          <w:p w14:paraId="1CCDFFDA"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31</w:t>
            </w:r>
          </w:p>
        </w:tc>
        <w:tc>
          <w:tcPr>
            <w:tcW w:w="787" w:type="dxa"/>
            <w:vAlign w:val="center"/>
            <w:hideMark/>
          </w:tcPr>
          <w:p w14:paraId="25DD0365"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58</w:t>
            </w:r>
          </w:p>
        </w:tc>
        <w:tc>
          <w:tcPr>
            <w:tcW w:w="1664" w:type="dxa"/>
            <w:vAlign w:val="center"/>
            <w:hideMark/>
          </w:tcPr>
          <w:p w14:paraId="2AD8122F"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37</w:t>
            </w:r>
          </w:p>
        </w:tc>
        <w:tc>
          <w:tcPr>
            <w:tcW w:w="927" w:type="dxa"/>
            <w:vAlign w:val="center"/>
            <w:hideMark/>
          </w:tcPr>
          <w:p w14:paraId="3E3E5C68"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43.5</w:t>
            </w:r>
          </w:p>
        </w:tc>
      </w:tr>
      <w:tr w:rsidR="00A56036" w:rsidRPr="00187853" w14:paraId="73DA724E" w14:textId="77777777" w:rsidTr="00002ED5">
        <w:trPr>
          <w:jc w:val="center"/>
        </w:trPr>
        <w:tc>
          <w:tcPr>
            <w:tcW w:w="805" w:type="dxa"/>
            <w:vMerge/>
            <w:vAlign w:val="center"/>
            <w:hideMark/>
          </w:tcPr>
          <w:p w14:paraId="3962399B" w14:textId="77777777" w:rsidR="00A56036" w:rsidRPr="00187853" w:rsidRDefault="00A56036" w:rsidP="00C91E96">
            <w:pPr>
              <w:rPr>
                <w:rFonts w:asciiTheme="majorBidi" w:eastAsia="Times New Roman" w:hAnsiTheme="majorBidi" w:cstheme="majorBidi"/>
                <w:sz w:val="20"/>
                <w:szCs w:val="20"/>
              </w:rPr>
            </w:pPr>
          </w:p>
        </w:tc>
        <w:tc>
          <w:tcPr>
            <w:tcW w:w="1797" w:type="dxa"/>
            <w:vAlign w:val="center"/>
            <w:hideMark/>
          </w:tcPr>
          <w:p w14:paraId="0848D43E" w14:textId="77777777" w:rsidR="00A56036" w:rsidRPr="00187853" w:rsidRDefault="00A56036" w:rsidP="00C91E96">
            <w:pP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Seasonal Average</w:t>
            </w:r>
          </w:p>
        </w:tc>
        <w:tc>
          <w:tcPr>
            <w:tcW w:w="685" w:type="dxa"/>
            <w:vAlign w:val="center"/>
            <w:hideMark/>
          </w:tcPr>
          <w:p w14:paraId="6D02F555"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38.6</w:t>
            </w:r>
          </w:p>
        </w:tc>
        <w:tc>
          <w:tcPr>
            <w:tcW w:w="1205" w:type="dxa"/>
            <w:vAlign w:val="center"/>
            <w:hideMark/>
          </w:tcPr>
          <w:p w14:paraId="258AC188"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51.3</w:t>
            </w:r>
          </w:p>
        </w:tc>
        <w:tc>
          <w:tcPr>
            <w:tcW w:w="1083" w:type="dxa"/>
            <w:vAlign w:val="center"/>
            <w:hideMark/>
          </w:tcPr>
          <w:p w14:paraId="572F376D"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52.0</w:t>
            </w:r>
          </w:p>
        </w:tc>
        <w:tc>
          <w:tcPr>
            <w:tcW w:w="1261" w:type="dxa"/>
            <w:vAlign w:val="center"/>
            <w:hideMark/>
          </w:tcPr>
          <w:p w14:paraId="496E3334"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31.7</w:t>
            </w:r>
          </w:p>
        </w:tc>
        <w:tc>
          <w:tcPr>
            <w:tcW w:w="787" w:type="dxa"/>
            <w:vAlign w:val="center"/>
            <w:hideMark/>
          </w:tcPr>
          <w:p w14:paraId="23AF2D3B"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56.0</w:t>
            </w:r>
          </w:p>
        </w:tc>
        <w:tc>
          <w:tcPr>
            <w:tcW w:w="1664" w:type="dxa"/>
            <w:vAlign w:val="center"/>
            <w:hideMark/>
          </w:tcPr>
          <w:p w14:paraId="1266F406"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40.3</w:t>
            </w:r>
          </w:p>
        </w:tc>
        <w:tc>
          <w:tcPr>
            <w:tcW w:w="927" w:type="dxa"/>
            <w:vAlign w:val="center"/>
            <w:hideMark/>
          </w:tcPr>
          <w:p w14:paraId="12AC3784"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45.0</w:t>
            </w:r>
          </w:p>
        </w:tc>
      </w:tr>
      <w:tr w:rsidR="00A56036" w:rsidRPr="00187853" w14:paraId="62995E9D" w14:textId="77777777" w:rsidTr="00002ED5">
        <w:trPr>
          <w:jc w:val="center"/>
        </w:trPr>
        <w:tc>
          <w:tcPr>
            <w:tcW w:w="805" w:type="dxa"/>
            <w:vMerge w:val="restart"/>
            <w:vAlign w:val="center"/>
            <w:hideMark/>
          </w:tcPr>
          <w:p w14:paraId="1E6012C0" w14:textId="77777777" w:rsidR="00A56036" w:rsidRPr="00187853" w:rsidRDefault="00A56036" w:rsidP="00C91E96">
            <w:pP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Summer</w:t>
            </w:r>
          </w:p>
        </w:tc>
        <w:tc>
          <w:tcPr>
            <w:tcW w:w="1797" w:type="dxa"/>
            <w:vAlign w:val="center"/>
            <w:hideMark/>
          </w:tcPr>
          <w:p w14:paraId="66BBFF54" w14:textId="77777777" w:rsidR="00A56036" w:rsidRPr="00187853" w:rsidRDefault="00A56036" w:rsidP="00C91E96">
            <w:pP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June</w:t>
            </w:r>
          </w:p>
        </w:tc>
        <w:tc>
          <w:tcPr>
            <w:tcW w:w="685" w:type="dxa"/>
            <w:vAlign w:val="center"/>
            <w:hideMark/>
          </w:tcPr>
          <w:p w14:paraId="553F2077"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35</w:t>
            </w:r>
          </w:p>
        </w:tc>
        <w:tc>
          <w:tcPr>
            <w:tcW w:w="1205" w:type="dxa"/>
            <w:vAlign w:val="center"/>
            <w:hideMark/>
          </w:tcPr>
          <w:p w14:paraId="71CD6518"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47</w:t>
            </w:r>
          </w:p>
        </w:tc>
        <w:tc>
          <w:tcPr>
            <w:tcW w:w="1083" w:type="dxa"/>
            <w:vAlign w:val="center"/>
            <w:hideMark/>
          </w:tcPr>
          <w:p w14:paraId="6FAC5130"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55</w:t>
            </w:r>
          </w:p>
        </w:tc>
        <w:tc>
          <w:tcPr>
            <w:tcW w:w="1261" w:type="dxa"/>
            <w:vAlign w:val="center"/>
            <w:hideMark/>
          </w:tcPr>
          <w:p w14:paraId="40B387DD"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27</w:t>
            </w:r>
          </w:p>
        </w:tc>
        <w:tc>
          <w:tcPr>
            <w:tcW w:w="787" w:type="dxa"/>
            <w:vAlign w:val="center"/>
            <w:hideMark/>
          </w:tcPr>
          <w:p w14:paraId="426FF2A4"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60</w:t>
            </w:r>
          </w:p>
        </w:tc>
        <w:tc>
          <w:tcPr>
            <w:tcW w:w="1664" w:type="dxa"/>
            <w:vAlign w:val="center"/>
            <w:hideMark/>
          </w:tcPr>
          <w:p w14:paraId="5BBC50BF"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33</w:t>
            </w:r>
          </w:p>
        </w:tc>
        <w:tc>
          <w:tcPr>
            <w:tcW w:w="927" w:type="dxa"/>
            <w:vAlign w:val="center"/>
            <w:hideMark/>
          </w:tcPr>
          <w:p w14:paraId="6272A10D"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42.8</w:t>
            </w:r>
          </w:p>
        </w:tc>
      </w:tr>
      <w:tr w:rsidR="00A56036" w:rsidRPr="00187853" w14:paraId="7332D99F" w14:textId="77777777" w:rsidTr="00002ED5">
        <w:trPr>
          <w:jc w:val="center"/>
        </w:trPr>
        <w:tc>
          <w:tcPr>
            <w:tcW w:w="805" w:type="dxa"/>
            <w:vMerge/>
            <w:vAlign w:val="center"/>
            <w:hideMark/>
          </w:tcPr>
          <w:p w14:paraId="30CFA6A5" w14:textId="77777777" w:rsidR="00A56036" w:rsidRPr="00187853" w:rsidRDefault="00A56036" w:rsidP="00C91E96">
            <w:pPr>
              <w:rPr>
                <w:rFonts w:asciiTheme="majorBidi" w:eastAsia="Times New Roman" w:hAnsiTheme="majorBidi" w:cstheme="majorBidi"/>
                <w:sz w:val="20"/>
                <w:szCs w:val="20"/>
              </w:rPr>
            </w:pPr>
          </w:p>
        </w:tc>
        <w:tc>
          <w:tcPr>
            <w:tcW w:w="1797" w:type="dxa"/>
            <w:vAlign w:val="center"/>
            <w:hideMark/>
          </w:tcPr>
          <w:p w14:paraId="2938DA37" w14:textId="77777777" w:rsidR="00A56036" w:rsidRPr="00187853" w:rsidRDefault="00A56036" w:rsidP="00C91E96">
            <w:pP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July</w:t>
            </w:r>
          </w:p>
        </w:tc>
        <w:tc>
          <w:tcPr>
            <w:tcW w:w="685" w:type="dxa"/>
            <w:vAlign w:val="center"/>
            <w:hideMark/>
          </w:tcPr>
          <w:p w14:paraId="05183465"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37</w:t>
            </w:r>
          </w:p>
        </w:tc>
        <w:tc>
          <w:tcPr>
            <w:tcW w:w="1205" w:type="dxa"/>
            <w:vAlign w:val="center"/>
            <w:hideMark/>
          </w:tcPr>
          <w:p w14:paraId="0C9EB3F4"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49</w:t>
            </w:r>
          </w:p>
        </w:tc>
        <w:tc>
          <w:tcPr>
            <w:tcW w:w="1083" w:type="dxa"/>
            <w:vAlign w:val="center"/>
            <w:hideMark/>
          </w:tcPr>
          <w:p w14:paraId="3F6A4007"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59</w:t>
            </w:r>
          </w:p>
        </w:tc>
        <w:tc>
          <w:tcPr>
            <w:tcW w:w="1261" w:type="dxa"/>
            <w:vAlign w:val="center"/>
            <w:hideMark/>
          </w:tcPr>
          <w:p w14:paraId="6A2722B5"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26</w:t>
            </w:r>
          </w:p>
        </w:tc>
        <w:tc>
          <w:tcPr>
            <w:tcW w:w="787" w:type="dxa"/>
            <w:vAlign w:val="center"/>
            <w:hideMark/>
          </w:tcPr>
          <w:p w14:paraId="7A6B759B"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60</w:t>
            </w:r>
          </w:p>
        </w:tc>
        <w:tc>
          <w:tcPr>
            <w:tcW w:w="1664" w:type="dxa"/>
            <w:vAlign w:val="center"/>
            <w:hideMark/>
          </w:tcPr>
          <w:p w14:paraId="078BC52E"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36</w:t>
            </w:r>
          </w:p>
        </w:tc>
        <w:tc>
          <w:tcPr>
            <w:tcW w:w="927" w:type="dxa"/>
            <w:vAlign w:val="center"/>
            <w:hideMark/>
          </w:tcPr>
          <w:p w14:paraId="18183195"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44.5</w:t>
            </w:r>
          </w:p>
        </w:tc>
      </w:tr>
      <w:tr w:rsidR="00A56036" w:rsidRPr="00187853" w14:paraId="4F87BF41" w14:textId="77777777" w:rsidTr="00002ED5">
        <w:trPr>
          <w:jc w:val="center"/>
        </w:trPr>
        <w:tc>
          <w:tcPr>
            <w:tcW w:w="805" w:type="dxa"/>
            <w:vMerge/>
            <w:vAlign w:val="center"/>
            <w:hideMark/>
          </w:tcPr>
          <w:p w14:paraId="00D3A752" w14:textId="77777777" w:rsidR="00A56036" w:rsidRPr="00187853" w:rsidRDefault="00A56036" w:rsidP="00C91E96">
            <w:pPr>
              <w:rPr>
                <w:rFonts w:asciiTheme="majorBidi" w:eastAsia="Times New Roman" w:hAnsiTheme="majorBidi" w:cstheme="majorBidi"/>
                <w:sz w:val="20"/>
                <w:szCs w:val="20"/>
              </w:rPr>
            </w:pPr>
          </w:p>
        </w:tc>
        <w:tc>
          <w:tcPr>
            <w:tcW w:w="1797" w:type="dxa"/>
            <w:vAlign w:val="center"/>
            <w:hideMark/>
          </w:tcPr>
          <w:p w14:paraId="52C6A052" w14:textId="77777777" w:rsidR="00A56036" w:rsidRPr="00187853" w:rsidRDefault="00A56036" w:rsidP="00C91E96">
            <w:pP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August</w:t>
            </w:r>
          </w:p>
        </w:tc>
        <w:tc>
          <w:tcPr>
            <w:tcW w:w="685" w:type="dxa"/>
            <w:vAlign w:val="center"/>
            <w:hideMark/>
          </w:tcPr>
          <w:p w14:paraId="29015816"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40</w:t>
            </w:r>
          </w:p>
        </w:tc>
        <w:tc>
          <w:tcPr>
            <w:tcW w:w="1205" w:type="dxa"/>
            <w:vAlign w:val="center"/>
            <w:hideMark/>
          </w:tcPr>
          <w:p w14:paraId="339D1152"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54</w:t>
            </w:r>
          </w:p>
        </w:tc>
        <w:tc>
          <w:tcPr>
            <w:tcW w:w="1083" w:type="dxa"/>
            <w:vAlign w:val="center"/>
            <w:hideMark/>
          </w:tcPr>
          <w:p w14:paraId="2BAE3BA6"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60</w:t>
            </w:r>
          </w:p>
        </w:tc>
        <w:tc>
          <w:tcPr>
            <w:tcW w:w="1261" w:type="dxa"/>
            <w:vAlign w:val="center"/>
            <w:hideMark/>
          </w:tcPr>
          <w:p w14:paraId="5633265F"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28</w:t>
            </w:r>
          </w:p>
        </w:tc>
        <w:tc>
          <w:tcPr>
            <w:tcW w:w="787" w:type="dxa"/>
            <w:vAlign w:val="center"/>
            <w:hideMark/>
          </w:tcPr>
          <w:p w14:paraId="0353E6E7"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62</w:t>
            </w:r>
          </w:p>
        </w:tc>
        <w:tc>
          <w:tcPr>
            <w:tcW w:w="1664" w:type="dxa"/>
            <w:vAlign w:val="center"/>
            <w:hideMark/>
          </w:tcPr>
          <w:p w14:paraId="44CDDDF8"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39</w:t>
            </w:r>
          </w:p>
        </w:tc>
        <w:tc>
          <w:tcPr>
            <w:tcW w:w="927" w:type="dxa"/>
            <w:vAlign w:val="center"/>
            <w:hideMark/>
          </w:tcPr>
          <w:p w14:paraId="28C959D3"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47.2</w:t>
            </w:r>
          </w:p>
        </w:tc>
      </w:tr>
      <w:tr w:rsidR="00A56036" w:rsidRPr="00187853" w14:paraId="56429EA8" w14:textId="77777777" w:rsidTr="00002ED5">
        <w:trPr>
          <w:jc w:val="center"/>
        </w:trPr>
        <w:tc>
          <w:tcPr>
            <w:tcW w:w="805" w:type="dxa"/>
            <w:vMerge/>
            <w:vAlign w:val="center"/>
            <w:hideMark/>
          </w:tcPr>
          <w:p w14:paraId="25C10505" w14:textId="77777777" w:rsidR="00A56036" w:rsidRPr="00187853" w:rsidRDefault="00A56036" w:rsidP="00C91E96">
            <w:pPr>
              <w:rPr>
                <w:rFonts w:asciiTheme="majorBidi" w:eastAsia="Times New Roman" w:hAnsiTheme="majorBidi" w:cstheme="majorBidi"/>
                <w:sz w:val="20"/>
                <w:szCs w:val="20"/>
              </w:rPr>
            </w:pPr>
          </w:p>
        </w:tc>
        <w:tc>
          <w:tcPr>
            <w:tcW w:w="1797" w:type="dxa"/>
            <w:vAlign w:val="center"/>
            <w:hideMark/>
          </w:tcPr>
          <w:p w14:paraId="78EA5393" w14:textId="77777777" w:rsidR="00A56036" w:rsidRPr="00187853" w:rsidRDefault="00A56036" w:rsidP="00C91E96">
            <w:pP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Seasonal Average</w:t>
            </w:r>
          </w:p>
        </w:tc>
        <w:tc>
          <w:tcPr>
            <w:tcW w:w="685" w:type="dxa"/>
            <w:vAlign w:val="center"/>
            <w:hideMark/>
          </w:tcPr>
          <w:p w14:paraId="50952889"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37.3</w:t>
            </w:r>
          </w:p>
        </w:tc>
        <w:tc>
          <w:tcPr>
            <w:tcW w:w="1205" w:type="dxa"/>
            <w:vAlign w:val="center"/>
            <w:hideMark/>
          </w:tcPr>
          <w:p w14:paraId="0540EC9C"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50.0</w:t>
            </w:r>
          </w:p>
        </w:tc>
        <w:tc>
          <w:tcPr>
            <w:tcW w:w="1083" w:type="dxa"/>
            <w:vAlign w:val="center"/>
            <w:hideMark/>
          </w:tcPr>
          <w:p w14:paraId="26C1D22C"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58.0</w:t>
            </w:r>
          </w:p>
        </w:tc>
        <w:tc>
          <w:tcPr>
            <w:tcW w:w="1261" w:type="dxa"/>
            <w:vAlign w:val="center"/>
            <w:hideMark/>
          </w:tcPr>
          <w:p w14:paraId="74A8AFFB"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27.0</w:t>
            </w:r>
          </w:p>
        </w:tc>
        <w:tc>
          <w:tcPr>
            <w:tcW w:w="787" w:type="dxa"/>
            <w:vAlign w:val="center"/>
            <w:hideMark/>
          </w:tcPr>
          <w:p w14:paraId="067433C3"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60.7</w:t>
            </w:r>
          </w:p>
        </w:tc>
        <w:tc>
          <w:tcPr>
            <w:tcW w:w="1664" w:type="dxa"/>
            <w:vAlign w:val="center"/>
            <w:hideMark/>
          </w:tcPr>
          <w:p w14:paraId="32F271D1"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36.0</w:t>
            </w:r>
          </w:p>
        </w:tc>
        <w:tc>
          <w:tcPr>
            <w:tcW w:w="927" w:type="dxa"/>
            <w:vAlign w:val="center"/>
            <w:hideMark/>
          </w:tcPr>
          <w:p w14:paraId="1A053EB0"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44.8</w:t>
            </w:r>
          </w:p>
        </w:tc>
      </w:tr>
      <w:tr w:rsidR="00A56036" w:rsidRPr="00187853" w14:paraId="0A8E2BBF" w14:textId="77777777" w:rsidTr="00002ED5">
        <w:trPr>
          <w:jc w:val="center"/>
        </w:trPr>
        <w:tc>
          <w:tcPr>
            <w:tcW w:w="805" w:type="dxa"/>
            <w:vMerge w:val="restart"/>
            <w:vAlign w:val="center"/>
            <w:hideMark/>
          </w:tcPr>
          <w:p w14:paraId="54CD8020" w14:textId="77777777" w:rsidR="00A56036" w:rsidRPr="00187853" w:rsidRDefault="00A56036" w:rsidP="00C91E96">
            <w:pP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Autumn</w:t>
            </w:r>
          </w:p>
        </w:tc>
        <w:tc>
          <w:tcPr>
            <w:tcW w:w="1797" w:type="dxa"/>
            <w:vAlign w:val="center"/>
            <w:hideMark/>
          </w:tcPr>
          <w:p w14:paraId="6AB93772" w14:textId="77777777" w:rsidR="00A56036" w:rsidRPr="00187853" w:rsidRDefault="00A56036" w:rsidP="00C91E96">
            <w:pP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September</w:t>
            </w:r>
          </w:p>
        </w:tc>
        <w:tc>
          <w:tcPr>
            <w:tcW w:w="685" w:type="dxa"/>
            <w:vAlign w:val="center"/>
            <w:hideMark/>
          </w:tcPr>
          <w:p w14:paraId="5E90F8DD"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47</w:t>
            </w:r>
          </w:p>
        </w:tc>
        <w:tc>
          <w:tcPr>
            <w:tcW w:w="1205" w:type="dxa"/>
            <w:vAlign w:val="center"/>
            <w:hideMark/>
          </w:tcPr>
          <w:p w14:paraId="7AA81810"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58</w:t>
            </w:r>
          </w:p>
        </w:tc>
        <w:tc>
          <w:tcPr>
            <w:tcW w:w="1083" w:type="dxa"/>
            <w:vAlign w:val="center"/>
            <w:hideMark/>
          </w:tcPr>
          <w:p w14:paraId="1DB01F97"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62</w:t>
            </w:r>
          </w:p>
        </w:tc>
        <w:tc>
          <w:tcPr>
            <w:tcW w:w="1261" w:type="dxa"/>
            <w:vAlign w:val="center"/>
            <w:hideMark/>
          </w:tcPr>
          <w:p w14:paraId="08B8AE6A"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28</w:t>
            </w:r>
          </w:p>
        </w:tc>
        <w:tc>
          <w:tcPr>
            <w:tcW w:w="787" w:type="dxa"/>
            <w:vAlign w:val="center"/>
            <w:hideMark/>
          </w:tcPr>
          <w:p w14:paraId="3007C1B8"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64</w:t>
            </w:r>
          </w:p>
        </w:tc>
        <w:tc>
          <w:tcPr>
            <w:tcW w:w="1664" w:type="dxa"/>
            <w:vAlign w:val="center"/>
            <w:hideMark/>
          </w:tcPr>
          <w:p w14:paraId="349F85F0"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45</w:t>
            </w:r>
          </w:p>
        </w:tc>
        <w:tc>
          <w:tcPr>
            <w:tcW w:w="927" w:type="dxa"/>
            <w:vAlign w:val="center"/>
            <w:hideMark/>
          </w:tcPr>
          <w:p w14:paraId="66E216B6"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50.7</w:t>
            </w:r>
          </w:p>
        </w:tc>
      </w:tr>
      <w:tr w:rsidR="00A56036" w:rsidRPr="00187853" w14:paraId="30BD1C75" w14:textId="77777777" w:rsidTr="00002ED5">
        <w:trPr>
          <w:jc w:val="center"/>
        </w:trPr>
        <w:tc>
          <w:tcPr>
            <w:tcW w:w="805" w:type="dxa"/>
            <w:vMerge/>
            <w:vAlign w:val="center"/>
            <w:hideMark/>
          </w:tcPr>
          <w:p w14:paraId="0B30F9E2" w14:textId="77777777" w:rsidR="00A56036" w:rsidRPr="00187853" w:rsidRDefault="00A56036" w:rsidP="00C91E96">
            <w:pPr>
              <w:rPr>
                <w:rFonts w:asciiTheme="majorBidi" w:eastAsia="Times New Roman" w:hAnsiTheme="majorBidi" w:cstheme="majorBidi"/>
                <w:sz w:val="20"/>
                <w:szCs w:val="20"/>
              </w:rPr>
            </w:pPr>
          </w:p>
        </w:tc>
        <w:tc>
          <w:tcPr>
            <w:tcW w:w="1797" w:type="dxa"/>
            <w:vAlign w:val="center"/>
            <w:hideMark/>
          </w:tcPr>
          <w:p w14:paraId="70EF0F1E" w14:textId="77777777" w:rsidR="00A56036" w:rsidRPr="00187853" w:rsidRDefault="00A56036" w:rsidP="00C91E96">
            <w:pP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October</w:t>
            </w:r>
          </w:p>
        </w:tc>
        <w:tc>
          <w:tcPr>
            <w:tcW w:w="685" w:type="dxa"/>
            <w:vAlign w:val="center"/>
            <w:hideMark/>
          </w:tcPr>
          <w:p w14:paraId="1E23DEB2"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49</w:t>
            </w:r>
          </w:p>
        </w:tc>
        <w:tc>
          <w:tcPr>
            <w:tcW w:w="1205" w:type="dxa"/>
            <w:vAlign w:val="center"/>
            <w:hideMark/>
          </w:tcPr>
          <w:p w14:paraId="6123229C"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59</w:t>
            </w:r>
          </w:p>
        </w:tc>
        <w:tc>
          <w:tcPr>
            <w:tcW w:w="1083" w:type="dxa"/>
            <w:vAlign w:val="center"/>
            <w:hideMark/>
          </w:tcPr>
          <w:p w14:paraId="1BF3B39C"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62</w:t>
            </w:r>
          </w:p>
        </w:tc>
        <w:tc>
          <w:tcPr>
            <w:tcW w:w="1261" w:type="dxa"/>
            <w:vAlign w:val="center"/>
            <w:hideMark/>
          </w:tcPr>
          <w:p w14:paraId="6F3E2197"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33</w:t>
            </w:r>
          </w:p>
        </w:tc>
        <w:tc>
          <w:tcPr>
            <w:tcW w:w="787" w:type="dxa"/>
            <w:vAlign w:val="center"/>
            <w:hideMark/>
          </w:tcPr>
          <w:p w14:paraId="3D9B875B"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60</w:t>
            </w:r>
          </w:p>
        </w:tc>
        <w:tc>
          <w:tcPr>
            <w:tcW w:w="1664" w:type="dxa"/>
            <w:vAlign w:val="center"/>
            <w:hideMark/>
          </w:tcPr>
          <w:p w14:paraId="12A47E4F"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48</w:t>
            </w:r>
          </w:p>
        </w:tc>
        <w:tc>
          <w:tcPr>
            <w:tcW w:w="927" w:type="dxa"/>
            <w:vAlign w:val="center"/>
            <w:hideMark/>
          </w:tcPr>
          <w:p w14:paraId="4B8E64C8"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51.8</w:t>
            </w:r>
          </w:p>
        </w:tc>
      </w:tr>
      <w:tr w:rsidR="00A56036" w:rsidRPr="00187853" w14:paraId="054A0B1B" w14:textId="77777777" w:rsidTr="00002ED5">
        <w:trPr>
          <w:jc w:val="center"/>
        </w:trPr>
        <w:tc>
          <w:tcPr>
            <w:tcW w:w="805" w:type="dxa"/>
            <w:vMerge/>
            <w:vAlign w:val="center"/>
            <w:hideMark/>
          </w:tcPr>
          <w:p w14:paraId="61F97923" w14:textId="77777777" w:rsidR="00A56036" w:rsidRPr="00187853" w:rsidRDefault="00A56036" w:rsidP="00C91E96">
            <w:pPr>
              <w:rPr>
                <w:rFonts w:asciiTheme="majorBidi" w:eastAsia="Times New Roman" w:hAnsiTheme="majorBidi" w:cstheme="majorBidi"/>
                <w:sz w:val="20"/>
                <w:szCs w:val="20"/>
              </w:rPr>
            </w:pPr>
          </w:p>
        </w:tc>
        <w:tc>
          <w:tcPr>
            <w:tcW w:w="1797" w:type="dxa"/>
            <w:vAlign w:val="center"/>
            <w:hideMark/>
          </w:tcPr>
          <w:p w14:paraId="3AA91C3E" w14:textId="77777777" w:rsidR="00A56036" w:rsidRPr="00187853" w:rsidRDefault="00A56036" w:rsidP="00C91E96">
            <w:pP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November</w:t>
            </w:r>
          </w:p>
        </w:tc>
        <w:tc>
          <w:tcPr>
            <w:tcW w:w="685" w:type="dxa"/>
            <w:vAlign w:val="center"/>
            <w:hideMark/>
          </w:tcPr>
          <w:p w14:paraId="04AD38EA"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52</w:t>
            </w:r>
          </w:p>
        </w:tc>
        <w:tc>
          <w:tcPr>
            <w:tcW w:w="1205" w:type="dxa"/>
            <w:vAlign w:val="center"/>
            <w:hideMark/>
          </w:tcPr>
          <w:p w14:paraId="046D19F1"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57</w:t>
            </w:r>
          </w:p>
        </w:tc>
        <w:tc>
          <w:tcPr>
            <w:tcW w:w="1083" w:type="dxa"/>
            <w:vAlign w:val="center"/>
            <w:hideMark/>
          </w:tcPr>
          <w:p w14:paraId="6888D71D"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58</w:t>
            </w:r>
          </w:p>
        </w:tc>
        <w:tc>
          <w:tcPr>
            <w:tcW w:w="1261" w:type="dxa"/>
            <w:vAlign w:val="center"/>
            <w:hideMark/>
          </w:tcPr>
          <w:p w14:paraId="64B165F3"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38</w:t>
            </w:r>
          </w:p>
        </w:tc>
        <w:tc>
          <w:tcPr>
            <w:tcW w:w="787" w:type="dxa"/>
            <w:vAlign w:val="center"/>
            <w:hideMark/>
          </w:tcPr>
          <w:p w14:paraId="04A10322"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58</w:t>
            </w:r>
          </w:p>
        </w:tc>
        <w:tc>
          <w:tcPr>
            <w:tcW w:w="1664" w:type="dxa"/>
            <w:vAlign w:val="center"/>
            <w:hideMark/>
          </w:tcPr>
          <w:p w14:paraId="3001D963"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49</w:t>
            </w:r>
          </w:p>
        </w:tc>
        <w:tc>
          <w:tcPr>
            <w:tcW w:w="927" w:type="dxa"/>
            <w:vAlign w:val="center"/>
            <w:hideMark/>
          </w:tcPr>
          <w:p w14:paraId="51FD80FB"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52.0</w:t>
            </w:r>
          </w:p>
        </w:tc>
      </w:tr>
      <w:tr w:rsidR="00A56036" w:rsidRPr="00187853" w14:paraId="3CC57BF2" w14:textId="77777777" w:rsidTr="00002ED5">
        <w:trPr>
          <w:jc w:val="center"/>
        </w:trPr>
        <w:tc>
          <w:tcPr>
            <w:tcW w:w="805" w:type="dxa"/>
            <w:vMerge/>
            <w:vAlign w:val="center"/>
            <w:hideMark/>
          </w:tcPr>
          <w:p w14:paraId="0498D032" w14:textId="77777777" w:rsidR="00A56036" w:rsidRPr="00187853" w:rsidRDefault="00A56036" w:rsidP="00C91E96">
            <w:pPr>
              <w:rPr>
                <w:rFonts w:asciiTheme="majorBidi" w:eastAsia="Times New Roman" w:hAnsiTheme="majorBidi" w:cstheme="majorBidi"/>
                <w:sz w:val="20"/>
                <w:szCs w:val="20"/>
              </w:rPr>
            </w:pPr>
          </w:p>
        </w:tc>
        <w:tc>
          <w:tcPr>
            <w:tcW w:w="1797" w:type="dxa"/>
            <w:vAlign w:val="center"/>
            <w:hideMark/>
          </w:tcPr>
          <w:p w14:paraId="7577C948" w14:textId="77777777" w:rsidR="00A56036" w:rsidRPr="00187853" w:rsidRDefault="00A56036" w:rsidP="00C91E96">
            <w:pP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Seasonal Average</w:t>
            </w:r>
          </w:p>
        </w:tc>
        <w:tc>
          <w:tcPr>
            <w:tcW w:w="685" w:type="dxa"/>
            <w:vAlign w:val="center"/>
            <w:hideMark/>
          </w:tcPr>
          <w:p w14:paraId="0F71B510"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49.3</w:t>
            </w:r>
          </w:p>
        </w:tc>
        <w:tc>
          <w:tcPr>
            <w:tcW w:w="1205" w:type="dxa"/>
            <w:vAlign w:val="center"/>
            <w:hideMark/>
          </w:tcPr>
          <w:p w14:paraId="183BDB7D"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58.0</w:t>
            </w:r>
          </w:p>
        </w:tc>
        <w:tc>
          <w:tcPr>
            <w:tcW w:w="1083" w:type="dxa"/>
            <w:vAlign w:val="center"/>
            <w:hideMark/>
          </w:tcPr>
          <w:p w14:paraId="4B60187C"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60.7</w:t>
            </w:r>
          </w:p>
        </w:tc>
        <w:tc>
          <w:tcPr>
            <w:tcW w:w="1261" w:type="dxa"/>
            <w:vAlign w:val="center"/>
            <w:hideMark/>
          </w:tcPr>
          <w:p w14:paraId="4098313A"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33.0</w:t>
            </w:r>
          </w:p>
        </w:tc>
        <w:tc>
          <w:tcPr>
            <w:tcW w:w="787" w:type="dxa"/>
            <w:vAlign w:val="center"/>
            <w:hideMark/>
          </w:tcPr>
          <w:p w14:paraId="29A5524B"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60.7</w:t>
            </w:r>
          </w:p>
        </w:tc>
        <w:tc>
          <w:tcPr>
            <w:tcW w:w="1664" w:type="dxa"/>
            <w:vAlign w:val="center"/>
            <w:hideMark/>
          </w:tcPr>
          <w:p w14:paraId="4652C104"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47.3</w:t>
            </w:r>
          </w:p>
        </w:tc>
        <w:tc>
          <w:tcPr>
            <w:tcW w:w="927" w:type="dxa"/>
            <w:vAlign w:val="center"/>
            <w:hideMark/>
          </w:tcPr>
          <w:p w14:paraId="6FC39203"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51.5</w:t>
            </w:r>
          </w:p>
        </w:tc>
      </w:tr>
      <w:tr w:rsidR="00A56036" w:rsidRPr="00187853" w14:paraId="235969F7" w14:textId="77777777" w:rsidTr="00002ED5">
        <w:trPr>
          <w:jc w:val="center"/>
        </w:trPr>
        <w:tc>
          <w:tcPr>
            <w:tcW w:w="805" w:type="dxa"/>
            <w:vMerge w:val="restart"/>
            <w:vAlign w:val="center"/>
            <w:hideMark/>
          </w:tcPr>
          <w:p w14:paraId="7F30BA51" w14:textId="77777777" w:rsidR="00A56036" w:rsidRPr="00187853" w:rsidRDefault="00A56036" w:rsidP="00C91E96">
            <w:pP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Winter</w:t>
            </w:r>
          </w:p>
        </w:tc>
        <w:tc>
          <w:tcPr>
            <w:tcW w:w="1797" w:type="dxa"/>
            <w:vAlign w:val="center"/>
            <w:hideMark/>
          </w:tcPr>
          <w:p w14:paraId="0B68B99A" w14:textId="77777777" w:rsidR="00A56036" w:rsidRPr="00187853" w:rsidRDefault="00A56036" w:rsidP="00C91E96">
            <w:pP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December</w:t>
            </w:r>
          </w:p>
        </w:tc>
        <w:tc>
          <w:tcPr>
            <w:tcW w:w="685" w:type="dxa"/>
            <w:vAlign w:val="center"/>
            <w:hideMark/>
          </w:tcPr>
          <w:p w14:paraId="4BA50C4E"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57</w:t>
            </w:r>
          </w:p>
        </w:tc>
        <w:tc>
          <w:tcPr>
            <w:tcW w:w="1205" w:type="dxa"/>
            <w:vAlign w:val="center"/>
            <w:hideMark/>
          </w:tcPr>
          <w:p w14:paraId="15D5F17E"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63</w:t>
            </w:r>
          </w:p>
        </w:tc>
        <w:tc>
          <w:tcPr>
            <w:tcW w:w="1083" w:type="dxa"/>
            <w:vAlign w:val="center"/>
            <w:hideMark/>
          </w:tcPr>
          <w:p w14:paraId="4B9E2A7E"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58</w:t>
            </w:r>
          </w:p>
        </w:tc>
        <w:tc>
          <w:tcPr>
            <w:tcW w:w="1261" w:type="dxa"/>
            <w:vAlign w:val="center"/>
            <w:hideMark/>
          </w:tcPr>
          <w:p w14:paraId="0DD0F4B3"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40</w:t>
            </w:r>
          </w:p>
        </w:tc>
        <w:tc>
          <w:tcPr>
            <w:tcW w:w="787" w:type="dxa"/>
            <w:vAlign w:val="center"/>
            <w:hideMark/>
          </w:tcPr>
          <w:p w14:paraId="24483119"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56</w:t>
            </w:r>
          </w:p>
        </w:tc>
        <w:tc>
          <w:tcPr>
            <w:tcW w:w="1664" w:type="dxa"/>
            <w:vAlign w:val="center"/>
            <w:hideMark/>
          </w:tcPr>
          <w:p w14:paraId="00905D29"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51</w:t>
            </w:r>
          </w:p>
        </w:tc>
        <w:tc>
          <w:tcPr>
            <w:tcW w:w="927" w:type="dxa"/>
            <w:vAlign w:val="center"/>
            <w:hideMark/>
          </w:tcPr>
          <w:p w14:paraId="3D528F8A"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54.2</w:t>
            </w:r>
          </w:p>
        </w:tc>
      </w:tr>
      <w:tr w:rsidR="00A56036" w:rsidRPr="00187853" w14:paraId="394E2186" w14:textId="77777777" w:rsidTr="00002ED5">
        <w:trPr>
          <w:jc w:val="center"/>
        </w:trPr>
        <w:tc>
          <w:tcPr>
            <w:tcW w:w="805" w:type="dxa"/>
            <w:vMerge/>
            <w:vAlign w:val="center"/>
            <w:hideMark/>
          </w:tcPr>
          <w:p w14:paraId="3842FCF3" w14:textId="77777777" w:rsidR="00A56036" w:rsidRPr="00187853" w:rsidRDefault="00A56036" w:rsidP="00C91E96">
            <w:pPr>
              <w:rPr>
                <w:rFonts w:asciiTheme="majorBidi" w:eastAsia="Times New Roman" w:hAnsiTheme="majorBidi" w:cstheme="majorBidi"/>
                <w:sz w:val="20"/>
                <w:szCs w:val="20"/>
              </w:rPr>
            </w:pPr>
          </w:p>
        </w:tc>
        <w:tc>
          <w:tcPr>
            <w:tcW w:w="1797" w:type="dxa"/>
            <w:vAlign w:val="center"/>
            <w:hideMark/>
          </w:tcPr>
          <w:p w14:paraId="7CEED668" w14:textId="77777777" w:rsidR="00A56036" w:rsidRPr="00187853" w:rsidRDefault="00A56036" w:rsidP="00C91E96">
            <w:pP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January</w:t>
            </w:r>
          </w:p>
        </w:tc>
        <w:tc>
          <w:tcPr>
            <w:tcW w:w="685" w:type="dxa"/>
            <w:vAlign w:val="center"/>
            <w:hideMark/>
          </w:tcPr>
          <w:p w14:paraId="71A455B4"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55</w:t>
            </w:r>
          </w:p>
        </w:tc>
        <w:tc>
          <w:tcPr>
            <w:tcW w:w="1205" w:type="dxa"/>
            <w:vAlign w:val="center"/>
            <w:hideMark/>
          </w:tcPr>
          <w:p w14:paraId="4878D965"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60</w:t>
            </w:r>
          </w:p>
        </w:tc>
        <w:tc>
          <w:tcPr>
            <w:tcW w:w="1083" w:type="dxa"/>
            <w:vAlign w:val="center"/>
            <w:hideMark/>
          </w:tcPr>
          <w:p w14:paraId="5F38CD08"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56</w:t>
            </w:r>
          </w:p>
        </w:tc>
        <w:tc>
          <w:tcPr>
            <w:tcW w:w="1261" w:type="dxa"/>
            <w:vAlign w:val="center"/>
            <w:hideMark/>
          </w:tcPr>
          <w:p w14:paraId="211EA7D7"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40</w:t>
            </w:r>
          </w:p>
        </w:tc>
        <w:tc>
          <w:tcPr>
            <w:tcW w:w="787" w:type="dxa"/>
            <w:vAlign w:val="center"/>
            <w:hideMark/>
          </w:tcPr>
          <w:p w14:paraId="3019A737"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57</w:t>
            </w:r>
          </w:p>
        </w:tc>
        <w:tc>
          <w:tcPr>
            <w:tcW w:w="1664" w:type="dxa"/>
            <w:vAlign w:val="center"/>
            <w:hideMark/>
          </w:tcPr>
          <w:p w14:paraId="6330C717"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50</w:t>
            </w:r>
          </w:p>
        </w:tc>
        <w:tc>
          <w:tcPr>
            <w:tcW w:w="927" w:type="dxa"/>
            <w:vAlign w:val="center"/>
            <w:hideMark/>
          </w:tcPr>
          <w:p w14:paraId="61529C96"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53.0</w:t>
            </w:r>
          </w:p>
        </w:tc>
      </w:tr>
      <w:tr w:rsidR="00A56036" w:rsidRPr="00187853" w14:paraId="39E5F9CA" w14:textId="77777777" w:rsidTr="00002ED5">
        <w:trPr>
          <w:jc w:val="center"/>
        </w:trPr>
        <w:tc>
          <w:tcPr>
            <w:tcW w:w="805" w:type="dxa"/>
            <w:vMerge/>
            <w:vAlign w:val="center"/>
            <w:hideMark/>
          </w:tcPr>
          <w:p w14:paraId="0568F543" w14:textId="77777777" w:rsidR="00A56036" w:rsidRPr="00187853" w:rsidRDefault="00A56036" w:rsidP="00C91E96">
            <w:pPr>
              <w:rPr>
                <w:rFonts w:asciiTheme="majorBidi" w:eastAsia="Times New Roman" w:hAnsiTheme="majorBidi" w:cstheme="majorBidi"/>
                <w:sz w:val="20"/>
                <w:szCs w:val="20"/>
              </w:rPr>
            </w:pPr>
          </w:p>
        </w:tc>
        <w:tc>
          <w:tcPr>
            <w:tcW w:w="1797" w:type="dxa"/>
            <w:vAlign w:val="center"/>
            <w:hideMark/>
          </w:tcPr>
          <w:p w14:paraId="2695CE2E" w14:textId="77777777" w:rsidR="00A56036" w:rsidRPr="00187853" w:rsidRDefault="00A56036" w:rsidP="00C91E96">
            <w:pP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February</w:t>
            </w:r>
          </w:p>
        </w:tc>
        <w:tc>
          <w:tcPr>
            <w:tcW w:w="685" w:type="dxa"/>
            <w:vAlign w:val="center"/>
            <w:hideMark/>
          </w:tcPr>
          <w:p w14:paraId="5C136F16"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47</w:t>
            </w:r>
          </w:p>
        </w:tc>
        <w:tc>
          <w:tcPr>
            <w:tcW w:w="1205" w:type="dxa"/>
            <w:vAlign w:val="center"/>
            <w:hideMark/>
          </w:tcPr>
          <w:p w14:paraId="7099778E"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55</w:t>
            </w:r>
          </w:p>
        </w:tc>
        <w:tc>
          <w:tcPr>
            <w:tcW w:w="1083" w:type="dxa"/>
            <w:vAlign w:val="center"/>
            <w:hideMark/>
          </w:tcPr>
          <w:p w14:paraId="4A8C7740"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54</w:t>
            </w:r>
          </w:p>
        </w:tc>
        <w:tc>
          <w:tcPr>
            <w:tcW w:w="1261" w:type="dxa"/>
            <w:vAlign w:val="center"/>
            <w:hideMark/>
          </w:tcPr>
          <w:p w14:paraId="09C7A50D"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40</w:t>
            </w:r>
          </w:p>
        </w:tc>
        <w:tc>
          <w:tcPr>
            <w:tcW w:w="787" w:type="dxa"/>
            <w:vAlign w:val="center"/>
            <w:hideMark/>
          </w:tcPr>
          <w:p w14:paraId="4B138C2F"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55</w:t>
            </w:r>
          </w:p>
        </w:tc>
        <w:tc>
          <w:tcPr>
            <w:tcW w:w="1664" w:type="dxa"/>
            <w:vAlign w:val="center"/>
            <w:hideMark/>
          </w:tcPr>
          <w:p w14:paraId="47F5C436"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44</w:t>
            </w:r>
          </w:p>
        </w:tc>
        <w:tc>
          <w:tcPr>
            <w:tcW w:w="927" w:type="dxa"/>
            <w:vAlign w:val="center"/>
            <w:hideMark/>
          </w:tcPr>
          <w:p w14:paraId="3A751CFD"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49.2</w:t>
            </w:r>
          </w:p>
        </w:tc>
      </w:tr>
      <w:tr w:rsidR="00A56036" w:rsidRPr="00187853" w14:paraId="45CCBA51" w14:textId="77777777" w:rsidTr="00002ED5">
        <w:trPr>
          <w:jc w:val="center"/>
        </w:trPr>
        <w:tc>
          <w:tcPr>
            <w:tcW w:w="805" w:type="dxa"/>
            <w:vMerge/>
            <w:vAlign w:val="center"/>
            <w:hideMark/>
          </w:tcPr>
          <w:p w14:paraId="46AC9918" w14:textId="77777777" w:rsidR="00A56036" w:rsidRPr="00187853" w:rsidRDefault="00A56036" w:rsidP="00C91E96">
            <w:pPr>
              <w:rPr>
                <w:rFonts w:asciiTheme="majorBidi" w:eastAsia="Times New Roman" w:hAnsiTheme="majorBidi" w:cstheme="majorBidi"/>
                <w:sz w:val="20"/>
                <w:szCs w:val="20"/>
              </w:rPr>
            </w:pPr>
          </w:p>
        </w:tc>
        <w:tc>
          <w:tcPr>
            <w:tcW w:w="1797" w:type="dxa"/>
            <w:vAlign w:val="center"/>
            <w:hideMark/>
          </w:tcPr>
          <w:p w14:paraId="6679F7F8" w14:textId="77777777" w:rsidR="00A56036" w:rsidRPr="00187853" w:rsidRDefault="00A56036" w:rsidP="00C91E96">
            <w:pP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Seasonal Average</w:t>
            </w:r>
          </w:p>
        </w:tc>
        <w:tc>
          <w:tcPr>
            <w:tcW w:w="685" w:type="dxa"/>
            <w:vAlign w:val="center"/>
            <w:hideMark/>
          </w:tcPr>
          <w:p w14:paraId="702AE585"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53.0</w:t>
            </w:r>
          </w:p>
        </w:tc>
        <w:tc>
          <w:tcPr>
            <w:tcW w:w="1205" w:type="dxa"/>
            <w:vAlign w:val="center"/>
            <w:hideMark/>
          </w:tcPr>
          <w:p w14:paraId="38B405E5"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59.3</w:t>
            </w:r>
          </w:p>
        </w:tc>
        <w:tc>
          <w:tcPr>
            <w:tcW w:w="1083" w:type="dxa"/>
            <w:vAlign w:val="center"/>
            <w:hideMark/>
          </w:tcPr>
          <w:p w14:paraId="6D52EF4A"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56.0</w:t>
            </w:r>
          </w:p>
        </w:tc>
        <w:tc>
          <w:tcPr>
            <w:tcW w:w="1261" w:type="dxa"/>
            <w:vAlign w:val="center"/>
            <w:hideMark/>
          </w:tcPr>
          <w:p w14:paraId="21B2E691"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40.0</w:t>
            </w:r>
          </w:p>
        </w:tc>
        <w:tc>
          <w:tcPr>
            <w:tcW w:w="787" w:type="dxa"/>
            <w:vAlign w:val="center"/>
            <w:hideMark/>
          </w:tcPr>
          <w:p w14:paraId="674405BE"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56.0</w:t>
            </w:r>
          </w:p>
        </w:tc>
        <w:tc>
          <w:tcPr>
            <w:tcW w:w="1664" w:type="dxa"/>
            <w:vAlign w:val="center"/>
            <w:hideMark/>
          </w:tcPr>
          <w:p w14:paraId="379D2549"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48.3</w:t>
            </w:r>
          </w:p>
        </w:tc>
        <w:tc>
          <w:tcPr>
            <w:tcW w:w="927" w:type="dxa"/>
            <w:vAlign w:val="center"/>
            <w:hideMark/>
          </w:tcPr>
          <w:p w14:paraId="22AC4480"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54.1</w:t>
            </w:r>
          </w:p>
        </w:tc>
      </w:tr>
      <w:tr w:rsidR="00A56036" w:rsidRPr="00187853" w14:paraId="42B86252" w14:textId="77777777" w:rsidTr="00002ED5">
        <w:trPr>
          <w:jc w:val="center"/>
        </w:trPr>
        <w:tc>
          <w:tcPr>
            <w:tcW w:w="2602" w:type="dxa"/>
            <w:gridSpan w:val="2"/>
            <w:vAlign w:val="center"/>
            <w:hideMark/>
          </w:tcPr>
          <w:p w14:paraId="5A148AC5" w14:textId="77777777" w:rsidR="00A56036" w:rsidRPr="00187853" w:rsidRDefault="00A56036" w:rsidP="00C91E96">
            <w:pP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Annual Average</w:t>
            </w:r>
          </w:p>
        </w:tc>
        <w:tc>
          <w:tcPr>
            <w:tcW w:w="685" w:type="dxa"/>
            <w:vAlign w:val="center"/>
            <w:hideMark/>
          </w:tcPr>
          <w:p w14:paraId="611C7D22"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44.6</w:t>
            </w:r>
          </w:p>
        </w:tc>
        <w:tc>
          <w:tcPr>
            <w:tcW w:w="1205" w:type="dxa"/>
            <w:vAlign w:val="center"/>
            <w:hideMark/>
          </w:tcPr>
          <w:p w14:paraId="1CF96BD4"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54.7</w:t>
            </w:r>
          </w:p>
        </w:tc>
        <w:tc>
          <w:tcPr>
            <w:tcW w:w="1083" w:type="dxa"/>
            <w:vAlign w:val="center"/>
            <w:hideMark/>
          </w:tcPr>
          <w:p w14:paraId="27AA5BC4"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56.7</w:t>
            </w:r>
          </w:p>
        </w:tc>
        <w:tc>
          <w:tcPr>
            <w:tcW w:w="1261" w:type="dxa"/>
            <w:vAlign w:val="center"/>
            <w:hideMark/>
          </w:tcPr>
          <w:p w14:paraId="4D8F2713"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33.0</w:t>
            </w:r>
          </w:p>
        </w:tc>
        <w:tc>
          <w:tcPr>
            <w:tcW w:w="787" w:type="dxa"/>
            <w:vAlign w:val="center"/>
            <w:hideMark/>
          </w:tcPr>
          <w:p w14:paraId="07DAD893"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58.4</w:t>
            </w:r>
          </w:p>
        </w:tc>
        <w:tc>
          <w:tcPr>
            <w:tcW w:w="1664" w:type="dxa"/>
            <w:vAlign w:val="center"/>
            <w:hideMark/>
          </w:tcPr>
          <w:p w14:paraId="71B33C9E"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43.0</w:t>
            </w:r>
          </w:p>
        </w:tc>
        <w:tc>
          <w:tcPr>
            <w:tcW w:w="927" w:type="dxa"/>
            <w:vAlign w:val="center"/>
            <w:hideMark/>
          </w:tcPr>
          <w:p w14:paraId="0429629A"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48.4</w:t>
            </w:r>
          </w:p>
        </w:tc>
      </w:tr>
    </w:tbl>
    <w:p w14:paraId="36A0BC5B" w14:textId="77777777" w:rsidR="00A56036" w:rsidRPr="005F15D3" w:rsidRDefault="003527D5" w:rsidP="00A56036">
      <w:pPr>
        <w:spacing w:after="0" w:line="240" w:lineRule="auto"/>
        <w:rPr>
          <w:rFonts w:asciiTheme="majorBidi" w:eastAsia="Times New Roman" w:hAnsiTheme="majorBidi" w:cstheme="majorBidi"/>
          <w:sz w:val="20"/>
          <w:szCs w:val="20"/>
        </w:rPr>
      </w:pPr>
      <w:r w:rsidRPr="005F15D3">
        <w:rPr>
          <w:rFonts w:asciiTheme="majorBidi" w:eastAsia="Times New Roman" w:hAnsiTheme="majorBidi" w:cstheme="majorBidi"/>
          <w:b/>
          <w:bCs/>
          <w:sz w:val="20"/>
          <w:szCs w:val="20"/>
        </w:rPr>
        <w:t xml:space="preserve">       </w:t>
      </w:r>
      <w:r w:rsidR="00A56036" w:rsidRPr="005F15D3">
        <w:rPr>
          <w:rFonts w:asciiTheme="majorBidi" w:eastAsia="Times New Roman" w:hAnsiTheme="majorBidi" w:cstheme="majorBidi"/>
          <w:b/>
          <w:bCs/>
          <w:sz w:val="20"/>
          <w:szCs w:val="20"/>
        </w:rPr>
        <w:t>Source:</w:t>
      </w:r>
      <w:r w:rsidR="00A56036" w:rsidRPr="005F15D3">
        <w:rPr>
          <w:rFonts w:asciiTheme="majorBidi" w:eastAsia="Times New Roman" w:hAnsiTheme="majorBidi" w:cstheme="majorBidi"/>
          <w:sz w:val="20"/>
          <w:szCs w:val="20"/>
        </w:rPr>
        <w:t xml:space="preserve"> (EMA, 2024) (unpublished data).</w:t>
      </w:r>
    </w:p>
    <w:p w14:paraId="4F66BD5C" w14:textId="77777777" w:rsidR="004C78EF" w:rsidRPr="00187853" w:rsidRDefault="004C78EF" w:rsidP="00A56036">
      <w:pPr>
        <w:spacing w:after="0" w:line="240" w:lineRule="auto"/>
        <w:rPr>
          <w:rFonts w:asciiTheme="majorBidi" w:eastAsia="Times New Roman" w:hAnsiTheme="majorBidi" w:cstheme="majorBidi"/>
          <w:sz w:val="20"/>
          <w:szCs w:val="20"/>
        </w:rPr>
      </w:pPr>
    </w:p>
    <w:p w14:paraId="337B4525" w14:textId="77777777" w:rsidR="004C78EF" w:rsidRPr="005F15D3" w:rsidRDefault="004C78EF" w:rsidP="00002ED5">
      <w:pPr>
        <w:spacing w:after="120" w:line="276" w:lineRule="auto"/>
        <w:jc w:val="both"/>
        <w:rPr>
          <w:rFonts w:asciiTheme="majorBidi" w:hAnsiTheme="majorBidi" w:cstheme="majorBidi"/>
          <w:sz w:val="24"/>
          <w:szCs w:val="24"/>
          <w:lang w:bidi="ar-EG"/>
        </w:rPr>
      </w:pPr>
      <w:r w:rsidRPr="005F15D3">
        <w:rPr>
          <w:rFonts w:asciiTheme="majorBidi" w:hAnsiTheme="majorBidi" w:cstheme="majorBidi"/>
          <w:sz w:val="24"/>
          <w:szCs w:val="24"/>
        </w:rPr>
        <w:t>-</w:t>
      </w:r>
      <w:r w:rsidRPr="005F15D3">
        <w:rPr>
          <w:rFonts w:asciiTheme="majorBidi" w:hAnsiTheme="majorBidi" w:cstheme="majorBidi"/>
          <w:sz w:val="24"/>
          <w:szCs w:val="24"/>
          <w:lang w:bidi="ar-EG"/>
        </w:rPr>
        <w:t>The annual average of relative humidity recorded at the weather stations in the South Sinai Governorate was approximately 48.4%. A review of the annual averages of relative humidity at the main stations across the governorate shows that: the highest average was recorded in the city of El-Tor on the coast of the Gulf of Suez, reaching about 58.4%, and the lowest average was recorded in the city of Saint Catherine in the heart of the governorate, reaching nearly 33%.</w:t>
      </w:r>
    </w:p>
    <w:p w14:paraId="1B18644D" w14:textId="77777777" w:rsidR="000F2483" w:rsidRPr="005F15D3" w:rsidRDefault="005677C5" w:rsidP="00002ED5">
      <w:pPr>
        <w:spacing w:after="120" w:line="276" w:lineRule="auto"/>
        <w:jc w:val="both"/>
        <w:rPr>
          <w:rFonts w:asciiTheme="majorBidi" w:hAnsiTheme="majorBidi" w:cstheme="majorBidi"/>
          <w:sz w:val="24"/>
          <w:szCs w:val="24"/>
        </w:rPr>
      </w:pPr>
      <w:r w:rsidRPr="005F15D3">
        <w:rPr>
          <w:rFonts w:asciiTheme="majorBidi" w:hAnsiTheme="majorBidi" w:cstheme="majorBidi"/>
          <w:noProof/>
          <w:sz w:val="24"/>
          <w:szCs w:val="24"/>
        </w:rPr>
        <w:lastRenderedPageBreak/>
        <w:drawing>
          <wp:anchor distT="0" distB="0" distL="114300" distR="114300" simplePos="0" relativeHeight="251678720" behindDoc="1" locked="0" layoutInCell="1" allowOverlap="1" wp14:anchorId="258D5886" wp14:editId="3A89E459">
            <wp:simplePos x="0" y="0"/>
            <wp:positionH relativeFrom="margin">
              <wp:align>right</wp:align>
            </wp:positionH>
            <wp:positionV relativeFrom="paragraph">
              <wp:posOffset>1356360</wp:posOffset>
            </wp:positionV>
            <wp:extent cx="4262120" cy="3832225"/>
            <wp:effectExtent l="0" t="0" r="5080" b="0"/>
            <wp:wrapTight wrapText="bothSides">
              <wp:wrapPolygon edited="0">
                <wp:start x="0" y="0"/>
                <wp:lineTo x="0" y="21475"/>
                <wp:lineTo x="21529" y="21475"/>
                <wp:lineTo x="2152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62120" cy="3832225"/>
                    </a:xfrm>
                    <a:prstGeom prst="rect">
                      <a:avLst/>
                    </a:prstGeom>
                    <a:noFill/>
                    <a:ln>
                      <a:noFill/>
                    </a:ln>
                  </pic:spPr>
                </pic:pic>
              </a:graphicData>
            </a:graphic>
            <wp14:sizeRelH relativeFrom="page">
              <wp14:pctWidth>0</wp14:pctWidth>
            </wp14:sizeRelH>
            <wp14:sizeRelV relativeFrom="page">
              <wp14:pctHeight>0</wp14:pctHeight>
            </wp14:sizeRelV>
          </wp:anchor>
        </w:drawing>
      </w:r>
      <w:r w:rsidR="000F2483" w:rsidRPr="005F15D3">
        <w:rPr>
          <w:rFonts w:asciiTheme="majorBidi" w:hAnsiTheme="majorBidi" w:cstheme="majorBidi"/>
          <w:sz w:val="24"/>
          <w:szCs w:val="24"/>
          <w:rtl/>
          <w:lang w:bidi="ar-EG"/>
        </w:rPr>
        <w:t>-</w:t>
      </w:r>
      <w:r w:rsidR="000F2483" w:rsidRPr="005F15D3">
        <w:rPr>
          <w:rFonts w:asciiTheme="majorBidi" w:hAnsiTheme="majorBidi" w:cstheme="majorBidi"/>
          <w:sz w:val="24"/>
          <w:szCs w:val="24"/>
        </w:rPr>
        <w:t xml:space="preserve"> The quarterly averages of relative humidity in the governorate showed a clear variation across the four seasons of the year. Winter recorded the highest average humidity, at approximately 54.1%, while summer registered the lowest average relative humidity, at about 44.8%. As for the spring and autumn seasons, their quarterly averages of relative humidity were about 45% and 51%, respectively.</w:t>
      </w:r>
      <w:r w:rsidR="00274AB9" w:rsidRPr="005F15D3">
        <w:rPr>
          <w:rFonts w:asciiTheme="majorBidi" w:hAnsiTheme="majorBidi" w:cstheme="majorBidi"/>
          <w:sz w:val="24"/>
          <w:szCs w:val="24"/>
        </w:rPr>
        <w:t xml:space="preserve"> </w:t>
      </w:r>
      <w:r w:rsidR="000F2483" w:rsidRPr="005F15D3">
        <w:rPr>
          <w:rFonts w:asciiTheme="majorBidi" w:hAnsiTheme="majorBidi" w:cstheme="majorBidi"/>
          <w:sz w:val="24"/>
          <w:szCs w:val="24"/>
        </w:rPr>
        <w:t>This indicates a convergence in relative humidity between the summer solstice and the vernal equinox, and between the winter solstice and the autumnal equinox.</w:t>
      </w:r>
      <w:r w:rsidR="00274AB9" w:rsidRPr="005F15D3">
        <w:rPr>
          <w:rFonts w:asciiTheme="majorBidi" w:hAnsiTheme="majorBidi" w:cstheme="majorBidi"/>
          <w:sz w:val="24"/>
          <w:szCs w:val="24"/>
        </w:rPr>
        <w:t xml:space="preserve"> </w:t>
      </w:r>
      <w:r w:rsidR="000F2483" w:rsidRPr="005F15D3">
        <w:rPr>
          <w:rFonts w:asciiTheme="majorBidi" w:hAnsiTheme="majorBidi" w:cstheme="majorBidi"/>
          <w:sz w:val="24"/>
          <w:szCs w:val="24"/>
        </w:rPr>
        <w:t xml:space="preserve">When comparing the monthly averages of relative humidity at the main stations in the governorate, it is clear that the highest average was recorded in the cities of Abu </w:t>
      </w:r>
      <w:proofErr w:type="spellStart"/>
      <w:r w:rsidR="000F2483" w:rsidRPr="005F15D3">
        <w:rPr>
          <w:rFonts w:asciiTheme="majorBidi" w:hAnsiTheme="majorBidi" w:cstheme="majorBidi"/>
          <w:sz w:val="24"/>
          <w:szCs w:val="24"/>
        </w:rPr>
        <w:t>Rudeis</w:t>
      </w:r>
      <w:proofErr w:type="spellEnd"/>
      <w:r w:rsidR="000F2483" w:rsidRPr="005F15D3">
        <w:rPr>
          <w:rFonts w:asciiTheme="majorBidi" w:hAnsiTheme="majorBidi" w:cstheme="majorBidi"/>
          <w:sz w:val="24"/>
          <w:szCs w:val="24"/>
        </w:rPr>
        <w:t xml:space="preserve"> and El-Tor during the autumn season, with an average of about 60.7%. The lowest average was recorded in the city of Saint Catherine during the summer, with a value of approximately 27%.</w:t>
      </w:r>
    </w:p>
    <w:p w14:paraId="11CC98DF" w14:textId="77777777" w:rsidR="00C82217" w:rsidRPr="005F15D3" w:rsidRDefault="00C724CE" w:rsidP="00002ED5">
      <w:pPr>
        <w:pStyle w:val="NormalWeb"/>
        <w:spacing w:before="0" w:beforeAutospacing="0" w:after="120" w:afterAutospacing="0" w:line="276" w:lineRule="auto"/>
        <w:jc w:val="both"/>
        <w:rPr>
          <w:rFonts w:asciiTheme="majorBidi" w:hAnsiTheme="majorBidi" w:cstheme="majorBidi"/>
          <w:lang w:bidi="ar-EG"/>
        </w:rPr>
      </w:pPr>
      <w:r w:rsidRPr="005F15D3">
        <w:rPr>
          <w:rFonts w:asciiTheme="majorBidi" w:hAnsiTheme="majorBidi" w:cstheme="majorBidi"/>
          <w:lang w:bidi="ar-EG"/>
        </w:rPr>
        <w:t>-</w:t>
      </w:r>
      <w:r w:rsidR="00C86867" w:rsidRPr="005F15D3">
        <w:rPr>
          <w:rFonts w:asciiTheme="majorBidi" w:hAnsiTheme="majorBidi" w:cstheme="majorBidi"/>
          <w:lang w:bidi="ar-EG"/>
        </w:rPr>
        <w:t xml:space="preserve"> The monthly averages of relative humidity also showed a significant variation throughout the year. December recorded the highest average humidity, with a relative humidity percentage of 36% recorded in the city of Ras Sudr. July recorded the lowest average relative humidity, at about 26% recorded in the city of Saint Catherine.</w:t>
      </w:r>
    </w:p>
    <w:p w14:paraId="71114DA5" w14:textId="77777777" w:rsidR="00C82217" w:rsidRPr="005F15D3" w:rsidRDefault="00247BC6" w:rsidP="00002ED5">
      <w:pPr>
        <w:pStyle w:val="NormalWeb"/>
        <w:spacing w:before="0" w:beforeAutospacing="0" w:after="120" w:afterAutospacing="0" w:line="276" w:lineRule="auto"/>
        <w:jc w:val="both"/>
        <w:rPr>
          <w:rFonts w:asciiTheme="majorBidi" w:hAnsiTheme="majorBidi" w:cstheme="majorBidi"/>
          <w:lang w:bidi="ar-EG"/>
        </w:rPr>
      </w:pPr>
      <w:r w:rsidRPr="005F15D3">
        <w:rPr>
          <w:rFonts w:asciiTheme="majorBidi" w:hAnsiTheme="majorBidi" w:cstheme="majorBidi"/>
          <w:lang w:bidi="ar-EG"/>
        </w:rPr>
        <w:t xml:space="preserve">Based on the foregoing and according to the </w:t>
      </w:r>
      <w:r w:rsidR="00476F41" w:rsidRPr="005F15D3">
        <w:rPr>
          <w:rFonts w:asciiTheme="majorBidi" w:hAnsiTheme="majorBidi" w:cstheme="majorBidi"/>
          <w:lang w:bidi="ar-EG"/>
        </w:rPr>
        <w:t>p</w:t>
      </w:r>
      <w:r w:rsidRPr="005F15D3">
        <w:rPr>
          <w:rFonts w:asciiTheme="majorBidi" w:hAnsiTheme="majorBidi" w:cstheme="majorBidi"/>
          <w:lang w:bidi="ar-EG"/>
        </w:rPr>
        <w:t xml:space="preserve">hysiological </w:t>
      </w:r>
      <w:r w:rsidR="00476F41" w:rsidRPr="005F15D3">
        <w:rPr>
          <w:rFonts w:asciiTheme="majorBidi" w:hAnsiTheme="majorBidi" w:cstheme="majorBidi"/>
          <w:lang w:bidi="ar-EG"/>
        </w:rPr>
        <w:t>c</w:t>
      </w:r>
      <w:r w:rsidRPr="005F15D3">
        <w:rPr>
          <w:rFonts w:asciiTheme="majorBidi" w:hAnsiTheme="majorBidi" w:cstheme="majorBidi"/>
          <w:lang w:bidi="ar-EG"/>
        </w:rPr>
        <w:t xml:space="preserve">limate </w:t>
      </w:r>
      <w:r w:rsidR="00476F41" w:rsidRPr="005F15D3">
        <w:rPr>
          <w:rFonts w:asciiTheme="majorBidi" w:hAnsiTheme="majorBidi" w:cstheme="majorBidi"/>
          <w:lang w:bidi="ar-EG"/>
        </w:rPr>
        <w:t>r</w:t>
      </w:r>
      <w:r w:rsidRPr="005F15D3">
        <w:rPr>
          <w:rFonts w:asciiTheme="majorBidi" w:hAnsiTheme="majorBidi" w:cstheme="majorBidi"/>
          <w:lang w:bidi="ar-EG"/>
        </w:rPr>
        <w:t>ule, which states that relative humidity readings of 50% or less in hot desert climate zones allow humans to feel a considerable degree of comfort (Boniface &amp; Cooper, 1990, 210), the South Sinai Governorate, with its relative humidity characteristics, is considered a suitable environment for tourist comfort and for engaging in touristic activities.</w:t>
      </w:r>
    </w:p>
    <w:p w14:paraId="3FDC9A58" w14:textId="77777777" w:rsidR="00476F41" w:rsidRPr="005F15D3" w:rsidRDefault="00476F41" w:rsidP="00307945">
      <w:pPr>
        <w:pStyle w:val="Heading3"/>
        <w:spacing w:before="160" w:after="80" w:line="276" w:lineRule="auto"/>
        <w:jc w:val="both"/>
        <w:rPr>
          <w:rFonts w:asciiTheme="majorBidi" w:eastAsia="Times New Roman" w:hAnsiTheme="majorBidi"/>
          <w:b/>
          <w:bCs/>
          <w:color w:val="auto"/>
        </w:rPr>
      </w:pPr>
      <w:r w:rsidRPr="005F15D3">
        <w:rPr>
          <w:rFonts w:asciiTheme="majorBidi" w:eastAsia="Times New Roman" w:hAnsiTheme="majorBidi"/>
          <w:b/>
          <w:bCs/>
          <w:color w:val="auto"/>
        </w:rPr>
        <w:t>2- Climate and Tourist Comfort</w:t>
      </w:r>
    </w:p>
    <w:p w14:paraId="0D19EEEC" w14:textId="77777777" w:rsidR="002C2446" w:rsidRPr="005F15D3" w:rsidRDefault="002C2446" w:rsidP="00002ED5">
      <w:pPr>
        <w:spacing w:after="120" w:line="276" w:lineRule="auto"/>
        <w:jc w:val="both"/>
        <w:rPr>
          <w:rFonts w:asciiTheme="majorBidi" w:eastAsia="Times New Roman" w:hAnsiTheme="majorBidi" w:cstheme="majorBidi"/>
          <w:sz w:val="24"/>
          <w:szCs w:val="24"/>
        </w:rPr>
      </w:pPr>
      <w:r w:rsidRPr="005F15D3">
        <w:rPr>
          <w:rFonts w:asciiTheme="majorBidi" w:eastAsia="Times New Roman" w:hAnsiTheme="majorBidi" w:cstheme="majorBidi"/>
          <w:sz w:val="24"/>
          <w:szCs w:val="24"/>
        </w:rPr>
        <w:t xml:space="preserve">This section provides a quantitative description of the relationship between climate and tourist comfort in the South Sinai Governorate, attempting to map the spatial and temporal physiological comfort zones for tourists in the governorate. This is done by applying the two mathematical models of Thom and </w:t>
      </w:r>
      <w:proofErr w:type="spellStart"/>
      <w:r w:rsidRPr="005F15D3">
        <w:rPr>
          <w:rFonts w:asciiTheme="majorBidi" w:eastAsia="Times New Roman" w:hAnsiTheme="majorBidi" w:cstheme="majorBidi"/>
          <w:sz w:val="24"/>
          <w:szCs w:val="24"/>
        </w:rPr>
        <w:t>Pesi</w:t>
      </w:r>
      <w:proofErr w:type="spellEnd"/>
      <w:r w:rsidRPr="005F15D3">
        <w:rPr>
          <w:rFonts w:asciiTheme="majorBidi" w:eastAsia="Times New Roman" w:hAnsiTheme="majorBidi" w:cstheme="majorBidi"/>
          <w:sz w:val="24"/>
          <w:szCs w:val="24"/>
        </w:rPr>
        <w:t xml:space="preserve">, which rely on the relationship between temperature and humidity. These two elements are considered to play an essential role in achieving tourist comfort. In desert areas, a temperature </w:t>
      </w:r>
      <w:r w:rsidR="001E79DD" w:rsidRPr="005F15D3">
        <w:rPr>
          <w:rFonts w:asciiTheme="majorBidi" w:eastAsia="Times New Roman" w:hAnsiTheme="majorBidi" w:cstheme="majorBidi"/>
          <w:sz w:val="24"/>
          <w:szCs w:val="24"/>
        </w:rPr>
        <w:t xml:space="preserve">of 29° </w:t>
      </w:r>
      <w:r w:rsidRPr="005F15D3">
        <w:rPr>
          <w:rFonts w:asciiTheme="majorBidi" w:eastAsia="Times New Roman" w:hAnsiTheme="majorBidi" w:cstheme="majorBidi"/>
          <w:sz w:val="24"/>
          <w:szCs w:val="24"/>
        </w:rPr>
        <w:t>C coupled with a relative humidity of 50% is considered the permissible limit for a human (tourist) to feel comfortable (Boniface &amp; Cooper, 1990, 210).</w:t>
      </w:r>
      <w:r w:rsidR="001E79DD" w:rsidRPr="005F15D3">
        <w:rPr>
          <w:rFonts w:asciiTheme="majorBidi" w:eastAsia="Times New Roman" w:hAnsiTheme="majorBidi" w:cstheme="majorBidi"/>
          <w:sz w:val="24"/>
          <w:szCs w:val="24"/>
        </w:rPr>
        <w:t xml:space="preserve"> </w:t>
      </w:r>
      <w:r w:rsidRPr="005F15D3">
        <w:rPr>
          <w:rFonts w:asciiTheme="majorBidi" w:eastAsia="Times New Roman" w:hAnsiTheme="majorBidi" w:cstheme="majorBidi"/>
          <w:sz w:val="24"/>
          <w:szCs w:val="24"/>
        </w:rPr>
        <w:t xml:space="preserve">The study's choice to apply these two models was based on the governorate's location within the hot desert climate region which is characterized by scarce rainfall. The limited amount of rainfall </w:t>
      </w:r>
      <w:r w:rsidRPr="005F15D3">
        <w:rPr>
          <w:rFonts w:asciiTheme="majorBidi" w:eastAsia="Times New Roman" w:hAnsiTheme="majorBidi" w:cstheme="majorBidi"/>
          <w:sz w:val="24"/>
          <w:szCs w:val="24"/>
        </w:rPr>
        <w:lastRenderedPageBreak/>
        <w:t>does not affect humidity when studying the relationship between climate and human comfort. Furthermore, it is acknowledged that humans can tolerate high temperatures if the air is dry, but conversely, they feel discomfort and distress if the air is humid (</w:t>
      </w:r>
      <w:proofErr w:type="spellStart"/>
      <w:r w:rsidR="009446E3" w:rsidRPr="005F15D3">
        <w:rPr>
          <w:rFonts w:asciiTheme="majorBidi" w:hAnsiTheme="majorBidi" w:cstheme="majorBidi"/>
          <w:sz w:val="24"/>
          <w:szCs w:val="24"/>
        </w:rPr>
        <w:t>Martın</w:t>
      </w:r>
      <w:proofErr w:type="spellEnd"/>
      <w:r w:rsidR="009446E3" w:rsidRPr="005F15D3">
        <w:rPr>
          <w:rFonts w:asciiTheme="majorBidi" w:hAnsiTheme="majorBidi" w:cstheme="majorBidi"/>
          <w:sz w:val="24"/>
          <w:szCs w:val="24"/>
        </w:rPr>
        <w:t>, 2005, 576</w:t>
      </w:r>
      <w:r w:rsidR="00D41146" w:rsidRPr="005F15D3">
        <w:rPr>
          <w:rFonts w:asciiTheme="majorBidi" w:hAnsiTheme="majorBidi" w:cstheme="majorBidi"/>
          <w:sz w:val="24"/>
          <w:szCs w:val="24"/>
        </w:rPr>
        <w:t xml:space="preserve">; </w:t>
      </w:r>
      <w:r w:rsidR="00D41146" w:rsidRPr="005F15D3">
        <w:rPr>
          <w:rFonts w:asciiTheme="majorBidi" w:eastAsia="Times New Roman" w:hAnsiTheme="majorBidi" w:cstheme="majorBidi"/>
          <w:sz w:val="24"/>
          <w:szCs w:val="24"/>
        </w:rPr>
        <w:t>Md Din et al., 2014, 6-8</w:t>
      </w:r>
      <w:r w:rsidRPr="005F15D3">
        <w:rPr>
          <w:rFonts w:asciiTheme="majorBidi" w:eastAsia="Times New Roman" w:hAnsiTheme="majorBidi" w:cstheme="majorBidi"/>
          <w:sz w:val="24"/>
          <w:szCs w:val="24"/>
        </w:rPr>
        <w:t>).</w:t>
      </w:r>
    </w:p>
    <w:p w14:paraId="36EF9C1E" w14:textId="77777777" w:rsidR="003F0042" w:rsidRPr="005F15D3" w:rsidRDefault="00AF585E" w:rsidP="00002ED5">
      <w:pPr>
        <w:pStyle w:val="Heading3"/>
        <w:spacing w:before="160" w:after="120" w:line="276" w:lineRule="auto"/>
        <w:jc w:val="both"/>
        <w:rPr>
          <w:rFonts w:asciiTheme="majorBidi" w:eastAsia="Times New Roman" w:hAnsiTheme="majorBidi"/>
          <w:b/>
          <w:bCs/>
          <w:color w:val="auto"/>
          <w:rtl/>
        </w:rPr>
      </w:pPr>
      <w:r w:rsidRPr="005F15D3">
        <w:rPr>
          <w:rFonts w:asciiTheme="majorBidi" w:eastAsia="Times New Roman" w:hAnsiTheme="majorBidi"/>
          <w:b/>
          <w:bCs/>
          <w:color w:val="auto"/>
        </w:rPr>
        <w:t>2-1- Thom model</w:t>
      </w:r>
    </w:p>
    <w:p w14:paraId="2144F036" w14:textId="77777777" w:rsidR="00AF585E" w:rsidRPr="005F15D3" w:rsidRDefault="007B44AA" w:rsidP="00002ED5">
      <w:pPr>
        <w:spacing w:after="0" w:line="276" w:lineRule="auto"/>
        <w:jc w:val="both"/>
        <w:rPr>
          <w:rFonts w:asciiTheme="majorBidi" w:eastAsia="Times New Roman" w:hAnsiTheme="majorBidi" w:cstheme="majorBidi"/>
          <w:sz w:val="24"/>
          <w:szCs w:val="24"/>
        </w:rPr>
      </w:pPr>
      <w:r w:rsidRPr="005F15D3">
        <w:rPr>
          <w:rFonts w:asciiTheme="majorBidi" w:hAnsiTheme="majorBidi" w:cstheme="majorBidi"/>
          <w:sz w:val="24"/>
          <w:szCs w:val="24"/>
        </w:rPr>
        <w:t xml:space="preserve">The Thom model is scientifically recognized as the </w:t>
      </w:r>
      <w:r w:rsidR="0004045E" w:rsidRPr="005F15D3">
        <w:rPr>
          <w:rFonts w:asciiTheme="majorBidi" w:hAnsiTheme="majorBidi" w:cstheme="majorBidi"/>
          <w:sz w:val="24"/>
          <w:szCs w:val="24"/>
        </w:rPr>
        <w:t>d</w:t>
      </w:r>
      <w:r w:rsidRPr="005F15D3">
        <w:rPr>
          <w:rFonts w:asciiTheme="majorBidi" w:hAnsiTheme="majorBidi" w:cstheme="majorBidi"/>
          <w:sz w:val="24"/>
          <w:szCs w:val="24"/>
        </w:rPr>
        <w:t xml:space="preserve">iscomfort </w:t>
      </w:r>
      <w:r w:rsidR="0004045E" w:rsidRPr="005F15D3">
        <w:rPr>
          <w:rFonts w:asciiTheme="majorBidi" w:hAnsiTheme="majorBidi" w:cstheme="majorBidi"/>
          <w:sz w:val="24"/>
          <w:szCs w:val="24"/>
        </w:rPr>
        <w:t>i</w:t>
      </w:r>
      <w:r w:rsidRPr="005F15D3">
        <w:rPr>
          <w:rFonts w:asciiTheme="majorBidi" w:hAnsiTheme="majorBidi" w:cstheme="majorBidi"/>
          <w:sz w:val="24"/>
          <w:szCs w:val="24"/>
        </w:rPr>
        <w:t xml:space="preserve">ndex (DI), and is also referred to interchangeably as the </w:t>
      </w:r>
      <w:r w:rsidR="0004045E" w:rsidRPr="005F15D3">
        <w:rPr>
          <w:rFonts w:asciiTheme="majorBidi" w:hAnsiTheme="majorBidi" w:cstheme="majorBidi"/>
          <w:sz w:val="24"/>
          <w:szCs w:val="24"/>
        </w:rPr>
        <w:t>t</w:t>
      </w:r>
      <w:r w:rsidRPr="005F15D3">
        <w:rPr>
          <w:rFonts w:asciiTheme="majorBidi" w:hAnsiTheme="majorBidi" w:cstheme="majorBidi"/>
          <w:sz w:val="24"/>
          <w:szCs w:val="24"/>
        </w:rPr>
        <w:t xml:space="preserve">emperature </w:t>
      </w:r>
      <w:r w:rsidR="0004045E" w:rsidRPr="005F15D3">
        <w:rPr>
          <w:rFonts w:asciiTheme="majorBidi" w:hAnsiTheme="majorBidi" w:cstheme="majorBidi"/>
          <w:sz w:val="24"/>
          <w:szCs w:val="24"/>
        </w:rPr>
        <w:t>h</w:t>
      </w:r>
      <w:r w:rsidRPr="005F15D3">
        <w:rPr>
          <w:rFonts w:asciiTheme="majorBidi" w:hAnsiTheme="majorBidi" w:cstheme="majorBidi"/>
          <w:sz w:val="24"/>
          <w:szCs w:val="24"/>
        </w:rPr>
        <w:t xml:space="preserve">umidity </w:t>
      </w:r>
      <w:r w:rsidR="0004045E" w:rsidRPr="005F15D3">
        <w:rPr>
          <w:rFonts w:asciiTheme="majorBidi" w:hAnsiTheme="majorBidi" w:cstheme="majorBidi"/>
          <w:sz w:val="24"/>
          <w:szCs w:val="24"/>
        </w:rPr>
        <w:t>i</w:t>
      </w:r>
      <w:r w:rsidRPr="005F15D3">
        <w:rPr>
          <w:rFonts w:asciiTheme="majorBidi" w:hAnsiTheme="majorBidi" w:cstheme="majorBidi"/>
          <w:sz w:val="24"/>
          <w:szCs w:val="24"/>
        </w:rPr>
        <w:t xml:space="preserve">ndex (THI). As a widely adopted empirical model, the DI was employed to quantify the degree of human thermal discomfort at the selected locations. </w:t>
      </w:r>
      <w:r w:rsidR="00AF585E" w:rsidRPr="005F15D3">
        <w:rPr>
          <w:rFonts w:asciiTheme="majorBidi" w:eastAsia="Times New Roman" w:hAnsiTheme="majorBidi" w:cstheme="majorBidi"/>
          <w:sz w:val="24"/>
          <w:szCs w:val="24"/>
        </w:rPr>
        <w:t>The index was calculated based on air temperature and relative humidity using the following formula (Thom, 1959, 58-60</w:t>
      </w:r>
      <w:r w:rsidR="00446FBB" w:rsidRPr="005F15D3">
        <w:rPr>
          <w:rFonts w:asciiTheme="majorBidi" w:eastAsia="Times New Roman" w:hAnsiTheme="majorBidi" w:cstheme="majorBidi"/>
          <w:sz w:val="24"/>
          <w:szCs w:val="24"/>
        </w:rPr>
        <w:t>; Md Din et al., 2014, 8-9</w:t>
      </w:r>
      <w:r w:rsidR="00AF585E" w:rsidRPr="005F15D3">
        <w:rPr>
          <w:rFonts w:asciiTheme="majorBidi" w:eastAsia="Times New Roman" w:hAnsiTheme="majorBidi" w:cstheme="majorBidi"/>
          <w:sz w:val="24"/>
          <w:szCs w:val="24"/>
        </w:rPr>
        <w:t>):</w:t>
      </w:r>
    </w:p>
    <w:p w14:paraId="6CBFFBC4" w14:textId="77777777" w:rsidR="00AF585E" w:rsidRPr="005F15D3" w:rsidRDefault="00AF585E" w:rsidP="00002ED5">
      <w:pPr>
        <w:spacing w:after="0" w:line="276" w:lineRule="auto"/>
        <w:jc w:val="center"/>
        <w:rPr>
          <w:rFonts w:asciiTheme="majorBidi" w:eastAsia="Times New Roman" w:hAnsiTheme="majorBidi" w:cstheme="majorBidi"/>
          <w:sz w:val="24"/>
          <w:szCs w:val="24"/>
        </w:rPr>
      </w:pPr>
      <w:r w:rsidRPr="005F15D3">
        <w:rPr>
          <w:rFonts w:asciiTheme="majorBidi" w:eastAsia="Times New Roman" w:hAnsiTheme="majorBidi" w:cstheme="majorBidi"/>
          <w:sz w:val="24"/>
          <w:szCs w:val="24"/>
        </w:rPr>
        <w:t xml:space="preserve">DI = Ta - (0.55 - 0.0055 </w:t>
      </w:r>
      <w:proofErr w:type="gramStart"/>
      <w:r w:rsidRPr="005F15D3">
        <w:rPr>
          <w:rFonts w:asciiTheme="majorBidi" w:eastAsia="Times New Roman" w:hAnsiTheme="majorBidi" w:cstheme="majorBidi"/>
          <w:sz w:val="24"/>
          <w:szCs w:val="24"/>
        </w:rPr>
        <w:t>RH)(</w:t>
      </w:r>
      <w:proofErr w:type="gramEnd"/>
      <w:r w:rsidRPr="005F15D3">
        <w:rPr>
          <w:rFonts w:asciiTheme="majorBidi" w:eastAsia="Times New Roman" w:hAnsiTheme="majorBidi" w:cstheme="majorBidi"/>
          <w:sz w:val="24"/>
          <w:szCs w:val="24"/>
        </w:rPr>
        <w:t>Ta - 14.5)</w:t>
      </w:r>
    </w:p>
    <w:p w14:paraId="1C2A783B" w14:textId="77777777" w:rsidR="00AF585E" w:rsidRPr="005F15D3" w:rsidRDefault="00AF585E" w:rsidP="00002ED5">
      <w:pPr>
        <w:spacing w:after="120" w:line="276" w:lineRule="auto"/>
        <w:rPr>
          <w:rFonts w:asciiTheme="majorBidi" w:eastAsia="Times New Roman" w:hAnsiTheme="majorBidi" w:cstheme="majorBidi"/>
          <w:sz w:val="24"/>
          <w:szCs w:val="24"/>
        </w:rPr>
      </w:pPr>
      <w:r w:rsidRPr="005F15D3">
        <w:rPr>
          <w:rFonts w:asciiTheme="majorBidi" w:eastAsia="Times New Roman" w:hAnsiTheme="majorBidi" w:cstheme="majorBidi"/>
          <w:sz w:val="24"/>
          <w:szCs w:val="24"/>
        </w:rPr>
        <w:t>Where:</w:t>
      </w:r>
    </w:p>
    <w:p w14:paraId="245323CF" w14:textId="77777777" w:rsidR="00AF585E" w:rsidRPr="005F15D3" w:rsidRDefault="00AF585E" w:rsidP="00002ED5">
      <w:pPr>
        <w:spacing w:after="120" w:line="276" w:lineRule="auto"/>
        <w:ind w:left="720"/>
        <w:rPr>
          <w:rFonts w:asciiTheme="majorBidi" w:eastAsia="Times New Roman" w:hAnsiTheme="majorBidi" w:cstheme="majorBidi"/>
          <w:sz w:val="24"/>
          <w:szCs w:val="24"/>
        </w:rPr>
      </w:pPr>
      <w:r w:rsidRPr="005F15D3">
        <w:rPr>
          <w:rFonts w:asciiTheme="majorBidi" w:eastAsia="Times New Roman" w:hAnsiTheme="majorBidi" w:cstheme="majorBidi"/>
          <w:sz w:val="24"/>
          <w:szCs w:val="24"/>
        </w:rPr>
        <w:t>DI</w:t>
      </w:r>
      <w:r w:rsidR="00607199" w:rsidRPr="005F15D3">
        <w:rPr>
          <w:rFonts w:asciiTheme="majorBidi" w:eastAsia="Times New Roman" w:hAnsiTheme="majorBidi" w:cstheme="majorBidi"/>
          <w:sz w:val="24"/>
          <w:szCs w:val="24"/>
        </w:rPr>
        <w:t>: Discomfort Index.</w:t>
      </w:r>
    </w:p>
    <w:p w14:paraId="249194C4" w14:textId="77777777" w:rsidR="00AF585E" w:rsidRPr="005F15D3" w:rsidRDefault="00AF585E" w:rsidP="00002ED5">
      <w:pPr>
        <w:spacing w:after="120" w:line="276" w:lineRule="auto"/>
        <w:ind w:left="720"/>
        <w:rPr>
          <w:rFonts w:asciiTheme="majorBidi" w:eastAsia="Times New Roman" w:hAnsiTheme="majorBidi" w:cstheme="majorBidi"/>
          <w:sz w:val="24"/>
          <w:szCs w:val="24"/>
        </w:rPr>
      </w:pPr>
      <w:r w:rsidRPr="005F15D3">
        <w:rPr>
          <w:rFonts w:asciiTheme="majorBidi" w:eastAsia="Times New Roman" w:hAnsiTheme="majorBidi" w:cstheme="majorBidi"/>
          <w:sz w:val="24"/>
          <w:szCs w:val="24"/>
        </w:rPr>
        <w:t>Ta: Air temperature in degrees Celsius °C).</w:t>
      </w:r>
    </w:p>
    <w:p w14:paraId="0004F182" w14:textId="77777777" w:rsidR="00AF585E" w:rsidRPr="005F15D3" w:rsidRDefault="00AF585E" w:rsidP="00002ED5">
      <w:pPr>
        <w:spacing w:after="120" w:line="276" w:lineRule="auto"/>
        <w:ind w:left="720"/>
        <w:rPr>
          <w:rFonts w:asciiTheme="majorBidi" w:eastAsia="Times New Roman" w:hAnsiTheme="majorBidi" w:cstheme="majorBidi"/>
          <w:sz w:val="24"/>
          <w:szCs w:val="24"/>
        </w:rPr>
      </w:pPr>
      <w:r w:rsidRPr="005F15D3">
        <w:rPr>
          <w:rFonts w:asciiTheme="majorBidi" w:eastAsia="Times New Roman" w:hAnsiTheme="majorBidi" w:cstheme="majorBidi"/>
          <w:sz w:val="24"/>
          <w:szCs w:val="24"/>
        </w:rPr>
        <w:t>RH: Relative humidity in percent (%).</w:t>
      </w:r>
    </w:p>
    <w:p w14:paraId="58B1B495" w14:textId="77777777" w:rsidR="00986806" w:rsidRPr="005F15D3" w:rsidRDefault="00607199" w:rsidP="00002ED5">
      <w:pPr>
        <w:spacing w:after="0" w:line="276" w:lineRule="auto"/>
        <w:jc w:val="both"/>
        <w:rPr>
          <w:rFonts w:asciiTheme="majorBidi" w:eastAsia="Times New Roman" w:hAnsiTheme="majorBidi" w:cstheme="majorBidi"/>
          <w:sz w:val="24"/>
          <w:szCs w:val="24"/>
        </w:rPr>
      </w:pPr>
      <w:r w:rsidRPr="005F15D3">
        <w:rPr>
          <w:rFonts w:asciiTheme="majorBidi" w:eastAsia="Times New Roman" w:hAnsiTheme="majorBidi" w:cstheme="majorBidi"/>
          <w:sz w:val="24"/>
          <w:szCs w:val="24"/>
        </w:rPr>
        <w:t>The</w:t>
      </w:r>
      <w:r w:rsidR="00986806" w:rsidRPr="005F15D3">
        <w:rPr>
          <w:rFonts w:asciiTheme="majorBidi" w:eastAsia="Times New Roman" w:hAnsiTheme="majorBidi" w:cstheme="majorBidi"/>
          <w:sz w:val="24"/>
          <w:szCs w:val="24"/>
        </w:rPr>
        <w:t xml:space="preserve"> classification system for the Thom's Discomfort Index (DI), used to interpret the level of human thermal sensation, is presented in Table 4. This table correlates the calculated DI values with specific comfort categories:</w:t>
      </w:r>
      <w:r w:rsidR="002E3AB1" w:rsidRPr="005F15D3">
        <w:rPr>
          <w:rFonts w:asciiTheme="majorBidi" w:eastAsia="Times New Roman" w:hAnsiTheme="majorBidi" w:cstheme="majorBidi"/>
          <w:sz w:val="24"/>
          <w:szCs w:val="24"/>
        </w:rPr>
        <w:t xml:space="preserve"> </w:t>
      </w:r>
    </w:p>
    <w:p w14:paraId="3469A65A" w14:textId="77777777" w:rsidR="00986806" w:rsidRPr="00187853" w:rsidRDefault="00986806" w:rsidP="0023095F">
      <w:pPr>
        <w:spacing w:before="120" w:after="0" w:line="240" w:lineRule="auto"/>
        <w:jc w:val="center"/>
        <w:rPr>
          <w:rFonts w:asciiTheme="majorBidi" w:eastAsia="Times New Roman" w:hAnsiTheme="majorBidi" w:cstheme="majorBidi"/>
          <w:b/>
          <w:bCs/>
          <w:sz w:val="20"/>
          <w:szCs w:val="20"/>
        </w:rPr>
      </w:pPr>
      <w:r w:rsidRPr="00187853">
        <w:rPr>
          <w:rFonts w:asciiTheme="majorBidi" w:eastAsia="Times New Roman" w:hAnsiTheme="majorBidi" w:cstheme="majorBidi"/>
          <w:b/>
          <w:bCs/>
          <w:sz w:val="20"/>
          <w:szCs w:val="20"/>
        </w:rPr>
        <w:t xml:space="preserve">Table 4. </w:t>
      </w:r>
      <w:r w:rsidR="004413ED" w:rsidRPr="00187853">
        <w:rPr>
          <w:rFonts w:asciiTheme="majorBidi" w:eastAsia="Times New Roman" w:hAnsiTheme="majorBidi" w:cstheme="majorBidi"/>
          <w:b/>
          <w:bCs/>
          <w:sz w:val="20"/>
          <w:szCs w:val="20"/>
        </w:rPr>
        <w:t>The DI Levels</w:t>
      </w:r>
    </w:p>
    <w:tbl>
      <w:tblPr>
        <w:tblStyle w:val="TableGrid"/>
        <w:tblW w:w="0" w:type="auto"/>
        <w:jc w:val="center"/>
        <w:tblLook w:val="04A0" w:firstRow="1" w:lastRow="0" w:firstColumn="1" w:lastColumn="0" w:noHBand="0" w:noVBand="1"/>
      </w:tblPr>
      <w:tblGrid>
        <w:gridCol w:w="4855"/>
        <w:gridCol w:w="2340"/>
      </w:tblGrid>
      <w:tr w:rsidR="00986806" w:rsidRPr="00187853" w14:paraId="77A6925E" w14:textId="77777777" w:rsidTr="00133AB9">
        <w:trPr>
          <w:jc w:val="center"/>
        </w:trPr>
        <w:tc>
          <w:tcPr>
            <w:tcW w:w="4855" w:type="dxa"/>
            <w:hideMark/>
          </w:tcPr>
          <w:p w14:paraId="541F9373" w14:textId="77777777" w:rsidR="00986806" w:rsidRPr="00187853" w:rsidRDefault="00D82E6B" w:rsidP="00E4743C">
            <w:pPr>
              <w:rPr>
                <w:rFonts w:asciiTheme="majorBidi" w:eastAsia="Times New Roman" w:hAnsiTheme="majorBidi" w:cstheme="majorBidi"/>
                <w:b/>
                <w:bCs/>
                <w:sz w:val="20"/>
                <w:szCs w:val="20"/>
              </w:rPr>
            </w:pPr>
            <w:r w:rsidRPr="00187853">
              <w:rPr>
                <w:rFonts w:asciiTheme="majorBidi" w:eastAsia="Times New Roman" w:hAnsiTheme="majorBidi" w:cstheme="majorBidi"/>
                <w:b/>
                <w:bCs/>
                <w:sz w:val="20"/>
                <w:szCs w:val="20"/>
              </w:rPr>
              <w:t>Level</w:t>
            </w:r>
          </w:p>
        </w:tc>
        <w:tc>
          <w:tcPr>
            <w:tcW w:w="2340" w:type="dxa"/>
            <w:hideMark/>
          </w:tcPr>
          <w:p w14:paraId="5A688AED" w14:textId="77777777" w:rsidR="00986806" w:rsidRPr="00187853" w:rsidRDefault="00000E5D" w:rsidP="00E4743C">
            <w:pPr>
              <w:rPr>
                <w:rFonts w:asciiTheme="majorBidi" w:eastAsia="Times New Roman" w:hAnsiTheme="majorBidi" w:cstheme="majorBidi"/>
                <w:b/>
                <w:bCs/>
                <w:sz w:val="20"/>
                <w:szCs w:val="20"/>
              </w:rPr>
            </w:pPr>
            <w:r w:rsidRPr="00187853">
              <w:rPr>
                <w:rFonts w:asciiTheme="majorBidi" w:eastAsia="Times New Roman" w:hAnsiTheme="majorBidi" w:cstheme="majorBidi"/>
                <w:b/>
                <w:bCs/>
                <w:sz w:val="20"/>
                <w:szCs w:val="20"/>
              </w:rPr>
              <w:t xml:space="preserve">DI </w:t>
            </w:r>
            <w:r w:rsidRPr="00187853">
              <w:rPr>
                <w:rStyle w:val="Strong"/>
                <w:rFonts w:asciiTheme="majorBidi" w:hAnsiTheme="majorBidi" w:cstheme="majorBidi"/>
                <w:sz w:val="20"/>
                <w:szCs w:val="20"/>
              </w:rPr>
              <w:t>Range</w:t>
            </w:r>
            <w:r w:rsidR="00986806" w:rsidRPr="00187853">
              <w:rPr>
                <w:rFonts w:asciiTheme="majorBidi" w:eastAsia="Times New Roman" w:hAnsiTheme="majorBidi" w:cstheme="majorBidi"/>
                <w:b/>
                <w:bCs/>
                <w:sz w:val="20"/>
                <w:szCs w:val="20"/>
              </w:rPr>
              <w:t xml:space="preserve"> </w:t>
            </w:r>
          </w:p>
        </w:tc>
      </w:tr>
      <w:tr w:rsidR="00986806" w:rsidRPr="00187853" w14:paraId="1E864D2C" w14:textId="77777777" w:rsidTr="00133AB9">
        <w:trPr>
          <w:jc w:val="center"/>
        </w:trPr>
        <w:tc>
          <w:tcPr>
            <w:tcW w:w="4855" w:type="dxa"/>
            <w:hideMark/>
          </w:tcPr>
          <w:p w14:paraId="4C4A0C0B" w14:textId="77777777" w:rsidR="00986806" w:rsidRPr="00187853" w:rsidRDefault="00986806" w:rsidP="00E4743C">
            <w:pP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Uncomfortable (Cold/Stress)</w:t>
            </w:r>
            <w:r w:rsidR="00414461" w:rsidRPr="00187853">
              <w:rPr>
                <w:rFonts w:asciiTheme="majorBidi" w:eastAsia="Times New Roman" w:hAnsiTheme="majorBidi" w:cstheme="majorBidi"/>
                <w:sz w:val="20"/>
                <w:szCs w:val="20"/>
              </w:rPr>
              <w:t xml:space="preserve"> (UCCS)</w:t>
            </w:r>
          </w:p>
        </w:tc>
        <w:tc>
          <w:tcPr>
            <w:tcW w:w="2340" w:type="dxa"/>
            <w:hideMark/>
          </w:tcPr>
          <w:p w14:paraId="4FBCF16A" w14:textId="77777777" w:rsidR="00986806" w:rsidRPr="00187853" w:rsidRDefault="00986806" w:rsidP="00E4743C">
            <w:pP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 xml:space="preserve">DI </w:t>
            </w:r>
            <w:r w:rsidR="004413ED" w:rsidRPr="00187853">
              <w:rPr>
                <w:rFonts w:asciiTheme="majorBidi" w:hAnsiTheme="majorBidi" w:cstheme="majorBidi"/>
                <w:color w:val="000000" w:themeColor="text1"/>
                <w:sz w:val="20"/>
                <w:szCs w:val="20"/>
              </w:rPr>
              <w:t xml:space="preserve">≤ </w:t>
            </w:r>
            <w:r w:rsidRPr="00187853">
              <w:rPr>
                <w:rFonts w:asciiTheme="majorBidi" w:eastAsia="Times New Roman" w:hAnsiTheme="majorBidi" w:cstheme="majorBidi"/>
                <w:sz w:val="20"/>
                <w:szCs w:val="20"/>
              </w:rPr>
              <w:t>14.9</w:t>
            </w:r>
          </w:p>
        </w:tc>
      </w:tr>
      <w:tr w:rsidR="00986806" w:rsidRPr="00187853" w14:paraId="20A92CAF" w14:textId="77777777" w:rsidTr="00133AB9">
        <w:trPr>
          <w:jc w:val="center"/>
        </w:trPr>
        <w:tc>
          <w:tcPr>
            <w:tcW w:w="4855" w:type="dxa"/>
            <w:hideMark/>
          </w:tcPr>
          <w:p w14:paraId="214B4669" w14:textId="77777777" w:rsidR="00986806" w:rsidRPr="00187853" w:rsidRDefault="00986806" w:rsidP="00414461">
            <w:pP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Comfortable</w:t>
            </w:r>
            <w:r w:rsidR="00414461" w:rsidRPr="00187853">
              <w:rPr>
                <w:rFonts w:asciiTheme="majorBidi" w:eastAsia="Times New Roman" w:hAnsiTheme="majorBidi" w:cstheme="majorBidi"/>
                <w:sz w:val="20"/>
                <w:szCs w:val="20"/>
              </w:rPr>
              <w:t xml:space="preserve"> (C)</w:t>
            </w:r>
          </w:p>
        </w:tc>
        <w:tc>
          <w:tcPr>
            <w:tcW w:w="2340" w:type="dxa"/>
            <w:hideMark/>
          </w:tcPr>
          <w:p w14:paraId="5FD8F12D" w14:textId="77777777" w:rsidR="00986806" w:rsidRPr="00187853" w:rsidRDefault="00986806" w:rsidP="00E4743C">
            <w:pP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 xml:space="preserve">15.0 </w:t>
            </w:r>
            <w:r w:rsidR="00E4743C" w:rsidRPr="00187853">
              <w:rPr>
                <w:rFonts w:asciiTheme="majorBidi" w:hAnsiTheme="majorBidi" w:cstheme="majorBidi"/>
                <w:color w:val="000000" w:themeColor="text1"/>
                <w:sz w:val="20"/>
                <w:szCs w:val="20"/>
              </w:rPr>
              <w:t xml:space="preserve">≤ </w:t>
            </w:r>
            <w:r w:rsidRPr="00187853">
              <w:rPr>
                <w:rFonts w:asciiTheme="majorBidi" w:eastAsia="Times New Roman" w:hAnsiTheme="majorBidi" w:cstheme="majorBidi"/>
                <w:sz w:val="20"/>
                <w:szCs w:val="20"/>
              </w:rPr>
              <w:t xml:space="preserve">DI </w:t>
            </w:r>
            <w:r w:rsidR="00E4743C" w:rsidRPr="00187853">
              <w:rPr>
                <w:rFonts w:asciiTheme="majorBidi" w:hAnsiTheme="majorBidi" w:cstheme="majorBidi"/>
                <w:color w:val="000000" w:themeColor="text1"/>
                <w:sz w:val="20"/>
                <w:szCs w:val="20"/>
              </w:rPr>
              <w:t xml:space="preserve">≤ </w:t>
            </w:r>
            <w:r w:rsidRPr="00187853">
              <w:rPr>
                <w:rFonts w:asciiTheme="majorBidi" w:eastAsia="Times New Roman" w:hAnsiTheme="majorBidi" w:cstheme="majorBidi"/>
                <w:sz w:val="20"/>
                <w:szCs w:val="20"/>
              </w:rPr>
              <w:t>19.9</w:t>
            </w:r>
          </w:p>
        </w:tc>
      </w:tr>
      <w:tr w:rsidR="00986806" w:rsidRPr="00187853" w14:paraId="4EE7C9D0" w14:textId="77777777" w:rsidTr="00133AB9">
        <w:trPr>
          <w:jc w:val="center"/>
        </w:trPr>
        <w:tc>
          <w:tcPr>
            <w:tcW w:w="4855" w:type="dxa"/>
            <w:hideMark/>
          </w:tcPr>
          <w:p w14:paraId="1523E72E" w14:textId="77777777" w:rsidR="00986806" w:rsidRPr="00187853" w:rsidRDefault="00986806" w:rsidP="00E4743C">
            <w:pP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Partially Comfortable</w:t>
            </w:r>
            <w:r w:rsidR="00414461" w:rsidRPr="00187853">
              <w:rPr>
                <w:rFonts w:asciiTheme="majorBidi" w:eastAsia="Times New Roman" w:hAnsiTheme="majorBidi" w:cstheme="majorBidi"/>
                <w:sz w:val="20"/>
                <w:szCs w:val="20"/>
              </w:rPr>
              <w:t xml:space="preserve"> (PC)</w:t>
            </w:r>
          </w:p>
        </w:tc>
        <w:tc>
          <w:tcPr>
            <w:tcW w:w="2340" w:type="dxa"/>
            <w:hideMark/>
          </w:tcPr>
          <w:p w14:paraId="1D688CA1" w14:textId="77777777" w:rsidR="00986806" w:rsidRPr="00187853" w:rsidRDefault="00986806" w:rsidP="00E4743C">
            <w:pP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 xml:space="preserve">20.0 </w:t>
            </w:r>
            <w:r w:rsidR="00E4743C" w:rsidRPr="00187853">
              <w:rPr>
                <w:rFonts w:asciiTheme="majorBidi" w:hAnsiTheme="majorBidi" w:cstheme="majorBidi"/>
                <w:color w:val="000000" w:themeColor="text1"/>
                <w:sz w:val="20"/>
                <w:szCs w:val="20"/>
              </w:rPr>
              <w:t xml:space="preserve">≤ </w:t>
            </w:r>
            <w:r w:rsidRPr="00187853">
              <w:rPr>
                <w:rFonts w:asciiTheme="majorBidi" w:eastAsia="Times New Roman" w:hAnsiTheme="majorBidi" w:cstheme="majorBidi"/>
                <w:sz w:val="20"/>
                <w:szCs w:val="20"/>
              </w:rPr>
              <w:t xml:space="preserve">DI </w:t>
            </w:r>
            <w:r w:rsidR="00E4743C" w:rsidRPr="00187853">
              <w:rPr>
                <w:rFonts w:asciiTheme="majorBidi" w:hAnsiTheme="majorBidi" w:cstheme="majorBidi"/>
                <w:color w:val="000000" w:themeColor="text1"/>
                <w:sz w:val="20"/>
                <w:szCs w:val="20"/>
              </w:rPr>
              <w:t xml:space="preserve">≤ </w:t>
            </w:r>
            <w:r w:rsidRPr="00187853">
              <w:rPr>
                <w:rFonts w:asciiTheme="majorBidi" w:eastAsia="Times New Roman" w:hAnsiTheme="majorBidi" w:cstheme="majorBidi"/>
                <w:sz w:val="20"/>
                <w:szCs w:val="20"/>
              </w:rPr>
              <w:t>26.4</w:t>
            </w:r>
          </w:p>
        </w:tc>
      </w:tr>
      <w:tr w:rsidR="00986806" w:rsidRPr="00187853" w14:paraId="7099B960" w14:textId="77777777" w:rsidTr="00133AB9">
        <w:trPr>
          <w:jc w:val="center"/>
        </w:trPr>
        <w:tc>
          <w:tcPr>
            <w:tcW w:w="4855" w:type="dxa"/>
            <w:hideMark/>
          </w:tcPr>
          <w:p w14:paraId="2D361BC9" w14:textId="77777777" w:rsidR="00986806" w:rsidRPr="00187853" w:rsidRDefault="00986806" w:rsidP="00133AB9">
            <w:pPr>
              <w:spacing w:line="276" w:lineRule="auto"/>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Uncomfortable (Warm/Hot Stress)</w:t>
            </w:r>
            <w:r w:rsidR="00414461" w:rsidRPr="00187853">
              <w:rPr>
                <w:rFonts w:asciiTheme="majorBidi" w:eastAsia="Times New Roman" w:hAnsiTheme="majorBidi" w:cstheme="majorBidi"/>
                <w:sz w:val="20"/>
                <w:szCs w:val="20"/>
              </w:rPr>
              <w:t xml:space="preserve"> (UCWHS)</w:t>
            </w:r>
          </w:p>
        </w:tc>
        <w:tc>
          <w:tcPr>
            <w:tcW w:w="2340" w:type="dxa"/>
            <w:hideMark/>
          </w:tcPr>
          <w:p w14:paraId="0FD4C517" w14:textId="77777777" w:rsidR="00986806" w:rsidRPr="00187853" w:rsidRDefault="00986806" w:rsidP="00133AB9">
            <w:pPr>
              <w:spacing w:line="276" w:lineRule="auto"/>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 xml:space="preserve">DI </w:t>
            </w:r>
            <w:r w:rsidR="00E4743C" w:rsidRPr="00187853">
              <w:rPr>
                <w:rFonts w:asciiTheme="majorBidi" w:hAnsiTheme="majorBidi" w:cstheme="majorBidi"/>
                <w:color w:val="000000"/>
                <w:sz w:val="20"/>
                <w:szCs w:val="20"/>
                <w:shd w:val="clear" w:color="auto" w:fill="F9F9F9"/>
              </w:rPr>
              <w:t xml:space="preserve">≥ </w:t>
            </w:r>
            <w:r w:rsidRPr="00187853">
              <w:rPr>
                <w:rFonts w:asciiTheme="majorBidi" w:eastAsia="Times New Roman" w:hAnsiTheme="majorBidi" w:cstheme="majorBidi"/>
                <w:sz w:val="20"/>
                <w:szCs w:val="20"/>
              </w:rPr>
              <w:t>26.5</w:t>
            </w:r>
          </w:p>
        </w:tc>
      </w:tr>
    </w:tbl>
    <w:p w14:paraId="546996A7" w14:textId="77777777" w:rsidR="00C34C37" w:rsidRPr="005F15D3" w:rsidRDefault="00C34C37" w:rsidP="00002ED5">
      <w:pPr>
        <w:pStyle w:val="NormalWeb"/>
        <w:spacing w:before="160" w:beforeAutospacing="0" w:after="120" w:afterAutospacing="0" w:line="276" w:lineRule="auto"/>
        <w:jc w:val="both"/>
        <w:rPr>
          <w:rFonts w:asciiTheme="majorBidi" w:hAnsiTheme="majorBidi" w:cstheme="majorBidi"/>
        </w:rPr>
      </w:pPr>
      <w:r w:rsidRPr="005F15D3">
        <w:rPr>
          <w:rFonts w:asciiTheme="majorBidi" w:hAnsiTheme="majorBidi" w:cstheme="majorBidi"/>
        </w:rPr>
        <w:t>The application of DI across the governorate's main stations</w:t>
      </w:r>
      <w:r w:rsidR="002C70F5" w:rsidRPr="005F15D3">
        <w:rPr>
          <w:rFonts w:asciiTheme="majorBidi" w:hAnsiTheme="majorBidi" w:cstheme="majorBidi"/>
        </w:rPr>
        <w:t xml:space="preserve"> </w:t>
      </w:r>
      <w:r w:rsidR="00127C97" w:rsidRPr="005F15D3">
        <w:rPr>
          <w:rFonts w:asciiTheme="majorBidi" w:hAnsiTheme="majorBidi" w:cstheme="majorBidi"/>
        </w:rPr>
        <w:t>(</w:t>
      </w:r>
      <w:r w:rsidR="002C70F5" w:rsidRPr="005F15D3">
        <w:rPr>
          <w:rFonts w:asciiTheme="majorBidi" w:hAnsiTheme="majorBidi" w:cstheme="majorBidi"/>
        </w:rPr>
        <w:t>Table 5</w:t>
      </w:r>
      <w:r w:rsidR="00127C97" w:rsidRPr="005F15D3">
        <w:rPr>
          <w:rFonts w:asciiTheme="majorBidi" w:hAnsiTheme="majorBidi" w:cstheme="majorBidi"/>
        </w:rPr>
        <w:t xml:space="preserve"> and Figure 5)</w:t>
      </w:r>
      <w:r w:rsidR="002C70F5" w:rsidRPr="005F15D3">
        <w:rPr>
          <w:rFonts w:asciiTheme="majorBidi" w:hAnsiTheme="majorBidi" w:cstheme="majorBidi"/>
        </w:rPr>
        <w:t xml:space="preserve"> </w:t>
      </w:r>
      <w:r w:rsidRPr="005F15D3">
        <w:rPr>
          <w:rFonts w:asciiTheme="majorBidi" w:hAnsiTheme="majorBidi" w:cstheme="majorBidi"/>
        </w:rPr>
        <w:t>reveals a significant spatial gradient in human comfort, with classifications ranging from "</w:t>
      </w:r>
      <w:r w:rsidR="009176C6" w:rsidRPr="005F15D3">
        <w:rPr>
          <w:rFonts w:asciiTheme="majorBidi" w:hAnsiTheme="majorBidi" w:cstheme="majorBidi"/>
        </w:rPr>
        <w:t>c</w:t>
      </w:r>
      <w:r w:rsidRPr="005F15D3">
        <w:rPr>
          <w:rFonts w:asciiTheme="majorBidi" w:hAnsiTheme="majorBidi" w:cstheme="majorBidi"/>
        </w:rPr>
        <w:t>omfortable" to "</w:t>
      </w:r>
      <w:r w:rsidR="009176C6" w:rsidRPr="005F15D3">
        <w:rPr>
          <w:rFonts w:asciiTheme="majorBidi" w:hAnsiTheme="majorBidi" w:cstheme="majorBidi"/>
        </w:rPr>
        <w:t>p</w:t>
      </w:r>
      <w:r w:rsidRPr="005F15D3">
        <w:rPr>
          <w:rFonts w:asciiTheme="majorBidi" w:hAnsiTheme="majorBidi" w:cstheme="majorBidi"/>
        </w:rPr>
        <w:t xml:space="preserve">artially </w:t>
      </w:r>
      <w:r w:rsidR="009176C6" w:rsidRPr="005F15D3">
        <w:rPr>
          <w:rFonts w:asciiTheme="majorBidi" w:hAnsiTheme="majorBidi" w:cstheme="majorBidi"/>
        </w:rPr>
        <w:t>c</w:t>
      </w:r>
      <w:r w:rsidRPr="005F15D3">
        <w:rPr>
          <w:rFonts w:asciiTheme="majorBidi" w:hAnsiTheme="majorBidi" w:cstheme="majorBidi"/>
        </w:rPr>
        <w:t xml:space="preserve">omfortable". The results confirm the suitability of the </w:t>
      </w:r>
      <w:r w:rsidR="009176C6" w:rsidRPr="005F15D3">
        <w:rPr>
          <w:rFonts w:asciiTheme="majorBidi" w:hAnsiTheme="majorBidi" w:cstheme="majorBidi"/>
        </w:rPr>
        <w:t>destination’s</w:t>
      </w:r>
      <w:r w:rsidRPr="005F15D3">
        <w:rPr>
          <w:rFonts w:asciiTheme="majorBidi" w:hAnsiTheme="majorBidi" w:cstheme="majorBidi"/>
        </w:rPr>
        <w:t xml:space="preserve"> climate for tourist activities, contingent on location.</w:t>
      </w:r>
    </w:p>
    <w:p w14:paraId="71C56B64" w14:textId="77777777" w:rsidR="00A751AF" w:rsidRPr="005F15D3" w:rsidRDefault="00A751AF" w:rsidP="00002ED5">
      <w:pPr>
        <w:pStyle w:val="NormalWeb"/>
        <w:spacing w:before="0" w:beforeAutospacing="0" w:after="120" w:afterAutospacing="0" w:line="276" w:lineRule="auto"/>
        <w:jc w:val="both"/>
        <w:rPr>
          <w:rFonts w:asciiTheme="majorBidi" w:hAnsiTheme="majorBidi" w:cstheme="majorBidi"/>
        </w:rPr>
      </w:pPr>
      <w:r w:rsidRPr="005F15D3">
        <w:rPr>
          <w:rFonts w:asciiTheme="majorBidi" w:hAnsiTheme="majorBidi" w:cstheme="majorBidi"/>
        </w:rPr>
        <w:t>Governorate Average (20.0): The calculated average DI value falls exactly on the lower boundary of the "partially comfortable" category. This is a critical finding, as it signifies that the region's climate tends to be on the cusp of optimal comfort. This general trend supports the governorate's reputation as an attractive destination.</w:t>
      </w:r>
    </w:p>
    <w:p w14:paraId="3DB5DCA8" w14:textId="77777777" w:rsidR="0077760C" w:rsidRPr="00187853" w:rsidRDefault="0077760C" w:rsidP="0023095F">
      <w:pPr>
        <w:spacing w:before="120" w:after="0"/>
        <w:jc w:val="center"/>
        <w:rPr>
          <w:rFonts w:asciiTheme="majorBidi" w:hAnsiTheme="majorBidi" w:cstheme="majorBidi"/>
          <w:sz w:val="20"/>
          <w:szCs w:val="20"/>
          <w:rtl/>
          <w:lang w:bidi="ar-EG"/>
        </w:rPr>
      </w:pPr>
      <w:r w:rsidRPr="00187853">
        <w:rPr>
          <w:rFonts w:asciiTheme="majorBidi" w:eastAsia="Times New Roman" w:hAnsiTheme="majorBidi" w:cstheme="majorBidi"/>
          <w:b/>
          <w:bCs/>
          <w:sz w:val="20"/>
          <w:szCs w:val="20"/>
        </w:rPr>
        <w:t>Table 5. The DI Levels in South Sinai Governorate</w:t>
      </w:r>
    </w:p>
    <w:tbl>
      <w:tblPr>
        <w:tblStyle w:val="TableGrid"/>
        <w:tblW w:w="0" w:type="auto"/>
        <w:jc w:val="center"/>
        <w:tblLayout w:type="fixed"/>
        <w:tblLook w:val="04A0" w:firstRow="1" w:lastRow="0" w:firstColumn="1" w:lastColumn="0" w:noHBand="0" w:noVBand="1"/>
      </w:tblPr>
      <w:tblGrid>
        <w:gridCol w:w="2425"/>
        <w:gridCol w:w="1890"/>
        <w:gridCol w:w="1260"/>
        <w:gridCol w:w="1170"/>
        <w:gridCol w:w="900"/>
        <w:gridCol w:w="1260"/>
      </w:tblGrid>
      <w:tr w:rsidR="00D313F3" w:rsidRPr="00187853" w14:paraId="17E90A6C" w14:textId="77777777" w:rsidTr="00414461">
        <w:trPr>
          <w:jc w:val="center"/>
        </w:trPr>
        <w:tc>
          <w:tcPr>
            <w:tcW w:w="2425" w:type="dxa"/>
            <w:vMerge w:val="restart"/>
            <w:vAlign w:val="center"/>
          </w:tcPr>
          <w:p w14:paraId="04DEE04B" w14:textId="77777777" w:rsidR="00D313F3" w:rsidRPr="00187853" w:rsidRDefault="00D313F3" w:rsidP="00414461">
            <w:pPr>
              <w:jc w:val="center"/>
              <w:rPr>
                <w:rStyle w:val="Strong"/>
                <w:rFonts w:asciiTheme="majorBidi" w:hAnsiTheme="majorBidi" w:cstheme="majorBidi"/>
                <w:sz w:val="20"/>
                <w:szCs w:val="20"/>
              </w:rPr>
            </w:pPr>
            <w:r w:rsidRPr="00187853">
              <w:rPr>
                <w:rStyle w:val="Strong"/>
                <w:rFonts w:asciiTheme="majorBidi" w:hAnsiTheme="majorBidi" w:cstheme="majorBidi"/>
                <w:sz w:val="20"/>
                <w:szCs w:val="20"/>
              </w:rPr>
              <w:t>Region</w:t>
            </w:r>
          </w:p>
        </w:tc>
        <w:tc>
          <w:tcPr>
            <w:tcW w:w="1890" w:type="dxa"/>
            <w:vMerge w:val="restart"/>
            <w:vAlign w:val="center"/>
          </w:tcPr>
          <w:p w14:paraId="754F46C1" w14:textId="77777777" w:rsidR="00D313F3" w:rsidRPr="00187853" w:rsidRDefault="00D313F3" w:rsidP="00414461">
            <w:pPr>
              <w:jc w:val="center"/>
              <w:rPr>
                <w:rStyle w:val="Strong"/>
                <w:rFonts w:asciiTheme="majorBidi" w:hAnsiTheme="majorBidi" w:cstheme="majorBidi"/>
                <w:sz w:val="20"/>
                <w:szCs w:val="20"/>
              </w:rPr>
            </w:pPr>
            <w:r w:rsidRPr="00187853">
              <w:rPr>
                <w:rStyle w:val="Strong"/>
                <w:rFonts w:asciiTheme="majorBidi" w:hAnsiTheme="majorBidi" w:cstheme="majorBidi"/>
                <w:sz w:val="20"/>
                <w:szCs w:val="20"/>
              </w:rPr>
              <w:t>Station</w:t>
            </w:r>
          </w:p>
        </w:tc>
        <w:tc>
          <w:tcPr>
            <w:tcW w:w="2430" w:type="dxa"/>
            <w:gridSpan w:val="2"/>
            <w:vAlign w:val="center"/>
          </w:tcPr>
          <w:p w14:paraId="7D5A4C13" w14:textId="77777777" w:rsidR="00D313F3" w:rsidRPr="00187853" w:rsidRDefault="00D313F3" w:rsidP="00C91E96">
            <w:pPr>
              <w:jc w:val="center"/>
              <w:rPr>
                <w:rStyle w:val="Strong"/>
                <w:rFonts w:asciiTheme="majorBidi" w:hAnsiTheme="majorBidi" w:cstheme="majorBidi"/>
                <w:sz w:val="20"/>
                <w:szCs w:val="20"/>
              </w:rPr>
            </w:pPr>
            <w:r w:rsidRPr="00187853">
              <w:rPr>
                <w:rStyle w:val="Strong"/>
                <w:rFonts w:asciiTheme="majorBidi" w:hAnsiTheme="majorBidi" w:cstheme="majorBidi"/>
                <w:sz w:val="20"/>
                <w:szCs w:val="20"/>
              </w:rPr>
              <w:t>Average</w:t>
            </w:r>
          </w:p>
        </w:tc>
        <w:tc>
          <w:tcPr>
            <w:tcW w:w="900" w:type="dxa"/>
            <w:vMerge w:val="restart"/>
            <w:vAlign w:val="center"/>
          </w:tcPr>
          <w:p w14:paraId="0C257FBF" w14:textId="77777777" w:rsidR="00D313F3" w:rsidRPr="00187853" w:rsidRDefault="00D313F3" w:rsidP="00C91E96">
            <w:pPr>
              <w:jc w:val="center"/>
              <w:rPr>
                <w:rStyle w:val="Strong"/>
                <w:rFonts w:asciiTheme="majorBidi" w:hAnsiTheme="majorBidi" w:cstheme="majorBidi"/>
                <w:sz w:val="20"/>
                <w:szCs w:val="20"/>
              </w:rPr>
            </w:pPr>
            <w:r w:rsidRPr="00187853">
              <w:rPr>
                <w:rStyle w:val="Strong"/>
                <w:rFonts w:asciiTheme="majorBidi" w:hAnsiTheme="majorBidi" w:cstheme="majorBidi"/>
                <w:sz w:val="20"/>
                <w:szCs w:val="20"/>
              </w:rPr>
              <w:t>DI</w:t>
            </w:r>
          </w:p>
        </w:tc>
        <w:tc>
          <w:tcPr>
            <w:tcW w:w="1260" w:type="dxa"/>
            <w:vMerge w:val="restart"/>
            <w:vAlign w:val="center"/>
          </w:tcPr>
          <w:p w14:paraId="15A28C32" w14:textId="77777777" w:rsidR="00D313F3" w:rsidRPr="00187853" w:rsidRDefault="00102760" w:rsidP="00414461">
            <w:pPr>
              <w:jc w:val="center"/>
              <w:rPr>
                <w:rStyle w:val="Strong"/>
                <w:rFonts w:asciiTheme="majorBidi" w:hAnsiTheme="majorBidi" w:cstheme="majorBidi"/>
                <w:sz w:val="20"/>
                <w:szCs w:val="20"/>
              </w:rPr>
            </w:pPr>
            <w:r w:rsidRPr="00187853">
              <w:rPr>
                <w:rFonts w:asciiTheme="majorBidi" w:eastAsia="Times New Roman" w:hAnsiTheme="majorBidi" w:cstheme="majorBidi"/>
                <w:b/>
                <w:bCs/>
                <w:sz w:val="20"/>
                <w:szCs w:val="20"/>
              </w:rPr>
              <w:t>Level</w:t>
            </w:r>
          </w:p>
        </w:tc>
      </w:tr>
      <w:tr w:rsidR="00D313F3" w:rsidRPr="00187853" w14:paraId="35A1DC2B" w14:textId="77777777" w:rsidTr="00414461">
        <w:trPr>
          <w:jc w:val="center"/>
        </w:trPr>
        <w:tc>
          <w:tcPr>
            <w:tcW w:w="2425" w:type="dxa"/>
            <w:vMerge/>
            <w:vAlign w:val="center"/>
            <w:hideMark/>
          </w:tcPr>
          <w:p w14:paraId="624183CF" w14:textId="77777777" w:rsidR="00D313F3" w:rsidRPr="00187853" w:rsidRDefault="00D313F3" w:rsidP="00C91E96">
            <w:pPr>
              <w:rPr>
                <w:rFonts w:asciiTheme="majorBidi" w:hAnsiTheme="majorBidi" w:cstheme="majorBidi"/>
                <w:sz w:val="20"/>
                <w:szCs w:val="20"/>
              </w:rPr>
            </w:pPr>
          </w:p>
        </w:tc>
        <w:tc>
          <w:tcPr>
            <w:tcW w:w="1890" w:type="dxa"/>
            <w:vMerge/>
            <w:vAlign w:val="center"/>
            <w:hideMark/>
          </w:tcPr>
          <w:p w14:paraId="066A8D58" w14:textId="77777777" w:rsidR="00D313F3" w:rsidRPr="00187853" w:rsidRDefault="00D313F3" w:rsidP="00C91E96">
            <w:pPr>
              <w:rPr>
                <w:rFonts w:asciiTheme="majorBidi" w:hAnsiTheme="majorBidi" w:cstheme="majorBidi"/>
                <w:sz w:val="20"/>
                <w:szCs w:val="20"/>
              </w:rPr>
            </w:pPr>
          </w:p>
        </w:tc>
        <w:tc>
          <w:tcPr>
            <w:tcW w:w="1260" w:type="dxa"/>
            <w:vAlign w:val="center"/>
            <w:hideMark/>
          </w:tcPr>
          <w:p w14:paraId="40BD2716" w14:textId="77777777" w:rsidR="00D313F3" w:rsidRPr="00187853" w:rsidRDefault="00D313F3" w:rsidP="00414461">
            <w:pPr>
              <w:jc w:val="center"/>
              <w:rPr>
                <w:rFonts w:asciiTheme="majorBidi" w:hAnsiTheme="majorBidi" w:cstheme="majorBidi"/>
                <w:sz w:val="20"/>
                <w:szCs w:val="20"/>
              </w:rPr>
            </w:pPr>
            <w:r w:rsidRPr="00187853">
              <w:rPr>
                <w:rStyle w:val="Strong"/>
                <w:rFonts w:asciiTheme="majorBidi" w:hAnsiTheme="majorBidi" w:cstheme="majorBidi"/>
                <w:sz w:val="20"/>
                <w:szCs w:val="20"/>
              </w:rPr>
              <w:t>Ta​ (</w:t>
            </w:r>
            <w:r w:rsidR="00414461" w:rsidRPr="00187853">
              <w:rPr>
                <w:rStyle w:val="Strong"/>
                <w:rFonts w:asciiTheme="majorBidi" w:hAnsiTheme="majorBidi" w:cstheme="majorBidi"/>
                <w:sz w:val="20"/>
                <w:szCs w:val="20"/>
              </w:rPr>
              <w:t>°</w:t>
            </w:r>
            <w:r w:rsidRPr="00187853">
              <w:rPr>
                <w:rStyle w:val="Strong"/>
                <w:rFonts w:asciiTheme="majorBidi" w:hAnsiTheme="majorBidi" w:cstheme="majorBidi"/>
                <w:sz w:val="20"/>
                <w:szCs w:val="20"/>
              </w:rPr>
              <w:t>C)</w:t>
            </w:r>
          </w:p>
        </w:tc>
        <w:tc>
          <w:tcPr>
            <w:tcW w:w="1170" w:type="dxa"/>
            <w:vAlign w:val="center"/>
            <w:hideMark/>
          </w:tcPr>
          <w:p w14:paraId="339140B9" w14:textId="77777777" w:rsidR="00D313F3" w:rsidRPr="00187853" w:rsidRDefault="00D313F3" w:rsidP="00C91E96">
            <w:pPr>
              <w:jc w:val="center"/>
              <w:rPr>
                <w:rFonts w:asciiTheme="majorBidi" w:hAnsiTheme="majorBidi" w:cstheme="majorBidi"/>
                <w:sz w:val="20"/>
                <w:szCs w:val="20"/>
              </w:rPr>
            </w:pPr>
            <w:r w:rsidRPr="00187853">
              <w:rPr>
                <w:rStyle w:val="Strong"/>
                <w:rFonts w:asciiTheme="majorBidi" w:hAnsiTheme="majorBidi" w:cstheme="majorBidi"/>
                <w:sz w:val="20"/>
                <w:szCs w:val="20"/>
              </w:rPr>
              <w:t>RH (%)</w:t>
            </w:r>
          </w:p>
        </w:tc>
        <w:tc>
          <w:tcPr>
            <w:tcW w:w="900" w:type="dxa"/>
            <w:vMerge/>
            <w:vAlign w:val="center"/>
            <w:hideMark/>
          </w:tcPr>
          <w:p w14:paraId="666CC8DB" w14:textId="77777777" w:rsidR="00D313F3" w:rsidRPr="00187853" w:rsidRDefault="00D313F3" w:rsidP="00C91E96">
            <w:pPr>
              <w:jc w:val="center"/>
              <w:rPr>
                <w:rFonts w:asciiTheme="majorBidi" w:hAnsiTheme="majorBidi" w:cstheme="majorBidi"/>
                <w:sz w:val="20"/>
                <w:szCs w:val="20"/>
              </w:rPr>
            </w:pPr>
          </w:p>
        </w:tc>
        <w:tc>
          <w:tcPr>
            <w:tcW w:w="1260" w:type="dxa"/>
            <w:vMerge/>
            <w:vAlign w:val="center"/>
            <w:hideMark/>
          </w:tcPr>
          <w:p w14:paraId="7662569E" w14:textId="77777777" w:rsidR="00D313F3" w:rsidRPr="00187853" w:rsidRDefault="00D313F3" w:rsidP="00414461">
            <w:pPr>
              <w:jc w:val="center"/>
              <w:rPr>
                <w:rFonts w:asciiTheme="majorBidi" w:hAnsiTheme="majorBidi" w:cstheme="majorBidi"/>
                <w:sz w:val="20"/>
                <w:szCs w:val="20"/>
              </w:rPr>
            </w:pPr>
          </w:p>
        </w:tc>
      </w:tr>
      <w:tr w:rsidR="0077760C" w:rsidRPr="00187853" w14:paraId="74CBEC9B" w14:textId="77777777" w:rsidTr="00414461">
        <w:trPr>
          <w:jc w:val="center"/>
        </w:trPr>
        <w:tc>
          <w:tcPr>
            <w:tcW w:w="2425" w:type="dxa"/>
            <w:vMerge w:val="restart"/>
            <w:vAlign w:val="center"/>
            <w:hideMark/>
          </w:tcPr>
          <w:p w14:paraId="1D881F56" w14:textId="77777777" w:rsidR="0077760C" w:rsidRPr="00187853" w:rsidRDefault="0077760C" w:rsidP="00C91E96">
            <w:pPr>
              <w:rPr>
                <w:rFonts w:asciiTheme="majorBidi" w:hAnsiTheme="majorBidi" w:cstheme="majorBidi"/>
                <w:b/>
                <w:bCs/>
                <w:sz w:val="20"/>
                <w:szCs w:val="20"/>
              </w:rPr>
            </w:pPr>
          </w:p>
          <w:p w14:paraId="0A26E530" w14:textId="77777777" w:rsidR="0077760C" w:rsidRPr="00187853" w:rsidRDefault="0077760C" w:rsidP="00C91E96">
            <w:pPr>
              <w:rPr>
                <w:rFonts w:asciiTheme="majorBidi" w:hAnsiTheme="majorBidi" w:cstheme="majorBidi"/>
                <w:sz w:val="20"/>
                <w:szCs w:val="20"/>
              </w:rPr>
            </w:pPr>
            <w:r w:rsidRPr="00187853">
              <w:rPr>
                <w:rFonts w:asciiTheme="majorBidi" w:hAnsiTheme="majorBidi" w:cstheme="majorBidi"/>
                <w:b/>
                <w:bCs/>
                <w:sz w:val="20"/>
                <w:szCs w:val="20"/>
              </w:rPr>
              <w:t>Gulf of Suez Coast</w:t>
            </w:r>
          </w:p>
        </w:tc>
        <w:tc>
          <w:tcPr>
            <w:tcW w:w="1890" w:type="dxa"/>
            <w:vAlign w:val="center"/>
            <w:hideMark/>
          </w:tcPr>
          <w:p w14:paraId="113305BB" w14:textId="77777777" w:rsidR="0077760C" w:rsidRPr="00187853" w:rsidRDefault="0077760C" w:rsidP="00C91E96">
            <w:pPr>
              <w:rPr>
                <w:rFonts w:asciiTheme="majorBidi" w:hAnsiTheme="majorBidi" w:cstheme="majorBidi"/>
                <w:sz w:val="20"/>
                <w:szCs w:val="20"/>
              </w:rPr>
            </w:pPr>
            <w:r w:rsidRPr="00187853">
              <w:rPr>
                <w:rFonts w:asciiTheme="majorBidi" w:hAnsiTheme="majorBidi" w:cstheme="majorBidi"/>
                <w:sz w:val="20"/>
                <w:szCs w:val="20"/>
              </w:rPr>
              <w:t xml:space="preserve">Ras </w:t>
            </w:r>
            <w:proofErr w:type="spellStart"/>
            <w:r w:rsidRPr="00187853">
              <w:rPr>
                <w:rFonts w:asciiTheme="majorBidi" w:hAnsiTheme="majorBidi" w:cstheme="majorBidi"/>
                <w:sz w:val="20"/>
                <w:szCs w:val="20"/>
              </w:rPr>
              <w:t>Sudr</w:t>
            </w:r>
            <w:proofErr w:type="spellEnd"/>
          </w:p>
        </w:tc>
        <w:tc>
          <w:tcPr>
            <w:tcW w:w="1260" w:type="dxa"/>
            <w:vAlign w:val="center"/>
            <w:hideMark/>
          </w:tcPr>
          <w:p w14:paraId="6D6F9F9D" w14:textId="77777777" w:rsidR="0077760C" w:rsidRPr="00187853" w:rsidRDefault="0077760C" w:rsidP="00C91E96">
            <w:pPr>
              <w:jc w:val="center"/>
              <w:rPr>
                <w:rFonts w:asciiTheme="majorBidi" w:hAnsiTheme="majorBidi" w:cstheme="majorBidi"/>
                <w:sz w:val="20"/>
                <w:szCs w:val="20"/>
              </w:rPr>
            </w:pPr>
            <w:r w:rsidRPr="00187853">
              <w:rPr>
                <w:rFonts w:asciiTheme="majorBidi" w:hAnsiTheme="majorBidi" w:cstheme="majorBidi"/>
                <w:sz w:val="20"/>
                <w:szCs w:val="20"/>
              </w:rPr>
              <w:t>21.4</w:t>
            </w:r>
          </w:p>
        </w:tc>
        <w:tc>
          <w:tcPr>
            <w:tcW w:w="1170" w:type="dxa"/>
            <w:vAlign w:val="center"/>
            <w:hideMark/>
          </w:tcPr>
          <w:p w14:paraId="6E4B2B37" w14:textId="77777777" w:rsidR="0077760C" w:rsidRPr="00187853" w:rsidRDefault="0077760C" w:rsidP="00C91E96">
            <w:pPr>
              <w:jc w:val="center"/>
              <w:rPr>
                <w:rFonts w:asciiTheme="majorBidi" w:hAnsiTheme="majorBidi" w:cstheme="majorBidi"/>
                <w:sz w:val="20"/>
                <w:szCs w:val="20"/>
              </w:rPr>
            </w:pPr>
            <w:r w:rsidRPr="00187853">
              <w:rPr>
                <w:rFonts w:asciiTheme="majorBidi" w:hAnsiTheme="majorBidi" w:cstheme="majorBidi"/>
                <w:sz w:val="20"/>
                <w:szCs w:val="20"/>
              </w:rPr>
              <w:t>54.7</w:t>
            </w:r>
          </w:p>
        </w:tc>
        <w:tc>
          <w:tcPr>
            <w:tcW w:w="900" w:type="dxa"/>
            <w:vAlign w:val="center"/>
            <w:hideMark/>
          </w:tcPr>
          <w:p w14:paraId="54C5CD72" w14:textId="77777777" w:rsidR="0077760C" w:rsidRPr="00187853" w:rsidRDefault="0077760C" w:rsidP="00C91E96">
            <w:pPr>
              <w:jc w:val="center"/>
              <w:rPr>
                <w:rFonts w:asciiTheme="majorBidi" w:hAnsiTheme="majorBidi" w:cstheme="majorBidi"/>
                <w:sz w:val="20"/>
                <w:szCs w:val="20"/>
              </w:rPr>
            </w:pPr>
            <w:r w:rsidRPr="00187853">
              <w:rPr>
                <w:rFonts w:asciiTheme="majorBidi" w:hAnsiTheme="majorBidi" w:cstheme="majorBidi"/>
                <w:b/>
                <w:bCs/>
                <w:sz w:val="20"/>
                <w:szCs w:val="20"/>
              </w:rPr>
              <w:t>19.8</w:t>
            </w:r>
          </w:p>
        </w:tc>
        <w:tc>
          <w:tcPr>
            <w:tcW w:w="1260" w:type="dxa"/>
            <w:vAlign w:val="center"/>
            <w:hideMark/>
          </w:tcPr>
          <w:p w14:paraId="436780FB" w14:textId="77777777" w:rsidR="0077760C" w:rsidRPr="00187853" w:rsidRDefault="0077760C" w:rsidP="00414461">
            <w:pPr>
              <w:jc w:val="center"/>
              <w:rPr>
                <w:rFonts w:asciiTheme="majorBidi" w:hAnsiTheme="majorBidi" w:cstheme="majorBidi"/>
                <w:b/>
                <w:bCs/>
                <w:sz w:val="20"/>
                <w:szCs w:val="20"/>
                <w:rtl/>
                <w:lang w:bidi="ar-EG"/>
              </w:rPr>
            </w:pPr>
            <w:r w:rsidRPr="00187853">
              <w:rPr>
                <w:rFonts w:asciiTheme="majorBidi" w:hAnsiTheme="majorBidi" w:cstheme="majorBidi"/>
                <w:b/>
                <w:bCs/>
                <w:sz w:val="20"/>
                <w:szCs w:val="20"/>
              </w:rPr>
              <w:t>C</w:t>
            </w:r>
          </w:p>
        </w:tc>
      </w:tr>
      <w:tr w:rsidR="0077760C" w:rsidRPr="00187853" w14:paraId="5FC9A97E" w14:textId="77777777" w:rsidTr="00414461">
        <w:trPr>
          <w:jc w:val="center"/>
        </w:trPr>
        <w:tc>
          <w:tcPr>
            <w:tcW w:w="2425" w:type="dxa"/>
            <w:vMerge/>
            <w:vAlign w:val="center"/>
            <w:hideMark/>
          </w:tcPr>
          <w:p w14:paraId="4E40E4D4" w14:textId="77777777" w:rsidR="0077760C" w:rsidRPr="00187853" w:rsidRDefault="0077760C" w:rsidP="00C91E96">
            <w:pPr>
              <w:rPr>
                <w:rFonts w:asciiTheme="majorBidi" w:hAnsiTheme="majorBidi" w:cstheme="majorBidi"/>
                <w:sz w:val="20"/>
                <w:szCs w:val="20"/>
              </w:rPr>
            </w:pPr>
          </w:p>
        </w:tc>
        <w:tc>
          <w:tcPr>
            <w:tcW w:w="1890" w:type="dxa"/>
            <w:vAlign w:val="center"/>
            <w:hideMark/>
          </w:tcPr>
          <w:p w14:paraId="2A976FDC" w14:textId="77777777" w:rsidR="0077760C" w:rsidRPr="00187853" w:rsidRDefault="0077760C" w:rsidP="00C91E96">
            <w:pPr>
              <w:rPr>
                <w:rFonts w:asciiTheme="majorBidi" w:hAnsiTheme="majorBidi" w:cstheme="majorBidi"/>
                <w:sz w:val="20"/>
                <w:szCs w:val="20"/>
              </w:rPr>
            </w:pPr>
            <w:r w:rsidRPr="00187853">
              <w:rPr>
                <w:rFonts w:asciiTheme="majorBidi" w:hAnsiTheme="majorBidi" w:cstheme="majorBidi"/>
                <w:sz w:val="20"/>
                <w:szCs w:val="20"/>
              </w:rPr>
              <w:t>Abu Rudeis</w:t>
            </w:r>
          </w:p>
        </w:tc>
        <w:tc>
          <w:tcPr>
            <w:tcW w:w="1260" w:type="dxa"/>
            <w:vAlign w:val="center"/>
            <w:hideMark/>
          </w:tcPr>
          <w:p w14:paraId="0EAB1268" w14:textId="77777777" w:rsidR="0077760C" w:rsidRPr="00187853" w:rsidRDefault="0077760C" w:rsidP="00C91E96">
            <w:pPr>
              <w:jc w:val="center"/>
              <w:rPr>
                <w:rFonts w:asciiTheme="majorBidi" w:hAnsiTheme="majorBidi" w:cstheme="majorBidi"/>
                <w:sz w:val="20"/>
                <w:szCs w:val="20"/>
              </w:rPr>
            </w:pPr>
            <w:r w:rsidRPr="00187853">
              <w:rPr>
                <w:rFonts w:asciiTheme="majorBidi" w:hAnsiTheme="majorBidi" w:cstheme="majorBidi"/>
                <w:sz w:val="20"/>
                <w:szCs w:val="20"/>
              </w:rPr>
              <w:t>22.3</w:t>
            </w:r>
          </w:p>
        </w:tc>
        <w:tc>
          <w:tcPr>
            <w:tcW w:w="1170" w:type="dxa"/>
            <w:vAlign w:val="center"/>
            <w:hideMark/>
          </w:tcPr>
          <w:p w14:paraId="53EDDE32" w14:textId="77777777" w:rsidR="0077760C" w:rsidRPr="00187853" w:rsidRDefault="0077760C" w:rsidP="00C91E96">
            <w:pPr>
              <w:jc w:val="center"/>
              <w:rPr>
                <w:rFonts w:asciiTheme="majorBidi" w:hAnsiTheme="majorBidi" w:cstheme="majorBidi"/>
                <w:sz w:val="20"/>
                <w:szCs w:val="20"/>
              </w:rPr>
            </w:pPr>
            <w:r w:rsidRPr="00187853">
              <w:rPr>
                <w:rFonts w:asciiTheme="majorBidi" w:hAnsiTheme="majorBidi" w:cstheme="majorBidi"/>
                <w:sz w:val="20"/>
                <w:szCs w:val="20"/>
              </w:rPr>
              <w:t>56.7</w:t>
            </w:r>
          </w:p>
        </w:tc>
        <w:tc>
          <w:tcPr>
            <w:tcW w:w="900" w:type="dxa"/>
            <w:vAlign w:val="center"/>
            <w:hideMark/>
          </w:tcPr>
          <w:p w14:paraId="677209C4" w14:textId="77777777" w:rsidR="0077760C" w:rsidRPr="00187853" w:rsidRDefault="0077760C" w:rsidP="00C91E96">
            <w:pPr>
              <w:jc w:val="center"/>
              <w:rPr>
                <w:rFonts w:asciiTheme="majorBidi" w:hAnsiTheme="majorBidi" w:cstheme="majorBidi"/>
                <w:sz w:val="20"/>
                <w:szCs w:val="20"/>
              </w:rPr>
            </w:pPr>
            <w:r w:rsidRPr="00187853">
              <w:rPr>
                <w:rFonts w:asciiTheme="majorBidi" w:hAnsiTheme="majorBidi" w:cstheme="majorBidi"/>
                <w:b/>
                <w:bCs/>
                <w:sz w:val="20"/>
                <w:szCs w:val="20"/>
              </w:rPr>
              <w:t>20.5</w:t>
            </w:r>
          </w:p>
        </w:tc>
        <w:tc>
          <w:tcPr>
            <w:tcW w:w="1260" w:type="dxa"/>
            <w:vAlign w:val="center"/>
            <w:hideMark/>
          </w:tcPr>
          <w:p w14:paraId="1CED89BC" w14:textId="77777777" w:rsidR="0077760C" w:rsidRPr="00187853" w:rsidRDefault="0077760C" w:rsidP="00414461">
            <w:pPr>
              <w:jc w:val="center"/>
              <w:rPr>
                <w:rFonts w:asciiTheme="majorBidi" w:hAnsiTheme="majorBidi" w:cstheme="majorBidi"/>
                <w:b/>
                <w:bCs/>
                <w:sz w:val="20"/>
                <w:szCs w:val="20"/>
              </w:rPr>
            </w:pPr>
            <w:r w:rsidRPr="00187853">
              <w:rPr>
                <w:rFonts w:asciiTheme="majorBidi" w:hAnsiTheme="majorBidi" w:cstheme="majorBidi"/>
                <w:b/>
                <w:bCs/>
                <w:sz w:val="20"/>
                <w:szCs w:val="20"/>
              </w:rPr>
              <w:t>PC</w:t>
            </w:r>
          </w:p>
        </w:tc>
      </w:tr>
      <w:tr w:rsidR="00414461" w:rsidRPr="00187853" w14:paraId="012F59CF" w14:textId="77777777" w:rsidTr="00414461">
        <w:trPr>
          <w:jc w:val="center"/>
        </w:trPr>
        <w:tc>
          <w:tcPr>
            <w:tcW w:w="2425" w:type="dxa"/>
            <w:vMerge/>
            <w:vAlign w:val="center"/>
            <w:hideMark/>
          </w:tcPr>
          <w:p w14:paraId="56782974" w14:textId="77777777" w:rsidR="00414461" w:rsidRPr="00187853" w:rsidRDefault="00414461" w:rsidP="00414461">
            <w:pPr>
              <w:rPr>
                <w:rFonts w:asciiTheme="majorBidi" w:hAnsiTheme="majorBidi" w:cstheme="majorBidi"/>
                <w:sz w:val="20"/>
                <w:szCs w:val="20"/>
              </w:rPr>
            </w:pPr>
          </w:p>
        </w:tc>
        <w:tc>
          <w:tcPr>
            <w:tcW w:w="1890" w:type="dxa"/>
            <w:vAlign w:val="center"/>
            <w:hideMark/>
          </w:tcPr>
          <w:p w14:paraId="5ADB2972" w14:textId="77777777" w:rsidR="00414461" w:rsidRPr="00187853" w:rsidRDefault="00414461" w:rsidP="00414461">
            <w:pPr>
              <w:rPr>
                <w:rFonts w:asciiTheme="majorBidi" w:hAnsiTheme="majorBidi" w:cstheme="majorBidi"/>
                <w:sz w:val="20"/>
                <w:szCs w:val="20"/>
              </w:rPr>
            </w:pPr>
            <w:r w:rsidRPr="00187853">
              <w:rPr>
                <w:rFonts w:asciiTheme="majorBidi" w:hAnsiTheme="majorBidi" w:cstheme="majorBidi"/>
                <w:sz w:val="20"/>
                <w:szCs w:val="20"/>
              </w:rPr>
              <w:t>El-Tor</w:t>
            </w:r>
          </w:p>
        </w:tc>
        <w:tc>
          <w:tcPr>
            <w:tcW w:w="1260" w:type="dxa"/>
            <w:vAlign w:val="center"/>
            <w:hideMark/>
          </w:tcPr>
          <w:p w14:paraId="24D1E03E" w14:textId="77777777" w:rsidR="00414461" w:rsidRPr="00187853" w:rsidRDefault="00414461" w:rsidP="00414461">
            <w:pPr>
              <w:jc w:val="center"/>
              <w:rPr>
                <w:rFonts w:asciiTheme="majorBidi" w:hAnsiTheme="majorBidi" w:cstheme="majorBidi"/>
                <w:sz w:val="20"/>
                <w:szCs w:val="20"/>
              </w:rPr>
            </w:pPr>
            <w:r w:rsidRPr="00187853">
              <w:rPr>
                <w:rFonts w:asciiTheme="majorBidi" w:hAnsiTheme="majorBidi" w:cstheme="majorBidi"/>
                <w:sz w:val="20"/>
                <w:szCs w:val="20"/>
              </w:rPr>
              <w:t>22.8</w:t>
            </w:r>
          </w:p>
        </w:tc>
        <w:tc>
          <w:tcPr>
            <w:tcW w:w="1170" w:type="dxa"/>
            <w:vAlign w:val="center"/>
            <w:hideMark/>
          </w:tcPr>
          <w:p w14:paraId="22947E98" w14:textId="77777777" w:rsidR="00414461" w:rsidRPr="00187853" w:rsidRDefault="00414461" w:rsidP="00414461">
            <w:pPr>
              <w:jc w:val="center"/>
              <w:rPr>
                <w:rFonts w:asciiTheme="majorBidi" w:hAnsiTheme="majorBidi" w:cstheme="majorBidi"/>
                <w:sz w:val="20"/>
                <w:szCs w:val="20"/>
              </w:rPr>
            </w:pPr>
            <w:r w:rsidRPr="00187853">
              <w:rPr>
                <w:rFonts w:asciiTheme="majorBidi" w:hAnsiTheme="majorBidi" w:cstheme="majorBidi"/>
                <w:sz w:val="20"/>
                <w:szCs w:val="20"/>
              </w:rPr>
              <w:t>58.4</w:t>
            </w:r>
          </w:p>
        </w:tc>
        <w:tc>
          <w:tcPr>
            <w:tcW w:w="900" w:type="dxa"/>
            <w:vAlign w:val="center"/>
            <w:hideMark/>
          </w:tcPr>
          <w:p w14:paraId="35C95F6B" w14:textId="77777777" w:rsidR="00414461" w:rsidRPr="00187853" w:rsidRDefault="00414461" w:rsidP="00414461">
            <w:pPr>
              <w:jc w:val="center"/>
              <w:rPr>
                <w:rFonts w:asciiTheme="majorBidi" w:hAnsiTheme="majorBidi" w:cstheme="majorBidi"/>
                <w:sz w:val="20"/>
                <w:szCs w:val="20"/>
              </w:rPr>
            </w:pPr>
            <w:r w:rsidRPr="00187853">
              <w:rPr>
                <w:rFonts w:asciiTheme="majorBidi" w:hAnsiTheme="majorBidi" w:cstheme="majorBidi"/>
                <w:b/>
                <w:bCs/>
                <w:sz w:val="20"/>
                <w:szCs w:val="20"/>
              </w:rPr>
              <w:t>20.8</w:t>
            </w:r>
          </w:p>
        </w:tc>
        <w:tc>
          <w:tcPr>
            <w:tcW w:w="1260" w:type="dxa"/>
            <w:hideMark/>
          </w:tcPr>
          <w:p w14:paraId="095E4951" w14:textId="77777777" w:rsidR="00414461" w:rsidRPr="00187853" w:rsidRDefault="00414461" w:rsidP="00414461">
            <w:pPr>
              <w:jc w:val="center"/>
              <w:rPr>
                <w:rFonts w:asciiTheme="majorBidi" w:hAnsiTheme="majorBidi" w:cstheme="majorBidi"/>
                <w:sz w:val="20"/>
                <w:szCs w:val="20"/>
              </w:rPr>
            </w:pPr>
            <w:r w:rsidRPr="00187853">
              <w:rPr>
                <w:rFonts w:asciiTheme="majorBidi" w:hAnsiTheme="majorBidi" w:cstheme="majorBidi"/>
                <w:b/>
                <w:bCs/>
                <w:sz w:val="20"/>
                <w:szCs w:val="20"/>
              </w:rPr>
              <w:t>PC</w:t>
            </w:r>
          </w:p>
        </w:tc>
      </w:tr>
      <w:tr w:rsidR="00414461" w:rsidRPr="00187853" w14:paraId="04C3118D" w14:textId="77777777" w:rsidTr="00414461">
        <w:trPr>
          <w:jc w:val="center"/>
        </w:trPr>
        <w:tc>
          <w:tcPr>
            <w:tcW w:w="2425" w:type="dxa"/>
            <w:vMerge w:val="restart"/>
            <w:vAlign w:val="center"/>
            <w:hideMark/>
          </w:tcPr>
          <w:p w14:paraId="10950237" w14:textId="77777777" w:rsidR="00414461" w:rsidRPr="00187853" w:rsidRDefault="00414461" w:rsidP="00414461">
            <w:pPr>
              <w:rPr>
                <w:rFonts w:asciiTheme="majorBidi" w:hAnsiTheme="majorBidi" w:cstheme="majorBidi"/>
                <w:sz w:val="20"/>
                <w:szCs w:val="20"/>
              </w:rPr>
            </w:pPr>
            <w:r w:rsidRPr="00187853">
              <w:rPr>
                <w:rFonts w:asciiTheme="majorBidi" w:hAnsiTheme="majorBidi" w:cstheme="majorBidi"/>
                <w:b/>
                <w:bCs/>
                <w:sz w:val="20"/>
                <w:szCs w:val="20"/>
              </w:rPr>
              <w:t>Gulf of Aqaba Coast</w:t>
            </w:r>
          </w:p>
        </w:tc>
        <w:tc>
          <w:tcPr>
            <w:tcW w:w="1890" w:type="dxa"/>
            <w:vAlign w:val="center"/>
            <w:hideMark/>
          </w:tcPr>
          <w:p w14:paraId="3F82AB4F" w14:textId="77777777" w:rsidR="00414461" w:rsidRPr="00187853" w:rsidRDefault="00414461" w:rsidP="00414461">
            <w:pPr>
              <w:rPr>
                <w:rFonts w:asciiTheme="majorBidi" w:hAnsiTheme="majorBidi" w:cstheme="majorBidi"/>
                <w:sz w:val="20"/>
                <w:szCs w:val="20"/>
              </w:rPr>
            </w:pPr>
            <w:r w:rsidRPr="00187853">
              <w:rPr>
                <w:rFonts w:asciiTheme="majorBidi" w:hAnsiTheme="majorBidi" w:cstheme="majorBidi"/>
                <w:sz w:val="20"/>
                <w:szCs w:val="20"/>
              </w:rPr>
              <w:t>Sharm El-Sheikh</w:t>
            </w:r>
          </w:p>
        </w:tc>
        <w:tc>
          <w:tcPr>
            <w:tcW w:w="1260" w:type="dxa"/>
            <w:vAlign w:val="center"/>
            <w:hideMark/>
          </w:tcPr>
          <w:p w14:paraId="12F2C4F0" w14:textId="77777777" w:rsidR="00414461" w:rsidRPr="00187853" w:rsidRDefault="00414461" w:rsidP="00414461">
            <w:pPr>
              <w:jc w:val="center"/>
              <w:rPr>
                <w:rFonts w:asciiTheme="majorBidi" w:hAnsiTheme="majorBidi" w:cstheme="majorBidi"/>
                <w:sz w:val="20"/>
                <w:szCs w:val="20"/>
              </w:rPr>
            </w:pPr>
            <w:r w:rsidRPr="00187853">
              <w:rPr>
                <w:rFonts w:asciiTheme="majorBidi" w:hAnsiTheme="majorBidi" w:cstheme="majorBidi"/>
                <w:sz w:val="20"/>
                <w:szCs w:val="20"/>
              </w:rPr>
              <w:t>25.5</w:t>
            </w:r>
          </w:p>
        </w:tc>
        <w:tc>
          <w:tcPr>
            <w:tcW w:w="1170" w:type="dxa"/>
            <w:vAlign w:val="center"/>
            <w:hideMark/>
          </w:tcPr>
          <w:p w14:paraId="0679F512" w14:textId="77777777" w:rsidR="00414461" w:rsidRPr="00187853" w:rsidRDefault="00414461" w:rsidP="00414461">
            <w:pPr>
              <w:jc w:val="center"/>
              <w:rPr>
                <w:rFonts w:asciiTheme="majorBidi" w:hAnsiTheme="majorBidi" w:cstheme="majorBidi"/>
                <w:sz w:val="20"/>
                <w:szCs w:val="20"/>
              </w:rPr>
            </w:pPr>
            <w:r w:rsidRPr="00187853">
              <w:rPr>
                <w:rFonts w:asciiTheme="majorBidi" w:hAnsiTheme="majorBidi" w:cstheme="majorBidi"/>
                <w:sz w:val="20"/>
                <w:szCs w:val="20"/>
              </w:rPr>
              <w:t>43.0</w:t>
            </w:r>
          </w:p>
        </w:tc>
        <w:tc>
          <w:tcPr>
            <w:tcW w:w="900" w:type="dxa"/>
            <w:vAlign w:val="center"/>
            <w:hideMark/>
          </w:tcPr>
          <w:p w14:paraId="0FBB6AC4" w14:textId="77777777" w:rsidR="00414461" w:rsidRPr="00187853" w:rsidRDefault="00414461" w:rsidP="00414461">
            <w:pPr>
              <w:jc w:val="center"/>
              <w:rPr>
                <w:rFonts w:asciiTheme="majorBidi" w:hAnsiTheme="majorBidi" w:cstheme="majorBidi"/>
                <w:sz w:val="20"/>
                <w:szCs w:val="20"/>
              </w:rPr>
            </w:pPr>
            <w:r w:rsidRPr="00187853">
              <w:rPr>
                <w:rFonts w:asciiTheme="majorBidi" w:hAnsiTheme="majorBidi" w:cstheme="majorBidi"/>
                <w:b/>
                <w:bCs/>
                <w:sz w:val="20"/>
                <w:szCs w:val="20"/>
              </w:rPr>
              <w:t>23.5</w:t>
            </w:r>
          </w:p>
        </w:tc>
        <w:tc>
          <w:tcPr>
            <w:tcW w:w="1260" w:type="dxa"/>
            <w:hideMark/>
          </w:tcPr>
          <w:p w14:paraId="23FB8FA9" w14:textId="77777777" w:rsidR="00414461" w:rsidRPr="00187853" w:rsidRDefault="00414461" w:rsidP="00414461">
            <w:pPr>
              <w:jc w:val="center"/>
              <w:rPr>
                <w:rFonts w:asciiTheme="majorBidi" w:hAnsiTheme="majorBidi" w:cstheme="majorBidi"/>
                <w:sz w:val="20"/>
                <w:szCs w:val="20"/>
              </w:rPr>
            </w:pPr>
            <w:r w:rsidRPr="00187853">
              <w:rPr>
                <w:rFonts w:asciiTheme="majorBidi" w:hAnsiTheme="majorBidi" w:cstheme="majorBidi"/>
                <w:b/>
                <w:bCs/>
                <w:sz w:val="20"/>
                <w:szCs w:val="20"/>
              </w:rPr>
              <w:t>PC</w:t>
            </w:r>
          </w:p>
        </w:tc>
      </w:tr>
      <w:tr w:rsidR="00414461" w:rsidRPr="00187853" w14:paraId="36E3F166" w14:textId="77777777" w:rsidTr="00414461">
        <w:trPr>
          <w:jc w:val="center"/>
        </w:trPr>
        <w:tc>
          <w:tcPr>
            <w:tcW w:w="2425" w:type="dxa"/>
            <w:vMerge/>
            <w:vAlign w:val="center"/>
            <w:hideMark/>
          </w:tcPr>
          <w:p w14:paraId="4A8508D1" w14:textId="77777777" w:rsidR="00414461" w:rsidRPr="00187853" w:rsidRDefault="00414461" w:rsidP="00414461">
            <w:pPr>
              <w:rPr>
                <w:rFonts w:asciiTheme="majorBidi" w:hAnsiTheme="majorBidi" w:cstheme="majorBidi"/>
                <w:sz w:val="20"/>
                <w:szCs w:val="20"/>
              </w:rPr>
            </w:pPr>
          </w:p>
        </w:tc>
        <w:tc>
          <w:tcPr>
            <w:tcW w:w="1890" w:type="dxa"/>
            <w:vAlign w:val="center"/>
            <w:hideMark/>
          </w:tcPr>
          <w:p w14:paraId="6CB01569" w14:textId="77777777" w:rsidR="00414461" w:rsidRPr="00187853" w:rsidRDefault="00414461" w:rsidP="00414461">
            <w:pPr>
              <w:rPr>
                <w:rFonts w:asciiTheme="majorBidi" w:hAnsiTheme="majorBidi" w:cstheme="majorBidi"/>
                <w:sz w:val="20"/>
                <w:szCs w:val="20"/>
              </w:rPr>
            </w:pPr>
            <w:r w:rsidRPr="00187853">
              <w:rPr>
                <w:rFonts w:asciiTheme="majorBidi" w:hAnsiTheme="majorBidi" w:cstheme="majorBidi"/>
                <w:sz w:val="20"/>
                <w:szCs w:val="20"/>
              </w:rPr>
              <w:t>Taba</w:t>
            </w:r>
          </w:p>
        </w:tc>
        <w:tc>
          <w:tcPr>
            <w:tcW w:w="1260" w:type="dxa"/>
            <w:vAlign w:val="center"/>
            <w:hideMark/>
          </w:tcPr>
          <w:p w14:paraId="3A325508" w14:textId="77777777" w:rsidR="00414461" w:rsidRPr="00187853" w:rsidRDefault="00414461" w:rsidP="00414461">
            <w:pPr>
              <w:jc w:val="center"/>
              <w:rPr>
                <w:rFonts w:asciiTheme="majorBidi" w:hAnsiTheme="majorBidi" w:cstheme="majorBidi"/>
                <w:sz w:val="20"/>
                <w:szCs w:val="20"/>
              </w:rPr>
            </w:pPr>
            <w:r w:rsidRPr="00187853">
              <w:rPr>
                <w:rFonts w:asciiTheme="majorBidi" w:hAnsiTheme="majorBidi" w:cstheme="majorBidi"/>
                <w:sz w:val="20"/>
                <w:szCs w:val="20"/>
              </w:rPr>
              <w:t>19.2</w:t>
            </w:r>
          </w:p>
        </w:tc>
        <w:tc>
          <w:tcPr>
            <w:tcW w:w="1170" w:type="dxa"/>
            <w:vAlign w:val="center"/>
            <w:hideMark/>
          </w:tcPr>
          <w:p w14:paraId="37F4DF5C" w14:textId="77777777" w:rsidR="00414461" w:rsidRPr="00187853" w:rsidRDefault="00414461" w:rsidP="00414461">
            <w:pPr>
              <w:jc w:val="center"/>
              <w:rPr>
                <w:rFonts w:asciiTheme="majorBidi" w:hAnsiTheme="majorBidi" w:cstheme="majorBidi"/>
                <w:sz w:val="20"/>
                <w:szCs w:val="20"/>
              </w:rPr>
            </w:pPr>
            <w:r w:rsidRPr="00187853">
              <w:rPr>
                <w:rFonts w:asciiTheme="majorBidi" w:hAnsiTheme="majorBidi" w:cstheme="majorBidi"/>
                <w:sz w:val="20"/>
                <w:szCs w:val="20"/>
              </w:rPr>
              <w:t>44.6</w:t>
            </w:r>
          </w:p>
        </w:tc>
        <w:tc>
          <w:tcPr>
            <w:tcW w:w="900" w:type="dxa"/>
            <w:vAlign w:val="center"/>
            <w:hideMark/>
          </w:tcPr>
          <w:p w14:paraId="4829A2E4" w14:textId="77777777" w:rsidR="00414461" w:rsidRPr="00187853" w:rsidRDefault="00414461" w:rsidP="00414461">
            <w:pPr>
              <w:jc w:val="center"/>
              <w:rPr>
                <w:rFonts w:asciiTheme="majorBidi" w:hAnsiTheme="majorBidi" w:cstheme="majorBidi"/>
                <w:sz w:val="20"/>
                <w:szCs w:val="20"/>
              </w:rPr>
            </w:pPr>
            <w:r w:rsidRPr="00187853">
              <w:rPr>
                <w:rFonts w:asciiTheme="majorBidi" w:hAnsiTheme="majorBidi" w:cstheme="majorBidi"/>
                <w:b/>
                <w:bCs/>
                <w:sz w:val="20"/>
                <w:szCs w:val="20"/>
              </w:rPr>
              <w:t>18.0</w:t>
            </w:r>
          </w:p>
        </w:tc>
        <w:tc>
          <w:tcPr>
            <w:tcW w:w="1260" w:type="dxa"/>
            <w:hideMark/>
          </w:tcPr>
          <w:p w14:paraId="005ACFD6" w14:textId="77777777" w:rsidR="00414461" w:rsidRPr="00187853" w:rsidRDefault="00414461" w:rsidP="00414461">
            <w:pPr>
              <w:jc w:val="center"/>
              <w:rPr>
                <w:rFonts w:asciiTheme="majorBidi" w:hAnsiTheme="majorBidi" w:cstheme="majorBidi"/>
                <w:sz w:val="20"/>
                <w:szCs w:val="20"/>
              </w:rPr>
            </w:pPr>
            <w:r w:rsidRPr="00187853">
              <w:rPr>
                <w:rFonts w:asciiTheme="majorBidi" w:hAnsiTheme="majorBidi" w:cstheme="majorBidi"/>
                <w:b/>
                <w:bCs/>
                <w:sz w:val="20"/>
                <w:szCs w:val="20"/>
              </w:rPr>
              <w:t>C</w:t>
            </w:r>
          </w:p>
        </w:tc>
      </w:tr>
      <w:tr w:rsidR="00414461" w:rsidRPr="00187853" w14:paraId="665C8808" w14:textId="77777777" w:rsidTr="00414461">
        <w:trPr>
          <w:jc w:val="center"/>
        </w:trPr>
        <w:tc>
          <w:tcPr>
            <w:tcW w:w="2425" w:type="dxa"/>
            <w:vAlign w:val="center"/>
            <w:hideMark/>
          </w:tcPr>
          <w:p w14:paraId="61B0B9C9" w14:textId="77777777" w:rsidR="00414461" w:rsidRPr="00187853" w:rsidRDefault="00414461" w:rsidP="00414461">
            <w:pPr>
              <w:rPr>
                <w:rFonts w:asciiTheme="majorBidi" w:hAnsiTheme="majorBidi" w:cstheme="majorBidi"/>
                <w:sz w:val="20"/>
                <w:szCs w:val="20"/>
              </w:rPr>
            </w:pPr>
            <w:r w:rsidRPr="00187853">
              <w:rPr>
                <w:rFonts w:asciiTheme="majorBidi" w:hAnsiTheme="majorBidi" w:cstheme="majorBidi"/>
                <w:b/>
                <w:bCs/>
                <w:sz w:val="20"/>
                <w:szCs w:val="20"/>
              </w:rPr>
              <w:t>Mountainous heart</w:t>
            </w:r>
          </w:p>
        </w:tc>
        <w:tc>
          <w:tcPr>
            <w:tcW w:w="1890" w:type="dxa"/>
            <w:vAlign w:val="center"/>
            <w:hideMark/>
          </w:tcPr>
          <w:p w14:paraId="53D4332D" w14:textId="77777777" w:rsidR="00414461" w:rsidRPr="00187853" w:rsidRDefault="00414461" w:rsidP="00414461">
            <w:pPr>
              <w:rPr>
                <w:rFonts w:asciiTheme="majorBidi" w:hAnsiTheme="majorBidi" w:cstheme="majorBidi"/>
                <w:sz w:val="20"/>
                <w:szCs w:val="20"/>
              </w:rPr>
            </w:pPr>
            <w:r w:rsidRPr="00187853">
              <w:rPr>
                <w:rFonts w:asciiTheme="majorBidi" w:hAnsiTheme="majorBidi" w:cstheme="majorBidi"/>
                <w:sz w:val="20"/>
                <w:szCs w:val="20"/>
              </w:rPr>
              <w:t>Saint Catherine</w:t>
            </w:r>
          </w:p>
        </w:tc>
        <w:tc>
          <w:tcPr>
            <w:tcW w:w="1260" w:type="dxa"/>
            <w:vAlign w:val="center"/>
            <w:hideMark/>
          </w:tcPr>
          <w:p w14:paraId="0EBC396A" w14:textId="77777777" w:rsidR="00414461" w:rsidRPr="00187853" w:rsidRDefault="00414461" w:rsidP="00414461">
            <w:pPr>
              <w:jc w:val="center"/>
              <w:rPr>
                <w:rFonts w:asciiTheme="majorBidi" w:hAnsiTheme="majorBidi" w:cstheme="majorBidi"/>
                <w:sz w:val="20"/>
                <w:szCs w:val="20"/>
              </w:rPr>
            </w:pPr>
            <w:r w:rsidRPr="00187853">
              <w:rPr>
                <w:rFonts w:asciiTheme="majorBidi" w:hAnsiTheme="majorBidi" w:cstheme="majorBidi"/>
                <w:sz w:val="20"/>
                <w:szCs w:val="20"/>
              </w:rPr>
              <w:t>17.1</w:t>
            </w:r>
          </w:p>
        </w:tc>
        <w:tc>
          <w:tcPr>
            <w:tcW w:w="1170" w:type="dxa"/>
            <w:vAlign w:val="center"/>
            <w:hideMark/>
          </w:tcPr>
          <w:p w14:paraId="65F358D8" w14:textId="77777777" w:rsidR="00414461" w:rsidRPr="00187853" w:rsidRDefault="00414461" w:rsidP="00414461">
            <w:pPr>
              <w:jc w:val="center"/>
              <w:rPr>
                <w:rFonts w:asciiTheme="majorBidi" w:hAnsiTheme="majorBidi" w:cstheme="majorBidi"/>
                <w:sz w:val="20"/>
                <w:szCs w:val="20"/>
              </w:rPr>
            </w:pPr>
            <w:r w:rsidRPr="00187853">
              <w:rPr>
                <w:rFonts w:asciiTheme="majorBidi" w:hAnsiTheme="majorBidi" w:cstheme="majorBidi"/>
                <w:sz w:val="20"/>
                <w:szCs w:val="20"/>
              </w:rPr>
              <w:t>33.0</w:t>
            </w:r>
          </w:p>
        </w:tc>
        <w:tc>
          <w:tcPr>
            <w:tcW w:w="900" w:type="dxa"/>
            <w:vAlign w:val="center"/>
            <w:hideMark/>
          </w:tcPr>
          <w:p w14:paraId="43A43F4B" w14:textId="77777777" w:rsidR="00414461" w:rsidRPr="00187853" w:rsidRDefault="00414461" w:rsidP="00414461">
            <w:pPr>
              <w:jc w:val="center"/>
              <w:rPr>
                <w:rFonts w:asciiTheme="majorBidi" w:hAnsiTheme="majorBidi" w:cstheme="majorBidi"/>
                <w:sz w:val="20"/>
                <w:szCs w:val="20"/>
              </w:rPr>
            </w:pPr>
            <w:r w:rsidRPr="00187853">
              <w:rPr>
                <w:rFonts w:asciiTheme="majorBidi" w:hAnsiTheme="majorBidi" w:cstheme="majorBidi"/>
                <w:b/>
                <w:bCs/>
                <w:sz w:val="20"/>
                <w:szCs w:val="20"/>
              </w:rPr>
              <w:t>16.4</w:t>
            </w:r>
          </w:p>
        </w:tc>
        <w:tc>
          <w:tcPr>
            <w:tcW w:w="1260" w:type="dxa"/>
            <w:hideMark/>
          </w:tcPr>
          <w:p w14:paraId="0F1CFE82" w14:textId="77777777" w:rsidR="00414461" w:rsidRPr="00187853" w:rsidRDefault="00414461" w:rsidP="00414461">
            <w:pPr>
              <w:jc w:val="center"/>
              <w:rPr>
                <w:rFonts w:asciiTheme="majorBidi" w:hAnsiTheme="majorBidi" w:cstheme="majorBidi"/>
                <w:sz w:val="20"/>
                <w:szCs w:val="20"/>
              </w:rPr>
            </w:pPr>
            <w:r w:rsidRPr="00187853">
              <w:rPr>
                <w:rFonts w:asciiTheme="majorBidi" w:hAnsiTheme="majorBidi" w:cstheme="majorBidi"/>
                <w:b/>
                <w:bCs/>
                <w:sz w:val="20"/>
                <w:szCs w:val="20"/>
              </w:rPr>
              <w:t>C</w:t>
            </w:r>
          </w:p>
        </w:tc>
      </w:tr>
      <w:tr w:rsidR="0077760C" w:rsidRPr="00187853" w14:paraId="661A55AC" w14:textId="77777777" w:rsidTr="00414461">
        <w:trPr>
          <w:jc w:val="center"/>
        </w:trPr>
        <w:tc>
          <w:tcPr>
            <w:tcW w:w="4315" w:type="dxa"/>
            <w:gridSpan w:val="2"/>
            <w:vAlign w:val="center"/>
            <w:hideMark/>
          </w:tcPr>
          <w:p w14:paraId="06DB8DB3" w14:textId="77777777" w:rsidR="0077760C" w:rsidRPr="00187853" w:rsidRDefault="0077760C" w:rsidP="00C91E96">
            <w:pPr>
              <w:rPr>
                <w:rFonts w:asciiTheme="majorBidi" w:hAnsiTheme="majorBidi" w:cstheme="majorBidi"/>
                <w:sz w:val="20"/>
                <w:szCs w:val="20"/>
              </w:rPr>
            </w:pPr>
            <w:r w:rsidRPr="00187853">
              <w:rPr>
                <w:rFonts w:asciiTheme="majorBidi" w:hAnsiTheme="majorBidi" w:cstheme="majorBidi"/>
                <w:b/>
                <w:bCs/>
                <w:sz w:val="20"/>
                <w:szCs w:val="20"/>
              </w:rPr>
              <w:t>Governorate Average</w:t>
            </w:r>
          </w:p>
        </w:tc>
        <w:tc>
          <w:tcPr>
            <w:tcW w:w="1260" w:type="dxa"/>
            <w:vAlign w:val="center"/>
            <w:hideMark/>
          </w:tcPr>
          <w:p w14:paraId="2FD7C9FF" w14:textId="77777777" w:rsidR="0077760C" w:rsidRPr="00187853" w:rsidRDefault="0077760C" w:rsidP="00C91E96">
            <w:pPr>
              <w:jc w:val="center"/>
              <w:rPr>
                <w:rFonts w:asciiTheme="majorBidi" w:hAnsiTheme="majorBidi" w:cstheme="majorBidi"/>
                <w:sz w:val="20"/>
                <w:szCs w:val="20"/>
              </w:rPr>
            </w:pPr>
            <w:r w:rsidRPr="00187853">
              <w:rPr>
                <w:rFonts w:asciiTheme="majorBidi" w:hAnsiTheme="majorBidi" w:cstheme="majorBidi"/>
                <w:sz w:val="20"/>
                <w:szCs w:val="20"/>
              </w:rPr>
              <w:t>21.4</w:t>
            </w:r>
          </w:p>
        </w:tc>
        <w:tc>
          <w:tcPr>
            <w:tcW w:w="1170" w:type="dxa"/>
            <w:vAlign w:val="center"/>
            <w:hideMark/>
          </w:tcPr>
          <w:p w14:paraId="046CF76F" w14:textId="77777777" w:rsidR="0077760C" w:rsidRPr="00187853" w:rsidRDefault="0077760C" w:rsidP="00C91E96">
            <w:pPr>
              <w:jc w:val="center"/>
              <w:rPr>
                <w:rFonts w:asciiTheme="majorBidi" w:hAnsiTheme="majorBidi" w:cstheme="majorBidi"/>
                <w:sz w:val="20"/>
                <w:szCs w:val="20"/>
              </w:rPr>
            </w:pPr>
            <w:r w:rsidRPr="00187853">
              <w:rPr>
                <w:rFonts w:asciiTheme="majorBidi" w:hAnsiTheme="majorBidi" w:cstheme="majorBidi"/>
                <w:sz w:val="20"/>
                <w:szCs w:val="20"/>
              </w:rPr>
              <w:t>48.4</w:t>
            </w:r>
          </w:p>
        </w:tc>
        <w:tc>
          <w:tcPr>
            <w:tcW w:w="900" w:type="dxa"/>
            <w:vAlign w:val="center"/>
            <w:hideMark/>
          </w:tcPr>
          <w:p w14:paraId="635D0EDA" w14:textId="77777777" w:rsidR="0077760C" w:rsidRPr="00187853" w:rsidRDefault="0077760C" w:rsidP="00C91E96">
            <w:pPr>
              <w:jc w:val="center"/>
              <w:rPr>
                <w:rFonts w:asciiTheme="majorBidi" w:hAnsiTheme="majorBidi" w:cstheme="majorBidi"/>
                <w:sz w:val="20"/>
                <w:szCs w:val="20"/>
              </w:rPr>
            </w:pPr>
            <w:r w:rsidRPr="00187853">
              <w:rPr>
                <w:rFonts w:asciiTheme="majorBidi" w:hAnsiTheme="majorBidi" w:cstheme="majorBidi"/>
                <w:b/>
                <w:bCs/>
                <w:sz w:val="20"/>
                <w:szCs w:val="20"/>
              </w:rPr>
              <w:t>20.0</w:t>
            </w:r>
          </w:p>
        </w:tc>
        <w:tc>
          <w:tcPr>
            <w:tcW w:w="1260" w:type="dxa"/>
            <w:vAlign w:val="center"/>
            <w:hideMark/>
          </w:tcPr>
          <w:p w14:paraId="040F9D83" w14:textId="77777777" w:rsidR="0077760C" w:rsidRPr="00187853" w:rsidRDefault="00414461" w:rsidP="00414461">
            <w:pPr>
              <w:jc w:val="center"/>
              <w:rPr>
                <w:rFonts w:asciiTheme="majorBidi" w:hAnsiTheme="majorBidi" w:cstheme="majorBidi"/>
                <w:b/>
                <w:bCs/>
                <w:sz w:val="20"/>
                <w:szCs w:val="20"/>
              </w:rPr>
            </w:pPr>
            <w:r w:rsidRPr="00187853">
              <w:rPr>
                <w:rFonts w:asciiTheme="majorBidi" w:hAnsiTheme="majorBidi" w:cstheme="majorBidi"/>
                <w:b/>
                <w:bCs/>
                <w:sz w:val="20"/>
                <w:szCs w:val="20"/>
              </w:rPr>
              <w:t>PC</w:t>
            </w:r>
          </w:p>
        </w:tc>
      </w:tr>
    </w:tbl>
    <w:p w14:paraId="1B559256" w14:textId="77777777" w:rsidR="0077760C" w:rsidRPr="005F15D3" w:rsidRDefault="0077760C" w:rsidP="0077760C">
      <w:pPr>
        <w:jc w:val="both"/>
        <w:rPr>
          <w:rFonts w:asciiTheme="majorBidi" w:hAnsiTheme="majorBidi" w:cstheme="majorBidi"/>
          <w:sz w:val="24"/>
          <w:szCs w:val="24"/>
          <w:lang w:bidi="ar-EG"/>
        </w:rPr>
      </w:pPr>
      <w:r w:rsidRPr="005F15D3">
        <w:rPr>
          <w:rFonts w:asciiTheme="majorBidi" w:hAnsiTheme="majorBidi" w:cstheme="majorBidi"/>
          <w:b/>
          <w:bCs/>
          <w:sz w:val="24"/>
          <w:szCs w:val="24"/>
          <w:lang w:bidi="ar-EG"/>
        </w:rPr>
        <w:t xml:space="preserve">   </w:t>
      </w:r>
      <w:r w:rsidR="0023095F" w:rsidRPr="005F15D3">
        <w:rPr>
          <w:rFonts w:asciiTheme="majorBidi" w:hAnsiTheme="majorBidi" w:cstheme="majorBidi"/>
          <w:b/>
          <w:bCs/>
          <w:sz w:val="24"/>
          <w:szCs w:val="24"/>
          <w:lang w:bidi="ar-EG"/>
        </w:rPr>
        <w:t xml:space="preserve">                  </w:t>
      </w:r>
      <w:r w:rsidRPr="005F15D3">
        <w:rPr>
          <w:rFonts w:asciiTheme="majorBidi" w:hAnsiTheme="majorBidi" w:cstheme="majorBidi"/>
          <w:b/>
          <w:bCs/>
          <w:sz w:val="24"/>
          <w:szCs w:val="24"/>
          <w:lang w:bidi="ar-EG"/>
        </w:rPr>
        <w:t>Source:</w:t>
      </w:r>
      <w:r w:rsidRPr="005F15D3">
        <w:rPr>
          <w:rFonts w:asciiTheme="majorBidi" w:hAnsiTheme="majorBidi" w:cstheme="majorBidi"/>
          <w:sz w:val="24"/>
          <w:szCs w:val="24"/>
          <w:lang w:bidi="ar-EG"/>
        </w:rPr>
        <w:t xml:space="preserve"> Tables (2) and (3).</w:t>
      </w:r>
    </w:p>
    <w:p w14:paraId="3CDBA178" w14:textId="77777777" w:rsidR="002C70F5" w:rsidRPr="005F15D3" w:rsidRDefault="009176C6" w:rsidP="00952001">
      <w:pPr>
        <w:pStyle w:val="NormalWeb"/>
        <w:spacing w:before="0" w:beforeAutospacing="0" w:after="120" w:afterAutospacing="0" w:line="276" w:lineRule="auto"/>
        <w:jc w:val="both"/>
        <w:rPr>
          <w:rFonts w:asciiTheme="majorBidi" w:hAnsiTheme="majorBidi" w:cstheme="majorBidi"/>
        </w:rPr>
      </w:pPr>
      <w:r w:rsidRPr="005F15D3">
        <w:rPr>
          <w:rFonts w:asciiTheme="majorBidi" w:hAnsiTheme="majorBidi" w:cstheme="majorBidi"/>
        </w:rPr>
        <w:lastRenderedPageBreak/>
        <w:t>Three stations registered DI values falling within the Optimal Comfort Zones, indicating conditions where tourists are unlikely to experience stress and are best suited for strenuous tourist activities:</w:t>
      </w:r>
    </w:p>
    <w:p w14:paraId="50CE4339" w14:textId="77777777" w:rsidR="002C70F5" w:rsidRPr="005F15D3" w:rsidRDefault="002C70F5" w:rsidP="00952001">
      <w:pPr>
        <w:pStyle w:val="NormalWeb"/>
        <w:numPr>
          <w:ilvl w:val="0"/>
          <w:numId w:val="12"/>
        </w:numPr>
        <w:spacing w:before="0" w:beforeAutospacing="0" w:after="120" w:afterAutospacing="0" w:line="276" w:lineRule="auto"/>
        <w:jc w:val="both"/>
        <w:rPr>
          <w:rFonts w:asciiTheme="majorBidi" w:hAnsiTheme="majorBidi" w:cstheme="majorBidi"/>
        </w:rPr>
      </w:pPr>
      <w:r w:rsidRPr="005F15D3">
        <w:rPr>
          <w:rFonts w:asciiTheme="majorBidi" w:hAnsiTheme="majorBidi" w:cstheme="majorBidi"/>
        </w:rPr>
        <w:t>Saint Catherine (</w:t>
      </w:r>
      <w:r w:rsidRPr="005F15D3">
        <w:rPr>
          <w:rStyle w:val="math-inline"/>
          <w:rFonts w:asciiTheme="majorBidi" w:eastAsiaTheme="majorEastAsia" w:hAnsiTheme="majorBidi" w:cstheme="majorBidi"/>
        </w:rPr>
        <w:t>16.4</w:t>
      </w:r>
      <w:r w:rsidRPr="005F15D3">
        <w:rPr>
          <w:rFonts w:asciiTheme="majorBidi" w:hAnsiTheme="majorBidi" w:cstheme="majorBidi"/>
        </w:rPr>
        <w:t>): This station exhibited the lowest DI value, confirming it as the most comfortable location. This is attributable to its high altitude (Mountainous Interior), which significantly reduces both air temperature (</w:t>
      </w:r>
      <w:r w:rsidRPr="005F15D3">
        <w:rPr>
          <w:rStyle w:val="math-inline"/>
          <w:rFonts w:asciiTheme="majorBidi" w:eastAsiaTheme="majorEastAsia" w:hAnsiTheme="majorBidi" w:cstheme="majorBidi"/>
        </w:rPr>
        <w:t>17.1°C</w:t>
      </w:r>
      <w:r w:rsidRPr="005F15D3">
        <w:rPr>
          <w:rFonts w:asciiTheme="majorBidi" w:hAnsiTheme="majorBidi" w:cstheme="majorBidi"/>
        </w:rPr>
        <w:t>) and relative humidity (</w:t>
      </w:r>
      <w:r w:rsidRPr="005F15D3">
        <w:rPr>
          <w:rStyle w:val="math-inline"/>
          <w:rFonts w:asciiTheme="majorBidi" w:eastAsiaTheme="majorEastAsia" w:hAnsiTheme="majorBidi" w:cstheme="majorBidi"/>
        </w:rPr>
        <w:t>33.0%</w:t>
      </w:r>
      <w:r w:rsidRPr="005F15D3">
        <w:rPr>
          <w:rFonts w:asciiTheme="majorBidi" w:hAnsiTheme="majorBidi" w:cstheme="majorBidi"/>
        </w:rPr>
        <w:t>). It represents a prime zone for high-exertion tourism.</w:t>
      </w:r>
    </w:p>
    <w:p w14:paraId="13F5B841" w14:textId="77777777" w:rsidR="002C70F5" w:rsidRPr="005F15D3" w:rsidRDefault="002C70F5" w:rsidP="00952001">
      <w:pPr>
        <w:pStyle w:val="NormalWeb"/>
        <w:numPr>
          <w:ilvl w:val="0"/>
          <w:numId w:val="12"/>
        </w:numPr>
        <w:spacing w:before="0" w:beforeAutospacing="0" w:after="120" w:afterAutospacing="0" w:line="276" w:lineRule="auto"/>
        <w:jc w:val="both"/>
        <w:rPr>
          <w:rFonts w:asciiTheme="majorBidi" w:hAnsiTheme="majorBidi" w:cstheme="majorBidi"/>
        </w:rPr>
      </w:pPr>
      <w:r w:rsidRPr="005F15D3">
        <w:rPr>
          <w:rFonts w:asciiTheme="majorBidi" w:hAnsiTheme="majorBidi" w:cstheme="majorBidi"/>
        </w:rPr>
        <w:t>Taba (</w:t>
      </w:r>
      <w:r w:rsidRPr="005F15D3">
        <w:rPr>
          <w:rStyle w:val="math-inline"/>
          <w:rFonts w:asciiTheme="majorBidi" w:eastAsiaTheme="majorEastAsia" w:hAnsiTheme="majorBidi" w:cstheme="majorBidi"/>
        </w:rPr>
        <w:t>18.0</w:t>
      </w:r>
      <w:r w:rsidRPr="005F15D3">
        <w:rPr>
          <w:rFonts w:asciiTheme="majorBidi" w:hAnsiTheme="majorBidi" w:cstheme="majorBidi"/>
        </w:rPr>
        <w:t xml:space="preserve">): Falling well within the comfortable range, the northern Gulf of Aqaba coast offers highly favorable </w:t>
      </w:r>
      <w:r w:rsidR="009B47C0" w:rsidRPr="005F15D3">
        <w:rPr>
          <w:rFonts w:asciiTheme="majorBidi" w:hAnsiTheme="majorBidi" w:cstheme="majorBidi"/>
        </w:rPr>
        <w:t>bioclimatic</w:t>
      </w:r>
      <w:r w:rsidRPr="005F15D3">
        <w:rPr>
          <w:rFonts w:asciiTheme="majorBidi" w:hAnsiTheme="majorBidi" w:cstheme="majorBidi"/>
        </w:rPr>
        <w:t xml:space="preserve"> conditions for relaxation and outdoor excursions.</w:t>
      </w:r>
    </w:p>
    <w:p w14:paraId="54AA4138" w14:textId="77777777" w:rsidR="002C70F5" w:rsidRPr="005F15D3" w:rsidRDefault="002C70F5" w:rsidP="00952001">
      <w:pPr>
        <w:pStyle w:val="NormalWeb"/>
        <w:numPr>
          <w:ilvl w:val="0"/>
          <w:numId w:val="12"/>
        </w:numPr>
        <w:spacing w:before="0" w:beforeAutospacing="0" w:after="120" w:afterAutospacing="0" w:line="276" w:lineRule="auto"/>
        <w:jc w:val="both"/>
        <w:rPr>
          <w:rFonts w:asciiTheme="majorBidi" w:hAnsiTheme="majorBidi" w:cstheme="majorBidi"/>
        </w:rPr>
      </w:pPr>
      <w:r w:rsidRPr="005F15D3">
        <w:rPr>
          <w:rFonts w:asciiTheme="majorBidi" w:hAnsiTheme="majorBidi" w:cstheme="majorBidi"/>
        </w:rPr>
        <w:t xml:space="preserve">Ras </w:t>
      </w:r>
      <w:proofErr w:type="spellStart"/>
      <w:r w:rsidRPr="005F15D3">
        <w:rPr>
          <w:rFonts w:asciiTheme="majorBidi" w:hAnsiTheme="majorBidi" w:cstheme="majorBidi"/>
        </w:rPr>
        <w:t>S</w:t>
      </w:r>
      <w:r w:rsidR="0085634C" w:rsidRPr="005F15D3">
        <w:rPr>
          <w:rFonts w:asciiTheme="majorBidi" w:hAnsiTheme="majorBidi" w:cstheme="majorBidi"/>
        </w:rPr>
        <w:t>u</w:t>
      </w:r>
      <w:r w:rsidRPr="005F15D3">
        <w:rPr>
          <w:rFonts w:asciiTheme="majorBidi" w:hAnsiTheme="majorBidi" w:cstheme="majorBidi"/>
        </w:rPr>
        <w:t>dr</w:t>
      </w:r>
      <w:proofErr w:type="spellEnd"/>
      <w:r w:rsidRPr="005F15D3">
        <w:rPr>
          <w:rFonts w:asciiTheme="majorBidi" w:hAnsiTheme="majorBidi" w:cstheme="majorBidi"/>
        </w:rPr>
        <w:t xml:space="preserve"> (</w:t>
      </w:r>
      <w:r w:rsidRPr="005F15D3">
        <w:rPr>
          <w:rStyle w:val="math-inline"/>
          <w:rFonts w:asciiTheme="majorBidi" w:eastAsiaTheme="majorEastAsia" w:hAnsiTheme="majorBidi" w:cstheme="majorBidi"/>
        </w:rPr>
        <w:t>19.8</w:t>
      </w:r>
      <w:r w:rsidRPr="005F15D3">
        <w:rPr>
          <w:rFonts w:asciiTheme="majorBidi" w:hAnsiTheme="majorBidi" w:cstheme="majorBidi"/>
        </w:rPr>
        <w:t>): Loc</w:t>
      </w:r>
      <w:r w:rsidR="0085634C" w:rsidRPr="005F15D3">
        <w:rPr>
          <w:rFonts w:asciiTheme="majorBidi" w:hAnsiTheme="majorBidi" w:cstheme="majorBidi"/>
        </w:rPr>
        <w:t>ated at the upper limit of the c</w:t>
      </w:r>
      <w:r w:rsidRPr="005F15D3">
        <w:rPr>
          <w:rFonts w:asciiTheme="majorBidi" w:hAnsiTheme="majorBidi" w:cstheme="majorBidi"/>
        </w:rPr>
        <w:t xml:space="preserve">omfortable category, this station </w:t>
      </w:r>
      <w:r w:rsidR="0085634C" w:rsidRPr="005F15D3">
        <w:rPr>
          <w:rFonts w:asciiTheme="majorBidi" w:hAnsiTheme="majorBidi" w:cstheme="majorBidi"/>
        </w:rPr>
        <w:t xml:space="preserve">is </w:t>
      </w:r>
      <w:r w:rsidRPr="005F15D3">
        <w:rPr>
          <w:rFonts w:asciiTheme="majorBidi" w:hAnsiTheme="majorBidi" w:cstheme="majorBidi"/>
        </w:rPr>
        <w:t>on the northern Gulf of Suez coast provides generally acceptable conditions.</w:t>
      </w:r>
    </w:p>
    <w:p w14:paraId="2294F69C" w14:textId="77777777" w:rsidR="00662641" w:rsidRPr="005F15D3" w:rsidRDefault="00662641" w:rsidP="00952001">
      <w:pPr>
        <w:pStyle w:val="NormalWeb"/>
        <w:spacing w:before="0" w:beforeAutospacing="0" w:after="120" w:afterAutospacing="0" w:line="276" w:lineRule="auto"/>
        <w:jc w:val="both"/>
        <w:rPr>
          <w:rFonts w:asciiTheme="majorBidi" w:hAnsiTheme="majorBidi" w:cstheme="majorBidi"/>
        </w:rPr>
      </w:pPr>
      <w:r w:rsidRPr="005F15D3">
        <w:rPr>
          <w:rFonts w:asciiTheme="majorBidi" w:hAnsiTheme="majorBidi" w:cstheme="majorBidi"/>
        </w:rPr>
        <w:t xml:space="preserve">Three stations fell into the partially comfortable. This implies that while the climate is generally acceptable, sensitive tourists may feel slight discomfort, and minor stress may occur during peak exposure: </w:t>
      </w:r>
    </w:p>
    <w:p w14:paraId="47C57C6A" w14:textId="77777777" w:rsidR="00662641" w:rsidRPr="005F15D3" w:rsidRDefault="0023095F" w:rsidP="00952001">
      <w:pPr>
        <w:pStyle w:val="NormalWeb"/>
        <w:numPr>
          <w:ilvl w:val="0"/>
          <w:numId w:val="13"/>
        </w:numPr>
        <w:spacing w:before="0" w:beforeAutospacing="0" w:after="120" w:afterAutospacing="0" w:line="276" w:lineRule="auto"/>
        <w:jc w:val="both"/>
        <w:rPr>
          <w:rFonts w:asciiTheme="majorBidi" w:hAnsiTheme="majorBidi" w:cstheme="majorBidi"/>
        </w:rPr>
      </w:pPr>
      <w:r w:rsidRPr="005F15D3">
        <w:rPr>
          <w:rFonts w:asciiTheme="majorBidi" w:hAnsiTheme="majorBidi" w:cstheme="majorBidi"/>
          <w:noProof/>
          <w:rtl/>
        </w:rPr>
        <w:drawing>
          <wp:anchor distT="0" distB="0" distL="114300" distR="114300" simplePos="0" relativeHeight="251672576" behindDoc="1" locked="0" layoutInCell="1" allowOverlap="1" wp14:anchorId="5709F1BD" wp14:editId="338BBD79">
            <wp:simplePos x="0" y="0"/>
            <wp:positionH relativeFrom="margin">
              <wp:align>right</wp:align>
            </wp:positionH>
            <wp:positionV relativeFrom="paragraph">
              <wp:posOffset>60601</wp:posOffset>
            </wp:positionV>
            <wp:extent cx="4133850" cy="3482340"/>
            <wp:effectExtent l="0" t="0" r="0" b="3810"/>
            <wp:wrapTight wrapText="bothSides">
              <wp:wrapPolygon edited="0">
                <wp:start x="0" y="0"/>
                <wp:lineTo x="0" y="21505"/>
                <wp:lineTo x="21500" y="21505"/>
                <wp:lineTo x="21500" y="0"/>
                <wp:lineTo x="0" y="0"/>
              </wp:wrapPolygon>
            </wp:wrapTight>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r w:rsidR="00662641" w:rsidRPr="005F15D3">
        <w:rPr>
          <w:rFonts w:asciiTheme="majorBidi" w:hAnsiTheme="majorBidi" w:cstheme="majorBidi"/>
        </w:rPr>
        <w:t xml:space="preserve">Sharm El-Sheikh (23.5): This station records the highest DI value, mainly driven by its elevated air temperature. This value suggests a moderate load on tourists. </w:t>
      </w:r>
    </w:p>
    <w:p w14:paraId="7E42BBC1" w14:textId="77777777" w:rsidR="00662641" w:rsidRPr="005F15D3" w:rsidRDefault="00662641" w:rsidP="00952001">
      <w:pPr>
        <w:pStyle w:val="NormalWeb"/>
        <w:numPr>
          <w:ilvl w:val="0"/>
          <w:numId w:val="13"/>
        </w:numPr>
        <w:spacing w:before="0" w:beforeAutospacing="0" w:after="120" w:afterAutospacing="0" w:line="276" w:lineRule="auto"/>
        <w:jc w:val="both"/>
        <w:rPr>
          <w:rFonts w:asciiTheme="majorBidi" w:hAnsiTheme="majorBidi" w:cstheme="majorBidi"/>
        </w:rPr>
      </w:pPr>
      <w:r w:rsidRPr="005F15D3">
        <w:rPr>
          <w:rFonts w:asciiTheme="majorBidi" w:hAnsiTheme="majorBidi" w:cstheme="majorBidi"/>
        </w:rPr>
        <w:t xml:space="preserve">El-Tor (20.8) and Abu </w:t>
      </w:r>
      <w:proofErr w:type="spellStart"/>
      <w:r w:rsidRPr="005F15D3">
        <w:rPr>
          <w:rFonts w:asciiTheme="majorBidi" w:hAnsiTheme="majorBidi" w:cstheme="majorBidi"/>
        </w:rPr>
        <w:t>Rudeis</w:t>
      </w:r>
      <w:proofErr w:type="spellEnd"/>
      <w:r w:rsidRPr="005F15D3">
        <w:rPr>
          <w:rFonts w:asciiTheme="majorBidi" w:hAnsiTheme="majorBidi" w:cstheme="majorBidi"/>
        </w:rPr>
        <w:t xml:space="preserve"> (20.5): These stations are positioned just above the threshold for comfortable. The conditions are generally favorable but indicate a slight shift towards load for tourist.</w:t>
      </w:r>
    </w:p>
    <w:p w14:paraId="6129E5BB" w14:textId="77777777" w:rsidR="0085634C" w:rsidRPr="005F15D3" w:rsidRDefault="00FA2AF7" w:rsidP="0023095F">
      <w:pPr>
        <w:pStyle w:val="NormalWeb"/>
        <w:spacing w:before="160" w:beforeAutospacing="0" w:after="80" w:afterAutospacing="0" w:line="276" w:lineRule="auto"/>
        <w:jc w:val="both"/>
        <w:rPr>
          <w:rFonts w:asciiTheme="majorBidi" w:hAnsiTheme="majorBidi" w:cstheme="majorBidi"/>
          <w:b/>
          <w:bCs/>
          <w:lang w:bidi="ar-EG"/>
        </w:rPr>
      </w:pPr>
      <w:r w:rsidRPr="005F15D3">
        <w:rPr>
          <w:rFonts w:asciiTheme="majorBidi" w:hAnsiTheme="majorBidi" w:cstheme="majorBidi"/>
          <w:b/>
          <w:bCs/>
          <w:lang w:bidi="ar-EG"/>
        </w:rPr>
        <w:t xml:space="preserve">2-2- </w:t>
      </w:r>
      <w:proofErr w:type="spellStart"/>
      <w:r w:rsidRPr="005F15D3">
        <w:rPr>
          <w:rFonts w:asciiTheme="majorBidi" w:hAnsiTheme="majorBidi" w:cstheme="majorBidi"/>
          <w:b/>
          <w:bCs/>
          <w:lang w:bidi="ar-EG"/>
        </w:rPr>
        <w:t>Pesi</w:t>
      </w:r>
      <w:proofErr w:type="spellEnd"/>
      <w:r w:rsidRPr="005F15D3">
        <w:rPr>
          <w:rFonts w:asciiTheme="majorBidi" w:hAnsiTheme="majorBidi" w:cstheme="majorBidi"/>
          <w:b/>
          <w:bCs/>
          <w:lang w:bidi="ar-EG"/>
        </w:rPr>
        <w:t xml:space="preserve"> model</w:t>
      </w:r>
    </w:p>
    <w:p w14:paraId="1F5F1246" w14:textId="77777777" w:rsidR="000E7ACF" w:rsidRPr="005F15D3" w:rsidRDefault="000E7ACF" w:rsidP="00952001">
      <w:pPr>
        <w:pStyle w:val="NormalWeb"/>
        <w:spacing w:before="0" w:beforeAutospacing="0" w:after="120" w:afterAutospacing="0" w:line="276" w:lineRule="auto"/>
        <w:rPr>
          <w:rFonts w:asciiTheme="majorBidi" w:hAnsiTheme="majorBidi" w:cstheme="majorBidi"/>
        </w:rPr>
      </w:pPr>
      <w:proofErr w:type="spellStart"/>
      <w:r w:rsidRPr="005F15D3">
        <w:rPr>
          <w:rFonts w:asciiTheme="majorBidi" w:hAnsiTheme="majorBidi" w:cstheme="majorBidi"/>
          <w:b/>
          <w:bCs/>
        </w:rPr>
        <w:t>Pesi</w:t>
      </w:r>
      <w:proofErr w:type="spellEnd"/>
      <w:r w:rsidRPr="005F15D3">
        <w:rPr>
          <w:rFonts w:asciiTheme="majorBidi" w:hAnsiTheme="majorBidi" w:cstheme="majorBidi"/>
        </w:rPr>
        <w:t xml:space="preserve"> formulated his mathematical model to measure the level of human comfort over time, also relying on air temperature and relative humidity. The model takes the following form:</w:t>
      </w:r>
    </w:p>
    <w:p w14:paraId="1D4CCB04" w14:textId="77777777" w:rsidR="00DD79E8" w:rsidRPr="005F15D3" w:rsidRDefault="00DD79E8" w:rsidP="00952001">
      <w:pPr>
        <w:pStyle w:val="NormalWeb"/>
        <w:spacing w:before="0" w:beforeAutospacing="0" w:after="120" w:afterAutospacing="0" w:line="276" w:lineRule="auto"/>
        <w:jc w:val="center"/>
        <w:rPr>
          <w:rFonts w:asciiTheme="majorBidi" w:hAnsiTheme="majorBidi" w:cstheme="majorBidi"/>
        </w:rPr>
      </w:pPr>
      <w:r w:rsidRPr="005F15D3">
        <w:rPr>
          <w:rFonts w:asciiTheme="majorBidi" w:hAnsiTheme="majorBidi" w:cstheme="majorBidi"/>
        </w:rPr>
        <w:t xml:space="preserve">THI = T – 55(1 – </w:t>
      </w:r>
      <w:proofErr w:type="gramStart"/>
      <w:r w:rsidRPr="005F15D3">
        <w:rPr>
          <w:rFonts w:asciiTheme="majorBidi" w:hAnsiTheme="majorBidi" w:cstheme="majorBidi"/>
        </w:rPr>
        <w:t>RH)(</w:t>
      </w:r>
      <w:proofErr w:type="gramEnd"/>
      <w:r w:rsidRPr="005F15D3">
        <w:rPr>
          <w:rFonts w:asciiTheme="majorBidi" w:hAnsiTheme="majorBidi" w:cstheme="majorBidi"/>
        </w:rPr>
        <w:t>T – 14) ⁄ 100</w:t>
      </w:r>
    </w:p>
    <w:p w14:paraId="26152C26" w14:textId="77777777" w:rsidR="000E7ACF" w:rsidRPr="005F15D3" w:rsidRDefault="000E7ACF" w:rsidP="00952001">
      <w:pPr>
        <w:pStyle w:val="NormalWeb"/>
        <w:spacing w:before="0" w:beforeAutospacing="0" w:after="120" w:afterAutospacing="0" w:line="276" w:lineRule="auto"/>
        <w:rPr>
          <w:rFonts w:asciiTheme="majorBidi" w:hAnsiTheme="majorBidi" w:cstheme="majorBidi"/>
        </w:rPr>
      </w:pPr>
      <w:r w:rsidRPr="005F15D3">
        <w:rPr>
          <w:rFonts w:asciiTheme="majorBidi" w:hAnsiTheme="majorBidi" w:cstheme="majorBidi"/>
        </w:rPr>
        <w:t>Where:</w:t>
      </w:r>
    </w:p>
    <w:p w14:paraId="154B8387" w14:textId="77777777" w:rsidR="000E7ACF" w:rsidRPr="005F15D3" w:rsidRDefault="000E7ACF" w:rsidP="00952001">
      <w:pPr>
        <w:pStyle w:val="NormalWeb"/>
        <w:spacing w:before="0" w:beforeAutospacing="0" w:after="120" w:afterAutospacing="0" w:line="276" w:lineRule="auto"/>
        <w:ind w:left="720"/>
        <w:rPr>
          <w:rFonts w:asciiTheme="majorBidi" w:hAnsiTheme="majorBidi" w:cstheme="majorBidi"/>
        </w:rPr>
      </w:pPr>
      <w:r w:rsidRPr="005F15D3">
        <w:rPr>
          <w:rStyle w:val="math-inline"/>
          <w:rFonts w:asciiTheme="majorBidi" w:hAnsiTheme="majorBidi" w:cstheme="majorBidi"/>
        </w:rPr>
        <w:t>THI:</w:t>
      </w:r>
      <w:r w:rsidRPr="005F15D3">
        <w:rPr>
          <w:rFonts w:asciiTheme="majorBidi" w:hAnsiTheme="majorBidi" w:cstheme="majorBidi"/>
        </w:rPr>
        <w:t xml:space="preserve"> Temperature Humidity Index, or </w:t>
      </w:r>
      <w:proofErr w:type="spellStart"/>
      <w:r w:rsidR="00EA683C" w:rsidRPr="005F15D3">
        <w:rPr>
          <w:rFonts w:asciiTheme="majorBidi" w:hAnsiTheme="majorBidi" w:cstheme="majorBidi"/>
        </w:rPr>
        <w:t>Pesi</w:t>
      </w:r>
      <w:proofErr w:type="spellEnd"/>
      <w:r w:rsidR="00EA683C" w:rsidRPr="005F15D3">
        <w:rPr>
          <w:rFonts w:asciiTheme="majorBidi" w:hAnsiTheme="majorBidi" w:cstheme="majorBidi"/>
        </w:rPr>
        <w:t xml:space="preserve"> Model</w:t>
      </w:r>
      <w:r w:rsidRPr="005F15D3">
        <w:rPr>
          <w:rFonts w:asciiTheme="majorBidi" w:hAnsiTheme="majorBidi" w:cstheme="majorBidi"/>
        </w:rPr>
        <w:t>.</w:t>
      </w:r>
    </w:p>
    <w:p w14:paraId="0D017DBB" w14:textId="77777777" w:rsidR="000E7ACF" w:rsidRPr="005F15D3" w:rsidRDefault="000E7ACF" w:rsidP="00952001">
      <w:pPr>
        <w:pStyle w:val="NormalWeb"/>
        <w:spacing w:before="0" w:beforeAutospacing="0" w:after="120" w:afterAutospacing="0" w:line="276" w:lineRule="auto"/>
        <w:ind w:left="720"/>
        <w:rPr>
          <w:rFonts w:asciiTheme="majorBidi" w:hAnsiTheme="majorBidi" w:cstheme="majorBidi"/>
        </w:rPr>
      </w:pPr>
      <w:r w:rsidRPr="005F15D3">
        <w:rPr>
          <w:rStyle w:val="math-inline"/>
          <w:rFonts w:asciiTheme="majorBidi" w:hAnsiTheme="majorBidi" w:cstheme="majorBidi"/>
        </w:rPr>
        <w:t>T: average</w:t>
      </w:r>
      <w:r w:rsidRPr="005F15D3">
        <w:rPr>
          <w:rFonts w:asciiTheme="majorBidi" w:hAnsiTheme="majorBidi" w:cstheme="majorBidi"/>
        </w:rPr>
        <w:t xml:space="preserve"> temperature in Celsius (°</w:t>
      </w:r>
      <w:r w:rsidRPr="005F15D3">
        <w:rPr>
          <w:rStyle w:val="math-inline"/>
          <w:rFonts w:asciiTheme="majorBidi" w:hAnsiTheme="majorBidi" w:cstheme="majorBidi"/>
        </w:rPr>
        <w:t>C</w:t>
      </w:r>
      <w:r w:rsidRPr="005F15D3">
        <w:rPr>
          <w:rFonts w:asciiTheme="majorBidi" w:hAnsiTheme="majorBidi" w:cstheme="majorBidi"/>
        </w:rPr>
        <w:t>).</w:t>
      </w:r>
    </w:p>
    <w:p w14:paraId="0D411E71" w14:textId="77777777" w:rsidR="000E7ACF" w:rsidRPr="005F15D3" w:rsidRDefault="000E7ACF" w:rsidP="00952001">
      <w:pPr>
        <w:pStyle w:val="NormalWeb"/>
        <w:spacing w:before="0" w:beforeAutospacing="0" w:after="120" w:afterAutospacing="0" w:line="276" w:lineRule="auto"/>
        <w:ind w:left="720"/>
        <w:rPr>
          <w:rFonts w:asciiTheme="majorBidi" w:hAnsiTheme="majorBidi" w:cstheme="majorBidi"/>
        </w:rPr>
      </w:pPr>
      <w:r w:rsidRPr="005F15D3">
        <w:rPr>
          <w:rStyle w:val="math-inline"/>
          <w:rFonts w:asciiTheme="majorBidi" w:hAnsiTheme="majorBidi" w:cstheme="majorBidi"/>
        </w:rPr>
        <w:t>RH</w:t>
      </w:r>
      <w:r w:rsidRPr="005F15D3">
        <w:rPr>
          <w:rFonts w:asciiTheme="majorBidi" w:hAnsiTheme="majorBidi" w:cstheme="majorBidi"/>
        </w:rPr>
        <w:t xml:space="preserve">: Relative humidity as a decimal fraction (e.g., </w:t>
      </w:r>
      <w:r w:rsidRPr="005F15D3">
        <w:rPr>
          <w:rStyle w:val="math-inline"/>
          <w:rFonts w:asciiTheme="majorBidi" w:hAnsiTheme="majorBidi" w:cstheme="majorBidi"/>
        </w:rPr>
        <w:t>50% = 0.50</w:t>
      </w:r>
      <w:r w:rsidRPr="005F15D3">
        <w:rPr>
          <w:rFonts w:asciiTheme="majorBidi" w:hAnsiTheme="majorBidi" w:cstheme="majorBidi"/>
        </w:rPr>
        <w:t>).</w:t>
      </w:r>
    </w:p>
    <w:p w14:paraId="16398EAC" w14:textId="77777777" w:rsidR="000E7ACF" w:rsidRPr="005F15D3" w:rsidRDefault="000E7ACF" w:rsidP="00952001">
      <w:pPr>
        <w:pStyle w:val="NormalWeb"/>
        <w:spacing w:before="0" w:beforeAutospacing="0" w:after="120" w:afterAutospacing="0" w:line="276" w:lineRule="auto"/>
        <w:rPr>
          <w:rFonts w:asciiTheme="majorBidi" w:hAnsiTheme="majorBidi" w:cstheme="majorBidi"/>
        </w:rPr>
      </w:pPr>
      <w:proofErr w:type="spellStart"/>
      <w:r w:rsidRPr="005F15D3">
        <w:rPr>
          <w:rFonts w:asciiTheme="majorBidi" w:hAnsiTheme="majorBidi" w:cstheme="majorBidi"/>
        </w:rPr>
        <w:t>Pesi</w:t>
      </w:r>
      <w:proofErr w:type="spellEnd"/>
      <w:r w:rsidRPr="005F15D3">
        <w:rPr>
          <w:rFonts w:asciiTheme="majorBidi" w:hAnsiTheme="majorBidi" w:cstheme="majorBidi"/>
        </w:rPr>
        <w:t xml:space="preserve"> classified the results of his model into five levels of perceived comfort Table 6, as follows (Singh et. al, 2008, 53-64): </w:t>
      </w:r>
    </w:p>
    <w:p w14:paraId="39232A1C" w14:textId="77777777" w:rsidR="000E7ACF" w:rsidRPr="00187853" w:rsidRDefault="000E7ACF" w:rsidP="00F94FC0">
      <w:pPr>
        <w:pStyle w:val="NormalWeb"/>
        <w:spacing w:before="120" w:beforeAutospacing="0" w:after="40" w:afterAutospacing="0"/>
        <w:jc w:val="center"/>
        <w:rPr>
          <w:rFonts w:asciiTheme="majorBidi" w:hAnsiTheme="majorBidi" w:cstheme="majorBidi"/>
          <w:sz w:val="20"/>
          <w:szCs w:val="20"/>
        </w:rPr>
      </w:pPr>
      <w:r w:rsidRPr="00187853">
        <w:rPr>
          <w:rFonts w:asciiTheme="majorBidi" w:hAnsiTheme="majorBidi" w:cstheme="majorBidi"/>
          <w:b/>
          <w:bCs/>
          <w:sz w:val="20"/>
          <w:szCs w:val="20"/>
        </w:rPr>
        <w:lastRenderedPageBreak/>
        <w:t xml:space="preserve">Table 6. </w:t>
      </w:r>
      <w:proofErr w:type="spellStart"/>
      <w:r w:rsidR="00102760" w:rsidRPr="00187853">
        <w:rPr>
          <w:rFonts w:asciiTheme="majorBidi" w:hAnsiTheme="majorBidi" w:cstheme="majorBidi"/>
          <w:b/>
          <w:bCs/>
          <w:sz w:val="20"/>
          <w:szCs w:val="20"/>
        </w:rPr>
        <w:t>Pesi</w:t>
      </w:r>
      <w:proofErr w:type="spellEnd"/>
      <w:r w:rsidR="00102760" w:rsidRPr="00187853">
        <w:rPr>
          <w:rFonts w:asciiTheme="majorBidi" w:hAnsiTheme="majorBidi" w:cstheme="majorBidi"/>
          <w:b/>
          <w:bCs/>
          <w:sz w:val="20"/>
          <w:szCs w:val="20"/>
        </w:rPr>
        <w:t xml:space="preserve"> model </w:t>
      </w:r>
      <w:r w:rsidRPr="00187853">
        <w:rPr>
          <w:rFonts w:asciiTheme="majorBidi" w:hAnsiTheme="majorBidi" w:cstheme="majorBidi"/>
          <w:b/>
          <w:bCs/>
          <w:sz w:val="20"/>
          <w:szCs w:val="20"/>
        </w:rPr>
        <w:t>Levels</w:t>
      </w:r>
    </w:p>
    <w:tbl>
      <w:tblPr>
        <w:tblStyle w:val="TableGrid"/>
        <w:tblW w:w="0" w:type="auto"/>
        <w:jc w:val="center"/>
        <w:tblLook w:val="04A0" w:firstRow="1" w:lastRow="0" w:firstColumn="1" w:lastColumn="0" w:noHBand="0" w:noVBand="1"/>
      </w:tblPr>
      <w:tblGrid>
        <w:gridCol w:w="1975"/>
        <w:gridCol w:w="3600"/>
      </w:tblGrid>
      <w:tr w:rsidR="000E7ACF" w:rsidRPr="00187853" w14:paraId="0720122D" w14:textId="77777777" w:rsidTr="00F94FC0">
        <w:trPr>
          <w:jc w:val="center"/>
        </w:trPr>
        <w:tc>
          <w:tcPr>
            <w:tcW w:w="1975" w:type="dxa"/>
            <w:hideMark/>
          </w:tcPr>
          <w:p w14:paraId="151354E8" w14:textId="77777777" w:rsidR="000E7ACF" w:rsidRPr="00187853" w:rsidRDefault="000E7ACF" w:rsidP="00C91E96">
            <w:pPr>
              <w:rPr>
                <w:rFonts w:asciiTheme="majorBidi" w:hAnsiTheme="majorBidi" w:cstheme="majorBidi"/>
                <w:sz w:val="20"/>
                <w:szCs w:val="20"/>
              </w:rPr>
            </w:pPr>
            <w:r w:rsidRPr="00187853">
              <w:rPr>
                <w:rStyle w:val="Strong"/>
                <w:rFonts w:asciiTheme="majorBidi" w:hAnsiTheme="majorBidi" w:cstheme="majorBidi"/>
                <w:sz w:val="20"/>
                <w:szCs w:val="20"/>
              </w:rPr>
              <w:t>THI Range</w:t>
            </w:r>
          </w:p>
        </w:tc>
        <w:tc>
          <w:tcPr>
            <w:tcW w:w="3600" w:type="dxa"/>
            <w:hideMark/>
          </w:tcPr>
          <w:p w14:paraId="21AD0EDE" w14:textId="77777777" w:rsidR="000E7ACF" w:rsidRPr="00187853" w:rsidRDefault="000E7ACF" w:rsidP="00C91E96">
            <w:pPr>
              <w:jc w:val="center"/>
              <w:rPr>
                <w:rFonts w:asciiTheme="majorBidi" w:hAnsiTheme="majorBidi" w:cstheme="majorBidi"/>
                <w:sz w:val="20"/>
                <w:szCs w:val="20"/>
              </w:rPr>
            </w:pPr>
            <w:r w:rsidRPr="00187853">
              <w:rPr>
                <w:rStyle w:val="Strong"/>
                <w:rFonts w:asciiTheme="majorBidi" w:hAnsiTheme="majorBidi" w:cstheme="majorBidi"/>
                <w:sz w:val="20"/>
                <w:szCs w:val="20"/>
              </w:rPr>
              <w:t>Level</w:t>
            </w:r>
          </w:p>
        </w:tc>
      </w:tr>
      <w:tr w:rsidR="000E7ACF" w:rsidRPr="00187853" w14:paraId="5B4F6D40" w14:textId="77777777" w:rsidTr="00F94FC0">
        <w:trPr>
          <w:jc w:val="center"/>
        </w:trPr>
        <w:tc>
          <w:tcPr>
            <w:tcW w:w="1975" w:type="dxa"/>
            <w:hideMark/>
          </w:tcPr>
          <w:p w14:paraId="7465EC4F" w14:textId="77777777" w:rsidR="000E7ACF" w:rsidRPr="00187853" w:rsidRDefault="000E7ACF" w:rsidP="00C91E96">
            <w:pPr>
              <w:rPr>
                <w:rFonts w:asciiTheme="majorBidi" w:hAnsiTheme="majorBidi" w:cstheme="majorBidi"/>
                <w:sz w:val="20"/>
                <w:szCs w:val="20"/>
              </w:rPr>
            </w:pPr>
            <w:r w:rsidRPr="00187853">
              <w:rPr>
                <w:rStyle w:val="math-inline"/>
                <w:rFonts w:asciiTheme="majorBidi" w:hAnsiTheme="majorBidi" w:cstheme="majorBidi"/>
                <w:sz w:val="20"/>
                <w:szCs w:val="20"/>
              </w:rPr>
              <w:t>THI = 16</w:t>
            </w:r>
          </w:p>
        </w:tc>
        <w:tc>
          <w:tcPr>
            <w:tcW w:w="3600" w:type="dxa"/>
            <w:hideMark/>
          </w:tcPr>
          <w:p w14:paraId="05279A19" w14:textId="77777777" w:rsidR="000E7ACF" w:rsidRPr="00187853" w:rsidRDefault="000E7ACF" w:rsidP="00C91E96">
            <w:pPr>
              <w:rPr>
                <w:rFonts w:asciiTheme="majorBidi" w:hAnsiTheme="majorBidi" w:cstheme="majorBidi"/>
                <w:sz w:val="20"/>
                <w:szCs w:val="20"/>
              </w:rPr>
            </w:pPr>
            <w:r w:rsidRPr="00187853">
              <w:rPr>
                <w:rFonts w:asciiTheme="majorBidi" w:hAnsiTheme="majorBidi" w:cstheme="majorBidi"/>
                <w:sz w:val="20"/>
                <w:szCs w:val="20"/>
              </w:rPr>
              <w:t>Cold discomfort (</w:t>
            </w:r>
            <w:r w:rsidRPr="00187853">
              <w:rPr>
                <w:rFonts w:asciiTheme="majorBidi" w:hAnsiTheme="majorBidi" w:cstheme="majorBidi"/>
                <w:b/>
                <w:bCs/>
                <w:sz w:val="20"/>
                <w:szCs w:val="20"/>
              </w:rPr>
              <w:t>CDC</w:t>
            </w:r>
            <w:r w:rsidRPr="00187853">
              <w:rPr>
                <w:rFonts w:asciiTheme="majorBidi" w:hAnsiTheme="majorBidi" w:cstheme="majorBidi"/>
                <w:sz w:val="20"/>
                <w:szCs w:val="20"/>
              </w:rPr>
              <w:t>)</w:t>
            </w:r>
          </w:p>
        </w:tc>
      </w:tr>
      <w:tr w:rsidR="000E7ACF" w:rsidRPr="00187853" w14:paraId="39BB41EA" w14:textId="77777777" w:rsidTr="00F94FC0">
        <w:trPr>
          <w:jc w:val="center"/>
        </w:trPr>
        <w:tc>
          <w:tcPr>
            <w:tcW w:w="1975" w:type="dxa"/>
            <w:hideMark/>
          </w:tcPr>
          <w:p w14:paraId="111F049F" w14:textId="77777777" w:rsidR="000E7ACF" w:rsidRPr="00187853" w:rsidRDefault="000E7ACF" w:rsidP="00C91E96">
            <w:pPr>
              <w:rPr>
                <w:rFonts w:asciiTheme="majorBidi" w:hAnsiTheme="majorBidi" w:cstheme="majorBidi"/>
                <w:sz w:val="20"/>
                <w:szCs w:val="20"/>
              </w:rPr>
            </w:pPr>
            <w:r w:rsidRPr="00187853">
              <w:rPr>
                <w:rStyle w:val="math-inline"/>
                <w:rFonts w:asciiTheme="majorBidi" w:hAnsiTheme="majorBidi" w:cstheme="majorBidi"/>
                <w:sz w:val="20"/>
                <w:szCs w:val="20"/>
              </w:rPr>
              <w:t xml:space="preserve">16 </w:t>
            </w:r>
            <w:r w:rsidRPr="00187853">
              <w:rPr>
                <w:rFonts w:asciiTheme="majorBidi" w:hAnsiTheme="majorBidi" w:cstheme="majorBidi"/>
                <w:color w:val="000000" w:themeColor="text1"/>
                <w:sz w:val="20"/>
                <w:szCs w:val="20"/>
              </w:rPr>
              <w:t>≤</w:t>
            </w:r>
            <w:r w:rsidRPr="00187853">
              <w:rPr>
                <w:rStyle w:val="math-inline"/>
                <w:rFonts w:asciiTheme="majorBidi" w:hAnsiTheme="majorBidi" w:cstheme="majorBidi"/>
                <w:sz w:val="20"/>
                <w:szCs w:val="20"/>
              </w:rPr>
              <w:t xml:space="preserve"> THI &lt; 20</w:t>
            </w:r>
          </w:p>
        </w:tc>
        <w:tc>
          <w:tcPr>
            <w:tcW w:w="3600" w:type="dxa"/>
            <w:hideMark/>
          </w:tcPr>
          <w:p w14:paraId="6E010F77" w14:textId="77777777" w:rsidR="000E7ACF" w:rsidRPr="00187853" w:rsidRDefault="000E7ACF" w:rsidP="00C91E96">
            <w:pPr>
              <w:rPr>
                <w:rFonts w:asciiTheme="majorBidi" w:hAnsiTheme="majorBidi" w:cstheme="majorBidi"/>
                <w:sz w:val="20"/>
                <w:szCs w:val="20"/>
              </w:rPr>
            </w:pPr>
            <w:r w:rsidRPr="00187853">
              <w:rPr>
                <w:rFonts w:asciiTheme="majorBidi" w:hAnsiTheme="majorBidi" w:cstheme="majorBidi"/>
                <w:sz w:val="20"/>
                <w:szCs w:val="20"/>
              </w:rPr>
              <w:t>Partial cold comfort (</w:t>
            </w:r>
            <w:r w:rsidRPr="00187853">
              <w:rPr>
                <w:rFonts w:asciiTheme="majorBidi" w:hAnsiTheme="majorBidi" w:cstheme="majorBidi"/>
                <w:b/>
                <w:bCs/>
                <w:sz w:val="20"/>
                <w:szCs w:val="20"/>
              </w:rPr>
              <w:t>PCC</w:t>
            </w:r>
            <w:r w:rsidRPr="00187853">
              <w:rPr>
                <w:rFonts w:asciiTheme="majorBidi" w:hAnsiTheme="majorBidi" w:cstheme="majorBidi"/>
                <w:sz w:val="20"/>
                <w:szCs w:val="20"/>
              </w:rPr>
              <w:t>)</w:t>
            </w:r>
          </w:p>
        </w:tc>
      </w:tr>
      <w:tr w:rsidR="000E7ACF" w:rsidRPr="00187853" w14:paraId="0FFA1C21" w14:textId="77777777" w:rsidTr="00F94FC0">
        <w:trPr>
          <w:jc w:val="center"/>
        </w:trPr>
        <w:tc>
          <w:tcPr>
            <w:tcW w:w="1975" w:type="dxa"/>
            <w:hideMark/>
          </w:tcPr>
          <w:p w14:paraId="5FDC873F" w14:textId="77777777" w:rsidR="000E7ACF" w:rsidRPr="00187853" w:rsidRDefault="000E7ACF" w:rsidP="00C91E96">
            <w:pPr>
              <w:rPr>
                <w:rFonts w:asciiTheme="majorBidi" w:hAnsiTheme="majorBidi" w:cstheme="majorBidi"/>
                <w:sz w:val="20"/>
                <w:szCs w:val="20"/>
              </w:rPr>
            </w:pPr>
            <w:r w:rsidRPr="00187853">
              <w:rPr>
                <w:rStyle w:val="math-inline"/>
                <w:rFonts w:asciiTheme="majorBidi" w:hAnsiTheme="majorBidi" w:cstheme="majorBidi"/>
                <w:sz w:val="20"/>
                <w:szCs w:val="20"/>
              </w:rPr>
              <w:t xml:space="preserve">20 </w:t>
            </w:r>
            <w:r w:rsidRPr="00187853">
              <w:rPr>
                <w:rFonts w:asciiTheme="majorBidi" w:hAnsiTheme="majorBidi" w:cstheme="majorBidi"/>
                <w:color w:val="000000" w:themeColor="text1"/>
                <w:sz w:val="20"/>
                <w:szCs w:val="20"/>
              </w:rPr>
              <w:t xml:space="preserve">≤ </w:t>
            </w:r>
            <w:r w:rsidRPr="00187853">
              <w:rPr>
                <w:rStyle w:val="math-inline"/>
                <w:rFonts w:asciiTheme="majorBidi" w:hAnsiTheme="majorBidi" w:cstheme="majorBidi"/>
                <w:sz w:val="20"/>
                <w:szCs w:val="20"/>
              </w:rPr>
              <w:t>THI &lt; 25</w:t>
            </w:r>
          </w:p>
        </w:tc>
        <w:tc>
          <w:tcPr>
            <w:tcW w:w="3600" w:type="dxa"/>
            <w:hideMark/>
          </w:tcPr>
          <w:p w14:paraId="2A3D628A" w14:textId="77777777" w:rsidR="000E7ACF" w:rsidRPr="00187853" w:rsidRDefault="000E7ACF" w:rsidP="00C91E96">
            <w:pPr>
              <w:rPr>
                <w:rFonts w:asciiTheme="majorBidi" w:hAnsiTheme="majorBidi" w:cstheme="majorBidi"/>
                <w:sz w:val="20"/>
                <w:szCs w:val="20"/>
              </w:rPr>
            </w:pPr>
            <w:r w:rsidRPr="00187853">
              <w:rPr>
                <w:rFonts w:asciiTheme="majorBidi" w:hAnsiTheme="majorBidi" w:cstheme="majorBidi"/>
                <w:sz w:val="20"/>
                <w:szCs w:val="20"/>
              </w:rPr>
              <w:t>Comfort (</w:t>
            </w:r>
            <w:r w:rsidRPr="00187853">
              <w:rPr>
                <w:rFonts w:asciiTheme="majorBidi" w:hAnsiTheme="majorBidi" w:cstheme="majorBidi"/>
                <w:b/>
                <w:bCs/>
                <w:sz w:val="20"/>
                <w:szCs w:val="20"/>
              </w:rPr>
              <w:t>C</w:t>
            </w:r>
            <w:r w:rsidRPr="00187853">
              <w:rPr>
                <w:rFonts w:asciiTheme="majorBidi" w:hAnsiTheme="majorBidi" w:cstheme="majorBidi"/>
                <w:sz w:val="20"/>
                <w:szCs w:val="20"/>
              </w:rPr>
              <w:t>)</w:t>
            </w:r>
          </w:p>
        </w:tc>
      </w:tr>
      <w:tr w:rsidR="000E7ACF" w:rsidRPr="00187853" w14:paraId="3B94FDA6" w14:textId="77777777" w:rsidTr="00F94FC0">
        <w:trPr>
          <w:jc w:val="center"/>
        </w:trPr>
        <w:tc>
          <w:tcPr>
            <w:tcW w:w="1975" w:type="dxa"/>
            <w:hideMark/>
          </w:tcPr>
          <w:p w14:paraId="0915E938" w14:textId="77777777" w:rsidR="000E7ACF" w:rsidRPr="00187853" w:rsidRDefault="000E7ACF" w:rsidP="00C91E96">
            <w:pPr>
              <w:rPr>
                <w:rFonts w:asciiTheme="majorBidi" w:hAnsiTheme="majorBidi" w:cstheme="majorBidi"/>
                <w:sz w:val="20"/>
                <w:szCs w:val="20"/>
              </w:rPr>
            </w:pPr>
            <w:r w:rsidRPr="00187853">
              <w:rPr>
                <w:rStyle w:val="math-inline"/>
                <w:rFonts w:asciiTheme="majorBidi" w:hAnsiTheme="majorBidi" w:cstheme="majorBidi"/>
                <w:sz w:val="20"/>
                <w:szCs w:val="20"/>
              </w:rPr>
              <w:t xml:space="preserve">25 </w:t>
            </w:r>
            <w:r w:rsidRPr="00187853">
              <w:rPr>
                <w:rFonts w:asciiTheme="majorBidi" w:hAnsiTheme="majorBidi" w:cstheme="majorBidi"/>
                <w:color w:val="000000" w:themeColor="text1"/>
                <w:sz w:val="20"/>
                <w:szCs w:val="20"/>
              </w:rPr>
              <w:t>≤</w:t>
            </w:r>
            <w:r w:rsidRPr="00187853">
              <w:rPr>
                <w:rStyle w:val="math-inline"/>
                <w:rFonts w:asciiTheme="majorBidi" w:hAnsiTheme="majorBidi" w:cstheme="majorBidi"/>
                <w:sz w:val="20"/>
                <w:szCs w:val="20"/>
              </w:rPr>
              <w:t xml:space="preserve"> THI &lt; 28</w:t>
            </w:r>
          </w:p>
        </w:tc>
        <w:tc>
          <w:tcPr>
            <w:tcW w:w="3600" w:type="dxa"/>
            <w:hideMark/>
          </w:tcPr>
          <w:p w14:paraId="28A0CAE8" w14:textId="77777777" w:rsidR="000E7ACF" w:rsidRPr="00187853" w:rsidRDefault="000E7ACF" w:rsidP="00C91E96">
            <w:pPr>
              <w:rPr>
                <w:rFonts w:asciiTheme="majorBidi" w:hAnsiTheme="majorBidi" w:cstheme="majorBidi"/>
                <w:sz w:val="20"/>
                <w:szCs w:val="20"/>
              </w:rPr>
            </w:pPr>
            <w:r w:rsidRPr="00187853">
              <w:rPr>
                <w:rFonts w:asciiTheme="majorBidi" w:hAnsiTheme="majorBidi" w:cstheme="majorBidi"/>
                <w:sz w:val="20"/>
                <w:szCs w:val="20"/>
              </w:rPr>
              <w:t>Partial hot discomfort (</w:t>
            </w:r>
            <w:r w:rsidRPr="00187853">
              <w:rPr>
                <w:rFonts w:asciiTheme="majorBidi" w:hAnsiTheme="majorBidi" w:cstheme="majorBidi"/>
                <w:b/>
                <w:bCs/>
                <w:sz w:val="20"/>
                <w:szCs w:val="20"/>
              </w:rPr>
              <w:t>PHDC</w:t>
            </w:r>
            <w:r w:rsidRPr="00187853">
              <w:rPr>
                <w:rFonts w:asciiTheme="majorBidi" w:hAnsiTheme="majorBidi" w:cstheme="majorBidi"/>
                <w:sz w:val="20"/>
                <w:szCs w:val="20"/>
              </w:rPr>
              <w:t>)</w:t>
            </w:r>
          </w:p>
        </w:tc>
      </w:tr>
      <w:tr w:rsidR="000E7ACF" w:rsidRPr="00187853" w14:paraId="08E51D85" w14:textId="77777777" w:rsidTr="00F94FC0">
        <w:trPr>
          <w:jc w:val="center"/>
        </w:trPr>
        <w:tc>
          <w:tcPr>
            <w:tcW w:w="1975" w:type="dxa"/>
            <w:hideMark/>
          </w:tcPr>
          <w:p w14:paraId="5DD39B33" w14:textId="77777777" w:rsidR="000E7ACF" w:rsidRPr="00187853" w:rsidRDefault="000E7ACF" w:rsidP="00C91E96">
            <w:pPr>
              <w:rPr>
                <w:rFonts w:asciiTheme="majorBidi" w:hAnsiTheme="majorBidi" w:cstheme="majorBidi"/>
                <w:sz w:val="20"/>
                <w:szCs w:val="20"/>
              </w:rPr>
            </w:pPr>
            <w:r w:rsidRPr="00187853">
              <w:rPr>
                <w:rStyle w:val="math-inline"/>
                <w:rFonts w:asciiTheme="majorBidi" w:hAnsiTheme="majorBidi" w:cstheme="majorBidi"/>
                <w:sz w:val="20"/>
                <w:szCs w:val="20"/>
              </w:rPr>
              <w:t>THI ≥ 28</w:t>
            </w:r>
          </w:p>
        </w:tc>
        <w:tc>
          <w:tcPr>
            <w:tcW w:w="3600" w:type="dxa"/>
            <w:hideMark/>
          </w:tcPr>
          <w:p w14:paraId="19F5E1D3" w14:textId="77777777" w:rsidR="000E7ACF" w:rsidRPr="00187853" w:rsidRDefault="000E7ACF" w:rsidP="00C91E96">
            <w:pPr>
              <w:rPr>
                <w:rFonts w:asciiTheme="majorBidi" w:hAnsiTheme="majorBidi" w:cstheme="majorBidi"/>
                <w:sz w:val="20"/>
                <w:szCs w:val="20"/>
              </w:rPr>
            </w:pPr>
            <w:r w:rsidRPr="00187853">
              <w:rPr>
                <w:rFonts w:asciiTheme="majorBidi" w:hAnsiTheme="majorBidi" w:cstheme="majorBidi"/>
                <w:sz w:val="20"/>
                <w:szCs w:val="20"/>
              </w:rPr>
              <w:t>Hot discomfort (</w:t>
            </w:r>
            <w:r w:rsidRPr="00187853">
              <w:rPr>
                <w:rFonts w:asciiTheme="majorBidi" w:hAnsiTheme="majorBidi" w:cstheme="majorBidi"/>
                <w:b/>
                <w:bCs/>
                <w:sz w:val="20"/>
                <w:szCs w:val="20"/>
              </w:rPr>
              <w:t>HDC</w:t>
            </w:r>
            <w:r w:rsidRPr="00187853">
              <w:rPr>
                <w:rFonts w:asciiTheme="majorBidi" w:hAnsiTheme="majorBidi" w:cstheme="majorBidi"/>
                <w:sz w:val="20"/>
                <w:szCs w:val="20"/>
              </w:rPr>
              <w:t>)</w:t>
            </w:r>
          </w:p>
        </w:tc>
      </w:tr>
    </w:tbl>
    <w:p w14:paraId="58AA1DD4" w14:textId="77777777" w:rsidR="008D421C" w:rsidRPr="005F15D3" w:rsidRDefault="00470D10" w:rsidP="00952001">
      <w:pPr>
        <w:pStyle w:val="NormalWeb"/>
        <w:spacing w:after="120" w:afterAutospacing="0" w:line="276" w:lineRule="auto"/>
        <w:jc w:val="both"/>
        <w:rPr>
          <w:rFonts w:asciiTheme="majorBidi" w:hAnsiTheme="majorBidi" w:cstheme="majorBidi"/>
          <w:rtl/>
          <w:lang w:bidi="ar-EG"/>
        </w:rPr>
      </w:pPr>
      <w:r w:rsidRPr="005F15D3">
        <w:rPr>
          <w:rFonts w:asciiTheme="majorBidi" w:hAnsiTheme="majorBidi" w:cstheme="majorBidi"/>
        </w:rPr>
        <w:t>(Table 7 and Figure 6)</w:t>
      </w:r>
      <w:r w:rsidR="008D421C" w:rsidRPr="005F15D3">
        <w:rPr>
          <w:rFonts w:asciiTheme="majorBidi" w:hAnsiTheme="majorBidi" w:cstheme="majorBidi"/>
        </w:rPr>
        <w:t xml:space="preserve"> </w:t>
      </w:r>
      <w:r w:rsidR="00976254" w:rsidRPr="005F15D3">
        <w:rPr>
          <w:rFonts w:asciiTheme="majorBidi" w:hAnsiTheme="majorBidi" w:cstheme="majorBidi"/>
        </w:rPr>
        <w:t>Provide</w:t>
      </w:r>
      <w:r w:rsidR="008D421C" w:rsidRPr="005F15D3">
        <w:rPr>
          <w:rFonts w:asciiTheme="majorBidi" w:hAnsiTheme="majorBidi" w:cstheme="majorBidi"/>
        </w:rPr>
        <w:t xml:space="preserve"> a comprehensive comfort assessment for South Sinai Governorate by calculating and classifying the </w:t>
      </w:r>
      <w:proofErr w:type="spellStart"/>
      <w:r w:rsidR="008D421C" w:rsidRPr="005F15D3">
        <w:rPr>
          <w:rFonts w:asciiTheme="majorBidi" w:hAnsiTheme="majorBidi" w:cstheme="majorBidi"/>
        </w:rPr>
        <w:t>Pesi</w:t>
      </w:r>
      <w:proofErr w:type="spellEnd"/>
      <w:r w:rsidR="008D421C" w:rsidRPr="005F15D3">
        <w:rPr>
          <w:rFonts w:asciiTheme="majorBidi" w:hAnsiTheme="majorBidi" w:cstheme="majorBidi"/>
        </w:rPr>
        <w:t xml:space="preserve"> model (THI) across the annual cycle. The THI, as applied here, serves as a crucial climatic indicator of the combined effect of air temperature and relative humidity on human comfort, particularly relevant for tourist activities.</w:t>
      </w:r>
    </w:p>
    <w:p w14:paraId="114735CB" w14:textId="77777777" w:rsidR="008D421C" w:rsidRPr="005F15D3" w:rsidRDefault="008D421C" w:rsidP="00952001">
      <w:pPr>
        <w:pStyle w:val="NormalWeb"/>
        <w:spacing w:before="60" w:beforeAutospacing="0" w:after="120" w:afterAutospacing="0" w:line="276" w:lineRule="auto"/>
        <w:rPr>
          <w:rFonts w:asciiTheme="majorBidi" w:hAnsiTheme="majorBidi" w:cstheme="majorBidi"/>
        </w:rPr>
      </w:pPr>
      <w:r w:rsidRPr="005F15D3">
        <w:rPr>
          <w:rFonts w:asciiTheme="majorBidi" w:hAnsiTheme="majorBidi" w:cstheme="majorBidi"/>
        </w:rPr>
        <w:t>The THI values reveal a distinct pattern in the thermal environment of South Sinai, with the year clearly divided into three distinct comfort periods:</w:t>
      </w:r>
    </w:p>
    <w:p w14:paraId="73E7762C" w14:textId="77777777" w:rsidR="00BA26F1" w:rsidRPr="00187853" w:rsidRDefault="00BA26F1" w:rsidP="00952001">
      <w:pPr>
        <w:spacing w:before="120" w:after="0"/>
        <w:jc w:val="center"/>
        <w:rPr>
          <w:rFonts w:asciiTheme="majorBidi" w:hAnsiTheme="majorBidi" w:cstheme="majorBidi"/>
          <w:sz w:val="20"/>
          <w:szCs w:val="20"/>
          <w:rtl/>
        </w:rPr>
      </w:pPr>
      <w:r w:rsidRPr="00187853">
        <w:rPr>
          <w:rFonts w:asciiTheme="majorBidi" w:eastAsia="Times New Roman" w:hAnsiTheme="majorBidi" w:cstheme="majorBidi"/>
          <w:b/>
          <w:bCs/>
          <w:sz w:val="20"/>
          <w:szCs w:val="20"/>
        </w:rPr>
        <w:t xml:space="preserve">Table 7: </w:t>
      </w:r>
      <w:proofErr w:type="spellStart"/>
      <w:r w:rsidR="00EA683C" w:rsidRPr="00187853">
        <w:rPr>
          <w:rFonts w:asciiTheme="majorBidi" w:eastAsia="Times New Roman" w:hAnsiTheme="majorBidi" w:cstheme="majorBidi"/>
          <w:b/>
          <w:bCs/>
          <w:sz w:val="20"/>
          <w:szCs w:val="20"/>
        </w:rPr>
        <w:t>Pesi</w:t>
      </w:r>
      <w:proofErr w:type="spellEnd"/>
      <w:r w:rsidR="00EA683C" w:rsidRPr="00187853">
        <w:rPr>
          <w:rFonts w:asciiTheme="majorBidi" w:eastAsia="Times New Roman" w:hAnsiTheme="majorBidi" w:cstheme="majorBidi"/>
          <w:b/>
          <w:bCs/>
          <w:sz w:val="20"/>
          <w:szCs w:val="20"/>
        </w:rPr>
        <w:t xml:space="preserve"> Model </w:t>
      </w:r>
      <w:r w:rsidRPr="00187853">
        <w:rPr>
          <w:rFonts w:asciiTheme="majorBidi" w:eastAsia="Times New Roman" w:hAnsiTheme="majorBidi" w:cstheme="majorBidi"/>
          <w:b/>
          <w:bCs/>
          <w:sz w:val="20"/>
          <w:szCs w:val="20"/>
        </w:rPr>
        <w:t>in South Sinai Governorate</w:t>
      </w:r>
    </w:p>
    <w:tbl>
      <w:tblPr>
        <w:tblStyle w:val="TableGrid"/>
        <w:tblW w:w="0" w:type="auto"/>
        <w:jc w:val="center"/>
        <w:tblLook w:val="04A0" w:firstRow="1" w:lastRow="0" w:firstColumn="1" w:lastColumn="0" w:noHBand="0" w:noVBand="1"/>
      </w:tblPr>
      <w:tblGrid>
        <w:gridCol w:w="1138"/>
        <w:gridCol w:w="1211"/>
        <w:gridCol w:w="900"/>
        <w:gridCol w:w="1000"/>
        <w:gridCol w:w="1078"/>
      </w:tblGrid>
      <w:tr w:rsidR="00BA26F1" w:rsidRPr="00187853" w14:paraId="4A978270" w14:textId="77777777" w:rsidTr="0085724E">
        <w:trPr>
          <w:jc w:val="center"/>
        </w:trPr>
        <w:tc>
          <w:tcPr>
            <w:tcW w:w="0" w:type="auto"/>
            <w:hideMark/>
          </w:tcPr>
          <w:p w14:paraId="11AD767D" w14:textId="77777777" w:rsidR="00BA26F1" w:rsidRPr="00187853" w:rsidRDefault="00BA26F1" w:rsidP="001038DF">
            <w:pPr>
              <w:rPr>
                <w:rFonts w:asciiTheme="majorBidi" w:eastAsia="Times New Roman" w:hAnsiTheme="majorBidi" w:cstheme="majorBidi"/>
                <w:color w:val="1B1C1D"/>
                <w:sz w:val="20"/>
                <w:szCs w:val="20"/>
              </w:rPr>
            </w:pPr>
            <w:r w:rsidRPr="00187853">
              <w:rPr>
                <w:rFonts w:asciiTheme="majorBidi" w:eastAsia="Times New Roman" w:hAnsiTheme="majorBidi" w:cstheme="majorBidi"/>
                <w:b/>
                <w:bCs/>
                <w:color w:val="1B1C1D"/>
                <w:sz w:val="20"/>
                <w:szCs w:val="20"/>
                <w:bdr w:val="none" w:sz="0" w:space="0" w:color="auto" w:frame="1"/>
              </w:rPr>
              <w:t>Month</w:t>
            </w:r>
          </w:p>
        </w:tc>
        <w:tc>
          <w:tcPr>
            <w:tcW w:w="0" w:type="auto"/>
            <w:hideMark/>
          </w:tcPr>
          <w:p w14:paraId="46A760AB" w14:textId="77777777" w:rsidR="00BA26F1" w:rsidRPr="00187853" w:rsidRDefault="00BA26F1" w:rsidP="001038DF">
            <w:pPr>
              <w:rPr>
                <w:rFonts w:asciiTheme="majorBidi" w:eastAsia="Times New Roman" w:hAnsiTheme="majorBidi" w:cstheme="majorBidi"/>
                <w:color w:val="1B1C1D"/>
                <w:sz w:val="20"/>
                <w:szCs w:val="20"/>
              </w:rPr>
            </w:pPr>
            <w:r w:rsidRPr="00187853">
              <w:rPr>
                <w:rFonts w:asciiTheme="majorBidi" w:eastAsia="Times New Roman" w:hAnsiTheme="majorBidi" w:cstheme="majorBidi"/>
                <w:b/>
                <w:bCs/>
                <w:color w:val="1B1C1D"/>
                <w:sz w:val="20"/>
                <w:szCs w:val="20"/>
                <w:bdr w:val="none" w:sz="0" w:space="0" w:color="auto" w:frame="1"/>
              </w:rPr>
              <w:t>Avg. T (</w:t>
            </w:r>
            <w:r w:rsidRPr="00187853">
              <w:rPr>
                <w:rFonts w:ascii="Cambria Math" w:eastAsia="Times New Roman" w:hAnsi="Cambria Math" w:cs="Cambria Math"/>
                <w:b/>
                <w:bCs/>
                <w:color w:val="1B1C1D"/>
                <w:sz w:val="20"/>
                <w:szCs w:val="20"/>
                <w:bdr w:val="none" w:sz="0" w:space="0" w:color="auto" w:frame="1"/>
              </w:rPr>
              <w:t>∘</w:t>
            </w:r>
            <w:r w:rsidRPr="00187853">
              <w:rPr>
                <w:rFonts w:asciiTheme="majorBidi" w:eastAsia="Times New Roman" w:hAnsiTheme="majorBidi" w:cstheme="majorBidi"/>
                <w:b/>
                <w:bCs/>
                <w:color w:val="1B1C1D"/>
                <w:sz w:val="20"/>
                <w:szCs w:val="20"/>
                <w:bdr w:val="none" w:sz="0" w:space="0" w:color="auto" w:frame="1"/>
              </w:rPr>
              <w:t>C)</w:t>
            </w:r>
          </w:p>
        </w:tc>
        <w:tc>
          <w:tcPr>
            <w:tcW w:w="0" w:type="auto"/>
            <w:hideMark/>
          </w:tcPr>
          <w:p w14:paraId="1E344FFF" w14:textId="77777777" w:rsidR="00BA26F1" w:rsidRPr="00187853" w:rsidRDefault="00BA26F1" w:rsidP="001038DF">
            <w:pPr>
              <w:rPr>
                <w:rFonts w:asciiTheme="majorBidi" w:eastAsia="Times New Roman" w:hAnsiTheme="majorBidi" w:cstheme="majorBidi"/>
                <w:color w:val="1B1C1D"/>
                <w:sz w:val="20"/>
                <w:szCs w:val="20"/>
              </w:rPr>
            </w:pPr>
            <w:r w:rsidRPr="00187853">
              <w:rPr>
                <w:rFonts w:asciiTheme="majorBidi" w:eastAsia="Times New Roman" w:hAnsiTheme="majorBidi" w:cstheme="majorBidi"/>
                <w:b/>
                <w:bCs/>
                <w:color w:val="1B1C1D"/>
                <w:sz w:val="20"/>
                <w:szCs w:val="20"/>
                <w:bdr w:val="none" w:sz="0" w:space="0" w:color="auto" w:frame="1"/>
              </w:rPr>
              <w:t>RH (%)</w:t>
            </w:r>
          </w:p>
        </w:tc>
        <w:tc>
          <w:tcPr>
            <w:tcW w:w="0" w:type="auto"/>
            <w:hideMark/>
          </w:tcPr>
          <w:p w14:paraId="57EDB53D" w14:textId="77777777" w:rsidR="00BA26F1" w:rsidRPr="00187853" w:rsidRDefault="00BA26F1" w:rsidP="001038DF">
            <w:pPr>
              <w:rPr>
                <w:rFonts w:asciiTheme="majorBidi" w:eastAsia="Times New Roman" w:hAnsiTheme="majorBidi" w:cstheme="majorBidi"/>
                <w:color w:val="1B1C1D"/>
                <w:sz w:val="20"/>
                <w:szCs w:val="20"/>
              </w:rPr>
            </w:pPr>
            <w:r w:rsidRPr="00187853">
              <w:rPr>
                <w:rFonts w:asciiTheme="majorBidi" w:eastAsia="Times New Roman" w:hAnsiTheme="majorBidi" w:cstheme="majorBidi"/>
                <w:b/>
                <w:bCs/>
                <w:color w:val="1B1C1D"/>
                <w:sz w:val="20"/>
                <w:szCs w:val="20"/>
                <w:bdr w:val="none" w:sz="0" w:space="0" w:color="auto" w:frame="1"/>
              </w:rPr>
              <w:t>THI (</w:t>
            </w:r>
            <w:r w:rsidRPr="00187853">
              <w:rPr>
                <w:rFonts w:ascii="Cambria Math" w:eastAsia="Times New Roman" w:hAnsi="Cambria Math" w:cs="Cambria Math"/>
                <w:b/>
                <w:bCs/>
                <w:color w:val="1B1C1D"/>
                <w:sz w:val="20"/>
                <w:szCs w:val="20"/>
                <w:bdr w:val="none" w:sz="0" w:space="0" w:color="auto" w:frame="1"/>
              </w:rPr>
              <w:t>∘</w:t>
            </w:r>
            <w:r w:rsidRPr="00187853">
              <w:rPr>
                <w:rFonts w:asciiTheme="majorBidi" w:eastAsia="Times New Roman" w:hAnsiTheme="majorBidi" w:cstheme="majorBidi"/>
                <w:b/>
                <w:bCs/>
                <w:color w:val="1B1C1D"/>
                <w:sz w:val="20"/>
                <w:szCs w:val="20"/>
                <w:bdr w:val="none" w:sz="0" w:space="0" w:color="auto" w:frame="1"/>
              </w:rPr>
              <w:t>C)</w:t>
            </w:r>
          </w:p>
        </w:tc>
        <w:tc>
          <w:tcPr>
            <w:tcW w:w="1078" w:type="dxa"/>
            <w:hideMark/>
          </w:tcPr>
          <w:p w14:paraId="554EC990" w14:textId="77777777" w:rsidR="00BA26F1" w:rsidRPr="00187853" w:rsidRDefault="00BA26F1" w:rsidP="0085724E">
            <w:pPr>
              <w:jc w:val="center"/>
              <w:rPr>
                <w:rFonts w:asciiTheme="majorBidi" w:eastAsia="Times New Roman" w:hAnsiTheme="majorBidi" w:cstheme="majorBidi"/>
                <w:color w:val="1B1C1D"/>
                <w:sz w:val="20"/>
                <w:szCs w:val="20"/>
              </w:rPr>
            </w:pPr>
            <w:r w:rsidRPr="00187853">
              <w:rPr>
                <w:rFonts w:asciiTheme="majorBidi" w:eastAsia="Times New Roman" w:hAnsiTheme="majorBidi" w:cstheme="majorBidi"/>
                <w:b/>
                <w:bCs/>
                <w:color w:val="1B1C1D"/>
                <w:sz w:val="20"/>
                <w:szCs w:val="20"/>
                <w:bdr w:val="none" w:sz="0" w:space="0" w:color="auto" w:frame="1"/>
              </w:rPr>
              <w:t>Level</w:t>
            </w:r>
          </w:p>
        </w:tc>
      </w:tr>
      <w:tr w:rsidR="00BA26F1" w:rsidRPr="00187853" w14:paraId="7DFBF66E" w14:textId="77777777" w:rsidTr="0085724E">
        <w:trPr>
          <w:jc w:val="center"/>
        </w:trPr>
        <w:tc>
          <w:tcPr>
            <w:tcW w:w="0" w:type="auto"/>
            <w:hideMark/>
          </w:tcPr>
          <w:p w14:paraId="3173D675" w14:textId="77777777" w:rsidR="00BA26F1" w:rsidRPr="00187853" w:rsidRDefault="00BA26F1" w:rsidP="001038DF">
            <w:pPr>
              <w:rPr>
                <w:rFonts w:asciiTheme="majorBidi" w:eastAsia="Times New Roman" w:hAnsiTheme="majorBidi" w:cstheme="majorBidi"/>
                <w:color w:val="1B1C1D"/>
                <w:sz w:val="20"/>
                <w:szCs w:val="20"/>
              </w:rPr>
            </w:pPr>
            <w:r w:rsidRPr="00187853">
              <w:rPr>
                <w:rFonts w:asciiTheme="majorBidi" w:eastAsia="Times New Roman" w:hAnsiTheme="majorBidi" w:cstheme="majorBidi"/>
                <w:b/>
                <w:bCs/>
                <w:color w:val="1B1C1D"/>
                <w:sz w:val="20"/>
                <w:szCs w:val="20"/>
                <w:bdr w:val="none" w:sz="0" w:space="0" w:color="auto" w:frame="1"/>
              </w:rPr>
              <w:t>January</w:t>
            </w:r>
          </w:p>
        </w:tc>
        <w:tc>
          <w:tcPr>
            <w:tcW w:w="0" w:type="auto"/>
            <w:hideMark/>
          </w:tcPr>
          <w:p w14:paraId="43F72331" w14:textId="77777777" w:rsidR="00BA26F1" w:rsidRPr="00187853" w:rsidRDefault="00BA26F1" w:rsidP="001038DF">
            <w:pPr>
              <w:rPr>
                <w:rFonts w:asciiTheme="majorBidi" w:eastAsia="Times New Roman" w:hAnsiTheme="majorBidi" w:cstheme="majorBidi"/>
                <w:color w:val="1B1C1D"/>
                <w:sz w:val="20"/>
                <w:szCs w:val="20"/>
              </w:rPr>
            </w:pPr>
            <w:r w:rsidRPr="00187853">
              <w:rPr>
                <w:rFonts w:asciiTheme="majorBidi" w:eastAsia="Times New Roman" w:hAnsiTheme="majorBidi" w:cstheme="majorBidi"/>
                <w:color w:val="1B1C1D"/>
                <w:sz w:val="20"/>
                <w:szCs w:val="20"/>
              </w:rPr>
              <w:t>13.5</w:t>
            </w:r>
          </w:p>
        </w:tc>
        <w:tc>
          <w:tcPr>
            <w:tcW w:w="0" w:type="auto"/>
            <w:hideMark/>
          </w:tcPr>
          <w:p w14:paraId="7B0DDCB9" w14:textId="77777777" w:rsidR="00BA26F1" w:rsidRPr="00187853" w:rsidRDefault="00BA26F1" w:rsidP="001038DF">
            <w:pPr>
              <w:rPr>
                <w:rFonts w:asciiTheme="majorBidi" w:eastAsia="Times New Roman" w:hAnsiTheme="majorBidi" w:cstheme="majorBidi"/>
                <w:color w:val="1B1C1D"/>
                <w:sz w:val="20"/>
                <w:szCs w:val="20"/>
              </w:rPr>
            </w:pPr>
            <w:r w:rsidRPr="00187853">
              <w:rPr>
                <w:rFonts w:asciiTheme="majorBidi" w:eastAsia="Times New Roman" w:hAnsiTheme="majorBidi" w:cstheme="majorBidi"/>
                <w:color w:val="1B1C1D"/>
                <w:sz w:val="20"/>
                <w:szCs w:val="20"/>
              </w:rPr>
              <w:t>53</w:t>
            </w:r>
          </w:p>
        </w:tc>
        <w:tc>
          <w:tcPr>
            <w:tcW w:w="0" w:type="auto"/>
            <w:hideMark/>
          </w:tcPr>
          <w:p w14:paraId="5DD9A1D0" w14:textId="77777777" w:rsidR="00BA26F1" w:rsidRPr="00187853" w:rsidRDefault="00BA26F1" w:rsidP="001038DF">
            <w:pPr>
              <w:rPr>
                <w:rFonts w:asciiTheme="majorBidi" w:eastAsia="Times New Roman" w:hAnsiTheme="majorBidi" w:cstheme="majorBidi"/>
                <w:color w:val="1B1C1D"/>
                <w:sz w:val="20"/>
                <w:szCs w:val="20"/>
              </w:rPr>
            </w:pPr>
            <w:r w:rsidRPr="00187853">
              <w:rPr>
                <w:rFonts w:asciiTheme="majorBidi" w:eastAsia="Times New Roman" w:hAnsiTheme="majorBidi" w:cstheme="majorBidi"/>
                <w:b/>
                <w:bCs/>
                <w:color w:val="1B1C1D"/>
                <w:sz w:val="20"/>
                <w:szCs w:val="20"/>
                <w:bdr w:val="none" w:sz="0" w:space="0" w:color="auto" w:frame="1"/>
              </w:rPr>
              <w:t>13.63</w:t>
            </w:r>
          </w:p>
        </w:tc>
        <w:tc>
          <w:tcPr>
            <w:tcW w:w="1078" w:type="dxa"/>
            <w:hideMark/>
          </w:tcPr>
          <w:p w14:paraId="0121851A" w14:textId="77777777" w:rsidR="00BA26F1" w:rsidRPr="00187853" w:rsidRDefault="00BA26F1" w:rsidP="0085724E">
            <w:pPr>
              <w:jc w:val="center"/>
              <w:rPr>
                <w:rFonts w:asciiTheme="majorBidi" w:eastAsia="Times New Roman" w:hAnsiTheme="majorBidi" w:cstheme="majorBidi"/>
                <w:color w:val="1B1C1D"/>
                <w:sz w:val="20"/>
                <w:szCs w:val="20"/>
              </w:rPr>
            </w:pPr>
            <w:r w:rsidRPr="00187853">
              <w:rPr>
                <w:rFonts w:asciiTheme="majorBidi" w:eastAsia="Times New Roman" w:hAnsiTheme="majorBidi" w:cstheme="majorBidi"/>
                <w:b/>
                <w:bCs/>
                <w:color w:val="1B1C1D"/>
                <w:sz w:val="20"/>
                <w:szCs w:val="20"/>
                <w:bdr w:val="none" w:sz="0" w:space="0" w:color="auto" w:frame="1"/>
              </w:rPr>
              <w:t>CDC</w:t>
            </w:r>
          </w:p>
        </w:tc>
      </w:tr>
      <w:tr w:rsidR="00BA26F1" w:rsidRPr="00187853" w14:paraId="0D046049" w14:textId="77777777" w:rsidTr="0085724E">
        <w:trPr>
          <w:jc w:val="center"/>
        </w:trPr>
        <w:tc>
          <w:tcPr>
            <w:tcW w:w="0" w:type="auto"/>
            <w:hideMark/>
          </w:tcPr>
          <w:p w14:paraId="4629DECF" w14:textId="77777777" w:rsidR="00BA26F1" w:rsidRPr="00187853" w:rsidRDefault="00BA26F1" w:rsidP="001038DF">
            <w:pPr>
              <w:rPr>
                <w:rFonts w:asciiTheme="majorBidi" w:eastAsia="Times New Roman" w:hAnsiTheme="majorBidi" w:cstheme="majorBidi"/>
                <w:color w:val="1B1C1D"/>
                <w:sz w:val="20"/>
                <w:szCs w:val="20"/>
              </w:rPr>
            </w:pPr>
            <w:r w:rsidRPr="00187853">
              <w:rPr>
                <w:rFonts w:asciiTheme="majorBidi" w:eastAsia="Times New Roman" w:hAnsiTheme="majorBidi" w:cstheme="majorBidi"/>
                <w:b/>
                <w:bCs/>
                <w:color w:val="1B1C1D"/>
                <w:sz w:val="20"/>
                <w:szCs w:val="20"/>
                <w:bdr w:val="none" w:sz="0" w:space="0" w:color="auto" w:frame="1"/>
              </w:rPr>
              <w:t>February</w:t>
            </w:r>
          </w:p>
        </w:tc>
        <w:tc>
          <w:tcPr>
            <w:tcW w:w="0" w:type="auto"/>
            <w:hideMark/>
          </w:tcPr>
          <w:p w14:paraId="4F559286" w14:textId="77777777" w:rsidR="00BA26F1" w:rsidRPr="00187853" w:rsidRDefault="00BA26F1" w:rsidP="001038DF">
            <w:pPr>
              <w:rPr>
                <w:rFonts w:asciiTheme="majorBidi" w:eastAsia="Times New Roman" w:hAnsiTheme="majorBidi" w:cstheme="majorBidi"/>
                <w:color w:val="1B1C1D"/>
                <w:sz w:val="20"/>
                <w:szCs w:val="20"/>
              </w:rPr>
            </w:pPr>
            <w:r w:rsidRPr="00187853">
              <w:rPr>
                <w:rFonts w:asciiTheme="majorBidi" w:eastAsia="Times New Roman" w:hAnsiTheme="majorBidi" w:cstheme="majorBidi"/>
                <w:color w:val="1B1C1D"/>
                <w:sz w:val="20"/>
                <w:szCs w:val="20"/>
              </w:rPr>
              <w:t>14.5</w:t>
            </w:r>
          </w:p>
        </w:tc>
        <w:tc>
          <w:tcPr>
            <w:tcW w:w="0" w:type="auto"/>
            <w:hideMark/>
          </w:tcPr>
          <w:p w14:paraId="20E30B07" w14:textId="77777777" w:rsidR="00BA26F1" w:rsidRPr="00187853" w:rsidRDefault="00BA26F1" w:rsidP="001038DF">
            <w:pPr>
              <w:rPr>
                <w:rFonts w:asciiTheme="majorBidi" w:eastAsia="Times New Roman" w:hAnsiTheme="majorBidi" w:cstheme="majorBidi"/>
                <w:color w:val="1B1C1D"/>
                <w:sz w:val="20"/>
                <w:szCs w:val="20"/>
              </w:rPr>
            </w:pPr>
            <w:r w:rsidRPr="00187853">
              <w:rPr>
                <w:rFonts w:asciiTheme="majorBidi" w:eastAsia="Times New Roman" w:hAnsiTheme="majorBidi" w:cstheme="majorBidi"/>
                <w:color w:val="1B1C1D"/>
                <w:sz w:val="20"/>
                <w:szCs w:val="20"/>
              </w:rPr>
              <w:t>49.2</w:t>
            </w:r>
          </w:p>
        </w:tc>
        <w:tc>
          <w:tcPr>
            <w:tcW w:w="0" w:type="auto"/>
            <w:hideMark/>
          </w:tcPr>
          <w:p w14:paraId="412AD80C" w14:textId="77777777" w:rsidR="00BA26F1" w:rsidRPr="00187853" w:rsidRDefault="00BA26F1" w:rsidP="001038DF">
            <w:pPr>
              <w:rPr>
                <w:rFonts w:asciiTheme="majorBidi" w:eastAsia="Times New Roman" w:hAnsiTheme="majorBidi" w:cstheme="majorBidi"/>
                <w:color w:val="1B1C1D"/>
                <w:sz w:val="20"/>
                <w:szCs w:val="20"/>
              </w:rPr>
            </w:pPr>
            <w:r w:rsidRPr="00187853">
              <w:rPr>
                <w:rFonts w:asciiTheme="majorBidi" w:eastAsia="Times New Roman" w:hAnsiTheme="majorBidi" w:cstheme="majorBidi"/>
                <w:b/>
                <w:bCs/>
                <w:color w:val="1B1C1D"/>
                <w:sz w:val="20"/>
                <w:szCs w:val="20"/>
                <w:bdr w:val="none" w:sz="0" w:space="0" w:color="auto" w:frame="1"/>
              </w:rPr>
              <w:t>14.36</w:t>
            </w:r>
          </w:p>
        </w:tc>
        <w:tc>
          <w:tcPr>
            <w:tcW w:w="1078" w:type="dxa"/>
            <w:hideMark/>
          </w:tcPr>
          <w:p w14:paraId="23AF094C" w14:textId="77777777" w:rsidR="00BA26F1" w:rsidRPr="00187853" w:rsidRDefault="00BA26F1" w:rsidP="0085724E">
            <w:pPr>
              <w:jc w:val="center"/>
              <w:rPr>
                <w:rFonts w:asciiTheme="majorBidi" w:eastAsia="Times New Roman" w:hAnsiTheme="majorBidi" w:cstheme="majorBidi"/>
                <w:color w:val="1B1C1D"/>
                <w:sz w:val="20"/>
                <w:szCs w:val="20"/>
              </w:rPr>
            </w:pPr>
            <w:r w:rsidRPr="00187853">
              <w:rPr>
                <w:rFonts w:asciiTheme="majorBidi" w:eastAsia="Times New Roman" w:hAnsiTheme="majorBidi" w:cstheme="majorBidi"/>
                <w:b/>
                <w:bCs/>
                <w:color w:val="1B1C1D"/>
                <w:sz w:val="20"/>
                <w:szCs w:val="20"/>
                <w:bdr w:val="none" w:sz="0" w:space="0" w:color="auto" w:frame="1"/>
              </w:rPr>
              <w:t>CDC</w:t>
            </w:r>
          </w:p>
        </w:tc>
      </w:tr>
      <w:tr w:rsidR="00BA26F1" w:rsidRPr="00187853" w14:paraId="4B563F3F" w14:textId="77777777" w:rsidTr="0085724E">
        <w:trPr>
          <w:jc w:val="center"/>
        </w:trPr>
        <w:tc>
          <w:tcPr>
            <w:tcW w:w="0" w:type="auto"/>
            <w:hideMark/>
          </w:tcPr>
          <w:p w14:paraId="7BEE826B" w14:textId="77777777" w:rsidR="00BA26F1" w:rsidRPr="00187853" w:rsidRDefault="00BA26F1" w:rsidP="001038DF">
            <w:pPr>
              <w:rPr>
                <w:rFonts w:asciiTheme="majorBidi" w:eastAsia="Times New Roman" w:hAnsiTheme="majorBidi" w:cstheme="majorBidi"/>
                <w:color w:val="1B1C1D"/>
                <w:sz w:val="20"/>
                <w:szCs w:val="20"/>
              </w:rPr>
            </w:pPr>
            <w:r w:rsidRPr="00187853">
              <w:rPr>
                <w:rFonts w:asciiTheme="majorBidi" w:eastAsia="Times New Roman" w:hAnsiTheme="majorBidi" w:cstheme="majorBidi"/>
                <w:b/>
                <w:bCs/>
                <w:color w:val="1B1C1D"/>
                <w:sz w:val="20"/>
                <w:szCs w:val="20"/>
                <w:bdr w:val="none" w:sz="0" w:space="0" w:color="auto" w:frame="1"/>
              </w:rPr>
              <w:t>March</w:t>
            </w:r>
          </w:p>
        </w:tc>
        <w:tc>
          <w:tcPr>
            <w:tcW w:w="0" w:type="auto"/>
            <w:hideMark/>
          </w:tcPr>
          <w:p w14:paraId="080E4207" w14:textId="77777777" w:rsidR="00BA26F1" w:rsidRPr="00187853" w:rsidRDefault="00BA26F1" w:rsidP="001038DF">
            <w:pPr>
              <w:rPr>
                <w:rFonts w:asciiTheme="majorBidi" w:eastAsia="Times New Roman" w:hAnsiTheme="majorBidi" w:cstheme="majorBidi"/>
                <w:color w:val="1B1C1D"/>
                <w:sz w:val="20"/>
                <w:szCs w:val="20"/>
              </w:rPr>
            </w:pPr>
            <w:r w:rsidRPr="00187853">
              <w:rPr>
                <w:rFonts w:asciiTheme="majorBidi" w:eastAsia="Times New Roman" w:hAnsiTheme="majorBidi" w:cstheme="majorBidi"/>
                <w:color w:val="1B1C1D"/>
                <w:sz w:val="20"/>
                <w:szCs w:val="20"/>
              </w:rPr>
              <w:t>16.9</w:t>
            </w:r>
          </w:p>
        </w:tc>
        <w:tc>
          <w:tcPr>
            <w:tcW w:w="0" w:type="auto"/>
            <w:hideMark/>
          </w:tcPr>
          <w:p w14:paraId="2607C376" w14:textId="77777777" w:rsidR="00BA26F1" w:rsidRPr="00187853" w:rsidRDefault="00BA26F1" w:rsidP="001038DF">
            <w:pPr>
              <w:rPr>
                <w:rFonts w:asciiTheme="majorBidi" w:eastAsia="Times New Roman" w:hAnsiTheme="majorBidi" w:cstheme="majorBidi"/>
                <w:color w:val="1B1C1D"/>
                <w:sz w:val="20"/>
                <w:szCs w:val="20"/>
              </w:rPr>
            </w:pPr>
            <w:r w:rsidRPr="00187853">
              <w:rPr>
                <w:rFonts w:asciiTheme="majorBidi" w:eastAsia="Times New Roman" w:hAnsiTheme="majorBidi" w:cstheme="majorBidi"/>
                <w:color w:val="1B1C1D"/>
                <w:sz w:val="20"/>
                <w:szCs w:val="20"/>
              </w:rPr>
              <w:t>48</w:t>
            </w:r>
          </w:p>
        </w:tc>
        <w:tc>
          <w:tcPr>
            <w:tcW w:w="0" w:type="auto"/>
            <w:hideMark/>
          </w:tcPr>
          <w:p w14:paraId="12E25332" w14:textId="77777777" w:rsidR="00BA26F1" w:rsidRPr="00187853" w:rsidRDefault="00BA26F1" w:rsidP="001038DF">
            <w:pPr>
              <w:rPr>
                <w:rFonts w:asciiTheme="majorBidi" w:eastAsia="Times New Roman" w:hAnsiTheme="majorBidi" w:cstheme="majorBidi"/>
                <w:color w:val="1B1C1D"/>
                <w:sz w:val="20"/>
                <w:szCs w:val="20"/>
              </w:rPr>
            </w:pPr>
            <w:r w:rsidRPr="00187853">
              <w:rPr>
                <w:rFonts w:asciiTheme="majorBidi" w:eastAsia="Times New Roman" w:hAnsiTheme="majorBidi" w:cstheme="majorBidi"/>
                <w:b/>
                <w:bCs/>
                <w:color w:val="1B1C1D"/>
                <w:sz w:val="20"/>
                <w:szCs w:val="20"/>
                <w:bdr w:val="none" w:sz="0" w:space="0" w:color="auto" w:frame="1"/>
              </w:rPr>
              <w:t>16.03</w:t>
            </w:r>
          </w:p>
        </w:tc>
        <w:tc>
          <w:tcPr>
            <w:tcW w:w="1078" w:type="dxa"/>
            <w:hideMark/>
          </w:tcPr>
          <w:p w14:paraId="0F9E6A07" w14:textId="77777777" w:rsidR="00BA26F1" w:rsidRPr="00187853" w:rsidRDefault="000825B7" w:rsidP="0085724E">
            <w:pPr>
              <w:jc w:val="center"/>
              <w:rPr>
                <w:rFonts w:asciiTheme="majorBidi" w:eastAsia="Times New Roman" w:hAnsiTheme="majorBidi" w:cstheme="majorBidi"/>
                <w:color w:val="1B1C1D"/>
                <w:sz w:val="20"/>
                <w:szCs w:val="20"/>
              </w:rPr>
            </w:pPr>
            <w:r w:rsidRPr="00187853">
              <w:rPr>
                <w:rFonts w:asciiTheme="majorBidi" w:eastAsia="Times New Roman" w:hAnsiTheme="majorBidi" w:cstheme="majorBidi"/>
                <w:b/>
                <w:bCs/>
                <w:color w:val="1B1C1D"/>
                <w:sz w:val="20"/>
                <w:szCs w:val="20"/>
                <w:bdr w:val="none" w:sz="0" w:space="0" w:color="auto" w:frame="1"/>
              </w:rPr>
              <w:t>PCC</w:t>
            </w:r>
          </w:p>
        </w:tc>
      </w:tr>
      <w:tr w:rsidR="00BA26F1" w:rsidRPr="00187853" w14:paraId="1B7CC506" w14:textId="77777777" w:rsidTr="0085724E">
        <w:trPr>
          <w:jc w:val="center"/>
        </w:trPr>
        <w:tc>
          <w:tcPr>
            <w:tcW w:w="0" w:type="auto"/>
            <w:hideMark/>
          </w:tcPr>
          <w:p w14:paraId="46C53046" w14:textId="77777777" w:rsidR="00BA26F1" w:rsidRPr="00187853" w:rsidRDefault="00BA26F1" w:rsidP="001038DF">
            <w:pPr>
              <w:rPr>
                <w:rFonts w:asciiTheme="majorBidi" w:eastAsia="Times New Roman" w:hAnsiTheme="majorBidi" w:cstheme="majorBidi"/>
                <w:color w:val="1B1C1D"/>
                <w:sz w:val="20"/>
                <w:szCs w:val="20"/>
              </w:rPr>
            </w:pPr>
            <w:r w:rsidRPr="00187853">
              <w:rPr>
                <w:rFonts w:asciiTheme="majorBidi" w:eastAsia="Times New Roman" w:hAnsiTheme="majorBidi" w:cstheme="majorBidi"/>
                <w:b/>
                <w:bCs/>
                <w:color w:val="1B1C1D"/>
                <w:sz w:val="20"/>
                <w:szCs w:val="20"/>
                <w:bdr w:val="none" w:sz="0" w:space="0" w:color="auto" w:frame="1"/>
              </w:rPr>
              <w:t>April</w:t>
            </w:r>
          </w:p>
        </w:tc>
        <w:tc>
          <w:tcPr>
            <w:tcW w:w="0" w:type="auto"/>
            <w:hideMark/>
          </w:tcPr>
          <w:p w14:paraId="15D9C5D9" w14:textId="77777777" w:rsidR="00BA26F1" w:rsidRPr="00187853" w:rsidRDefault="00BA26F1" w:rsidP="001038DF">
            <w:pPr>
              <w:rPr>
                <w:rFonts w:asciiTheme="majorBidi" w:eastAsia="Times New Roman" w:hAnsiTheme="majorBidi" w:cstheme="majorBidi"/>
                <w:color w:val="1B1C1D"/>
                <w:sz w:val="20"/>
                <w:szCs w:val="20"/>
              </w:rPr>
            </w:pPr>
            <w:r w:rsidRPr="00187853">
              <w:rPr>
                <w:rFonts w:asciiTheme="majorBidi" w:eastAsia="Times New Roman" w:hAnsiTheme="majorBidi" w:cstheme="majorBidi"/>
                <w:color w:val="1B1C1D"/>
                <w:sz w:val="20"/>
                <w:szCs w:val="20"/>
              </w:rPr>
              <w:t>20.9</w:t>
            </w:r>
          </w:p>
        </w:tc>
        <w:tc>
          <w:tcPr>
            <w:tcW w:w="0" w:type="auto"/>
            <w:hideMark/>
          </w:tcPr>
          <w:p w14:paraId="5E87D632" w14:textId="77777777" w:rsidR="00BA26F1" w:rsidRPr="00187853" w:rsidRDefault="00BA26F1" w:rsidP="001038DF">
            <w:pPr>
              <w:rPr>
                <w:rFonts w:asciiTheme="majorBidi" w:eastAsia="Times New Roman" w:hAnsiTheme="majorBidi" w:cstheme="majorBidi"/>
                <w:color w:val="1B1C1D"/>
                <w:sz w:val="20"/>
                <w:szCs w:val="20"/>
              </w:rPr>
            </w:pPr>
            <w:r w:rsidRPr="00187853">
              <w:rPr>
                <w:rFonts w:asciiTheme="majorBidi" w:eastAsia="Times New Roman" w:hAnsiTheme="majorBidi" w:cstheme="majorBidi"/>
                <w:color w:val="1B1C1D"/>
                <w:sz w:val="20"/>
                <w:szCs w:val="20"/>
              </w:rPr>
              <w:t>43.5</w:t>
            </w:r>
          </w:p>
        </w:tc>
        <w:tc>
          <w:tcPr>
            <w:tcW w:w="0" w:type="auto"/>
            <w:hideMark/>
          </w:tcPr>
          <w:p w14:paraId="1C311721" w14:textId="77777777" w:rsidR="00BA26F1" w:rsidRPr="00187853" w:rsidRDefault="00BA26F1" w:rsidP="001038DF">
            <w:pPr>
              <w:rPr>
                <w:rFonts w:asciiTheme="majorBidi" w:eastAsia="Times New Roman" w:hAnsiTheme="majorBidi" w:cstheme="majorBidi"/>
                <w:color w:val="1B1C1D"/>
                <w:sz w:val="20"/>
                <w:szCs w:val="20"/>
              </w:rPr>
            </w:pPr>
            <w:r w:rsidRPr="00187853">
              <w:rPr>
                <w:rFonts w:asciiTheme="majorBidi" w:eastAsia="Times New Roman" w:hAnsiTheme="majorBidi" w:cstheme="majorBidi"/>
                <w:b/>
                <w:bCs/>
                <w:color w:val="1B1C1D"/>
                <w:sz w:val="20"/>
                <w:szCs w:val="20"/>
                <w:bdr w:val="none" w:sz="0" w:space="0" w:color="auto" w:frame="1"/>
              </w:rPr>
              <w:t>18.73</w:t>
            </w:r>
          </w:p>
        </w:tc>
        <w:tc>
          <w:tcPr>
            <w:tcW w:w="1078" w:type="dxa"/>
            <w:hideMark/>
          </w:tcPr>
          <w:p w14:paraId="22511419" w14:textId="77777777" w:rsidR="00BA26F1" w:rsidRPr="00187853" w:rsidRDefault="00BA26F1" w:rsidP="0085724E">
            <w:pPr>
              <w:jc w:val="center"/>
              <w:rPr>
                <w:rFonts w:asciiTheme="majorBidi" w:eastAsia="Times New Roman" w:hAnsiTheme="majorBidi" w:cstheme="majorBidi"/>
                <w:color w:val="1B1C1D"/>
                <w:sz w:val="20"/>
                <w:szCs w:val="20"/>
              </w:rPr>
            </w:pPr>
            <w:r w:rsidRPr="00187853">
              <w:rPr>
                <w:rFonts w:asciiTheme="majorBidi" w:eastAsia="Times New Roman" w:hAnsiTheme="majorBidi" w:cstheme="majorBidi"/>
                <w:b/>
                <w:bCs/>
                <w:color w:val="1B1C1D"/>
                <w:sz w:val="20"/>
                <w:szCs w:val="20"/>
                <w:bdr w:val="none" w:sz="0" w:space="0" w:color="auto" w:frame="1"/>
              </w:rPr>
              <w:t>PCC</w:t>
            </w:r>
          </w:p>
        </w:tc>
      </w:tr>
      <w:tr w:rsidR="00BA26F1" w:rsidRPr="00187853" w14:paraId="4644EA05" w14:textId="77777777" w:rsidTr="0085724E">
        <w:trPr>
          <w:jc w:val="center"/>
        </w:trPr>
        <w:tc>
          <w:tcPr>
            <w:tcW w:w="0" w:type="auto"/>
            <w:hideMark/>
          </w:tcPr>
          <w:p w14:paraId="1C9F24AA" w14:textId="77777777" w:rsidR="00BA26F1" w:rsidRPr="00187853" w:rsidRDefault="00BA26F1" w:rsidP="001038DF">
            <w:pPr>
              <w:rPr>
                <w:rFonts w:asciiTheme="majorBidi" w:eastAsia="Times New Roman" w:hAnsiTheme="majorBidi" w:cstheme="majorBidi"/>
                <w:color w:val="1B1C1D"/>
                <w:sz w:val="20"/>
                <w:szCs w:val="20"/>
              </w:rPr>
            </w:pPr>
            <w:r w:rsidRPr="00187853">
              <w:rPr>
                <w:rFonts w:asciiTheme="majorBidi" w:eastAsia="Times New Roman" w:hAnsiTheme="majorBidi" w:cstheme="majorBidi"/>
                <w:b/>
                <w:bCs/>
                <w:color w:val="1B1C1D"/>
                <w:sz w:val="20"/>
                <w:szCs w:val="20"/>
                <w:bdr w:val="none" w:sz="0" w:space="0" w:color="auto" w:frame="1"/>
              </w:rPr>
              <w:t>May</w:t>
            </w:r>
          </w:p>
        </w:tc>
        <w:tc>
          <w:tcPr>
            <w:tcW w:w="0" w:type="auto"/>
            <w:hideMark/>
          </w:tcPr>
          <w:p w14:paraId="204E4B0D" w14:textId="77777777" w:rsidR="00BA26F1" w:rsidRPr="00187853" w:rsidRDefault="00BA26F1" w:rsidP="001038DF">
            <w:pPr>
              <w:rPr>
                <w:rFonts w:asciiTheme="majorBidi" w:eastAsia="Times New Roman" w:hAnsiTheme="majorBidi" w:cstheme="majorBidi"/>
                <w:color w:val="1B1C1D"/>
                <w:sz w:val="20"/>
                <w:szCs w:val="20"/>
              </w:rPr>
            </w:pPr>
            <w:r w:rsidRPr="00187853">
              <w:rPr>
                <w:rFonts w:asciiTheme="majorBidi" w:eastAsia="Times New Roman" w:hAnsiTheme="majorBidi" w:cstheme="majorBidi"/>
                <w:color w:val="1B1C1D"/>
                <w:sz w:val="20"/>
                <w:szCs w:val="20"/>
              </w:rPr>
              <w:t>24.7</w:t>
            </w:r>
          </w:p>
        </w:tc>
        <w:tc>
          <w:tcPr>
            <w:tcW w:w="0" w:type="auto"/>
            <w:hideMark/>
          </w:tcPr>
          <w:p w14:paraId="76A1FB86" w14:textId="77777777" w:rsidR="00BA26F1" w:rsidRPr="00187853" w:rsidRDefault="00BA26F1" w:rsidP="001038DF">
            <w:pPr>
              <w:rPr>
                <w:rFonts w:asciiTheme="majorBidi" w:eastAsia="Times New Roman" w:hAnsiTheme="majorBidi" w:cstheme="majorBidi"/>
                <w:color w:val="1B1C1D"/>
                <w:sz w:val="20"/>
                <w:szCs w:val="20"/>
              </w:rPr>
            </w:pPr>
            <w:r w:rsidRPr="00187853">
              <w:rPr>
                <w:rFonts w:asciiTheme="majorBidi" w:eastAsia="Times New Roman" w:hAnsiTheme="majorBidi" w:cstheme="majorBidi"/>
                <w:color w:val="1B1C1D"/>
                <w:sz w:val="20"/>
                <w:szCs w:val="20"/>
              </w:rPr>
              <w:t>43.5</w:t>
            </w:r>
          </w:p>
        </w:tc>
        <w:tc>
          <w:tcPr>
            <w:tcW w:w="0" w:type="auto"/>
            <w:hideMark/>
          </w:tcPr>
          <w:p w14:paraId="3F3B40A9" w14:textId="77777777" w:rsidR="00BA26F1" w:rsidRPr="00187853" w:rsidRDefault="00BA26F1" w:rsidP="001038DF">
            <w:pPr>
              <w:rPr>
                <w:rFonts w:asciiTheme="majorBidi" w:eastAsia="Times New Roman" w:hAnsiTheme="majorBidi" w:cstheme="majorBidi"/>
                <w:color w:val="1B1C1D"/>
                <w:sz w:val="20"/>
                <w:szCs w:val="20"/>
              </w:rPr>
            </w:pPr>
            <w:r w:rsidRPr="00187853">
              <w:rPr>
                <w:rFonts w:asciiTheme="majorBidi" w:eastAsia="Times New Roman" w:hAnsiTheme="majorBidi" w:cstheme="majorBidi"/>
                <w:b/>
                <w:bCs/>
                <w:color w:val="1B1C1D"/>
                <w:sz w:val="20"/>
                <w:szCs w:val="20"/>
                <w:bdr w:val="none" w:sz="0" w:space="0" w:color="auto" w:frame="1"/>
              </w:rPr>
              <w:t>20.59</w:t>
            </w:r>
          </w:p>
        </w:tc>
        <w:tc>
          <w:tcPr>
            <w:tcW w:w="1078" w:type="dxa"/>
            <w:hideMark/>
          </w:tcPr>
          <w:p w14:paraId="5F2C6C55" w14:textId="77777777" w:rsidR="00BA26F1" w:rsidRPr="00187853" w:rsidRDefault="0085724E" w:rsidP="0085724E">
            <w:pPr>
              <w:jc w:val="center"/>
              <w:rPr>
                <w:rFonts w:asciiTheme="majorBidi" w:eastAsia="Times New Roman" w:hAnsiTheme="majorBidi" w:cstheme="majorBidi"/>
                <w:color w:val="1B1C1D"/>
                <w:sz w:val="20"/>
                <w:szCs w:val="20"/>
              </w:rPr>
            </w:pPr>
            <w:r w:rsidRPr="00187853">
              <w:rPr>
                <w:rFonts w:asciiTheme="majorBidi" w:eastAsia="Times New Roman" w:hAnsiTheme="majorBidi" w:cstheme="majorBidi"/>
                <w:b/>
                <w:bCs/>
                <w:color w:val="1B1C1D"/>
                <w:sz w:val="20"/>
                <w:szCs w:val="20"/>
                <w:bdr w:val="none" w:sz="0" w:space="0" w:color="auto" w:frame="1"/>
              </w:rPr>
              <w:t>C</w:t>
            </w:r>
          </w:p>
        </w:tc>
      </w:tr>
      <w:tr w:rsidR="00BA26F1" w:rsidRPr="00187853" w14:paraId="138E8C41" w14:textId="77777777" w:rsidTr="0085724E">
        <w:trPr>
          <w:jc w:val="center"/>
        </w:trPr>
        <w:tc>
          <w:tcPr>
            <w:tcW w:w="0" w:type="auto"/>
            <w:hideMark/>
          </w:tcPr>
          <w:p w14:paraId="5CD2A64B" w14:textId="77777777" w:rsidR="00BA26F1" w:rsidRPr="00187853" w:rsidRDefault="00BA26F1" w:rsidP="001038DF">
            <w:pPr>
              <w:rPr>
                <w:rFonts w:asciiTheme="majorBidi" w:eastAsia="Times New Roman" w:hAnsiTheme="majorBidi" w:cstheme="majorBidi"/>
                <w:color w:val="1B1C1D"/>
                <w:sz w:val="20"/>
                <w:szCs w:val="20"/>
              </w:rPr>
            </w:pPr>
            <w:r w:rsidRPr="00187853">
              <w:rPr>
                <w:rFonts w:asciiTheme="majorBidi" w:eastAsia="Times New Roman" w:hAnsiTheme="majorBidi" w:cstheme="majorBidi"/>
                <w:b/>
                <w:bCs/>
                <w:color w:val="1B1C1D"/>
                <w:sz w:val="20"/>
                <w:szCs w:val="20"/>
                <w:bdr w:val="none" w:sz="0" w:space="0" w:color="auto" w:frame="1"/>
              </w:rPr>
              <w:t>June</w:t>
            </w:r>
          </w:p>
        </w:tc>
        <w:tc>
          <w:tcPr>
            <w:tcW w:w="0" w:type="auto"/>
            <w:hideMark/>
          </w:tcPr>
          <w:p w14:paraId="18427B57" w14:textId="77777777" w:rsidR="00BA26F1" w:rsidRPr="00187853" w:rsidRDefault="00BA26F1" w:rsidP="001038DF">
            <w:pPr>
              <w:rPr>
                <w:rFonts w:asciiTheme="majorBidi" w:eastAsia="Times New Roman" w:hAnsiTheme="majorBidi" w:cstheme="majorBidi"/>
                <w:color w:val="1B1C1D"/>
                <w:sz w:val="20"/>
                <w:szCs w:val="20"/>
              </w:rPr>
            </w:pPr>
            <w:r w:rsidRPr="00187853">
              <w:rPr>
                <w:rFonts w:asciiTheme="majorBidi" w:eastAsia="Times New Roman" w:hAnsiTheme="majorBidi" w:cstheme="majorBidi"/>
                <w:color w:val="1B1C1D"/>
                <w:sz w:val="20"/>
                <w:szCs w:val="20"/>
              </w:rPr>
              <w:t>27.3</w:t>
            </w:r>
          </w:p>
        </w:tc>
        <w:tc>
          <w:tcPr>
            <w:tcW w:w="0" w:type="auto"/>
            <w:hideMark/>
          </w:tcPr>
          <w:p w14:paraId="49828841" w14:textId="77777777" w:rsidR="00BA26F1" w:rsidRPr="00187853" w:rsidRDefault="00BA26F1" w:rsidP="001038DF">
            <w:pPr>
              <w:rPr>
                <w:rFonts w:asciiTheme="majorBidi" w:eastAsia="Times New Roman" w:hAnsiTheme="majorBidi" w:cstheme="majorBidi"/>
                <w:color w:val="1B1C1D"/>
                <w:sz w:val="20"/>
                <w:szCs w:val="20"/>
              </w:rPr>
            </w:pPr>
            <w:r w:rsidRPr="00187853">
              <w:rPr>
                <w:rFonts w:asciiTheme="majorBidi" w:eastAsia="Times New Roman" w:hAnsiTheme="majorBidi" w:cstheme="majorBidi"/>
                <w:color w:val="1B1C1D"/>
                <w:sz w:val="20"/>
                <w:szCs w:val="20"/>
              </w:rPr>
              <w:t>42.8</w:t>
            </w:r>
          </w:p>
        </w:tc>
        <w:tc>
          <w:tcPr>
            <w:tcW w:w="0" w:type="auto"/>
            <w:hideMark/>
          </w:tcPr>
          <w:p w14:paraId="2FB202AD" w14:textId="77777777" w:rsidR="00BA26F1" w:rsidRPr="00187853" w:rsidRDefault="00BA26F1" w:rsidP="001038DF">
            <w:pPr>
              <w:rPr>
                <w:rFonts w:asciiTheme="majorBidi" w:eastAsia="Times New Roman" w:hAnsiTheme="majorBidi" w:cstheme="majorBidi"/>
                <w:color w:val="1B1C1D"/>
                <w:sz w:val="20"/>
                <w:szCs w:val="20"/>
              </w:rPr>
            </w:pPr>
            <w:r w:rsidRPr="00187853">
              <w:rPr>
                <w:rFonts w:asciiTheme="majorBidi" w:eastAsia="Times New Roman" w:hAnsiTheme="majorBidi" w:cstheme="majorBidi"/>
                <w:b/>
                <w:bCs/>
                <w:color w:val="1B1C1D"/>
                <w:sz w:val="20"/>
                <w:szCs w:val="20"/>
                <w:bdr w:val="none" w:sz="0" w:space="0" w:color="auto" w:frame="1"/>
              </w:rPr>
              <w:t>22.51</w:t>
            </w:r>
          </w:p>
        </w:tc>
        <w:tc>
          <w:tcPr>
            <w:tcW w:w="1078" w:type="dxa"/>
            <w:hideMark/>
          </w:tcPr>
          <w:p w14:paraId="5B1D7140" w14:textId="77777777" w:rsidR="00BA26F1" w:rsidRPr="00187853" w:rsidRDefault="0085724E" w:rsidP="0085724E">
            <w:pPr>
              <w:jc w:val="center"/>
              <w:rPr>
                <w:rFonts w:asciiTheme="majorBidi" w:eastAsia="Times New Roman" w:hAnsiTheme="majorBidi" w:cstheme="majorBidi"/>
                <w:color w:val="1B1C1D"/>
                <w:sz w:val="20"/>
                <w:szCs w:val="20"/>
              </w:rPr>
            </w:pPr>
            <w:r w:rsidRPr="00187853">
              <w:rPr>
                <w:rFonts w:asciiTheme="majorBidi" w:eastAsia="Times New Roman" w:hAnsiTheme="majorBidi" w:cstheme="majorBidi"/>
                <w:b/>
                <w:bCs/>
                <w:color w:val="1B1C1D"/>
                <w:sz w:val="20"/>
                <w:szCs w:val="20"/>
                <w:bdr w:val="none" w:sz="0" w:space="0" w:color="auto" w:frame="1"/>
              </w:rPr>
              <w:t>C</w:t>
            </w:r>
          </w:p>
        </w:tc>
      </w:tr>
      <w:tr w:rsidR="0085724E" w:rsidRPr="00187853" w14:paraId="0F74E5B0" w14:textId="77777777" w:rsidTr="0085724E">
        <w:trPr>
          <w:jc w:val="center"/>
        </w:trPr>
        <w:tc>
          <w:tcPr>
            <w:tcW w:w="0" w:type="auto"/>
            <w:hideMark/>
          </w:tcPr>
          <w:p w14:paraId="5EA75195" w14:textId="77777777" w:rsidR="0085724E" w:rsidRPr="00187853" w:rsidRDefault="0085724E" w:rsidP="0085724E">
            <w:pPr>
              <w:rPr>
                <w:rFonts w:asciiTheme="majorBidi" w:eastAsia="Times New Roman" w:hAnsiTheme="majorBidi" w:cstheme="majorBidi"/>
                <w:color w:val="1B1C1D"/>
                <w:sz w:val="20"/>
                <w:szCs w:val="20"/>
              </w:rPr>
            </w:pPr>
            <w:r w:rsidRPr="00187853">
              <w:rPr>
                <w:rFonts w:asciiTheme="majorBidi" w:eastAsia="Times New Roman" w:hAnsiTheme="majorBidi" w:cstheme="majorBidi"/>
                <w:b/>
                <w:bCs/>
                <w:color w:val="1B1C1D"/>
                <w:sz w:val="20"/>
                <w:szCs w:val="20"/>
                <w:bdr w:val="none" w:sz="0" w:space="0" w:color="auto" w:frame="1"/>
              </w:rPr>
              <w:t>July</w:t>
            </w:r>
          </w:p>
        </w:tc>
        <w:tc>
          <w:tcPr>
            <w:tcW w:w="0" w:type="auto"/>
            <w:hideMark/>
          </w:tcPr>
          <w:p w14:paraId="53F1B544" w14:textId="77777777" w:rsidR="0085724E" w:rsidRPr="00187853" w:rsidRDefault="0085724E" w:rsidP="0085724E">
            <w:pPr>
              <w:rPr>
                <w:rFonts w:asciiTheme="majorBidi" w:eastAsia="Times New Roman" w:hAnsiTheme="majorBidi" w:cstheme="majorBidi"/>
                <w:color w:val="1B1C1D"/>
                <w:sz w:val="20"/>
                <w:szCs w:val="20"/>
              </w:rPr>
            </w:pPr>
            <w:r w:rsidRPr="00187853">
              <w:rPr>
                <w:rFonts w:asciiTheme="majorBidi" w:eastAsia="Times New Roman" w:hAnsiTheme="majorBidi" w:cstheme="majorBidi"/>
                <w:color w:val="1B1C1D"/>
                <w:sz w:val="20"/>
                <w:szCs w:val="20"/>
              </w:rPr>
              <w:t>28.5</w:t>
            </w:r>
          </w:p>
        </w:tc>
        <w:tc>
          <w:tcPr>
            <w:tcW w:w="0" w:type="auto"/>
            <w:hideMark/>
          </w:tcPr>
          <w:p w14:paraId="7AC3E05E" w14:textId="77777777" w:rsidR="0085724E" w:rsidRPr="00187853" w:rsidRDefault="0085724E" w:rsidP="0085724E">
            <w:pPr>
              <w:rPr>
                <w:rFonts w:asciiTheme="majorBidi" w:eastAsia="Times New Roman" w:hAnsiTheme="majorBidi" w:cstheme="majorBidi"/>
                <w:color w:val="1B1C1D"/>
                <w:sz w:val="20"/>
                <w:szCs w:val="20"/>
              </w:rPr>
            </w:pPr>
            <w:r w:rsidRPr="00187853">
              <w:rPr>
                <w:rFonts w:asciiTheme="majorBidi" w:eastAsia="Times New Roman" w:hAnsiTheme="majorBidi" w:cstheme="majorBidi"/>
                <w:color w:val="1B1C1D"/>
                <w:sz w:val="20"/>
                <w:szCs w:val="20"/>
              </w:rPr>
              <w:t>44.5</w:t>
            </w:r>
          </w:p>
        </w:tc>
        <w:tc>
          <w:tcPr>
            <w:tcW w:w="0" w:type="auto"/>
            <w:hideMark/>
          </w:tcPr>
          <w:p w14:paraId="47838137" w14:textId="77777777" w:rsidR="0085724E" w:rsidRPr="00187853" w:rsidRDefault="0085724E" w:rsidP="0085724E">
            <w:pPr>
              <w:rPr>
                <w:rFonts w:asciiTheme="majorBidi" w:eastAsia="Times New Roman" w:hAnsiTheme="majorBidi" w:cstheme="majorBidi"/>
                <w:color w:val="1B1C1D"/>
                <w:sz w:val="20"/>
                <w:szCs w:val="20"/>
              </w:rPr>
            </w:pPr>
            <w:r w:rsidRPr="00187853">
              <w:rPr>
                <w:rFonts w:asciiTheme="majorBidi" w:eastAsia="Times New Roman" w:hAnsiTheme="majorBidi" w:cstheme="majorBidi"/>
                <w:b/>
                <w:bCs/>
                <w:color w:val="1B1C1D"/>
                <w:sz w:val="20"/>
                <w:szCs w:val="20"/>
                <w:bdr w:val="none" w:sz="0" w:space="0" w:color="auto" w:frame="1"/>
              </w:rPr>
              <w:t>23.51</w:t>
            </w:r>
          </w:p>
        </w:tc>
        <w:tc>
          <w:tcPr>
            <w:tcW w:w="1078" w:type="dxa"/>
            <w:hideMark/>
          </w:tcPr>
          <w:p w14:paraId="1B00F99E" w14:textId="77777777" w:rsidR="0085724E" w:rsidRPr="00187853" w:rsidRDefault="0085724E" w:rsidP="0085724E">
            <w:pPr>
              <w:jc w:val="center"/>
              <w:rPr>
                <w:rFonts w:asciiTheme="majorBidi" w:hAnsiTheme="majorBidi" w:cstheme="majorBidi"/>
                <w:sz w:val="20"/>
                <w:szCs w:val="20"/>
              </w:rPr>
            </w:pPr>
            <w:r w:rsidRPr="00187853">
              <w:rPr>
                <w:rFonts w:asciiTheme="majorBidi" w:eastAsia="Times New Roman" w:hAnsiTheme="majorBidi" w:cstheme="majorBidi"/>
                <w:b/>
                <w:bCs/>
                <w:color w:val="1B1C1D"/>
                <w:sz w:val="20"/>
                <w:szCs w:val="20"/>
                <w:bdr w:val="none" w:sz="0" w:space="0" w:color="auto" w:frame="1"/>
              </w:rPr>
              <w:t>C</w:t>
            </w:r>
          </w:p>
        </w:tc>
      </w:tr>
      <w:tr w:rsidR="0085724E" w:rsidRPr="00187853" w14:paraId="2B7C4BB6" w14:textId="77777777" w:rsidTr="0085724E">
        <w:trPr>
          <w:jc w:val="center"/>
        </w:trPr>
        <w:tc>
          <w:tcPr>
            <w:tcW w:w="0" w:type="auto"/>
            <w:hideMark/>
          </w:tcPr>
          <w:p w14:paraId="129C48C3" w14:textId="77777777" w:rsidR="0085724E" w:rsidRPr="00187853" w:rsidRDefault="0085724E" w:rsidP="0085724E">
            <w:pPr>
              <w:rPr>
                <w:rFonts w:asciiTheme="majorBidi" w:eastAsia="Times New Roman" w:hAnsiTheme="majorBidi" w:cstheme="majorBidi"/>
                <w:color w:val="1B1C1D"/>
                <w:sz w:val="20"/>
                <w:szCs w:val="20"/>
              </w:rPr>
            </w:pPr>
            <w:r w:rsidRPr="00187853">
              <w:rPr>
                <w:rFonts w:asciiTheme="majorBidi" w:eastAsia="Times New Roman" w:hAnsiTheme="majorBidi" w:cstheme="majorBidi"/>
                <w:b/>
                <w:bCs/>
                <w:color w:val="1B1C1D"/>
                <w:sz w:val="20"/>
                <w:szCs w:val="20"/>
                <w:bdr w:val="none" w:sz="0" w:space="0" w:color="auto" w:frame="1"/>
              </w:rPr>
              <w:t>August</w:t>
            </w:r>
          </w:p>
        </w:tc>
        <w:tc>
          <w:tcPr>
            <w:tcW w:w="0" w:type="auto"/>
            <w:hideMark/>
          </w:tcPr>
          <w:p w14:paraId="10A020AF" w14:textId="77777777" w:rsidR="0085724E" w:rsidRPr="00187853" w:rsidRDefault="0085724E" w:rsidP="0085724E">
            <w:pPr>
              <w:rPr>
                <w:rFonts w:asciiTheme="majorBidi" w:eastAsia="Times New Roman" w:hAnsiTheme="majorBidi" w:cstheme="majorBidi"/>
                <w:color w:val="1B1C1D"/>
                <w:sz w:val="20"/>
                <w:szCs w:val="20"/>
              </w:rPr>
            </w:pPr>
            <w:r w:rsidRPr="00187853">
              <w:rPr>
                <w:rFonts w:asciiTheme="majorBidi" w:eastAsia="Times New Roman" w:hAnsiTheme="majorBidi" w:cstheme="majorBidi"/>
                <w:color w:val="1B1C1D"/>
                <w:sz w:val="20"/>
                <w:szCs w:val="20"/>
              </w:rPr>
              <w:t>28.6</w:t>
            </w:r>
          </w:p>
        </w:tc>
        <w:tc>
          <w:tcPr>
            <w:tcW w:w="0" w:type="auto"/>
            <w:hideMark/>
          </w:tcPr>
          <w:p w14:paraId="6A1283C2" w14:textId="77777777" w:rsidR="0085724E" w:rsidRPr="00187853" w:rsidRDefault="0085724E" w:rsidP="0085724E">
            <w:pPr>
              <w:rPr>
                <w:rFonts w:asciiTheme="majorBidi" w:eastAsia="Times New Roman" w:hAnsiTheme="majorBidi" w:cstheme="majorBidi"/>
                <w:color w:val="1B1C1D"/>
                <w:sz w:val="20"/>
                <w:szCs w:val="20"/>
              </w:rPr>
            </w:pPr>
            <w:r w:rsidRPr="00187853">
              <w:rPr>
                <w:rFonts w:asciiTheme="majorBidi" w:eastAsia="Times New Roman" w:hAnsiTheme="majorBidi" w:cstheme="majorBidi"/>
                <w:color w:val="1B1C1D"/>
                <w:sz w:val="20"/>
                <w:szCs w:val="20"/>
              </w:rPr>
              <w:t>47.2</w:t>
            </w:r>
          </w:p>
        </w:tc>
        <w:tc>
          <w:tcPr>
            <w:tcW w:w="0" w:type="auto"/>
            <w:hideMark/>
          </w:tcPr>
          <w:p w14:paraId="63558D6E" w14:textId="77777777" w:rsidR="0085724E" w:rsidRPr="00187853" w:rsidRDefault="0085724E" w:rsidP="0085724E">
            <w:pPr>
              <w:rPr>
                <w:rFonts w:asciiTheme="majorBidi" w:eastAsia="Times New Roman" w:hAnsiTheme="majorBidi" w:cstheme="majorBidi"/>
                <w:color w:val="1B1C1D"/>
                <w:sz w:val="20"/>
                <w:szCs w:val="20"/>
              </w:rPr>
            </w:pPr>
            <w:r w:rsidRPr="00187853">
              <w:rPr>
                <w:rFonts w:asciiTheme="majorBidi" w:eastAsia="Times New Roman" w:hAnsiTheme="majorBidi" w:cstheme="majorBidi"/>
                <w:b/>
                <w:bCs/>
                <w:color w:val="1B1C1D"/>
                <w:sz w:val="20"/>
                <w:szCs w:val="20"/>
                <w:bdr w:val="none" w:sz="0" w:space="0" w:color="auto" w:frame="1"/>
              </w:rPr>
              <w:t>23.50</w:t>
            </w:r>
          </w:p>
        </w:tc>
        <w:tc>
          <w:tcPr>
            <w:tcW w:w="1078" w:type="dxa"/>
            <w:hideMark/>
          </w:tcPr>
          <w:p w14:paraId="641F9AA3" w14:textId="77777777" w:rsidR="0085724E" w:rsidRPr="00187853" w:rsidRDefault="0085724E" w:rsidP="0085724E">
            <w:pPr>
              <w:jc w:val="center"/>
              <w:rPr>
                <w:rFonts w:asciiTheme="majorBidi" w:hAnsiTheme="majorBidi" w:cstheme="majorBidi"/>
                <w:sz w:val="20"/>
                <w:szCs w:val="20"/>
              </w:rPr>
            </w:pPr>
            <w:r w:rsidRPr="00187853">
              <w:rPr>
                <w:rFonts w:asciiTheme="majorBidi" w:eastAsia="Times New Roman" w:hAnsiTheme="majorBidi" w:cstheme="majorBidi"/>
                <w:b/>
                <w:bCs/>
                <w:color w:val="1B1C1D"/>
                <w:sz w:val="20"/>
                <w:szCs w:val="20"/>
                <w:bdr w:val="none" w:sz="0" w:space="0" w:color="auto" w:frame="1"/>
              </w:rPr>
              <w:t>C</w:t>
            </w:r>
          </w:p>
        </w:tc>
      </w:tr>
      <w:tr w:rsidR="0085724E" w:rsidRPr="00187853" w14:paraId="5CC4E112" w14:textId="77777777" w:rsidTr="0085724E">
        <w:trPr>
          <w:jc w:val="center"/>
        </w:trPr>
        <w:tc>
          <w:tcPr>
            <w:tcW w:w="0" w:type="auto"/>
            <w:hideMark/>
          </w:tcPr>
          <w:p w14:paraId="5A715F8E" w14:textId="77777777" w:rsidR="0085724E" w:rsidRPr="00187853" w:rsidRDefault="0085724E" w:rsidP="0085724E">
            <w:pPr>
              <w:rPr>
                <w:rFonts w:asciiTheme="majorBidi" w:eastAsia="Times New Roman" w:hAnsiTheme="majorBidi" w:cstheme="majorBidi"/>
                <w:color w:val="1B1C1D"/>
                <w:sz w:val="20"/>
                <w:szCs w:val="20"/>
              </w:rPr>
            </w:pPr>
            <w:r w:rsidRPr="00187853">
              <w:rPr>
                <w:rFonts w:asciiTheme="majorBidi" w:eastAsia="Times New Roman" w:hAnsiTheme="majorBidi" w:cstheme="majorBidi"/>
                <w:b/>
                <w:bCs/>
                <w:color w:val="1B1C1D"/>
                <w:sz w:val="20"/>
                <w:szCs w:val="20"/>
                <w:bdr w:val="none" w:sz="0" w:space="0" w:color="auto" w:frame="1"/>
              </w:rPr>
              <w:t>September</w:t>
            </w:r>
          </w:p>
        </w:tc>
        <w:tc>
          <w:tcPr>
            <w:tcW w:w="0" w:type="auto"/>
            <w:hideMark/>
          </w:tcPr>
          <w:p w14:paraId="4A6BADA4" w14:textId="77777777" w:rsidR="0085724E" w:rsidRPr="00187853" w:rsidRDefault="0085724E" w:rsidP="0085724E">
            <w:pPr>
              <w:rPr>
                <w:rFonts w:asciiTheme="majorBidi" w:eastAsia="Times New Roman" w:hAnsiTheme="majorBidi" w:cstheme="majorBidi"/>
                <w:color w:val="1B1C1D"/>
                <w:sz w:val="20"/>
                <w:szCs w:val="20"/>
              </w:rPr>
            </w:pPr>
            <w:r w:rsidRPr="00187853">
              <w:rPr>
                <w:rFonts w:asciiTheme="majorBidi" w:eastAsia="Times New Roman" w:hAnsiTheme="majorBidi" w:cstheme="majorBidi"/>
                <w:color w:val="1B1C1D"/>
                <w:sz w:val="20"/>
                <w:szCs w:val="20"/>
              </w:rPr>
              <w:t>26.9</w:t>
            </w:r>
          </w:p>
        </w:tc>
        <w:tc>
          <w:tcPr>
            <w:tcW w:w="0" w:type="auto"/>
            <w:hideMark/>
          </w:tcPr>
          <w:p w14:paraId="1FF14B5D" w14:textId="77777777" w:rsidR="0085724E" w:rsidRPr="00187853" w:rsidRDefault="0085724E" w:rsidP="0085724E">
            <w:pPr>
              <w:rPr>
                <w:rFonts w:asciiTheme="majorBidi" w:eastAsia="Times New Roman" w:hAnsiTheme="majorBidi" w:cstheme="majorBidi"/>
                <w:color w:val="1B1C1D"/>
                <w:sz w:val="20"/>
                <w:szCs w:val="20"/>
              </w:rPr>
            </w:pPr>
            <w:r w:rsidRPr="00187853">
              <w:rPr>
                <w:rFonts w:asciiTheme="majorBidi" w:eastAsia="Times New Roman" w:hAnsiTheme="majorBidi" w:cstheme="majorBidi"/>
                <w:color w:val="1B1C1D"/>
                <w:sz w:val="20"/>
                <w:szCs w:val="20"/>
              </w:rPr>
              <w:t>50.7</w:t>
            </w:r>
          </w:p>
        </w:tc>
        <w:tc>
          <w:tcPr>
            <w:tcW w:w="0" w:type="auto"/>
            <w:hideMark/>
          </w:tcPr>
          <w:p w14:paraId="06E50003" w14:textId="77777777" w:rsidR="0085724E" w:rsidRPr="00187853" w:rsidRDefault="0085724E" w:rsidP="0085724E">
            <w:pPr>
              <w:rPr>
                <w:rFonts w:asciiTheme="majorBidi" w:eastAsia="Times New Roman" w:hAnsiTheme="majorBidi" w:cstheme="majorBidi"/>
                <w:color w:val="1B1C1D"/>
                <w:sz w:val="20"/>
                <w:szCs w:val="20"/>
              </w:rPr>
            </w:pPr>
            <w:r w:rsidRPr="00187853">
              <w:rPr>
                <w:rFonts w:asciiTheme="majorBidi" w:eastAsia="Times New Roman" w:hAnsiTheme="majorBidi" w:cstheme="majorBidi"/>
                <w:b/>
                <w:bCs/>
                <w:color w:val="1B1C1D"/>
                <w:sz w:val="20"/>
                <w:szCs w:val="20"/>
                <w:bdr w:val="none" w:sz="0" w:space="0" w:color="auto" w:frame="1"/>
              </w:rPr>
              <w:t>22.58</w:t>
            </w:r>
          </w:p>
        </w:tc>
        <w:tc>
          <w:tcPr>
            <w:tcW w:w="1078" w:type="dxa"/>
            <w:hideMark/>
          </w:tcPr>
          <w:p w14:paraId="1A3E22AC" w14:textId="77777777" w:rsidR="0085724E" w:rsidRPr="00187853" w:rsidRDefault="0085724E" w:rsidP="0085724E">
            <w:pPr>
              <w:jc w:val="center"/>
              <w:rPr>
                <w:rFonts w:asciiTheme="majorBidi" w:hAnsiTheme="majorBidi" w:cstheme="majorBidi"/>
                <w:sz w:val="20"/>
                <w:szCs w:val="20"/>
              </w:rPr>
            </w:pPr>
            <w:r w:rsidRPr="00187853">
              <w:rPr>
                <w:rFonts w:asciiTheme="majorBidi" w:eastAsia="Times New Roman" w:hAnsiTheme="majorBidi" w:cstheme="majorBidi"/>
                <w:b/>
                <w:bCs/>
                <w:color w:val="1B1C1D"/>
                <w:sz w:val="20"/>
                <w:szCs w:val="20"/>
                <w:bdr w:val="none" w:sz="0" w:space="0" w:color="auto" w:frame="1"/>
              </w:rPr>
              <w:t>C</w:t>
            </w:r>
          </w:p>
        </w:tc>
      </w:tr>
      <w:tr w:rsidR="0085724E" w:rsidRPr="00187853" w14:paraId="7140F64C" w14:textId="77777777" w:rsidTr="0085724E">
        <w:trPr>
          <w:jc w:val="center"/>
        </w:trPr>
        <w:tc>
          <w:tcPr>
            <w:tcW w:w="0" w:type="auto"/>
            <w:hideMark/>
          </w:tcPr>
          <w:p w14:paraId="07FB5F69" w14:textId="77777777" w:rsidR="0085724E" w:rsidRPr="00187853" w:rsidRDefault="0085724E" w:rsidP="0085724E">
            <w:pPr>
              <w:rPr>
                <w:rFonts w:asciiTheme="majorBidi" w:eastAsia="Times New Roman" w:hAnsiTheme="majorBidi" w:cstheme="majorBidi"/>
                <w:color w:val="1B1C1D"/>
                <w:sz w:val="20"/>
                <w:szCs w:val="20"/>
              </w:rPr>
            </w:pPr>
            <w:r w:rsidRPr="00187853">
              <w:rPr>
                <w:rFonts w:asciiTheme="majorBidi" w:eastAsia="Times New Roman" w:hAnsiTheme="majorBidi" w:cstheme="majorBidi"/>
                <w:b/>
                <w:bCs/>
                <w:color w:val="1B1C1D"/>
                <w:sz w:val="20"/>
                <w:szCs w:val="20"/>
                <w:bdr w:val="none" w:sz="0" w:space="0" w:color="auto" w:frame="1"/>
              </w:rPr>
              <w:t>October</w:t>
            </w:r>
          </w:p>
        </w:tc>
        <w:tc>
          <w:tcPr>
            <w:tcW w:w="0" w:type="auto"/>
            <w:hideMark/>
          </w:tcPr>
          <w:p w14:paraId="5187F9E3" w14:textId="77777777" w:rsidR="0085724E" w:rsidRPr="00187853" w:rsidRDefault="0085724E" w:rsidP="0085724E">
            <w:pPr>
              <w:rPr>
                <w:rFonts w:asciiTheme="majorBidi" w:eastAsia="Times New Roman" w:hAnsiTheme="majorBidi" w:cstheme="majorBidi"/>
                <w:color w:val="1B1C1D"/>
                <w:sz w:val="20"/>
                <w:szCs w:val="20"/>
              </w:rPr>
            </w:pPr>
            <w:r w:rsidRPr="00187853">
              <w:rPr>
                <w:rFonts w:asciiTheme="majorBidi" w:eastAsia="Times New Roman" w:hAnsiTheme="majorBidi" w:cstheme="majorBidi"/>
                <w:color w:val="1B1C1D"/>
                <w:sz w:val="20"/>
                <w:szCs w:val="20"/>
              </w:rPr>
              <w:t>23.6</w:t>
            </w:r>
          </w:p>
        </w:tc>
        <w:tc>
          <w:tcPr>
            <w:tcW w:w="0" w:type="auto"/>
            <w:hideMark/>
          </w:tcPr>
          <w:p w14:paraId="688A62E3" w14:textId="77777777" w:rsidR="0085724E" w:rsidRPr="00187853" w:rsidRDefault="0085724E" w:rsidP="0085724E">
            <w:pPr>
              <w:rPr>
                <w:rFonts w:asciiTheme="majorBidi" w:eastAsia="Times New Roman" w:hAnsiTheme="majorBidi" w:cstheme="majorBidi"/>
                <w:color w:val="1B1C1D"/>
                <w:sz w:val="20"/>
                <w:szCs w:val="20"/>
              </w:rPr>
            </w:pPr>
            <w:r w:rsidRPr="00187853">
              <w:rPr>
                <w:rFonts w:asciiTheme="majorBidi" w:eastAsia="Times New Roman" w:hAnsiTheme="majorBidi" w:cstheme="majorBidi"/>
                <w:color w:val="1B1C1D"/>
                <w:sz w:val="20"/>
                <w:szCs w:val="20"/>
              </w:rPr>
              <w:t>51.8</w:t>
            </w:r>
          </w:p>
        </w:tc>
        <w:tc>
          <w:tcPr>
            <w:tcW w:w="0" w:type="auto"/>
            <w:hideMark/>
          </w:tcPr>
          <w:p w14:paraId="20008E1C" w14:textId="77777777" w:rsidR="0085724E" w:rsidRPr="00187853" w:rsidRDefault="0085724E" w:rsidP="0085724E">
            <w:pPr>
              <w:rPr>
                <w:rFonts w:asciiTheme="majorBidi" w:eastAsia="Times New Roman" w:hAnsiTheme="majorBidi" w:cstheme="majorBidi"/>
                <w:color w:val="1B1C1D"/>
                <w:sz w:val="20"/>
                <w:szCs w:val="20"/>
              </w:rPr>
            </w:pPr>
            <w:r w:rsidRPr="00187853">
              <w:rPr>
                <w:rFonts w:asciiTheme="majorBidi" w:eastAsia="Times New Roman" w:hAnsiTheme="majorBidi" w:cstheme="majorBidi"/>
                <w:b/>
                <w:bCs/>
                <w:color w:val="1B1C1D"/>
                <w:sz w:val="20"/>
                <w:szCs w:val="20"/>
                <w:bdr w:val="none" w:sz="0" w:space="0" w:color="auto" w:frame="1"/>
              </w:rPr>
              <w:t>20.37</w:t>
            </w:r>
          </w:p>
        </w:tc>
        <w:tc>
          <w:tcPr>
            <w:tcW w:w="1078" w:type="dxa"/>
            <w:hideMark/>
          </w:tcPr>
          <w:p w14:paraId="50589460" w14:textId="77777777" w:rsidR="0085724E" w:rsidRPr="00187853" w:rsidRDefault="0085724E" w:rsidP="0085724E">
            <w:pPr>
              <w:jc w:val="center"/>
              <w:rPr>
                <w:rFonts w:asciiTheme="majorBidi" w:hAnsiTheme="majorBidi" w:cstheme="majorBidi"/>
                <w:sz w:val="20"/>
                <w:szCs w:val="20"/>
              </w:rPr>
            </w:pPr>
            <w:r w:rsidRPr="00187853">
              <w:rPr>
                <w:rFonts w:asciiTheme="majorBidi" w:eastAsia="Times New Roman" w:hAnsiTheme="majorBidi" w:cstheme="majorBidi"/>
                <w:b/>
                <w:bCs/>
                <w:color w:val="1B1C1D"/>
                <w:sz w:val="20"/>
                <w:szCs w:val="20"/>
                <w:bdr w:val="none" w:sz="0" w:space="0" w:color="auto" w:frame="1"/>
              </w:rPr>
              <w:t>C</w:t>
            </w:r>
          </w:p>
        </w:tc>
      </w:tr>
      <w:tr w:rsidR="00BA26F1" w:rsidRPr="00187853" w14:paraId="4DBD1FCC" w14:textId="77777777" w:rsidTr="0085724E">
        <w:trPr>
          <w:jc w:val="center"/>
        </w:trPr>
        <w:tc>
          <w:tcPr>
            <w:tcW w:w="0" w:type="auto"/>
            <w:hideMark/>
          </w:tcPr>
          <w:p w14:paraId="6435B020" w14:textId="77777777" w:rsidR="00BA26F1" w:rsidRPr="00187853" w:rsidRDefault="00BA26F1" w:rsidP="001038DF">
            <w:pPr>
              <w:rPr>
                <w:rFonts w:asciiTheme="majorBidi" w:eastAsia="Times New Roman" w:hAnsiTheme="majorBidi" w:cstheme="majorBidi"/>
                <w:color w:val="1B1C1D"/>
                <w:sz w:val="20"/>
                <w:szCs w:val="20"/>
              </w:rPr>
            </w:pPr>
            <w:r w:rsidRPr="00187853">
              <w:rPr>
                <w:rFonts w:asciiTheme="majorBidi" w:eastAsia="Times New Roman" w:hAnsiTheme="majorBidi" w:cstheme="majorBidi"/>
                <w:b/>
                <w:bCs/>
                <w:color w:val="1B1C1D"/>
                <w:sz w:val="20"/>
                <w:szCs w:val="20"/>
                <w:bdr w:val="none" w:sz="0" w:space="0" w:color="auto" w:frame="1"/>
              </w:rPr>
              <w:t>November</w:t>
            </w:r>
          </w:p>
        </w:tc>
        <w:tc>
          <w:tcPr>
            <w:tcW w:w="0" w:type="auto"/>
            <w:hideMark/>
          </w:tcPr>
          <w:p w14:paraId="7AB2B8D4" w14:textId="77777777" w:rsidR="00BA26F1" w:rsidRPr="00187853" w:rsidRDefault="00BA26F1" w:rsidP="001038DF">
            <w:pPr>
              <w:rPr>
                <w:rFonts w:asciiTheme="majorBidi" w:eastAsia="Times New Roman" w:hAnsiTheme="majorBidi" w:cstheme="majorBidi"/>
                <w:color w:val="1B1C1D"/>
                <w:sz w:val="20"/>
                <w:szCs w:val="20"/>
              </w:rPr>
            </w:pPr>
            <w:r w:rsidRPr="00187853">
              <w:rPr>
                <w:rFonts w:asciiTheme="majorBidi" w:eastAsia="Times New Roman" w:hAnsiTheme="majorBidi" w:cstheme="majorBidi"/>
                <w:color w:val="1B1C1D"/>
                <w:sz w:val="20"/>
                <w:szCs w:val="20"/>
              </w:rPr>
              <w:t>18.6</w:t>
            </w:r>
          </w:p>
        </w:tc>
        <w:tc>
          <w:tcPr>
            <w:tcW w:w="0" w:type="auto"/>
            <w:hideMark/>
          </w:tcPr>
          <w:p w14:paraId="35698ADD" w14:textId="77777777" w:rsidR="00BA26F1" w:rsidRPr="00187853" w:rsidRDefault="00BA26F1" w:rsidP="001038DF">
            <w:pPr>
              <w:rPr>
                <w:rFonts w:asciiTheme="majorBidi" w:eastAsia="Times New Roman" w:hAnsiTheme="majorBidi" w:cstheme="majorBidi"/>
                <w:color w:val="1B1C1D"/>
                <w:sz w:val="20"/>
                <w:szCs w:val="20"/>
              </w:rPr>
            </w:pPr>
            <w:r w:rsidRPr="00187853">
              <w:rPr>
                <w:rFonts w:asciiTheme="majorBidi" w:eastAsia="Times New Roman" w:hAnsiTheme="majorBidi" w:cstheme="majorBidi"/>
                <w:color w:val="1B1C1D"/>
                <w:sz w:val="20"/>
                <w:szCs w:val="20"/>
              </w:rPr>
              <w:t>52</w:t>
            </w:r>
          </w:p>
        </w:tc>
        <w:tc>
          <w:tcPr>
            <w:tcW w:w="0" w:type="auto"/>
            <w:hideMark/>
          </w:tcPr>
          <w:p w14:paraId="2D00FEDA" w14:textId="77777777" w:rsidR="00BA26F1" w:rsidRPr="00187853" w:rsidRDefault="00BA26F1" w:rsidP="001038DF">
            <w:pPr>
              <w:rPr>
                <w:rFonts w:asciiTheme="majorBidi" w:eastAsia="Times New Roman" w:hAnsiTheme="majorBidi" w:cstheme="majorBidi"/>
                <w:color w:val="1B1C1D"/>
                <w:sz w:val="20"/>
                <w:szCs w:val="20"/>
              </w:rPr>
            </w:pPr>
            <w:r w:rsidRPr="00187853">
              <w:rPr>
                <w:rFonts w:asciiTheme="majorBidi" w:eastAsia="Times New Roman" w:hAnsiTheme="majorBidi" w:cstheme="majorBidi"/>
                <w:b/>
                <w:bCs/>
                <w:color w:val="1B1C1D"/>
                <w:sz w:val="20"/>
                <w:szCs w:val="20"/>
                <w:bdr w:val="none" w:sz="0" w:space="0" w:color="auto" w:frame="1"/>
              </w:rPr>
              <w:t>17.20</w:t>
            </w:r>
          </w:p>
        </w:tc>
        <w:tc>
          <w:tcPr>
            <w:tcW w:w="1078" w:type="dxa"/>
            <w:hideMark/>
          </w:tcPr>
          <w:p w14:paraId="1A3DBE60" w14:textId="77777777" w:rsidR="00BA26F1" w:rsidRPr="00187853" w:rsidRDefault="0085724E" w:rsidP="0085724E">
            <w:pPr>
              <w:jc w:val="center"/>
              <w:rPr>
                <w:rFonts w:asciiTheme="majorBidi" w:eastAsia="Times New Roman" w:hAnsiTheme="majorBidi" w:cstheme="majorBidi"/>
                <w:color w:val="1B1C1D"/>
                <w:sz w:val="20"/>
                <w:szCs w:val="20"/>
              </w:rPr>
            </w:pPr>
            <w:r w:rsidRPr="00187853">
              <w:rPr>
                <w:rFonts w:asciiTheme="majorBidi" w:eastAsia="Times New Roman" w:hAnsiTheme="majorBidi" w:cstheme="majorBidi"/>
                <w:b/>
                <w:bCs/>
                <w:color w:val="1B1C1D"/>
                <w:sz w:val="20"/>
                <w:szCs w:val="20"/>
                <w:bdr w:val="none" w:sz="0" w:space="0" w:color="auto" w:frame="1"/>
              </w:rPr>
              <w:t>PCC</w:t>
            </w:r>
          </w:p>
        </w:tc>
      </w:tr>
      <w:tr w:rsidR="00BA26F1" w:rsidRPr="00187853" w14:paraId="7E1CC457" w14:textId="77777777" w:rsidTr="0085724E">
        <w:trPr>
          <w:jc w:val="center"/>
        </w:trPr>
        <w:tc>
          <w:tcPr>
            <w:tcW w:w="0" w:type="auto"/>
            <w:hideMark/>
          </w:tcPr>
          <w:p w14:paraId="6B79B46A" w14:textId="77777777" w:rsidR="00BA26F1" w:rsidRPr="00187853" w:rsidRDefault="00BA26F1" w:rsidP="001038DF">
            <w:pPr>
              <w:rPr>
                <w:rFonts w:asciiTheme="majorBidi" w:eastAsia="Times New Roman" w:hAnsiTheme="majorBidi" w:cstheme="majorBidi"/>
                <w:color w:val="1B1C1D"/>
                <w:sz w:val="20"/>
                <w:szCs w:val="20"/>
              </w:rPr>
            </w:pPr>
            <w:r w:rsidRPr="00187853">
              <w:rPr>
                <w:rFonts w:asciiTheme="majorBidi" w:eastAsia="Times New Roman" w:hAnsiTheme="majorBidi" w:cstheme="majorBidi"/>
                <w:b/>
                <w:bCs/>
                <w:color w:val="1B1C1D"/>
                <w:sz w:val="20"/>
                <w:szCs w:val="20"/>
                <w:bdr w:val="none" w:sz="0" w:space="0" w:color="auto" w:frame="1"/>
              </w:rPr>
              <w:t>December</w:t>
            </w:r>
          </w:p>
        </w:tc>
        <w:tc>
          <w:tcPr>
            <w:tcW w:w="0" w:type="auto"/>
            <w:hideMark/>
          </w:tcPr>
          <w:p w14:paraId="370B4882" w14:textId="77777777" w:rsidR="00BA26F1" w:rsidRPr="00187853" w:rsidRDefault="00BA26F1" w:rsidP="001038DF">
            <w:pPr>
              <w:rPr>
                <w:rFonts w:asciiTheme="majorBidi" w:eastAsia="Times New Roman" w:hAnsiTheme="majorBidi" w:cstheme="majorBidi"/>
                <w:color w:val="1B1C1D"/>
                <w:sz w:val="20"/>
                <w:szCs w:val="20"/>
              </w:rPr>
            </w:pPr>
            <w:r w:rsidRPr="00187853">
              <w:rPr>
                <w:rFonts w:asciiTheme="majorBidi" w:eastAsia="Times New Roman" w:hAnsiTheme="majorBidi" w:cstheme="majorBidi"/>
                <w:color w:val="1B1C1D"/>
                <w:sz w:val="20"/>
                <w:szCs w:val="20"/>
              </w:rPr>
              <w:t>14.9</w:t>
            </w:r>
          </w:p>
        </w:tc>
        <w:tc>
          <w:tcPr>
            <w:tcW w:w="0" w:type="auto"/>
            <w:hideMark/>
          </w:tcPr>
          <w:p w14:paraId="46E982C3" w14:textId="77777777" w:rsidR="00BA26F1" w:rsidRPr="00187853" w:rsidRDefault="00BA26F1" w:rsidP="001038DF">
            <w:pPr>
              <w:rPr>
                <w:rFonts w:asciiTheme="majorBidi" w:eastAsia="Times New Roman" w:hAnsiTheme="majorBidi" w:cstheme="majorBidi"/>
                <w:color w:val="1B1C1D"/>
                <w:sz w:val="20"/>
                <w:szCs w:val="20"/>
              </w:rPr>
            </w:pPr>
            <w:r w:rsidRPr="00187853">
              <w:rPr>
                <w:rFonts w:asciiTheme="majorBidi" w:eastAsia="Times New Roman" w:hAnsiTheme="majorBidi" w:cstheme="majorBidi"/>
                <w:color w:val="1B1C1D"/>
                <w:sz w:val="20"/>
                <w:szCs w:val="20"/>
              </w:rPr>
              <w:t>54.2</w:t>
            </w:r>
          </w:p>
        </w:tc>
        <w:tc>
          <w:tcPr>
            <w:tcW w:w="0" w:type="auto"/>
            <w:hideMark/>
          </w:tcPr>
          <w:p w14:paraId="074A3D06" w14:textId="77777777" w:rsidR="00BA26F1" w:rsidRPr="00187853" w:rsidRDefault="00BA26F1" w:rsidP="001038DF">
            <w:pPr>
              <w:rPr>
                <w:rFonts w:asciiTheme="majorBidi" w:eastAsia="Times New Roman" w:hAnsiTheme="majorBidi" w:cstheme="majorBidi"/>
                <w:color w:val="1B1C1D"/>
                <w:sz w:val="20"/>
                <w:szCs w:val="20"/>
              </w:rPr>
            </w:pPr>
            <w:r w:rsidRPr="00187853">
              <w:rPr>
                <w:rFonts w:asciiTheme="majorBidi" w:eastAsia="Times New Roman" w:hAnsiTheme="majorBidi" w:cstheme="majorBidi"/>
                <w:b/>
                <w:bCs/>
                <w:color w:val="1B1C1D"/>
                <w:sz w:val="20"/>
                <w:szCs w:val="20"/>
                <w:bdr w:val="none" w:sz="0" w:space="0" w:color="auto" w:frame="1"/>
              </w:rPr>
              <w:t>14.80</w:t>
            </w:r>
          </w:p>
        </w:tc>
        <w:tc>
          <w:tcPr>
            <w:tcW w:w="1078" w:type="dxa"/>
            <w:hideMark/>
          </w:tcPr>
          <w:p w14:paraId="4613BBE9" w14:textId="77777777" w:rsidR="00BA26F1" w:rsidRPr="00187853" w:rsidRDefault="00BA26F1" w:rsidP="0085724E">
            <w:pPr>
              <w:jc w:val="center"/>
              <w:rPr>
                <w:rFonts w:asciiTheme="majorBidi" w:eastAsia="Times New Roman" w:hAnsiTheme="majorBidi" w:cstheme="majorBidi"/>
                <w:color w:val="1B1C1D"/>
                <w:sz w:val="20"/>
                <w:szCs w:val="20"/>
              </w:rPr>
            </w:pPr>
            <w:r w:rsidRPr="00187853">
              <w:rPr>
                <w:rFonts w:asciiTheme="majorBidi" w:eastAsia="Times New Roman" w:hAnsiTheme="majorBidi" w:cstheme="majorBidi"/>
                <w:b/>
                <w:bCs/>
                <w:color w:val="1B1C1D"/>
                <w:sz w:val="20"/>
                <w:szCs w:val="20"/>
                <w:bdr w:val="none" w:sz="0" w:space="0" w:color="auto" w:frame="1"/>
              </w:rPr>
              <w:t>CDC</w:t>
            </w:r>
          </w:p>
        </w:tc>
      </w:tr>
    </w:tbl>
    <w:p w14:paraId="30A5309F" w14:textId="77777777" w:rsidR="00BA26F1" w:rsidRPr="00952001" w:rsidRDefault="008D421C" w:rsidP="00952001">
      <w:pPr>
        <w:jc w:val="both"/>
        <w:rPr>
          <w:rFonts w:asciiTheme="majorBidi" w:hAnsiTheme="majorBidi" w:cstheme="majorBidi"/>
          <w:sz w:val="20"/>
          <w:szCs w:val="20"/>
          <w:lang w:bidi="ar-EG"/>
        </w:rPr>
      </w:pPr>
      <w:r w:rsidRPr="00952001">
        <w:rPr>
          <w:rFonts w:asciiTheme="majorBidi" w:hAnsiTheme="majorBidi" w:cstheme="majorBidi"/>
          <w:b/>
          <w:bCs/>
          <w:sz w:val="20"/>
          <w:szCs w:val="20"/>
          <w:lang w:bidi="ar-EG"/>
        </w:rPr>
        <w:t xml:space="preserve">                   </w:t>
      </w:r>
      <w:r w:rsidR="00662641" w:rsidRPr="00952001">
        <w:rPr>
          <w:rFonts w:asciiTheme="majorBidi" w:hAnsiTheme="majorBidi" w:cstheme="majorBidi"/>
          <w:b/>
          <w:bCs/>
          <w:sz w:val="20"/>
          <w:szCs w:val="20"/>
          <w:lang w:bidi="ar-EG"/>
        </w:rPr>
        <w:t xml:space="preserve">         </w:t>
      </w:r>
      <w:r w:rsidR="0085724E" w:rsidRPr="00952001">
        <w:rPr>
          <w:rFonts w:asciiTheme="majorBidi" w:hAnsiTheme="majorBidi" w:cstheme="majorBidi"/>
          <w:b/>
          <w:bCs/>
          <w:sz w:val="20"/>
          <w:szCs w:val="20"/>
          <w:lang w:bidi="ar-EG"/>
        </w:rPr>
        <w:t xml:space="preserve"> </w:t>
      </w:r>
      <w:r w:rsidRPr="00952001">
        <w:rPr>
          <w:rFonts w:asciiTheme="majorBidi" w:hAnsiTheme="majorBidi" w:cstheme="majorBidi"/>
          <w:b/>
          <w:bCs/>
          <w:sz w:val="20"/>
          <w:szCs w:val="20"/>
          <w:lang w:bidi="ar-EG"/>
        </w:rPr>
        <w:t xml:space="preserve"> </w:t>
      </w:r>
      <w:r w:rsidR="0023095F" w:rsidRPr="00952001">
        <w:rPr>
          <w:rFonts w:asciiTheme="majorBidi" w:hAnsiTheme="majorBidi" w:cstheme="majorBidi"/>
          <w:b/>
          <w:bCs/>
          <w:sz w:val="20"/>
          <w:szCs w:val="20"/>
          <w:lang w:bidi="ar-EG"/>
        </w:rPr>
        <w:t xml:space="preserve">                      </w:t>
      </w:r>
      <w:r w:rsidR="00BA26F1" w:rsidRPr="00952001">
        <w:rPr>
          <w:rFonts w:asciiTheme="majorBidi" w:hAnsiTheme="majorBidi" w:cstheme="majorBidi"/>
          <w:b/>
          <w:bCs/>
          <w:sz w:val="20"/>
          <w:szCs w:val="20"/>
          <w:lang w:bidi="ar-EG"/>
        </w:rPr>
        <w:t>Source:</w:t>
      </w:r>
      <w:r w:rsidR="00BA26F1" w:rsidRPr="00952001">
        <w:rPr>
          <w:rFonts w:asciiTheme="majorBidi" w:hAnsiTheme="majorBidi" w:cstheme="majorBidi"/>
          <w:sz w:val="20"/>
          <w:szCs w:val="20"/>
          <w:lang w:bidi="ar-EG"/>
        </w:rPr>
        <w:t xml:space="preserve"> Tables (2) and (3).</w:t>
      </w:r>
    </w:p>
    <w:p w14:paraId="4C4716B5" w14:textId="77777777" w:rsidR="0076419F" w:rsidRPr="005F15D3" w:rsidRDefault="00DD3F35" w:rsidP="00952001">
      <w:pPr>
        <w:pStyle w:val="NormalWeb"/>
        <w:numPr>
          <w:ilvl w:val="0"/>
          <w:numId w:val="15"/>
        </w:numPr>
        <w:spacing w:before="0" w:beforeAutospacing="0" w:after="120" w:afterAutospacing="0" w:line="276" w:lineRule="auto"/>
        <w:jc w:val="both"/>
        <w:rPr>
          <w:rFonts w:asciiTheme="majorBidi" w:hAnsiTheme="majorBidi" w:cstheme="majorBidi"/>
        </w:rPr>
      </w:pPr>
      <w:r w:rsidRPr="005F15D3">
        <w:rPr>
          <w:rFonts w:asciiTheme="majorBidi" w:hAnsiTheme="majorBidi" w:cstheme="majorBidi"/>
          <w:noProof/>
          <w:rtl/>
        </w:rPr>
        <w:drawing>
          <wp:anchor distT="0" distB="0" distL="114300" distR="114300" simplePos="0" relativeHeight="251662336" behindDoc="1" locked="0" layoutInCell="1" allowOverlap="1" wp14:anchorId="12F08E52" wp14:editId="31909E95">
            <wp:simplePos x="0" y="0"/>
            <wp:positionH relativeFrom="column">
              <wp:posOffset>3027045</wp:posOffset>
            </wp:positionH>
            <wp:positionV relativeFrom="paragraph">
              <wp:posOffset>81915</wp:posOffset>
            </wp:positionV>
            <wp:extent cx="3583305" cy="3152775"/>
            <wp:effectExtent l="0" t="0" r="17145" b="9525"/>
            <wp:wrapTight wrapText="bothSides">
              <wp:wrapPolygon edited="0">
                <wp:start x="0" y="0"/>
                <wp:lineTo x="0" y="21535"/>
                <wp:lineTo x="21589" y="21535"/>
                <wp:lineTo x="21589" y="0"/>
                <wp:lineTo x="0" y="0"/>
              </wp:wrapPolygon>
            </wp:wrapTight>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r w:rsidR="0076419F" w:rsidRPr="005F15D3">
        <w:rPr>
          <w:rFonts w:asciiTheme="majorBidi" w:hAnsiTheme="majorBidi" w:cstheme="majorBidi"/>
        </w:rPr>
        <w:t>Optimal Comfort Period (C): This zone is characterized by THI values between 20 and 25. This is the ideal time for tourism, where the environment is thermally comfortable without requiring significant physiological adjustment. This period spans six continuous months from May through October. While average temperatures are at their annual peak (e.g., 28.6° C in August, the relatively low humidity rates (primarily in the 42% to 51% range) prevent the THI from escalating into the hot discomfort zone, affirming the region's generally dry heat which is more tolerable than humid heat.</w:t>
      </w:r>
    </w:p>
    <w:p w14:paraId="5E3EFA83" w14:textId="77777777" w:rsidR="008D421C" w:rsidRPr="005F15D3" w:rsidRDefault="008D421C" w:rsidP="00952001">
      <w:pPr>
        <w:pStyle w:val="NormalWeb"/>
        <w:numPr>
          <w:ilvl w:val="0"/>
          <w:numId w:val="15"/>
        </w:numPr>
        <w:spacing w:before="0" w:beforeAutospacing="0" w:after="120" w:afterAutospacing="0" w:line="276" w:lineRule="auto"/>
        <w:jc w:val="both"/>
        <w:rPr>
          <w:rFonts w:asciiTheme="majorBidi" w:hAnsiTheme="majorBidi" w:cstheme="majorBidi"/>
        </w:rPr>
      </w:pPr>
      <w:r w:rsidRPr="005F15D3">
        <w:rPr>
          <w:rFonts w:asciiTheme="majorBidi" w:hAnsiTheme="majorBidi" w:cstheme="majorBidi"/>
        </w:rPr>
        <w:t xml:space="preserve">Partial Cold Comfort Period (PCC): This transition zone, with THI values between 16 </w:t>
      </w:r>
      <w:r w:rsidRPr="005F15D3">
        <w:rPr>
          <w:rFonts w:asciiTheme="majorBidi" w:hAnsiTheme="majorBidi" w:cstheme="majorBidi"/>
        </w:rPr>
        <w:lastRenderedPageBreak/>
        <w:t>-20, is still generally pleasant but requires some light covering or higher activity levels to maintain comfort. This includes the shoulder months of March, April, and November. Temperatures are moderate (16.9° C to 20.9° C in the equinoxes), and the THI stays below the optimal range, primarily due to the lower temperatures at the beginning and end of the warm season.</w:t>
      </w:r>
    </w:p>
    <w:p w14:paraId="311D6ED9" w14:textId="77777777" w:rsidR="008D421C" w:rsidRPr="005F15D3" w:rsidRDefault="008D421C" w:rsidP="00952001">
      <w:pPr>
        <w:pStyle w:val="NormalWeb"/>
        <w:numPr>
          <w:ilvl w:val="0"/>
          <w:numId w:val="15"/>
        </w:numPr>
        <w:spacing w:before="0" w:beforeAutospacing="0" w:after="120" w:afterAutospacing="0" w:line="276" w:lineRule="auto"/>
        <w:jc w:val="both"/>
        <w:rPr>
          <w:rFonts w:asciiTheme="majorBidi" w:hAnsiTheme="majorBidi" w:cstheme="majorBidi"/>
        </w:rPr>
      </w:pPr>
      <w:r w:rsidRPr="005F15D3">
        <w:rPr>
          <w:rFonts w:asciiTheme="majorBidi" w:hAnsiTheme="majorBidi" w:cstheme="majorBidi"/>
        </w:rPr>
        <w:t>Cold Discomfort Period (CDC): This is the least comfortable period for outdoor, non-heated activities, with THI values falling below 16. The true winter months: January, February, and December. The lowest average temperatures of the year (as low as 13.5° C in January) are the primary driver. Even with mid-range humidity, the low temperature results in significant cold stress.</w:t>
      </w:r>
    </w:p>
    <w:p w14:paraId="51324CF4" w14:textId="77777777" w:rsidR="008D421C" w:rsidRPr="005F15D3" w:rsidRDefault="008D421C" w:rsidP="00952001">
      <w:pPr>
        <w:pStyle w:val="NormalWeb"/>
        <w:spacing w:before="0" w:beforeAutospacing="0" w:after="120" w:afterAutospacing="0" w:line="276" w:lineRule="auto"/>
        <w:jc w:val="both"/>
        <w:rPr>
          <w:rFonts w:asciiTheme="majorBidi" w:hAnsiTheme="majorBidi" w:cstheme="majorBidi"/>
        </w:rPr>
      </w:pPr>
      <w:r w:rsidRPr="005F15D3">
        <w:rPr>
          <w:rFonts w:asciiTheme="majorBidi" w:hAnsiTheme="majorBidi" w:cstheme="majorBidi"/>
        </w:rPr>
        <w:t>The THI analysis scientifically demonstrates that the tourism peak season in South Sinai, in terms of comfort, should optimally span from May to October. This six-month window offers the most favorable physiological conditions for tourists. Conversely, January, February, and December present the challenge for tourists, requiring adaptations to cope with cold stress.</w:t>
      </w:r>
    </w:p>
    <w:p w14:paraId="11BF097B" w14:textId="77777777" w:rsidR="00BB249C" w:rsidRPr="005F15D3" w:rsidRDefault="005A5C78" w:rsidP="00DD3F35">
      <w:pPr>
        <w:pStyle w:val="Heading2"/>
        <w:spacing w:before="160" w:beforeAutospacing="0" w:after="80" w:afterAutospacing="0" w:line="276" w:lineRule="auto"/>
        <w:rPr>
          <w:rFonts w:asciiTheme="majorBidi" w:hAnsiTheme="majorBidi" w:cstheme="majorBidi"/>
          <w:sz w:val="24"/>
          <w:szCs w:val="24"/>
        </w:rPr>
      </w:pPr>
      <w:r w:rsidRPr="005F15D3">
        <w:rPr>
          <w:rFonts w:asciiTheme="majorBidi" w:hAnsiTheme="majorBidi" w:cstheme="majorBidi"/>
          <w:sz w:val="24"/>
          <w:szCs w:val="24"/>
        </w:rPr>
        <w:t>3- Demand Seasonality</w:t>
      </w:r>
    </w:p>
    <w:p w14:paraId="68DB692E" w14:textId="77777777" w:rsidR="00D61F33" w:rsidRPr="005F15D3" w:rsidRDefault="00D61F33" w:rsidP="00952001">
      <w:pPr>
        <w:pStyle w:val="NormalWeb"/>
        <w:spacing w:before="0" w:beforeAutospacing="0" w:after="120" w:afterAutospacing="0" w:line="276" w:lineRule="auto"/>
        <w:jc w:val="both"/>
        <w:rPr>
          <w:rFonts w:asciiTheme="majorBidi" w:hAnsiTheme="majorBidi" w:cstheme="majorBidi"/>
        </w:rPr>
      </w:pPr>
      <w:r w:rsidRPr="005F15D3">
        <w:rPr>
          <w:rFonts w:asciiTheme="majorBidi" w:hAnsiTheme="majorBidi" w:cstheme="majorBidi"/>
        </w:rPr>
        <w:t>Seasonality is a universally recognized global tourism phenomenon. it refers to variation according to the time or seasons of the year, which tends to exhibit a similar pattern from year to year, and affect tourism activities and related employment. When associated with climatic and related factors, natural seasonality, to differentiate it from institutional seasonality, such as that reflected in the events such as pilgrimages and patterns of holiday (</w:t>
      </w:r>
      <w:proofErr w:type="spellStart"/>
      <w:r w:rsidRPr="005F15D3">
        <w:rPr>
          <w:rFonts w:asciiTheme="majorBidi" w:hAnsiTheme="majorBidi" w:cstheme="majorBidi"/>
        </w:rPr>
        <w:t>Medlik</w:t>
      </w:r>
      <w:proofErr w:type="spellEnd"/>
      <w:r w:rsidRPr="005F15D3">
        <w:rPr>
          <w:rFonts w:asciiTheme="majorBidi" w:hAnsiTheme="majorBidi" w:cstheme="majorBidi"/>
        </w:rPr>
        <w:t>, 2003, 148).</w:t>
      </w:r>
      <w:r w:rsidR="00C45456" w:rsidRPr="005F15D3">
        <w:rPr>
          <w:rFonts w:asciiTheme="majorBidi" w:hAnsiTheme="majorBidi" w:cstheme="majorBidi"/>
        </w:rPr>
        <w:t xml:space="preserve"> </w:t>
      </w:r>
      <w:proofErr w:type="spellStart"/>
      <w:r w:rsidRPr="005F15D3">
        <w:rPr>
          <w:rFonts w:asciiTheme="majorBidi" w:hAnsiTheme="majorBidi" w:cstheme="majorBidi"/>
        </w:rPr>
        <w:t>BarOn</w:t>
      </w:r>
      <w:proofErr w:type="spellEnd"/>
      <w:r w:rsidRPr="005F15D3">
        <w:rPr>
          <w:rFonts w:asciiTheme="majorBidi" w:hAnsiTheme="majorBidi" w:cstheme="majorBidi"/>
        </w:rPr>
        <w:t xml:space="preserve"> (1973) stated that seasonality implies an incomplete and unbalanced </w:t>
      </w:r>
      <w:r w:rsidR="00737A14" w:rsidRPr="005F15D3">
        <w:rPr>
          <w:rFonts w:asciiTheme="majorBidi" w:hAnsiTheme="majorBidi" w:cstheme="majorBidi"/>
        </w:rPr>
        <w:t>utilization</w:t>
      </w:r>
      <w:r w:rsidRPr="005F15D3">
        <w:rPr>
          <w:rFonts w:asciiTheme="majorBidi" w:hAnsiTheme="majorBidi" w:cstheme="majorBidi"/>
        </w:rPr>
        <w:t xml:space="preserve"> of the means at the disposal of the tourism, and this is similar to the imbalance of the tourist demand cycle, where the </w:t>
      </w:r>
      <w:r w:rsidR="00737A14" w:rsidRPr="005F15D3">
        <w:rPr>
          <w:rFonts w:asciiTheme="majorBidi" w:hAnsiTheme="majorBidi" w:cstheme="majorBidi"/>
        </w:rPr>
        <w:t>destination</w:t>
      </w:r>
      <w:r w:rsidRPr="005F15D3">
        <w:rPr>
          <w:rFonts w:asciiTheme="majorBidi" w:hAnsiTheme="majorBidi" w:cstheme="majorBidi"/>
        </w:rPr>
        <w:t xml:space="preserve"> is either overheated or running under full potential at different phases of the cycle (Corluka, 2019, 23).</w:t>
      </w:r>
    </w:p>
    <w:p w14:paraId="445EFE13" w14:textId="77777777" w:rsidR="00BB249C" w:rsidRPr="005F15D3" w:rsidRDefault="00D61F33" w:rsidP="00952001">
      <w:pPr>
        <w:pStyle w:val="NormalWeb"/>
        <w:spacing w:before="0" w:beforeAutospacing="0" w:after="120" w:afterAutospacing="0" w:line="276" w:lineRule="auto"/>
        <w:jc w:val="both"/>
        <w:rPr>
          <w:rFonts w:asciiTheme="majorBidi" w:hAnsiTheme="majorBidi" w:cstheme="majorBidi"/>
        </w:rPr>
      </w:pPr>
      <w:r w:rsidRPr="005F15D3">
        <w:rPr>
          <w:rFonts w:asciiTheme="majorBidi" w:hAnsiTheme="majorBidi" w:cstheme="majorBidi"/>
        </w:rPr>
        <w:t>Butler (1994) defines the concept of tourism seasonality as temporal imbalance in the phenomenon of tourism, which can be expressed in the number of visitors, their expenditure, traffic on different forms of transportation, employment and admissions to attractions (Lee et al., 2008, 1-2). Following Cooper et al. (2005) seasonality refers to the temporal fluctuations of tourism on a daily, weekly, monthly or annual basis. Manning and Powers (1984) define seasonality as the uneven distribution of use over time (peaking) becoming one of the most pervasive problems with outdoor recreation and tourism, causing inefficient resource use, loss of profit potential, strain on social and ecological carrying capacities, and administrative scheduling difficulties (Corluka, G2019, 24). The tourist season is one of the parts into which a year is divided, a unit of time less than a year</w:t>
      </w:r>
      <w:r w:rsidR="00C45456" w:rsidRPr="005F15D3">
        <w:rPr>
          <w:rFonts w:asciiTheme="majorBidi" w:hAnsiTheme="majorBidi" w:cstheme="majorBidi"/>
        </w:rPr>
        <w:t>, when</w:t>
      </w:r>
      <w:r w:rsidRPr="005F15D3">
        <w:rPr>
          <w:rFonts w:asciiTheme="majorBidi" w:hAnsiTheme="majorBidi" w:cstheme="majorBidi"/>
        </w:rPr>
        <w:t xml:space="preserve"> something usually takes place a tourist event (Bateman, 2006, 271). Lim and McAleer (2000, 500-5003) give a quantifiable definition of the tourist seasons, that define tourist seasons as ‘months for which the corresponding average indices exceed 1.0, which means that the seasonal factors increase tourist numbers above the trend and cyclical </w:t>
      </w:r>
      <w:proofErr w:type="gramStart"/>
      <w:r w:rsidRPr="005F15D3">
        <w:rPr>
          <w:rFonts w:asciiTheme="majorBidi" w:hAnsiTheme="majorBidi" w:cstheme="majorBidi"/>
        </w:rPr>
        <w:t>components’</w:t>
      </w:r>
      <w:proofErr w:type="gramEnd"/>
      <w:r w:rsidRPr="005F15D3">
        <w:rPr>
          <w:rFonts w:asciiTheme="majorBidi" w:hAnsiTheme="majorBidi" w:cstheme="majorBidi"/>
        </w:rPr>
        <w:t>.</w:t>
      </w:r>
    </w:p>
    <w:p w14:paraId="0B45FC1E" w14:textId="77777777" w:rsidR="00F473D8" w:rsidRPr="005F15D3" w:rsidRDefault="00DF72B3" w:rsidP="00952001">
      <w:pPr>
        <w:pStyle w:val="NormalWeb"/>
        <w:spacing w:before="0" w:beforeAutospacing="0" w:after="120" w:afterAutospacing="0" w:line="276" w:lineRule="auto"/>
        <w:jc w:val="both"/>
        <w:rPr>
          <w:rFonts w:asciiTheme="majorBidi" w:hAnsiTheme="majorBidi" w:cstheme="majorBidi"/>
        </w:rPr>
      </w:pPr>
      <w:r w:rsidRPr="005F15D3">
        <w:rPr>
          <w:rFonts w:asciiTheme="majorBidi" w:hAnsiTheme="majorBidi" w:cstheme="majorBidi"/>
        </w:rPr>
        <w:t>To study the seasonal changes in tourist flows, the tourism seasonality indices are calculated using the following eq.</w:t>
      </w:r>
      <w:r w:rsidR="00737A14" w:rsidRPr="005F15D3">
        <w:rPr>
          <w:rFonts w:asciiTheme="majorBidi" w:hAnsiTheme="majorBidi" w:cstheme="majorBidi"/>
        </w:rPr>
        <w:t>:</w:t>
      </w:r>
    </w:p>
    <w:p w14:paraId="16E5BCE1" w14:textId="77777777" w:rsidR="00737A14" w:rsidRPr="005F15D3" w:rsidRDefault="00737A14" w:rsidP="00DD3F35">
      <w:pPr>
        <w:pStyle w:val="NormalWeb"/>
        <w:spacing w:before="0" w:beforeAutospacing="0" w:after="60" w:afterAutospacing="0" w:line="276" w:lineRule="auto"/>
        <w:jc w:val="center"/>
        <w:rPr>
          <w:rFonts w:asciiTheme="majorBidi" w:hAnsiTheme="majorBidi" w:cstheme="majorBidi"/>
        </w:rPr>
      </w:pPr>
      <w:r w:rsidRPr="005F15D3">
        <w:rPr>
          <w:rFonts w:asciiTheme="majorBidi" w:hAnsiTheme="majorBidi" w:cstheme="majorBidi"/>
        </w:rPr>
        <w:t>SI = Ra / Va × 100</w:t>
      </w:r>
    </w:p>
    <w:p w14:paraId="068BBD23" w14:textId="77777777" w:rsidR="00650460" w:rsidRPr="005F15D3" w:rsidRDefault="00650460" w:rsidP="00DD3F35">
      <w:pPr>
        <w:pStyle w:val="NormalWeb"/>
        <w:spacing w:before="0" w:beforeAutospacing="0" w:after="60" w:afterAutospacing="0" w:line="276" w:lineRule="auto"/>
        <w:rPr>
          <w:rFonts w:asciiTheme="majorBidi" w:hAnsiTheme="majorBidi" w:cstheme="majorBidi"/>
        </w:rPr>
      </w:pPr>
      <w:r w:rsidRPr="005F15D3">
        <w:rPr>
          <w:rFonts w:asciiTheme="majorBidi" w:hAnsiTheme="majorBidi" w:cstheme="majorBidi"/>
        </w:rPr>
        <w:t>Where:</w:t>
      </w:r>
    </w:p>
    <w:p w14:paraId="39E3A070" w14:textId="77777777" w:rsidR="00650460" w:rsidRPr="005F15D3" w:rsidRDefault="00650460" w:rsidP="00DD3F35">
      <w:pPr>
        <w:pStyle w:val="NormalWeb"/>
        <w:spacing w:before="0" w:beforeAutospacing="0" w:after="60" w:afterAutospacing="0" w:line="276" w:lineRule="auto"/>
        <w:ind w:left="720"/>
        <w:jc w:val="both"/>
        <w:rPr>
          <w:rFonts w:asciiTheme="majorBidi" w:hAnsiTheme="majorBidi" w:cstheme="majorBidi"/>
        </w:rPr>
      </w:pPr>
      <w:r w:rsidRPr="005F15D3">
        <w:rPr>
          <w:rFonts w:asciiTheme="majorBidi" w:hAnsiTheme="majorBidi" w:cstheme="majorBidi"/>
        </w:rPr>
        <w:t>SI</w:t>
      </w:r>
      <w:r w:rsidR="0036145A" w:rsidRPr="005F15D3">
        <w:rPr>
          <w:rFonts w:asciiTheme="majorBidi" w:hAnsiTheme="majorBidi" w:cstheme="majorBidi"/>
        </w:rPr>
        <w:t>:</w:t>
      </w:r>
      <w:r w:rsidRPr="005F15D3">
        <w:rPr>
          <w:rFonts w:asciiTheme="majorBidi" w:hAnsiTheme="majorBidi" w:cstheme="majorBidi"/>
        </w:rPr>
        <w:t xml:space="preserve"> Seasonality Index</w:t>
      </w:r>
    </w:p>
    <w:p w14:paraId="6C8EAF6B" w14:textId="77777777" w:rsidR="00650460" w:rsidRPr="005F15D3" w:rsidRDefault="0036145A" w:rsidP="00DD3F35">
      <w:pPr>
        <w:pStyle w:val="NormalWeb"/>
        <w:spacing w:before="0" w:beforeAutospacing="0" w:after="60" w:afterAutospacing="0" w:line="276" w:lineRule="auto"/>
        <w:ind w:left="720"/>
        <w:jc w:val="both"/>
        <w:rPr>
          <w:rFonts w:asciiTheme="majorBidi" w:hAnsiTheme="majorBidi" w:cstheme="majorBidi"/>
        </w:rPr>
      </w:pPr>
      <w:r w:rsidRPr="005F15D3">
        <w:rPr>
          <w:rFonts w:asciiTheme="majorBidi" w:hAnsiTheme="majorBidi" w:cstheme="majorBidi"/>
        </w:rPr>
        <w:t>R</w:t>
      </w:r>
      <w:r w:rsidR="00650460" w:rsidRPr="005F15D3">
        <w:rPr>
          <w:rFonts w:asciiTheme="majorBidi" w:hAnsiTheme="majorBidi" w:cstheme="majorBidi"/>
        </w:rPr>
        <w:t>a</w:t>
      </w:r>
      <w:r w:rsidRPr="005F15D3">
        <w:rPr>
          <w:rFonts w:asciiTheme="majorBidi" w:hAnsiTheme="majorBidi" w:cstheme="majorBidi"/>
        </w:rPr>
        <w:t>:</w:t>
      </w:r>
      <w:r w:rsidR="00650460" w:rsidRPr="005F15D3">
        <w:rPr>
          <w:rFonts w:asciiTheme="majorBidi" w:hAnsiTheme="majorBidi" w:cstheme="majorBidi"/>
        </w:rPr>
        <w:t xml:space="preserve"> Actual value of tourist movement distributed over the months of the year.</w:t>
      </w:r>
    </w:p>
    <w:p w14:paraId="38EC87B2" w14:textId="77777777" w:rsidR="00650460" w:rsidRPr="005F15D3" w:rsidRDefault="0036145A" w:rsidP="00952001">
      <w:pPr>
        <w:pStyle w:val="NormalWeb"/>
        <w:spacing w:before="0" w:beforeAutospacing="0" w:after="120" w:afterAutospacing="0" w:line="276" w:lineRule="auto"/>
        <w:ind w:left="720"/>
        <w:jc w:val="both"/>
        <w:rPr>
          <w:rFonts w:asciiTheme="majorBidi" w:hAnsiTheme="majorBidi" w:cstheme="majorBidi"/>
        </w:rPr>
      </w:pPr>
      <w:r w:rsidRPr="005F15D3">
        <w:rPr>
          <w:rFonts w:asciiTheme="majorBidi" w:hAnsiTheme="majorBidi" w:cstheme="majorBidi"/>
        </w:rPr>
        <w:lastRenderedPageBreak/>
        <w:t>V</w:t>
      </w:r>
      <w:r w:rsidR="00650460" w:rsidRPr="005F15D3">
        <w:rPr>
          <w:rFonts w:asciiTheme="majorBidi" w:hAnsiTheme="majorBidi" w:cstheme="majorBidi"/>
        </w:rPr>
        <w:t>a</w:t>
      </w:r>
      <w:r w:rsidRPr="005F15D3">
        <w:rPr>
          <w:rFonts w:asciiTheme="majorBidi" w:hAnsiTheme="majorBidi" w:cstheme="majorBidi"/>
        </w:rPr>
        <w:t>:</w:t>
      </w:r>
      <w:r w:rsidR="00650460" w:rsidRPr="005F15D3">
        <w:rPr>
          <w:rFonts w:asciiTheme="majorBidi" w:hAnsiTheme="majorBidi" w:cstheme="majorBidi"/>
        </w:rPr>
        <w:t xml:space="preserve"> Trend value (or Vector value) of tourist movement distributed over the months of the year, which was calculated by applying the regression line equation</w:t>
      </w:r>
      <w:r w:rsidR="0017051D" w:rsidRPr="005F15D3">
        <w:rPr>
          <w:rFonts w:asciiTheme="majorBidi" w:hAnsiTheme="majorBidi" w:cstheme="majorBidi"/>
        </w:rPr>
        <w:t xml:space="preserve"> </w:t>
      </w:r>
      <w:r w:rsidR="0017051D" w:rsidRPr="005F15D3">
        <w:rPr>
          <w:rFonts w:asciiTheme="majorBidi" w:hAnsiTheme="majorBidi" w:cstheme="majorBidi"/>
          <w:vertAlign w:val="superscript"/>
        </w:rPr>
        <w:t>(</w:t>
      </w:r>
      <w:r w:rsidR="0017051D" w:rsidRPr="005F15D3">
        <w:rPr>
          <w:rStyle w:val="FootnoteReference"/>
          <w:rFonts w:asciiTheme="majorBidi" w:hAnsiTheme="majorBidi" w:cstheme="majorBidi"/>
        </w:rPr>
        <w:footnoteReference w:id="4"/>
      </w:r>
      <w:r w:rsidR="0017051D" w:rsidRPr="005F15D3">
        <w:rPr>
          <w:rFonts w:asciiTheme="majorBidi" w:hAnsiTheme="majorBidi" w:cstheme="majorBidi"/>
          <w:vertAlign w:val="superscript"/>
        </w:rPr>
        <w:t>)</w:t>
      </w:r>
      <w:r w:rsidRPr="005F15D3">
        <w:rPr>
          <w:rFonts w:asciiTheme="majorBidi" w:hAnsiTheme="majorBidi" w:cstheme="majorBidi"/>
        </w:rPr>
        <w:t xml:space="preserve">. </w:t>
      </w:r>
    </w:p>
    <w:p w14:paraId="651E79D3" w14:textId="77777777" w:rsidR="00D422E8" w:rsidRDefault="00D422E8" w:rsidP="00952001">
      <w:pPr>
        <w:pStyle w:val="NormalWeb"/>
        <w:spacing w:before="0" w:beforeAutospacing="0" w:after="120" w:afterAutospacing="0" w:line="276" w:lineRule="auto"/>
        <w:jc w:val="both"/>
        <w:rPr>
          <w:rFonts w:asciiTheme="majorBidi" w:hAnsiTheme="majorBidi" w:cstheme="majorBidi"/>
        </w:rPr>
      </w:pPr>
      <w:r w:rsidRPr="005F15D3">
        <w:rPr>
          <w:rFonts w:asciiTheme="majorBidi" w:hAnsiTheme="majorBidi" w:cstheme="majorBidi"/>
        </w:rPr>
        <w:t xml:space="preserve">This section aims to estimate and study the disparity in tourist movement in South Sinai Governorate throughout the months of the year and the effect of climate on it. The tourist movement data for the year 2024 were used, as the data for the year 2025 were incomplete across all months. To monitor tourism seasonality in the governorate, the </w:t>
      </w:r>
      <w:r w:rsidRPr="005F15D3">
        <w:rPr>
          <w:rStyle w:val="math-inline"/>
          <w:rFonts w:asciiTheme="majorBidi" w:eastAsiaTheme="majorEastAsia" w:hAnsiTheme="majorBidi" w:cstheme="majorBidi"/>
        </w:rPr>
        <w:t>SI</w:t>
      </w:r>
      <w:r w:rsidRPr="005F15D3">
        <w:rPr>
          <w:rFonts w:asciiTheme="majorBidi" w:hAnsiTheme="majorBidi" w:cstheme="majorBidi"/>
        </w:rPr>
        <w:t xml:space="preserve"> was applied. This index is useful for identifying the rates and trends of change in tourist demand throughout the months of the year. To achieve the objective of this section, the following is derived from the data presented in (Table 8 and Figure </w:t>
      </w:r>
      <w:r w:rsidR="00B5117B" w:rsidRPr="005F15D3">
        <w:rPr>
          <w:rFonts w:asciiTheme="majorBidi" w:hAnsiTheme="majorBidi" w:cstheme="majorBidi"/>
        </w:rPr>
        <w:t>7</w:t>
      </w:r>
      <w:r w:rsidRPr="005F15D3">
        <w:rPr>
          <w:rFonts w:asciiTheme="majorBidi" w:hAnsiTheme="majorBidi" w:cstheme="majorBidi"/>
        </w:rPr>
        <w:t>):</w:t>
      </w:r>
    </w:p>
    <w:p w14:paraId="5D347C67" w14:textId="77777777" w:rsidR="00952001" w:rsidRPr="005F15D3" w:rsidRDefault="00952001" w:rsidP="00952001">
      <w:pPr>
        <w:pStyle w:val="NormalWeb"/>
        <w:spacing w:before="0" w:beforeAutospacing="0" w:after="120" w:afterAutospacing="0" w:line="276" w:lineRule="auto"/>
        <w:jc w:val="both"/>
        <w:rPr>
          <w:rFonts w:asciiTheme="majorBidi" w:hAnsiTheme="majorBidi" w:cstheme="majorBidi"/>
        </w:rPr>
      </w:pPr>
      <w:r w:rsidRPr="005F15D3">
        <w:rPr>
          <w:rFonts w:asciiTheme="majorBidi" w:hAnsiTheme="majorBidi" w:cstheme="majorBidi"/>
          <w:lang w:bidi="ar-EG"/>
        </w:rPr>
        <w:t xml:space="preserve">- </w:t>
      </w:r>
      <w:r w:rsidRPr="005F15D3">
        <w:rPr>
          <w:rFonts w:asciiTheme="majorBidi" w:hAnsiTheme="majorBidi" w:cstheme="majorBidi"/>
        </w:rPr>
        <w:t>The sum of the standard values for the tourism demand seasonality index equals 12. This implies that the standard value of the index for each month, on average, is equal to one (1.0). However, due to the variation in the tourism season, a difference (disparity) is observed in the index values, either increasing or decreasing from the perfect unity (1.0). This indicates that the coefficient of tourism demand varies from one month to another. Meaning that an SI value greater than 1.0 indicates a higher-than-average (peak) month, while a value less than 1.0 indicates a lower-than-average (off-peak) month.</w:t>
      </w:r>
    </w:p>
    <w:p w14:paraId="419552B6" w14:textId="77777777" w:rsidR="00222926" w:rsidRPr="00187853" w:rsidRDefault="00222926" w:rsidP="00DD3F35">
      <w:pPr>
        <w:spacing w:before="120" w:after="0" w:line="240" w:lineRule="auto"/>
        <w:jc w:val="center"/>
        <w:outlineLvl w:val="2"/>
        <w:rPr>
          <w:rFonts w:asciiTheme="majorBidi" w:eastAsia="Times New Roman" w:hAnsiTheme="majorBidi" w:cstheme="majorBidi"/>
          <w:b/>
          <w:bCs/>
          <w:sz w:val="20"/>
          <w:szCs w:val="20"/>
        </w:rPr>
      </w:pPr>
      <w:r w:rsidRPr="00187853">
        <w:rPr>
          <w:rFonts w:asciiTheme="majorBidi" w:eastAsia="Times New Roman" w:hAnsiTheme="majorBidi" w:cstheme="majorBidi"/>
          <w:b/>
          <w:bCs/>
          <w:sz w:val="20"/>
          <w:szCs w:val="20"/>
        </w:rPr>
        <w:t>Table 8: Tourism Seasonality in South Sinai Governorate, 2024</w:t>
      </w:r>
    </w:p>
    <w:tbl>
      <w:tblPr>
        <w:tblStyle w:val="TableGrid"/>
        <w:tblW w:w="0" w:type="auto"/>
        <w:jc w:val="center"/>
        <w:tblLook w:val="04A0" w:firstRow="1" w:lastRow="0" w:firstColumn="1" w:lastColumn="0" w:noHBand="0" w:noVBand="1"/>
      </w:tblPr>
      <w:tblGrid>
        <w:gridCol w:w="2160"/>
        <w:gridCol w:w="1255"/>
        <w:gridCol w:w="1175"/>
        <w:gridCol w:w="1260"/>
        <w:gridCol w:w="1800"/>
      </w:tblGrid>
      <w:tr w:rsidR="00222926" w:rsidRPr="00187853" w14:paraId="73367670" w14:textId="77777777" w:rsidTr="00D30299">
        <w:trPr>
          <w:jc w:val="center"/>
        </w:trPr>
        <w:tc>
          <w:tcPr>
            <w:tcW w:w="2160" w:type="dxa"/>
            <w:hideMark/>
          </w:tcPr>
          <w:p w14:paraId="1892DB0C" w14:textId="77777777" w:rsidR="00222926" w:rsidRPr="00187853" w:rsidRDefault="00222926" w:rsidP="00D30299">
            <w:pPr>
              <w:jc w:val="center"/>
              <w:rPr>
                <w:rFonts w:asciiTheme="majorBidi" w:eastAsia="Times New Roman" w:hAnsiTheme="majorBidi" w:cstheme="majorBidi"/>
                <w:b/>
                <w:bCs/>
                <w:sz w:val="20"/>
                <w:szCs w:val="20"/>
              </w:rPr>
            </w:pPr>
            <w:r w:rsidRPr="00187853">
              <w:rPr>
                <w:rFonts w:asciiTheme="majorBidi" w:eastAsia="Times New Roman" w:hAnsiTheme="majorBidi" w:cstheme="majorBidi"/>
                <w:b/>
                <w:bCs/>
                <w:sz w:val="20"/>
                <w:szCs w:val="20"/>
              </w:rPr>
              <w:t>Month</w:t>
            </w:r>
          </w:p>
        </w:tc>
        <w:tc>
          <w:tcPr>
            <w:tcW w:w="1255" w:type="dxa"/>
            <w:hideMark/>
          </w:tcPr>
          <w:p w14:paraId="54EA2769" w14:textId="77777777" w:rsidR="00222926" w:rsidRPr="00187853" w:rsidRDefault="00222926" w:rsidP="00D30299">
            <w:pPr>
              <w:jc w:val="center"/>
              <w:rPr>
                <w:rFonts w:asciiTheme="majorBidi" w:eastAsia="Times New Roman" w:hAnsiTheme="majorBidi" w:cstheme="majorBidi"/>
                <w:b/>
                <w:bCs/>
                <w:sz w:val="20"/>
                <w:szCs w:val="20"/>
              </w:rPr>
            </w:pPr>
            <w:r w:rsidRPr="00187853">
              <w:rPr>
                <w:rFonts w:asciiTheme="majorBidi" w:eastAsia="Times New Roman" w:hAnsiTheme="majorBidi" w:cstheme="majorBidi"/>
                <w:b/>
                <w:bCs/>
                <w:sz w:val="20"/>
                <w:szCs w:val="20"/>
              </w:rPr>
              <w:t>Egyptian</w:t>
            </w:r>
          </w:p>
        </w:tc>
        <w:tc>
          <w:tcPr>
            <w:tcW w:w="1175" w:type="dxa"/>
            <w:hideMark/>
          </w:tcPr>
          <w:p w14:paraId="35F6CEFF" w14:textId="77777777" w:rsidR="00222926" w:rsidRPr="00187853" w:rsidRDefault="00222926" w:rsidP="00D30299">
            <w:pPr>
              <w:jc w:val="center"/>
              <w:rPr>
                <w:rFonts w:asciiTheme="majorBidi" w:eastAsia="Times New Roman" w:hAnsiTheme="majorBidi" w:cstheme="majorBidi"/>
                <w:b/>
                <w:bCs/>
                <w:sz w:val="20"/>
                <w:szCs w:val="20"/>
              </w:rPr>
            </w:pPr>
            <w:r w:rsidRPr="00187853">
              <w:rPr>
                <w:rFonts w:asciiTheme="majorBidi" w:eastAsia="Times New Roman" w:hAnsiTheme="majorBidi" w:cstheme="majorBidi"/>
                <w:b/>
                <w:bCs/>
                <w:sz w:val="20"/>
                <w:szCs w:val="20"/>
              </w:rPr>
              <w:t>Arab</w:t>
            </w:r>
          </w:p>
        </w:tc>
        <w:tc>
          <w:tcPr>
            <w:tcW w:w="1260" w:type="dxa"/>
            <w:hideMark/>
          </w:tcPr>
          <w:p w14:paraId="586FDD09" w14:textId="77777777" w:rsidR="00222926" w:rsidRPr="00187853" w:rsidRDefault="00222926" w:rsidP="00D30299">
            <w:pPr>
              <w:jc w:val="center"/>
              <w:rPr>
                <w:rFonts w:asciiTheme="majorBidi" w:eastAsia="Times New Roman" w:hAnsiTheme="majorBidi" w:cstheme="majorBidi"/>
                <w:b/>
                <w:bCs/>
                <w:sz w:val="20"/>
                <w:szCs w:val="20"/>
              </w:rPr>
            </w:pPr>
            <w:r w:rsidRPr="00187853">
              <w:rPr>
                <w:rFonts w:asciiTheme="majorBidi" w:eastAsia="Times New Roman" w:hAnsiTheme="majorBidi" w:cstheme="majorBidi"/>
                <w:b/>
                <w:bCs/>
                <w:sz w:val="20"/>
                <w:szCs w:val="20"/>
              </w:rPr>
              <w:t>Foreign</w:t>
            </w:r>
          </w:p>
        </w:tc>
        <w:tc>
          <w:tcPr>
            <w:tcW w:w="1800" w:type="dxa"/>
            <w:hideMark/>
          </w:tcPr>
          <w:p w14:paraId="567F7849" w14:textId="77777777" w:rsidR="00222926" w:rsidRPr="00187853" w:rsidRDefault="00222926" w:rsidP="00D30299">
            <w:pPr>
              <w:jc w:val="center"/>
              <w:rPr>
                <w:rFonts w:asciiTheme="majorBidi" w:eastAsia="Times New Roman" w:hAnsiTheme="majorBidi" w:cstheme="majorBidi"/>
                <w:b/>
                <w:bCs/>
                <w:sz w:val="20"/>
                <w:szCs w:val="20"/>
              </w:rPr>
            </w:pPr>
            <w:r w:rsidRPr="00187853">
              <w:rPr>
                <w:rFonts w:asciiTheme="majorBidi" w:eastAsia="Times New Roman" w:hAnsiTheme="majorBidi" w:cstheme="majorBidi"/>
                <w:b/>
                <w:bCs/>
                <w:sz w:val="20"/>
                <w:szCs w:val="20"/>
              </w:rPr>
              <w:t>All Nationalities</w:t>
            </w:r>
          </w:p>
        </w:tc>
      </w:tr>
      <w:tr w:rsidR="00222926" w:rsidRPr="00187853" w14:paraId="6CD43B5C" w14:textId="77777777" w:rsidTr="00D30299">
        <w:trPr>
          <w:jc w:val="center"/>
        </w:trPr>
        <w:tc>
          <w:tcPr>
            <w:tcW w:w="2160" w:type="dxa"/>
            <w:hideMark/>
          </w:tcPr>
          <w:p w14:paraId="0B6A9270" w14:textId="77777777" w:rsidR="00222926" w:rsidRPr="00DD3F35" w:rsidRDefault="00222926" w:rsidP="00D30299">
            <w:pPr>
              <w:rPr>
                <w:rFonts w:asciiTheme="majorBidi" w:eastAsia="Times New Roman" w:hAnsiTheme="majorBidi" w:cstheme="majorBidi"/>
                <w:sz w:val="20"/>
                <w:szCs w:val="20"/>
              </w:rPr>
            </w:pPr>
            <w:r w:rsidRPr="00DD3F35">
              <w:rPr>
                <w:rFonts w:asciiTheme="majorBidi" w:eastAsia="Times New Roman" w:hAnsiTheme="majorBidi" w:cstheme="majorBidi"/>
                <w:sz w:val="20"/>
                <w:szCs w:val="20"/>
              </w:rPr>
              <w:t>January</w:t>
            </w:r>
          </w:p>
        </w:tc>
        <w:tc>
          <w:tcPr>
            <w:tcW w:w="1255" w:type="dxa"/>
            <w:hideMark/>
          </w:tcPr>
          <w:p w14:paraId="12808DF5" w14:textId="77777777" w:rsidR="00222926" w:rsidRPr="00187853" w:rsidRDefault="00222926" w:rsidP="00D30299">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1.2</w:t>
            </w:r>
          </w:p>
        </w:tc>
        <w:tc>
          <w:tcPr>
            <w:tcW w:w="1175" w:type="dxa"/>
            <w:hideMark/>
          </w:tcPr>
          <w:p w14:paraId="68D2BD7A" w14:textId="77777777" w:rsidR="00222926" w:rsidRPr="00187853" w:rsidRDefault="00222926" w:rsidP="00D30299">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0.4</w:t>
            </w:r>
          </w:p>
        </w:tc>
        <w:tc>
          <w:tcPr>
            <w:tcW w:w="1260" w:type="dxa"/>
            <w:hideMark/>
          </w:tcPr>
          <w:p w14:paraId="77BBEA7A" w14:textId="77777777" w:rsidR="00222926" w:rsidRPr="00187853" w:rsidRDefault="00222926" w:rsidP="00D30299">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0.6</w:t>
            </w:r>
          </w:p>
        </w:tc>
        <w:tc>
          <w:tcPr>
            <w:tcW w:w="1800" w:type="dxa"/>
            <w:hideMark/>
          </w:tcPr>
          <w:p w14:paraId="7F1F3F81" w14:textId="77777777" w:rsidR="00222926" w:rsidRPr="00187853" w:rsidRDefault="00222926" w:rsidP="00D30299">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0.7</w:t>
            </w:r>
          </w:p>
        </w:tc>
      </w:tr>
      <w:tr w:rsidR="00222926" w:rsidRPr="00187853" w14:paraId="5D8772FA" w14:textId="77777777" w:rsidTr="00D30299">
        <w:trPr>
          <w:jc w:val="center"/>
        </w:trPr>
        <w:tc>
          <w:tcPr>
            <w:tcW w:w="2160" w:type="dxa"/>
            <w:hideMark/>
          </w:tcPr>
          <w:p w14:paraId="24F6303C" w14:textId="77777777" w:rsidR="00222926" w:rsidRPr="00DD3F35" w:rsidRDefault="00222926" w:rsidP="00D30299">
            <w:pPr>
              <w:rPr>
                <w:rFonts w:asciiTheme="majorBidi" w:eastAsia="Times New Roman" w:hAnsiTheme="majorBidi" w:cstheme="majorBidi"/>
                <w:sz w:val="20"/>
                <w:szCs w:val="20"/>
              </w:rPr>
            </w:pPr>
            <w:r w:rsidRPr="00DD3F35">
              <w:rPr>
                <w:rFonts w:asciiTheme="majorBidi" w:eastAsia="Times New Roman" w:hAnsiTheme="majorBidi" w:cstheme="majorBidi"/>
                <w:sz w:val="20"/>
                <w:szCs w:val="20"/>
              </w:rPr>
              <w:t>February</w:t>
            </w:r>
          </w:p>
        </w:tc>
        <w:tc>
          <w:tcPr>
            <w:tcW w:w="1255" w:type="dxa"/>
            <w:hideMark/>
          </w:tcPr>
          <w:p w14:paraId="13A5325C" w14:textId="77777777" w:rsidR="00222926" w:rsidRPr="00187853" w:rsidRDefault="00222926" w:rsidP="00D30299">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1.5</w:t>
            </w:r>
          </w:p>
        </w:tc>
        <w:tc>
          <w:tcPr>
            <w:tcW w:w="1175" w:type="dxa"/>
            <w:hideMark/>
          </w:tcPr>
          <w:p w14:paraId="4389AE9E" w14:textId="77777777" w:rsidR="00222926" w:rsidRPr="00187853" w:rsidRDefault="00222926" w:rsidP="00D30299">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1.7</w:t>
            </w:r>
          </w:p>
        </w:tc>
        <w:tc>
          <w:tcPr>
            <w:tcW w:w="1260" w:type="dxa"/>
            <w:hideMark/>
          </w:tcPr>
          <w:p w14:paraId="13FCA9E9" w14:textId="77777777" w:rsidR="00222926" w:rsidRPr="00187853" w:rsidRDefault="00222926" w:rsidP="00D30299">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0.9</w:t>
            </w:r>
          </w:p>
        </w:tc>
        <w:tc>
          <w:tcPr>
            <w:tcW w:w="1800" w:type="dxa"/>
            <w:hideMark/>
          </w:tcPr>
          <w:p w14:paraId="5F0F0032" w14:textId="77777777" w:rsidR="00222926" w:rsidRPr="00187853" w:rsidRDefault="00222926" w:rsidP="00D30299">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1.4</w:t>
            </w:r>
          </w:p>
        </w:tc>
      </w:tr>
      <w:tr w:rsidR="00222926" w:rsidRPr="00187853" w14:paraId="5F3EA7F2" w14:textId="77777777" w:rsidTr="00D30299">
        <w:trPr>
          <w:jc w:val="center"/>
        </w:trPr>
        <w:tc>
          <w:tcPr>
            <w:tcW w:w="2160" w:type="dxa"/>
            <w:hideMark/>
          </w:tcPr>
          <w:p w14:paraId="3052C17B" w14:textId="77777777" w:rsidR="00222926" w:rsidRPr="00DD3F35" w:rsidRDefault="00222926" w:rsidP="00D30299">
            <w:pPr>
              <w:rPr>
                <w:rFonts w:asciiTheme="majorBidi" w:eastAsia="Times New Roman" w:hAnsiTheme="majorBidi" w:cstheme="majorBidi"/>
                <w:sz w:val="20"/>
                <w:szCs w:val="20"/>
              </w:rPr>
            </w:pPr>
            <w:r w:rsidRPr="00DD3F35">
              <w:rPr>
                <w:rFonts w:asciiTheme="majorBidi" w:eastAsia="Times New Roman" w:hAnsiTheme="majorBidi" w:cstheme="majorBidi"/>
                <w:sz w:val="20"/>
                <w:szCs w:val="20"/>
              </w:rPr>
              <w:t>March</w:t>
            </w:r>
          </w:p>
        </w:tc>
        <w:tc>
          <w:tcPr>
            <w:tcW w:w="1255" w:type="dxa"/>
            <w:hideMark/>
          </w:tcPr>
          <w:p w14:paraId="71D54B4C" w14:textId="77777777" w:rsidR="00222926" w:rsidRPr="00187853" w:rsidRDefault="00222926" w:rsidP="00D30299">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0.7</w:t>
            </w:r>
          </w:p>
        </w:tc>
        <w:tc>
          <w:tcPr>
            <w:tcW w:w="1175" w:type="dxa"/>
            <w:hideMark/>
          </w:tcPr>
          <w:p w14:paraId="1EB6849E" w14:textId="77777777" w:rsidR="00222926" w:rsidRPr="00187853" w:rsidRDefault="00222926" w:rsidP="00D30299">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0.6</w:t>
            </w:r>
          </w:p>
        </w:tc>
        <w:tc>
          <w:tcPr>
            <w:tcW w:w="1260" w:type="dxa"/>
            <w:hideMark/>
          </w:tcPr>
          <w:p w14:paraId="5B0A6B5A" w14:textId="77777777" w:rsidR="00222926" w:rsidRPr="00187853" w:rsidRDefault="00222926" w:rsidP="00D30299">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1.4</w:t>
            </w:r>
          </w:p>
        </w:tc>
        <w:tc>
          <w:tcPr>
            <w:tcW w:w="1800" w:type="dxa"/>
            <w:hideMark/>
          </w:tcPr>
          <w:p w14:paraId="39C54040" w14:textId="77777777" w:rsidR="00222926" w:rsidRPr="00187853" w:rsidRDefault="00222926" w:rsidP="00D30299">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0.9</w:t>
            </w:r>
          </w:p>
        </w:tc>
      </w:tr>
      <w:tr w:rsidR="00222926" w:rsidRPr="00187853" w14:paraId="429BD6F9" w14:textId="77777777" w:rsidTr="00D30299">
        <w:trPr>
          <w:jc w:val="center"/>
        </w:trPr>
        <w:tc>
          <w:tcPr>
            <w:tcW w:w="2160" w:type="dxa"/>
            <w:hideMark/>
          </w:tcPr>
          <w:p w14:paraId="01BDE0CF" w14:textId="77777777" w:rsidR="00222926" w:rsidRPr="00DD3F35" w:rsidRDefault="00222926" w:rsidP="00D30299">
            <w:pPr>
              <w:rPr>
                <w:rFonts w:asciiTheme="majorBidi" w:eastAsia="Times New Roman" w:hAnsiTheme="majorBidi" w:cstheme="majorBidi"/>
                <w:sz w:val="20"/>
                <w:szCs w:val="20"/>
              </w:rPr>
            </w:pPr>
            <w:r w:rsidRPr="00DD3F35">
              <w:rPr>
                <w:rFonts w:asciiTheme="majorBidi" w:eastAsia="Times New Roman" w:hAnsiTheme="majorBidi" w:cstheme="majorBidi"/>
                <w:sz w:val="20"/>
                <w:szCs w:val="20"/>
              </w:rPr>
              <w:t>April</w:t>
            </w:r>
          </w:p>
        </w:tc>
        <w:tc>
          <w:tcPr>
            <w:tcW w:w="1255" w:type="dxa"/>
            <w:hideMark/>
          </w:tcPr>
          <w:p w14:paraId="6C661C45" w14:textId="77777777" w:rsidR="00222926" w:rsidRPr="00187853" w:rsidRDefault="00222926" w:rsidP="00D30299">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0.5</w:t>
            </w:r>
          </w:p>
        </w:tc>
        <w:tc>
          <w:tcPr>
            <w:tcW w:w="1175" w:type="dxa"/>
            <w:hideMark/>
          </w:tcPr>
          <w:p w14:paraId="24577051" w14:textId="77777777" w:rsidR="00222926" w:rsidRPr="00187853" w:rsidRDefault="00222926" w:rsidP="00D30299">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0.7</w:t>
            </w:r>
          </w:p>
        </w:tc>
        <w:tc>
          <w:tcPr>
            <w:tcW w:w="1260" w:type="dxa"/>
            <w:hideMark/>
          </w:tcPr>
          <w:p w14:paraId="497C9789" w14:textId="77777777" w:rsidR="00222926" w:rsidRPr="00187853" w:rsidRDefault="00222926" w:rsidP="00D30299">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1.1</w:t>
            </w:r>
          </w:p>
        </w:tc>
        <w:tc>
          <w:tcPr>
            <w:tcW w:w="1800" w:type="dxa"/>
            <w:hideMark/>
          </w:tcPr>
          <w:p w14:paraId="4BCE40E1" w14:textId="77777777" w:rsidR="00222926" w:rsidRPr="00187853" w:rsidRDefault="00222926" w:rsidP="00D30299">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0.8</w:t>
            </w:r>
          </w:p>
        </w:tc>
      </w:tr>
      <w:tr w:rsidR="00222926" w:rsidRPr="00187853" w14:paraId="28A264DC" w14:textId="77777777" w:rsidTr="00D30299">
        <w:trPr>
          <w:jc w:val="center"/>
        </w:trPr>
        <w:tc>
          <w:tcPr>
            <w:tcW w:w="2160" w:type="dxa"/>
            <w:hideMark/>
          </w:tcPr>
          <w:p w14:paraId="6F92E320" w14:textId="77777777" w:rsidR="00222926" w:rsidRPr="00DD3F35" w:rsidRDefault="00222926" w:rsidP="00D30299">
            <w:pPr>
              <w:rPr>
                <w:rFonts w:asciiTheme="majorBidi" w:eastAsia="Times New Roman" w:hAnsiTheme="majorBidi" w:cstheme="majorBidi"/>
                <w:sz w:val="20"/>
                <w:szCs w:val="20"/>
              </w:rPr>
            </w:pPr>
            <w:r w:rsidRPr="00DD3F35">
              <w:rPr>
                <w:rFonts w:asciiTheme="majorBidi" w:eastAsia="Times New Roman" w:hAnsiTheme="majorBidi" w:cstheme="majorBidi"/>
                <w:sz w:val="20"/>
                <w:szCs w:val="20"/>
              </w:rPr>
              <w:t>May</w:t>
            </w:r>
          </w:p>
        </w:tc>
        <w:tc>
          <w:tcPr>
            <w:tcW w:w="1255" w:type="dxa"/>
            <w:hideMark/>
          </w:tcPr>
          <w:p w14:paraId="71202634" w14:textId="77777777" w:rsidR="00222926" w:rsidRPr="00187853" w:rsidRDefault="00222926" w:rsidP="00D30299">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0.6</w:t>
            </w:r>
          </w:p>
        </w:tc>
        <w:tc>
          <w:tcPr>
            <w:tcW w:w="1175" w:type="dxa"/>
            <w:hideMark/>
          </w:tcPr>
          <w:p w14:paraId="79668229" w14:textId="77777777" w:rsidR="00222926" w:rsidRPr="00187853" w:rsidRDefault="00222926" w:rsidP="00D30299">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0.9</w:t>
            </w:r>
          </w:p>
        </w:tc>
        <w:tc>
          <w:tcPr>
            <w:tcW w:w="1260" w:type="dxa"/>
            <w:hideMark/>
          </w:tcPr>
          <w:p w14:paraId="6C9C6709" w14:textId="77777777" w:rsidR="00222926" w:rsidRPr="00187853" w:rsidRDefault="00222926" w:rsidP="00D30299">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1.0</w:t>
            </w:r>
          </w:p>
        </w:tc>
        <w:tc>
          <w:tcPr>
            <w:tcW w:w="1800" w:type="dxa"/>
            <w:hideMark/>
          </w:tcPr>
          <w:p w14:paraId="4729C61F" w14:textId="77777777" w:rsidR="00222926" w:rsidRPr="00187853" w:rsidRDefault="00222926" w:rsidP="00D30299">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0.8</w:t>
            </w:r>
          </w:p>
        </w:tc>
      </w:tr>
      <w:tr w:rsidR="00222926" w:rsidRPr="00187853" w14:paraId="23388F13" w14:textId="77777777" w:rsidTr="00D30299">
        <w:trPr>
          <w:jc w:val="center"/>
        </w:trPr>
        <w:tc>
          <w:tcPr>
            <w:tcW w:w="2160" w:type="dxa"/>
            <w:hideMark/>
          </w:tcPr>
          <w:p w14:paraId="79041E57" w14:textId="77777777" w:rsidR="00222926" w:rsidRPr="00DD3F35" w:rsidRDefault="00222926" w:rsidP="00D30299">
            <w:pPr>
              <w:rPr>
                <w:rFonts w:asciiTheme="majorBidi" w:eastAsia="Times New Roman" w:hAnsiTheme="majorBidi" w:cstheme="majorBidi"/>
                <w:sz w:val="20"/>
                <w:szCs w:val="20"/>
              </w:rPr>
            </w:pPr>
            <w:r w:rsidRPr="00DD3F35">
              <w:rPr>
                <w:rFonts w:asciiTheme="majorBidi" w:eastAsia="Times New Roman" w:hAnsiTheme="majorBidi" w:cstheme="majorBidi"/>
                <w:sz w:val="20"/>
                <w:szCs w:val="20"/>
              </w:rPr>
              <w:t>June</w:t>
            </w:r>
          </w:p>
        </w:tc>
        <w:tc>
          <w:tcPr>
            <w:tcW w:w="1255" w:type="dxa"/>
            <w:hideMark/>
          </w:tcPr>
          <w:p w14:paraId="2E0CE851" w14:textId="77777777" w:rsidR="00222926" w:rsidRPr="00187853" w:rsidRDefault="00222926" w:rsidP="00D30299">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0.7</w:t>
            </w:r>
          </w:p>
        </w:tc>
        <w:tc>
          <w:tcPr>
            <w:tcW w:w="1175" w:type="dxa"/>
            <w:hideMark/>
          </w:tcPr>
          <w:p w14:paraId="403936E1" w14:textId="77777777" w:rsidR="00222926" w:rsidRPr="00187853" w:rsidRDefault="00222926" w:rsidP="00D30299">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1.3</w:t>
            </w:r>
          </w:p>
        </w:tc>
        <w:tc>
          <w:tcPr>
            <w:tcW w:w="1260" w:type="dxa"/>
            <w:hideMark/>
          </w:tcPr>
          <w:p w14:paraId="6DFB2C34" w14:textId="77777777" w:rsidR="00222926" w:rsidRPr="00187853" w:rsidRDefault="00222926" w:rsidP="00D30299">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0.9</w:t>
            </w:r>
          </w:p>
        </w:tc>
        <w:tc>
          <w:tcPr>
            <w:tcW w:w="1800" w:type="dxa"/>
            <w:hideMark/>
          </w:tcPr>
          <w:p w14:paraId="57DBB842" w14:textId="77777777" w:rsidR="00222926" w:rsidRPr="00187853" w:rsidRDefault="00222926" w:rsidP="00D30299">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0.9</w:t>
            </w:r>
          </w:p>
        </w:tc>
      </w:tr>
      <w:tr w:rsidR="00222926" w:rsidRPr="00187853" w14:paraId="325CEBC1" w14:textId="77777777" w:rsidTr="00D30299">
        <w:trPr>
          <w:jc w:val="center"/>
        </w:trPr>
        <w:tc>
          <w:tcPr>
            <w:tcW w:w="2160" w:type="dxa"/>
            <w:hideMark/>
          </w:tcPr>
          <w:p w14:paraId="4BD5903D" w14:textId="77777777" w:rsidR="00222926" w:rsidRPr="00DD3F35" w:rsidRDefault="00222926" w:rsidP="00D30299">
            <w:pPr>
              <w:rPr>
                <w:rFonts w:asciiTheme="majorBidi" w:eastAsia="Times New Roman" w:hAnsiTheme="majorBidi" w:cstheme="majorBidi"/>
                <w:sz w:val="20"/>
                <w:szCs w:val="20"/>
              </w:rPr>
            </w:pPr>
            <w:r w:rsidRPr="00DD3F35">
              <w:rPr>
                <w:rFonts w:asciiTheme="majorBidi" w:eastAsia="Times New Roman" w:hAnsiTheme="majorBidi" w:cstheme="majorBidi"/>
                <w:sz w:val="20"/>
                <w:szCs w:val="20"/>
              </w:rPr>
              <w:t>July</w:t>
            </w:r>
          </w:p>
        </w:tc>
        <w:tc>
          <w:tcPr>
            <w:tcW w:w="1255" w:type="dxa"/>
            <w:hideMark/>
          </w:tcPr>
          <w:p w14:paraId="5B0B40CF" w14:textId="77777777" w:rsidR="00222926" w:rsidRPr="00187853" w:rsidRDefault="00222926" w:rsidP="00D30299">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1.2</w:t>
            </w:r>
          </w:p>
        </w:tc>
        <w:tc>
          <w:tcPr>
            <w:tcW w:w="1175" w:type="dxa"/>
            <w:hideMark/>
          </w:tcPr>
          <w:p w14:paraId="59C23E6F" w14:textId="77777777" w:rsidR="00222926" w:rsidRPr="00187853" w:rsidRDefault="00222926" w:rsidP="00D30299">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1.7</w:t>
            </w:r>
          </w:p>
        </w:tc>
        <w:tc>
          <w:tcPr>
            <w:tcW w:w="1260" w:type="dxa"/>
            <w:hideMark/>
          </w:tcPr>
          <w:p w14:paraId="0BE1FE1F" w14:textId="77777777" w:rsidR="00222926" w:rsidRPr="00187853" w:rsidRDefault="00222926" w:rsidP="00D30299">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1.1</w:t>
            </w:r>
          </w:p>
        </w:tc>
        <w:tc>
          <w:tcPr>
            <w:tcW w:w="1800" w:type="dxa"/>
            <w:hideMark/>
          </w:tcPr>
          <w:p w14:paraId="77DE9DE9" w14:textId="77777777" w:rsidR="00222926" w:rsidRPr="00187853" w:rsidRDefault="00222926" w:rsidP="00D30299">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1.3</w:t>
            </w:r>
          </w:p>
        </w:tc>
      </w:tr>
      <w:tr w:rsidR="00222926" w:rsidRPr="00187853" w14:paraId="14695AAA" w14:textId="77777777" w:rsidTr="00D30299">
        <w:trPr>
          <w:jc w:val="center"/>
        </w:trPr>
        <w:tc>
          <w:tcPr>
            <w:tcW w:w="2160" w:type="dxa"/>
            <w:hideMark/>
          </w:tcPr>
          <w:p w14:paraId="31CD2B8C" w14:textId="77777777" w:rsidR="00222926" w:rsidRPr="00DD3F35" w:rsidRDefault="00222926" w:rsidP="00D30299">
            <w:pPr>
              <w:rPr>
                <w:rFonts w:asciiTheme="majorBidi" w:eastAsia="Times New Roman" w:hAnsiTheme="majorBidi" w:cstheme="majorBidi"/>
                <w:sz w:val="20"/>
                <w:szCs w:val="20"/>
              </w:rPr>
            </w:pPr>
            <w:r w:rsidRPr="00DD3F35">
              <w:rPr>
                <w:rFonts w:asciiTheme="majorBidi" w:eastAsia="Times New Roman" w:hAnsiTheme="majorBidi" w:cstheme="majorBidi"/>
                <w:sz w:val="20"/>
                <w:szCs w:val="20"/>
              </w:rPr>
              <w:t>August</w:t>
            </w:r>
          </w:p>
        </w:tc>
        <w:tc>
          <w:tcPr>
            <w:tcW w:w="1255" w:type="dxa"/>
            <w:hideMark/>
          </w:tcPr>
          <w:p w14:paraId="270C6AEF" w14:textId="77777777" w:rsidR="00222926" w:rsidRPr="00187853" w:rsidRDefault="00222926" w:rsidP="00D30299">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1.6</w:t>
            </w:r>
          </w:p>
        </w:tc>
        <w:tc>
          <w:tcPr>
            <w:tcW w:w="1175" w:type="dxa"/>
            <w:hideMark/>
          </w:tcPr>
          <w:p w14:paraId="226F1AD5" w14:textId="77777777" w:rsidR="00222926" w:rsidRPr="00187853" w:rsidRDefault="00222926" w:rsidP="00D30299">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1.9</w:t>
            </w:r>
          </w:p>
        </w:tc>
        <w:tc>
          <w:tcPr>
            <w:tcW w:w="1260" w:type="dxa"/>
            <w:hideMark/>
          </w:tcPr>
          <w:p w14:paraId="1B652636" w14:textId="77777777" w:rsidR="00222926" w:rsidRPr="00187853" w:rsidRDefault="00222926" w:rsidP="00D30299">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1.5</w:t>
            </w:r>
          </w:p>
        </w:tc>
        <w:tc>
          <w:tcPr>
            <w:tcW w:w="1800" w:type="dxa"/>
            <w:hideMark/>
          </w:tcPr>
          <w:p w14:paraId="1277AE60" w14:textId="77777777" w:rsidR="00222926" w:rsidRPr="00187853" w:rsidRDefault="00222926" w:rsidP="00D30299">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1.7</w:t>
            </w:r>
          </w:p>
        </w:tc>
      </w:tr>
      <w:tr w:rsidR="00222926" w:rsidRPr="00187853" w14:paraId="6F61FA89" w14:textId="77777777" w:rsidTr="00D30299">
        <w:trPr>
          <w:jc w:val="center"/>
        </w:trPr>
        <w:tc>
          <w:tcPr>
            <w:tcW w:w="2160" w:type="dxa"/>
            <w:hideMark/>
          </w:tcPr>
          <w:p w14:paraId="28C7F1AB" w14:textId="77777777" w:rsidR="00222926" w:rsidRPr="00DD3F35" w:rsidRDefault="00222926" w:rsidP="00D30299">
            <w:pPr>
              <w:rPr>
                <w:rFonts w:asciiTheme="majorBidi" w:eastAsia="Times New Roman" w:hAnsiTheme="majorBidi" w:cstheme="majorBidi"/>
                <w:sz w:val="20"/>
                <w:szCs w:val="20"/>
              </w:rPr>
            </w:pPr>
            <w:r w:rsidRPr="00DD3F35">
              <w:rPr>
                <w:rFonts w:asciiTheme="majorBidi" w:eastAsia="Times New Roman" w:hAnsiTheme="majorBidi" w:cstheme="majorBidi"/>
                <w:sz w:val="20"/>
                <w:szCs w:val="20"/>
              </w:rPr>
              <w:t>September</w:t>
            </w:r>
          </w:p>
        </w:tc>
        <w:tc>
          <w:tcPr>
            <w:tcW w:w="1255" w:type="dxa"/>
            <w:hideMark/>
          </w:tcPr>
          <w:p w14:paraId="198EF2A8" w14:textId="77777777" w:rsidR="00222926" w:rsidRPr="00187853" w:rsidRDefault="00222926" w:rsidP="00D30299">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1.2</w:t>
            </w:r>
          </w:p>
        </w:tc>
        <w:tc>
          <w:tcPr>
            <w:tcW w:w="1175" w:type="dxa"/>
            <w:hideMark/>
          </w:tcPr>
          <w:p w14:paraId="1BFFE017" w14:textId="77777777" w:rsidR="00222926" w:rsidRPr="00187853" w:rsidRDefault="00222926" w:rsidP="00D30299">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1.0</w:t>
            </w:r>
          </w:p>
        </w:tc>
        <w:tc>
          <w:tcPr>
            <w:tcW w:w="1260" w:type="dxa"/>
            <w:hideMark/>
          </w:tcPr>
          <w:p w14:paraId="424489A7" w14:textId="77777777" w:rsidR="00222926" w:rsidRPr="00187853" w:rsidRDefault="00222926" w:rsidP="00D30299">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1.1</w:t>
            </w:r>
          </w:p>
        </w:tc>
        <w:tc>
          <w:tcPr>
            <w:tcW w:w="1800" w:type="dxa"/>
            <w:hideMark/>
          </w:tcPr>
          <w:p w14:paraId="5A61A774" w14:textId="77777777" w:rsidR="00222926" w:rsidRPr="00187853" w:rsidRDefault="00222926" w:rsidP="00D30299">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1.1</w:t>
            </w:r>
          </w:p>
        </w:tc>
      </w:tr>
      <w:tr w:rsidR="00222926" w:rsidRPr="00187853" w14:paraId="1F3E51F2" w14:textId="77777777" w:rsidTr="00D30299">
        <w:trPr>
          <w:jc w:val="center"/>
        </w:trPr>
        <w:tc>
          <w:tcPr>
            <w:tcW w:w="2160" w:type="dxa"/>
            <w:hideMark/>
          </w:tcPr>
          <w:p w14:paraId="1CD53B1B" w14:textId="77777777" w:rsidR="00222926" w:rsidRPr="00DD3F35" w:rsidRDefault="00222926" w:rsidP="00D30299">
            <w:pPr>
              <w:rPr>
                <w:rFonts w:asciiTheme="majorBidi" w:eastAsia="Times New Roman" w:hAnsiTheme="majorBidi" w:cstheme="majorBidi"/>
                <w:sz w:val="20"/>
                <w:szCs w:val="20"/>
              </w:rPr>
            </w:pPr>
            <w:r w:rsidRPr="00DD3F35">
              <w:rPr>
                <w:rFonts w:asciiTheme="majorBidi" w:eastAsia="Times New Roman" w:hAnsiTheme="majorBidi" w:cstheme="majorBidi"/>
                <w:sz w:val="20"/>
                <w:szCs w:val="20"/>
              </w:rPr>
              <w:t>October</w:t>
            </w:r>
          </w:p>
        </w:tc>
        <w:tc>
          <w:tcPr>
            <w:tcW w:w="1255" w:type="dxa"/>
            <w:hideMark/>
          </w:tcPr>
          <w:p w14:paraId="3B492C7D" w14:textId="77777777" w:rsidR="00222926" w:rsidRPr="00187853" w:rsidRDefault="00222926" w:rsidP="00D30299">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0.8</w:t>
            </w:r>
          </w:p>
        </w:tc>
        <w:tc>
          <w:tcPr>
            <w:tcW w:w="1175" w:type="dxa"/>
            <w:hideMark/>
          </w:tcPr>
          <w:p w14:paraId="013C7B4D" w14:textId="77777777" w:rsidR="00222926" w:rsidRPr="00187853" w:rsidRDefault="00222926" w:rsidP="00D30299">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0.6</w:t>
            </w:r>
          </w:p>
        </w:tc>
        <w:tc>
          <w:tcPr>
            <w:tcW w:w="1260" w:type="dxa"/>
            <w:hideMark/>
          </w:tcPr>
          <w:p w14:paraId="0852DBD1" w14:textId="77777777" w:rsidR="00222926" w:rsidRPr="00187853" w:rsidRDefault="00222926" w:rsidP="00D30299">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0.9</w:t>
            </w:r>
          </w:p>
        </w:tc>
        <w:tc>
          <w:tcPr>
            <w:tcW w:w="1800" w:type="dxa"/>
            <w:hideMark/>
          </w:tcPr>
          <w:p w14:paraId="6DC7A629" w14:textId="77777777" w:rsidR="00222926" w:rsidRPr="00187853" w:rsidRDefault="00222926" w:rsidP="00D30299">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0.8</w:t>
            </w:r>
          </w:p>
        </w:tc>
      </w:tr>
      <w:tr w:rsidR="00222926" w:rsidRPr="00187853" w14:paraId="5BA8D5B3" w14:textId="77777777" w:rsidTr="00D30299">
        <w:trPr>
          <w:jc w:val="center"/>
        </w:trPr>
        <w:tc>
          <w:tcPr>
            <w:tcW w:w="2160" w:type="dxa"/>
            <w:hideMark/>
          </w:tcPr>
          <w:p w14:paraId="34DA6118" w14:textId="77777777" w:rsidR="00222926" w:rsidRPr="00DD3F35" w:rsidRDefault="00222926" w:rsidP="00D30299">
            <w:pPr>
              <w:rPr>
                <w:rFonts w:asciiTheme="majorBidi" w:eastAsia="Times New Roman" w:hAnsiTheme="majorBidi" w:cstheme="majorBidi"/>
                <w:sz w:val="20"/>
                <w:szCs w:val="20"/>
              </w:rPr>
            </w:pPr>
            <w:r w:rsidRPr="00DD3F35">
              <w:rPr>
                <w:rFonts w:asciiTheme="majorBidi" w:eastAsia="Times New Roman" w:hAnsiTheme="majorBidi" w:cstheme="majorBidi"/>
                <w:sz w:val="20"/>
                <w:szCs w:val="20"/>
              </w:rPr>
              <w:t>November</w:t>
            </w:r>
          </w:p>
        </w:tc>
        <w:tc>
          <w:tcPr>
            <w:tcW w:w="1255" w:type="dxa"/>
            <w:hideMark/>
          </w:tcPr>
          <w:p w14:paraId="38CBA7B1" w14:textId="77777777" w:rsidR="00222926" w:rsidRPr="00187853" w:rsidRDefault="00222926" w:rsidP="00D30299">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0.6</w:t>
            </w:r>
          </w:p>
        </w:tc>
        <w:tc>
          <w:tcPr>
            <w:tcW w:w="1175" w:type="dxa"/>
            <w:hideMark/>
          </w:tcPr>
          <w:p w14:paraId="77ED0032" w14:textId="77777777" w:rsidR="00222926" w:rsidRPr="00187853" w:rsidRDefault="00222926" w:rsidP="00D30299">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0.3</w:t>
            </w:r>
          </w:p>
        </w:tc>
        <w:tc>
          <w:tcPr>
            <w:tcW w:w="1260" w:type="dxa"/>
            <w:hideMark/>
          </w:tcPr>
          <w:p w14:paraId="5A2D88A1" w14:textId="77777777" w:rsidR="00222926" w:rsidRPr="00187853" w:rsidRDefault="00222926" w:rsidP="00D30299">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0.6</w:t>
            </w:r>
          </w:p>
        </w:tc>
        <w:tc>
          <w:tcPr>
            <w:tcW w:w="1800" w:type="dxa"/>
            <w:hideMark/>
          </w:tcPr>
          <w:p w14:paraId="1FDF7C1B" w14:textId="77777777" w:rsidR="00222926" w:rsidRPr="00187853" w:rsidRDefault="00222926" w:rsidP="00D30299">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0.5</w:t>
            </w:r>
          </w:p>
        </w:tc>
      </w:tr>
      <w:tr w:rsidR="00222926" w:rsidRPr="00187853" w14:paraId="61AB87D8" w14:textId="77777777" w:rsidTr="00D30299">
        <w:trPr>
          <w:jc w:val="center"/>
        </w:trPr>
        <w:tc>
          <w:tcPr>
            <w:tcW w:w="2160" w:type="dxa"/>
            <w:hideMark/>
          </w:tcPr>
          <w:p w14:paraId="771B0F36" w14:textId="77777777" w:rsidR="00222926" w:rsidRPr="00DD3F35" w:rsidRDefault="00222926" w:rsidP="00D30299">
            <w:pPr>
              <w:rPr>
                <w:rFonts w:asciiTheme="majorBidi" w:eastAsia="Times New Roman" w:hAnsiTheme="majorBidi" w:cstheme="majorBidi"/>
                <w:sz w:val="20"/>
                <w:szCs w:val="20"/>
              </w:rPr>
            </w:pPr>
            <w:r w:rsidRPr="00DD3F35">
              <w:rPr>
                <w:rFonts w:asciiTheme="majorBidi" w:eastAsia="Times New Roman" w:hAnsiTheme="majorBidi" w:cstheme="majorBidi"/>
                <w:sz w:val="20"/>
                <w:szCs w:val="20"/>
              </w:rPr>
              <w:t>December</w:t>
            </w:r>
          </w:p>
        </w:tc>
        <w:tc>
          <w:tcPr>
            <w:tcW w:w="1255" w:type="dxa"/>
            <w:hideMark/>
          </w:tcPr>
          <w:p w14:paraId="64238CFE" w14:textId="77777777" w:rsidR="00222926" w:rsidRPr="00187853" w:rsidRDefault="00222926" w:rsidP="00D30299">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1.4</w:t>
            </w:r>
          </w:p>
        </w:tc>
        <w:tc>
          <w:tcPr>
            <w:tcW w:w="1175" w:type="dxa"/>
            <w:hideMark/>
          </w:tcPr>
          <w:p w14:paraId="42E4C836" w14:textId="77777777" w:rsidR="00222926" w:rsidRPr="00187853" w:rsidRDefault="00222926" w:rsidP="00D30299">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0.9</w:t>
            </w:r>
          </w:p>
        </w:tc>
        <w:tc>
          <w:tcPr>
            <w:tcW w:w="1260" w:type="dxa"/>
            <w:hideMark/>
          </w:tcPr>
          <w:p w14:paraId="5DE19496" w14:textId="77777777" w:rsidR="00222926" w:rsidRPr="00187853" w:rsidRDefault="00222926" w:rsidP="00D30299">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0.9</w:t>
            </w:r>
          </w:p>
        </w:tc>
        <w:tc>
          <w:tcPr>
            <w:tcW w:w="1800" w:type="dxa"/>
            <w:hideMark/>
          </w:tcPr>
          <w:p w14:paraId="320E1795" w14:textId="77777777" w:rsidR="00222926" w:rsidRPr="00187853" w:rsidRDefault="00222926" w:rsidP="00D30299">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1.1</w:t>
            </w:r>
          </w:p>
        </w:tc>
      </w:tr>
      <w:tr w:rsidR="00222926" w:rsidRPr="00187853" w14:paraId="277DA626" w14:textId="77777777" w:rsidTr="00D30299">
        <w:trPr>
          <w:jc w:val="center"/>
        </w:trPr>
        <w:tc>
          <w:tcPr>
            <w:tcW w:w="2160" w:type="dxa"/>
            <w:hideMark/>
          </w:tcPr>
          <w:p w14:paraId="0C8745B5" w14:textId="77777777" w:rsidR="00222926" w:rsidRPr="00187853" w:rsidRDefault="00222926" w:rsidP="00D30299">
            <w:pPr>
              <w:rPr>
                <w:rFonts w:asciiTheme="majorBidi" w:eastAsia="Times New Roman" w:hAnsiTheme="majorBidi" w:cstheme="majorBidi"/>
                <w:b/>
                <w:bCs/>
                <w:sz w:val="20"/>
                <w:szCs w:val="20"/>
              </w:rPr>
            </w:pPr>
            <w:r w:rsidRPr="00187853">
              <w:rPr>
                <w:rFonts w:asciiTheme="majorBidi" w:eastAsia="Times New Roman" w:hAnsiTheme="majorBidi" w:cstheme="majorBidi"/>
                <w:b/>
                <w:bCs/>
                <w:sz w:val="20"/>
                <w:szCs w:val="20"/>
              </w:rPr>
              <w:t>General Average</w:t>
            </w:r>
          </w:p>
        </w:tc>
        <w:tc>
          <w:tcPr>
            <w:tcW w:w="1255" w:type="dxa"/>
            <w:hideMark/>
          </w:tcPr>
          <w:p w14:paraId="3C89FB3C" w14:textId="77777777" w:rsidR="00222926" w:rsidRPr="00187853" w:rsidRDefault="00222926" w:rsidP="00D30299">
            <w:pPr>
              <w:jc w:val="center"/>
              <w:rPr>
                <w:rFonts w:asciiTheme="majorBidi" w:eastAsia="Times New Roman" w:hAnsiTheme="majorBidi" w:cstheme="majorBidi"/>
                <w:b/>
                <w:bCs/>
                <w:sz w:val="20"/>
                <w:szCs w:val="20"/>
              </w:rPr>
            </w:pPr>
            <w:r w:rsidRPr="00187853">
              <w:rPr>
                <w:rFonts w:asciiTheme="majorBidi" w:eastAsia="Times New Roman" w:hAnsiTheme="majorBidi" w:cstheme="majorBidi"/>
                <w:b/>
                <w:bCs/>
                <w:sz w:val="20"/>
                <w:szCs w:val="20"/>
              </w:rPr>
              <w:t>1</w:t>
            </w:r>
          </w:p>
        </w:tc>
        <w:tc>
          <w:tcPr>
            <w:tcW w:w="1175" w:type="dxa"/>
            <w:hideMark/>
          </w:tcPr>
          <w:p w14:paraId="1477F568" w14:textId="77777777" w:rsidR="00222926" w:rsidRPr="00187853" w:rsidRDefault="00222926" w:rsidP="00D30299">
            <w:pPr>
              <w:jc w:val="center"/>
              <w:rPr>
                <w:rFonts w:asciiTheme="majorBidi" w:eastAsia="Times New Roman" w:hAnsiTheme="majorBidi" w:cstheme="majorBidi"/>
                <w:b/>
                <w:bCs/>
                <w:sz w:val="20"/>
                <w:szCs w:val="20"/>
              </w:rPr>
            </w:pPr>
            <w:r w:rsidRPr="00187853">
              <w:rPr>
                <w:rFonts w:asciiTheme="majorBidi" w:eastAsia="Times New Roman" w:hAnsiTheme="majorBidi" w:cstheme="majorBidi"/>
                <w:b/>
                <w:bCs/>
                <w:sz w:val="20"/>
                <w:szCs w:val="20"/>
              </w:rPr>
              <w:t>1</w:t>
            </w:r>
          </w:p>
        </w:tc>
        <w:tc>
          <w:tcPr>
            <w:tcW w:w="1260" w:type="dxa"/>
            <w:hideMark/>
          </w:tcPr>
          <w:p w14:paraId="590E4AA1" w14:textId="77777777" w:rsidR="00222926" w:rsidRPr="00187853" w:rsidRDefault="00222926" w:rsidP="00D30299">
            <w:pPr>
              <w:jc w:val="center"/>
              <w:rPr>
                <w:rFonts w:asciiTheme="majorBidi" w:eastAsia="Times New Roman" w:hAnsiTheme="majorBidi" w:cstheme="majorBidi"/>
                <w:b/>
                <w:bCs/>
                <w:sz w:val="20"/>
                <w:szCs w:val="20"/>
              </w:rPr>
            </w:pPr>
            <w:r w:rsidRPr="00187853">
              <w:rPr>
                <w:rFonts w:asciiTheme="majorBidi" w:eastAsia="Times New Roman" w:hAnsiTheme="majorBidi" w:cstheme="majorBidi"/>
                <w:b/>
                <w:bCs/>
                <w:sz w:val="20"/>
                <w:szCs w:val="20"/>
              </w:rPr>
              <w:t>1</w:t>
            </w:r>
          </w:p>
        </w:tc>
        <w:tc>
          <w:tcPr>
            <w:tcW w:w="1800" w:type="dxa"/>
            <w:hideMark/>
          </w:tcPr>
          <w:p w14:paraId="1451F701" w14:textId="77777777" w:rsidR="00222926" w:rsidRPr="00187853" w:rsidRDefault="00222926" w:rsidP="00D30299">
            <w:pPr>
              <w:jc w:val="center"/>
              <w:rPr>
                <w:rFonts w:asciiTheme="majorBidi" w:eastAsia="Times New Roman" w:hAnsiTheme="majorBidi" w:cstheme="majorBidi"/>
                <w:b/>
                <w:bCs/>
                <w:sz w:val="20"/>
                <w:szCs w:val="20"/>
              </w:rPr>
            </w:pPr>
            <w:r w:rsidRPr="00187853">
              <w:rPr>
                <w:rFonts w:asciiTheme="majorBidi" w:eastAsia="Times New Roman" w:hAnsiTheme="majorBidi" w:cstheme="majorBidi"/>
                <w:b/>
                <w:bCs/>
                <w:sz w:val="20"/>
                <w:szCs w:val="20"/>
              </w:rPr>
              <w:t>1</w:t>
            </w:r>
          </w:p>
        </w:tc>
      </w:tr>
    </w:tbl>
    <w:p w14:paraId="1A5BCFE8" w14:textId="77777777" w:rsidR="00222926" w:rsidRPr="005F15D3" w:rsidRDefault="00222926" w:rsidP="00460AFF">
      <w:pPr>
        <w:spacing w:after="240" w:line="240" w:lineRule="auto"/>
        <w:outlineLvl w:val="2"/>
        <w:rPr>
          <w:rFonts w:asciiTheme="majorBidi" w:eastAsia="Times New Roman" w:hAnsiTheme="majorBidi" w:cstheme="majorBidi"/>
          <w:sz w:val="20"/>
          <w:szCs w:val="20"/>
        </w:rPr>
      </w:pPr>
      <w:r w:rsidRPr="005F15D3">
        <w:rPr>
          <w:rFonts w:asciiTheme="majorBidi" w:eastAsia="Times New Roman" w:hAnsiTheme="majorBidi" w:cstheme="majorBidi"/>
          <w:b/>
          <w:bCs/>
          <w:sz w:val="20"/>
          <w:szCs w:val="20"/>
        </w:rPr>
        <w:t xml:space="preserve">                   </w:t>
      </w:r>
      <w:r w:rsidR="00DD3F35" w:rsidRPr="005F15D3">
        <w:rPr>
          <w:rFonts w:asciiTheme="majorBidi" w:eastAsia="Times New Roman" w:hAnsiTheme="majorBidi" w:cstheme="majorBidi"/>
          <w:b/>
          <w:bCs/>
          <w:sz w:val="20"/>
          <w:szCs w:val="20"/>
        </w:rPr>
        <w:t xml:space="preserve">        </w:t>
      </w:r>
      <w:r w:rsidRPr="005F15D3">
        <w:rPr>
          <w:rFonts w:asciiTheme="majorBidi" w:eastAsia="Times New Roman" w:hAnsiTheme="majorBidi" w:cstheme="majorBidi"/>
          <w:b/>
          <w:bCs/>
          <w:sz w:val="20"/>
          <w:szCs w:val="20"/>
        </w:rPr>
        <w:t>Source:</w:t>
      </w:r>
      <w:r w:rsidRPr="005F15D3">
        <w:rPr>
          <w:rFonts w:asciiTheme="majorBidi" w:eastAsia="Times New Roman" w:hAnsiTheme="majorBidi" w:cstheme="majorBidi"/>
          <w:sz w:val="20"/>
          <w:szCs w:val="20"/>
        </w:rPr>
        <w:t xml:space="preserve"> Department of Statistics in South Sinai Governorate (Tourist Data, 2024).</w:t>
      </w:r>
    </w:p>
    <w:p w14:paraId="4F43B16D" w14:textId="77777777" w:rsidR="00952001" w:rsidRPr="005F15D3" w:rsidRDefault="00952001" w:rsidP="00952001">
      <w:pPr>
        <w:pStyle w:val="NormalWeb"/>
        <w:spacing w:before="0" w:beforeAutospacing="0" w:after="120" w:afterAutospacing="0" w:line="276" w:lineRule="auto"/>
        <w:jc w:val="both"/>
        <w:rPr>
          <w:rFonts w:asciiTheme="majorBidi" w:hAnsiTheme="majorBidi" w:cstheme="majorBidi"/>
          <w:lang w:bidi="ar-EG"/>
        </w:rPr>
      </w:pPr>
      <w:r w:rsidRPr="005F15D3">
        <w:rPr>
          <w:rFonts w:asciiTheme="majorBidi" w:hAnsiTheme="majorBidi" w:cstheme="majorBidi"/>
          <w:lang w:bidi="ar-EG"/>
        </w:rPr>
        <w:t xml:space="preserve">- Overall Seasonality (All Nationalities), the overall tourism flow into South Sinai is highly seasonal. Peak Months (SI &gt; 1.0), five months, the primary high-season months are August (1.7), February (1.4), July (1.3), September (1.1), and December (1.1). In these months, except for February, the governorate is at the level C, according to the </w:t>
      </w:r>
      <w:proofErr w:type="spellStart"/>
      <w:r w:rsidRPr="005F15D3">
        <w:rPr>
          <w:rFonts w:asciiTheme="majorBidi" w:hAnsiTheme="majorBidi" w:cstheme="majorBidi"/>
          <w:lang w:bidi="ar-EG"/>
        </w:rPr>
        <w:t>Pesi</w:t>
      </w:r>
      <w:proofErr w:type="spellEnd"/>
      <w:r w:rsidRPr="005F15D3">
        <w:rPr>
          <w:rFonts w:asciiTheme="majorBidi" w:hAnsiTheme="majorBidi" w:cstheme="majorBidi"/>
          <w:lang w:bidi="ar-EG"/>
        </w:rPr>
        <w:t xml:space="preserve"> model. August represents the absolute peak for all nationalities combined, indicating a tourist flow 70% above the monthly average. Off-Peak Months (SI &lt; 1.0), seven months, the lowest demand occurs in the transition months, with November (0.5) being the absolute off-peak month, recording only half of the monthly average. It is evident from the above that South Sinai characterized by </w:t>
      </w:r>
      <w:r w:rsidRPr="005F15D3">
        <w:rPr>
          <w:rFonts w:asciiTheme="majorBidi" w:hAnsiTheme="majorBidi" w:cstheme="majorBidi"/>
          <w:lang w:bidi="ar-EG"/>
        </w:rPr>
        <w:lastRenderedPageBreak/>
        <w:t xml:space="preserve">a major summer peak and a secondary winter/year-end peak. This is confirmed by the Peaking Index </w:t>
      </w:r>
      <w:r w:rsidRPr="005F15D3">
        <w:rPr>
          <w:rFonts w:asciiTheme="majorBidi" w:hAnsiTheme="majorBidi" w:cstheme="majorBidi"/>
          <w:vertAlign w:val="superscript"/>
          <w:lang w:bidi="ar-EG"/>
        </w:rPr>
        <w:t>(</w:t>
      </w:r>
      <w:r w:rsidRPr="005F15D3">
        <w:rPr>
          <w:rFonts w:asciiTheme="majorBidi" w:hAnsiTheme="majorBidi" w:cstheme="majorBidi"/>
          <w:vertAlign w:val="superscript"/>
          <w:lang w:bidi="ar-EG"/>
        </w:rPr>
        <w:footnoteReference w:id="5"/>
      </w:r>
      <w:r w:rsidRPr="005F15D3">
        <w:rPr>
          <w:rFonts w:asciiTheme="majorBidi" w:hAnsiTheme="majorBidi" w:cstheme="majorBidi"/>
          <w:vertAlign w:val="superscript"/>
          <w:lang w:bidi="ar-EG"/>
        </w:rPr>
        <w:t>)</w:t>
      </w:r>
      <w:r w:rsidRPr="005F15D3">
        <w:rPr>
          <w:rFonts w:asciiTheme="majorBidi" w:hAnsiTheme="majorBidi" w:cstheme="majorBidi"/>
          <w:lang w:bidi="ar-EG"/>
        </w:rPr>
        <w:t xml:space="preserve"> which registered values of 8.2 in winter and 15.1 in summer, respectively.</w:t>
      </w:r>
    </w:p>
    <w:p w14:paraId="72FA7AA3" w14:textId="77777777" w:rsidR="00F73E57" w:rsidRPr="005F15D3" w:rsidRDefault="00952001" w:rsidP="00460AFF">
      <w:pPr>
        <w:pStyle w:val="NormalWeb"/>
        <w:spacing w:before="0" w:beforeAutospacing="0" w:after="120" w:afterAutospacing="0" w:line="276" w:lineRule="auto"/>
        <w:jc w:val="both"/>
        <w:rPr>
          <w:rFonts w:asciiTheme="majorBidi" w:hAnsiTheme="majorBidi" w:cstheme="majorBidi"/>
        </w:rPr>
      </w:pPr>
      <w:r w:rsidRPr="005F15D3">
        <w:rPr>
          <w:rFonts w:asciiTheme="majorBidi" w:hAnsiTheme="majorBidi" w:cstheme="majorBidi"/>
          <w:noProof/>
          <w:rtl/>
        </w:rPr>
        <w:drawing>
          <wp:anchor distT="0" distB="0" distL="114300" distR="114300" simplePos="0" relativeHeight="251674624" behindDoc="1" locked="0" layoutInCell="1" allowOverlap="1" wp14:anchorId="142075DA" wp14:editId="3C55D6C1">
            <wp:simplePos x="0" y="0"/>
            <wp:positionH relativeFrom="margin">
              <wp:align>right</wp:align>
            </wp:positionH>
            <wp:positionV relativeFrom="margin">
              <wp:posOffset>641350</wp:posOffset>
            </wp:positionV>
            <wp:extent cx="4069080" cy="3331210"/>
            <wp:effectExtent l="0" t="0" r="7620" b="2540"/>
            <wp:wrapTight wrapText="bothSides">
              <wp:wrapPolygon edited="0">
                <wp:start x="0" y="0"/>
                <wp:lineTo x="0" y="21493"/>
                <wp:lineTo x="21539" y="21493"/>
                <wp:lineTo x="21539" y="0"/>
                <wp:lineTo x="0" y="0"/>
              </wp:wrapPolygon>
            </wp:wrapTight>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sidR="008710F7" w:rsidRPr="005F15D3">
        <w:rPr>
          <w:rFonts w:asciiTheme="majorBidi" w:hAnsiTheme="majorBidi" w:cstheme="majorBidi"/>
          <w:lang w:bidi="ar-EG"/>
        </w:rPr>
        <w:t xml:space="preserve">- </w:t>
      </w:r>
      <w:r w:rsidR="00B0456C" w:rsidRPr="005F15D3">
        <w:rPr>
          <w:rFonts w:asciiTheme="majorBidi" w:hAnsiTheme="majorBidi" w:cstheme="majorBidi"/>
        </w:rPr>
        <w:t xml:space="preserve">Foreign tourism seasonality, foreign </w:t>
      </w:r>
      <w:r w:rsidR="00D00A7B" w:rsidRPr="005F15D3">
        <w:rPr>
          <w:rFonts w:asciiTheme="majorBidi" w:hAnsiTheme="majorBidi" w:cstheme="majorBidi"/>
        </w:rPr>
        <w:t>demand</w:t>
      </w:r>
      <w:r w:rsidR="00B0456C" w:rsidRPr="005F15D3">
        <w:rPr>
          <w:rFonts w:asciiTheme="majorBidi" w:hAnsiTheme="majorBidi" w:cstheme="majorBidi"/>
        </w:rPr>
        <w:t xml:space="preserve"> displays a more balanced, climatically-driven seasonality, avoiding the extreme summer heat. Peak months occur during the transitional months and late summer, March 1.4, August 1.5, April 1.1, July 1.1, and September 1.1. The August peak is likely due to school holidays in origin markets, while the spring peaks (March/April) align with optimal climatic comfort conditions. This trend is attributed to the mild climate that the governorate enjoys during the months of March, April, August, and September, which has a positive effect on human comfort as demonstrated by the </w:t>
      </w:r>
      <w:proofErr w:type="spellStart"/>
      <w:r w:rsidR="00B0456C" w:rsidRPr="005F15D3">
        <w:rPr>
          <w:rFonts w:asciiTheme="majorBidi" w:hAnsiTheme="majorBidi" w:cstheme="majorBidi"/>
        </w:rPr>
        <w:t>Pesi</w:t>
      </w:r>
      <w:proofErr w:type="spellEnd"/>
      <w:r w:rsidR="00B0456C" w:rsidRPr="005F15D3">
        <w:rPr>
          <w:rFonts w:asciiTheme="majorBidi" w:hAnsiTheme="majorBidi" w:cstheme="majorBidi"/>
        </w:rPr>
        <w:t xml:space="preserve"> model, </w:t>
      </w:r>
      <w:r w:rsidR="00B0456C" w:rsidRPr="005F15D3">
        <w:rPr>
          <w:rFonts w:asciiTheme="majorBidi" w:hAnsiTheme="majorBidi" w:cstheme="majorBidi"/>
          <w:lang w:bidi="ar-EG"/>
        </w:rPr>
        <w:t xml:space="preserve">the governorate is at the level PCC </w:t>
      </w:r>
      <w:r w:rsidR="00B0456C" w:rsidRPr="005F15D3">
        <w:rPr>
          <w:rStyle w:val="math-inline"/>
          <w:rFonts w:asciiTheme="majorBidi" w:hAnsiTheme="majorBidi" w:cstheme="majorBidi"/>
        </w:rPr>
        <w:t>and C</w:t>
      </w:r>
      <w:r w:rsidR="00B0456C" w:rsidRPr="005F15D3">
        <w:rPr>
          <w:rFonts w:asciiTheme="majorBidi" w:hAnsiTheme="majorBidi" w:cstheme="majorBidi"/>
        </w:rPr>
        <w:t xml:space="preserve">. Furthermore, these months represent the main season for fishing and diving, activities highly favored by foreign tourists at the governorate. Stable month, May 1.0 shows a perfectly average utilization, indicating stability before the major summer peaks, </w:t>
      </w:r>
      <w:r w:rsidR="00B0456C" w:rsidRPr="005F15D3">
        <w:rPr>
          <w:rFonts w:asciiTheme="majorBidi" w:hAnsiTheme="majorBidi" w:cstheme="majorBidi"/>
          <w:lang w:bidi="ar-EG"/>
        </w:rPr>
        <w:t xml:space="preserve">the governorate is at the level </w:t>
      </w:r>
      <w:r w:rsidR="00B0456C" w:rsidRPr="005F15D3">
        <w:rPr>
          <w:rStyle w:val="math-inline"/>
          <w:rFonts w:asciiTheme="majorBidi" w:hAnsiTheme="majorBidi" w:cstheme="majorBidi"/>
        </w:rPr>
        <w:t>C</w:t>
      </w:r>
      <w:r w:rsidR="00B0456C" w:rsidRPr="005F15D3">
        <w:rPr>
          <w:rFonts w:asciiTheme="majorBidi" w:hAnsiTheme="majorBidi" w:cstheme="majorBidi"/>
          <w:lang w:bidi="ar-EG"/>
        </w:rPr>
        <w:t xml:space="preserve">, according to the </w:t>
      </w:r>
      <w:proofErr w:type="spellStart"/>
      <w:r w:rsidR="00B0456C" w:rsidRPr="005F15D3">
        <w:rPr>
          <w:rFonts w:asciiTheme="majorBidi" w:hAnsiTheme="majorBidi" w:cstheme="majorBidi"/>
          <w:lang w:bidi="ar-EG"/>
        </w:rPr>
        <w:t>Pesi</w:t>
      </w:r>
      <w:proofErr w:type="spellEnd"/>
      <w:r w:rsidR="00B0456C" w:rsidRPr="005F15D3">
        <w:rPr>
          <w:rFonts w:asciiTheme="majorBidi" w:hAnsiTheme="majorBidi" w:cstheme="majorBidi"/>
          <w:lang w:bidi="ar-EG"/>
        </w:rPr>
        <w:t xml:space="preserve"> model</w:t>
      </w:r>
      <w:r w:rsidR="00B0456C" w:rsidRPr="005F15D3">
        <w:rPr>
          <w:rFonts w:asciiTheme="majorBidi" w:hAnsiTheme="majorBidi" w:cstheme="majorBidi"/>
        </w:rPr>
        <w:t>. Off-Peak, demand drops significantly in the shoulder and winter months, with the lowest indices recorded in November 0.6 and January 0.6</w:t>
      </w:r>
      <w:r w:rsidR="008710F7" w:rsidRPr="005F15D3">
        <w:rPr>
          <w:rFonts w:asciiTheme="majorBidi" w:hAnsiTheme="majorBidi" w:cstheme="majorBidi"/>
        </w:rPr>
        <w:t>.</w:t>
      </w:r>
    </w:p>
    <w:p w14:paraId="0E3FA977" w14:textId="77777777" w:rsidR="00C778DD" w:rsidRPr="005F15D3" w:rsidRDefault="00C778DD" w:rsidP="00460AFF">
      <w:pPr>
        <w:pStyle w:val="NormalWeb"/>
        <w:spacing w:before="0" w:beforeAutospacing="0" w:after="120" w:afterAutospacing="0" w:line="276" w:lineRule="auto"/>
        <w:jc w:val="both"/>
        <w:rPr>
          <w:rFonts w:asciiTheme="majorBidi" w:hAnsiTheme="majorBidi" w:cstheme="majorBidi"/>
        </w:rPr>
      </w:pPr>
      <w:r w:rsidRPr="005F15D3">
        <w:rPr>
          <w:rFonts w:asciiTheme="majorBidi" w:hAnsiTheme="majorBidi" w:cstheme="majorBidi"/>
          <w:lang w:bidi="ar-EG"/>
        </w:rPr>
        <w:t xml:space="preserve">- </w:t>
      </w:r>
      <w:r w:rsidR="00AF4133" w:rsidRPr="005F15D3">
        <w:rPr>
          <w:rFonts w:asciiTheme="majorBidi" w:hAnsiTheme="majorBidi" w:cstheme="majorBidi"/>
        </w:rPr>
        <w:t>Arab Tourism Seasonality. Arab tourism exhibits the highest peak intensity among all segments and is heavily concentrated in summer and late winter. Peak months, the seasonality is sharply concentrated in February 1.7 (</w:t>
      </w:r>
      <w:r w:rsidR="00AF4133" w:rsidRPr="005F15D3">
        <w:rPr>
          <w:rFonts w:asciiTheme="majorBidi" w:hAnsiTheme="majorBidi" w:cstheme="majorBidi"/>
          <w:lang w:bidi="ar-EG"/>
        </w:rPr>
        <w:t xml:space="preserve">the governorate is at the level </w:t>
      </w:r>
      <w:r w:rsidR="00AF4133" w:rsidRPr="005F15D3">
        <w:rPr>
          <w:rStyle w:val="math-inline"/>
          <w:rFonts w:asciiTheme="majorBidi" w:hAnsiTheme="majorBidi" w:cstheme="majorBidi"/>
        </w:rPr>
        <w:t>CDC</w:t>
      </w:r>
      <w:r w:rsidR="00AF4133" w:rsidRPr="005F15D3">
        <w:rPr>
          <w:rFonts w:asciiTheme="majorBidi" w:hAnsiTheme="majorBidi" w:cstheme="majorBidi"/>
          <w:lang w:bidi="ar-EG"/>
        </w:rPr>
        <w:t xml:space="preserve">, according to the </w:t>
      </w:r>
      <w:proofErr w:type="spellStart"/>
      <w:r w:rsidR="00AF4133" w:rsidRPr="005F15D3">
        <w:rPr>
          <w:rFonts w:asciiTheme="majorBidi" w:hAnsiTheme="majorBidi" w:cstheme="majorBidi"/>
          <w:lang w:bidi="ar-EG"/>
        </w:rPr>
        <w:t>Pesi</w:t>
      </w:r>
      <w:proofErr w:type="spellEnd"/>
      <w:r w:rsidR="00AF4133" w:rsidRPr="005F15D3">
        <w:rPr>
          <w:rFonts w:asciiTheme="majorBidi" w:hAnsiTheme="majorBidi" w:cstheme="majorBidi"/>
          <w:lang w:bidi="ar-EG"/>
        </w:rPr>
        <w:t xml:space="preserve"> model</w:t>
      </w:r>
      <w:r w:rsidR="00AF4133" w:rsidRPr="005F15D3">
        <w:rPr>
          <w:rFonts w:asciiTheme="majorBidi" w:hAnsiTheme="majorBidi" w:cstheme="majorBidi"/>
        </w:rPr>
        <w:t>), June 1.3, July 1.7, and August 1.9 (</w:t>
      </w:r>
      <w:r w:rsidR="00AF4133" w:rsidRPr="005F15D3">
        <w:rPr>
          <w:rFonts w:asciiTheme="majorBidi" w:hAnsiTheme="majorBidi" w:cstheme="majorBidi"/>
          <w:lang w:bidi="ar-EG"/>
        </w:rPr>
        <w:t xml:space="preserve">the governorate is at the level </w:t>
      </w:r>
      <w:r w:rsidR="00AF4133" w:rsidRPr="005F15D3">
        <w:rPr>
          <w:rStyle w:val="math-inline"/>
          <w:rFonts w:asciiTheme="majorBidi" w:hAnsiTheme="majorBidi" w:cstheme="majorBidi"/>
        </w:rPr>
        <w:t>C</w:t>
      </w:r>
      <w:r w:rsidR="00AF4133" w:rsidRPr="005F15D3">
        <w:rPr>
          <w:rFonts w:asciiTheme="majorBidi" w:hAnsiTheme="majorBidi" w:cstheme="majorBidi"/>
          <w:lang w:bidi="ar-EG"/>
        </w:rPr>
        <w:t xml:space="preserve">, according to the </w:t>
      </w:r>
      <w:proofErr w:type="spellStart"/>
      <w:r w:rsidR="00AF4133" w:rsidRPr="005F15D3">
        <w:rPr>
          <w:rFonts w:asciiTheme="majorBidi" w:hAnsiTheme="majorBidi" w:cstheme="majorBidi"/>
          <w:lang w:bidi="ar-EG"/>
        </w:rPr>
        <w:t>Pesi</w:t>
      </w:r>
      <w:proofErr w:type="spellEnd"/>
      <w:r w:rsidR="00AF4133" w:rsidRPr="005F15D3">
        <w:rPr>
          <w:rFonts w:asciiTheme="majorBidi" w:hAnsiTheme="majorBidi" w:cstheme="majorBidi"/>
          <w:lang w:bidi="ar-EG"/>
        </w:rPr>
        <w:t xml:space="preserve"> model</w:t>
      </w:r>
      <w:r w:rsidR="00AF4133" w:rsidRPr="005F15D3">
        <w:rPr>
          <w:rFonts w:asciiTheme="majorBidi" w:hAnsiTheme="majorBidi" w:cstheme="majorBidi"/>
        </w:rPr>
        <w:t xml:space="preserve">). August registers a demand 90% </w:t>
      </w:r>
      <w:r w:rsidR="00AF4133" w:rsidRPr="005F15D3">
        <w:rPr>
          <w:rFonts w:asciiTheme="majorBidi" w:hAnsiTheme="majorBidi" w:cstheme="majorBidi"/>
        </w:rPr>
        <w:lastRenderedPageBreak/>
        <w:t>higher than the monthly average, making it the highest index value. The peak months of seasonality is due to these months coinciding with the holiday season. Additionally, harsh of the hot desert climate elements, particularly in the Arabian Gulf region during the summer, contribute to this trend. This makes the Arabian Gulf a tourism push region towards the shores of the Gulfs of Aqaba and Suez in Southern Sinai, which benefit from their proximate location to the Gulf States. Off-Peak, Arab tourism shows the most pronounced off-peak period, with extremely low indices in November 0.3 and January 0.4, indicating demand significantly below 50% of the monthly average</w:t>
      </w:r>
      <w:r w:rsidRPr="005F15D3">
        <w:rPr>
          <w:rFonts w:asciiTheme="majorBidi" w:hAnsiTheme="majorBidi" w:cstheme="majorBidi"/>
        </w:rPr>
        <w:t>.</w:t>
      </w:r>
    </w:p>
    <w:p w14:paraId="3B550396" w14:textId="77777777" w:rsidR="00820F87" w:rsidRPr="005F15D3" w:rsidRDefault="00820F87" w:rsidP="00C479CD">
      <w:pPr>
        <w:pStyle w:val="NormalWeb"/>
        <w:spacing w:before="0" w:beforeAutospacing="0" w:after="60" w:afterAutospacing="0" w:line="276" w:lineRule="auto"/>
        <w:jc w:val="both"/>
        <w:rPr>
          <w:rFonts w:asciiTheme="majorBidi" w:hAnsiTheme="majorBidi" w:cstheme="majorBidi"/>
          <w:lang w:bidi="ar-EG"/>
        </w:rPr>
      </w:pPr>
      <w:r w:rsidRPr="005F15D3">
        <w:rPr>
          <w:rFonts w:asciiTheme="majorBidi" w:hAnsiTheme="majorBidi" w:cstheme="majorBidi"/>
          <w:lang w:bidi="ar-EG"/>
        </w:rPr>
        <w:t xml:space="preserve">- </w:t>
      </w:r>
      <w:r w:rsidR="00D061FF" w:rsidRPr="005F15D3">
        <w:rPr>
          <w:rFonts w:asciiTheme="majorBidi" w:hAnsiTheme="majorBidi" w:cstheme="majorBidi"/>
          <w:lang w:bidi="ar-EG"/>
        </w:rPr>
        <w:t xml:space="preserve">Domestic (Egyptian) tourism seasonality, domestic tourism shows a clear bimodal pattern (two distinct peaks) strongly linked to academic and national holidays. Winter Peak: High demand is observed in December 1.4, January 1.2, and February 1.5 (the governorate is at the level CDC according to the </w:t>
      </w:r>
      <w:proofErr w:type="spellStart"/>
      <w:r w:rsidR="00D061FF" w:rsidRPr="005F15D3">
        <w:rPr>
          <w:rFonts w:asciiTheme="majorBidi" w:hAnsiTheme="majorBidi" w:cstheme="majorBidi"/>
          <w:lang w:bidi="ar-EG"/>
        </w:rPr>
        <w:t>Pesi</w:t>
      </w:r>
      <w:proofErr w:type="spellEnd"/>
      <w:r w:rsidR="00D061FF" w:rsidRPr="005F15D3">
        <w:rPr>
          <w:rFonts w:asciiTheme="majorBidi" w:hAnsiTheme="majorBidi" w:cstheme="majorBidi"/>
          <w:lang w:bidi="ar-EG"/>
        </w:rPr>
        <w:t xml:space="preserve"> model), coinciding with the mid-year academic break, New Year's celebrations and Christmas celebration. Summer Peak: The highest domestic demand occurs during the summer holiday months, peaking in August 1.6, followed by July 1.2 and September 1.2 (the governorate is at the level C according to the </w:t>
      </w:r>
      <w:proofErr w:type="spellStart"/>
      <w:r w:rsidR="00D061FF" w:rsidRPr="005F15D3">
        <w:rPr>
          <w:rFonts w:asciiTheme="majorBidi" w:hAnsiTheme="majorBidi" w:cstheme="majorBidi"/>
          <w:lang w:bidi="ar-EG"/>
        </w:rPr>
        <w:t>Pesi</w:t>
      </w:r>
      <w:proofErr w:type="spellEnd"/>
      <w:r w:rsidR="00D061FF" w:rsidRPr="005F15D3">
        <w:rPr>
          <w:rFonts w:asciiTheme="majorBidi" w:hAnsiTheme="majorBidi" w:cstheme="majorBidi"/>
          <w:lang w:bidi="ar-EG"/>
        </w:rPr>
        <w:t xml:space="preserve"> model). Off-Peak: The lowest demand for domestic tourists is recorded during the spring and late autumn working months: April 0.5, May 0.6, November 0.6, March 0.7, June0.7, and October 0.8</w:t>
      </w:r>
      <w:r w:rsidRPr="005F15D3">
        <w:rPr>
          <w:rFonts w:asciiTheme="majorBidi" w:hAnsiTheme="majorBidi" w:cstheme="majorBidi"/>
          <w:lang w:bidi="ar-EG"/>
        </w:rPr>
        <w:t>.</w:t>
      </w:r>
    </w:p>
    <w:p w14:paraId="477764AA" w14:textId="77777777" w:rsidR="000A442F" w:rsidRPr="005F15D3" w:rsidRDefault="000A442F" w:rsidP="00B90DDD">
      <w:pPr>
        <w:pStyle w:val="Heading3"/>
        <w:spacing w:before="160" w:after="80"/>
        <w:rPr>
          <w:rFonts w:asciiTheme="majorBidi" w:eastAsia="Times New Roman" w:hAnsiTheme="majorBidi"/>
          <w:b/>
          <w:bCs/>
          <w:color w:val="auto"/>
          <w:lang w:bidi="ar-EG"/>
        </w:rPr>
      </w:pPr>
      <w:r w:rsidRPr="005F15D3">
        <w:rPr>
          <w:rFonts w:asciiTheme="majorBidi" w:eastAsia="Times New Roman" w:hAnsiTheme="majorBidi"/>
          <w:b/>
          <w:bCs/>
          <w:color w:val="auto"/>
          <w:lang w:bidi="ar-EG"/>
        </w:rPr>
        <w:t>Conclusion</w:t>
      </w:r>
    </w:p>
    <w:p w14:paraId="4A5D990F" w14:textId="77777777" w:rsidR="000A442F" w:rsidRPr="005F15D3" w:rsidRDefault="000A442F" w:rsidP="00460AFF">
      <w:pPr>
        <w:pStyle w:val="NormalWeb"/>
        <w:spacing w:before="0" w:beforeAutospacing="0" w:after="120" w:afterAutospacing="0" w:line="276" w:lineRule="auto"/>
        <w:jc w:val="both"/>
        <w:rPr>
          <w:rFonts w:asciiTheme="majorBidi" w:hAnsiTheme="majorBidi" w:cstheme="majorBidi"/>
          <w:lang w:bidi="ar-EG"/>
        </w:rPr>
      </w:pPr>
      <w:r w:rsidRPr="005F15D3">
        <w:rPr>
          <w:rFonts w:asciiTheme="majorBidi" w:hAnsiTheme="majorBidi" w:cstheme="majorBidi"/>
          <w:lang w:bidi="ar-EG"/>
        </w:rPr>
        <w:t>The geographical investigation confirms the critical role of climate as a primary determinant of tourism viability, tourist comfort, and seasonality patterns in the South Sinai Governorate, supporting all initial hypotheses. The region's unique arid climate acts as a significant "pull factor," creating highly favorable conditions for diverse tourism activities, particularly those focused on coastal and safari.</w:t>
      </w:r>
    </w:p>
    <w:p w14:paraId="03C5C359" w14:textId="77777777" w:rsidR="000A442F" w:rsidRPr="005F15D3" w:rsidRDefault="00F47DA5" w:rsidP="00460AFF">
      <w:pPr>
        <w:pStyle w:val="NormalWeb"/>
        <w:spacing w:before="0" w:beforeAutospacing="0" w:after="120" w:afterAutospacing="0" w:line="276" w:lineRule="auto"/>
        <w:ind w:left="360"/>
        <w:jc w:val="both"/>
        <w:rPr>
          <w:rFonts w:asciiTheme="majorBidi" w:hAnsiTheme="majorBidi" w:cstheme="majorBidi"/>
        </w:rPr>
      </w:pPr>
      <w:r w:rsidRPr="005F15D3">
        <w:rPr>
          <w:rFonts w:asciiTheme="majorBidi" w:hAnsiTheme="majorBidi" w:cstheme="majorBidi"/>
        </w:rPr>
        <w:t>-</w:t>
      </w:r>
      <w:r w:rsidR="000A442F" w:rsidRPr="005F15D3">
        <w:rPr>
          <w:rFonts w:asciiTheme="majorBidi" w:hAnsiTheme="majorBidi" w:cstheme="majorBidi"/>
        </w:rPr>
        <w:t>Wind conditions favor water sports: The prevailing northerly, north-easterly, and north-westerly winds (comprising approx. 73% of annual wind patterns) are predominantly of moderate speed (annual average of 10.8 knots). This is an ideal range (8–27 knots) for wind-dependent water sports like kitesurfing, windsurfing, and sailing, directly supporting the governorate's premier status for water-based tourism along the Gulfs of Suez and Aqaba.</w:t>
      </w:r>
    </w:p>
    <w:p w14:paraId="54E3DA37" w14:textId="77777777" w:rsidR="000A442F" w:rsidRPr="005F15D3" w:rsidRDefault="00F47DA5" w:rsidP="00460AFF">
      <w:pPr>
        <w:pStyle w:val="NormalWeb"/>
        <w:spacing w:before="0" w:beforeAutospacing="0" w:after="120" w:afterAutospacing="0" w:line="276" w:lineRule="auto"/>
        <w:ind w:left="360"/>
        <w:jc w:val="both"/>
        <w:rPr>
          <w:rFonts w:asciiTheme="majorBidi" w:hAnsiTheme="majorBidi" w:cstheme="majorBidi"/>
        </w:rPr>
      </w:pPr>
      <w:r w:rsidRPr="005F15D3">
        <w:rPr>
          <w:rFonts w:asciiTheme="majorBidi" w:hAnsiTheme="majorBidi" w:cstheme="majorBidi"/>
        </w:rPr>
        <w:t xml:space="preserve">- </w:t>
      </w:r>
      <w:r w:rsidR="000A442F" w:rsidRPr="005F15D3">
        <w:rPr>
          <w:rFonts w:asciiTheme="majorBidi" w:hAnsiTheme="majorBidi" w:cstheme="majorBidi"/>
        </w:rPr>
        <w:t>Optimal insolation for clear waters and safari: The high insolation rates (approx.</w:t>
      </w:r>
      <w:r w:rsidR="000A442F" w:rsidRPr="005F15D3">
        <w:rPr>
          <w:rFonts w:asciiTheme="majorBidi" w:eastAsiaTheme="majorEastAsia" w:hAnsiTheme="majorBidi" w:cstheme="majorBidi"/>
        </w:rPr>
        <w:t xml:space="preserve"> 6 KJ/m2</w:t>
      </w:r>
      <w:r w:rsidR="000A442F" w:rsidRPr="005F15D3">
        <w:rPr>
          <w:rFonts w:asciiTheme="majorBidi" w:hAnsiTheme="majorBidi" w:cstheme="majorBidi"/>
        </w:rPr>
        <w:t xml:space="preserve">) and an annual average of 9.3–10.6 hours of sunshine per day result from a nearly year-round clear sky. This intense sunlight penetrates the water, ensuring the transparency and warmth of the Red Sea, which is vital for diving and </w:t>
      </w:r>
      <w:proofErr w:type="spellStart"/>
      <w:r w:rsidR="000A442F" w:rsidRPr="005F15D3">
        <w:rPr>
          <w:rFonts w:asciiTheme="majorBidi" w:hAnsiTheme="majorBidi" w:cstheme="majorBidi"/>
        </w:rPr>
        <w:t>snorkelling</w:t>
      </w:r>
      <w:proofErr w:type="spellEnd"/>
      <w:r w:rsidR="000A442F" w:rsidRPr="005F15D3">
        <w:rPr>
          <w:rFonts w:asciiTheme="majorBidi" w:hAnsiTheme="majorBidi" w:cstheme="majorBidi"/>
        </w:rPr>
        <w:t>. The clear atmosphere also enhances the appeal and safety of safari tourism in the mountainous interior.</w:t>
      </w:r>
    </w:p>
    <w:p w14:paraId="44374240" w14:textId="77777777" w:rsidR="000A442F" w:rsidRPr="005F15D3" w:rsidRDefault="00F47DA5" w:rsidP="00460AFF">
      <w:pPr>
        <w:pStyle w:val="NormalWeb"/>
        <w:spacing w:before="0" w:beforeAutospacing="0" w:after="120" w:afterAutospacing="0" w:line="276" w:lineRule="auto"/>
        <w:ind w:left="360"/>
        <w:jc w:val="both"/>
        <w:rPr>
          <w:rFonts w:asciiTheme="majorBidi" w:hAnsiTheme="majorBidi" w:cstheme="majorBidi"/>
        </w:rPr>
      </w:pPr>
      <w:r w:rsidRPr="005F15D3">
        <w:rPr>
          <w:rFonts w:asciiTheme="majorBidi" w:hAnsiTheme="majorBidi" w:cstheme="majorBidi"/>
        </w:rPr>
        <w:t xml:space="preserve">- </w:t>
      </w:r>
      <w:r w:rsidR="000A442F" w:rsidRPr="005F15D3">
        <w:rPr>
          <w:rFonts w:asciiTheme="majorBidi" w:hAnsiTheme="majorBidi" w:cstheme="majorBidi"/>
        </w:rPr>
        <w:t xml:space="preserve">Temperature as a core attraction: The annual average temperature of </w:t>
      </w:r>
      <w:r w:rsidR="000A442F" w:rsidRPr="005F15D3">
        <w:rPr>
          <w:rFonts w:asciiTheme="majorBidi" w:eastAsiaTheme="majorEastAsia" w:hAnsiTheme="majorBidi" w:cstheme="majorBidi"/>
        </w:rPr>
        <w:t>21.4</w:t>
      </w:r>
      <w:r w:rsidR="000A442F" w:rsidRPr="005F15D3">
        <w:rPr>
          <w:rFonts w:asciiTheme="majorBidi" w:hAnsiTheme="majorBidi" w:cstheme="majorBidi"/>
        </w:rPr>
        <w:t xml:space="preserve">° </w:t>
      </w:r>
      <w:r w:rsidR="000A442F" w:rsidRPr="005F15D3">
        <w:rPr>
          <w:rFonts w:asciiTheme="majorBidi" w:eastAsiaTheme="majorEastAsia" w:hAnsiTheme="majorBidi" w:cstheme="majorBidi"/>
        </w:rPr>
        <w:t>C</w:t>
      </w:r>
      <w:r w:rsidR="000A442F" w:rsidRPr="005F15D3">
        <w:rPr>
          <w:rFonts w:asciiTheme="majorBidi" w:hAnsiTheme="majorBidi" w:cstheme="majorBidi"/>
        </w:rPr>
        <w:t xml:space="preserve"> falls well within the comfort zone (</w:t>
      </w:r>
      <w:r w:rsidR="000A442F" w:rsidRPr="005F15D3">
        <w:rPr>
          <w:rFonts w:asciiTheme="majorBidi" w:eastAsiaTheme="majorEastAsia" w:hAnsiTheme="majorBidi" w:cstheme="majorBidi"/>
        </w:rPr>
        <w:t>18</w:t>
      </w:r>
      <w:r w:rsidR="000A442F" w:rsidRPr="005F15D3">
        <w:rPr>
          <w:rFonts w:asciiTheme="majorBidi" w:hAnsiTheme="majorBidi" w:cstheme="majorBidi"/>
        </w:rPr>
        <w:t xml:space="preserve">° </w:t>
      </w:r>
      <w:r w:rsidR="000A442F" w:rsidRPr="005F15D3">
        <w:rPr>
          <w:rFonts w:asciiTheme="majorBidi" w:eastAsiaTheme="majorEastAsia" w:hAnsiTheme="majorBidi" w:cstheme="majorBidi"/>
        </w:rPr>
        <w:t>C</w:t>
      </w:r>
      <w:r w:rsidR="000A442F" w:rsidRPr="005F15D3">
        <w:rPr>
          <w:rFonts w:asciiTheme="majorBidi" w:hAnsiTheme="majorBidi" w:cstheme="majorBidi"/>
        </w:rPr>
        <w:t xml:space="preserve"> </w:t>
      </w:r>
      <w:r w:rsidR="000A442F" w:rsidRPr="005F15D3">
        <w:rPr>
          <w:rFonts w:asciiTheme="majorBidi" w:eastAsiaTheme="majorEastAsia" w:hAnsiTheme="majorBidi" w:cstheme="majorBidi"/>
        </w:rPr>
        <w:t>-25</w:t>
      </w:r>
      <w:r w:rsidR="000A442F" w:rsidRPr="005F15D3">
        <w:rPr>
          <w:rFonts w:asciiTheme="majorBidi" w:hAnsiTheme="majorBidi" w:cstheme="majorBidi"/>
        </w:rPr>
        <w:t xml:space="preserve">° </w:t>
      </w:r>
      <w:r w:rsidR="000A442F" w:rsidRPr="005F15D3">
        <w:rPr>
          <w:rFonts w:asciiTheme="majorBidi" w:eastAsiaTheme="majorEastAsia" w:hAnsiTheme="majorBidi" w:cstheme="majorBidi"/>
        </w:rPr>
        <w:t>C</w:t>
      </w:r>
      <w:r w:rsidR="000A442F" w:rsidRPr="005F15D3">
        <w:rPr>
          <w:rFonts w:asciiTheme="majorBidi" w:hAnsiTheme="majorBidi" w:cstheme="majorBidi"/>
        </w:rPr>
        <w:t xml:space="preserve">). Coastal cities like Sharm El-Sheikh maintain a warm climate year-round (low of </w:t>
      </w:r>
      <w:r w:rsidR="000A442F" w:rsidRPr="005F15D3">
        <w:rPr>
          <w:rFonts w:asciiTheme="majorBidi" w:eastAsiaTheme="majorEastAsia" w:hAnsiTheme="majorBidi" w:cstheme="majorBidi"/>
        </w:rPr>
        <w:t>17.8</w:t>
      </w:r>
      <w:r w:rsidR="000A442F" w:rsidRPr="005F15D3">
        <w:rPr>
          <w:rFonts w:asciiTheme="majorBidi" w:hAnsiTheme="majorBidi" w:cstheme="majorBidi"/>
        </w:rPr>
        <w:t xml:space="preserve">° </w:t>
      </w:r>
      <w:r w:rsidR="000A442F" w:rsidRPr="005F15D3">
        <w:rPr>
          <w:rFonts w:asciiTheme="majorBidi" w:eastAsiaTheme="majorEastAsia" w:hAnsiTheme="majorBidi" w:cstheme="majorBidi"/>
        </w:rPr>
        <w:t>C</w:t>
      </w:r>
      <w:r w:rsidR="000A442F" w:rsidRPr="005F15D3">
        <w:rPr>
          <w:rFonts w:asciiTheme="majorBidi" w:hAnsiTheme="majorBidi" w:cstheme="majorBidi"/>
        </w:rPr>
        <w:t xml:space="preserve">), making them a key destination, especially for European tourists seeking warm winter sun.  </w:t>
      </w:r>
    </w:p>
    <w:p w14:paraId="16F57C07" w14:textId="77777777" w:rsidR="000A442F" w:rsidRPr="005F15D3" w:rsidRDefault="00F47DA5" w:rsidP="00460AFF">
      <w:pPr>
        <w:pStyle w:val="NormalWeb"/>
        <w:spacing w:before="0" w:beforeAutospacing="0" w:after="120" w:afterAutospacing="0" w:line="276" w:lineRule="auto"/>
        <w:ind w:left="360"/>
        <w:jc w:val="both"/>
        <w:rPr>
          <w:rFonts w:asciiTheme="majorBidi" w:hAnsiTheme="majorBidi" w:cstheme="majorBidi"/>
        </w:rPr>
      </w:pPr>
      <w:r w:rsidRPr="005F15D3">
        <w:rPr>
          <w:rFonts w:asciiTheme="majorBidi" w:hAnsiTheme="majorBidi" w:cstheme="majorBidi"/>
        </w:rPr>
        <w:t xml:space="preserve">- </w:t>
      </w:r>
      <w:r w:rsidR="000A442F" w:rsidRPr="005F15D3">
        <w:rPr>
          <w:rFonts w:asciiTheme="majorBidi" w:hAnsiTheme="majorBidi" w:cstheme="majorBidi"/>
        </w:rPr>
        <w:t>The Relative humidity (RH) regime in the South Sinai Governorate is characterized by significant spatial and temporal variability, yet its annual average of 48.4% confirms the region's suitability for tourist activities; this aligns with the physiological climate rule for hot desert zones which states that states that recording RH at 50% or less in the hot desert climate zones gives the tourist a feeling of comfort.</w:t>
      </w:r>
    </w:p>
    <w:p w14:paraId="62A3C5CC" w14:textId="77777777" w:rsidR="000A442F" w:rsidRPr="005F15D3" w:rsidRDefault="00F47DA5" w:rsidP="00460AFF">
      <w:pPr>
        <w:pStyle w:val="NormalWeb"/>
        <w:spacing w:before="0" w:beforeAutospacing="0" w:after="120" w:afterAutospacing="0" w:line="276" w:lineRule="auto"/>
        <w:ind w:left="720"/>
        <w:jc w:val="both"/>
        <w:rPr>
          <w:rFonts w:asciiTheme="majorBidi" w:hAnsiTheme="majorBidi" w:cstheme="majorBidi"/>
        </w:rPr>
      </w:pPr>
      <w:r w:rsidRPr="005F15D3">
        <w:rPr>
          <w:rFonts w:asciiTheme="majorBidi" w:hAnsiTheme="majorBidi" w:cstheme="majorBidi"/>
        </w:rPr>
        <w:lastRenderedPageBreak/>
        <w:t xml:space="preserve">- </w:t>
      </w:r>
      <w:r w:rsidR="000A442F" w:rsidRPr="005F15D3">
        <w:rPr>
          <w:rFonts w:asciiTheme="majorBidi" w:hAnsiTheme="majorBidi" w:cstheme="majorBidi"/>
        </w:rPr>
        <w:t xml:space="preserve">High </w:t>
      </w:r>
      <w:r w:rsidR="003E56B7" w:rsidRPr="005F15D3">
        <w:rPr>
          <w:rFonts w:asciiTheme="majorBidi" w:hAnsiTheme="majorBidi" w:cstheme="majorBidi"/>
        </w:rPr>
        <w:t>c</w:t>
      </w:r>
      <w:r w:rsidR="000A442F" w:rsidRPr="005F15D3">
        <w:rPr>
          <w:rFonts w:asciiTheme="majorBidi" w:hAnsiTheme="majorBidi" w:cstheme="majorBidi"/>
        </w:rPr>
        <w:t xml:space="preserve">omfort: Bioclimatic models (Thom and </w:t>
      </w:r>
      <w:proofErr w:type="spellStart"/>
      <w:r w:rsidR="000A442F" w:rsidRPr="005F15D3">
        <w:rPr>
          <w:rFonts w:asciiTheme="majorBidi" w:hAnsiTheme="majorBidi" w:cstheme="majorBidi"/>
        </w:rPr>
        <w:t>Pesi</w:t>
      </w:r>
      <w:proofErr w:type="spellEnd"/>
      <w:r w:rsidR="000A442F" w:rsidRPr="005F15D3">
        <w:rPr>
          <w:rFonts w:asciiTheme="majorBidi" w:hAnsiTheme="majorBidi" w:cstheme="majorBidi"/>
        </w:rPr>
        <w:t xml:space="preserve">) confirm that the climate is largely within acceptable comfort ranges, primarily due to the region's low relative humidity (annual average </w:t>
      </w:r>
      <w:proofErr w:type="spellStart"/>
      <w:r w:rsidR="000A442F" w:rsidRPr="005F15D3">
        <w:rPr>
          <w:rFonts w:asciiTheme="majorBidi" w:eastAsiaTheme="majorEastAsia" w:hAnsiTheme="majorBidi" w:cstheme="majorBidi"/>
        </w:rPr>
        <w:t>approx</w:t>
      </w:r>
      <w:proofErr w:type="spellEnd"/>
      <w:r w:rsidR="000A442F" w:rsidRPr="005F15D3">
        <w:rPr>
          <w:rFonts w:asciiTheme="majorBidi" w:eastAsiaTheme="majorEastAsia" w:hAnsiTheme="majorBidi" w:cstheme="majorBidi"/>
        </w:rPr>
        <w:t xml:space="preserve"> 48.4\%</w:t>
      </w:r>
      <w:r w:rsidR="000A442F" w:rsidRPr="005F15D3">
        <w:rPr>
          <w:rFonts w:asciiTheme="majorBidi" w:hAnsiTheme="majorBidi" w:cstheme="majorBidi"/>
        </w:rPr>
        <w:t>). The low humidity is crucial, as it mitigates the discomfort typically associated with high temperatures in desert environments.</w:t>
      </w:r>
    </w:p>
    <w:p w14:paraId="3FE81839" w14:textId="77777777" w:rsidR="000A442F" w:rsidRPr="005F15D3" w:rsidRDefault="00F47DA5" w:rsidP="00460AFF">
      <w:pPr>
        <w:pStyle w:val="NormalWeb"/>
        <w:spacing w:before="0" w:beforeAutospacing="0" w:after="120" w:afterAutospacing="0" w:line="276" w:lineRule="auto"/>
        <w:ind w:left="720"/>
        <w:jc w:val="both"/>
        <w:rPr>
          <w:rFonts w:asciiTheme="majorBidi" w:hAnsiTheme="majorBidi" w:cstheme="majorBidi"/>
        </w:rPr>
      </w:pPr>
      <w:r w:rsidRPr="005F15D3">
        <w:rPr>
          <w:rFonts w:asciiTheme="majorBidi" w:hAnsiTheme="majorBidi" w:cstheme="majorBidi"/>
        </w:rPr>
        <w:t xml:space="preserve">- </w:t>
      </w:r>
      <w:r w:rsidR="000A442F" w:rsidRPr="005F15D3">
        <w:rPr>
          <w:rFonts w:asciiTheme="majorBidi" w:hAnsiTheme="majorBidi" w:cstheme="majorBidi"/>
        </w:rPr>
        <w:t xml:space="preserve">Spatial </w:t>
      </w:r>
      <w:r w:rsidR="003E56B7" w:rsidRPr="005F15D3">
        <w:rPr>
          <w:rFonts w:asciiTheme="majorBidi" w:hAnsiTheme="majorBidi" w:cstheme="majorBidi"/>
        </w:rPr>
        <w:t>c</w:t>
      </w:r>
      <w:r w:rsidR="000A442F" w:rsidRPr="005F15D3">
        <w:rPr>
          <w:rFonts w:asciiTheme="majorBidi" w:hAnsiTheme="majorBidi" w:cstheme="majorBidi"/>
        </w:rPr>
        <w:t xml:space="preserve">omfort </w:t>
      </w:r>
      <w:r w:rsidR="003E56B7" w:rsidRPr="005F15D3">
        <w:rPr>
          <w:rFonts w:asciiTheme="majorBidi" w:hAnsiTheme="majorBidi" w:cstheme="majorBidi"/>
        </w:rPr>
        <w:t>v</w:t>
      </w:r>
      <w:r w:rsidR="000A442F" w:rsidRPr="005F15D3">
        <w:rPr>
          <w:rFonts w:asciiTheme="majorBidi" w:hAnsiTheme="majorBidi" w:cstheme="majorBidi"/>
        </w:rPr>
        <w:t xml:space="preserve">ariation (Thom Model): Comfort levels range from </w:t>
      </w:r>
      <w:r w:rsidR="003E56B7" w:rsidRPr="005F15D3">
        <w:rPr>
          <w:rFonts w:asciiTheme="majorBidi" w:hAnsiTheme="majorBidi" w:cstheme="majorBidi"/>
        </w:rPr>
        <w:t>comfortable</w:t>
      </w:r>
      <w:r w:rsidR="000A442F" w:rsidRPr="005F15D3">
        <w:rPr>
          <w:rFonts w:asciiTheme="majorBidi" w:hAnsiTheme="majorBidi" w:cstheme="majorBidi"/>
        </w:rPr>
        <w:t xml:space="preserve"> (C) in high-altitude (Saint Catherine: DI 16.4) and northern coastal areas (Taba: DI 18.0) to </w:t>
      </w:r>
      <w:r w:rsidR="003E56B7" w:rsidRPr="005F15D3">
        <w:rPr>
          <w:rFonts w:asciiTheme="majorBidi" w:hAnsiTheme="majorBidi" w:cstheme="majorBidi"/>
        </w:rPr>
        <w:t>partially c</w:t>
      </w:r>
      <w:r w:rsidR="000A442F" w:rsidRPr="005F15D3">
        <w:rPr>
          <w:rFonts w:asciiTheme="majorBidi" w:hAnsiTheme="majorBidi" w:cstheme="majorBidi"/>
        </w:rPr>
        <w:t>omfortable (PC) in warmer southern coastal hubs (Sharm El-Sheikh: DI 23.5).</w:t>
      </w:r>
    </w:p>
    <w:p w14:paraId="45F618E0" w14:textId="77777777" w:rsidR="000A442F" w:rsidRPr="005F15D3" w:rsidRDefault="00F47DA5" w:rsidP="00460AFF">
      <w:pPr>
        <w:pStyle w:val="NormalWeb"/>
        <w:spacing w:before="0" w:beforeAutospacing="0" w:after="120" w:afterAutospacing="0" w:line="276" w:lineRule="auto"/>
        <w:ind w:left="720"/>
        <w:jc w:val="both"/>
        <w:rPr>
          <w:rFonts w:asciiTheme="majorBidi" w:hAnsiTheme="majorBidi" w:cstheme="majorBidi"/>
        </w:rPr>
      </w:pPr>
      <w:r w:rsidRPr="005F15D3">
        <w:rPr>
          <w:rFonts w:asciiTheme="majorBidi" w:hAnsiTheme="majorBidi" w:cstheme="majorBidi"/>
        </w:rPr>
        <w:t xml:space="preserve">- </w:t>
      </w:r>
      <w:r w:rsidR="000A442F" w:rsidRPr="005F15D3">
        <w:rPr>
          <w:rFonts w:asciiTheme="majorBidi" w:hAnsiTheme="majorBidi" w:cstheme="majorBidi"/>
        </w:rPr>
        <w:t xml:space="preserve">Seasonality is </w:t>
      </w:r>
      <w:r w:rsidR="003E56B7" w:rsidRPr="005F15D3">
        <w:rPr>
          <w:rFonts w:asciiTheme="majorBidi" w:hAnsiTheme="majorBidi" w:cstheme="majorBidi"/>
        </w:rPr>
        <w:t>t</w:t>
      </w:r>
      <w:r w:rsidR="000A442F" w:rsidRPr="005F15D3">
        <w:rPr>
          <w:rFonts w:asciiTheme="majorBidi" w:hAnsiTheme="majorBidi" w:cstheme="majorBidi"/>
        </w:rPr>
        <w:t xml:space="preserve">emperature and </w:t>
      </w:r>
      <w:r w:rsidR="003E56B7" w:rsidRPr="005F15D3">
        <w:rPr>
          <w:rFonts w:asciiTheme="majorBidi" w:hAnsiTheme="majorBidi" w:cstheme="majorBidi"/>
        </w:rPr>
        <w:t>h</w:t>
      </w:r>
      <w:r w:rsidR="000A442F" w:rsidRPr="005F15D3">
        <w:rPr>
          <w:rFonts w:asciiTheme="majorBidi" w:hAnsiTheme="majorBidi" w:cstheme="majorBidi"/>
        </w:rPr>
        <w:t>umidity-</w:t>
      </w:r>
      <w:r w:rsidR="003E56B7" w:rsidRPr="005F15D3">
        <w:rPr>
          <w:rFonts w:asciiTheme="majorBidi" w:hAnsiTheme="majorBidi" w:cstheme="majorBidi"/>
        </w:rPr>
        <w:t>d</w:t>
      </w:r>
      <w:r w:rsidR="000A442F" w:rsidRPr="005F15D3">
        <w:rPr>
          <w:rFonts w:asciiTheme="majorBidi" w:hAnsiTheme="majorBidi" w:cstheme="majorBidi"/>
        </w:rPr>
        <w:t>riven (</w:t>
      </w:r>
      <w:proofErr w:type="spellStart"/>
      <w:r w:rsidR="000A442F" w:rsidRPr="005F15D3">
        <w:rPr>
          <w:rFonts w:asciiTheme="majorBidi" w:hAnsiTheme="majorBidi" w:cstheme="majorBidi"/>
        </w:rPr>
        <w:t>Pesi</w:t>
      </w:r>
      <w:proofErr w:type="spellEnd"/>
      <w:r w:rsidR="000A442F" w:rsidRPr="005F15D3">
        <w:rPr>
          <w:rFonts w:asciiTheme="majorBidi" w:hAnsiTheme="majorBidi" w:cstheme="majorBidi"/>
        </w:rPr>
        <w:t xml:space="preserve"> Model): The year is divided into three distinct comfort periods, directly shaping tourist seasonality:</w:t>
      </w:r>
    </w:p>
    <w:p w14:paraId="0D251EDF" w14:textId="77777777" w:rsidR="000A442F" w:rsidRPr="005F15D3" w:rsidRDefault="00F47DA5" w:rsidP="00460AFF">
      <w:pPr>
        <w:pStyle w:val="NormalWeb"/>
        <w:spacing w:before="0" w:beforeAutospacing="0" w:after="120" w:afterAutospacing="0" w:line="276" w:lineRule="auto"/>
        <w:ind w:left="1008"/>
        <w:jc w:val="both"/>
        <w:rPr>
          <w:rFonts w:asciiTheme="majorBidi" w:hAnsiTheme="majorBidi" w:cstheme="majorBidi"/>
        </w:rPr>
      </w:pPr>
      <w:r w:rsidRPr="005F15D3">
        <w:rPr>
          <w:rFonts w:asciiTheme="majorBidi" w:hAnsiTheme="majorBidi" w:cstheme="majorBidi"/>
        </w:rPr>
        <w:t xml:space="preserve">- </w:t>
      </w:r>
      <w:r w:rsidR="000A442F" w:rsidRPr="005F15D3">
        <w:rPr>
          <w:rFonts w:asciiTheme="majorBidi" w:hAnsiTheme="majorBidi" w:cstheme="majorBidi"/>
        </w:rPr>
        <w:t xml:space="preserve">Optimal </w:t>
      </w:r>
      <w:r w:rsidR="003E56B7" w:rsidRPr="005F15D3">
        <w:rPr>
          <w:rFonts w:asciiTheme="majorBidi" w:hAnsiTheme="majorBidi" w:cstheme="majorBidi"/>
        </w:rPr>
        <w:t>c</w:t>
      </w:r>
      <w:r w:rsidR="000A442F" w:rsidRPr="005F15D3">
        <w:rPr>
          <w:rFonts w:asciiTheme="majorBidi" w:hAnsiTheme="majorBidi" w:cstheme="majorBidi"/>
        </w:rPr>
        <w:t>omfort (C): May through October (6 months), ideal for mass tourism. Despite high temperatures, low humidity keeps the comfort index in the optimal range.</w:t>
      </w:r>
    </w:p>
    <w:p w14:paraId="641E0E27" w14:textId="77777777" w:rsidR="000A442F" w:rsidRPr="005F15D3" w:rsidRDefault="00F47DA5" w:rsidP="00460AFF">
      <w:pPr>
        <w:pStyle w:val="NormalWeb"/>
        <w:spacing w:before="0" w:beforeAutospacing="0" w:after="120" w:afterAutospacing="0" w:line="276" w:lineRule="auto"/>
        <w:ind w:left="1008"/>
        <w:jc w:val="both"/>
        <w:rPr>
          <w:rFonts w:asciiTheme="majorBidi" w:hAnsiTheme="majorBidi" w:cstheme="majorBidi"/>
        </w:rPr>
      </w:pPr>
      <w:r w:rsidRPr="005F15D3">
        <w:rPr>
          <w:rFonts w:asciiTheme="majorBidi" w:hAnsiTheme="majorBidi" w:cstheme="majorBidi"/>
        </w:rPr>
        <w:t xml:space="preserve">- </w:t>
      </w:r>
      <w:r w:rsidR="000A442F" w:rsidRPr="005F15D3">
        <w:rPr>
          <w:rFonts w:asciiTheme="majorBidi" w:hAnsiTheme="majorBidi" w:cstheme="majorBidi"/>
        </w:rPr>
        <w:t xml:space="preserve">Partial </w:t>
      </w:r>
      <w:r w:rsidR="003E56B7" w:rsidRPr="005F15D3">
        <w:rPr>
          <w:rFonts w:asciiTheme="majorBidi" w:hAnsiTheme="majorBidi" w:cstheme="majorBidi"/>
        </w:rPr>
        <w:t>c</w:t>
      </w:r>
      <w:r w:rsidR="000A442F" w:rsidRPr="005F15D3">
        <w:rPr>
          <w:rFonts w:asciiTheme="majorBidi" w:hAnsiTheme="majorBidi" w:cstheme="majorBidi"/>
        </w:rPr>
        <w:t xml:space="preserve">old </w:t>
      </w:r>
      <w:r w:rsidR="003E56B7" w:rsidRPr="005F15D3">
        <w:rPr>
          <w:rFonts w:asciiTheme="majorBidi" w:hAnsiTheme="majorBidi" w:cstheme="majorBidi"/>
        </w:rPr>
        <w:t>c</w:t>
      </w:r>
      <w:r w:rsidR="000A442F" w:rsidRPr="005F15D3">
        <w:rPr>
          <w:rFonts w:asciiTheme="majorBidi" w:hAnsiTheme="majorBidi" w:cstheme="majorBidi"/>
        </w:rPr>
        <w:t>omfort (PCC): March, April, and November (3 months), suitable transitional months.</w:t>
      </w:r>
    </w:p>
    <w:p w14:paraId="7011D065" w14:textId="77777777" w:rsidR="000A442F" w:rsidRPr="005F15D3" w:rsidRDefault="00064F04" w:rsidP="00460AFF">
      <w:pPr>
        <w:pStyle w:val="NormalWeb"/>
        <w:spacing w:before="0" w:beforeAutospacing="0" w:after="120" w:afterAutospacing="0" w:line="276" w:lineRule="auto"/>
        <w:ind w:left="1008"/>
        <w:jc w:val="both"/>
        <w:rPr>
          <w:rFonts w:asciiTheme="majorBidi" w:hAnsiTheme="majorBidi" w:cstheme="majorBidi"/>
        </w:rPr>
      </w:pPr>
      <w:r w:rsidRPr="005F15D3">
        <w:rPr>
          <w:rFonts w:asciiTheme="majorBidi" w:hAnsiTheme="majorBidi" w:cstheme="majorBidi"/>
        </w:rPr>
        <w:t xml:space="preserve">- </w:t>
      </w:r>
      <w:r w:rsidR="003E56B7" w:rsidRPr="005F15D3">
        <w:rPr>
          <w:rFonts w:asciiTheme="majorBidi" w:hAnsiTheme="majorBidi" w:cstheme="majorBidi"/>
        </w:rPr>
        <w:t>Cold d</w:t>
      </w:r>
      <w:r w:rsidR="000A442F" w:rsidRPr="005F15D3">
        <w:rPr>
          <w:rFonts w:asciiTheme="majorBidi" w:hAnsiTheme="majorBidi" w:cstheme="majorBidi"/>
        </w:rPr>
        <w:t>iscomfort (CDC): January, February, and December (3 months). This period, while the 'coldest,' is still attractive to cold-averse tourists, but requires appropriate planning for outdoor activities.</w:t>
      </w:r>
    </w:p>
    <w:p w14:paraId="7674B7E9" w14:textId="77777777" w:rsidR="000A442F" w:rsidRPr="005F15D3" w:rsidRDefault="000A442F" w:rsidP="00460AFF">
      <w:pPr>
        <w:pStyle w:val="NormalWeb"/>
        <w:spacing w:before="0" w:beforeAutospacing="0" w:after="120" w:afterAutospacing="0" w:line="276" w:lineRule="auto"/>
        <w:jc w:val="both"/>
        <w:rPr>
          <w:rFonts w:asciiTheme="majorBidi" w:hAnsiTheme="majorBidi" w:cstheme="majorBidi"/>
          <w:lang w:bidi="ar-EG"/>
        </w:rPr>
      </w:pPr>
      <w:r w:rsidRPr="005F15D3">
        <w:rPr>
          <w:rFonts w:asciiTheme="majorBidi" w:hAnsiTheme="majorBidi" w:cstheme="majorBidi"/>
          <w:lang w:bidi="ar-EG"/>
        </w:rPr>
        <w:t>Finally, the climate of South Sinai is overwhelmingly a positive and powerful tourism resource, validating the core hypothesis that climatic elements significantly influence the tourism sector. The combination of moderate wind, intense insolation, warm temperatures, and low relative humidity creates a nearly year-round environment highly conducive to diverse tourism, ensuring high levels of thermal comfort, especially along the coasts. The mild, dry winter and comfortable summer (due to dry heat) mitigate the extreme seasonality seen in many other destinations. Strategic tourism planning should leverage the spatial variations in comfort (e.g., promoting Saint Catherine for high-exertion activity and the coasts for year-round sun and sea) and target the extended six-month Optimal Comfort Period as the peak international draw.</w:t>
      </w:r>
    </w:p>
    <w:p w14:paraId="76C06458" w14:textId="77777777" w:rsidR="00DA2D2F" w:rsidRPr="005F15D3" w:rsidRDefault="00DA2D2F" w:rsidP="00B90DDD">
      <w:pPr>
        <w:pStyle w:val="NormalWeb"/>
        <w:spacing w:before="160" w:beforeAutospacing="0" w:after="80" w:afterAutospacing="0" w:line="276" w:lineRule="auto"/>
        <w:jc w:val="both"/>
        <w:rPr>
          <w:rFonts w:asciiTheme="majorBidi" w:hAnsiTheme="majorBidi" w:cstheme="majorBidi"/>
          <w:lang w:bidi="ar-EG"/>
        </w:rPr>
      </w:pPr>
      <w:r w:rsidRPr="005F15D3">
        <w:rPr>
          <w:rFonts w:asciiTheme="majorBidi" w:hAnsiTheme="majorBidi" w:cstheme="majorBidi"/>
          <w:b/>
          <w:bCs/>
          <w:lang w:bidi="ar-EG"/>
        </w:rPr>
        <w:t>References</w:t>
      </w:r>
    </w:p>
    <w:p w14:paraId="4DD68A2A" w14:textId="77777777" w:rsidR="00DA2D2F" w:rsidRPr="005F15D3" w:rsidRDefault="00DA2D2F" w:rsidP="00460AFF">
      <w:pPr>
        <w:pStyle w:val="NormalWeb"/>
        <w:numPr>
          <w:ilvl w:val="0"/>
          <w:numId w:val="18"/>
        </w:numPr>
        <w:spacing w:before="0" w:beforeAutospacing="0" w:after="40" w:afterAutospacing="0" w:line="276" w:lineRule="auto"/>
        <w:jc w:val="both"/>
        <w:rPr>
          <w:rFonts w:asciiTheme="majorBidi" w:hAnsiTheme="majorBidi" w:cstheme="majorBidi"/>
          <w:lang w:bidi="ar-EG"/>
        </w:rPr>
      </w:pPr>
      <w:r w:rsidRPr="005F15D3">
        <w:rPr>
          <w:rFonts w:asciiTheme="majorBidi" w:hAnsiTheme="majorBidi" w:cstheme="majorBidi"/>
          <w:b/>
          <w:bCs/>
        </w:rPr>
        <w:t>Al-Deeb, H.</w:t>
      </w:r>
      <w:r w:rsidRPr="005F15D3">
        <w:rPr>
          <w:rFonts w:asciiTheme="majorBidi" w:hAnsiTheme="majorBidi" w:cstheme="majorBidi"/>
        </w:rPr>
        <w:t xml:space="preserve"> (1985). </w:t>
      </w:r>
      <w:r w:rsidRPr="005F15D3">
        <w:rPr>
          <w:rFonts w:asciiTheme="majorBidi" w:hAnsiTheme="majorBidi" w:cstheme="majorBidi"/>
          <w:i/>
          <w:iCs/>
        </w:rPr>
        <w:t>Egyptian coastal resorts: A study in tourism geography</w:t>
      </w:r>
      <w:r w:rsidRPr="005F15D3">
        <w:rPr>
          <w:rFonts w:asciiTheme="majorBidi" w:hAnsiTheme="majorBidi" w:cstheme="majorBidi"/>
        </w:rPr>
        <w:t xml:space="preserve"> (Doctoral dissertation). Cairo University, Faculty of Arts. (In Arabic).</w:t>
      </w:r>
    </w:p>
    <w:p w14:paraId="3A7F5363" w14:textId="77777777" w:rsidR="00DA2D2F" w:rsidRPr="005F15D3" w:rsidRDefault="00DA2D2F" w:rsidP="00460AFF">
      <w:pPr>
        <w:pStyle w:val="NormalWeb"/>
        <w:numPr>
          <w:ilvl w:val="0"/>
          <w:numId w:val="18"/>
        </w:numPr>
        <w:spacing w:before="0" w:beforeAutospacing="0" w:after="40" w:afterAutospacing="0" w:line="276" w:lineRule="auto"/>
        <w:jc w:val="both"/>
        <w:rPr>
          <w:rFonts w:asciiTheme="majorBidi" w:hAnsiTheme="majorBidi" w:cstheme="majorBidi"/>
          <w:lang w:bidi="ar-EG"/>
        </w:rPr>
      </w:pPr>
      <w:r w:rsidRPr="005F15D3">
        <w:rPr>
          <w:rFonts w:asciiTheme="majorBidi" w:hAnsiTheme="majorBidi" w:cstheme="majorBidi"/>
          <w:b/>
          <w:bCs/>
        </w:rPr>
        <w:t>Al-</w:t>
      </w:r>
      <w:proofErr w:type="spellStart"/>
      <w:r w:rsidRPr="005F15D3">
        <w:rPr>
          <w:rFonts w:asciiTheme="majorBidi" w:hAnsiTheme="majorBidi" w:cstheme="majorBidi"/>
          <w:b/>
          <w:bCs/>
        </w:rPr>
        <w:t>Ghamaz</w:t>
      </w:r>
      <w:proofErr w:type="spellEnd"/>
      <w:r w:rsidRPr="005F15D3">
        <w:rPr>
          <w:rFonts w:asciiTheme="majorBidi" w:hAnsiTheme="majorBidi" w:cstheme="majorBidi"/>
          <w:b/>
          <w:bCs/>
        </w:rPr>
        <w:t>, M.</w:t>
      </w:r>
      <w:r w:rsidRPr="005F15D3">
        <w:rPr>
          <w:rFonts w:asciiTheme="majorBidi" w:hAnsiTheme="majorBidi" w:cstheme="majorBidi"/>
        </w:rPr>
        <w:t xml:space="preserve"> (1997). Tourism development in North Sinai Governorate: A study in tourism geography. </w:t>
      </w:r>
      <w:r w:rsidRPr="005F15D3">
        <w:rPr>
          <w:rFonts w:asciiTheme="majorBidi" w:hAnsiTheme="majorBidi" w:cstheme="majorBidi"/>
          <w:i/>
          <w:iCs/>
        </w:rPr>
        <w:t>Arab Geographical Journal</w:t>
      </w:r>
      <w:r w:rsidRPr="005F15D3">
        <w:rPr>
          <w:rFonts w:asciiTheme="majorBidi" w:hAnsiTheme="majorBidi" w:cstheme="majorBidi"/>
        </w:rPr>
        <w:t xml:space="preserve">, </w:t>
      </w:r>
      <w:r w:rsidRPr="005F15D3">
        <w:rPr>
          <w:rFonts w:asciiTheme="majorBidi" w:hAnsiTheme="majorBidi" w:cstheme="majorBidi"/>
          <w:i/>
          <w:iCs/>
        </w:rPr>
        <w:t>30</w:t>
      </w:r>
      <w:r w:rsidRPr="005F15D3">
        <w:rPr>
          <w:rFonts w:asciiTheme="majorBidi" w:hAnsiTheme="majorBidi" w:cstheme="majorBidi"/>
        </w:rPr>
        <w:t>(2), 199–258. (In Arabic).</w:t>
      </w:r>
    </w:p>
    <w:p w14:paraId="41AEC68B" w14:textId="77777777" w:rsidR="00DA2D2F" w:rsidRPr="005F15D3" w:rsidRDefault="00DA2D2F" w:rsidP="00460AFF">
      <w:pPr>
        <w:pStyle w:val="NormalWeb"/>
        <w:numPr>
          <w:ilvl w:val="0"/>
          <w:numId w:val="18"/>
        </w:numPr>
        <w:spacing w:before="0" w:beforeAutospacing="0" w:after="40" w:afterAutospacing="0" w:line="276" w:lineRule="auto"/>
        <w:jc w:val="both"/>
        <w:rPr>
          <w:rFonts w:asciiTheme="majorBidi" w:hAnsiTheme="majorBidi" w:cstheme="majorBidi"/>
          <w:lang w:bidi="ar-EG"/>
        </w:rPr>
      </w:pPr>
      <w:proofErr w:type="spellStart"/>
      <w:r w:rsidRPr="005F15D3">
        <w:rPr>
          <w:rFonts w:asciiTheme="majorBidi" w:hAnsiTheme="majorBidi" w:cstheme="majorBidi"/>
          <w:b/>
          <w:bCs/>
        </w:rPr>
        <w:t>Allaby</w:t>
      </w:r>
      <w:proofErr w:type="spellEnd"/>
      <w:r w:rsidRPr="005F15D3">
        <w:rPr>
          <w:rFonts w:asciiTheme="majorBidi" w:hAnsiTheme="majorBidi" w:cstheme="majorBidi"/>
          <w:b/>
          <w:bCs/>
        </w:rPr>
        <w:t>, M.</w:t>
      </w:r>
      <w:r w:rsidRPr="005F15D3">
        <w:rPr>
          <w:rFonts w:asciiTheme="majorBidi" w:hAnsiTheme="majorBidi" w:cstheme="majorBidi"/>
        </w:rPr>
        <w:t xml:space="preserve"> (2007). </w:t>
      </w:r>
      <w:r w:rsidRPr="005F15D3">
        <w:rPr>
          <w:rFonts w:asciiTheme="majorBidi" w:hAnsiTheme="majorBidi" w:cstheme="majorBidi"/>
          <w:i/>
          <w:iCs/>
        </w:rPr>
        <w:t>Encyclopedia of weather and climate</w:t>
      </w:r>
      <w:r w:rsidRPr="005F15D3">
        <w:rPr>
          <w:rFonts w:asciiTheme="majorBidi" w:hAnsiTheme="majorBidi" w:cstheme="majorBidi"/>
        </w:rPr>
        <w:t xml:space="preserve">. New York: Facts </w:t>
      </w:r>
      <w:proofErr w:type="gramStart"/>
      <w:r w:rsidRPr="005F15D3">
        <w:rPr>
          <w:rFonts w:asciiTheme="majorBidi" w:hAnsiTheme="majorBidi" w:cstheme="majorBidi"/>
        </w:rPr>
        <w:t>On</w:t>
      </w:r>
      <w:proofErr w:type="gramEnd"/>
      <w:r w:rsidRPr="005F15D3">
        <w:rPr>
          <w:rFonts w:asciiTheme="majorBidi" w:hAnsiTheme="majorBidi" w:cstheme="majorBidi"/>
        </w:rPr>
        <w:t xml:space="preserve"> File, Inc.</w:t>
      </w:r>
    </w:p>
    <w:p w14:paraId="6903AA92" w14:textId="77777777" w:rsidR="00DA2D2F" w:rsidRPr="005F15D3" w:rsidRDefault="00DA2D2F" w:rsidP="00460AFF">
      <w:pPr>
        <w:pStyle w:val="NormalWeb"/>
        <w:numPr>
          <w:ilvl w:val="0"/>
          <w:numId w:val="18"/>
        </w:numPr>
        <w:spacing w:before="0" w:beforeAutospacing="0" w:after="40" w:afterAutospacing="0" w:line="276" w:lineRule="auto"/>
        <w:jc w:val="both"/>
        <w:rPr>
          <w:rFonts w:asciiTheme="majorBidi" w:hAnsiTheme="majorBidi" w:cstheme="majorBidi"/>
          <w:lang w:bidi="ar-EG"/>
        </w:rPr>
      </w:pPr>
      <w:r w:rsidRPr="005F15D3">
        <w:rPr>
          <w:rFonts w:asciiTheme="majorBidi" w:hAnsiTheme="majorBidi" w:cstheme="majorBidi"/>
          <w:b/>
          <w:bCs/>
        </w:rPr>
        <w:t>Bateman, H., et al.</w:t>
      </w:r>
      <w:r w:rsidRPr="005F15D3">
        <w:rPr>
          <w:rFonts w:asciiTheme="majorBidi" w:hAnsiTheme="majorBidi" w:cstheme="majorBidi"/>
        </w:rPr>
        <w:t xml:space="preserve"> (2006). </w:t>
      </w:r>
      <w:r w:rsidRPr="005F15D3">
        <w:rPr>
          <w:rFonts w:asciiTheme="majorBidi" w:hAnsiTheme="majorBidi" w:cstheme="majorBidi"/>
          <w:i/>
          <w:iCs/>
        </w:rPr>
        <w:t>Dictionary of leisure, travel and tourism</w:t>
      </w:r>
      <w:r w:rsidRPr="005F15D3">
        <w:rPr>
          <w:rFonts w:asciiTheme="majorBidi" w:hAnsiTheme="majorBidi" w:cstheme="majorBidi"/>
        </w:rPr>
        <w:t xml:space="preserve"> (3</w:t>
      </w:r>
      <w:r w:rsidRPr="005F15D3">
        <w:rPr>
          <w:rFonts w:asciiTheme="majorBidi" w:hAnsiTheme="majorBidi" w:cstheme="majorBidi"/>
          <w:vertAlign w:val="superscript"/>
        </w:rPr>
        <w:t>rd</w:t>
      </w:r>
      <w:r w:rsidR="00C6387A" w:rsidRPr="005F15D3">
        <w:rPr>
          <w:rFonts w:asciiTheme="majorBidi" w:hAnsiTheme="majorBidi" w:cstheme="majorBidi"/>
        </w:rPr>
        <w:t xml:space="preserve"> </w:t>
      </w:r>
      <w:r w:rsidRPr="005F15D3">
        <w:rPr>
          <w:rFonts w:asciiTheme="majorBidi" w:hAnsiTheme="majorBidi" w:cstheme="majorBidi"/>
        </w:rPr>
        <w:t>Ed.). London: A &amp; C Black Publishers Ltd</w:t>
      </w:r>
      <w:r w:rsidRPr="005F15D3">
        <w:rPr>
          <w:rFonts w:asciiTheme="majorBidi" w:hAnsiTheme="majorBidi" w:cstheme="majorBidi"/>
          <w:rtl/>
          <w:lang w:bidi="ar-EG"/>
        </w:rPr>
        <w:t>.</w:t>
      </w:r>
    </w:p>
    <w:p w14:paraId="4CB38857" w14:textId="77777777" w:rsidR="00DA2D2F" w:rsidRPr="005F15D3" w:rsidRDefault="00DA2D2F" w:rsidP="00460AFF">
      <w:pPr>
        <w:pStyle w:val="NormalWeb"/>
        <w:numPr>
          <w:ilvl w:val="0"/>
          <w:numId w:val="18"/>
        </w:numPr>
        <w:spacing w:before="0" w:beforeAutospacing="0" w:after="40" w:afterAutospacing="0" w:line="276" w:lineRule="auto"/>
        <w:jc w:val="both"/>
        <w:rPr>
          <w:rFonts w:asciiTheme="majorBidi" w:hAnsiTheme="majorBidi" w:cstheme="majorBidi"/>
          <w:lang w:bidi="ar-EG"/>
        </w:rPr>
      </w:pPr>
      <w:r w:rsidRPr="005F15D3">
        <w:rPr>
          <w:rFonts w:asciiTheme="majorBidi" w:hAnsiTheme="majorBidi" w:cstheme="majorBidi"/>
          <w:b/>
          <w:bCs/>
        </w:rPr>
        <w:t>Boniface, B., &amp; Cooper, C.</w:t>
      </w:r>
      <w:r w:rsidRPr="005F15D3">
        <w:rPr>
          <w:rFonts w:asciiTheme="majorBidi" w:hAnsiTheme="majorBidi" w:cstheme="majorBidi"/>
        </w:rPr>
        <w:t xml:space="preserve"> (1990). </w:t>
      </w:r>
      <w:r w:rsidRPr="005F15D3">
        <w:rPr>
          <w:rFonts w:asciiTheme="majorBidi" w:hAnsiTheme="majorBidi" w:cstheme="majorBidi"/>
          <w:i/>
          <w:iCs/>
        </w:rPr>
        <w:t>The geography of travel and tourism</w:t>
      </w:r>
      <w:r w:rsidRPr="005F15D3">
        <w:rPr>
          <w:rFonts w:asciiTheme="majorBidi" w:hAnsiTheme="majorBidi" w:cstheme="majorBidi"/>
        </w:rPr>
        <w:t>. Oxford: Heinemann Professional Publishing Ltd.</w:t>
      </w:r>
    </w:p>
    <w:p w14:paraId="1E8261A0" w14:textId="77777777" w:rsidR="00DA2D2F" w:rsidRPr="005F15D3" w:rsidRDefault="00DA2D2F" w:rsidP="00460AFF">
      <w:pPr>
        <w:pStyle w:val="NormalWeb"/>
        <w:numPr>
          <w:ilvl w:val="0"/>
          <w:numId w:val="18"/>
        </w:numPr>
        <w:spacing w:before="0" w:beforeAutospacing="0" w:after="40" w:afterAutospacing="0" w:line="276" w:lineRule="auto"/>
        <w:jc w:val="both"/>
        <w:rPr>
          <w:rFonts w:asciiTheme="majorBidi" w:hAnsiTheme="majorBidi" w:cstheme="majorBidi"/>
          <w:lang w:bidi="ar-EG"/>
        </w:rPr>
      </w:pPr>
      <w:r w:rsidRPr="005F15D3">
        <w:rPr>
          <w:rFonts w:asciiTheme="majorBidi" w:hAnsiTheme="majorBidi" w:cstheme="majorBidi"/>
          <w:b/>
          <w:bCs/>
        </w:rPr>
        <w:t>CDWS-Egypt.</w:t>
      </w:r>
      <w:r w:rsidRPr="005F15D3">
        <w:rPr>
          <w:rFonts w:asciiTheme="majorBidi" w:hAnsiTheme="majorBidi" w:cstheme="majorBidi"/>
        </w:rPr>
        <w:t xml:space="preserve"> (2009, August/September). Kitesurfing vs. windsurfing: Battle of </w:t>
      </w:r>
      <w:proofErr w:type="spellStart"/>
      <w:r w:rsidRPr="005F15D3">
        <w:rPr>
          <w:rFonts w:asciiTheme="majorBidi" w:hAnsiTheme="majorBidi" w:cstheme="majorBidi"/>
        </w:rPr>
        <w:t>windpower</w:t>
      </w:r>
      <w:proofErr w:type="spellEnd"/>
      <w:r w:rsidRPr="005F15D3">
        <w:rPr>
          <w:rFonts w:asciiTheme="majorBidi" w:hAnsiTheme="majorBidi" w:cstheme="majorBidi"/>
        </w:rPr>
        <w:t xml:space="preserve">. </w:t>
      </w:r>
      <w:r w:rsidRPr="005F15D3">
        <w:rPr>
          <w:rFonts w:asciiTheme="majorBidi" w:hAnsiTheme="majorBidi" w:cstheme="majorBidi"/>
          <w:i/>
          <w:iCs/>
        </w:rPr>
        <w:t>Blue</w:t>
      </w:r>
      <w:r w:rsidRPr="005F15D3">
        <w:rPr>
          <w:rFonts w:asciiTheme="majorBidi" w:hAnsiTheme="majorBidi" w:cstheme="majorBidi"/>
        </w:rPr>
        <w:t xml:space="preserve">, </w:t>
      </w:r>
      <w:r w:rsidRPr="005F15D3">
        <w:rPr>
          <w:rFonts w:asciiTheme="majorBidi" w:hAnsiTheme="majorBidi" w:cstheme="majorBidi"/>
          <w:i/>
          <w:iCs/>
        </w:rPr>
        <w:t>(2)</w:t>
      </w:r>
      <w:r w:rsidRPr="005F15D3">
        <w:rPr>
          <w:rFonts w:asciiTheme="majorBidi" w:hAnsiTheme="majorBidi" w:cstheme="majorBidi"/>
        </w:rPr>
        <w:t xml:space="preserve">, 44–45. Retrieved from </w:t>
      </w:r>
      <w:hyperlink r:id="rId15" w:history="1">
        <w:r w:rsidRPr="005F15D3">
          <w:rPr>
            <w:rStyle w:val="Hyperlink"/>
            <w:rFonts w:asciiTheme="majorBidi" w:hAnsiTheme="majorBidi" w:cstheme="majorBidi"/>
            <w:color w:val="auto"/>
          </w:rPr>
          <w:t>www.cdws.travel/blue-magazine/issue2.pdf</w:t>
        </w:r>
      </w:hyperlink>
      <w:r w:rsidRPr="005F15D3">
        <w:rPr>
          <w:rFonts w:asciiTheme="majorBidi" w:hAnsiTheme="majorBidi" w:cstheme="majorBidi"/>
        </w:rPr>
        <w:t>.</w:t>
      </w:r>
    </w:p>
    <w:p w14:paraId="0AE7FFCF" w14:textId="77777777" w:rsidR="00DA2D2F" w:rsidRPr="005F15D3" w:rsidRDefault="00DA2D2F" w:rsidP="00460AFF">
      <w:pPr>
        <w:pStyle w:val="NormalWeb"/>
        <w:numPr>
          <w:ilvl w:val="0"/>
          <w:numId w:val="18"/>
        </w:numPr>
        <w:spacing w:before="0" w:beforeAutospacing="0" w:after="40" w:afterAutospacing="0" w:line="276" w:lineRule="auto"/>
        <w:jc w:val="both"/>
        <w:rPr>
          <w:rFonts w:asciiTheme="majorBidi" w:hAnsiTheme="majorBidi" w:cstheme="majorBidi"/>
          <w:lang w:bidi="ar-EG"/>
        </w:rPr>
      </w:pPr>
      <w:r w:rsidRPr="005F15D3">
        <w:rPr>
          <w:rFonts w:asciiTheme="majorBidi" w:hAnsiTheme="majorBidi" w:cstheme="majorBidi"/>
          <w:b/>
          <w:bCs/>
        </w:rPr>
        <w:t>Corluka, G.</w:t>
      </w:r>
      <w:r w:rsidRPr="005F15D3">
        <w:rPr>
          <w:rFonts w:asciiTheme="majorBidi" w:hAnsiTheme="majorBidi" w:cstheme="majorBidi"/>
        </w:rPr>
        <w:t xml:space="preserve"> (2019). Tourism seasonality: An overview. </w:t>
      </w:r>
      <w:r w:rsidRPr="005F15D3">
        <w:rPr>
          <w:rFonts w:asciiTheme="majorBidi" w:hAnsiTheme="majorBidi" w:cstheme="majorBidi"/>
          <w:i/>
          <w:iCs/>
        </w:rPr>
        <w:t>Journal of Business Paradigms</w:t>
      </w:r>
      <w:r w:rsidRPr="005F15D3">
        <w:rPr>
          <w:rFonts w:asciiTheme="majorBidi" w:hAnsiTheme="majorBidi" w:cstheme="majorBidi"/>
        </w:rPr>
        <w:t xml:space="preserve">, </w:t>
      </w:r>
      <w:r w:rsidRPr="005F15D3">
        <w:rPr>
          <w:rFonts w:asciiTheme="majorBidi" w:hAnsiTheme="majorBidi" w:cstheme="majorBidi"/>
          <w:i/>
          <w:iCs/>
        </w:rPr>
        <w:t>4</w:t>
      </w:r>
      <w:r w:rsidRPr="005F15D3">
        <w:rPr>
          <w:rFonts w:asciiTheme="majorBidi" w:hAnsiTheme="majorBidi" w:cstheme="majorBidi"/>
        </w:rPr>
        <w:t>(1), 21–43</w:t>
      </w:r>
      <w:r w:rsidRPr="005F15D3">
        <w:rPr>
          <w:rFonts w:asciiTheme="majorBidi" w:hAnsiTheme="majorBidi" w:cstheme="majorBidi"/>
          <w:lang w:bidi="ar-EG"/>
        </w:rPr>
        <w:t>.</w:t>
      </w:r>
    </w:p>
    <w:p w14:paraId="014D6306" w14:textId="77777777" w:rsidR="00DA2D2F" w:rsidRPr="005F15D3" w:rsidRDefault="00DA2D2F" w:rsidP="00460AFF">
      <w:pPr>
        <w:pStyle w:val="NormalWeb"/>
        <w:numPr>
          <w:ilvl w:val="0"/>
          <w:numId w:val="18"/>
        </w:numPr>
        <w:spacing w:before="0" w:beforeAutospacing="0" w:after="40" w:afterAutospacing="0" w:line="276" w:lineRule="auto"/>
        <w:jc w:val="both"/>
        <w:rPr>
          <w:rFonts w:asciiTheme="majorBidi" w:hAnsiTheme="majorBidi" w:cstheme="majorBidi"/>
          <w:lang w:bidi="ar-EG"/>
        </w:rPr>
      </w:pPr>
      <w:r w:rsidRPr="005F15D3">
        <w:rPr>
          <w:rFonts w:asciiTheme="majorBidi" w:hAnsiTheme="majorBidi" w:cstheme="majorBidi"/>
          <w:b/>
          <w:bCs/>
        </w:rPr>
        <w:lastRenderedPageBreak/>
        <w:t>Egyptian Meteorological Authority (EMA).</w:t>
      </w:r>
      <w:r w:rsidRPr="005F15D3">
        <w:rPr>
          <w:rFonts w:asciiTheme="majorBidi" w:hAnsiTheme="majorBidi" w:cstheme="majorBidi"/>
        </w:rPr>
        <w:t xml:space="preserve"> (2024). </w:t>
      </w:r>
      <w:r w:rsidRPr="005F15D3">
        <w:rPr>
          <w:rFonts w:asciiTheme="majorBidi" w:hAnsiTheme="majorBidi" w:cstheme="majorBidi"/>
          <w:i/>
          <w:iCs/>
        </w:rPr>
        <w:t>Climate department, monthly data for main stations in South Sinai Governorate</w:t>
      </w:r>
      <w:r w:rsidRPr="005F15D3">
        <w:rPr>
          <w:rFonts w:asciiTheme="majorBidi" w:hAnsiTheme="majorBidi" w:cstheme="majorBidi"/>
        </w:rPr>
        <w:t>.</w:t>
      </w:r>
    </w:p>
    <w:p w14:paraId="10DC80D9" w14:textId="77777777" w:rsidR="00DA2D2F" w:rsidRPr="005F15D3" w:rsidRDefault="00DA2D2F" w:rsidP="00460AFF">
      <w:pPr>
        <w:pStyle w:val="NormalWeb"/>
        <w:numPr>
          <w:ilvl w:val="0"/>
          <w:numId w:val="18"/>
        </w:numPr>
        <w:spacing w:before="0" w:beforeAutospacing="0" w:after="40" w:afterAutospacing="0" w:line="276" w:lineRule="auto"/>
        <w:jc w:val="both"/>
        <w:rPr>
          <w:rFonts w:asciiTheme="majorBidi" w:hAnsiTheme="majorBidi" w:cstheme="majorBidi"/>
          <w:lang w:bidi="ar-EG"/>
        </w:rPr>
      </w:pPr>
      <w:r w:rsidRPr="005F15D3">
        <w:rPr>
          <w:rFonts w:asciiTheme="majorBidi" w:hAnsiTheme="majorBidi" w:cstheme="majorBidi"/>
          <w:b/>
          <w:bCs/>
        </w:rPr>
        <w:t>Hall, M., &amp; Page, S.</w:t>
      </w:r>
      <w:r w:rsidRPr="005F15D3">
        <w:rPr>
          <w:rFonts w:asciiTheme="majorBidi" w:hAnsiTheme="majorBidi" w:cstheme="majorBidi"/>
        </w:rPr>
        <w:t xml:space="preserve"> (2006). </w:t>
      </w:r>
      <w:r w:rsidRPr="005F15D3">
        <w:rPr>
          <w:rFonts w:asciiTheme="majorBidi" w:hAnsiTheme="majorBidi" w:cstheme="majorBidi"/>
          <w:i/>
          <w:iCs/>
        </w:rPr>
        <w:t>The geography of tourism and recreation: Environment, place and space</w:t>
      </w:r>
      <w:r w:rsidRPr="005F15D3">
        <w:rPr>
          <w:rFonts w:asciiTheme="majorBidi" w:hAnsiTheme="majorBidi" w:cstheme="majorBidi"/>
        </w:rPr>
        <w:t xml:space="preserve"> (3rd Ed.). London: Rutledge</w:t>
      </w:r>
      <w:r w:rsidRPr="005F15D3">
        <w:rPr>
          <w:rFonts w:asciiTheme="majorBidi" w:eastAsia="TimesNewRomanPSMT" w:hAnsiTheme="majorBidi" w:cstheme="majorBidi"/>
        </w:rPr>
        <w:t>.</w:t>
      </w:r>
    </w:p>
    <w:p w14:paraId="7647C9FD" w14:textId="77777777" w:rsidR="00DA2D2F" w:rsidRPr="005F15D3" w:rsidRDefault="00DA2D2F" w:rsidP="00460AFF">
      <w:pPr>
        <w:pStyle w:val="NormalWeb"/>
        <w:numPr>
          <w:ilvl w:val="0"/>
          <w:numId w:val="18"/>
        </w:numPr>
        <w:spacing w:before="0" w:beforeAutospacing="0" w:after="40" w:afterAutospacing="0" w:line="276" w:lineRule="auto"/>
        <w:jc w:val="both"/>
        <w:rPr>
          <w:rFonts w:asciiTheme="majorBidi" w:hAnsiTheme="majorBidi" w:cstheme="majorBidi"/>
          <w:lang w:bidi="ar-EG"/>
        </w:rPr>
      </w:pPr>
      <w:r w:rsidRPr="005F15D3">
        <w:rPr>
          <w:rFonts w:asciiTheme="majorBidi" w:hAnsiTheme="majorBidi" w:cstheme="majorBidi"/>
          <w:b/>
          <w:bCs/>
        </w:rPr>
        <w:t>Hamouda, I.</w:t>
      </w:r>
      <w:r w:rsidRPr="005F15D3">
        <w:rPr>
          <w:rFonts w:asciiTheme="majorBidi" w:hAnsiTheme="majorBidi" w:cstheme="majorBidi"/>
        </w:rPr>
        <w:t xml:space="preserve"> (2000). </w:t>
      </w:r>
      <w:r w:rsidRPr="005F15D3">
        <w:rPr>
          <w:rFonts w:asciiTheme="majorBidi" w:hAnsiTheme="majorBidi" w:cstheme="majorBidi"/>
          <w:i/>
          <w:iCs/>
        </w:rPr>
        <w:t>Tourism and hotel statistics</w:t>
      </w:r>
      <w:r w:rsidRPr="005F15D3">
        <w:rPr>
          <w:rFonts w:asciiTheme="majorBidi" w:hAnsiTheme="majorBidi" w:cstheme="majorBidi"/>
        </w:rPr>
        <w:t>. Alexandria. (In Arabic).</w:t>
      </w:r>
    </w:p>
    <w:p w14:paraId="3B1CED5A" w14:textId="77777777" w:rsidR="00DA2D2F" w:rsidRPr="005F15D3" w:rsidRDefault="00DA2D2F" w:rsidP="00460AFF">
      <w:pPr>
        <w:pStyle w:val="NormalWeb"/>
        <w:numPr>
          <w:ilvl w:val="0"/>
          <w:numId w:val="18"/>
        </w:numPr>
        <w:spacing w:before="0" w:beforeAutospacing="0" w:after="40" w:afterAutospacing="0" w:line="276" w:lineRule="auto"/>
        <w:jc w:val="both"/>
        <w:rPr>
          <w:rFonts w:asciiTheme="majorBidi" w:hAnsiTheme="majorBidi" w:cstheme="majorBidi"/>
          <w:lang w:bidi="ar-EG"/>
        </w:rPr>
      </w:pPr>
      <w:r w:rsidRPr="005F15D3">
        <w:rPr>
          <w:rFonts w:asciiTheme="majorBidi" w:hAnsiTheme="majorBidi" w:cstheme="majorBidi"/>
          <w:b/>
          <w:bCs/>
        </w:rPr>
        <w:t>International Institute for Sustainable Development.</w:t>
      </w:r>
      <w:r w:rsidRPr="005F15D3">
        <w:rPr>
          <w:rFonts w:asciiTheme="majorBidi" w:hAnsiTheme="majorBidi" w:cstheme="majorBidi"/>
        </w:rPr>
        <w:t xml:space="preserve"> (1997). </w:t>
      </w:r>
      <w:r w:rsidRPr="005F15D3">
        <w:rPr>
          <w:rFonts w:asciiTheme="majorBidi" w:hAnsiTheme="majorBidi" w:cstheme="majorBidi"/>
          <w:i/>
          <w:iCs/>
        </w:rPr>
        <w:t>The effects of climate change on recreation and tourism on the Prairies</w:t>
      </w:r>
      <w:r w:rsidRPr="005F15D3">
        <w:rPr>
          <w:rFonts w:asciiTheme="majorBidi" w:hAnsiTheme="majorBidi" w:cstheme="majorBidi"/>
        </w:rPr>
        <w:t>. Manitoba.</w:t>
      </w:r>
    </w:p>
    <w:p w14:paraId="5FCA7048" w14:textId="77777777" w:rsidR="00DA2D2F" w:rsidRPr="005F15D3" w:rsidRDefault="00DA2D2F" w:rsidP="00460AFF">
      <w:pPr>
        <w:pStyle w:val="NormalWeb"/>
        <w:numPr>
          <w:ilvl w:val="0"/>
          <w:numId w:val="18"/>
        </w:numPr>
        <w:spacing w:before="0" w:beforeAutospacing="0" w:after="40" w:afterAutospacing="0" w:line="276" w:lineRule="auto"/>
        <w:jc w:val="both"/>
        <w:rPr>
          <w:rFonts w:asciiTheme="majorBidi" w:hAnsiTheme="majorBidi" w:cstheme="majorBidi"/>
          <w:lang w:bidi="ar-EG"/>
        </w:rPr>
      </w:pPr>
      <w:r w:rsidRPr="005F15D3">
        <w:rPr>
          <w:rFonts w:asciiTheme="majorBidi" w:hAnsiTheme="majorBidi" w:cstheme="majorBidi"/>
          <w:b/>
          <w:bCs/>
        </w:rPr>
        <w:t>Lee, C., et al.</w:t>
      </w:r>
      <w:r w:rsidRPr="005F15D3">
        <w:rPr>
          <w:rFonts w:asciiTheme="majorBidi" w:hAnsiTheme="majorBidi" w:cstheme="majorBidi"/>
        </w:rPr>
        <w:t xml:space="preserve"> (2008). </w:t>
      </w:r>
      <w:r w:rsidRPr="005F15D3">
        <w:rPr>
          <w:rFonts w:asciiTheme="majorBidi" w:hAnsiTheme="majorBidi" w:cstheme="majorBidi"/>
          <w:i/>
          <w:iCs/>
        </w:rPr>
        <w:t>Seasonality in the tourism industry: Impacts and strategies</w:t>
      </w:r>
      <w:r w:rsidRPr="005F15D3">
        <w:rPr>
          <w:rFonts w:asciiTheme="majorBidi" w:hAnsiTheme="majorBidi" w:cstheme="majorBidi"/>
        </w:rPr>
        <w:t>. Queensland: CRC for Sustainable Tourism Pty Ltd</w:t>
      </w:r>
      <w:r w:rsidRPr="005F15D3">
        <w:rPr>
          <w:rFonts w:asciiTheme="majorBidi" w:eastAsia="TimesNewRomanPSMT" w:hAnsiTheme="majorBidi" w:cstheme="majorBidi"/>
        </w:rPr>
        <w:t>.</w:t>
      </w:r>
    </w:p>
    <w:p w14:paraId="74426B25" w14:textId="77777777" w:rsidR="00DA2D2F" w:rsidRPr="005F15D3" w:rsidRDefault="00DA2D2F" w:rsidP="00460AFF">
      <w:pPr>
        <w:pStyle w:val="NormalWeb"/>
        <w:numPr>
          <w:ilvl w:val="0"/>
          <w:numId w:val="18"/>
        </w:numPr>
        <w:spacing w:before="0" w:beforeAutospacing="0" w:after="40" w:afterAutospacing="0" w:line="276" w:lineRule="auto"/>
        <w:jc w:val="both"/>
        <w:rPr>
          <w:rFonts w:asciiTheme="majorBidi" w:hAnsiTheme="majorBidi" w:cstheme="majorBidi"/>
          <w:lang w:bidi="ar-EG"/>
        </w:rPr>
      </w:pPr>
      <w:r w:rsidRPr="005F15D3">
        <w:rPr>
          <w:rFonts w:asciiTheme="majorBidi" w:hAnsiTheme="majorBidi" w:cstheme="majorBidi"/>
          <w:b/>
          <w:bCs/>
        </w:rPr>
        <w:t>Lim, C., &amp; McAleer, M.</w:t>
      </w:r>
      <w:r w:rsidRPr="005F15D3">
        <w:rPr>
          <w:rFonts w:asciiTheme="majorBidi" w:hAnsiTheme="majorBidi" w:cstheme="majorBidi"/>
        </w:rPr>
        <w:t xml:space="preserve"> (2000). A seasonal analysis of Asian tourist arrivals to Australia. </w:t>
      </w:r>
      <w:r w:rsidRPr="005F15D3">
        <w:rPr>
          <w:rFonts w:asciiTheme="majorBidi" w:hAnsiTheme="majorBidi" w:cstheme="majorBidi"/>
          <w:i/>
          <w:iCs/>
        </w:rPr>
        <w:t>Applied Economics</w:t>
      </w:r>
      <w:r w:rsidRPr="005F15D3">
        <w:rPr>
          <w:rFonts w:asciiTheme="majorBidi" w:hAnsiTheme="majorBidi" w:cstheme="majorBidi"/>
        </w:rPr>
        <w:t xml:space="preserve">, </w:t>
      </w:r>
      <w:r w:rsidRPr="005F15D3">
        <w:rPr>
          <w:rFonts w:asciiTheme="majorBidi" w:hAnsiTheme="majorBidi" w:cstheme="majorBidi"/>
          <w:i/>
          <w:iCs/>
        </w:rPr>
        <w:t>32</w:t>
      </w:r>
      <w:r w:rsidRPr="005F15D3">
        <w:rPr>
          <w:rFonts w:asciiTheme="majorBidi" w:hAnsiTheme="majorBidi" w:cstheme="majorBidi"/>
        </w:rPr>
        <w:t>(4), 499–509</w:t>
      </w:r>
      <w:r w:rsidRPr="005F15D3">
        <w:rPr>
          <w:rFonts w:asciiTheme="majorBidi" w:eastAsia="TimesNewRomanPSMT" w:hAnsiTheme="majorBidi" w:cstheme="majorBidi"/>
        </w:rPr>
        <w:t>.</w:t>
      </w:r>
    </w:p>
    <w:p w14:paraId="33156759" w14:textId="77777777" w:rsidR="00DA2D2F" w:rsidRPr="005F15D3" w:rsidRDefault="00DA2D2F" w:rsidP="00460AFF">
      <w:pPr>
        <w:pStyle w:val="NormalWeb"/>
        <w:numPr>
          <w:ilvl w:val="0"/>
          <w:numId w:val="18"/>
        </w:numPr>
        <w:spacing w:before="0" w:beforeAutospacing="0" w:after="40" w:afterAutospacing="0" w:line="276" w:lineRule="auto"/>
        <w:jc w:val="both"/>
        <w:rPr>
          <w:rFonts w:asciiTheme="majorBidi" w:hAnsiTheme="majorBidi" w:cstheme="majorBidi"/>
          <w:lang w:bidi="ar-EG"/>
        </w:rPr>
      </w:pPr>
      <w:r w:rsidRPr="005F15D3">
        <w:rPr>
          <w:rFonts w:asciiTheme="majorBidi" w:hAnsiTheme="majorBidi" w:cstheme="majorBidi"/>
          <w:b/>
          <w:bCs/>
        </w:rPr>
        <w:t>Lim, C., &amp; McAleer, M.</w:t>
      </w:r>
      <w:r w:rsidRPr="005F15D3">
        <w:rPr>
          <w:rFonts w:asciiTheme="majorBidi" w:hAnsiTheme="majorBidi" w:cstheme="majorBidi"/>
        </w:rPr>
        <w:t xml:space="preserve"> (2001). Monthly seasonal variations — Asian tourism to Australia. </w:t>
      </w:r>
      <w:r w:rsidRPr="005F15D3">
        <w:rPr>
          <w:rFonts w:asciiTheme="majorBidi" w:hAnsiTheme="majorBidi" w:cstheme="majorBidi"/>
          <w:i/>
          <w:iCs/>
        </w:rPr>
        <w:t>Annals of Tourism Research</w:t>
      </w:r>
      <w:r w:rsidRPr="005F15D3">
        <w:rPr>
          <w:rFonts w:asciiTheme="majorBidi" w:hAnsiTheme="majorBidi" w:cstheme="majorBidi"/>
        </w:rPr>
        <w:t xml:space="preserve">, </w:t>
      </w:r>
      <w:r w:rsidRPr="005F15D3">
        <w:rPr>
          <w:rFonts w:asciiTheme="majorBidi" w:hAnsiTheme="majorBidi" w:cstheme="majorBidi"/>
          <w:i/>
          <w:iCs/>
        </w:rPr>
        <w:t>28</w:t>
      </w:r>
      <w:r w:rsidRPr="005F15D3">
        <w:rPr>
          <w:rFonts w:asciiTheme="majorBidi" w:hAnsiTheme="majorBidi" w:cstheme="majorBidi"/>
        </w:rPr>
        <w:t>(1), 68–82</w:t>
      </w:r>
      <w:r w:rsidRPr="005F15D3">
        <w:rPr>
          <w:rFonts w:asciiTheme="majorBidi" w:eastAsia="TimesNewRomanPSMT" w:hAnsiTheme="majorBidi" w:cstheme="majorBidi"/>
        </w:rPr>
        <w:t>.</w:t>
      </w:r>
    </w:p>
    <w:p w14:paraId="572A9361" w14:textId="77777777" w:rsidR="00DA2D2F" w:rsidRPr="005F15D3" w:rsidRDefault="00DA2D2F" w:rsidP="00460AFF">
      <w:pPr>
        <w:pStyle w:val="NormalWeb"/>
        <w:numPr>
          <w:ilvl w:val="0"/>
          <w:numId w:val="18"/>
        </w:numPr>
        <w:spacing w:before="0" w:beforeAutospacing="0" w:after="40" w:afterAutospacing="0" w:line="276" w:lineRule="auto"/>
        <w:jc w:val="both"/>
        <w:rPr>
          <w:rFonts w:asciiTheme="majorBidi" w:hAnsiTheme="majorBidi" w:cstheme="majorBidi"/>
          <w:lang w:bidi="ar-EG"/>
        </w:rPr>
      </w:pPr>
      <w:r w:rsidRPr="005F15D3">
        <w:rPr>
          <w:rFonts w:asciiTheme="majorBidi" w:hAnsiTheme="majorBidi" w:cstheme="majorBidi"/>
          <w:b/>
          <w:bCs/>
        </w:rPr>
        <w:t>Martín, B.</w:t>
      </w:r>
      <w:r w:rsidRPr="005F15D3">
        <w:rPr>
          <w:rFonts w:asciiTheme="majorBidi" w:hAnsiTheme="majorBidi" w:cstheme="majorBidi"/>
        </w:rPr>
        <w:t xml:space="preserve"> (2005). Weather, climate and tourism: A geographical perspective. </w:t>
      </w:r>
      <w:r w:rsidRPr="005F15D3">
        <w:rPr>
          <w:rFonts w:asciiTheme="majorBidi" w:hAnsiTheme="majorBidi" w:cstheme="majorBidi"/>
          <w:i/>
          <w:iCs/>
        </w:rPr>
        <w:t>Annals of Tourism Research</w:t>
      </w:r>
      <w:r w:rsidRPr="005F15D3">
        <w:rPr>
          <w:rFonts w:asciiTheme="majorBidi" w:hAnsiTheme="majorBidi" w:cstheme="majorBidi"/>
        </w:rPr>
        <w:t xml:space="preserve">, </w:t>
      </w:r>
      <w:r w:rsidRPr="005F15D3">
        <w:rPr>
          <w:rFonts w:asciiTheme="majorBidi" w:hAnsiTheme="majorBidi" w:cstheme="majorBidi"/>
          <w:i/>
          <w:iCs/>
        </w:rPr>
        <w:t>32</w:t>
      </w:r>
      <w:r w:rsidRPr="005F15D3">
        <w:rPr>
          <w:rFonts w:asciiTheme="majorBidi" w:hAnsiTheme="majorBidi" w:cstheme="majorBidi"/>
        </w:rPr>
        <w:t>(3), 571–591.</w:t>
      </w:r>
    </w:p>
    <w:p w14:paraId="1764C61C" w14:textId="77777777" w:rsidR="00DA2D2F" w:rsidRPr="005F15D3" w:rsidRDefault="00DA2D2F" w:rsidP="00460AFF">
      <w:pPr>
        <w:pStyle w:val="NormalWeb"/>
        <w:numPr>
          <w:ilvl w:val="0"/>
          <w:numId w:val="18"/>
        </w:numPr>
        <w:spacing w:before="0" w:beforeAutospacing="0" w:after="40" w:afterAutospacing="0" w:line="276" w:lineRule="auto"/>
        <w:jc w:val="both"/>
        <w:rPr>
          <w:rFonts w:asciiTheme="majorBidi" w:hAnsiTheme="majorBidi" w:cstheme="majorBidi"/>
          <w:lang w:bidi="ar-EG"/>
        </w:rPr>
      </w:pPr>
      <w:r w:rsidRPr="005F15D3">
        <w:rPr>
          <w:rFonts w:asciiTheme="majorBidi" w:hAnsiTheme="majorBidi" w:cstheme="majorBidi"/>
          <w:b/>
          <w:bCs/>
        </w:rPr>
        <w:t>Md Din, M., et al.</w:t>
      </w:r>
      <w:r w:rsidRPr="005F15D3">
        <w:rPr>
          <w:rFonts w:asciiTheme="majorBidi" w:hAnsiTheme="majorBidi" w:cstheme="majorBidi"/>
        </w:rPr>
        <w:t xml:space="preserve"> (2014). Thermal comfort of various building layouts with a proposed discomfort index range for tropical climate. </w:t>
      </w:r>
      <w:r w:rsidRPr="005F15D3">
        <w:rPr>
          <w:rFonts w:asciiTheme="majorBidi" w:hAnsiTheme="majorBidi" w:cstheme="majorBidi"/>
          <w:i/>
          <w:iCs/>
        </w:rPr>
        <w:t>Journal of Thermal Biology</w:t>
      </w:r>
      <w:r w:rsidRPr="005F15D3">
        <w:rPr>
          <w:rFonts w:asciiTheme="majorBidi" w:hAnsiTheme="majorBidi" w:cstheme="majorBidi"/>
        </w:rPr>
        <w:t xml:space="preserve">, </w:t>
      </w:r>
      <w:r w:rsidRPr="005F15D3">
        <w:rPr>
          <w:rFonts w:asciiTheme="majorBidi" w:hAnsiTheme="majorBidi" w:cstheme="majorBidi"/>
          <w:i/>
          <w:iCs/>
        </w:rPr>
        <w:t>41</w:t>
      </w:r>
      <w:r w:rsidRPr="005F15D3">
        <w:rPr>
          <w:rFonts w:asciiTheme="majorBidi" w:hAnsiTheme="majorBidi" w:cstheme="majorBidi"/>
        </w:rPr>
        <w:t>, 6–15.</w:t>
      </w:r>
    </w:p>
    <w:p w14:paraId="1010D9CC" w14:textId="77777777" w:rsidR="00DA2D2F" w:rsidRPr="005F15D3" w:rsidRDefault="00DA2D2F" w:rsidP="00460AFF">
      <w:pPr>
        <w:pStyle w:val="NormalWeb"/>
        <w:numPr>
          <w:ilvl w:val="0"/>
          <w:numId w:val="18"/>
        </w:numPr>
        <w:spacing w:before="0" w:beforeAutospacing="0" w:after="40" w:afterAutospacing="0" w:line="276" w:lineRule="auto"/>
        <w:jc w:val="both"/>
        <w:rPr>
          <w:rFonts w:asciiTheme="majorBidi" w:hAnsiTheme="majorBidi" w:cstheme="majorBidi"/>
          <w:lang w:bidi="ar-EG"/>
        </w:rPr>
      </w:pPr>
      <w:proofErr w:type="spellStart"/>
      <w:r w:rsidRPr="005F15D3">
        <w:rPr>
          <w:rFonts w:asciiTheme="majorBidi" w:hAnsiTheme="majorBidi" w:cstheme="majorBidi"/>
          <w:b/>
          <w:bCs/>
        </w:rPr>
        <w:t>Medlik</w:t>
      </w:r>
      <w:proofErr w:type="spellEnd"/>
      <w:r w:rsidRPr="005F15D3">
        <w:rPr>
          <w:rFonts w:asciiTheme="majorBidi" w:hAnsiTheme="majorBidi" w:cstheme="majorBidi"/>
          <w:b/>
          <w:bCs/>
        </w:rPr>
        <w:t>, S.</w:t>
      </w:r>
      <w:r w:rsidRPr="005F15D3">
        <w:rPr>
          <w:rFonts w:asciiTheme="majorBidi" w:hAnsiTheme="majorBidi" w:cstheme="majorBidi"/>
        </w:rPr>
        <w:t xml:space="preserve"> (2003). </w:t>
      </w:r>
      <w:r w:rsidRPr="005F15D3">
        <w:rPr>
          <w:rFonts w:asciiTheme="majorBidi" w:hAnsiTheme="majorBidi" w:cstheme="majorBidi"/>
          <w:i/>
          <w:iCs/>
        </w:rPr>
        <w:t>Dictionary of travel, tourism and hospitality</w:t>
      </w:r>
      <w:r w:rsidRPr="005F15D3">
        <w:rPr>
          <w:rFonts w:asciiTheme="majorBidi" w:hAnsiTheme="majorBidi" w:cstheme="majorBidi"/>
        </w:rPr>
        <w:t xml:space="preserve"> (3</w:t>
      </w:r>
      <w:r w:rsidRPr="005F15D3">
        <w:rPr>
          <w:rFonts w:asciiTheme="majorBidi" w:hAnsiTheme="majorBidi" w:cstheme="majorBidi"/>
          <w:vertAlign w:val="superscript"/>
        </w:rPr>
        <w:t>rd</w:t>
      </w:r>
      <w:r w:rsidR="00ED0F8A" w:rsidRPr="005F15D3">
        <w:rPr>
          <w:rFonts w:asciiTheme="majorBidi" w:hAnsiTheme="majorBidi" w:cstheme="majorBidi"/>
        </w:rPr>
        <w:t xml:space="preserve"> Ed</w:t>
      </w:r>
      <w:r w:rsidRPr="005F15D3">
        <w:rPr>
          <w:rFonts w:asciiTheme="majorBidi" w:hAnsiTheme="majorBidi" w:cstheme="majorBidi"/>
        </w:rPr>
        <w:t>.). Oxford: Butterworth-Heinemann.</w:t>
      </w:r>
    </w:p>
    <w:p w14:paraId="71800E5E" w14:textId="77777777" w:rsidR="000A442F" w:rsidRPr="005F15D3" w:rsidRDefault="00DA2D2F" w:rsidP="00460AFF">
      <w:pPr>
        <w:pStyle w:val="NormalWeb"/>
        <w:numPr>
          <w:ilvl w:val="0"/>
          <w:numId w:val="18"/>
        </w:numPr>
        <w:spacing w:before="0" w:beforeAutospacing="0" w:after="40" w:afterAutospacing="0" w:line="276" w:lineRule="auto"/>
        <w:jc w:val="both"/>
        <w:rPr>
          <w:rFonts w:asciiTheme="majorBidi" w:hAnsiTheme="majorBidi" w:cstheme="majorBidi"/>
          <w:b/>
          <w:bCs/>
          <w:lang w:bidi="ar-EG"/>
        </w:rPr>
      </w:pPr>
      <w:r w:rsidRPr="005F15D3">
        <w:rPr>
          <w:rFonts w:asciiTheme="majorBidi" w:hAnsiTheme="majorBidi" w:cstheme="majorBidi"/>
          <w:b/>
          <w:bCs/>
        </w:rPr>
        <w:t>Musa, A.</w:t>
      </w:r>
      <w:r w:rsidRPr="005F15D3">
        <w:rPr>
          <w:rFonts w:asciiTheme="majorBidi" w:hAnsiTheme="majorBidi" w:cstheme="majorBidi"/>
        </w:rPr>
        <w:t xml:space="preserve"> (1998). </w:t>
      </w:r>
      <w:r w:rsidRPr="005F15D3">
        <w:rPr>
          <w:rFonts w:asciiTheme="majorBidi" w:hAnsiTheme="majorBidi" w:cstheme="majorBidi"/>
          <w:i/>
          <w:iCs/>
        </w:rPr>
        <w:t>Climate and tourism</w:t>
      </w:r>
      <w:r w:rsidRPr="005F15D3">
        <w:rPr>
          <w:rFonts w:asciiTheme="majorBidi" w:hAnsiTheme="majorBidi" w:cstheme="majorBidi"/>
        </w:rPr>
        <w:t>. Damascus: Dar Al-Fikr. (In Arabic).</w:t>
      </w:r>
    </w:p>
    <w:p w14:paraId="58B4333E" w14:textId="77777777" w:rsidR="00DA2D2F" w:rsidRPr="005F15D3" w:rsidRDefault="00DA2D2F" w:rsidP="00460AFF">
      <w:pPr>
        <w:pStyle w:val="NormalWeb"/>
        <w:numPr>
          <w:ilvl w:val="0"/>
          <w:numId w:val="18"/>
        </w:numPr>
        <w:spacing w:before="0" w:beforeAutospacing="0" w:after="40" w:afterAutospacing="0" w:line="276" w:lineRule="auto"/>
        <w:jc w:val="both"/>
        <w:rPr>
          <w:rFonts w:asciiTheme="majorBidi" w:hAnsiTheme="majorBidi" w:cstheme="majorBidi"/>
          <w:b/>
          <w:bCs/>
          <w:lang w:bidi="ar-EG"/>
        </w:rPr>
      </w:pPr>
      <w:proofErr w:type="spellStart"/>
      <w:r w:rsidRPr="005F15D3">
        <w:rPr>
          <w:rFonts w:asciiTheme="majorBidi" w:hAnsiTheme="majorBidi" w:cstheme="majorBidi"/>
          <w:b/>
          <w:bCs/>
        </w:rPr>
        <w:t>Rahom</w:t>
      </w:r>
      <w:proofErr w:type="spellEnd"/>
      <w:r w:rsidRPr="005F15D3">
        <w:rPr>
          <w:rFonts w:asciiTheme="majorBidi" w:hAnsiTheme="majorBidi" w:cstheme="majorBidi"/>
          <w:b/>
          <w:bCs/>
        </w:rPr>
        <w:t>, U., et al.</w:t>
      </w:r>
      <w:r w:rsidRPr="005F15D3">
        <w:rPr>
          <w:rFonts w:asciiTheme="majorBidi" w:hAnsiTheme="majorBidi" w:cstheme="majorBidi"/>
        </w:rPr>
        <w:t xml:space="preserve"> (2025). Update of the solar radiation atlas for the Arab Republic of Egypt 2023. In H. Al Naimiy, H. </w:t>
      </w:r>
      <w:proofErr w:type="spellStart"/>
      <w:r w:rsidRPr="005F15D3">
        <w:rPr>
          <w:rFonts w:asciiTheme="majorBidi" w:hAnsiTheme="majorBidi" w:cstheme="majorBidi"/>
        </w:rPr>
        <w:t>Elmehdi</w:t>
      </w:r>
      <w:proofErr w:type="spellEnd"/>
      <w:r w:rsidRPr="005F15D3">
        <w:rPr>
          <w:rFonts w:asciiTheme="majorBidi" w:hAnsiTheme="majorBidi" w:cstheme="majorBidi"/>
        </w:rPr>
        <w:t xml:space="preserve">, &amp; I. Shehadi (Eds.), </w:t>
      </w:r>
      <w:r w:rsidRPr="005F15D3">
        <w:rPr>
          <w:rFonts w:asciiTheme="majorBidi" w:hAnsiTheme="majorBidi" w:cstheme="majorBidi"/>
          <w:i/>
          <w:iCs/>
        </w:rPr>
        <w:t>Proceedings of the 14th Arabic conference of the Arab union for astronomy and space sciences</w:t>
      </w:r>
      <w:r w:rsidRPr="005F15D3">
        <w:rPr>
          <w:rFonts w:asciiTheme="majorBidi" w:hAnsiTheme="majorBidi" w:cstheme="majorBidi"/>
        </w:rPr>
        <w:t xml:space="preserve"> (pp. 139–159). Singapore: Springer.</w:t>
      </w:r>
    </w:p>
    <w:p w14:paraId="141EBE8C" w14:textId="77777777" w:rsidR="00DA2D2F" w:rsidRPr="005F15D3" w:rsidRDefault="00DA2D2F" w:rsidP="00460AFF">
      <w:pPr>
        <w:pStyle w:val="NormalWeb"/>
        <w:numPr>
          <w:ilvl w:val="0"/>
          <w:numId w:val="18"/>
        </w:numPr>
        <w:spacing w:before="0" w:beforeAutospacing="0" w:after="40" w:afterAutospacing="0" w:line="276" w:lineRule="auto"/>
        <w:jc w:val="both"/>
        <w:rPr>
          <w:rFonts w:asciiTheme="majorBidi" w:hAnsiTheme="majorBidi" w:cstheme="majorBidi"/>
          <w:b/>
          <w:bCs/>
          <w:lang w:bidi="ar-EG"/>
        </w:rPr>
      </w:pPr>
      <w:r w:rsidRPr="005F15D3">
        <w:rPr>
          <w:rFonts w:asciiTheme="majorBidi" w:hAnsiTheme="majorBidi" w:cstheme="majorBidi"/>
          <w:b/>
          <w:bCs/>
        </w:rPr>
        <w:t>Perry, J.</w:t>
      </w:r>
      <w:r w:rsidRPr="005F15D3">
        <w:rPr>
          <w:rFonts w:asciiTheme="majorBidi" w:hAnsiTheme="majorBidi" w:cstheme="majorBidi"/>
        </w:rPr>
        <w:t xml:space="preserve"> (2005). Tourism and climate. In J. Oliver (Ed.), </w:t>
      </w:r>
      <w:r w:rsidRPr="005F15D3">
        <w:rPr>
          <w:rFonts w:asciiTheme="majorBidi" w:hAnsiTheme="majorBidi" w:cstheme="majorBidi"/>
          <w:i/>
          <w:iCs/>
        </w:rPr>
        <w:t>Encyclopedia of world climatology</w:t>
      </w:r>
      <w:r w:rsidRPr="005F15D3">
        <w:rPr>
          <w:rFonts w:asciiTheme="majorBidi" w:hAnsiTheme="majorBidi" w:cstheme="majorBidi"/>
        </w:rPr>
        <w:t xml:space="preserve"> (pp. 730–731). Berlin: Springer.</w:t>
      </w:r>
    </w:p>
    <w:p w14:paraId="7A80BF59" w14:textId="77777777" w:rsidR="00DA2D2F" w:rsidRPr="005F15D3" w:rsidRDefault="00DA2D2F" w:rsidP="00460AFF">
      <w:pPr>
        <w:pStyle w:val="NormalWeb"/>
        <w:numPr>
          <w:ilvl w:val="0"/>
          <w:numId w:val="18"/>
        </w:numPr>
        <w:spacing w:before="0" w:beforeAutospacing="0" w:after="40" w:afterAutospacing="0" w:line="276" w:lineRule="auto"/>
        <w:jc w:val="both"/>
        <w:rPr>
          <w:rFonts w:asciiTheme="majorBidi" w:hAnsiTheme="majorBidi" w:cstheme="majorBidi"/>
          <w:b/>
          <w:bCs/>
          <w:lang w:bidi="ar-EG"/>
        </w:rPr>
      </w:pPr>
      <w:r w:rsidRPr="005F15D3">
        <w:rPr>
          <w:rFonts w:asciiTheme="majorBidi" w:hAnsiTheme="majorBidi" w:cstheme="majorBidi"/>
          <w:b/>
          <w:bCs/>
        </w:rPr>
        <w:t>Selim, M.</w:t>
      </w:r>
      <w:r w:rsidRPr="005F15D3">
        <w:rPr>
          <w:rFonts w:asciiTheme="majorBidi" w:hAnsiTheme="majorBidi" w:cstheme="majorBidi"/>
        </w:rPr>
        <w:t xml:space="preserve"> (1989). </w:t>
      </w:r>
      <w:r w:rsidRPr="005F15D3">
        <w:rPr>
          <w:rFonts w:asciiTheme="majorBidi" w:hAnsiTheme="majorBidi" w:cstheme="majorBidi"/>
          <w:i/>
          <w:iCs/>
        </w:rPr>
        <w:t>Geography of the Egyptian deserts - Sinai Peninsula</w:t>
      </w:r>
      <w:r w:rsidRPr="005F15D3">
        <w:rPr>
          <w:rFonts w:asciiTheme="majorBidi" w:hAnsiTheme="majorBidi" w:cstheme="majorBidi"/>
        </w:rPr>
        <w:t>. Cairo: Dar Al-Nahda Al-Arabiya. (In Arabic).</w:t>
      </w:r>
    </w:p>
    <w:p w14:paraId="3839A5E7" w14:textId="77777777" w:rsidR="00DA2D2F" w:rsidRPr="005F15D3" w:rsidRDefault="00DA2D2F" w:rsidP="00460AFF">
      <w:pPr>
        <w:pStyle w:val="NormalWeb"/>
        <w:numPr>
          <w:ilvl w:val="0"/>
          <w:numId w:val="18"/>
        </w:numPr>
        <w:spacing w:before="0" w:beforeAutospacing="0" w:after="40" w:afterAutospacing="0" w:line="276" w:lineRule="auto"/>
        <w:jc w:val="both"/>
        <w:rPr>
          <w:rFonts w:asciiTheme="majorBidi" w:hAnsiTheme="majorBidi" w:cstheme="majorBidi"/>
          <w:b/>
          <w:bCs/>
          <w:lang w:bidi="ar-EG"/>
        </w:rPr>
      </w:pPr>
      <w:r w:rsidRPr="005F15D3">
        <w:rPr>
          <w:rFonts w:asciiTheme="majorBidi" w:hAnsiTheme="majorBidi" w:cstheme="majorBidi"/>
          <w:b/>
          <w:bCs/>
        </w:rPr>
        <w:t>Sharaf, A.</w:t>
      </w:r>
      <w:r w:rsidRPr="005F15D3">
        <w:rPr>
          <w:rFonts w:asciiTheme="majorBidi" w:hAnsiTheme="majorBidi" w:cstheme="majorBidi"/>
        </w:rPr>
        <w:t xml:space="preserve"> (1963). </w:t>
      </w:r>
      <w:r w:rsidRPr="005F15D3">
        <w:rPr>
          <w:rFonts w:asciiTheme="majorBidi" w:hAnsiTheme="majorBidi" w:cstheme="majorBidi"/>
          <w:i/>
          <w:iCs/>
        </w:rPr>
        <w:t>The world's climate</w:t>
      </w:r>
      <w:r w:rsidRPr="005F15D3">
        <w:rPr>
          <w:rFonts w:asciiTheme="majorBidi" w:hAnsiTheme="majorBidi" w:cstheme="majorBidi"/>
        </w:rPr>
        <w:t xml:space="preserve">. Alexandria: </w:t>
      </w:r>
      <w:proofErr w:type="spellStart"/>
      <w:r w:rsidRPr="005F15D3">
        <w:rPr>
          <w:rFonts w:asciiTheme="majorBidi" w:hAnsiTheme="majorBidi" w:cstheme="majorBidi"/>
        </w:rPr>
        <w:t>Moassast</w:t>
      </w:r>
      <w:proofErr w:type="spellEnd"/>
      <w:r w:rsidRPr="005F15D3">
        <w:rPr>
          <w:rFonts w:asciiTheme="majorBidi" w:hAnsiTheme="majorBidi" w:cstheme="majorBidi"/>
        </w:rPr>
        <w:t xml:space="preserve"> AL-</w:t>
      </w:r>
      <w:proofErr w:type="spellStart"/>
      <w:r w:rsidRPr="005F15D3">
        <w:rPr>
          <w:rFonts w:asciiTheme="majorBidi" w:hAnsiTheme="majorBidi" w:cstheme="majorBidi"/>
        </w:rPr>
        <w:t>Thakafa</w:t>
      </w:r>
      <w:proofErr w:type="spellEnd"/>
      <w:r w:rsidRPr="005F15D3">
        <w:rPr>
          <w:rFonts w:asciiTheme="majorBidi" w:hAnsiTheme="majorBidi" w:cstheme="majorBidi"/>
        </w:rPr>
        <w:t xml:space="preserve"> Al-</w:t>
      </w:r>
      <w:proofErr w:type="spellStart"/>
      <w:r w:rsidRPr="005F15D3">
        <w:rPr>
          <w:rFonts w:asciiTheme="majorBidi" w:hAnsiTheme="majorBidi" w:cstheme="majorBidi"/>
        </w:rPr>
        <w:t>Gmayia</w:t>
      </w:r>
      <w:proofErr w:type="spellEnd"/>
      <w:r w:rsidRPr="005F15D3">
        <w:rPr>
          <w:rFonts w:asciiTheme="majorBidi" w:hAnsiTheme="majorBidi" w:cstheme="majorBidi"/>
        </w:rPr>
        <w:t>. (In Arabic).</w:t>
      </w:r>
    </w:p>
    <w:p w14:paraId="169E7067" w14:textId="77777777" w:rsidR="00DA2D2F" w:rsidRPr="005F15D3" w:rsidRDefault="00DA2D2F" w:rsidP="00460AFF">
      <w:pPr>
        <w:pStyle w:val="NormalWeb"/>
        <w:numPr>
          <w:ilvl w:val="0"/>
          <w:numId w:val="18"/>
        </w:numPr>
        <w:spacing w:before="0" w:beforeAutospacing="0" w:after="40" w:afterAutospacing="0" w:line="276" w:lineRule="auto"/>
        <w:jc w:val="both"/>
        <w:rPr>
          <w:rFonts w:asciiTheme="majorBidi" w:hAnsiTheme="majorBidi" w:cstheme="majorBidi"/>
          <w:b/>
          <w:bCs/>
          <w:lang w:bidi="ar-EG"/>
        </w:rPr>
      </w:pPr>
      <w:r w:rsidRPr="005F15D3">
        <w:rPr>
          <w:rFonts w:asciiTheme="majorBidi" w:hAnsiTheme="majorBidi" w:cstheme="majorBidi"/>
          <w:b/>
          <w:bCs/>
        </w:rPr>
        <w:t>Singh, M., et al.</w:t>
      </w:r>
      <w:r w:rsidRPr="005F15D3">
        <w:rPr>
          <w:rFonts w:asciiTheme="majorBidi" w:hAnsiTheme="majorBidi" w:cstheme="majorBidi"/>
        </w:rPr>
        <w:t xml:space="preserve"> (2008). Human comfort at Chandigarh. </w:t>
      </w:r>
      <w:proofErr w:type="spellStart"/>
      <w:r w:rsidRPr="005F15D3">
        <w:rPr>
          <w:rFonts w:asciiTheme="majorBidi" w:hAnsiTheme="majorBidi" w:cstheme="majorBidi"/>
          <w:i/>
          <w:iCs/>
        </w:rPr>
        <w:t>VayuMandal</w:t>
      </w:r>
      <w:proofErr w:type="spellEnd"/>
      <w:r w:rsidRPr="005F15D3">
        <w:rPr>
          <w:rFonts w:asciiTheme="majorBidi" w:hAnsiTheme="majorBidi" w:cstheme="majorBidi"/>
        </w:rPr>
        <w:t xml:space="preserve">, </w:t>
      </w:r>
      <w:r w:rsidRPr="005F15D3">
        <w:rPr>
          <w:rFonts w:asciiTheme="majorBidi" w:hAnsiTheme="majorBidi" w:cstheme="majorBidi"/>
          <w:i/>
          <w:iCs/>
        </w:rPr>
        <w:t>32</w:t>
      </w:r>
      <w:r w:rsidRPr="005F15D3">
        <w:rPr>
          <w:rFonts w:asciiTheme="majorBidi" w:hAnsiTheme="majorBidi" w:cstheme="majorBidi"/>
        </w:rPr>
        <w:t>(3-4), 53–64.</w:t>
      </w:r>
    </w:p>
    <w:p w14:paraId="574ADEF5" w14:textId="77777777" w:rsidR="00DA2D2F" w:rsidRPr="005F15D3" w:rsidRDefault="00DA2D2F" w:rsidP="00460AFF">
      <w:pPr>
        <w:pStyle w:val="NormalWeb"/>
        <w:numPr>
          <w:ilvl w:val="0"/>
          <w:numId w:val="18"/>
        </w:numPr>
        <w:spacing w:before="0" w:beforeAutospacing="0" w:after="40" w:afterAutospacing="0" w:line="276" w:lineRule="auto"/>
        <w:jc w:val="both"/>
        <w:rPr>
          <w:rFonts w:asciiTheme="majorBidi" w:hAnsiTheme="majorBidi" w:cstheme="majorBidi"/>
          <w:b/>
          <w:bCs/>
          <w:lang w:bidi="ar-EG"/>
        </w:rPr>
      </w:pPr>
      <w:r w:rsidRPr="005F15D3">
        <w:rPr>
          <w:rFonts w:asciiTheme="majorBidi" w:hAnsiTheme="majorBidi" w:cstheme="majorBidi"/>
          <w:b/>
          <w:bCs/>
        </w:rPr>
        <w:t>Smith, J.</w:t>
      </w:r>
      <w:r w:rsidRPr="005F15D3">
        <w:rPr>
          <w:rFonts w:asciiTheme="majorBidi" w:hAnsiTheme="majorBidi" w:cstheme="majorBidi"/>
        </w:rPr>
        <w:t xml:space="preserve"> (2006). </w:t>
      </w:r>
      <w:r w:rsidRPr="005F15D3">
        <w:rPr>
          <w:rFonts w:asciiTheme="majorBidi" w:hAnsiTheme="majorBidi" w:cstheme="majorBidi"/>
          <w:i/>
          <w:iCs/>
        </w:rPr>
        <w:t>The facts on file dictionary of weather and climate</w:t>
      </w:r>
      <w:r w:rsidRPr="005F15D3">
        <w:rPr>
          <w:rFonts w:asciiTheme="majorBidi" w:hAnsiTheme="majorBidi" w:cstheme="majorBidi"/>
        </w:rPr>
        <w:t xml:space="preserve">. New York: Facts </w:t>
      </w:r>
      <w:proofErr w:type="gramStart"/>
      <w:r w:rsidRPr="005F15D3">
        <w:rPr>
          <w:rFonts w:asciiTheme="majorBidi" w:hAnsiTheme="majorBidi" w:cstheme="majorBidi"/>
        </w:rPr>
        <w:t>On</w:t>
      </w:r>
      <w:proofErr w:type="gramEnd"/>
      <w:r w:rsidRPr="005F15D3">
        <w:rPr>
          <w:rFonts w:asciiTheme="majorBidi" w:hAnsiTheme="majorBidi" w:cstheme="majorBidi"/>
        </w:rPr>
        <w:t xml:space="preserve"> File, Inc.</w:t>
      </w:r>
    </w:p>
    <w:p w14:paraId="6E58380A" w14:textId="77777777" w:rsidR="00DA2D2F" w:rsidRPr="005F15D3" w:rsidRDefault="00DA2D2F" w:rsidP="00460AFF">
      <w:pPr>
        <w:pStyle w:val="NormalWeb"/>
        <w:numPr>
          <w:ilvl w:val="0"/>
          <w:numId w:val="18"/>
        </w:numPr>
        <w:spacing w:before="0" w:beforeAutospacing="0" w:after="40" w:afterAutospacing="0" w:line="276" w:lineRule="auto"/>
        <w:jc w:val="both"/>
        <w:rPr>
          <w:rFonts w:asciiTheme="majorBidi" w:hAnsiTheme="majorBidi" w:cstheme="majorBidi"/>
          <w:b/>
          <w:bCs/>
          <w:lang w:bidi="ar-EG"/>
        </w:rPr>
      </w:pPr>
      <w:r w:rsidRPr="005F15D3">
        <w:rPr>
          <w:rFonts w:asciiTheme="majorBidi" w:hAnsiTheme="majorBidi" w:cstheme="majorBidi"/>
          <w:b/>
          <w:bCs/>
        </w:rPr>
        <w:t>Smith, S.</w:t>
      </w:r>
      <w:r w:rsidRPr="005F15D3">
        <w:rPr>
          <w:rFonts w:asciiTheme="majorBidi" w:hAnsiTheme="majorBidi" w:cstheme="majorBidi"/>
        </w:rPr>
        <w:t xml:space="preserve"> (1995). </w:t>
      </w:r>
      <w:r w:rsidRPr="005F15D3">
        <w:rPr>
          <w:rFonts w:asciiTheme="majorBidi" w:hAnsiTheme="majorBidi" w:cstheme="majorBidi"/>
          <w:i/>
          <w:iCs/>
        </w:rPr>
        <w:t>Tourism analysis</w:t>
      </w:r>
      <w:r w:rsidRPr="005F15D3">
        <w:rPr>
          <w:rFonts w:asciiTheme="majorBidi" w:hAnsiTheme="majorBidi" w:cstheme="majorBidi"/>
        </w:rPr>
        <w:t xml:space="preserve"> (2</w:t>
      </w:r>
      <w:r w:rsidRPr="005F15D3">
        <w:rPr>
          <w:rFonts w:asciiTheme="majorBidi" w:hAnsiTheme="majorBidi" w:cstheme="majorBidi"/>
          <w:vertAlign w:val="superscript"/>
        </w:rPr>
        <w:t>nd</w:t>
      </w:r>
      <w:r w:rsidRPr="005F15D3">
        <w:rPr>
          <w:rFonts w:asciiTheme="majorBidi" w:hAnsiTheme="majorBidi" w:cstheme="majorBidi"/>
        </w:rPr>
        <w:t xml:space="preserve"> Ed.). London: Longman Group Limited.</w:t>
      </w:r>
    </w:p>
    <w:p w14:paraId="496ACC12" w14:textId="77777777" w:rsidR="00DA2D2F" w:rsidRPr="005F15D3" w:rsidRDefault="00DA2D2F" w:rsidP="00460AFF">
      <w:pPr>
        <w:pStyle w:val="NormalWeb"/>
        <w:numPr>
          <w:ilvl w:val="0"/>
          <w:numId w:val="18"/>
        </w:numPr>
        <w:spacing w:before="0" w:beforeAutospacing="0" w:after="40" w:afterAutospacing="0" w:line="276" w:lineRule="auto"/>
        <w:jc w:val="both"/>
        <w:rPr>
          <w:rFonts w:asciiTheme="majorBidi" w:hAnsiTheme="majorBidi" w:cstheme="majorBidi"/>
          <w:b/>
          <w:bCs/>
          <w:lang w:bidi="ar-EG"/>
        </w:rPr>
      </w:pPr>
      <w:r w:rsidRPr="005F15D3">
        <w:rPr>
          <w:rFonts w:asciiTheme="majorBidi" w:hAnsiTheme="majorBidi" w:cstheme="majorBidi"/>
          <w:b/>
          <w:bCs/>
        </w:rPr>
        <w:t>South Sinai Governorate Electronic Portal.</w:t>
      </w:r>
      <w:r w:rsidRPr="005F15D3">
        <w:rPr>
          <w:rFonts w:asciiTheme="majorBidi" w:hAnsiTheme="majorBidi" w:cstheme="majorBidi"/>
        </w:rPr>
        <w:t xml:space="preserve"> (2024, September 9). </w:t>
      </w:r>
      <w:r w:rsidRPr="005F15D3">
        <w:rPr>
          <w:rFonts w:asciiTheme="majorBidi" w:hAnsiTheme="majorBidi" w:cstheme="majorBidi"/>
          <w:i/>
          <w:iCs/>
        </w:rPr>
        <w:t>About the Governorate</w:t>
      </w:r>
      <w:r w:rsidRPr="005F15D3">
        <w:rPr>
          <w:rFonts w:asciiTheme="majorBidi" w:hAnsiTheme="majorBidi" w:cstheme="majorBidi"/>
        </w:rPr>
        <w:t xml:space="preserve">. Retrieved from </w:t>
      </w:r>
      <w:hyperlink r:id="rId16" w:tgtFrame="_blank" w:history="1">
        <w:r w:rsidRPr="005F15D3">
          <w:rPr>
            <w:rFonts w:asciiTheme="majorBidi" w:hAnsiTheme="majorBidi" w:cstheme="majorBidi"/>
            <w:u w:val="single"/>
          </w:rPr>
          <w:t>https://www.southsinai.gov.eg/</w:t>
        </w:r>
      </w:hyperlink>
      <w:r w:rsidRPr="005F15D3">
        <w:rPr>
          <w:rFonts w:asciiTheme="majorBidi" w:hAnsiTheme="majorBidi" w:cstheme="majorBidi"/>
        </w:rPr>
        <w:t>.</w:t>
      </w:r>
    </w:p>
    <w:p w14:paraId="2123B2DF" w14:textId="77777777" w:rsidR="00DA2D2F" w:rsidRPr="005F15D3" w:rsidRDefault="00C6387A" w:rsidP="00460AFF">
      <w:pPr>
        <w:pStyle w:val="NormalWeb"/>
        <w:numPr>
          <w:ilvl w:val="0"/>
          <w:numId w:val="18"/>
        </w:numPr>
        <w:spacing w:before="0" w:beforeAutospacing="0" w:after="40" w:afterAutospacing="0" w:line="276" w:lineRule="auto"/>
        <w:jc w:val="both"/>
        <w:rPr>
          <w:rFonts w:asciiTheme="majorBidi" w:hAnsiTheme="majorBidi" w:cstheme="majorBidi"/>
          <w:b/>
          <w:bCs/>
          <w:lang w:bidi="ar-EG"/>
        </w:rPr>
      </w:pPr>
      <w:r w:rsidRPr="005F15D3">
        <w:rPr>
          <w:rFonts w:asciiTheme="majorBidi" w:hAnsiTheme="majorBidi" w:cstheme="majorBidi"/>
          <w:b/>
          <w:bCs/>
        </w:rPr>
        <w:t>Statistics Department.</w:t>
      </w:r>
      <w:r w:rsidRPr="005F15D3">
        <w:rPr>
          <w:rFonts w:asciiTheme="majorBidi" w:hAnsiTheme="majorBidi" w:cstheme="majorBidi"/>
        </w:rPr>
        <w:t xml:space="preserve"> (2024). </w:t>
      </w:r>
      <w:r w:rsidRPr="005F15D3">
        <w:rPr>
          <w:rFonts w:asciiTheme="majorBidi" w:hAnsiTheme="majorBidi" w:cstheme="majorBidi"/>
          <w:i/>
          <w:iCs/>
        </w:rPr>
        <w:t>Tourist numbers</w:t>
      </w:r>
      <w:r w:rsidRPr="005F15D3">
        <w:rPr>
          <w:rFonts w:asciiTheme="majorBidi" w:hAnsiTheme="majorBidi" w:cstheme="majorBidi"/>
        </w:rPr>
        <w:t>. South Sinai Governorate: Information and Decision Support Center.</w:t>
      </w:r>
    </w:p>
    <w:p w14:paraId="7191D0CD" w14:textId="77777777" w:rsidR="00ED03B7" w:rsidRPr="00460AFF" w:rsidRDefault="00C6387A" w:rsidP="00460AFF">
      <w:pPr>
        <w:pStyle w:val="NormalWeb"/>
        <w:numPr>
          <w:ilvl w:val="0"/>
          <w:numId w:val="18"/>
        </w:numPr>
        <w:spacing w:before="0" w:beforeAutospacing="0" w:after="40" w:afterAutospacing="0" w:line="276" w:lineRule="auto"/>
        <w:jc w:val="both"/>
        <w:rPr>
          <w:rFonts w:asciiTheme="majorBidi" w:hAnsiTheme="majorBidi" w:cstheme="majorBidi"/>
          <w:b/>
          <w:bCs/>
          <w:lang w:bidi="ar-EG"/>
        </w:rPr>
      </w:pPr>
      <w:r w:rsidRPr="005F15D3">
        <w:rPr>
          <w:rFonts w:asciiTheme="majorBidi" w:hAnsiTheme="majorBidi" w:cstheme="majorBidi"/>
          <w:b/>
          <w:bCs/>
        </w:rPr>
        <w:t>Thom, E. C.</w:t>
      </w:r>
      <w:r w:rsidRPr="005F15D3">
        <w:rPr>
          <w:rFonts w:asciiTheme="majorBidi" w:hAnsiTheme="majorBidi" w:cstheme="majorBidi"/>
        </w:rPr>
        <w:t xml:space="preserve"> (1959). The Discomfort Index. </w:t>
      </w:r>
      <w:r w:rsidRPr="005F15D3">
        <w:rPr>
          <w:rFonts w:asciiTheme="majorBidi" w:hAnsiTheme="majorBidi" w:cstheme="majorBidi"/>
          <w:i/>
          <w:iCs/>
        </w:rPr>
        <w:t>Weatherwise</w:t>
      </w:r>
      <w:r w:rsidRPr="005F15D3">
        <w:rPr>
          <w:rFonts w:asciiTheme="majorBidi" w:hAnsiTheme="majorBidi" w:cstheme="majorBidi"/>
        </w:rPr>
        <w:t xml:space="preserve">, </w:t>
      </w:r>
      <w:r w:rsidRPr="005F15D3">
        <w:rPr>
          <w:rFonts w:asciiTheme="majorBidi" w:hAnsiTheme="majorBidi" w:cstheme="majorBidi"/>
          <w:i/>
          <w:iCs/>
        </w:rPr>
        <w:t>12</w:t>
      </w:r>
      <w:r w:rsidRPr="005F15D3">
        <w:rPr>
          <w:rFonts w:asciiTheme="majorBidi" w:hAnsiTheme="majorBidi" w:cstheme="majorBidi"/>
        </w:rPr>
        <w:t>(2), 57–61.</w:t>
      </w:r>
    </w:p>
    <w:sectPr w:rsidR="00ED03B7" w:rsidRPr="00460AFF" w:rsidSect="00002ED5">
      <w:headerReference w:type="even" r:id="rId17"/>
      <w:headerReference w:type="default" r:id="rId18"/>
      <w:footerReference w:type="even" r:id="rId19"/>
      <w:footerReference w:type="default" r:id="rId20"/>
      <w:headerReference w:type="first" r:id="rId21"/>
      <w:footerReference w:type="first" r:id="rId22"/>
      <w:footnotePr>
        <w:numRestart w:val="eachPage"/>
      </w:footnotePr>
      <w:pgSz w:w="12240" w:h="15840"/>
      <w:pgMar w:top="1296" w:right="1008" w:bottom="1152" w:left="1008" w:header="43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C34A63" w14:textId="77777777" w:rsidR="00460F45" w:rsidRDefault="00460F45" w:rsidP="00DC2C00">
      <w:pPr>
        <w:spacing w:after="0" w:line="240" w:lineRule="auto"/>
      </w:pPr>
      <w:r>
        <w:separator/>
      </w:r>
    </w:p>
  </w:endnote>
  <w:endnote w:type="continuationSeparator" w:id="0">
    <w:p w14:paraId="724462CB" w14:textId="77777777" w:rsidR="00460F45" w:rsidRDefault="00460F45" w:rsidP="00DC2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imesNewRomanPSMT">
    <w:altName w:val="Microsoft JhengHei"/>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65082" w14:textId="77777777" w:rsidR="00B70523" w:rsidRDefault="00B705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7057284"/>
      <w:docPartObj>
        <w:docPartGallery w:val="Page Numbers (Bottom of Page)"/>
        <w:docPartUnique/>
      </w:docPartObj>
    </w:sdtPr>
    <w:sdtEndPr>
      <w:rPr>
        <w:noProof/>
      </w:rPr>
    </w:sdtEndPr>
    <w:sdtContent>
      <w:p w14:paraId="286DECA8" w14:textId="77777777" w:rsidR="005F15D3" w:rsidRDefault="005F15D3">
        <w:pPr>
          <w:pStyle w:val="Footer"/>
          <w:jc w:val="right"/>
        </w:pPr>
        <w:r>
          <w:fldChar w:fldCharType="begin"/>
        </w:r>
        <w:r>
          <w:instrText xml:space="preserve"> PAGE   \* MERGEFORMAT </w:instrText>
        </w:r>
        <w:r>
          <w:fldChar w:fldCharType="separate"/>
        </w:r>
        <w:r w:rsidR="00876209">
          <w:rPr>
            <w:noProof/>
          </w:rPr>
          <w:t>1</w:t>
        </w:r>
        <w:r>
          <w:rPr>
            <w:noProof/>
          </w:rPr>
          <w:fldChar w:fldCharType="end"/>
        </w:r>
      </w:p>
    </w:sdtContent>
  </w:sdt>
  <w:p w14:paraId="1C1C9E75" w14:textId="77777777" w:rsidR="00D32D4D" w:rsidRDefault="00D32D4D" w:rsidP="00622587">
    <w:pPr>
      <w:pStyle w:val="Footer"/>
      <w:tabs>
        <w:tab w:val="left" w:pos="3375"/>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E15E4" w14:textId="77777777" w:rsidR="00B70523" w:rsidRDefault="00B705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B48084" w14:textId="77777777" w:rsidR="00460F45" w:rsidRDefault="00460F45" w:rsidP="00DC2C00">
      <w:pPr>
        <w:spacing w:after="0" w:line="240" w:lineRule="auto"/>
      </w:pPr>
      <w:r>
        <w:separator/>
      </w:r>
    </w:p>
  </w:footnote>
  <w:footnote w:type="continuationSeparator" w:id="0">
    <w:p w14:paraId="5AADDD30" w14:textId="77777777" w:rsidR="00460F45" w:rsidRDefault="00460F45" w:rsidP="00DC2C00">
      <w:pPr>
        <w:spacing w:after="0" w:line="240" w:lineRule="auto"/>
      </w:pPr>
      <w:r>
        <w:continuationSeparator/>
      </w:r>
    </w:p>
  </w:footnote>
  <w:footnote w:id="1">
    <w:p w14:paraId="29E7FF6A" w14:textId="77777777" w:rsidR="00D32D4D" w:rsidRPr="00460AFF" w:rsidRDefault="00D32D4D" w:rsidP="003527D5">
      <w:pPr>
        <w:pStyle w:val="FootnoteText"/>
        <w:rPr>
          <w:sz w:val="18"/>
          <w:szCs w:val="18"/>
        </w:rPr>
      </w:pPr>
      <w:r w:rsidRPr="00460AFF">
        <w:rPr>
          <w:sz w:val="22"/>
          <w:szCs w:val="22"/>
        </w:rPr>
        <w:t>(</w:t>
      </w:r>
      <w:r w:rsidRPr="00460AFF">
        <w:rPr>
          <w:rStyle w:val="FootnoteReference"/>
          <w:sz w:val="22"/>
          <w:szCs w:val="22"/>
        </w:rPr>
        <w:footnoteRef/>
      </w:r>
      <w:r w:rsidRPr="00460AFF">
        <w:rPr>
          <w:sz w:val="22"/>
          <w:szCs w:val="22"/>
        </w:rPr>
        <w:t>)</w:t>
      </w:r>
      <w:r w:rsidRPr="00460AFF">
        <w:rPr>
          <w:sz w:val="18"/>
          <w:szCs w:val="18"/>
        </w:rPr>
        <w:t xml:space="preserve"> </w:t>
      </w:r>
      <w:r w:rsidRPr="00460AFF">
        <w:rPr>
          <w:rFonts w:ascii="Times New Roman" w:eastAsia="Times New Roman" w:hAnsi="Times New Roman" w:cs="Times New Roman"/>
          <w:sz w:val="22"/>
          <w:szCs w:val="22"/>
        </w:rPr>
        <w:t>Knot = 1.85 km/h.</w:t>
      </w:r>
      <w:r w:rsidRPr="00460AFF">
        <w:rPr>
          <w:sz w:val="18"/>
          <w:szCs w:val="18"/>
        </w:rPr>
        <w:t xml:space="preserve"> </w:t>
      </w:r>
    </w:p>
  </w:footnote>
  <w:footnote w:id="2">
    <w:p w14:paraId="443E426D" w14:textId="77777777" w:rsidR="00D32D4D" w:rsidRPr="00460AFF" w:rsidRDefault="00D32D4D" w:rsidP="00343776">
      <w:pPr>
        <w:pStyle w:val="FootnoteText"/>
        <w:rPr>
          <w:rFonts w:asciiTheme="majorBidi" w:hAnsiTheme="majorBidi" w:cstheme="majorBidi"/>
          <w:sz w:val="22"/>
          <w:szCs w:val="22"/>
        </w:rPr>
      </w:pPr>
      <w:r w:rsidRPr="00460AFF">
        <w:rPr>
          <w:rFonts w:asciiTheme="majorBidi" w:hAnsiTheme="majorBidi" w:cstheme="majorBidi"/>
          <w:sz w:val="22"/>
          <w:szCs w:val="22"/>
        </w:rPr>
        <w:t>(</w:t>
      </w:r>
      <w:r w:rsidRPr="00460AFF">
        <w:rPr>
          <w:rStyle w:val="FootnoteReference"/>
          <w:rFonts w:asciiTheme="majorBidi" w:hAnsiTheme="majorBidi" w:cstheme="majorBidi"/>
          <w:sz w:val="22"/>
          <w:szCs w:val="22"/>
        </w:rPr>
        <w:footnoteRef/>
      </w:r>
      <w:r w:rsidRPr="00460AFF">
        <w:rPr>
          <w:rFonts w:asciiTheme="majorBidi" w:hAnsiTheme="majorBidi" w:cstheme="majorBidi"/>
          <w:sz w:val="22"/>
          <w:szCs w:val="22"/>
        </w:rPr>
        <w:t>) International Institute for Sustainable Development.</w:t>
      </w:r>
    </w:p>
  </w:footnote>
  <w:footnote w:id="3">
    <w:p w14:paraId="23871CED" w14:textId="77777777" w:rsidR="00D32D4D" w:rsidRPr="00460AFF" w:rsidRDefault="00D32D4D" w:rsidP="00343776">
      <w:pPr>
        <w:pStyle w:val="FootnoteText"/>
        <w:rPr>
          <w:rFonts w:asciiTheme="majorBidi" w:hAnsiTheme="majorBidi" w:cstheme="majorBidi"/>
          <w:sz w:val="24"/>
          <w:szCs w:val="24"/>
        </w:rPr>
      </w:pPr>
      <w:r w:rsidRPr="00460AFF">
        <w:rPr>
          <w:rFonts w:asciiTheme="majorBidi" w:hAnsiTheme="majorBidi" w:cstheme="majorBidi"/>
          <w:sz w:val="22"/>
          <w:szCs w:val="22"/>
        </w:rPr>
        <w:t>(</w:t>
      </w:r>
      <w:r w:rsidRPr="00460AFF">
        <w:rPr>
          <w:rStyle w:val="FootnoteReference"/>
          <w:rFonts w:asciiTheme="majorBidi" w:hAnsiTheme="majorBidi" w:cstheme="majorBidi"/>
          <w:sz w:val="22"/>
          <w:szCs w:val="22"/>
        </w:rPr>
        <w:footnoteRef/>
      </w:r>
      <w:r w:rsidRPr="00460AFF">
        <w:rPr>
          <w:rFonts w:asciiTheme="majorBidi" w:hAnsiTheme="majorBidi" w:cstheme="majorBidi"/>
          <w:sz w:val="22"/>
          <w:szCs w:val="22"/>
        </w:rPr>
        <w:t xml:space="preserve">) Chamber of Diving and Water Sports. </w:t>
      </w:r>
    </w:p>
  </w:footnote>
  <w:footnote w:id="4">
    <w:p w14:paraId="116D74F6" w14:textId="77777777" w:rsidR="00D32D4D" w:rsidRPr="005F15D3" w:rsidRDefault="00D32D4D" w:rsidP="0017051D">
      <w:pPr>
        <w:spacing w:after="0" w:line="240" w:lineRule="auto"/>
        <w:jc w:val="both"/>
        <w:rPr>
          <w:rFonts w:asciiTheme="majorBidi" w:hAnsiTheme="majorBidi" w:cstheme="majorBidi"/>
        </w:rPr>
      </w:pPr>
      <w:r w:rsidRPr="005F15D3">
        <w:rPr>
          <w:rFonts w:asciiTheme="majorBidi" w:hAnsiTheme="majorBidi" w:cstheme="majorBidi"/>
        </w:rPr>
        <w:t>(</w:t>
      </w:r>
      <w:r w:rsidRPr="005F15D3">
        <w:rPr>
          <w:rStyle w:val="FootnoteReference"/>
          <w:rFonts w:asciiTheme="majorBidi" w:hAnsiTheme="majorBidi" w:cstheme="majorBidi"/>
        </w:rPr>
        <w:footnoteRef/>
      </w:r>
      <w:r w:rsidRPr="005F15D3">
        <w:rPr>
          <w:rFonts w:asciiTheme="majorBidi" w:hAnsiTheme="majorBidi" w:cstheme="majorBidi"/>
        </w:rPr>
        <w:t>)</w:t>
      </w:r>
      <w:r w:rsidRPr="005F15D3">
        <w:rPr>
          <w:rFonts w:asciiTheme="majorBidi" w:eastAsia="Times New Roman" w:hAnsiTheme="majorBidi" w:cstheme="majorBidi"/>
          <w:b/>
          <w:bCs/>
        </w:rPr>
        <w:t>y</w:t>
      </w:r>
      <w:r w:rsidRPr="005F15D3">
        <w:rPr>
          <w:rFonts w:asciiTheme="majorBidi" w:eastAsia="Times New Roman" w:hAnsiTheme="majorBidi" w:cstheme="majorBidi"/>
          <w:b/>
          <w:bCs/>
          <w:vertAlign w:val="superscript"/>
        </w:rPr>
        <w:t>^</w:t>
      </w:r>
      <w:r w:rsidRPr="005F15D3">
        <w:rPr>
          <w:rFonts w:asciiTheme="majorBidi" w:eastAsia="Times New Roman" w:hAnsiTheme="majorBidi" w:cstheme="majorBidi"/>
          <w:b/>
          <w:bCs/>
        </w:rPr>
        <w:t xml:space="preserve"> = mx + </w:t>
      </w:r>
      <w:proofErr w:type="gramStart"/>
      <w:r w:rsidRPr="005F15D3">
        <w:rPr>
          <w:rFonts w:asciiTheme="majorBidi" w:eastAsia="Times New Roman" w:hAnsiTheme="majorBidi" w:cstheme="majorBidi"/>
          <w:b/>
          <w:bCs/>
        </w:rPr>
        <w:t xml:space="preserve">c,   </w:t>
      </w:r>
      <w:proofErr w:type="gramEnd"/>
      <w:r w:rsidRPr="005F15D3">
        <w:rPr>
          <w:rFonts w:asciiTheme="majorBidi" w:hAnsiTheme="majorBidi" w:cstheme="majorBidi"/>
        </w:rPr>
        <w:t xml:space="preserve">where: </w:t>
      </w:r>
    </w:p>
    <w:p w14:paraId="2F2CB212" w14:textId="77777777" w:rsidR="00D32D4D" w:rsidRPr="005F15D3" w:rsidRDefault="00D32D4D" w:rsidP="000C75DA">
      <w:pPr>
        <w:pStyle w:val="NormalWeb"/>
        <w:spacing w:before="0" w:beforeAutospacing="0" w:after="0" w:afterAutospacing="0"/>
        <w:rPr>
          <w:sz w:val="22"/>
          <w:szCs w:val="22"/>
        </w:rPr>
      </w:pPr>
      <w:r w:rsidRPr="005F15D3">
        <w:rPr>
          <w:rFonts w:asciiTheme="majorBidi" w:hAnsiTheme="majorBidi" w:cstheme="majorBidi"/>
          <w:b/>
          <w:bCs/>
          <w:sz w:val="22"/>
          <w:szCs w:val="22"/>
        </w:rPr>
        <w:t>y</w:t>
      </w:r>
      <w:r w:rsidRPr="005F15D3">
        <w:rPr>
          <w:rFonts w:asciiTheme="majorBidi" w:hAnsiTheme="majorBidi" w:cstheme="majorBidi"/>
          <w:b/>
          <w:bCs/>
          <w:sz w:val="22"/>
          <w:szCs w:val="22"/>
          <w:vertAlign w:val="superscript"/>
        </w:rPr>
        <w:t>^</w:t>
      </w:r>
      <w:r w:rsidRPr="005F15D3">
        <w:rPr>
          <w:rFonts w:asciiTheme="majorBidi" w:hAnsiTheme="majorBidi" w:cstheme="majorBidi"/>
          <w:sz w:val="22"/>
          <w:szCs w:val="22"/>
        </w:rPr>
        <w:t>: Vector value of the phenomenon (number of tourists or tourist nights).</w:t>
      </w:r>
      <w:r w:rsidRPr="005F15D3">
        <w:rPr>
          <w:rStyle w:val="math-inline"/>
          <w:rFonts w:asciiTheme="majorBidi" w:hAnsiTheme="majorBidi" w:cstheme="majorBidi"/>
          <w:sz w:val="22"/>
          <w:szCs w:val="22"/>
        </w:rPr>
        <w:t xml:space="preserve"> x:</w:t>
      </w:r>
      <w:r w:rsidRPr="005F15D3">
        <w:rPr>
          <w:rFonts w:asciiTheme="majorBidi" w:hAnsiTheme="majorBidi" w:cstheme="majorBidi"/>
          <w:sz w:val="22"/>
          <w:szCs w:val="22"/>
        </w:rPr>
        <w:t xml:space="preserve"> Series of successive dates over which the phenomenon is studied.</w:t>
      </w:r>
      <w:r w:rsidRPr="005F15D3">
        <w:rPr>
          <w:rStyle w:val="math-inline"/>
          <w:sz w:val="22"/>
          <w:szCs w:val="22"/>
        </w:rPr>
        <w:t xml:space="preserve"> </w:t>
      </w:r>
      <w:r w:rsidRPr="005F15D3">
        <w:rPr>
          <w:rStyle w:val="math-inline"/>
          <w:rFonts w:asciiTheme="majorBidi" w:hAnsiTheme="majorBidi" w:cstheme="majorBidi"/>
          <w:sz w:val="22"/>
          <w:szCs w:val="22"/>
        </w:rPr>
        <w:t>c:</w:t>
      </w:r>
      <w:r w:rsidRPr="005F15D3">
        <w:rPr>
          <w:rStyle w:val="math-inline"/>
          <w:sz w:val="22"/>
          <w:szCs w:val="22"/>
        </w:rPr>
        <w:t xml:space="preserve"> A constant indicating the y-intercept (the point where the straight line intersects the </w:t>
      </w:r>
      <w:r w:rsidRPr="005F15D3">
        <w:rPr>
          <w:rStyle w:val="math-inline"/>
          <w:rFonts w:asciiTheme="majorBidi" w:hAnsiTheme="majorBidi" w:cstheme="majorBidi"/>
          <w:sz w:val="22"/>
          <w:szCs w:val="22"/>
        </w:rPr>
        <w:t>y</w:t>
      </w:r>
      <w:r w:rsidRPr="005F15D3">
        <w:rPr>
          <w:rStyle w:val="math-inline"/>
          <w:sz w:val="22"/>
          <w:szCs w:val="22"/>
        </w:rPr>
        <w:t xml:space="preserve">-axis), calculated as: </w:t>
      </w:r>
      <m:oMath>
        <m:r>
          <w:rPr>
            <w:rStyle w:val="math-inline"/>
            <w:rFonts w:ascii="Cambria Math" w:hAnsi="Cambria Math" w:cstheme="majorBidi"/>
            <w:sz w:val="22"/>
            <w:szCs w:val="22"/>
          </w:rPr>
          <m:t>c</m:t>
        </m:r>
        <m:r>
          <m:rPr>
            <m:sty m:val="p"/>
          </m:rPr>
          <w:rPr>
            <w:rStyle w:val="math-inline"/>
            <w:rFonts w:ascii="Cambria Math" w:hAnsi="Cambria Math" w:cstheme="majorBidi"/>
            <w:sz w:val="22"/>
            <w:szCs w:val="22"/>
          </w:rPr>
          <m:t>=</m:t>
        </m:r>
        <m:f>
          <m:fPr>
            <m:ctrlPr>
              <w:rPr>
                <w:rStyle w:val="math-inline"/>
                <w:rFonts w:ascii="Cambria Math" w:eastAsiaTheme="minorHAnsi" w:hAnsi="Cambria Math" w:cstheme="majorBidi"/>
                <w:sz w:val="22"/>
                <w:szCs w:val="22"/>
              </w:rPr>
            </m:ctrlPr>
          </m:fPr>
          <m:num>
            <m:nary>
              <m:naryPr>
                <m:chr m:val="∑"/>
                <m:limLoc m:val="undOvr"/>
                <m:subHide m:val="1"/>
                <m:supHide m:val="1"/>
                <m:ctrlPr>
                  <w:rPr>
                    <w:rStyle w:val="math-inline"/>
                    <w:rFonts w:ascii="Cambria Math" w:eastAsiaTheme="minorHAnsi" w:hAnsi="Cambria Math" w:cstheme="majorBidi"/>
                    <w:sz w:val="22"/>
                    <w:szCs w:val="22"/>
                  </w:rPr>
                </m:ctrlPr>
              </m:naryPr>
              <m:sub/>
              <m:sup/>
              <m:e>
                <m:r>
                  <w:rPr>
                    <w:rStyle w:val="math-inline"/>
                    <w:rFonts w:ascii="Cambria Math" w:hAnsi="Cambria Math" w:cstheme="majorBidi"/>
                    <w:sz w:val="22"/>
                    <w:szCs w:val="22"/>
                  </w:rPr>
                  <m:t>y</m:t>
                </m:r>
              </m:e>
            </m:nary>
          </m:num>
          <m:den>
            <m:r>
              <w:rPr>
                <w:rStyle w:val="math-inline"/>
                <w:rFonts w:ascii="Cambria Math" w:hAnsi="Cambria Math" w:cstheme="majorBidi"/>
                <w:sz w:val="22"/>
                <w:szCs w:val="22"/>
              </w:rPr>
              <m:t>n</m:t>
            </m:r>
          </m:den>
        </m:f>
      </m:oMath>
      <w:r w:rsidRPr="005F15D3">
        <w:rPr>
          <w:rStyle w:val="math-inline"/>
          <w:rFonts w:asciiTheme="majorBidi" w:hAnsiTheme="majorBidi" w:cstheme="majorBidi"/>
          <w:sz w:val="22"/>
          <w:szCs w:val="22"/>
        </w:rPr>
        <w:t xml:space="preserve"> . m:</w:t>
      </w:r>
      <w:r w:rsidRPr="005F15D3">
        <w:rPr>
          <w:rFonts w:asciiTheme="majorBidi" w:hAnsiTheme="majorBidi" w:cstheme="majorBidi"/>
          <w:sz w:val="22"/>
          <w:szCs w:val="22"/>
        </w:rPr>
        <w:t xml:space="preserve"> A constant indicating the slope of the straight line, calculated as: </w:t>
      </w:r>
      <m:oMath>
        <m:r>
          <m:rPr>
            <m:sty m:val="p"/>
          </m:rPr>
          <w:rPr>
            <w:rStyle w:val="math-inline"/>
            <w:rFonts w:ascii="Cambria Math" w:hAnsi="Cambria Math" w:cstheme="majorBidi"/>
            <w:sz w:val="22"/>
            <w:szCs w:val="22"/>
          </w:rPr>
          <m:t>m=</m:t>
        </m:r>
        <m:f>
          <m:fPr>
            <m:ctrlPr>
              <w:rPr>
                <w:rStyle w:val="math-inline"/>
                <w:rFonts w:ascii="Cambria Math" w:eastAsiaTheme="minorEastAsia" w:hAnsi="Cambria Math" w:cstheme="majorBidi"/>
                <w:sz w:val="22"/>
                <w:szCs w:val="22"/>
              </w:rPr>
            </m:ctrlPr>
          </m:fPr>
          <m:num>
            <m:nary>
              <m:naryPr>
                <m:chr m:val="∑"/>
                <m:limLoc m:val="undOvr"/>
                <m:subHide m:val="1"/>
                <m:supHide m:val="1"/>
                <m:ctrlPr>
                  <w:rPr>
                    <w:rStyle w:val="math-inline"/>
                    <w:rFonts w:ascii="Cambria Math" w:eastAsiaTheme="minorEastAsia" w:hAnsi="Cambria Math" w:cstheme="majorBidi"/>
                    <w:sz w:val="22"/>
                    <w:szCs w:val="22"/>
                  </w:rPr>
                </m:ctrlPr>
              </m:naryPr>
              <m:sub/>
              <m:sup/>
              <m:e>
                <m:r>
                  <m:rPr>
                    <m:sty m:val="p"/>
                  </m:rPr>
                  <w:rPr>
                    <w:rStyle w:val="math-inline"/>
                    <w:rFonts w:ascii="Cambria Math" w:hAnsi="Cambria Math" w:cstheme="majorBidi"/>
                    <w:sz w:val="22"/>
                    <w:szCs w:val="22"/>
                  </w:rPr>
                  <m:t>xy</m:t>
                </m:r>
              </m:e>
            </m:nary>
          </m:num>
          <m:den>
            <m:r>
              <m:rPr>
                <m:sty m:val="p"/>
              </m:rPr>
              <w:rPr>
                <w:rStyle w:val="math-inline"/>
                <w:rFonts w:ascii="Cambria Math" w:hAnsi="Cambria Math" w:cstheme="majorBidi"/>
                <w:sz w:val="22"/>
                <w:szCs w:val="22"/>
              </w:rPr>
              <m:t>x²</m:t>
            </m:r>
          </m:den>
        </m:f>
      </m:oMath>
      <w:r w:rsidRPr="005F15D3">
        <w:rPr>
          <w:rStyle w:val="math-inline"/>
          <w:rFonts w:asciiTheme="majorBidi" w:hAnsiTheme="majorBidi" w:cstheme="majorBidi"/>
          <w:sz w:val="22"/>
          <w:szCs w:val="22"/>
        </w:rPr>
        <w:t xml:space="preserve"> . </w:t>
      </w:r>
      <w:r w:rsidRPr="005F15D3">
        <w:rPr>
          <w:rFonts w:asciiTheme="majorBidi" w:hAnsiTheme="majorBidi" w:cstheme="majorBidi"/>
          <w:sz w:val="22"/>
          <w:szCs w:val="22"/>
        </w:rPr>
        <w:t>y: Actual value that the studied tourism phenomenon takes in the successive time series over the year. n: Duration of the study (number of observations)</w:t>
      </w:r>
      <w:r w:rsidRPr="005F15D3">
        <w:rPr>
          <w:sz w:val="22"/>
          <w:szCs w:val="22"/>
        </w:rPr>
        <w:t xml:space="preserve"> (Al-Ghammaz, 1997, 240; Hammouda, 2000, 275–279).</w:t>
      </w:r>
    </w:p>
  </w:footnote>
  <w:footnote w:id="5">
    <w:p w14:paraId="60B838ED" w14:textId="77777777" w:rsidR="00952001" w:rsidRPr="005F15D3" w:rsidRDefault="00952001" w:rsidP="00952001">
      <w:pPr>
        <w:pStyle w:val="NormalWeb"/>
        <w:spacing w:before="0" w:beforeAutospacing="0" w:after="0" w:afterAutospacing="0"/>
        <w:jc w:val="both"/>
        <w:rPr>
          <w:sz w:val="22"/>
          <w:szCs w:val="22"/>
        </w:rPr>
      </w:pPr>
      <w:r w:rsidRPr="005F15D3">
        <w:rPr>
          <w:rFonts w:asciiTheme="majorBidi" w:hAnsiTheme="majorBidi" w:cstheme="majorBidi"/>
          <w:sz w:val="22"/>
          <w:szCs w:val="22"/>
        </w:rPr>
        <w:t>(</w:t>
      </w:r>
      <w:r w:rsidRPr="005F15D3">
        <w:rPr>
          <w:rStyle w:val="FootnoteReference"/>
          <w:rFonts w:asciiTheme="majorBidi" w:hAnsiTheme="majorBidi" w:cstheme="majorBidi"/>
          <w:sz w:val="22"/>
          <w:szCs w:val="22"/>
        </w:rPr>
        <w:footnoteRef/>
      </w:r>
      <w:r w:rsidRPr="005F15D3">
        <w:rPr>
          <w:rFonts w:asciiTheme="majorBidi" w:hAnsiTheme="majorBidi" w:cstheme="majorBidi"/>
          <w:sz w:val="22"/>
          <w:szCs w:val="22"/>
        </w:rPr>
        <w:t xml:space="preserve">)- </w:t>
      </w:r>
      <w:r w:rsidRPr="005F15D3">
        <w:rPr>
          <w:sz w:val="22"/>
          <w:szCs w:val="22"/>
        </w:rPr>
        <w:t>The Peaking Index is used to provide a quantitative measure of the tendency of a population to utilize a certain facility (establishment) or visit a destination during one time period as opposed to other time periods. The index is an open-ended scale, with its lowest value being zero. The higher the utilization, the greater the index value. The index is derived from a graph known as the exceedance curve, which illustrates the number of times a certain level of utilization was reached or exceeded. This index is useful for planners and developers of tourism and recreational programs to identify the seasons of intensive utilization of tourism and recreational facilities. The index is calculated using the following eq.:</w:t>
      </w:r>
    </w:p>
    <w:p w14:paraId="166CB484" w14:textId="77777777" w:rsidR="00952001" w:rsidRPr="005F15D3" w:rsidRDefault="00952001" w:rsidP="00952001">
      <w:pPr>
        <w:pStyle w:val="NormalWeb"/>
        <w:spacing w:before="0" w:beforeAutospacing="0" w:after="0" w:afterAutospacing="0"/>
        <w:jc w:val="both"/>
        <w:rPr>
          <w:b/>
          <w:bCs/>
          <w:sz w:val="22"/>
          <w:szCs w:val="22"/>
          <w:lang w:bidi="ar-EG"/>
        </w:rPr>
      </w:pPr>
      <m:oMathPara>
        <m:oMath>
          <m:r>
            <m:rPr>
              <m:sty m:val="bi"/>
            </m:rPr>
            <w:rPr>
              <w:rFonts w:ascii="Cambria Math" w:hAnsi="Cambria Math"/>
              <w:sz w:val="22"/>
              <w:szCs w:val="22"/>
              <w:lang w:bidi="ar-EG"/>
            </w:rPr>
            <m:t>Pn=</m:t>
          </m:r>
          <m:f>
            <m:fPr>
              <m:ctrlPr>
                <w:rPr>
                  <w:rFonts w:ascii="Cambria Math" w:hAnsi="Cambria Math"/>
                  <w:b/>
                  <w:bCs/>
                  <w:sz w:val="22"/>
                  <w:szCs w:val="22"/>
                  <w:lang w:bidi="ar-EG"/>
                </w:rPr>
              </m:ctrlPr>
            </m:fPr>
            <m:num>
              <m:d>
                <m:dPr>
                  <m:ctrlPr>
                    <w:rPr>
                      <w:rFonts w:ascii="Cambria Math" w:hAnsi="Cambria Math"/>
                      <w:b/>
                      <w:bCs/>
                      <w:sz w:val="22"/>
                      <w:szCs w:val="22"/>
                      <w:lang w:bidi="ar-EG"/>
                    </w:rPr>
                  </m:ctrlPr>
                </m:dPr>
                <m:e>
                  <m:r>
                    <m:rPr>
                      <m:sty m:val="bi"/>
                    </m:rPr>
                    <w:rPr>
                      <w:rFonts w:ascii="Cambria Math" w:hAnsi="Cambria Math"/>
                      <w:sz w:val="22"/>
                      <w:szCs w:val="22"/>
                      <w:lang w:bidi="ar-EG"/>
                    </w:rPr>
                    <m:t>V</m:t>
                  </m:r>
                  <m:r>
                    <m:rPr>
                      <m:sty m:val="bi"/>
                    </m:rPr>
                    <w:rPr>
                      <w:rFonts w:ascii="Cambria Math" w:hAnsi="Cambria Math"/>
                      <w:sz w:val="22"/>
                      <w:szCs w:val="22"/>
                      <w:lang w:bidi="ar-EG"/>
                    </w:rPr>
                    <m:t>1-Vn</m:t>
                  </m:r>
                </m:e>
              </m:d>
            </m:num>
            <m:den>
              <m:d>
                <m:dPr>
                  <m:ctrlPr>
                    <w:rPr>
                      <w:rFonts w:ascii="Cambria Math" w:hAnsi="Cambria Math"/>
                      <w:b/>
                      <w:bCs/>
                      <w:i/>
                      <w:sz w:val="22"/>
                      <w:szCs w:val="22"/>
                      <w:lang w:bidi="ar-EG"/>
                    </w:rPr>
                  </m:ctrlPr>
                </m:dPr>
                <m:e>
                  <m:r>
                    <m:rPr>
                      <m:sty m:val="bi"/>
                    </m:rPr>
                    <w:rPr>
                      <w:rFonts w:ascii="Cambria Math" w:hAnsi="Cambria Math"/>
                      <w:sz w:val="22"/>
                      <w:szCs w:val="22"/>
                      <w:lang w:bidi="ar-EG"/>
                    </w:rPr>
                    <m:t>n-1</m:t>
                  </m:r>
                </m:e>
              </m:d>
              <m:r>
                <m:rPr>
                  <m:sty m:val="bi"/>
                </m:rPr>
                <w:rPr>
                  <w:rFonts w:ascii="Cambria Math" w:hAnsi="Cambria Math"/>
                  <w:sz w:val="22"/>
                  <w:szCs w:val="22"/>
                  <w:lang w:bidi="ar-EG"/>
                </w:rPr>
                <m:t>V</m:t>
              </m:r>
              <m:r>
                <m:rPr>
                  <m:sty m:val="bi"/>
                </m:rPr>
                <w:rPr>
                  <w:rFonts w:ascii="Cambria Math" w:hAnsi="Cambria Math"/>
                  <w:sz w:val="22"/>
                  <w:szCs w:val="22"/>
                  <w:lang w:bidi="ar-EG"/>
                </w:rPr>
                <m:t>1</m:t>
              </m:r>
            </m:den>
          </m:f>
          <m:r>
            <m:rPr>
              <m:sty m:val="bi"/>
            </m:rPr>
            <w:rPr>
              <w:rFonts w:ascii="Cambria Math" w:hAnsi="Cambria Math"/>
              <w:sz w:val="22"/>
              <w:szCs w:val="22"/>
              <w:lang w:bidi="ar-EG"/>
            </w:rPr>
            <m:t>×100</m:t>
          </m:r>
        </m:oMath>
      </m:oMathPara>
    </w:p>
    <w:p w14:paraId="6355EC51" w14:textId="77777777" w:rsidR="00952001" w:rsidRPr="005F15D3" w:rsidRDefault="00952001" w:rsidP="00952001">
      <w:pPr>
        <w:spacing w:after="0" w:line="240" w:lineRule="auto"/>
        <w:jc w:val="both"/>
        <w:rPr>
          <w:rFonts w:ascii="Times New Roman" w:eastAsia="Times New Roman" w:hAnsi="Times New Roman" w:cs="Times New Roman"/>
        </w:rPr>
      </w:pPr>
      <w:r w:rsidRPr="005F15D3">
        <w:rPr>
          <w:rFonts w:ascii="Times New Roman" w:eastAsia="Times New Roman" w:hAnsi="Times New Roman" w:cs="Times New Roman"/>
        </w:rPr>
        <w:t>Where:</w:t>
      </w:r>
    </w:p>
    <w:p w14:paraId="7257BA63" w14:textId="77777777" w:rsidR="00952001" w:rsidRPr="005F15D3" w:rsidRDefault="00952001" w:rsidP="00952001">
      <w:pPr>
        <w:spacing w:after="0" w:line="240" w:lineRule="auto"/>
        <w:ind w:left="720"/>
        <w:jc w:val="both"/>
        <w:rPr>
          <w:rFonts w:ascii="Times New Roman" w:eastAsia="Times New Roman" w:hAnsi="Times New Roman" w:cs="Times New Roman"/>
        </w:rPr>
      </w:pPr>
      <w:r w:rsidRPr="005F15D3">
        <w:rPr>
          <w:rFonts w:ascii="Times New Roman" w:eastAsia="Times New Roman" w:hAnsi="Times New Roman" w:cs="Times New Roman"/>
        </w:rPr>
        <w:t>Pn = Peaking Index</w:t>
      </w:r>
    </w:p>
    <w:p w14:paraId="2A965570" w14:textId="77777777" w:rsidR="00952001" w:rsidRPr="005F15D3" w:rsidRDefault="00952001" w:rsidP="00952001">
      <w:pPr>
        <w:spacing w:after="0" w:line="240" w:lineRule="auto"/>
        <w:ind w:left="720"/>
        <w:jc w:val="both"/>
        <w:rPr>
          <w:rFonts w:ascii="Times New Roman" w:eastAsia="Times New Roman" w:hAnsi="Times New Roman" w:cs="Times New Roman"/>
        </w:rPr>
      </w:pPr>
      <w:r w:rsidRPr="005F15D3">
        <w:rPr>
          <w:rFonts w:ascii="Times New Roman" w:eastAsia="Times New Roman" w:hAnsi="Times New Roman" w:cs="Times New Roman"/>
        </w:rPr>
        <w:t>V1 = Number of visitors during the most crowded period.</w:t>
      </w:r>
    </w:p>
    <w:p w14:paraId="64586BB3" w14:textId="77777777" w:rsidR="00952001" w:rsidRPr="005F15D3" w:rsidRDefault="00952001" w:rsidP="00952001">
      <w:pPr>
        <w:spacing w:after="0" w:line="240" w:lineRule="auto"/>
        <w:ind w:left="720"/>
        <w:jc w:val="both"/>
        <w:rPr>
          <w:rFonts w:ascii="Times New Roman" w:eastAsia="Times New Roman" w:hAnsi="Times New Roman" w:cs="Times New Roman"/>
        </w:rPr>
      </w:pPr>
      <w:r w:rsidRPr="005F15D3">
        <w:rPr>
          <w:rFonts w:ascii="Times New Roman" w:eastAsia="Times New Roman" w:hAnsi="Times New Roman" w:cs="Times New Roman"/>
        </w:rPr>
        <w:t>Vn = Number of visitors during the least crowded period.</w:t>
      </w:r>
    </w:p>
    <w:p w14:paraId="2F288CD7" w14:textId="77777777" w:rsidR="00952001" w:rsidRPr="005F15D3" w:rsidRDefault="00952001" w:rsidP="00952001">
      <w:pPr>
        <w:spacing w:after="0" w:line="240" w:lineRule="auto"/>
        <w:ind w:left="720"/>
        <w:jc w:val="both"/>
        <w:rPr>
          <w:rFonts w:ascii="Times New Roman" w:eastAsia="Times New Roman" w:hAnsi="Times New Roman" w:cs="Times New Roman"/>
        </w:rPr>
      </w:pPr>
      <w:r w:rsidRPr="005F15D3">
        <w:rPr>
          <w:rFonts w:ascii="Times New Roman" w:eastAsia="Times New Roman" w:hAnsi="Times New Roman" w:cs="Times New Roman"/>
        </w:rPr>
        <w:t>n = Time period (or duration) (Smith, 1995, 239–242).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E643C" w14:textId="37C2D375" w:rsidR="00B70523" w:rsidRDefault="00B70523">
    <w:pPr>
      <w:pStyle w:val="Header"/>
    </w:pPr>
    <w:r>
      <w:rPr>
        <w:noProof/>
      </w:rPr>
      <w:pict w14:anchorId="1A011D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786907" o:spid="_x0000_s2050" type="#_x0000_t136" style="position:absolute;margin-left:0;margin-top:0;width:606.35pt;height:114.3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49961" w14:textId="2C1A96F0" w:rsidR="00B70523" w:rsidRDefault="00B70523">
    <w:pPr>
      <w:pStyle w:val="Header"/>
    </w:pPr>
    <w:r>
      <w:rPr>
        <w:noProof/>
      </w:rPr>
      <w:pict w14:anchorId="14235F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786908" o:spid="_x0000_s2051" type="#_x0000_t136" style="position:absolute;margin-left:0;margin-top:0;width:606.35pt;height:114.3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1D5F2" w14:textId="7FA176A1" w:rsidR="00B70523" w:rsidRDefault="00B70523">
    <w:pPr>
      <w:pStyle w:val="Header"/>
    </w:pPr>
    <w:r>
      <w:rPr>
        <w:noProof/>
      </w:rPr>
      <w:pict w14:anchorId="25C487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786906" o:spid="_x0000_s2049" type="#_x0000_t136" style="position:absolute;margin-left:0;margin-top:0;width:606.35pt;height:114.3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729BF"/>
    <w:multiLevelType w:val="multilevel"/>
    <w:tmpl w:val="7B583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99320F"/>
    <w:multiLevelType w:val="multilevel"/>
    <w:tmpl w:val="52982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AE107E"/>
    <w:multiLevelType w:val="multilevel"/>
    <w:tmpl w:val="D1761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C43DF1"/>
    <w:multiLevelType w:val="multilevel"/>
    <w:tmpl w:val="04381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816C75"/>
    <w:multiLevelType w:val="multilevel"/>
    <w:tmpl w:val="1DEE74DC"/>
    <w:lvl w:ilvl="0">
      <w:start w:val="1"/>
      <w:numFmt w:val="decimal"/>
      <w:lvlText w:val="%1."/>
      <w:lvlJc w:val="left"/>
      <w:pPr>
        <w:tabs>
          <w:tab w:val="num" w:pos="360"/>
        </w:tabs>
        <w:ind w:left="360" w:hanging="360"/>
      </w:pPr>
      <w:rPr>
        <w:rFonts w:ascii="Times New Roman" w:eastAsia="Times New Roman" w:hAnsi="Times New Roman" w:cs="Times New Roman"/>
        <w:sz w:val="24"/>
        <w:szCs w:val="32"/>
      </w:rPr>
    </w:lvl>
    <w:lvl w:ilvl="1">
      <w:start w:val="2"/>
      <w:numFmt w:val="bullet"/>
      <w:lvlText w:val="-"/>
      <w:lvlJc w:val="left"/>
      <w:pPr>
        <w:ind w:left="4560" w:hanging="3840"/>
      </w:pPr>
      <w:rPr>
        <w:rFonts w:ascii="Times New Roman" w:eastAsia="Times New Roman" w:hAnsi="Times New Roman" w:cs="Times New Roman"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31F40EC7"/>
    <w:multiLevelType w:val="multilevel"/>
    <w:tmpl w:val="1D14F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CE5C56"/>
    <w:multiLevelType w:val="multilevel"/>
    <w:tmpl w:val="13C01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9E7B7D"/>
    <w:multiLevelType w:val="multilevel"/>
    <w:tmpl w:val="8AC40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9F1547"/>
    <w:multiLevelType w:val="multilevel"/>
    <w:tmpl w:val="0DB64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B7722F"/>
    <w:multiLevelType w:val="hybridMultilevel"/>
    <w:tmpl w:val="0E124316"/>
    <w:lvl w:ilvl="0" w:tplc="39468F36">
      <w:start w:val="1"/>
      <w:numFmt w:val="decimal"/>
      <w:lvlText w:val="%1-"/>
      <w:lvlJc w:val="left"/>
      <w:pPr>
        <w:ind w:left="360" w:hanging="360"/>
      </w:pPr>
      <w:rPr>
        <w:rFonts w:hint="default"/>
        <w:b w:val="0"/>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31129DD"/>
    <w:multiLevelType w:val="multilevel"/>
    <w:tmpl w:val="5D3C2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A25F91"/>
    <w:multiLevelType w:val="hybridMultilevel"/>
    <w:tmpl w:val="50EE09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A7522AD"/>
    <w:multiLevelType w:val="multilevel"/>
    <w:tmpl w:val="DAB84BA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504A7C90"/>
    <w:multiLevelType w:val="multilevel"/>
    <w:tmpl w:val="06ECD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993A45"/>
    <w:multiLevelType w:val="hybridMultilevel"/>
    <w:tmpl w:val="3D100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B20640"/>
    <w:multiLevelType w:val="multilevel"/>
    <w:tmpl w:val="C63C9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BD44425"/>
    <w:multiLevelType w:val="multilevel"/>
    <w:tmpl w:val="01125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6F3561"/>
    <w:multiLevelType w:val="hybridMultilevel"/>
    <w:tmpl w:val="198ED718"/>
    <w:lvl w:ilvl="0" w:tplc="8FDEA92A">
      <w:start w:val="1"/>
      <w:numFmt w:val="bullet"/>
      <w:lvlText w:val="-"/>
      <w:lvlJc w:val="left"/>
      <w:pPr>
        <w:ind w:left="720" w:hanging="360"/>
      </w:pPr>
      <w:rPr>
        <w:rFonts w:ascii="Times New Roman" w:eastAsiaTheme="minorHAnsi"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0D6517"/>
    <w:multiLevelType w:val="multilevel"/>
    <w:tmpl w:val="7C54471A"/>
    <w:lvl w:ilvl="0">
      <w:start w:val="1"/>
      <w:numFmt w:val="decimal"/>
      <w:lvlText w:val="%1."/>
      <w:lvlJc w:val="left"/>
      <w:pPr>
        <w:tabs>
          <w:tab w:val="num" w:pos="360"/>
        </w:tabs>
        <w:ind w:left="360" w:hanging="360"/>
      </w:pPr>
      <w:rPr>
        <w:rFonts w:ascii="Times New Roman" w:eastAsia="Times New Roman" w:hAnsi="Times New Roman" w:cs="Times New Roman"/>
        <w:sz w:val="24"/>
        <w:szCs w:val="32"/>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5"/>
  </w:num>
  <w:num w:numId="2">
    <w:abstractNumId w:val="3"/>
  </w:num>
  <w:num w:numId="3">
    <w:abstractNumId w:val="15"/>
  </w:num>
  <w:num w:numId="4">
    <w:abstractNumId w:val="12"/>
  </w:num>
  <w:num w:numId="5">
    <w:abstractNumId w:val="8"/>
  </w:num>
  <w:num w:numId="6">
    <w:abstractNumId w:val="13"/>
  </w:num>
  <w:num w:numId="7">
    <w:abstractNumId w:val="7"/>
  </w:num>
  <w:num w:numId="8">
    <w:abstractNumId w:val="10"/>
  </w:num>
  <w:num w:numId="9">
    <w:abstractNumId w:val="17"/>
  </w:num>
  <w:num w:numId="10">
    <w:abstractNumId w:val="0"/>
  </w:num>
  <w:num w:numId="11">
    <w:abstractNumId w:val="6"/>
  </w:num>
  <w:num w:numId="12">
    <w:abstractNumId w:val="4"/>
  </w:num>
  <w:num w:numId="13">
    <w:abstractNumId w:val="18"/>
  </w:num>
  <w:num w:numId="14">
    <w:abstractNumId w:val="16"/>
  </w:num>
  <w:num w:numId="15">
    <w:abstractNumId w:val="11"/>
  </w:num>
  <w:num w:numId="16">
    <w:abstractNumId w:val="2"/>
  </w:num>
  <w:num w:numId="17">
    <w:abstractNumId w:val="14"/>
  </w:num>
  <w:num w:numId="18">
    <w:abstractNumId w:val="9"/>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A61"/>
    <w:rsid w:val="00000E5D"/>
    <w:rsid w:val="00002ED5"/>
    <w:rsid w:val="00005BCC"/>
    <w:rsid w:val="00014BEF"/>
    <w:rsid w:val="00015B4D"/>
    <w:rsid w:val="00021250"/>
    <w:rsid w:val="00026216"/>
    <w:rsid w:val="00027601"/>
    <w:rsid w:val="00027DE0"/>
    <w:rsid w:val="00037E98"/>
    <w:rsid w:val="0004045E"/>
    <w:rsid w:val="00054735"/>
    <w:rsid w:val="00064F04"/>
    <w:rsid w:val="000825B7"/>
    <w:rsid w:val="00094BA9"/>
    <w:rsid w:val="000A0AF0"/>
    <w:rsid w:val="000A442F"/>
    <w:rsid w:val="000A45A7"/>
    <w:rsid w:val="000A5347"/>
    <w:rsid w:val="000A57FC"/>
    <w:rsid w:val="000C02D3"/>
    <w:rsid w:val="000C75DA"/>
    <w:rsid w:val="000D16E4"/>
    <w:rsid w:val="000D5B33"/>
    <w:rsid w:val="000E380B"/>
    <w:rsid w:val="000E3E37"/>
    <w:rsid w:val="000E7ACF"/>
    <w:rsid w:val="000F2483"/>
    <w:rsid w:val="00102760"/>
    <w:rsid w:val="00102CBB"/>
    <w:rsid w:val="0010383D"/>
    <w:rsid w:val="001038DF"/>
    <w:rsid w:val="00110590"/>
    <w:rsid w:val="00126690"/>
    <w:rsid w:val="00127C97"/>
    <w:rsid w:val="00133AB9"/>
    <w:rsid w:val="00137746"/>
    <w:rsid w:val="001406FB"/>
    <w:rsid w:val="00151B74"/>
    <w:rsid w:val="001570B3"/>
    <w:rsid w:val="00164642"/>
    <w:rsid w:val="00166709"/>
    <w:rsid w:val="0017051D"/>
    <w:rsid w:val="001805C8"/>
    <w:rsid w:val="00187853"/>
    <w:rsid w:val="001A0790"/>
    <w:rsid w:val="001A1883"/>
    <w:rsid w:val="001B294A"/>
    <w:rsid w:val="001C025B"/>
    <w:rsid w:val="001C3805"/>
    <w:rsid w:val="001E3A78"/>
    <w:rsid w:val="001E45C1"/>
    <w:rsid w:val="001E79DD"/>
    <w:rsid w:val="001E7AE5"/>
    <w:rsid w:val="001F5F41"/>
    <w:rsid w:val="002114BF"/>
    <w:rsid w:val="00222926"/>
    <w:rsid w:val="00224121"/>
    <w:rsid w:val="0023095F"/>
    <w:rsid w:val="002331CE"/>
    <w:rsid w:val="002471E6"/>
    <w:rsid w:val="00247BC6"/>
    <w:rsid w:val="0025248F"/>
    <w:rsid w:val="0026289D"/>
    <w:rsid w:val="00264F02"/>
    <w:rsid w:val="00270B6F"/>
    <w:rsid w:val="00273934"/>
    <w:rsid w:val="00274AB9"/>
    <w:rsid w:val="002809DA"/>
    <w:rsid w:val="002812E0"/>
    <w:rsid w:val="002858DA"/>
    <w:rsid w:val="00285FA9"/>
    <w:rsid w:val="002911A0"/>
    <w:rsid w:val="00291DDB"/>
    <w:rsid w:val="00294AAA"/>
    <w:rsid w:val="002B271D"/>
    <w:rsid w:val="002C2446"/>
    <w:rsid w:val="002C399A"/>
    <w:rsid w:val="002C463E"/>
    <w:rsid w:val="002C70F5"/>
    <w:rsid w:val="002D7EE2"/>
    <w:rsid w:val="002E176F"/>
    <w:rsid w:val="002E3AB1"/>
    <w:rsid w:val="002F02D6"/>
    <w:rsid w:val="002F489D"/>
    <w:rsid w:val="002F5571"/>
    <w:rsid w:val="00307945"/>
    <w:rsid w:val="00313751"/>
    <w:rsid w:val="00324508"/>
    <w:rsid w:val="00330257"/>
    <w:rsid w:val="00331123"/>
    <w:rsid w:val="00333555"/>
    <w:rsid w:val="00333676"/>
    <w:rsid w:val="00341514"/>
    <w:rsid w:val="0034173E"/>
    <w:rsid w:val="0034244D"/>
    <w:rsid w:val="00342CBA"/>
    <w:rsid w:val="00343776"/>
    <w:rsid w:val="00347D3C"/>
    <w:rsid w:val="003527D5"/>
    <w:rsid w:val="0036145A"/>
    <w:rsid w:val="003644D0"/>
    <w:rsid w:val="00367006"/>
    <w:rsid w:val="00372A58"/>
    <w:rsid w:val="00373B5B"/>
    <w:rsid w:val="00376980"/>
    <w:rsid w:val="00377F44"/>
    <w:rsid w:val="00394513"/>
    <w:rsid w:val="003B36AE"/>
    <w:rsid w:val="003C6A3C"/>
    <w:rsid w:val="003C7A88"/>
    <w:rsid w:val="003D206A"/>
    <w:rsid w:val="003E302D"/>
    <w:rsid w:val="003E3C69"/>
    <w:rsid w:val="003E4F30"/>
    <w:rsid w:val="003E56B7"/>
    <w:rsid w:val="003F0042"/>
    <w:rsid w:val="003F4E19"/>
    <w:rsid w:val="003F4FD2"/>
    <w:rsid w:val="0040700D"/>
    <w:rsid w:val="00414461"/>
    <w:rsid w:val="004207CD"/>
    <w:rsid w:val="0042350B"/>
    <w:rsid w:val="00425302"/>
    <w:rsid w:val="00430412"/>
    <w:rsid w:val="00433105"/>
    <w:rsid w:val="004413ED"/>
    <w:rsid w:val="00446FBB"/>
    <w:rsid w:val="00460AFF"/>
    <w:rsid w:val="00460F45"/>
    <w:rsid w:val="00464498"/>
    <w:rsid w:val="00470D10"/>
    <w:rsid w:val="00474EC6"/>
    <w:rsid w:val="00476F41"/>
    <w:rsid w:val="004A7E1A"/>
    <w:rsid w:val="004B7A79"/>
    <w:rsid w:val="004C3686"/>
    <w:rsid w:val="004C78EF"/>
    <w:rsid w:val="004E501F"/>
    <w:rsid w:val="004E7772"/>
    <w:rsid w:val="004E7F89"/>
    <w:rsid w:val="004F0FA1"/>
    <w:rsid w:val="004F1C82"/>
    <w:rsid w:val="004F24EC"/>
    <w:rsid w:val="005033C6"/>
    <w:rsid w:val="005119D2"/>
    <w:rsid w:val="00525180"/>
    <w:rsid w:val="0052757A"/>
    <w:rsid w:val="00537EFF"/>
    <w:rsid w:val="00564AC6"/>
    <w:rsid w:val="00565370"/>
    <w:rsid w:val="005653D9"/>
    <w:rsid w:val="00566842"/>
    <w:rsid w:val="005677C5"/>
    <w:rsid w:val="005A5C78"/>
    <w:rsid w:val="005A5F1B"/>
    <w:rsid w:val="005A6F2A"/>
    <w:rsid w:val="005B6043"/>
    <w:rsid w:val="005C6E53"/>
    <w:rsid w:val="005D3B62"/>
    <w:rsid w:val="005E018C"/>
    <w:rsid w:val="005E6FC3"/>
    <w:rsid w:val="005F15D3"/>
    <w:rsid w:val="005F7235"/>
    <w:rsid w:val="00603169"/>
    <w:rsid w:val="006048E7"/>
    <w:rsid w:val="00604FC4"/>
    <w:rsid w:val="0060678C"/>
    <w:rsid w:val="00607199"/>
    <w:rsid w:val="006079CF"/>
    <w:rsid w:val="00611EC8"/>
    <w:rsid w:val="00621FB9"/>
    <w:rsid w:val="006221F9"/>
    <w:rsid w:val="00622587"/>
    <w:rsid w:val="00626BAC"/>
    <w:rsid w:val="00632676"/>
    <w:rsid w:val="0063300E"/>
    <w:rsid w:val="006363E1"/>
    <w:rsid w:val="006407F5"/>
    <w:rsid w:val="0064455B"/>
    <w:rsid w:val="00650460"/>
    <w:rsid w:val="00652C6A"/>
    <w:rsid w:val="0065355A"/>
    <w:rsid w:val="006562B7"/>
    <w:rsid w:val="00662641"/>
    <w:rsid w:val="00671978"/>
    <w:rsid w:val="00693A61"/>
    <w:rsid w:val="006A1D58"/>
    <w:rsid w:val="006A290D"/>
    <w:rsid w:val="006A3221"/>
    <w:rsid w:val="006C7D0A"/>
    <w:rsid w:val="006E0DDB"/>
    <w:rsid w:val="006E58F1"/>
    <w:rsid w:val="006E7867"/>
    <w:rsid w:val="006F0532"/>
    <w:rsid w:val="007031C3"/>
    <w:rsid w:val="0070715A"/>
    <w:rsid w:val="00710907"/>
    <w:rsid w:val="00717853"/>
    <w:rsid w:val="00717CC9"/>
    <w:rsid w:val="0072148E"/>
    <w:rsid w:val="00724D1B"/>
    <w:rsid w:val="00737A14"/>
    <w:rsid w:val="007447E0"/>
    <w:rsid w:val="0075514E"/>
    <w:rsid w:val="0076254D"/>
    <w:rsid w:val="00763438"/>
    <w:rsid w:val="0076419F"/>
    <w:rsid w:val="007755D8"/>
    <w:rsid w:val="0077760C"/>
    <w:rsid w:val="007A7F91"/>
    <w:rsid w:val="007B16F5"/>
    <w:rsid w:val="007B44AA"/>
    <w:rsid w:val="007C3CC4"/>
    <w:rsid w:val="007C4C7E"/>
    <w:rsid w:val="007D1A0F"/>
    <w:rsid w:val="007D3744"/>
    <w:rsid w:val="007F2CAC"/>
    <w:rsid w:val="007F6E39"/>
    <w:rsid w:val="00804631"/>
    <w:rsid w:val="00815976"/>
    <w:rsid w:val="00820F87"/>
    <w:rsid w:val="008259B5"/>
    <w:rsid w:val="00847A7F"/>
    <w:rsid w:val="0085634C"/>
    <w:rsid w:val="0085724E"/>
    <w:rsid w:val="008634C0"/>
    <w:rsid w:val="008657B4"/>
    <w:rsid w:val="008710F7"/>
    <w:rsid w:val="00876209"/>
    <w:rsid w:val="008841ED"/>
    <w:rsid w:val="00894049"/>
    <w:rsid w:val="008A4010"/>
    <w:rsid w:val="008C5F13"/>
    <w:rsid w:val="008D0C4A"/>
    <w:rsid w:val="008D421C"/>
    <w:rsid w:val="008D62BB"/>
    <w:rsid w:val="008E398C"/>
    <w:rsid w:val="008E429E"/>
    <w:rsid w:val="008E4BC2"/>
    <w:rsid w:val="008F7025"/>
    <w:rsid w:val="00905115"/>
    <w:rsid w:val="00915DCB"/>
    <w:rsid w:val="009176C6"/>
    <w:rsid w:val="00917767"/>
    <w:rsid w:val="00934887"/>
    <w:rsid w:val="00942D9A"/>
    <w:rsid w:val="00943DC9"/>
    <w:rsid w:val="009446E3"/>
    <w:rsid w:val="00952001"/>
    <w:rsid w:val="00962033"/>
    <w:rsid w:val="009651DD"/>
    <w:rsid w:val="00976254"/>
    <w:rsid w:val="00976E14"/>
    <w:rsid w:val="00986806"/>
    <w:rsid w:val="009A255A"/>
    <w:rsid w:val="009B3685"/>
    <w:rsid w:val="009B47C0"/>
    <w:rsid w:val="009B6AC9"/>
    <w:rsid w:val="009B7CA4"/>
    <w:rsid w:val="009C01BF"/>
    <w:rsid w:val="009C0B51"/>
    <w:rsid w:val="009C6055"/>
    <w:rsid w:val="009C6987"/>
    <w:rsid w:val="009C7E11"/>
    <w:rsid w:val="009E5970"/>
    <w:rsid w:val="00A02D97"/>
    <w:rsid w:val="00A10818"/>
    <w:rsid w:val="00A34FA9"/>
    <w:rsid w:val="00A3663A"/>
    <w:rsid w:val="00A428E2"/>
    <w:rsid w:val="00A56036"/>
    <w:rsid w:val="00A751AF"/>
    <w:rsid w:val="00A82461"/>
    <w:rsid w:val="00AD1DCD"/>
    <w:rsid w:val="00AF4133"/>
    <w:rsid w:val="00AF585E"/>
    <w:rsid w:val="00B0456C"/>
    <w:rsid w:val="00B24678"/>
    <w:rsid w:val="00B266EC"/>
    <w:rsid w:val="00B348A9"/>
    <w:rsid w:val="00B44CBB"/>
    <w:rsid w:val="00B45835"/>
    <w:rsid w:val="00B5117B"/>
    <w:rsid w:val="00B53DC4"/>
    <w:rsid w:val="00B570E5"/>
    <w:rsid w:val="00B62499"/>
    <w:rsid w:val="00B62E6F"/>
    <w:rsid w:val="00B675D1"/>
    <w:rsid w:val="00B70523"/>
    <w:rsid w:val="00B71B16"/>
    <w:rsid w:val="00B832A7"/>
    <w:rsid w:val="00B87A5C"/>
    <w:rsid w:val="00B90DDD"/>
    <w:rsid w:val="00B93193"/>
    <w:rsid w:val="00B97B8A"/>
    <w:rsid w:val="00BA26F1"/>
    <w:rsid w:val="00BB04AD"/>
    <w:rsid w:val="00BB249C"/>
    <w:rsid w:val="00BB44E2"/>
    <w:rsid w:val="00BB4807"/>
    <w:rsid w:val="00BD0DEA"/>
    <w:rsid w:val="00BF608F"/>
    <w:rsid w:val="00C02E1A"/>
    <w:rsid w:val="00C21F12"/>
    <w:rsid w:val="00C25979"/>
    <w:rsid w:val="00C34C37"/>
    <w:rsid w:val="00C40022"/>
    <w:rsid w:val="00C45456"/>
    <w:rsid w:val="00C479CD"/>
    <w:rsid w:val="00C55520"/>
    <w:rsid w:val="00C62A08"/>
    <w:rsid w:val="00C6387A"/>
    <w:rsid w:val="00C643C4"/>
    <w:rsid w:val="00C724CE"/>
    <w:rsid w:val="00C778DD"/>
    <w:rsid w:val="00C82217"/>
    <w:rsid w:val="00C8464B"/>
    <w:rsid w:val="00C86867"/>
    <w:rsid w:val="00C91E96"/>
    <w:rsid w:val="00C922E7"/>
    <w:rsid w:val="00C97A1A"/>
    <w:rsid w:val="00CB3BB6"/>
    <w:rsid w:val="00CF3ED4"/>
    <w:rsid w:val="00CF67F8"/>
    <w:rsid w:val="00D00A7B"/>
    <w:rsid w:val="00D04996"/>
    <w:rsid w:val="00D04C83"/>
    <w:rsid w:val="00D05C3D"/>
    <w:rsid w:val="00D061FF"/>
    <w:rsid w:val="00D12AA0"/>
    <w:rsid w:val="00D1586D"/>
    <w:rsid w:val="00D1777D"/>
    <w:rsid w:val="00D17DF1"/>
    <w:rsid w:val="00D26C48"/>
    <w:rsid w:val="00D30299"/>
    <w:rsid w:val="00D313F3"/>
    <w:rsid w:val="00D31426"/>
    <w:rsid w:val="00D32D4D"/>
    <w:rsid w:val="00D41146"/>
    <w:rsid w:val="00D422E8"/>
    <w:rsid w:val="00D4236E"/>
    <w:rsid w:val="00D42681"/>
    <w:rsid w:val="00D53E2A"/>
    <w:rsid w:val="00D61F33"/>
    <w:rsid w:val="00D747BA"/>
    <w:rsid w:val="00D802F0"/>
    <w:rsid w:val="00D82E6B"/>
    <w:rsid w:val="00D86F9D"/>
    <w:rsid w:val="00D91BE1"/>
    <w:rsid w:val="00DA2D2F"/>
    <w:rsid w:val="00DA6566"/>
    <w:rsid w:val="00DB5849"/>
    <w:rsid w:val="00DB62F2"/>
    <w:rsid w:val="00DC2C00"/>
    <w:rsid w:val="00DC7791"/>
    <w:rsid w:val="00DD3F35"/>
    <w:rsid w:val="00DD79E8"/>
    <w:rsid w:val="00DE08B7"/>
    <w:rsid w:val="00DE435C"/>
    <w:rsid w:val="00DF0485"/>
    <w:rsid w:val="00DF57D0"/>
    <w:rsid w:val="00DF72B3"/>
    <w:rsid w:val="00E018E6"/>
    <w:rsid w:val="00E064E2"/>
    <w:rsid w:val="00E07E18"/>
    <w:rsid w:val="00E130D0"/>
    <w:rsid w:val="00E342EC"/>
    <w:rsid w:val="00E37F54"/>
    <w:rsid w:val="00E4743C"/>
    <w:rsid w:val="00E52B8A"/>
    <w:rsid w:val="00E55D50"/>
    <w:rsid w:val="00E87974"/>
    <w:rsid w:val="00E9293A"/>
    <w:rsid w:val="00E9339C"/>
    <w:rsid w:val="00EA531C"/>
    <w:rsid w:val="00EA683C"/>
    <w:rsid w:val="00EB04A8"/>
    <w:rsid w:val="00ED03B7"/>
    <w:rsid w:val="00ED0F8A"/>
    <w:rsid w:val="00EE34D3"/>
    <w:rsid w:val="00EF62F4"/>
    <w:rsid w:val="00F272A8"/>
    <w:rsid w:val="00F425F8"/>
    <w:rsid w:val="00F42A7E"/>
    <w:rsid w:val="00F473D8"/>
    <w:rsid w:val="00F47DA5"/>
    <w:rsid w:val="00F62E72"/>
    <w:rsid w:val="00F64000"/>
    <w:rsid w:val="00F65E73"/>
    <w:rsid w:val="00F73E57"/>
    <w:rsid w:val="00F94FC0"/>
    <w:rsid w:val="00FA0530"/>
    <w:rsid w:val="00FA1E77"/>
    <w:rsid w:val="00FA2AF7"/>
    <w:rsid w:val="00FA5932"/>
    <w:rsid w:val="00FA7125"/>
    <w:rsid w:val="00FB2962"/>
    <w:rsid w:val="00FD48EE"/>
    <w:rsid w:val="00FE19B8"/>
    <w:rsid w:val="00FE629A"/>
    <w:rsid w:val="00FF0768"/>
    <w:rsid w:val="00FF1582"/>
    <w:rsid w:val="00FF3700"/>
    <w:rsid w:val="00FF40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D855C23"/>
  <w15:chartTrackingRefBased/>
  <w15:docId w15:val="{094FCF35-68A2-46BA-A25E-562A0B34F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E37F5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9C698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9319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37F54"/>
    <w:rPr>
      <w:rFonts w:ascii="Times New Roman" w:eastAsia="Times New Roman" w:hAnsi="Times New Roman" w:cs="Times New Roman"/>
      <w:b/>
      <w:bCs/>
      <w:sz w:val="36"/>
      <w:szCs w:val="36"/>
    </w:rPr>
  </w:style>
  <w:style w:type="paragraph" w:styleId="NormalWeb">
    <w:name w:val="Normal (Web)"/>
    <w:basedOn w:val="Normal"/>
    <w:uiPriority w:val="99"/>
    <w:unhideWhenUsed/>
    <w:rsid w:val="00E37F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9C6987"/>
    <w:rPr>
      <w:rFonts w:asciiTheme="majorHAnsi" w:eastAsiaTheme="majorEastAsia" w:hAnsiTheme="majorHAnsi" w:cstheme="majorBidi"/>
      <w:color w:val="1F4D78" w:themeColor="accent1" w:themeShade="7F"/>
      <w:sz w:val="24"/>
      <w:szCs w:val="24"/>
    </w:rPr>
  </w:style>
  <w:style w:type="character" w:customStyle="1" w:styleId="math-inline">
    <w:name w:val="math-inline"/>
    <w:basedOn w:val="DefaultParagraphFont"/>
    <w:rsid w:val="00AD1DCD"/>
  </w:style>
  <w:style w:type="character" w:styleId="Strong">
    <w:name w:val="Strong"/>
    <w:basedOn w:val="DefaultParagraphFont"/>
    <w:uiPriority w:val="22"/>
    <w:qFormat/>
    <w:rsid w:val="0064455B"/>
    <w:rPr>
      <w:b/>
      <w:bCs/>
    </w:rPr>
  </w:style>
  <w:style w:type="table" w:styleId="TableGrid">
    <w:name w:val="Table Grid"/>
    <w:basedOn w:val="TableNormal"/>
    <w:uiPriority w:val="39"/>
    <w:rsid w:val="00644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6055"/>
    <w:pPr>
      <w:ind w:left="720"/>
      <w:contextualSpacing/>
    </w:pPr>
  </w:style>
  <w:style w:type="paragraph" w:styleId="FootnoteText">
    <w:name w:val="footnote text"/>
    <w:basedOn w:val="Normal"/>
    <w:link w:val="FootnoteTextChar"/>
    <w:uiPriority w:val="99"/>
    <w:semiHidden/>
    <w:unhideWhenUsed/>
    <w:rsid w:val="00DC2C0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C2C00"/>
    <w:rPr>
      <w:sz w:val="20"/>
      <w:szCs w:val="20"/>
    </w:rPr>
  </w:style>
  <w:style w:type="character" w:styleId="FootnoteReference">
    <w:name w:val="footnote reference"/>
    <w:basedOn w:val="DefaultParagraphFont"/>
    <w:uiPriority w:val="99"/>
    <w:semiHidden/>
    <w:unhideWhenUsed/>
    <w:rsid w:val="00DC2C00"/>
    <w:rPr>
      <w:vertAlign w:val="superscript"/>
    </w:rPr>
  </w:style>
  <w:style w:type="table" w:styleId="PlainTable3">
    <w:name w:val="Plain Table 3"/>
    <w:basedOn w:val="TableNormal"/>
    <w:uiPriority w:val="43"/>
    <w:rsid w:val="00E4743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Header">
    <w:name w:val="header"/>
    <w:basedOn w:val="Normal"/>
    <w:link w:val="HeaderChar"/>
    <w:uiPriority w:val="99"/>
    <w:unhideWhenUsed/>
    <w:rsid w:val="006A29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290D"/>
  </w:style>
  <w:style w:type="paragraph" w:styleId="Footer">
    <w:name w:val="footer"/>
    <w:basedOn w:val="Normal"/>
    <w:link w:val="FooterChar"/>
    <w:uiPriority w:val="99"/>
    <w:unhideWhenUsed/>
    <w:rsid w:val="006A29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290D"/>
  </w:style>
  <w:style w:type="character" w:styleId="Hyperlink">
    <w:name w:val="Hyperlink"/>
    <w:basedOn w:val="DefaultParagraphFont"/>
    <w:uiPriority w:val="99"/>
    <w:unhideWhenUsed/>
    <w:rsid w:val="00DA2D2F"/>
    <w:rPr>
      <w:color w:val="0563C1" w:themeColor="hyperlink"/>
      <w:u w:val="single"/>
    </w:rPr>
  </w:style>
  <w:style w:type="character" w:customStyle="1" w:styleId="Heading4Char">
    <w:name w:val="Heading 4 Char"/>
    <w:basedOn w:val="DefaultParagraphFont"/>
    <w:link w:val="Heading4"/>
    <w:uiPriority w:val="9"/>
    <w:semiHidden/>
    <w:rsid w:val="00B93193"/>
    <w:rPr>
      <w:rFonts w:asciiTheme="majorHAnsi" w:eastAsiaTheme="majorEastAsia" w:hAnsiTheme="majorHAnsi" w:cstheme="majorBidi"/>
      <w:i/>
      <w:iCs/>
      <w:color w:val="2E74B5" w:themeColor="accent1" w:themeShade="BF"/>
    </w:rPr>
  </w:style>
  <w:style w:type="paragraph" w:customStyle="1" w:styleId="Affiliation">
    <w:name w:val="Affiliation"/>
    <w:rsid w:val="00D1586D"/>
    <w:pPr>
      <w:suppressAutoHyphens/>
      <w:spacing w:after="0" w:line="240" w:lineRule="auto"/>
      <w:jc w:val="center"/>
    </w:pPr>
    <w:rPr>
      <w:rFonts w:ascii="Times New Roman" w:eastAsia="SimSun" w:hAnsi="Times New Roman" w:cs="Times New Roman"/>
      <w:sz w:val="20"/>
      <w:szCs w:val="20"/>
      <w:lang w:eastAsia="zh-CN"/>
    </w:rPr>
  </w:style>
  <w:style w:type="paragraph" w:customStyle="1" w:styleId="Author">
    <w:name w:val="Author"/>
    <w:rsid w:val="00D1586D"/>
    <w:pPr>
      <w:suppressAutoHyphens/>
      <w:spacing w:before="360" w:after="40" w:line="240" w:lineRule="auto"/>
      <w:jc w:val="center"/>
    </w:pPr>
    <w:rPr>
      <w:rFonts w:ascii="Times New Roman" w:eastAsia="SimSun" w:hAnsi="Times New Roman" w:cs="Times New Roman"/>
    </w:rPr>
  </w:style>
  <w:style w:type="character" w:styleId="UnresolvedMention">
    <w:name w:val="Unresolved Mention"/>
    <w:basedOn w:val="DefaultParagraphFont"/>
    <w:uiPriority w:val="99"/>
    <w:semiHidden/>
    <w:unhideWhenUsed/>
    <w:rsid w:val="001E3A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87374">
      <w:bodyDiv w:val="1"/>
      <w:marLeft w:val="0"/>
      <w:marRight w:val="0"/>
      <w:marTop w:val="0"/>
      <w:marBottom w:val="0"/>
      <w:divBdr>
        <w:top w:val="none" w:sz="0" w:space="0" w:color="auto"/>
        <w:left w:val="none" w:sz="0" w:space="0" w:color="auto"/>
        <w:bottom w:val="none" w:sz="0" w:space="0" w:color="auto"/>
        <w:right w:val="none" w:sz="0" w:space="0" w:color="auto"/>
      </w:divBdr>
    </w:div>
    <w:div w:id="69082112">
      <w:bodyDiv w:val="1"/>
      <w:marLeft w:val="0"/>
      <w:marRight w:val="0"/>
      <w:marTop w:val="0"/>
      <w:marBottom w:val="0"/>
      <w:divBdr>
        <w:top w:val="none" w:sz="0" w:space="0" w:color="auto"/>
        <w:left w:val="none" w:sz="0" w:space="0" w:color="auto"/>
        <w:bottom w:val="none" w:sz="0" w:space="0" w:color="auto"/>
        <w:right w:val="none" w:sz="0" w:space="0" w:color="auto"/>
      </w:divBdr>
    </w:div>
    <w:div w:id="107286263">
      <w:bodyDiv w:val="1"/>
      <w:marLeft w:val="0"/>
      <w:marRight w:val="0"/>
      <w:marTop w:val="0"/>
      <w:marBottom w:val="0"/>
      <w:divBdr>
        <w:top w:val="none" w:sz="0" w:space="0" w:color="auto"/>
        <w:left w:val="none" w:sz="0" w:space="0" w:color="auto"/>
        <w:bottom w:val="none" w:sz="0" w:space="0" w:color="auto"/>
        <w:right w:val="none" w:sz="0" w:space="0" w:color="auto"/>
      </w:divBdr>
    </w:div>
    <w:div w:id="188763442">
      <w:bodyDiv w:val="1"/>
      <w:marLeft w:val="0"/>
      <w:marRight w:val="0"/>
      <w:marTop w:val="0"/>
      <w:marBottom w:val="0"/>
      <w:divBdr>
        <w:top w:val="none" w:sz="0" w:space="0" w:color="auto"/>
        <w:left w:val="none" w:sz="0" w:space="0" w:color="auto"/>
        <w:bottom w:val="none" w:sz="0" w:space="0" w:color="auto"/>
        <w:right w:val="none" w:sz="0" w:space="0" w:color="auto"/>
      </w:divBdr>
    </w:div>
    <w:div w:id="365833816">
      <w:bodyDiv w:val="1"/>
      <w:marLeft w:val="0"/>
      <w:marRight w:val="0"/>
      <w:marTop w:val="0"/>
      <w:marBottom w:val="0"/>
      <w:divBdr>
        <w:top w:val="none" w:sz="0" w:space="0" w:color="auto"/>
        <w:left w:val="none" w:sz="0" w:space="0" w:color="auto"/>
        <w:bottom w:val="none" w:sz="0" w:space="0" w:color="auto"/>
        <w:right w:val="none" w:sz="0" w:space="0" w:color="auto"/>
      </w:divBdr>
    </w:div>
    <w:div w:id="505022807">
      <w:bodyDiv w:val="1"/>
      <w:marLeft w:val="0"/>
      <w:marRight w:val="0"/>
      <w:marTop w:val="0"/>
      <w:marBottom w:val="0"/>
      <w:divBdr>
        <w:top w:val="none" w:sz="0" w:space="0" w:color="auto"/>
        <w:left w:val="none" w:sz="0" w:space="0" w:color="auto"/>
        <w:bottom w:val="none" w:sz="0" w:space="0" w:color="auto"/>
        <w:right w:val="none" w:sz="0" w:space="0" w:color="auto"/>
      </w:divBdr>
    </w:div>
    <w:div w:id="545873149">
      <w:bodyDiv w:val="1"/>
      <w:marLeft w:val="0"/>
      <w:marRight w:val="0"/>
      <w:marTop w:val="0"/>
      <w:marBottom w:val="0"/>
      <w:divBdr>
        <w:top w:val="none" w:sz="0" w:space="0" w:color="auto"/>
        <w:left w:val="none" w:sz="0" w:space="0" w:color="auto"/>
        <w:bottom w:val="none" w:sz="0" w:space="0" w:color="auto"/>
        <w:right w:val="none" w:sz="0" w:space="0" w:color="auto"/>
      </w:divBdr>
    </w:div>
    <w:div w:id="580219576">
      <w:bodyDiv w:val="1"/>
      <w:marLeft w:val="0"/>
      <w:marRight w:val="0"/>
      <w:marTop w:val="0"/>
      <w:marBottom w:val="0"/>
      <w:divBdr>
        <w:top w:val="none" w:sz="0" w:space="0" w:color="auto"/>
        <w:left w:val="none" w:sz="0" w:space="0" w:color="auto"/>
        <w:bottom w:val="none" w:sz="0" w:space="0" w:color="auto"/>
        <w:right w:val="none" w:sz="0" w:space="0" w:color="auto"/>
      </w:divBdr>
    </w:div>
    <w:div w:id="615214146">
      <w:bodyDiv w:val="1"/>
      <w:marLeft w:val="0"/>
      <w:marRight w:val="0"/>
      <w:marTop w:val="0"/>
      <w:marBottom w:val="0"/>
      <w:divBdr>
        <w:top w:val="none" w:sz="0" w:space="0" w:color="auto"/>
        <w:left w:val="none" w:sz="0" w:space="0" w:color="auto"/>
        <w:bottom w:val="none" w:sz="0" w:space="0" w:color="auto"/>
        <w:right w:val="none" w:sz="0" w:space="0" w:color="auto"/>
      </w:divBdr>
    </w:div>
    <w:div w:id="648093667">
      <w:bodyDiv w:val="1"/>
      <w:marLeft w:val="0"/>
      <w:marRight w:val="0"/>
      <w:marTop w:val="0"/>
      <w:marBottom w:val="0"/>
      <w:divBdr>
        <w:top w:val="none" w:sz="0" w:space="0" w:color="auto"/>
        <w:left w:val="none" w:sz="0" w:space="0" w:color="auto"/>
        <w:bottom w:val="none" w:sz="0" w:space="0" w:color="auto"/>
        <w:right w:val="none" w:sz="0" w:space="0" w:color="auto"/>
      </w:divBdr>
    </w:div>
    <w:div w:id="794368703">
      <w:bodyDiv w:val="1"/>
      <w:marLeft w:val="0"/>
      <w:marRight w:val="0"/>
      <w:marTop w:val="0"/>
      <w:marBottom w:val="0"/>
      <w:divBdr>
        <w:top w:val="none" w:sz="0" w:space="0" w:color="auto"/>
        <w:left w:val="none" w:sz="0" w:space="0" w:color="auto"/>
        <w:bottom w:val="none" w:sz="0" w:space="0" w:color="auto"/>
        <w:right w:val="none" w:sz="0" w:space="0" w:color="auto"/>
      </w:divBdr>
    </w:div>
    <w:div w:id="851145460">
      <w:bodyDiv w:val="1"/>
      <w:marLeft w:val="0"/>
      <w:marRight w:val="0"/>
      <w:marTop w:val="0"/>
      <w:marBottom w:val="0"/>
      <w:divBdr>
        <w:top w:val="none" w:sz="0" w:space="0" w:color="auto"/>
        <w:left w:val="none" w:sz="0" w:space="0" w:color="auto"/>
        <w:bottom w:val="none" w:sz="0" w:space="0" w:color="auto"/>
        <w:right w:val="none" w:sz="0" w:space="0" w:color="auto"/>
      </w:divBdr>
    </w:div>
    <w:div w:id="861820422">
      <w:bodyDiv w:val="1"/>
      <w:marLeft w:val="0"/>
      <w:marRight w:val="0"/>
      <w:marTop w:val="0"/>
      <w:marBottom w:val="0"/>
      <w:divBdr>
        <w:top w:val="none" w:sz="0" w:space="0" w:color="auto"/>
        <w:left w:val="none" w:sz="0" w:space="0" w:color="auto"/>
        <w:bottom w:val="none" w:sz="0" w:space="0" w:color="auto"/>
        <w:right w:val="none" w:sz="0" w:space="0" w:color="auto"/>
      </w:divBdr>
    </w:div>
    <w:div w:id="884371847">
      <w:bodyDiv w:val="1"/>
      <w:marLeft w:val="0"/>
      <w:marRight w:val="0"/>
      <w:marTop w:val="0"/>
      <w:marBottom w:val="0"/>
      <w:divBdr>
        <w:top w:val="none" w:sz="0" w:space="0" w:color="auto"/>
        <w:left w:val="none" w:sz="0" w:space="0" w:color="auto"/>
        <w:bottom w:val="none" w:sz="0" w:space="0" w:color="auto"/>
        <w:right w:val="none" w:sz="0" w:space="0" w:color="auto"/>
      </w:divBdr>
    </w:div>
    <w:div w:id="904024160">
      <w:bodyDiv w:val="1"/>
      <w:marLeft w:val="0"/>
      <w:marRight w:val="0"/>
      <w:marTop w:val="0"/>
      <w:marBottom w:val="0"/>
      <w:divBdr>
        <w:top w:val="none" w:sz="0" w:space="0" w:color="auto"/>
        <w:left w:val="none" w:sz="0" w:space="0" w:color="auto"/>
        <w:bottom w:val="none" w:sz="0" w:space="0" w:color="auto"/>
        <w:right w:val="none" w:sz="0" w:space="0" w:color="auto"/>
      </w:divBdr>
    </w:div>
    <w:div w:id="973173428">
      <w:bodyDiv w:val="1"/>
      <w:marLeft w:val="0"/>
      <w:marRight w:val="0"/>
      <w:marTop w:val="0"/>
      <w:marBottom w:val="0"/>
      <w:divBdr>
        <w:top w:val="none" w:sz="0" w:space="0" w:color="auto"/>
        <w:left w:val="none" w:sz="0" w:space="0" w:color="auto"/>
        <w:bottom w:val="none" w:sz="0" w:space="0" w:color="auto"/>
        <w:right w:val="none" w:sz="0" w:space="0" w:color="auto"/>
      </w:divBdr>
      <w:divsChild>
        <w:div w:id="1442450636">
          <w:marLeft w:val="0"/>
          <w:marRight w:val="0"/>
          <w:marTop w:val="0"/>
          <w:marBottom w:val="0"/>
          <w:divBdr>
            <w:top w:val="none" w:sz="0" w:space="0" w:color="auto"/>
            <w:left w:val="none" w:sz="0" w:space="0" w:color="auto"/>
            <w:bottom w:val="none" w:sz="0" w:space="0" w:color="auto"/>
            <w:right w:val="none" w:sz="0" w:space="0" w:color="auto"/>
          </w:divBdr>
        </w:div>
      </w:divsChild>
    </w:div>
    <w:div w:id="1117022131">
      <w:bodyDiv w:val="1"/>
      <w:marLeft w:val="0"/>
      <w:marRight w:val="0"/>
      <w:marTop w:val="0"/>
      <w:marBottom w:val="0"/>
      <w:divBdr>
        <w:top w:val="none" w:sz="0" w:space="0" w:color="auto"/>
        <w:left w:val="none" w:sz="0" w:space="0" w:color="auto"/>
        <w:bottom w:val="none" w:sz="0" w:space="0" w:color="auto"/>
        <w:right w:val="none" w:sz="0" w:space="0" w:color="auto"/>
      </w:divBdr>
    </w:div>
    <w:div w:id="1140075743">
      <w:bodyDiv w:val="1"/>
      <w:marLeft w:val="0"/>
      <w:marRight w:val="0"/>
      <w:marTop w:val="0"/>
      <w:marBottom w:val="0"/>
      <w:divBdr>
        <w:top w:val="none" w:sz="0" w:space="0" w:color="auto"/>
        <w:left w:val="none" w:sz="0" w:space="0" w:color="auto"/>
        <w:bottom w:val="none" w:sz="0" w:space="0" w:color="auto"/>
        <w:right w:val="none" w:sz="0" w:space="0" w:color="auto"/>
      </w:divBdr>
    </w:div>
    <w:div w:id="1180005591">
      <w:bodyDiv w:val="1"/>
      <w:marLeft w:val="0"/>
      <w:marRight w:val="0"/>
      <w:marTop w:val="0"/>
      <w:marBottom w:val="0"/>
      <w:divBdr>
        <w:top w:val="none" w:sz="0" w:space="0" w:color="auto"/>
        <w:left w:val="none" w:sz="0" w:space="0" w:color="auto"/>
        <w:bottom w:val="none" w:sz="0" w:space="0" w:color="auto"/>
        <w:right w:val="none" w:sz="0" w:space="0" w:color="auto"/>
      </w:divBdr>
    </w:div>
    <w:div w:id="1193417941">
      <w:bodyDiv w:val="1"/>
      <w:marLeft w:val="0"/>
      <w:marRight w:val="0"/>
      <w:marTop w:val="0"/>
      <w:marBottom w:val="0"/>
      <w:divBdr>
        <w:top w:val="none" w:sz="0" w:space="0" w:color="auto"/>
        <w:left w:val="none" w:sz="0" w:space="0" w:color="auto"/>
        <w:bottom w:val="none" w:sz="0" w:space="0" w:color="auto"/>
        <w:right w:val="none" w:sz="0" w:space="0" w:color="auto"/>
      </w:divBdr>
    </w:div>
    <w:div w:id="1228687343">
      <w:bodyDiv w:val="1"/>
      <w:marLeft w:val="0"/>
      <w:marRight w:val="0"/>
      <w:marTop w:val="0"/>
      <w:marBottom w:val="0"/>
      <w:divBdr>
        <w:top w:val="none" w:sz="0" w:space="0" w:color="auto"/>
        <w:left w:val="none" w:sz="0" w:space="0" w:color="auto"/>
        <w:bottom w:val="none" w:sz="0" w:space="0" w:color="auto"/>
        <w:right w:val="none" w:sz="0" w:space="0" w:color="auto"/>
      </w:divBdr>
    </w:div>
    <w:div w:id="1281453996">
      <w:bodyDiv w:val="1"/>
      <w:marLeft w:val="0"/>
      <w:marRight w:val="0"/>
      <w:marTop w:val="0"/>
      <w:marBottom w:val="0"/>
      <w:divBdr>
        <w:top w:val="none" w:sz="0" w:space="0" w:color="auto"/>
        <w:left w:val="none" w:sz="0" w:space="0" w:color="auto"/>
        <w:bottom w:val="none" w:sz="0" w:space="0" w:color="auto"/>
        <w:right w:val="none" w:sz="0" w:space="0" w:color="auto"/>
      </w:divBdr>
    </w:div>
    <w:div w:id="1282147068">
      <w:bodyDiv w:val="1"/>
      <w:marLeft w:val="0"/>
      <w:marRight w:val="0"/>
      <w:marTop w:val="0"/>
      <w:marBottom w:val="0"/>
      <w:divBdr>
        <w:top w:val="none" w:sz="0" w:space="0" w:color="auto"/>
        <w:left w:val="none" w:sz="0" w:space="0" w:color="auto"/>
        <w:bottom w:val="none" w:sz="0" w:space="0" w:color="auto"/>
        <w:right w:val="none" w:sz="0" w:space="0" w:color="auto"/>
      </w:divBdr>
    </w:div>
    <w:div w:id="1307123196">
      <w:bodyDiv w:val="1"/>
      <w:marLeft w:val="0"/>
      <w:marRight w:val="0"/>
      <w:marTop w:val="0"/>
      <w:marBottom w:val="0"/>
      <w:divBdr>
        <w:top w:val="none" w:sz="0" w:space="0" w:color="auto"/>
        <w:left w:val="none" w:sz="0" w:space="0" w:color="auto"/>
        <w:bottom w:val="none" w:sz="0" w:space="0" w:color="auto"/>
        <w:right w:val="none" w:sz="0" w:space="0" w:color="auto"/>
      </w:divBdr>
    </w:div>
    <w:div w:id="1358849351">
      <w:bodyDiv w:val="1"/>
      <w:marLeft w:val="0"/>
      <w:marRight w:val="0"/>
      <w:marTop w:val="0"/>
      <w:marBottom w:val="0"/>
      <w:divBdr>
        <w:top w:val="none" w:sz="0" w:space="0" w:color="auto"/>
        <w:left w:val="none" w:sz="0" w:space="0" w:color="auto"/>
        <w:bottom w:val="none" w:sz="0" w:space="0" w:color="auto"/>
        <w:right w:val="none" w:sz="0" w:space="0" w:color="auto"/>
      </w:divBdr>
    </w:div>
    <w:div w:id="1414860647">
      <w:bodyDiv w:val="1"/>
      <w:marLeft w:val="0"/>
      <w:marRight w:val="0"/>
      <w:marTop w:val="0"/>
      <w:marBottom w:val="0"/>
      <w:divBdr>
        <w:top w:val="none" w:sz="0" w:space="0" w:color="auto"/>
        <w:left w:val="none" w:sz="0" w:space="0" w:color="auto"/>
        <w:bottom w:val="none" w:sz="0" w:space="0" w:color="auto"/>
        <w:right w:val="none" w:sz="0" w:space="0" w:color="auto"/>
      </w:divBdr>
    </w:div>
    <w:div w:id="1486314901">
      <w:bodyDiv w:val="1"/>
      <w:marLeft w:val="0"/>
      <w:marRight w:val="0"/>
      <w:marTop w:val="0"/>
      <w:marBottom w:val="0"/>
      <w:divBdr>
        <w:top w:val="none" w:sz="0" w:space="0" w:color="auto"/>
        <w:left w:val="none" w:sz="0" w:space="0" w:color="auto"/>
        <w:bottom w:val="none" w:sz="0" w:space="0" w:color="auto"/>
        <w:right w:val="none" w:sz="0" w:space="0" w:color="auto"/>
      </w:divBdr>
    </w:div>
    <w:div w:id="1537884409">
      <w:bodyDiv w:val="1"/>
      <w:marLeft w:val="0"/>
      <w:marRight w:val="0"/>
      <w:marTop w:val="0"/>
      <w:marBottom w:val="0"/>
      <w:divBdr>
        <w:top w:val="none" w:sz="0" w:space="0" w:color="auto"/>
        <w:left w:val="none" w:sz="0" w:space="0" w:color="auto"/>
        <w:bottom w:val="none" w:sz="0" w:space="0" w:color="auto"/>
        <w:right w:val="none" w:sz="0" w:space="0" w:color="auto"/>
      </w:divBdr>
    </w:div>
    <w:div w:id="1585996137">
      <w:bodyDiv w:val="1"/>
      <w:marLeft w:val="0"/>
      <w:marRight w:val="0"/>
      <w:marTop w:val="0"/>
      <w:marBottom w:val="0"/>
      <w:divBdr>
        <w:top w:val="none" w:sz="0" w:space="0" w:color="auto"/>
        <w:left w:val="none" w:sz="0" w:space="0" w:color="auto"/>
        <w:bottom w:val="none" w:sz="0" w:space="0" w:color="auto"/>
        <w:right w:val="none" w:sz="0" w:space="0" w:color="auto"/>
      </w:divBdr>
    </w:div>
    <w:div w:id="1664969619">
      <w:bodyDiv w:val="1"/>
      <w:marLeft w:val="0"/>
      <w:marRight w:val="0"/>
      <w:marTop w:val="0"/>
      <w:marBottom w:val="0"/>
      <w:divBdr>
        <w:top w:val="none" w:sz="0" w:space="0" w:color="auto"/>
        <w:left w:val="none" w:sz="0" w:space="0" w:color="auto"/>
        <w:bottom w:val="none" w:sz="0" w:space="0" w:color="auto"/>
        <w:right w:val="none" w:sz="0" w:space="0" w:color="auto"/>
      </w:divBdr>
    </w:div>
    <w:div w:id="1747414459">
      <w:bodyDiv w:val="1"/>
      <w:marLeft w:val="0"/>
      <w:marRight w:val="0"/>
      <w:marTop w:val="0"/>
      <w:marBottom w:val="0"/>
      <w:divBdr>
        <w:top w:val="none" w:sz="0" w:space="0" w:color="auto"/>
        <w:left w:val="none" w:sz="0" w:space="0" w:color="auto"/>
        <w:bottom w:val="none" w:sz="0" w:space="0" w:color="auto"/>
        <w:right w:val="none" w:sz="0" w:space="0" w:color="auto"/>
      </w:divBdr>
    </w:div>
    <w:div w:id="1799570313">
      <w:bodyDiv w:val="1"/>
      <w:marLeft w:val="0"/>
      <w:marRight w:val="0"/>
      <w:marTop w:val="0"/>
      <w:marBottom w:val="0"/>
      <w:divBdr>
        <w:top w:val="none" w:sz="0" w:space="0" w:color="auto"/>
        <w:left w:val="none" w:sz="0" w:space="0" w:color="auto"/>
        <w:bottom w:val="none" w:sz="0" w:space="0" w:color="auto"/>
        <w:right w:val="none" w:sz="0" w:space="0" w:color="auto"/>
      </w:divBdr>
    </w:div>
    <w:div w:id="1804807702">
      <w:bodyDiv w:val="1"/>
      <w:marLeft w:val="0"/>
      <w:marRight w:val="0"/>
      <w:marTop w:val="0"/>
      <w:marBottom w:val="0"/>
      <w:divBdr>
        <w:top w:val="none" w:sz="0" w:space="0" w:color="auto"/>
        <w:left w:val="none" w:sz="0" w:space="0" w:color="auto"/>
        <w:bottom w:val="none" w:sz="0" w:space="0" w:color="auto"/>
        <w:right w:val="none" w:sz="0" w:space="0" w:color="auto"/>
      </w:divBdr>
    </w:div>
    <w:div w:id="1845390002">
      <w:bodyDiv w:val="1"/>
      <w:marLeft w:val="0"/>
      <w:marRight w:val="0"/>
      <w:marTop w:val="0"/>
      <w:marBottom w:val="0"/>
      <w:divBdr>
        <w:top w:val="none" w:sz="0" w:space="0" w:color="auto"/>
        <w:left w:val="none" w:sz="0" w:space="0" w:color="auto"/>
        <w:bottom w:val="none" w:sz="0" w:space="0" w:color="auto"/>
        <w:right w:val="none" w:sz="0" w:space="0" w:color="auto"/>
      </w:divBdr>
    </w:div>
    <w:div w:id="1878396950">
      <w:bodyDiv w:val="1"/>
      <w:marLeft w:val="0"/>
      <w:marRight w:val="0"/>
      <w:marTop w:val="0"/>
      <w:marBottom w:val="0"/>
      <w:divBdr>
        <w:top w:val="none" w:sz="0" w:space="0" w:color="auto"/>
        <w:left w:val="none" w:sz="0" w:space="0" w:color="auto"/>
        <w:bottom w:val="none" w:sz="0" w:space="0" w:color="auto"/>
        <w:right w:val="none" w:sz="0" w:space="0" w:color="auto"/>
      </w:divBdr>
    </w:div>
    <w:div w:id="1930305040">
      <w:bodyDiv w:val="1"/>
      <w:marLeft w:val="0"/>
      <w:marRight w:val="0"/>
      <w:marTop w:val="0"/>
      <w:marBottom w:val="0"/>
      <w:divBdr>
        <w:top w:val="none" w:sz="0" w:space="0" w:color="auto"/>
        <w:left w:val="none" w:sz="0" w:space="0" w:color="auto"/>
        <w:bottom w:val="none" w:sz="0" w:space="0" w:color="auto"/>
        <w:right w:val="none" w:sz="0" w:space="0" w:color="auto"/>
      </w:divBdr>
    </w:div>
    <w:div w:id="1969775822">
      <w:bodyDiv w:val="1"/>
      <w:marLeft w:val="0"/>
      <w:marRight w:val="0"/>
      <w:marTop w:val="0"/>
      <w:marBottom w:val="0"/>
      <w:divBdr>
        <w:top w:val="none" w:sz="0" w:space="0" w:color="auto"/>
        <w:left w:val="none" w:sz="0" w:space="0" w:color="auto"/>
        <w:bottom w:val="none" w:sz="0" w:space="0" w:color="auto"/>
        <w:right w:val="none" w:sz="0" w:space="0" w:color="auto"/>
      </w:divBdr>
    </w:div>
    <w:div w:id="1980305205">
      <w:bodyDiv w:val="1"/>
      <w:marLeft w:val="0"/>
      <w:marRight w:val="0"/>
      <w:marTop w:val="0"/>
      <w:marBottom w:val="0"/>
      <w:divBdr>
        <w:top w:val="none" w:sz="0" w:space="0" w:color="auto"/>
        <w:left w:val="none" w:sz="0" w:space="0" w:color="auto"/>
        <w:bottom w:val="none" w:sz="0" w:space="0" w:color="auto"/>
        <w:right w:val="none" w:sz="0" w:space="0" w:color="auto"/>
      </w:divBdr>
    </w:div>
    <w:div w:id="2057585718">
      <w:bodyDiv w:val="1"/>
      <w:marLeft w:val="0"/>
      <w:marRight w:val="0"/>
      <w:marTop w:val="0"/>
      <w:marBottom w:val="0"/>
      <w:divBdr>
        <w:top w:val="none" w:sz="0" w:space="0" w:color="auto"/>
        <w:left w:val="none" w:sz="0" w:space="0" w:color="auto"/>
        <w:bottom w:val="none" w:sz="0" w:space="0" w:color="auto"/>
        <w:right w:val="none" w:sz="0" w:space="0" w:color="auto"/>
      </w:divBdr>
    </w:div>
    <w:div w:id="2092509980">
      <w:bodyDiv w:val="1"/>
      <w:marLeft w:val="0"/>
      <w:marRight w:val="0"/>
      <w:marTop w:val="0"/>
      <w:marBottom w:val="0"/>
      <w:divBdr>
        <w:top w:val="none" w:sz="0" w:space="0" w:color="auto"/>
        <w:left w:val="none" w:sz="0" w:space="0" w:color="auto"/>
        <w:bottom w:val="none" w:sz="0" w:space="0" w:color="auto"/>
        <w:right w:val="none" w:sz="0" w:space="0" w:color="auto"/>
      </w:divBdr>
    </w:div>
    <w:div w:id="2093427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2.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southsinai.gov.e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dws.travel/blue-magazine/issue2.pdf"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3.xml"/><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50"/>
            </a:pPr>
            <a:r>
              <a:rPr lang="en-US" sz="1000">
                <a:latin typeface="Times New Roman" panose="02020603050405020304" pitchFamily="18" charset="0"/>
                <a:cs typeface="Times New Roman" panose="02020603050405020304" pitchFamily="18" charset="0"/>
              </a:rPr>
              <a:t>Figure 5: </a:t>
            </a:r>
            <a:r>
              <a:rPr lang="en-US" sz="1000" b="1" i="0" u="none" strike="noStrike" baseline="0">
                <a:effectLst/>
                <a:latin typeface="Times New Roman" panose="02020603050405020304" pitchFamily="18" charset="0"/>
                <a:cs typeface="Times New Roman" panose="02020603050405020304" pitchFamily="18" charset="0"/>
              </a:rPr>
              <a:t>The DI Levels </a:t>
            </a:r>
            <a:r>
              <a:rPr lang="en-US" sz="1000">
                <a:latin typeface="Times New Roman" panose="02020603050405020304" pitchFamily="18" charset="0"/>
                <a:cs typeface="Times New Roman" panose="02020603050405020304" pitchFamily="18" charset="0"/>
              </a:rPr>
              <a:t>in South Sinai Governorate </a:t>
            </a:r>
          </a:p>
        </c:rich>
      </c:tx>
      <c:layout>
        <c:manualLayout>
          <c:xMode val="edge"/>
          <c:yMode val="edge"/>
          <c:x val="0.19974677394000886"/>
          <c:y val="2.5377070376901893E-2"/>
        </c:manualLayout>
      </c:layout>
      <c:overlay val="0"/>
    </c:title>
    <c:autoTitleDeleted val="0"/>
    <c:plotArea>
      <c:layout>
        <c:manualLayout>
          <c:layoutTarget val="inner"/>
          <c:xMode val="edge"/>
          <c:yMode val="edge"/>
          <c:x val="0.1234545434005437"/>
          <c:y val="0.13603459367212228"/>
          <c:w val="0.751256689626983"/>
          <c:h val="0.72751232800445398"/>
        </c:manualLayout>
      </c:layout>
      <c:barChart>
        <c:barDir val="col"/>
        <c:grouping val="clustered"/>
        <c:varyColors val="0"/>
        <c:ser>
          <c:idx val="0"/>
          <c:order val="0"/>
          <c:tx>
            <c:strRef>
              <c:f>Sheet1!$B$1</c:f>
              <c:strCache>
                <c:ptCount val="1"/>
                <c:pt idx="0">
                  <c:v>Column6</c:v>
                </c:pt>
              </c:strCache>
            </c:strRef>
          </c:tx>
          <c:spPr>
            <a:pattFill prst="openDmnd">
              <a:fgClr>
                <a:srgbClr val="00B050"/>
              </a:fgClr>
              <a:bgClr>
                <a:schemeClr val="bg1"/>
              </a:bgClr>
            </a:pattFill>
            <a:ln>
              <a:solidFill>
                <a:srgbClr val="00B050"/>
              </a:solidFill>
            </a:ln>
            <a:effectLst>
              <a:glow rad="12700">
                <a:schemeClr val="accent1">
                  <a:alpha val="40000"/>
                </a:schemeClr>
              </a:glow>
            </a:effectLst>
          </c:spPr>
          <c:invertIfNegative val="0"/>
          <c:cat>
            <c:strRef>
              <c:f>Sheet1!$A$2:$A$7</c:f>
              <c:strCache>
                <c:ptCount val="6"/>
                <c:pt idx="0">
                  <c:v>Ras Sudr</c:v>
                </c:pt>
                <c:pt idx="1">
                  <c:v>Abu Rudeis</c:v>
                </c:pt>
                <c:pt idx="2">
                  <c:v>El-Tor</c:v>
                </c:pt>
                <c:pt idx="3">
                  <c:v>Sharm El-Sheikh</c:v>
                </c:pt>
                <c:pt idx="4">
                  <c:v>Taba</c:v>
                </c:pt>
                <c:pt idx="5">
                  <c:v>Saint Catherine</c:v>
                </c:pt>
              </c:strCache>
            </c:strRef>
          </c:cat>
          <c:val>
            <c:numRef>
              <c:f>Sheet1!$B$2:$B$7</c:f>
              <c:numCache>
                <c:formatCode>General</c:formatCode>
                <c:ptCount val="6"/>
                <c:pt idx="0">
                  <c:v>19.8</c:v>
                </c:pt>
                <c:pt idx="1">
                  <c:v>20.5</c:v>
                </c:pt>
                <c:pt idx="2">
                  <c:v>20.8</c:v>
                </c:pt>
                <c:pt idx="3">
                  <c:v>23.5</c:v>
                </c:pt>
                <c:pt idx="4">
                  <c:v>18</c:v>
                </c:pt>
                <c:pt idx="5">
                  <c:v>16.399999999999999</c:v>
                </c:pt>
              </c:numCache>
            </c:numRef>
          </c:val>
          <c:extLst>
            <c:ext xmlns:c16="http://schemas.microsoft.com/office/drawing/2014/chart" uri="{C3380CC4-5D6E-409C-BE32-E72D297353CC}">
              <c16:uniqueId val="{00000000-A715-4A22-83C0-0371C41481EC}"/>
            </c:ext>
          </c:extLst>
        </c:ser>
        <c:ser>
          <c:idx val="1"/>
          <c:order val="1"/>
          <c:tx>
            <c:strRef>
              <c:f>Sheet1!$C$1</c:f>
              <c:strCache>
                <c:ptCount val="1"/>
                <c:pt idx="0">
                  <c:v>Column1</c:v>
                </c:pt>
              </c:strCache>
            </c:strRef>
          </c:tx>
          <c:spPr>
            <a:ln w="19050"/>
          </c:spPr>
          <c:invertIfNegative val="0"/>
          <c:cat>
            <c:strRef>
              <c:f>Sheet1!$A$2:$A$7</c:f>
              <c:strCache>
                <c:ptCount val="6"/>
                <c:pt idx="0">
                  <c:v>Ras Sudr</c:v>
                </c:pt>
                <c:pt idx="1">
                  <c:v>Abu Rudeis</c:v>
                </c:pt>
                <c:pt idx="2">
                  <c:v>El-Tor</c:v>
                </c:pt>
                <c:pt idx="3">
                  <c:v>Sharm El-Sheikh</c:v>
                </c:pt>
                <c:pt idx="4">
                  <c:v>Taba</c:v>
                </c:pt>
                <c:pt idx="5">
                  <c:v>Saint Catherine</c:v>
                </c:pt>
              </c:strCache>
            </c:strRef>
          </c:cat>
          <c:val>
            <c:numRef>
              <c:f>Sheet1!$C$2:$C$7</c:f>
              <c:numCache>
                <c:formatCode>General</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1-A715-4A22-83C0-0371C41481EC}"/>
            </c:ext>
          </c:extLst>
        </c:ser>
        <c:ser>
          <c:idx val="2"/>
          <c:order val="2"/>
          <c:tx>
            <c:strRef>
              <c:f>Sheet1!$D$1</c:f>
              <c:strCache>
                <c:ptCount val="1"/>
                <c:pt idx="0">
                  <c:v>Column2</c:v>
                </c:pt>
              </c:strCache>
            </c:strRef>
          </c:tx>
          <c:spPr>
            <a:ln w="19050"/>
          </c:spPr>
          <c:invertIfNegative val="0"/>
          <c:cat>
            <c:strRef>
              <c:f>Sheet1!$A$2:$A$7</c:f>
              <c:strCache>
                <c:ptCount val="6"/>
                <c:pt idx="0">
                  <c:v>Ras Sudr</c:v>
                </c:pt>
                <c:pt idx="1">
                  <c:v>Abu Rudeis</c:v>
                </c:pt>
                <c:pt idx="2">
                  <c:v>El-Tor</c:v>
                </c:pt>
                <c:pt idx="3">
                  <c:v>Sharm El-Sheikh</c:v>
                </c:pt>
                <c:pt idx="4">
                  <c:v>Taba</c:v>
                </c:pt>
                <c:pt idx="5">
                  <c:v>Saint Catherine</c:v>
                </c:pt>
              </c:strCache>
            </c:strRef>
          </c:cat>
          <c:val>
            <c:numRef>
              <c:f>Sheet1!$D$2:$D$7</c:f>
              <c:numCache>
                <c:formatCode>General</c:formatCode>
                <c:ptCount val="6"/>
              </c:numCache>
            </c:numRef>
          </c:val>
          <c:extLst>
            <c:ext xmlns:c16="http://schemas.microsoft.com/office/drawing/2014/chart" uri="{C3380CC4-5D6E-409C-BE32-E72D297353CC}">
              <c16:uniqueId val="{00000002-A715-4A22-83C0-0371C41481EC}"/>
            </c:ext>
          </c:extLst>
        </c:ser>
        <c:ser>
          <c:idx val="3"/>
          <c:order val="3"/>
          <c:tx>
            <c:strRef>
              <c:f>Sheet1!$E$1</c:f>
              <c:strCache>
                <c:ptCount val="1"/>
                <c:pt idx="0">
                  <c:v>Column3</c:v>
                </c:pt>
              </c:strCache>
            </c:strRef>
          </c:tx>
          <c:spPr>
            <a:ln w="19050"/>
          </c:spPr>
          <c:invertIfNegative val="0"/>
          <c:cat>
            <c:strRef>
              <c:f>Sheet1!$A$2:$A$7</c:f>
              <c:strCache>
                <c:ptCount val="6"/>
                <c:pt idx="0">
                  <c:v>Ras Sudr</c:v>
                </c:pt>
                <c:pt idx="1">
                  <c:v>Abu Rudeis</c:v>
                </c:pt>
                <c:pt idx="2">
                  <c:v>El-Tor</c:v>
                </c:pt>
                <c:pt idx="3">
                  <c:v>Sharm El-Sheikh</c:v>
                </c:pt>
                <c:pt idx="4">
                  <c:v>Taba</c:v>
                </c:pt>
                <c:pt idx="5">
                  <c:v>Saint Catherine</c:v>
                </c:pt>
              </c:strCache>
            </c:strRef>
          </c:cat>
          <c:val>
            <c:numRef>
              <c:f>Sheet1!$E$2:$E$7</c:f>
              <c:numCache>
                <c:formatCode>General</c:formatCode>
                <c:ptCount val="6"/>
              </c:numCache>
            </c:numRef>
          </c:val>
          <c:extLst>
            <c:ext xmlns:c16="http://schemas.microsoft.com/office/drawing/2014/chart" uri="{C3380CC4-5D6E-409C-BE32-E72D297353CC}">
              <c16:uniqueId val="{00000003-A715-4A22-83C0-0371C41481EC}"/>
            </c:ext>
          </c:extLst>
        </c:ser>
        <c:ser>
          <c:idx val="4"/>
          <c:order val="4"/>
          <c:tx>
            <c:strRef>
              <c:f>Sheet1!$F$1</c:f>
              <c:strCache>
                <c:ptCount val="1"/>
                <c:pt idx="0">
                  <c:v>Column4</c:v>
                </c:pt>
              </c:strCache>
            </c:strRef>
          </c:tx>
          <c:spPr>
            <a:ln w="19050"/>
          </c:spPr>
          <c:invertIfNegative val="0"/>
          <c:cat>
            <c:strRef>
              <c:f>Sheet1!$A$2:$A$7</c:f>
              <c:strCache>
                <c:ptCount val="6"/>
                <c:pt idx="0">
                  <c:v>Ras Sudr</c:v>
                </c:pt>
                <c:pt idx="1">
                  <c:v>Abu Rudeis</c:v>
                </c:pt>
                <c:pt idx="2">
                  <c:v>El-Tor</c:v>
                </c:pt>
                <c:pt idx="3">
                  <c:v>Sharm El-Sheikh</c:v>
                </c:pt>
                <c:pt idx="4">
                  <c:v>Taba</c:v>
                </c:pt>
                <c:pt idx="5">
                  <c:v>Saint Catherine</c:v>
                </c:pt>
              </c:strCache>
            </c:strRef>
          </c:cat>
          <c:val>
            <c:numRef>
              <c:f>Sheet1!$F$2:$F$7</c:f>
              <c:numCache>
                <c:formatCode>General</c:formatCode>
                <c:ptCount val="6"/>
              </c:numCache>
            </c:numRef>
          </c:val>
          <c:extLst>
            <c:ext xmlns:c16="http://schemas.microsoft.com/office/drawing/2014/chart" uri="{C3380CC4-5D6E-409C-BE32-E72D297353CC}">
              <c16:uniqueId val="{00000004-A715-4A22-83C0-0371C41481EC}"/>
            </c:ext>
          </c:extLst>
        </c:ser>
        <c:ser>
          <c:idx val="5"/>
          <c:order val="5"/>
          <c:tx>
            <c:strRef>
              <c:f>Sheet1!$G$1</c:f>
              <c:strCache>
                <c:ptCount val="1"/>
                <c:pt idx="0">
                  <c:v>Column5</c:v>
                </c:pt>
              </c:strCache>
            </c:strRef>
          </c:tx>
          <c:spPr>
            <a:ln w="19050"/>
          </c:spPr>
          <c:invertIfNegative val="0"/>
          <c:cat>
            <c:strRef>
              <c:f>Sheet1!$A$2:$A$7</c:f>
              <c:strCache>
                <c:ptCount val="6"/>
                <c:pt idx="0">
                  <c:v>Ras Sudr</c:v>
                </c:pt>
                <c:pt idx="1">
                  <c:v>Abu Rudeis</c:v>
                </c:pt>
                <c:pt idx="2">
                  <c:v>El-Tor</c:v>
                </c:pt>
                <c:pt idx="3">
                  <c:v>Sharm El-Sheikh</c:v>
                </c:pt>
                <c:pt idx="4">
                  <c:v>Taba</c:v>
                </c:pt>
                <c:pt idx="5">
                  <c:v>Saint Catherine</c:v>
                </c:pt>
              </c:strCache>
            </c:strRef>
          </c:cat>
          <c:val>
            <c:numRef>
              <c:f>Sheet1!$G$2:$G$7</c:f>
              <c:numCache>
                <c:formatCode>General</c:formatCode>
                <c:ptCount val="6"/>
              </c:numCache>
            </c:numRef>
          </c:val>
          <c:extLst>
            <c:ext xmlns:c16="http://schemas.microsoft.com/office/drawing/2014/chart" uri="{C3380CC4-5D6E-409C-BE32-E72D297353CC}">
              <c16:uniqueId val="{00000005-A715-4A22-83C0-0371C41481EC}"/>
            </c:ext>
          </c:extLst>
        </c:ser>
        <c:dLbls>
          <c:showLegendKey val="0"/>
          <c:showVal val="0"/>
          <c:showCatName val="0"/>
          <c:showSerName val="0"/>
          <c:showPercent val="0"/>
          <c:showBubbleSize val="0"/>
        </c:dLbls>
        <c:gapWidth val="150"/>
        <c:axId val="370238808"/>
        <c:axId val="370237240"/>
      </c:barChart>
      <c:catAx>
        <c:axId val="370238808"/>
        <c:scaling>
          <c:orientation val="minMax"/>
        </c:scaling>
        <c:delete val="0"/>
        <c:axPos val="b"/>
        <c:majorGridlines/>
        <c:title>
          <c:tx>
            <c:rich>
              <a:bodyPr/>
              <a:lstStyle/>
              <a:p>
                <a:pPr>
                  <a:defRPr/>
                </a:pPr>
                <a:r>
                  <a:rPr lang="en-US" sz="800">
                    <a:latin typeface="Times New Roman" panose="02020603050405020304" pitchFamily="18" charset="0"/>
                    <a:cs typeface="Times New Roman" panose="02020603050405020304" pitchFamily="18" charset="0"/>
                  </a:rPr>
                  <a:t>Station</a:t>
                </a:r>
                <a:endParaRPr lang="en-US">
                  <a:latin typeface="Times New Roman" panose="02020603050405020304" pitchFamily="18" charset="0"/>
                  <a:cs typeface="Times New Roman" panose="02020603050405020304" pitchFamily="18" charset="0"/>
                </a:endParaRPr>
              </a:p>
            </c:rich>
          </c:tx>
          <c:layout>
            <c:manualLayout>
              <c:xMode val="edge"/>
              <c:yMode val="edge"/>
              <c:x val="0.87164669633687097"/>
              <c:y val="0.8776413246639625"/>
            </c:manualLayout>
          </c:layout>
          <c:overlay val="0"/>
        </c:title>
        <c:numFmt formatCode="General" sourceLinked="1"/>
        <c:majorTickMark val="none"/>
        <c:minorTickMark val="none"/>
        <c:tickLblPos val="nextTo"/>
        <c:spPr>
          <a:ln w="9525">
            <a:noFill/>
          </a:ln>
        </c:spPr>
        <c:txPr>
          <a:bodyPr/>
          <a:lstStyle/>
          <a:p>
            <a:pPr>
              <a:defRPr sz="700" b="1">
                <a:latin typeface="Times New Roman" panose="02020603050405020304" pitchFamily="18" charset="0"/>
                <a:cs typeface="Times New Roman" panose="02020603050405020304" pitchFamily="18" charset="0"/>
              </a:defRPr>
            </a:pPr>
            <a:endParaRPr lang="en-US"/>
          </a:p>
        </c:txPr>
        <c:crossAx val="370237240"/>
        <c:crosses val="autoZero"/>
        <c:auto val="1"/>
        <c:lblAlgn val="ctr"/>
        <c:lblOffset val="100"/>
        <c:noMultiLvlLbl val="0"/>
      </c:catAx>
      <c:valAx>
        <c:axId val="370237240"/>
        <c:scaling>
          <c:orientation val="minMax"/>
        </c:scaling>
        <c:delete val="0"/>
        <c:axPos val="l"/>
        <c:majorGridlines>
          <c:spPr>
            <a:ln w="3175">
              <a:solidFill>
                <a:schemeClr val="bg1">
                  <a:lumMod val="75000"/>
                </a:schemeClr>
              </a:solidFill>
            </a:ln>
          </c:spPr>
        </c:majorGridlines>
        <c:title>
          <c:tx>
            <c:rich>
              <a:bodyPr/>
              <a:lstStyle/>
              <a:p>
                <a:pPr>
                  <a:defRPr/>
                </a:pPr>
                <a:r>
                  <a:rPr lang="en-US"/>
                  <a:t>DI</a:t>
                </a:r>
              </a:p>
            </c:rich>
          </c:tx>
          <c:layout>
            <c:manualLayout>
              <c:xMode val="edge"/>
              <c:yMode val="edge"/>
              <c:x val="1.6972930857405946E-2"/>
              <c:y val="0.11315865346377156"/>
            </c:manualLayout>
          </c:layout>
          <c:overlay val="0"/>
        </c:title>
        <c:numFmt formatCode="General" sourceLinked="1"/>
        <c:majorTickMark val="none"/>
        <c:minorTickMark val="none"/>
        <c:tickLblPos val="nextTo"/>
        <c:spPr>
          <a:noFill/>
          <a:ln w="6350">
            <a:solidFill>
              <a:schemeClr val="bg1">
                <a:lumMod val="50000"/>
              </a:schemeClr>
            </a:solidFill>
          </a:ln>
        </c:spPr>
        <c:txPr>
          <a:bodyPr/>
          <a:lstStyle/>
          <a:p>
            <a:pPr>
              <a:defRPr sz="800" b="1">
                <a:solidFill>
                  <a:sysClr val="windowText" lastClr="000000"/>
                </a:solidFill>
                <a:latin typeface="Times New Roman" panose="02020603050405020304" pitchFamily="18" charset="0"/>
                <a:cs typeface="Times New Roman" panose="02020603050405020304" pitchFamily="18" charset="0"/>
              </a:defRPr>
            </a:pPr>
            <a:endParaRPr lang="en-US"/>
          </a:p>
        </c:txPr>
        <c:crossAx val="370238808"/>
        <c:crosses val="autoZero"/>
        <c:crossBetween val="between"/>
      </c:valAx>
      <c:spPr>
        <a:noFill/>
        <a:ln>
          <a:noFill/>
        </a:ln>
      </c:spPr>
    </c:plotArea>
    <c:plotVisOnly val="1"/>
    <c:dispBlanksAs val="gap"/>
    <c:showDLblsOverMax val="0"/>
  </c:chart>
  <c:spPr>
    <a:ln w="6350">
      <a:solidFill>
        <a:schemeClr val="tx1"/>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50"/>
            </a:pPr>
            <a:r>
              <a:rPr lang="en-US" sz="900">
                <a:latin typeface="Times New Roman" panose="02020603050405020304" pitchFamily="18" charset="0"/>
                <a:cs typeface="Times New Roman" panose="02020603050405020304" pitchFamily="18" charset="0"/>
              </a:rPr>
              <a:t>Figure 6: Pesi model levels in South Sinai Governorate </a:t>
            </a:r>
          </a:p>
        </c:rich>
      </c:tx>
      <c:layout>
        <c:manualLayout>
          <c:xMode val="edge"/>
          <c:yMode val="edge"/>
          <c:x val="0.1642597434275217"/>
          <c:y val="2.3181257339047606E-2"/>
        </c:manualLayout>
      </c:layout>
      <c:overlay val="0"/>
    </c:title>
    <c:autoTitleDeleted val="0"/>
    <c:plotArea>
      <c:layout>
        <c:manualLayout>
          <c:layoutTarget val="inner"/>
          <c:xMode val="edge"/>
          <c:yMode val="edge"/>
          <c:x val="0.14131818731661761"/>
          <c:y val="0.16423182751702864"/>
          <c:w val="0.69582921909680906"/>
          <c:h val="0.78454218902395512"/>
        </c:manualLayout>
      </c:layout>
      <c:radarChart>
        <c:radarStyle val="marker"/>
        <c:varyColors val="0"/>
        <c:ser>
          <c:idx val="0"/>
          <c:order val="0"/>
          <c:tx>
            <c:strRef>
              <c:f>Sheet1!$B$1</c:f>
              <c:strCache>
                <c:ptCount val="1"/>
                <c:pt idx="0">
                  <c:v>Column6</c:v>
                </c:pt>
              </c:strCache>
            </c:strRef>
          </c:tx>
          <c:spPr>
            <a:ln w="12700">
              <a:solidFill>
                <a:srgbClr val="00B050"/>
              </a:solidFill>
            </a:ln>
          </c:spPr>
          <c:marker>
            <c:symbol val="circle"/>
            <c:size val="3"/>
            <c:spPr>
              <a:ln w="12700">
                <a:solidFill>
                  <a:srgbClr val="00B050"/>
                </a:solidFill>
              </a:ln>
            </c:spPr>
          </c:marker>
          <c:cat>
            <c:strRef>
              <c:f>Sheet1!$A$2:$A$13</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Sheet1!$B$2:$B$13</c:f>
              <c:numCache>
                <c:formatCode>General</c:formatCode>
                <c:ptCount val="12"/>
                <c:pt idx="0">
                  <c:v>13.6</c:v>
                </c:pt>
                <c:pt idx="1">
                  <c:v>14.3</c:v>
                </c:pt>
                <c:pt idx="2">
                  <c:v>16.100000000000001</c:v>
                </c:pt>
                <c:pt idx="3">
                  <c:v>18.8</c:v>
                </c:pt>
                <c:pt idx="4">
                  <c:v>21.4</c:v>
                </c:pt>
                <c:pt idx="5">
                  <c:v>23.1</c:v>
                </c:pt>
                <c:pt idx="6">
                  <c:v>24.1</c:v>
                </c:pt>
                <c:pt idx="7">
                  <c:v>24.3</c:v>
                </c:pt>
                <c:pt idx="8">
                  <c:v>23.4</c:v>
                </c:pt>
                <c:pt idx="9">
                  <c:v>21.1</c:v>
                </c:pt>
                <c:pt idx="10">
                  <c:v>17.399999999999999</c:v>
                </c:pt>
                <c:pt idx="11">
                  <c:v>14.7</c:v>
                </c:pt>
              </c:numCache>
            </c:numRef>
          </c:val>
          <c:extLst>
            <c:ext xmlns:c16="http://schemas.microsoft.com/office/drawing/2014/chart" uri="{C3380CC4-5D6E-409C-BE32-E72D297353CC}">
              <c16:uniqueId val="{00000000-E591-4DEC-B1CD-69A0F7DF47BE}"/>
            </c:ext>
          </c:extLst>
        </c:ser>
        <c:ser>
          <c:idx val="1"/>
          <c:order val="1"/>
          <c:tx>
            <c:strRef>
              <c:f>Sheet1!$C$1</c:f>
              <c:strCache>
                <c:ptCount val="1"/>
                <c:pt idx="0">
                  <c:v>Column1</c:v>
                </c:pt>
              </c:strCache>
            </c:strRef>
          </c:tx>
          <c:spPr>
            <a:ln w="19050"/>
          </c:spPr>
          <c:marker>
            <c:symbol val="none"/>
          </c:marker>
          <c:cat>
            <c:strRef>
              <c:f>Sheet1!$A$2:$A$13</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Sheet1!$C$2:$C$13</c:f>
              <c:numCache>
                <c:formatCode>General</c:formatCode>
                <c:ptCount val="12"/>
              </c:numCache>
            </c:numRef>
          </c:val>
          <c:extLst>
            <c:ext xmlns:c16="http://schemas.microsoft.com/office/drawing/2014/chart" uri="{C3380CC4-5D6E-409C-BE32-E72D297353CC}">
              <c16:uniqueId val="{00000001-E591-4DEC-B1CD-69A0F7DF47BE}"/>
            </c:ext>
          </c:extLst>
        </c:ser>
        <c:ser>
          <c:idx val="2"/>
          <c:order val="2"/>
          <c:tx>
            <c:strRef>
              <c:f>Sheet1!$D$1</c:f>
              <c:strCache>
                <c:ptCount val="1"/>
                <c:pt idx="0">
                  <c:v>Column2</c:v>
                </c:pt>
              </c:strCache>
            </c:strRef>
          </c:tx>
          <c:spPr>
            <a:ln w="19050"/>
          </c:spPr>
          <c:marker>
            <c:symbol val="none"/>
          </c:marker>
          <c:cat>
            <c:strRef>
              <c:f>Sheet1!$A$2:$A$13</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Sheet1!$D$2:$D$13</c:f>
              <c:numCache>
                <c:formatCode>General</c:formatCode>
                <c:ptCount val="12"/>
              </c:numCache>
            </c:numRef>
          </c:val>
          <c:extLst>
            <c:ext xmlns:c16="http://schemas.microsoft.com/office/drawing/2014/chart" uri="{C3380CC4-5D6E-409C-BE32-E72D297353CC}">
              <c16:uniqueId val="{00000002-E591-4DEC-B1CD-69A0F7DF47BE}"/>
            </c:ext>
          </c:extLst>
        </c:ser>
        <c:ser>
          <c:idx val="3"/>
          <c:order val="3"/>
          <c:tx>
            <c:strRef>
              <c:f>Sheet1!$E$1</c:f>
              <c:strCache>
                <c:ptCount val="1"/>
                <c:pt idx="0">
                  <c:v>Column3</c:v>
                </c:pt>
              </c:strCache>
            </c:strRef>
          </c:tx>
          <c:spPr>
            <a:ln w="19050"/>
          </c:spPr>
          <c:marker>
            <c:symbol val="none"/>
          </c:marker>
          <c:cat>
            <c:strRef>
              <c:f>Sheet1!$A$2:$A$13</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Sheet1!$E$2:$E$13</c:f>
              <c:numCache>
                <c:formatCode>General</c:formatCode>
                <c:ptCount val="12"/>
              </c:numCache>
            </c:numRef>
          </c:val>
          <c:extLst>
            <c:ext xmlns:c16="http://schemas.microsoft.com/office/drawing/2014/chart" uri="{C3380CC4-5D6E-409C-BE32-E72D297353CC}">
              <c16:uniqueId val="{00000003-E591-4DEC-B1CD-69A0F7DF47BE}"/>
            </c:ext>
          </c:extLst>
        </c:ser>
        <c:ser>
          <c:idx val="4"/>
          <c:order val="4"/>
          <c:tx>
            <c:strRef>
              <c:f>Sheet1!$F$1</c:f>
              <c:strCache>
                <c:ptCount val="1"/>
                <c:pt idx="0">
                  <c:v>Column4</c:v>
                </c:pt>
              </c:strCache>
            </c:strRef>
          </c:tx>
          <c:spPr>
            <a:ln w="19050"/>
          </c:spPr>
          <c:marker>
            <c:symbol val="none"/>
          </c:marker>
          <c:cat>
            <c:strRef>
              <c:f>Sheet1!$A$2:$A$13</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Sheet1!$F$2:$F$13</c:f>
              <c:numCache>
                <c:formatCode>General</c:formatCode>
                <c:ptCount val="12"/>
              </c:numCache>
            </c:numRef>
          </c:val>
          <c:extLst>
            <c:ext xmlns:c16="http://schemas.microsoft.com/office/drawing/2014/chart" uri="{C3380CC4-5D6E-409C-BE32-E72D297353CC}">
              <c16:uniqueId val="{00000004-E591-4DEC-B1CD-69A0F7DF47BE}"/>
            </c:ext>
          </c:extLst>
        </c:ser>
        <c:ser>
          <c:idx val="5"/>
          <c:order val="5"/>
          <c:tx>
            <c:strRef>
              <c:f>Sheet1!$G$1</c:f>
              <c:strCache>
                <c:ptCount val="1"/>
                <c:pt idx="0">
                  <c:v>Column5</c:v>
                </c:pt>
              </c:strCache>
            </c:strRef>
          </c:tx>
          <c:spPr>
            <a:ln w="19050"/>
          </c:spPr>
          <c:marker>
            <c:symbol val="none"/>
          </c:marker>
          <c:cat>
            <c:strRef>
              <c:f>Sheet1!$A$2:$A$13</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Sheet1!$G$2:$G$13</c:f>
              <c:numCache>
                <c:formatCode>General</c:formatCode>
                <c:ptCount val="12"/>
              </c:numCache>
            </c:numRef>
          </c:val>
          <c:extLst>
            <c:ext xmlns:c16="http://schemas.microsoft.com/office/drawing/2014/chart" uri="{C3380CC4-5D6E-409C-BE32-E72D297353CC}">
              <c16:uniqueId val="{00000005-E591-4DEC-B1CD-69A0F7DF47BE}"/>
            </c:ext>
          </c:extLst>
        </c:ser>
        <c:dLbls>
          <c:showLegendKey val="0"/>
          <c:showVal val="0"/>
          <c:showCatName val="0"/>
          <c:showSerName val="0"/>
          <c:showPercent val="0"/>
          <c:showBubbleSize val="0"/>
        </c:dLbls>
        <c:axId val="370239592"/>
        <c:axId val="370241944"/>
      </c:radarChart>
      <c:catAx>
        <c:axId val="370239592"/>
        <c:scaling>
          <c:orientation val="minMax"/>
        </c:scaling>
        <c:delete val="0"/>
        <c:axPos val="b"/>
        <c:majorGridlines/>
        <c:numFmt formatCode="General" sourceLinked="1"/>
        <c:majorTickMark val="none"/>
        <c:minorTickMark val="none"/>
        <c:tickLblPos val="nextTo"/>
        <c:spPr>
          <a:ln w="9525">
            <a:noFill/>
          </a:ln>
        </c:spPr>
        <c:txPr>
          <a:bodyPr/>
          <a:lstStyle/>
          <a:p>
            <a:pPr>
              <a:defRPr sz="700" b="1">
                <a:latin typeface="Times New Roman" panose="02020603050405020304" pitchFamily="18" charset="0"/>
                <a:cs typeface="Times New Roman" panose="02020603050405020304" pitchFamily="18" charset="0"/>
              </a:defRPr>
            </a:pPr>
            <a:endParaRPr lang="en-US"/>
          </a:p>
        </c:txPr>
        <c:crossAx val="370241944"/>
        <c:crosses val="autoZero"/>
        <c:auto val="1"/>
        <c:lblAlgn val="ctr"/>
        <c:lblOffset val="100"/>
        <c:noMultiLvlLbl val="0"/>
      </c:catAx>
      <c:valAx>
        <c:axId val="370241944"/>
        <c:scaling>
          <c:orientation val="minMax"/>
        </c:scaling>
        <c:delete val="0"/>
        <c:axPos val="l"/>
        <c:majorGridlines>
          <c:spPr>
            <a:ln w="3175">
              <a:solidFill>
                <a:schemeClr val="bg1">
                  <a:lumMod val="75000"/>
                </a:schemeClr>
              </a:solidFill>
            </a:ln>
          </c:spPr>
        </c:majorGridlines>
        <c:numFmt formatCode="General" sourceLinked="1"/>
        <c:majorTickMark val="none"/>
        <c:minorTickMark val="none"/>
        <c:tickLblPos val="nextTo"/>
        <c:spPr>
          <a:noFill/>
          <a:ln w="6350">
            <a:solidFill>
              <a:schemeClr val="bg1">
                <a:lumMod val="50000"/>
              </a:schemeClr>
            </a:solidFill>
          </a:ln>
        </c:spPr>
        <c:txPr>
          <a:bodyPr/>
          <a:lstStyle/>
          <a:p>
            <a:pPr>
              <a:defRPr sz="800" b="1">
                <a:solidFill>
                  <a:sysClr val="windowText" lastClr="000000"/>
                </a:solidFill>
                <a:latin typeface="Times New Roman" panose="02020603050405020304" pitchFamily="18" charset="0"/>
                <a:cs typeface="Times New Roman" panose="02020603050405020304" pitchFamily="18" charset="0"/>
              </a:defRPr>
            </a:pPr>
            <a:endParaRPr lang="en-US"/>
          </a:p>
        </c:txPr>
        <c:crossAx val="370239592"/>
        <c:crosses val="autoZero"/>
        <c:crossBetween val="between"/>
      </c:valAx>
      <c:spPr>
        <a:noFill/>
        <a:ln>
          <a:noFill/>
        </a:ln>
      </c:spPr>
    </c:plotArea>
    <c:plotVisOnly val="1"/>
    <c:dispBlanksAs val="gap"/>
    <c:showDLblsOverMax val="0"/>
  </c:chart>
  <c:spPr>
    <a:ln w="6350">
      <a:solidFill>
        <a:schemeClr val="tx1"/>
      </a:solid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50"/>
            </a:pPr>
            <a:r>
              <a:rPr lang="en-US" sz="900">
                <a:latin typeface="Times New Roman" panose="02020603050405020304" pitchFamily="18" charset="0"/>
                <a:cs typeface="Times New Roman" panose="02020603050405020304" pitchFamily="18" charset="0"/>
              </a:rPr>
              <a:t>Figure 7: Tourist seasonality in South Sinai Governorate in 2024</a:t>
            </a:r>
          </a:p>
        </c:rich>
      </c:tx>
      <c:layout>
        <c:manualLayout>
          <c:xMode val="edge"/>
          <c:yMode val="edge"/>
          <c:x val="0.11876645362832471"/>
          <c:y val="1.3050954837541859E-2"/>
        </c:manualLayout>
      </c:layout>
      <c:overlay val="0"/>
    </c:title>
    <c:autoTitleDeleted val="0"/>
    <c:plotArea>
      <c:layout>
        <c:manualLayout>
          <c:layoutTarget val="inner"/>
          <c:xMode val="edge"/>
          <c:yMode val="edge"/>
          <c:x val="0.14372505696674923"/>
          <c:y val="0.12874819653628489"/>
          <c:w val="0.70032874015748037"/>
          <c:h val="0.76307005586166132"/>
        </c:manualLayout>
      </c:layout>
      <c:radarChart>
        <c:radarStyle val="marker"/>
        <c:varyColors val="0"/>
        <c:ser>
          <c:idx val="0"/>
          <c:order val="0"/>
          <c:tx>
            <c:strRef>
              <c:f>Sheet1!$B$1</c:f>
              <c:strCache>
                <c:ptCount val="1"/>
                <c:pt idx="0">
                  <c:v>Egyptian</c:v>
                </c:pt>
              </c:strCache>
            </c:strRef>
          </c:tx>
          <c:spPr>
            <a:ln w="9525">
              <a:solidFill>
                <a:srgbClr val="00B050"/>
              </a:solidFill>
            </a:ln>
          </c:spPr>
          <c:marker>
            <c:symbol val="circle"/>
            <c:size val="3"/>
            <c:spPr>
              <a:ln w="12700">
                <a:solidFill>
                  <a:srgbClr val="00B050"/>
                </a:solidFill>
              </a:ln>
            </c:spPr>
          </c:marker>
          <c:cat>
            <c:strRef>
              <c:f>Sheet1!$A$2:$A$13</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Sheet1!$B$2:$B$13</c:f>
              <c:numCache>
                <c:formatCode>General</c:formatCode>
                <c:ptCount val="12"/>
                <c:pt idx="0">
                  <c:v>1.2</c:v>
                </c:pt>
                <c:pt idx="1">
                  <c:v>1.5</c:v>
                </c:pt>
                <c:pt idx="2">
                  <c:v>0.7</c:v>
                </c:pt>
                <c:pt idx="3">
                  <c:v>0.5</c:v>
                </c:pt>
                <c:pt idx="4">
                  <c:v>0.6</c:v>
                </c:pt>
                <c:pt idx="5">
                  <c:v>0.7</c:v>
                </c:pt>
                <c:pt idx="6">
                  <c:v>1.2</c:v>
                </c:pt>
                <c:pt idx="7">
                  <c:v>0</c:v>
                </c:pt>
                <c:pt idx="8">
                  <c:v>1.2</c:v>
                </c:pt>
                <c:pt idx="9">
                  <c:v>0.8</c:v>
                </c:pt>
                <c:pt idx="10">
                  <c:v>0.5</c:v>
                </c:pt>
                <c:pt idx="11">
                  <c:v>1.4</c:v>
                </c:pt>
              </c:numCache>
            </c:numRef>
          </c:val>
          <c:extLst>
            <c:ext xmlns:c16="http://schemas.microsoft.com/office/drawing/2014/chart" uri="{C3380CC4-5D6E-409C-BE32-E72D297353CC}">
              <c16:uniqueId val="{00000000-4683-4840-942D-F2FDF05D70EC}"/>
            </c:ext>
          </c:extLst>
        </c:ser>
        <c:ser>
          <c:idx val="1"/>
          <c:order val="1"/>
          <c:tx>
            <c:strRef>
              <c:f>Sheet1!$C$1</c:f>
              <c:strCache>
                <c:ptCount val="1"/>
                <c:pt idx="0">
                  <c:v>Arab</c:v>
                </c:pt>
              </c:strCache>
            </c:strRef>
          </c:tx>
          <c:spPr>
            <a:ln w="9525"/>
          </c:spPr>
          <c:marker>
            <c:symbol val="square"/>
            <c:size val="3"/>
          </c:marker>
          <c:cat>
            <c:strRef>
              <c:f>Sheet1!$A$2:$A$13</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Sheet1!$C$2:$C$13</c:f>
              <c:numCache>
                <c:formatCode>General</c:formatCode>
                <c:ptCount val="12"/>
                <c:pt idx="0">
                  <c:v>0.4</c:v>
                </c:pt>
                <c:pt idx="1">
                  <c:v>1.7</c:v>
                </c:pt>
                <c:pt idx="2">
                  <c:v>0.6</c:v>
                </c:pt>
                <c:pt idx="3">
                  <c:v>0.7</c:v>
                </c:pt>
                <c:pt idx="4">
                  <c:v>0.9</c:v>
                </c:pt>
                <c:pt idx="5">
                  <c:v>1.3</c:v>
                </c:pt>
                <c:pt idx="6">
                  <c:v>1.7</c:v>
                </c:pt>
                <c:pt idx="7">
                  <c:v>1.9</c:v>
                </c:pt>
                <c:pt idx="8">
                  <c:v>1</c:v>
                </c:pt>
                <c:pt idx="9">
                  <c:v>0.6</c:v>
                </c:pt>
                <c:pt idx="10">
                  <c:v>0.3</c:v>
                </c:pt>
                <c:pt idx="11">
                  <c:v>0.9</c:v>
                </c:pt>
              </c:numCache>
            </c:numRef>
          </c:val>
          <c:extLst>
            <c:ext xmlns:c16="http://schemas.microsoft.com/office/drawing/2014/chart" uri="{C3380CC4-5D6E-409C-BE32-E72D297353CC}">
              <c16:uniqueId val="{00000001-4683-4840-942D-F2FDF05D70EC}"/>
            </c:ext>
          </c:extLst>
        </c:ser>
        <c:ser>
          <c:idx val="2"/>
          <c:order val="2"/>
          <c:tx>
            <c:strRef>
              <c:f>Sheet1!$D$1</c:f>
              <c:strCache>
                <c:ptCount val="1"/>
                <c:pt idx="0">
                  <c:v>Foreign</c:v>
                </c:pt>
              </c:strCache>
            </c:strRef>
          </c:tx>
          <c:spPr>
            <a:ln w="6350">
              <a:solidFill>
                <a:schemeClr val="tx1"/>
              </a:solidFill>
            </a:ln>
          </c:spPr>
          <c:marker>
            <c:symbol val="diamond"/>
            <c:size val="3"/>
            <c:spPr>
              <a:solidFill>
                <a:schemeClr val="tx1"/>
              </a:solidFill>
            </c:spPr>
          </c:marker>
          <c:cat>
            <c:strRef>
              <c:f>Sheet1!$A$2:$A$13</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Sheet1!$D$2:$D$13</c:f>
              <c:numCache>
                <c:formatCode>General</c:formatCode>
                <c:ptCount val="12"/>
                <c:pt idx="0">
                  <c:v>0.6</c:v>
                </c:pt>
                <c:pt idx="1">
                  <c:v>0.09</c:v>
                </c:pt>
                <c:pt idx="2">
                  <c:v>1.4</c:v>
                </c:pt>
                <c:pt idx="3">
                  <c:v>1.1000000000000001</c:v>
                </c:pt>
                <c:pt idx="4">
                  <c:v>1</c:v>
                </c:pt>
                <c:pt idx="5">
                  <c:v>0.9</c:v>
                </c:pt>
                <c:pt idx="6">
                  <c:v>1.1000000000000001</c:v>
                </c:pt>
                <c:pt idx="7">
                  <c:v>1.5</c:v>
                </c:pt>
                <c:pt idx="8">
                  <c:v>1.1000000000000001</c:v>
                </c:pt>
                <c:pt idx="9">
                  <c:v>0.9</c:v>
                </c:pt>
                <c:pt idx="10">
                  <c:v>0.6</c:v>
                </c:pt>
                <c:pt idx="11">
                  <c:v>0.9</c:v>
                </c:pt>
              </c:numCache>
            </c:numRef>
          </c:val>
          <c:extLst>
            <c:ext xmlns:c16="http://schemas.microsoft.com/office/drawing/2014/chart" uri="{C3380CC4-5D6E-409C-BE32-E72D297353CC}">
              <c16:uniqueId val="{00000002-4683-4840-942D-F2FDF05D70EC}"/>
            </c:ext>
          </c:extLst>
        </c:ser>
        <c:dLbls>
          <c:showLegendKey val="0"/>
          <c:showVal val="0"/>
          <c:showCatName val="0"/>
          <c:showSerName val="0"/>
          <c:showPercent val="0"/>
          <c:showBubbleSize val="0"/>
        </c:dLbls>
        <c:axId val="343442400"/>
        <c:axId val="343442792"/>
      </c:radarChart>
      <c:catAx>
        <c:axId val="343442400"/>
        <c:scaling>
          <c:orientation val="minMax"/>
        </c:scaling>
        <c:delete val="0"/>
        <c:axPos val="b"/>
        <c:majorGridlines/>
        <c:numFmt formatCode="General" sourceLinked="1"/>
        <c:majorTickMark val="none"/>
        <c:minorTickMark val="none"/>
        <c:tickLblPos val="nextTo"/>
        <c:spPr>
          <a:ln w="9525">
            <a:noFill/>
          </a:ln>
        </c:spPr>
        <c:txPr>
          <a:bodyPr/>
          <a:lstStyle/>
          <a:p>
            <a:pPr>
              <a:defRPr sz="800" b="1">
                <a:latin typeface="Times New Roman" panose="02020603050405020304" pitchFamily="18" charset="0"/>
                <a:cs typeface="Times New Roman" panose="02020603050405020304" pitchFamily="18" charset="0"/>
              </a:defRPr>
            </a:pPr>
            <a:endParaRPr lang="en-US"/>
          </a:p>
        </c:txPr>
        <c:crossAx val="343442792"/>
        <c:crosses val="autoZero"/>
        <c:auto val="1"/>
        <c:lblAlgn val="ctr"/>
        <c:lblOffset val="100"/>
        <c:noMultiLvlLbl val="0"/>
      </c:catAx>
      <c:valAx>
        <c:axId val="343442792"/>
        <c:scaling>
          <c:orientation val="minMax"/>
        </c:scaling>
        <c:delete val="0"/>
        <c:axPos val="l"/>
        <c:majorGridlines>
          <c:spPr>
            <a:ln w="3175">
              <a:solidFill>
                <a:schemeClr val="bg1">
                  <a:lumMod val="75000"/>
                </a:schemeClr>
              </a:solidFill>
            </a:ln>
          </c:spPr>
        </c:majorGridlines>
        <c:numFmt formatCode="General" sourceLinked="1"/>
        <c:majorTickMark val="none"/>
        <c:minorTickMark val="none"/>
        <c:tickLblPos val="nextTo"/>
        <c:spPr>
          <a:ln w="3175">
            <a:solidFill>
              <a:schemeClr val="bg1">
                <a:lumMod val="50000"/>
              </a:schemeClr>
            </a:solidFill>
          </a:ln>
        </c:spPr>
        <c:txPr>
          <a:bodyPr/>
          <a:lstStyle/>
          <a:p>
            <a:pPr>
              <a:defRPr sz="800" b="0">
                <a:solidFill>
                  <a:sysClr val="windowText" lastClr="000000"/>
                </a:solidFill>
                <a:latin typeface="Times New Roman" panose="02020603050405020304" pitchFamily="18" charset="0"/>
                <a:cs typeface="Times New Roman" panose="02020603050405020304" pitchFamily="18" charset="0"/>
              </a:defRPr>
            </a:pPr>
            <a:endParaRPr lang="en-US"/>
          </a:p>
        </c:txPr>
        <c:crossAx val="343442400"/>
        <c:crosses val="autoZero"/>
        <c:crossBetween val="between"/>
      </c:valAx>
      <c:spPr>
        <a:ln>
          <a:noFill/>
        </a:ln>
      </c:spPr>
    </c:plotArea>
    <c:legend>
      <c:legendPos val="r"/>
      <c:layout>
        <c:manualLayout>
          <c:xMode val="edge"/>
          <c:yMode val="edge"/>
          <c:x val="0.17514809133898032"/>
          <c:y val="0.9409424351617065"/>
          <c:w val="0.68768086198694311"/>
          <c:h val="5.7580365268411801E-2"/>
        </c:manualLayout>
      </c:layout>
      <c:overlay val="0"/>
      <c:txPr>
        <a:bodyPr/>
        <a:lstStyle/>
        <a:p>
          <a:pPr>
            <a:defRPr sz="800" b="1">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ln w="9525">
      <a:solidFill>
        <a:schemeClr val="tx1"/>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4EDEEE-0D2A-4764-8472-B75802E78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2957</TotalTime>
  <Pages>18</Pages>
  <Words>6981</Words>
  <Characters>39793</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SDI 1084</cp:lastModifiedBy>
  <cp:revision>306</cp:revision>
  <dcterms:created xsi:type="dcterms:W3CDTF">2025-10-29T14:29:00Z</dcterms:created>
  <dcterms:modified xsi:type="dcterms:W3CDTF">2025-11-17T12:56:00Z</dcterms:modified>
</cp:coreProperties>
</file>