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E7A18" w14:textId="390E7FA5" w:rsidR="00E009AC" w:rsidRDefault="00E009AC" w:rsidP="007B1D6F">
      <w:pPr>
        <w:spacing w:line="360" w:lineRule="auto"/>
        <w:jc w:val="right"/>
        <w:rPr>
          <w:rFonts w:ascii="Arial" w:hAnsi="Arial" w:cs="Arial"/>
          <w:b/>
          <w:sz w:val="36"/>
        </w:rPr>
      </w:pPr>
      <w:r w:rsidRPr="00E009AC">
        <w:rPr>
          <w:rFonts w:ascii="Arial" w:hAnsi="Arial" w:cs="Arial"/>
          <w:b/>
          <w:bCs/>
          <w:i/>
          <w:iCs/>
          <w:sz w:val="36"/>
          <w:u w:val="single"/>
        </w:rPr>
        <w:t>Original Research Article</w:t>
      </w:r>
    </w:p>
    <w:p w14:paraId="662C2E3A" w14:textId="05004973" w:rsidR="00DF49A1" w:rsidRPr="007B1D6F" w:rsidRDefault="00DF49A1" w:rsidP="007B1D6F">
      <w:pPr>
        <w:spacing w:line="360" w:lineRule="auto"/>
        <w:jc w:val="right"/>
        <w:rPr>
          <w:rFonts w:ascii="Arial" w:hAnsi="Arial" w:cs="Arial"/>
          <w:b/>
          <w:sz w:val="36"/>
        </w:rPr>
      </w:pPr>
      <w:r w:rsidRPr="007B1D6F">
        <w:rPr>
          <w:rFonts w:ascii="Arial" w:hAnsi="Arial" w:cs="Arial"/>
          <w:b/>
          <w:sz w:val="36"/>
        </w:rPr>
        <w:t xml:space="preserve">Assessment of </w:t>
      </w:r>
      <w:proofErr w:type="spellStart"/>
      <w:r w:rsidRPr="007B1D6F">
        <w:rPr>
          <w:rFonts w:ascii="Arial" w:hAnsi="Arial" w:cs="Arial"/>
          <w:b/>
          <w:sz w:val="36"/>
        </w:rPr>
        <w:t>Spatio</w:t>
      </w:r>
      <w:proofErr w:type="spellEnd"/>
      <w:r w:rsidRPr="007B1D6F">
        <w:rPr>
          <w:rFonts w:ascii="Arial" w:hAnsi="Arial" w:cs="Arial"/>
          <w:b/>
          <w:sz w:val="36"/>
        </w:rPr>
        <w:t xml:space="preserve">-temporal Groundwater Level Variability and Trend Analysis in the </w:t>
      </w:r>
      <w:proofErr w:type="spellStart"/>
      <w:r w:rsidRPr="007B1D6F">
        <w:rPr>
          <w:rFonts w:ascii="Arial" w:hAnsi="Arial" w:cs="Arial"/>
          <w:b/>
          <w:sz w:val="36"/>
        </w:rPr>
        <w:t>Chittur</w:t>
      </w:r>
      <w:proofErr w:type="spellEnd"/>
      <w:r w:rsidRPr="007B1D6F">
        <w:rPr>
          <w:rFonts w:ascii="Arial" w:hAnsi="Arial" w:cs="Arial"/>
          <w:b/>
          <w:sz w:val="36"/>
        </w:rPr>
        <w:t xml:space="preserve"> Block, Kerala</w:t>
      </w:r>
    </w:p>
    <w:p w14:paraId="7A4C0A3F" w14:textId="77777777" w:rsidR="00A0344E" w:rsidRDefault="00A0344E" w:rsidP="00DF49A1">
      <w:pPr>
        <w:spacing w:line="360" w:lineRule="auto"/>
        <w:rPr>
          <w:rFonts w:ascii="Arial" w:hAnsi="Arial" w:cs="Arial"/>
          <w:b/>
        </w:rPr>
      </w:pPr>
    </w:p>
    <w:p w14:paraId="2428C095" w14:textId="4F9DF851" w:rsidR="00DF49A1" w:rsidRPr="00B91BD7" w:rsidRDefault="00B91BD7" w:rsidP="00DF49A1">
      <w:pPr>
        <w:spacing w:line="360" w:lineRule="auto"/>
        <w:rPr>
          <w:rFonts w:ascii="Arial" w:hAnsi="Arial" w:cs="Arial"/>
          <w:b/>
        </w:rPr>
      </w:pPr>
      <w:r w:rsidRPr="00B91BD7">
        <w:rPr>
          <w:rFonts w:ascii="Arial" w:hAnsi="Arial" w:cs="Arial"/>
          <w:b/>
        </w:rPr>
        <w:t>ABSTRACT</w:t>
      </w:r>
    </w:p>
    <w:p w14:paraId="4A70D2C5" w14:textId="77777777" w:rsidR="00DF49A1" w:rsidRPr="00B91BD7" w:rsidRDefault="00DF49A1" w:rsidP="00DF49A1">
      <w:pPr>
        <w:spacing w:line="360" w:lineRule="auto"/>
        <w:jc w:val="both"/>
        <w:rPr>
          <w:rFonts w:ascii="Arial" w:hAnsi="Arial" w:cs="Arial"/>
          <w:sz w:val="20"/>
        </w:rPr>
      </w:pPr>
      <w:r w:rsidRPr="00B91BD7">
        <w:rPr>
          <w:rFonts w:ascii="Arial" w:hAnsi="Arial" w:cs="Arial"/>
          <w:sz w:val="20"/>
        </w:rPr>
        <w:t xml:space="preserve">The accelerated global pressures stemming from population growth and industrial expansion have led to the overexploitation of groundwater resource, particularly in hard rock terrains, resulting in a rapid and concerning decline in water </w:t>
      </w:r>
      <w:r w:rsidRPr="00C71BA7">
        <w:rPr>
          <w:rFonts w:ascii="Arial" w:hAnsi="Arial" w:cs="Arial"/>
          <w:sz w:val="20"/>
        </w:rPr>
        <w:t>table</w:t>
      </w:r>
      <w:r w:rsidRPr="00B91BD7">
        <w:rPr>
          <w:rFonts w:ascii="Arial" w:hAnsi="Arial" w:cs="Arial"/>
          <w:sz w:val="20"/>
        </w:rPr>
        <w:t xml:space="preserve"> levels. Consequently, a detailed analysis of </w:t>
      </w:r>
      <w:proofErr w:type="spellStart"/>
      <w:r w:rsidRPr="00B91BD7">
        <w:rPr>
          <w:rFonts w:ascii="Arial" w:hAnsi="Arial" w:cs="Arial"/>
          <w:sz w:val="20"/>
        </w:rPr>
        <w:t>spatio</w:t>
      </w:r>
      <w:proofErr w:type="spellEnd"/>
      <w:r w:rsidRPr="00B91BD7">
        <w:rPr>
          <w:rFonts w:ascii="Arial" w:hAnsi="Arial" w:cs="Arial"/>
          <w:sz w:val="20"/>
        </w:rPr>
        <w:t xml:space="preserve">-temporal groundwater dynamics is crucial for developing effective and sustainable water management strategies. This study undertook a comprehensive </w:t>
      </w:r>
      <w:proofErr w:type="spellStart"/>
      <w:r w:rsidRPr="00B91BD7">
        <w:rPr>
          <w:rFonts w:ascii="Arial" w:hAnsi="Arial" w:cs="Arial"/>
          <w:sz w:val="20"/>
        </w:rPr>
        <w:t>spatio</w:t>
      </w:r>
      <w:proofErr w:type="spellEnd"/>
      <w:r w:rsidRPr="00B91BD7">
        <w:rPr>
          <w:rFonts w:ascii="Arial" w:hAnsi="Arial" w:cs="Arial"/>
          <w:sz w:val="20"/>
        </w:rPr>
        <w:t xml:space="preserve">-temporal assessment and trend analysis of groundwater levels in the </w:t>
      </w:r>
      <w:proofErr w:type="spellStart"/>
      <w:r w:rsidRPr="00B91BD7">
        <w:rPr>
          <w:rFonts w:ascii="Arial" w:hAnsi="Arial" w:cs="Arial"/>
          <w:sz w:val="20"/>
        </w:rPr>
        <w:t>Chittur</w:t>
      </w:r>
      <w:proofErr w:type="spellEnd"/>
      <w:r w:rsidRPr="00B91BD7">
        <w:rPr>
          <w:rFonts w:ascii="Arial" w:hAnsi="Arial" w:cs="Arial"/>
          <w:sz w:val="20"/>
        </w:rPr>
        <w:t xml:space="preserve"> block, Palakkad district, Kerala, utilizing data spanning a 29-year period (1994–2022). Data from nine observation wells were subjected to rigorous statistical analysis, including the Mann-Kendall test and Sen’s slope estimator, alongside Geographic Information System techniques for spatial mapping.</w:t>
      </w:r>
      <w:r w:rsidR="00B91BD7" w:rsidRPr="00B91BD7">
        <w:rPr>
          <w:rFonts w:ascii="Arial" w:hAnsi="Arial" w:cs="Arial"/>
          <w:sz w:val="20"/>
        </w:rPr>
        <w:t xml:space="preserve"> </w:t>
      </w:r>
      <w:r w:rsidRPr="00B91BD7">
        <w:rPr>
          <w:rFonts w:ascii="Arial" w:hAnsi="Arial" w:cs="Arial"/>
          <w:sz w:val="20"/>
        </w:rPr>
        <w:t xml:space="preserve">The results confirmed statistically significant decreasing trends in groundwater levels throughout the block, both seasonally and long-term. The most severe declining trends were concentrated in the northern and southeastern regions, a trend primarily attributed to intensive groundwater withdrawal (overexploitation) coupled with insufficient natural recharge. Spatial interpolation further highlighted a heterogeneous distribution of the resource. Significantly deeper water levels (reaching up to 18 m </w:t>
      </w:r>
      <w:proofErr w:type="spellStart"/>
      <w:r w:rsidRPr="00B91BD7">
        <w:rPr>
          <w:rFonts w:ascii="Arial" w:hAnsi="Arial" w:cs="Arial"/>
          <w:sz w:val="20"/>
        </w:rPr>
        <w:t>bgl</w:t>
      </w:r>
      <w:proofErr w:type="spellEnd"/>
      <w:r w:rsidRPr="00B91BD7">
        <w:rPr>
          <w:rFonts w:ascii="Arial" w:hAnsi="Arial" w:cs="Arial"/>
          <w:sz w:val="20"/>
        </w:rPr>
        <w:t xml:space="preserve">) were observed in areas of high demand, contrasting sharply with shallower levels (typically less than 6 m </w:t>
      </w:r>
      <w:proofErr w:type="spellStart"/>
      <w:r w:rsidRPr="00B91BD7">
        <w:rPr>
          <w:rFonts w:ascii="Arial" w:hAnsi="Arial" w:cs="Arial"/>
          <w:sz w:val="20"/>
        </w:rPr>
        <w:t>bgl</w:t>
      </w:r>
      <w:proofErr w:type="spellEnd"/>
      <w:r w:rsidRPr="00B91BD7">
        <w:rPr>
          <w:rFonts w:ascii="Arial" w:hAnsi="Arial" w:cs="Arial"/>
          <w:sz w:val="20"/>
        </w:rPr>
        <w:t xml:space="preserve">) found in zones potentially benefiting from river influence, such as those adjacent to the </w:t>
      </w:r>
      <w:proofErr w:type="spellStart"/>
      <w:r w:rsidRPr="00B91BD7">
        <w:rPr>
          <w:rFonts w:ascii="Arial" w:hAnsi="Arial" w:cs="Arial"/>
          <w:sz w:val="20"/>
        </w:rPr>
        <w:t>Bharatapuzha</w:t>
      </w:r>
      <w:proofErr w:type="spellEnd"/>
      <w:r w:rsidRPr="00B91BD7">
        <w:rPr>
          <w:rFonts w:ascii="Arial" w:hAnsi="Arial" w:cs="Arial"/>
          <w:sz w:val="20"/>
        </w:rPr>
        <w:t xml:space="preserve"> river system. The study strongly recommends targeted interventions, including the implementation of artificial recharge structures and water harvesting techniques, to effectively mitigate depletion. This research provides a robust scientific foundation that policymakers can leverage to deploy localized interventions in critically affected areas, thereby ensuring water security for both the agricultural and domestic sectors within the </w:t>
      </w:r>
      <w:proofErr w:type="spellStart"/>
      <w:r w:rsidRPr="00B91BD7">
        <w:rPr>
          <w:rFonts w:ascii="Arial" w:hAnsi="Arial" w:cs="Arial"/>
          <w:sz w:val="20"/>
        </w:rPr>
        <w:t>Chittur</w:t>
      </w:r>
      <w:proofErr w:type="spellEnd"/>
      <w:r w:rsidRPr="00B91BD7">
        <w:rPr>
          <w:rFonts w:ascii="Arial" w:hAnsi="Arial" w:cs="Arial"/>
          <w:sz w:val="20"/>
        </w:rPr>
        <w:t xml:space="preserve"> block.</w:t>
      </w:r>
    </w:p>
    <w:p w14:paraId="6552A3B5" w14:textId="52321663" w:rsidR="009554DE" w:rsidRDefault="00DF49A1" w:rsidP="00DF49A1">
      <w:pPr>
        <w:spacing w:line="360" w:lineRule="auto"/>
        <w:jc w:val="both"/>
        <w:rPr>
          <w:rFonts w:ascii="Arial" w:hAnsi="Arial" w:cs="Arial"/>
          <w:i/>
          <w:sz w:val="20"/>
        </w:rPr>
      </w:pPr>
      <w:r w:rsidRPr="00B91BD7">
        <w:rPr>
          <w:rFonts w:ascii="Arial" w:hAnsi="Arial" w:cs="Arial"/>
          <w:i/>
          <w:sz w:val="20"/>
        </w:rPr>
        <w:t>Keywords:</w:t>
      </w:r>
      <w:r w:rsidRPr="00B91BD7">
        <w:rPr>
          <w:rFonts w:ascii="Arial" w:hAnsi="Arial" w:cs="Arial"/>
          <w:b/>
          <w:i/>
          <w:sz w:val="20"/>
        </w:rPr>
        <w:t xml:space="preserve"> </w:t>
      </w:r>
      <w:r w:rsidRPr="00B91BD7">
        <w:rPr>
          <w:rFonts w:ascii="Arial" w:hAnsi="Arial" w:cs="Arial"/>
          <w:bCs/>
          <w:i/>
          <w:sz w:val="20"/>
        </w:rPr>
        <w:t xml:space="preserve">Groundwater depletion; </w:t>
      </w:r>
      <w:proofErr w:type="spellStart"/>
      <w:r w:rsidRPr="00B91BD7">
        <w:rPr>
          <w:rFonts w:ascii="Arial" w:hAnsi="Arial" w:cs="Arial"/>
          <w:bCs/>
          <w:i/>
          <w:sz w:val="20"/>
        </w:rPr>
        <w:t>Spatio</w:t>
      </w:r>
      <w:proofErr w:type="spellEnd"/>
      <w:r w:rsidRPr="00B91BD7">
        <w:rPr>
          <w:rFonts w:ascii="Arial" w:hAnsi="Arial" w:cs="Arial"/>
          <w:bCs/>
          <w:i/>
          <w:sz w:val="20"/>
        </w:rPr>
        <w:t xml:space="preserve">-Temporal analysis; Trend detection; </w:t>
      </w:r>
      <w:proofErr w:type="spellStart"/>
      <w:r w:rsidRPr="00B91BD7">
        <w:rPr>
          <w:rFonts w:ascii="Arial" w:hAnsi="Arial" w:cs="Arial"/>
          <w:bCs/>
          <w:i/>
          <w:sz w:val="20"/>
        </w:rPr>
        <w:t>Chittur</w:t>
      </w:r>
      <w:proofErr w:type="spellEnd"/>
      <w:r w:rsidRPr="00B91BD7">
        <w:rPr>
          <w:rFonts w:ascii="Arial" w:hAnsi="Arial" w:cs="Arial"/>
          <w:bCs/>
          <w:i/>
          <w:sz w:val="20"/>
        </w:rPr>
        <w:t xml:space="preserve"> Block; GIS; Mann-Kendall; Sen’s slope</w:t>
      </w:r>
      <w:r w:rsidRPr="00B91BD7">
        <w:rPr>
          <w:rFonts w:ascii="Arial" w:hAnsi="Arial" w:cs="Arial"/>
          <w:i/>
          <w:sz w:val="20"/>
        </w:rPr>
        <w:t xml:space="preserve"> </w:t>
      </w:r>
    </w:p>
    <w:p w14:paraId="6691A569" w14:textId="7C8397FD" w:rsidR="00A0344E" w:rsidRDefault="00A0344E" w:rsidP="00DF49A1">
      <w:pPr>
        <w:spacing w:line="360" w:lineRule="auto"/>
        <w:jc w:val="both"/>
        <w:rPr>
          <w:rFonts w:ascii="Arial" w:hAnsi="Arial" w:cs="Arial"/>
          <w:i/>
          <w:sz w:val="20"/>
        </w:rPr>
      </w:pPr>
    </w:p>
    <w:p w14:paraId="5F6AC5DC" w14:textId="1E3579FE" w:rsidR="00A0344E" w:rsidRDefault="00A0344E" w:rsidP="00DF49A1">
      <w:pPr>
        <w:spacing w:line="360" w:lineRule="auto"/>
        <w:jc w:val="both"/>
        <w:rPr>
          <w:rFonts w:ascii="Arial" w:hAnsi="Arial" w:cs="Arial"/>
          <w:i/>
          <w:sz w:val="20"/>
        </w:rPr>
      </w:pPr>
    </w:p>
    <w:p w14:paraId="0495BC6D" w14:textId="7F6A4915" w:rsidR="00A0344E" w:rsidRDefault="00A0344E" w:rsidP="00DF49A1">
      <w:pPr>
        <w:spacing w:line="360" w:lineRule="auto"/>
        <w:jc w:val="both"/>
        <w:rPr>
          <w:rFonts w:ascii="Arial" w:hAnsi="Arial" w:cs="Arial"/>
          <w:i/>
          <w:sz w:val="20"/>
        </w:rPr>
      </w:pPr>
    </w:p>
    <w:p w14:paraId="2B82A045" w14:textId="77777777" w:rsidR="00A0344E" w:rsidRDefault="00A0344E" w:rsidP="00DF49A1">
      <w:pPr>
        <w:spacing w:line="360" w:lineRule="auto"/>
        <w:jc w:val="both"/>
        <w:rPr>
          <w:rFonts w:ascii="Arial" w:hAnsi="Arial" w:cs="Arial"/>
          <w:i/>
          <w:sz w:val="20"/>
        </w:rPr>
      </w:pPr>
      <w:bookmarkStart w:id="0" w:name="_GoBack"/>
      <w:bookmarkEnd w:id="0"/>
    </w:p>
    <w:p w14:paraId="2E5F5649" w14:textId="77777777" w:rsidR="00DF49A1" w:rsidRPr="00B91BD7" w:rsidRDefault="00B91BD7" w:rsidP="00DF49A1">
      <w:pPr>
        <w:pStyle w:val="ListParagraph"/>
        <w:numPr>
          <w:ilvl w:val="0"/>
          <w:numId w:val="1"/>
        </w:numPr>
        <w:spacing w:line="360" w:lineRule="auto"/>
        <w:ind w:left="360"/>
        <w:jc w:val="both"/>
        <w:rPr>
          <w:rFonts w:ascii="Arial" w:hAnsi="Arial" w:cs="Arial"/>
          <w:b/>
        </w:rPr>
      </w:pPr>
      <w:r w:rsidRPr="00B91BD7">
        <w:rPr>
          <w:rFonts w:ascii="Arial" w:hAnsi="Arial" w:cs="Arial"/>
          <w:b/>
        </w:rPr>
        <w:t>INTRODUCTION</w:t>
      </w:r>
    </w:p>
    <w:p w14:paraId="1A7DE7D8" w14:textId="77777777" w:rsidR="00DF49A1" w:rsidRPr="00B91BD7" w:rsidRDefault="00DF49A1" w:rsidP="00DF49A1">
      <w:pPr>
        <w:pStyle w:val="NormalWeb"/>
        <w:spacing w:line="360" w:lineRule="auto"/>
        <w:ind w:firstLine="720"/>
        <w:jc w:val="both"/>
        <w:rPr>
          <w:rFonts w:ascii="Arial" w:hAnsi="Arial" w:cs="Arial"/>
          <w:sz w:val="20"/>
        </w:rPr>
      </w:pPr>
      <w:r w:rsidRPr="00B91BD7">
        <w:rPr>
          <w:rFonts w:ascii="Arial" w:hAnsi="Arial" w:cs="Arial"/>
          <w:sz w:val="20"/>
        </w:rPr>
        <w:t>Groundwater is a critical, often renewable, natural resource that underpins essential domestic, agricultural, and industrial activities globally. However, the relentless pressures of population growth, rapid urbanization, and industrial expansion have placed immense strain on water availability, leading to chronic shortages across multiple economic sectors. This escalating demand for freshwater, particularly for drinking and irrigation, has intensified substantially in recent decades (</w:t>
      </w:r>
      <w:proofErr w:type="spellStart"/>
      <w:r w:rsidRPr="00B91BD7">
        <w:rPr>
          <w:rFonts w:ascii="Arial" w:hAnsi="Arial" w:cs="Arial"/>
          <w:sz w:val="20"/>
        </w:rPr>
        <w:t>Kshetrimayum</w:t>
      </w:r>
      <w:proofErr w:type="spellEnd"/>
      <w:r w:rsidRPr="00B91BD7">
        <w:rPr>
          <w:rFonts w:ascii="Arial" w:hAnsi="Arial" w:cs="Arial"/>
          <w:sz w:val="20"/>
        </w:rPr>
        <w:t xml:space="preserve"> and Bajpai, 2012). Globally, groundwater is indispensable for human sustenance and development, supplying approximately 43% of irrigation water and </w:t>
      </w:r>
      <w:r w:rsidR="00F512AC">
        <w:rPr>
          <w:rFonts w:ascii="Arial" w:hAnsi="Arial" w:cs="Arial"/>
          <w:sz w:val="20"/>
        </w:rPr>
        <w:t>50% of drinking water</w:t>
      </w:r>
      <w:r w:rsidRPr="009554DE">
        <w:rPr>
          <w:rFonts w:ascii="Arial" w:hAnsi="Arial" w:cs="Arial"/>
          <w:color w:val="000000" w:themeColor="text1"/>
          <w:sz w:val="20"/>
        </w:rPr>
        <w:t>. Monitoring and understanding this vital resource is therefore paramount for future water security (</w:t>
      </w:r>
      <w:proofErr w:type="spellStart"/>
      <w:r w:rsidRPr="009554DE">
        <w:rPr>
          <w:rFonts w:ascii="Arial" w:hAnsi="Arial" w:cs="Arial"/>
          <w:color w:val="000000" w:themeColor="text1"/>
          <w:sz w:val="20"/>
        </w:rPr>
        <w:t>Jasechko</w:t>
      </w:r>
      <w:proofErr w:type="spellEnd"/>
      <w:r w:rsidRPr="009554DE">
        <w:rPr>
          <w:rFonts w:ascii="Arial" w:hAnsi="Arial" w:cs="Arial"/>
          <w:color w:val="000000" w:themeColor="text1"/>
          <w:sz w:val="20"/>
        </w:rPr>
        <w:t xml:space="preserve"> and Perrone, 2021).</w:t>
      </w:r>
    </w:p>
    <w:p w14:paraId="6B33FB38" w14:textId="77777777" w:rsidR="00DF49A1" w:rsidRPr="00B91BD7" w:rsidRDefault="00DF49A1" w:rsidP="00DF49A1">
      <w:pPr>
        <w:pStyle w:val="NormalWeb"/>
        <w:spacing w:line="360" w:lineRule="auto"/>
        <w:ind w:firstLine="720"/>
        <w:jc w:val="both"/>
        <w:rPr>
          <w:rFonts w:ascii="Arial" w:hAnsi="Arial" w:cs="Arial"/>
          <w:sz w:val="20"/>
        </w:rPr>
      </w:pPr>
      <w:r w:rsidRPr="00B91BD7">
        <w:rPr>
          <w:rFonts w:ascii="Arial" w:hAnsi="Arial" w:cs="Arial"/>
          <w:sz w:val="20"/>
        </w:rPr>
        <w:t xml:space="preserve">Managing groundwater resources presents unique challenges, especially in regions characterized by semi-arid or humid climatic conditions where extraction is often unregulated. Overexploitation has consistently driven significant declines in groundwater levels (Aggarwal et al., 2009; </w:t>
      </w:r>
      <w:proofErr w:type="spellStart"/>
      <w:r w:rsidRPr="009554DE">
        <w:rPr>
          <w:rFonts w:ascii="Arial" w:hAnsi="Arial" w:cs="Arial"/>
          <w:color w:val="000000" w:themeColor="text1"/>
          <w:sz w:val="20"/>
        </w:rPr>
        <w:t>Jasechko</w:t>
      </w:r>
      <w:proofErr w:type="spellEnd"/>
      <w:r w:rsidRPr="009554DE">
        <w:rPr>
          <w:rFonts w:ascii="Arial" w:hAnsi="Arial" w:cs="Arial"/>
          <w:color w:val="000000" w:themeColor="text1"/>
          <w:sz w:val="20"/>
        </w:rPr>
        <w:t xml:space="preserve"> et al., 2024), </w:t>
      </w:r>
      <w:r w:rsidRPr="00B91BD7">
        <w:rPr>
          <w:rFonts w:ascii="Arial" w:hAnsi="Arial" w:cs="Arial"/>
          <w:sz w:val="20"/>
        </w:rPr>
        <w:t>contributing to severe environmental consequences such as groundwater depletion, increased drought susceptibility, and land subsidence. To effectively mitigate these impacts, regular monitoring and robust trend analysis of water levels are essential (UNESCO, 2022).</w:t>
      </w:r>
    </w:p>
    <w:p w14:paraId="4439848F" w14:textId="77777777" w:rsidR="00DF49A1" w:rsidRPr="00B91BD7" w:rsidRDefault="00DF49A1" w:rsidP="00DF49A1">
      <w:pPr>
        <w:pStyle w:val="NormalWeb"/>
        <w:spacing w:line="360" w:lineRule="auto"/>
        <w:ind w:firstLine="720"/>
        <w:jc w:val="both"/>
        <w:rPr>
          <w:rFonts w:ascii="Arial" w:hAnsi="Arial" w:cs="Arial"/>
          <w:sz w:val="20"/>
        </w:rPr>
      </w:pPr>
      <w:r w:rsidRPr="00B91BD7">
        <w:rPr>
          <w:rFonts w:ascii="Arial" w:hAnsi="Arial" w:cs="Arial"/>
          <w:sz w:val="20"/>
        </w:rPr>
        <w:t>The Mann–Kendall (MK) test is a widely recognized, non-parametric statistical method employed for analyzing temporal variations in hydrological data (Mann, 1945; Kendall, 1975). This robust technique has been extensively utilized by researchers worldwide to detect long-term trends in groundwater levels (Duhan and Pandey, 2013; Tabari et al., 2012). Trend analysis often reveals complex seasonal and spatial variations influenced by factors like aquifer geology, land use changes, and landscape features (Burn and Elnur, 2002; Abdullahi et al., 2015). Furthermore, the severity of these changes is commonly quantified using Sen’s slope estimator and spatial patterns are often explored using geostatistical techniques (Arya and Subramani, 2015; Amrita et al., 2016). Multiple studies have documented a general global decline in groundwater reserves, emphasizing the urgency of regional assessments (Goyal et al., 2010).</w:t>
      </w:r>
    </w:p>
    <w:p w14:paraId="6D9F4D78" w14:textId="77777777" w:rsidR="00DF49A1" w:rsidRDefault="00DF49A1" w:rsidP="00DF49A1">
      <w:pPr>
        <w:pStyle w:val="NormalWeb"/>
        <w:spacing w:line="360" w:lineRule="auto"/>
        <w:ind w:firstLine="720"/>
        <w:jc w:val="both"/>
        <w:rPr>
          <w:rFonts w:ascii="Arial" w:hAnsi="Arial" w:cs="Arial"/>
          <w:sz w:val="20"/>
        </w:rPr>
      </w:pPr>
      <w:r w:rsidRPr="00B91BD7">
        <w:rPr>
          <w:rFonts w:ascii="Arial" w:hAnsi="Arial" w:cs="Arial"/>
          <w:sz w:val="20"/>
        </w:rPr>
        <w:t xml:space="preserve">The declining water </w:t>
      </w:r>
      <w:r w:rsidRPr="00C71BA7">
        <w:rPr>
          <w:rFonts w:ascii="Arial" w:hAnsi="Arial" w:cs="Arial"/>
          <w:sz w:val="20"/>
        </w:rPr>
        <w:t>table</w:t>
      </w:r>
      <w:r w:rsidRPr="00B91BD7">
        <w:rPr>
          <w:rFonts w:ascii="Arial" w:hAnsi="Arial" w:cs="Arial"/>
          <w:sz w:val="20"/>
        </w:rPr>
        <w:t xml:space="preserve"> critically impacts agricultural productivity, particularly the efficiency of irrigation systems (</w:t>
      </w:r>
      <w:proofErr w:type="spellStart"/>
      <w:r w:rsidRPr="00B91BD7">
        <w:rPr>
          <w:rFonts w:ascii="Arial" w:hAnsi="Arial" w:cs="Arial"/>
          <w:sz w:val="20"/>
        </w:rPr>
        <w:t>Kshetrimayum</w:t>
      </w:r>
      <w:proofErr w:type="spellEnd"/>
      <w:r w:rsidRPr="00B91BD7">
        <w:rPr>
          <w:rFonts w:ascii="Arial" w:hAnsi="Arial" w:cs="Arial"/>
          <w:sz w:val="20"/>
        </w:rPr>
        <w:t xml:space="preserve"> and Bajpai, 2012). Hence, effective and sustainable management strategies are crucial to support the region's socio-economic development. In this context, the present study focuses on understanding the groundwater dynamics within the </w:t>
      </w:r>
      <w:proofErr w:type="spellStart"/>
      <w:r w:rsidRPr="00B91BD7">
        <w:rPr>
          <w:rFonts w:ascii="Arial" w:hAnsi="Arial" w:cs="Arial"/>
          <w:sz w:val="20"/>
        </w:rPr>
        <w:t>Chittur</w:t>
      </w:r>
      <w:proofErr w:type="spellEnd"/>
      <w:r w:rsidRPr="00B91BD7">
        <w:rPr>
          <w:rFonts w:ascii="Arial" w:hAnsi="Arial" w:cs="Arial"/>
          <w:sz w:val="20"/>
        </w:rPr>
        <w:t xml:space="preserve"> block of Palakkad district, Kerala. Given the region’s heavy reliance on groundwater for domestic, agricultural, and industrial needs, this research analyses data spanning 29 years (1994–2022) with specific objectives: 1. To analyze the long-term </w:t>
      </w:r>
      <w:proofErr w:type="spellStart"/>
      <w:r w:rsidRPr="00B91BD7">
        <w:rPr>
          <w:rFonts w:ascii="Arial" w:hAnsi="Arial" w:cs="Arial"/>
          <w:sz w:val="20"/>
        </w:rPr>
        <w:t>spatio</w:t>
      </w:r>
      <w:proofErr w:type="spellEnd"/>
      <w:r w:rsidRPr="00B91BD7">
        <w:rPr>
          <w:rFonts w:ascii="Arial" w:hAnsi="Arial" w:cs="Arial"/>
          <w:sz w:val="20"/>
        </w:rPr>
        <w:t xml:space="preserve">-temporal variations in groundwater levels across the </w:t>
      </w:r>
      <w:proofErr w:type="spellStart"/>
      <w:r w:rsidRPr="00B91BD7">
        <w:rPr>
          <w:rFonts w:ascii="Arial" w:hAnsi="Arial" w:cs="Arial"/>
          <w:sz w:val="20"/>
        </w:rPr>
        <w:t>Chittur</w:t>
      </w:r>
      <w:proofErr w:type="spellEnd"/>
      <w:r w:rsidRPr="00B91BD7">
        <w:rPr>
          <w:rFonts w:ascii="Arial" w:hAnsi="Arial" w:cs="Arial"/>
          <w:sz w:val="20"/>
        </w:rPr>
        <w:t xml:space="preserve"> block using spatial interpolation </w:t>
      </w:r>
      <w:r w:rsidRPr="00B91BD7">
        <w:rPr>
          <w:rFonts w:ascii="Arial" w:hAnsi="Arial" w:cs="Arial"/>
          <w:sz w:val="20"/>
        </w:rPr>
        <w:lastRenderedPageBreak/>
        <w:t>methods 2. To quantitatively assess the temporal trends in groundwater levels using non-parametric statistical techniques.</w:t>
      </w:r>
    </w:p>
    <w:p w14:paraId="136BE789" w14:textId="77777777" w:rsidR="00DF49A1" w:rsidRPr="00B91BD7" w:rsidRDefault="00B91BD7" w:rsidP="00DF49A1">
      <w:pPr>
        <w:pStyle w:val="NormalWeb"/>
        <w:numPr>
          <w:ilvl w:val="0"/>
          <w:numId w:val="1"/>
        </w:numPr>
        <w:spacing w:line="360" w:lineRule="auto"/>
        <w:ind w:left="360"/>
        <w:jc w:val="both"/>
        <w:rPr>
          <w:rFonts w:ascii="Arial" w:hAnsi="Arial" w:cs="Arial"/>
          <w:b/>
          <w:sz w:val="22"/>
        </w:rPr>
      </w:pPr>
      <w:r w:rsidRPr="00B91BD7">
        <w:rPr>
          <w:rFonts w:ascii="Arial" w:hAnsi="Arial" w:cs="Arial"/>
          <w:b/>
          <w:sz w:val="22"/>
        </w:rPr>
        <w:t>STUDY AREA DETAILS</w:t>
      </w:r>
    </w:p>
    <w:p w14:paraId="2D9E3ED3" w14:textId="77777777" w:rsidR="00DF49A1" w:rsidRPr="00B91BD7" w:rsidRDefault="00DF49A1" w:rsidP="00DF49A1">
      <w:pPr>
        <w:spacing w:line="360" w:lineRule="auto"/>
        <w:ind w:firstLine="720"/>
        <w:jc w:val="both"/>
        <w:rPr>
          <w:rFonts w:ascii="Arial" w:hAnsi="Arial" w:cs="Arial"/>
          <w:sz w:val="20"/>
          <w:szCs w:val="24"/>
        </w:rPr>
      </w:pPr>
      <w:r w:rsidRPr="00B91BD7">
        <w:rPr>
          <w:rFonts w:ascii="Arial" w:hAnsi="Arial" w:cs="Arial"/>
          <w:sz w:val="20"/>
          <w:szCs w:val="24"/>
        </w:rPr>
        <w:t xml:space="preserve">The </w:t>
      </w:r>
      <w:proofErr w:type="spellStart"/>
      <w:r w:rsidRPr="00B91BD7">
        <w:rPr>
          <w:rFonts w:ascii="Arial" w:hAnsi="Arial" w:cs="Arial"/>
          <w:sz w:val="20"/>
          <w:szCs w:val="24"/>
        </w:rPr>
        <w:t>Chittur</w:t>
      </w:r>
      <w:proofErr w:type="spellEnd"/>
      <w:r w:rsidRPr="00B91BD7">
        <w:rPr>
          <w:rFonts w:ascii="Arial" w:hAnsi="Arial" w:cs="Arial"/>
          <w:sz w:val="20"/>
          <w:szCs w:val="24"/>
        </w:rPr>
        <w:t xml:space="preserve"> Block, situated in the Palakkad District of Kerala, lies between latitudes 10°37′–10°48′ N and longitudes 76°41′–76°54′ E, encompassing an area of approximately 271 km². The region forms part of the midland physiographic zone of Kerala and is characterized by undulating terrain with elevations ranging from 95 m to 250 m above mean sea level (</w:t>
      </w:r>
      <w:proofErr w:type="spellStart"/>
      <w:r w:rsidRPr="00B91BD7">
        <w:rPr>
          <w:rFonts w:ascii="Arial" w:hAnsi="Arial" w:cs="Arial"/>
          <w:sz w:val="20"/>
          <w:szCs w:val="24"/>
        </w:rPr>
        <w:t>amsl</w:t>
      </w:r>
      <w:proofErr w:type="spellEnd"/>
      <w:r w:rsidRPr="00B91BD7">
        <w:rPr>
          <w:rFonts w:ascii="Arial" w:hAnsi="Arial" w:cs="Arial"/>
          <w:sz w:val="20"/>
          <w:szCs w:val="24"/>
        </w:rPr>
        <w:t>). The location map of the study area is shown in Fig. 1.</w:t>
      </w:r>
    </w:p>
    <w:p w14:paraId="2ADCE624" w14:textId="77777777" w:rsidR="00DF49A1" w:rsidRPr="00B91BD7" w:rsidRDefault="00DF49A1" w:rsidP="00DF49A1">
      <w:pPr>
        <w:spacing w:line="360" w:lineRule="auto"/>
        <w:jc w:val="both"/>
        <w:rPr>
          <w:rFonts w:ascii="Arial" w:hAnsi="Arial" w:cs="Arial"/>
          <w:b/>
          <w:bCs/>
        </w:rPr>
      </w:pPr>
      <w:r w:rsidRPr="00B91BD7">
        <w:rPr>
          <w:rFonts w:ascii="Arial" w:hAnsi="Arial" w:cs="Arial"/>
          <w:b/>
          <w:bCs/>
        </w:rPr>
        <w:t xml:space="preserve">2.1 Climate and Rainfall </w:t>
      </w:r>
    </w:p>
    <w:p w14:paraId="7775C379" w14:textId="77777777" w:rsidR="00DF49A1" w:rsidRDefault="00DF49A1" w:rsidP="00DF49A1">
      <w:pPr>
        <w:spacing w:line="360" w:lineRule="auto"/>
        <w:ind w:firstLine="720"/>
        <w:jc w:val="both"/>
        <w:rPr>
          <w:rFonts w:ascii="Times New Roman" w:hAnsi="Times New Roman" w:cs="Times New Roman"/>
          <w:sz w:val="24"/>
          <w:szCs w:val="24"/>
        </w:rPr>
      </w:pPr>
      <w:r w:rsidRPr="00B91BD7">
        <w:rPr>
          <w:rFonts w:ascii="Arial" w:hAnsi="Arial" w:cs="Arial"/>
          <w:sz w:val="20"/>
          <w:szCs w:val="24"/>
        </w:rPr>
        <w:t xml:space="preserve">The area experiences a humid tropical climate. The average annual temperature fluctuates between a minimum of 22 °C and a maximum of 36 °C. During the peak summer months, particularly April and May, temperatures can rise to approximately 38 °C. Crucially, the </w:t>
      </w:r>
      <w:proofErr w:type="spellStart"/>
      <w:r w:rsidRPr="00B91BD7">
        <w:rPr>
          <w:rFonts w:ascii="Arial" w:hAnsi="Arial" w:cs="Arial"/>
          <w:sz w:val="20"/>
          <w:szCs w:val="24"/>
        </w:rPr>
        <w:t>Chittur</w:t>
      </w:r>
      <w:proofErr w:type="spellEnd"/>
      <w:r w:rsidRPr="00B91BD7">
        <w:rPr>
          <w:rFonts w:ascii="Arial" w:hAnsi="Arial" w:cs="Arial"/>
          <w:sz w:val="20"/>
          <w:szCs w:val="24"/>
        </w:rPr>
        <w:t xml:space="preserve"> Block is positioned in a rain-shadow zone on the leeward side of the Western Ghats. Consequently, it receives comparatively lower rainfall than the western parts of Kerala. The mean annual precipitation is approximately 1,413 mm, predominantly received during the southwest monsoon (June–September), with supplementary rainfall contributed by the northeast monsoon. </w:t>
      </w:r>
    </w:p>
    <w:p w14:paraId="7BD8F556" w14:textId="77777777" w:rsidR="00DF49A1" w:rsidRPr="00B91BD7" w:rsidRDefault="00DF49A1" w:rsidP="00DF49A1">
      <w:pPr>
        <w:spacing w:line="360" w:lineRule="auto"/>
        <w:jc w:val="both"/>
        <w:rPr>
          <w:rFonts w:ascii="Arial" w:hAnsi="Arial" w:cs="Arial"/>
          <w:b/>
        </w:rPr>
      </w:pPr>
      <w:r w:rsidRPr="00B91BD7">
        <w:rPr>
          <w:rFonts w:ascii="Arial" w:hAnsi="Arial" w:cs="Arial"/>
          <w:b/>
        </w:rPr>
        <w:t>2.2 Physiography, Hydrogeology, and Groundwater Scenario</w:t>
      </w:r>
    </w:p>
    <w:p w14:paraId="4D48D229" w14:textId="77777777" w:rsidR="00DF49A1" w:rsidRPr="00B91BD7" w:rsidRDefault="00DF49A1" w:rsidP="00DF49A1">
      <w:pPr>
        <w:spacing w:line="360" w:lineRule="auto"/>
        <w:ind w:firstLine="720"/>
        <w:jc w:val="both"/>
        <w:rPr>
          <w:rFonts w:ascii="Arial" w:hAnsi="Arial" w:cs="Arial"/>
          <w:sz w:val="20"/>
          <w:szCs w:val="24"/>
        </w:rPr>
      </w:pPr>
      <w:r w:rsidRPr="00B91BD7">
        <w:rPr>
          <w:rFonts w:ascii="Arial" w:hAnsi="Arial" w:cs="Arial"/>
          <w:sz w:val="20"/>
          <w:szCs w:val="24"/>
        </w:rPr>
        <w:t xml:space="preserve">Topographically, the </w:t>
      </w:r>
      <w:proofErr w:type="spellStart"/>
      <w:r w:rsidRPr="00B91BD7">
        <w:rPr>
          <w:rFonts w:ascii="Arial" w:hAnsi="Arial" w:cs="Arial"/>
          <w:sz w:val="20"/>
          <w:szCs w:val="24"/>
        </w:rPr>
        <w:t>Chittur</w:t>
      </w:r>
      <w:proofErr w:type="spellEnd"/>
      <w:r w:rsidRPr="00B91BD7">
        <w:rPr>
          <w:rFonts w:ascii="Arial" w:hAnsi="Arial" w:cs="Arial"/>
          <w:sz w:val="20"/>
          <w:szCs w:val="24"/>
        </w:rPr>
        <w:t xml:space="preserve"> Block exhibits a varied landscape, transitioning from gently sloping plains to moderately elevated landscapes (95 – 250 m </w:t>
      </w:r>
      <w:proofErr w:type="spellStart"/>
      <w:r w:rsidRPr="00B91BD7">
        <w:rPr>
          <w:rFonts w:ascii="Arial" w:hAnsi="Arial" w:cs="Arial"/>
          <w:sz w:val="20"/>
          <w:szCs w:val="24"/>
        </w:rPr>
        <w:t>amsl</w:t>
      </w:r>
      <w:proofErr w:type="spellEnd"/>
      <w:r w:rsidRPr="00B91BD7">
        <w:rPr>
          <w:rFonts w:ascii="Arial" w:hAnsi="Arial" w:cs="Arial"/>
          <w:sz w:val="20"/>
          <w:szCs w:val="24"/>
        </w:rPr>
        <w:t>). The area features interspersed pediments, residual hills, and alluvial plains. This physiographic diversity, combined with its underlying hard-rock geology and seasonal rainfall pattern, significantly influences the patterns of groundwater recharge and availability.</w:t>
      </w:r>
    </w:p>
    <w:p w14:paraId="7DB35AB7" w14:textId="77777777" w:rsidR="00DF49A1" w:rsidRPr="00B91BD7" w:rsidRDefault="00DF49A1" w:rsidP="00DF49A1">
      <w:pPr>
        <w:spacing w:line="360" w:lineRule="auto"/>
        <w:ind w:firstLine="720"/>
        <w:jc w:val="both"/>
        <w:rPr>
          <w:rFonts w:ascii="Arial" w:hAnsi="Arial" w:cs="Arial"/>
          <w:sz w:val="20"/>
        </w:rPr>
      </w:pPr>
      <w:r w:rsidRPr="00B91BD7">
        <w:rPr>
          <w:rFonts w:ascii="Arial" w:hAnsi="Arial" w:cs="Arial"/>
          <w:sz w:val="20"/>
        </w:rPr>
        <w:t xml:space="preserve">The hydrogeological foundation of the </w:t>
      </w:r>
      <w:proofErr w:type="spellStart"/>
      <w:r w:rsidRPr="00B91BD7">
        <w:rPr>
          <w:rFonts w:ascii="Arial" w:hAnsi="Arial" w:cs="Arial"/>
          <w:sz w:val="20"/>
        </w:rPr>
        <w:t>Chittur</w:t>
      </w:r>
      <w:proofErr w:type="spellEnd"/>
      <w:r w:rsidRPr="00B91BD7">
        <w:rPr>
          <w:rFonts w:ascii="Arial" w:hAnsi="Arial" w:cs="Arial"/>
          <w:sz w:val="20"/>
        </w:rPr>
        <w:t xml:space="preserve"> Block is composed of Archaean metamorphic complex rocks, primarily consisting of the granulite group and gneisses, which are often overlain by laterite and alluvium. Groundwater is present in all these geological formations, ranging from the Archaean crystalline (hard rock) base to the recent alluvium (soft rock). Groundwater occurrence in these formations is primarily fracture-controlled. Specifically, phreatic groundwater is hosted within the laterite and the weathered crystalline materials (CGWB, 2014). The hard rock province, where hornblende biotite gneiss serves as the main aquifer, constitutes the majority of the block.</w:t>
      </w:r>
    </w:p>
    <w:p w14:paraId="64AC06EE" w14:textId="77777777" w:rsidR="00DF49A1" w:rsidRPr="00B91BD7" w:rsidRDefault="00DF49A1" w:rsidP="00DF49A1">
      <w:pPr>
        <w:spacing w:line="360" w:lineRule="auto"/>
        <w:ind w:firstLine="450"/>
        <w:jc w:val="both"/>
        <w:rPr>
          <w:rFonts w:ascii="Arial" w:hAnsi="Arial" w:cs="Arial"/>
          <w:sz w:val="20"/>
        </w:rPr>
      </w:pPr>
      <w:r w:rsidRPr="00B91BD7">
        <w:rPr>
          <w:rFonts w:ascii="Arial" w:hAnsi="Arial" w:cs="Arial"/>
          <w:sz w:val="20"/>
        </w:rPr>
        <w:t xml:space="preserve">Due to intense usage and limited recharge potential in the hard rock terrain, the </w:t>
      </w:r>
      <w:proofErr w:type="spellStart"/>
      <w:r w:rsidRPr="00B91BD7">
        <w:rPr>
          <w:rFonts w:ascii="Arial" w:hAnsi="Arial" w:cs="Arial"/>
          <w:sz w:val="20"/>
        </w:rPr>
        <w:t>Chittur</w:t>
      </w:r>
      <w:proofErr w:type="spellEnd"/>
      <w:r w:rsidRPr="00B91BD7">
        <w:rPr>
          <w:rFonts w:ascii="Arial" w:hAnsi="Arial" w:cs="Arial"/>
          <w:sz w:val="20"/>
        </w:rPr>
        <w:t xml:space="preserve"> Block currently faces the dual challenge of a lowering water </w:t>
      </w:r>
      <w:r w:rsidRPr="00C71BA7">
        <w:rPr>
          <w:rFonts w:ascii="Arial" w:hAnsi="Arial" w:cs="Arial"/>
          <w:sz w:val="20"/>
        </w:rPr>
        <w:t>table</w:t>
      </w:r>
      <w:r w:rsidRPr="00B91BD7">
        <w:rPr>
          <w:rFonts w:ascii="Arial" w:hAnsi="Arial" w:cs="Arial"/>
          <w:sz w:val="20"/>
        </w:rPr>
        <w:t xml:space="preserve"> and persistent water scarcity. Based on groundwater resource assessment norms established by the Central Groundwater Board (CGWB), the </w:t>
      </w:r>
      <w:proofErr w:type="spellStart"/>
      <w:r w:rsidRPr="00B91BD7">
        <w:rPr>
          <w:rFonts w:ascii="Arial" w:hAnsi="Arial" w:cs="Arial"/>
          <w:sz w:val="20"/>
        </w:rPr>
        <w:t>Chittur</w:t>
      </w:r>
      <w:proofErr w:type="spellEnd"/>
      <w:r w:rsidRPr="00B91BD7">
        <w:rPr>
          <w:rFonts w:ascii="Arial" w:hAnsi="Arial" w:cs="Arial"/>
          <w:sz w:val="20"/>
        </w:rPr>
        <w:t xml:space="preserve"> Block is officially classified as 'Over Exploited', highlighting the critical nature of water management in this area.</w:t>
      </w:r>
    </w:p>
    <w:p w14:paraId="3692BA65" w14:textId="77777777" w:rsidR="00DF49A1" w:rsidRDefault="00DF49A1" w:rsidP="00DF49A1">
      <w:pPr>
        <w:spacing w:after="0" w:line="360" w:lineRule="auto"/>
        <w:ind w:firstLine="450"/>
        <w:jc w:val="center"/>
        <w:rPr>
          <w:rFonts w:ascii="Times New Roman" w:hAnsi="Times New Roman" w:cs="Times New Roman"/>
          <w:b/>
          <w:sz w:val="24"/>
        </w:rPr>
      </w:pPr>
      <w:r w:rsidRPr="00183260">
        <w:rPr>
          <w:noProof/>
        </w:rPr>
        <w:lastRenderedPageBreak/>
        <w:drawing>
          <wp:inline distT="0" distB="0" distL="0" distR="0" wp14:anchorId="0B394675" wp14:editId="2F509CA5">
            <wp:extent cx="4476750" cy="3862432"/>
            <wp:effectExtent l="19050" t="19050" r="19050" b="24130"/>
            <wp:docPr id="2" name="Picture 2" descr="D:\Venky Ph.D\Project\Thesis\Pictures\ChitturBlock 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nky Ph.D\Project\Thesis\Pictures\ChitturBlock Study Are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5512" cy="3878620"/>
                    </a:xfrm>
                    <a:prstGeom prst="rect">
                      <a:avLst/>
                    </a:prstGeom>
                    <a:noFill/>
                    <a:ln w="12700">
                      <a:solidFill>
                        <a:schemeClr val="tx1"/>
                      </a:solidFill>
                    </a:ln>
                  </pic:spPr>
                </pic:pic>
              </a:graphicData>
            </a:graphic>
          </wp:inline>
        </w:drawing>
      </w:r>
    </w:p>
    <w:p w14:paraId="360577AE" w14:textId="77777777" w:rsidR="00DF49A1" w:rsidRPr="007C05CC" w:rsidRDefault="00DF49A1" w:rsidP="00DF49A1">
      <w:pPr>
        <w:spacing w:after="0" w:line="360" w:lineRule="auto"/>
        <w:ind w:firstLine="446"/>
        <w:jc w:val="center"/>
        <w:rPr>
          <w:rFonts w:ascii="Arial" w:hAnsi="Arial" w:cs="Arial"/>
          <w:bCs/>
          <w:sz w:val="20"/>
          <w:szCs w:val="24"/>
        </w:rPr>
      </w:pPr>
      <w:r w:rsidRPr="007C05CC">
        <w:rPr>
          <w:rFonts w:ascii="Arial" w:hAnsi="Arial" w:cs="Arial"/>
          <w:b/>
          <w:sz w:val="20"/>
        </w:rPr>
        <w:t>Fig. 1. Location map of the study area</w:t>
      </w:r>
    </w:p>
    <w:p w14:paraId="0ACD1087" w14:textId="77777777" w:rsidR="00DF49A1" w:rsidRPr="007C05CC" w:rsidRDefault="007C05CC" w:rsidP="00DF49A1">
      <w:pPr>
        <w:pStyle w:val="ListParagraph"/>
        <w:numPr>
          <w:ilvl w:val="0"/>
          <w:numId w:val="1"/>
        </w:numPr>
        <w:spacing w:line="360" w:lineRule="auto"/>
        <w:ind w:left="360"/>
        <w:jc w:val="both"/>
        <w:rPr>
          <w:rFonts w:ascii="Arial" w:hAnsi="Arial" w:cs="Arial"/>
          <w:b/>
        </w:rPr>
      </w:pPr>
      <w:r w:rsidRPr="007C05CC">
        <w:rPr>
          <w:rFonts w:ascii="Arial" w:hAnsi="Arial" w:cs="Arial"/>
          <w:b/>
        </w:rPr>
        <w:t>METHODOLOGY</w:t>
      </w:r>
    </w:p>
    <w:p w14:paraId="77FFB500" w14:textId="77777777" w:rsidR="00DF49A1" w:rsidRPr="007C05CC" w:rsidRDefault="007C05CC" w:rsidP="00DF49A1">
      <w:pPr>
        <w:spacing w:line="360" w:lineRule="auto"/>
        <w:jc w:val="both"/>
        <w:rPr>
          <w:rFonts w:ascii="Arial" w:hAnsi="Arial" w:cs="Arial"/>
          <w:b/>
        </w:rPr>
      </w:pPr>
      <w:r w:rsidRPr="007C05CC">
        <w:rPr>
          <w:rFonts w:ascii="Arial" w:hAnsi="Arial" w:cs="Arial"/>
          <w:b/>
        </w:rPr>
        <w:t xml:space="preserve"> </w:t>
      </w:r>
      <w:r w:rsidR="00DF49A1" w:rsidRPr="007C05CC">
        <w:rPr>
          <w:rFonts w:ascii="Arial" w:hAnsi="Arial" w:cs="Arial"/>
          <w:b/>
        </w:rPr>
        <w:t>3.1 Data Acquisition</w:t>
      </w:r>
    </w:p>
    <w:p w14:paraId="27CFB66A" w14:textId="77777777" w:rsidR="00DF49A1" w:rsidRDefault="00DF49A1" w:rsidP="00DF49A1">
      <w:pPr>
        <w:spacing w:line="360" w:lineRule="auto"/>
        <w:ind w:firstLine="720"/>
        <w:jc w:val="both"/>
        <w:rPr>
          <w:rFonts w:ascii="Times New Roman" w:hAnsi="Times New Roman" w:cs="Times New Roman"/>
          <w:sz w:val="24"/>
        </w:rPr>
      </w:pPr>
      <w:r w:rsidRPr="007C05CC">
        <w:rPr>
          <w:rFonts w:ascii="Arial" w:hAnsi="Arial" w:cs="Arial"/>
          <w:sz w:val="20"/>
        </w:rPr>
        <w:t xml:space="preserve">The present study utilized monthly groundwater level data sourced from the State Groundwater Department, Palakkad District, Kerala. The Groundwater Department maintains a network of nine groundwater monitoring wells (GWMW) within the </w:t>
      </w:r>
      <w:proofErr w:type="spellStart"/>
      <w:r w:rsidRPr="007C05CC">
        <w:rPr>
          <w:rFonts w:ascii="Arial" w:hAnsi="Arial" w:cs="Arial"/>
          <w:sz w:val="20"/>
        </w:rPr>
        <w:t>Chittur</w:t>
      </w:r>
      <w:proofErr w:type="spellEnd"/>
      <w:r w:rsidRPr="007C05CC">
        <w:rPr>
          <w:rFonts w:ascii="Arial" w:hAnsi="Arial" w:cs="Arial"/>
          <w:sz w:val="20"/>
        </w:rPr>
        <w:t xml:space="preserve"> block. The dataset comprised measurements taken from four dug wells and five bore wells across the </w:t>
      </w:r>
      <w:proofErr w:type="spellStart"/>
      <w:r w:rsidRPr="007C05CC">
        <w:rPr>
          <w:rFonts w:ascii="Arial" w:hAnsi="Arial" w:cs="Arial"/>
          <w:sz w:val="20"/>
        </w:rPr>
        <w:t>Chittur</w:t>
      </w:r>
      <w:proofErr w:type="spellEnd"/>
      <w:r w:rsidRPr="007C05CC">
        <w:rPr>
          <w:rFonts w:ascii="Arial" w:hAnsi="Arial" w:cs="Arial"/>
          <w:sz w:val="20"/>
        </w:rPr>
        <w:t xml:space="preserve"> Block. The dug wells are situated in the lateritic formations representing the phreatic aquifer system, while the bore wells are established in the fractured crystalline basement rocks, representing confined to semi-confined aquifer conditions. To ensure adequate spatial representation across the entire basin, nine observation wells were strategically chosen for analysis as shown in Fig. 2. The data span a continuous period of 29 years, from 1994 to 2022, allowing for a robust assessment of long-term temporal and seasonal fluctuations in the water </w:t>
      </w:r>
      <w:r w:rsidRPr="00C71BA7">
        <w:rPr>
          <w:rFonts w:ascii="Arial" w:hAnsi="Arial" w:cs="Arial"/>
          <w:sz w:val="20"/>
        </w:rPr>
        <w:t>table</w:t>
      </w:r>
      <w:r w:rsidRPr="007C05CC">
        <w:rPr>
          <w:rFonts w:ascii="Arial" w:hAnsi="Arial" w:cs="Arial"/>
          <w:sz w:val="20"/>
        </w:rPr>
        <w:t xml:space="preserve">. The geographic and physical details of the nine selected observation wells are provided in </w:t>
      </w:r>
      <w:r w:rsidRPr="00C71BA7">
        <w:rPr>
          <w:rFonts w:ascii="Arial" w:hAnsi="Arial" w:cs="Arial"/>
          <w:sz w:val="20"/>
        </w:rPr>
        <w:t>Table</w:t>
      </w:r>
      <w:r w:rsidRPr="007C05CC">
        <w:rPr>
          <w:rFonts w:ascii="Arial" w:hAnsi="Arial" w:cs="Arial"/>
          <w:sz w:val="20"/>
        </w:rPr>
        <w:t xml:space="preserve"> 1.</w:t>
      </w:r>
    </w:p>
    <w:p w14:paraId="6695CC42" w14:textId="77777777" w:rsidR="00DF49A1" w:rsidRPr="007C05CC" w:rsidRDefault="00DF49A1" w:rsidP="00DF49A1">
      <w:pPr>
        <w:rPr>
          <w:rFonts w:ascii="Arial" w:hAnsi="Arial" w:cs="Arial"/>
          <w:b/>
          <w:sz w:val="20"/>
        </w:rPr>
      </w:pPr>
      <w:r w:rsidRPr="00C71BA7">
        <w:rPr>
          <w:rFonts w:ascii="Arial" w:hAnsi="Arial" w:cs="Arial"/>
          <w:b/>
          <w:sz w:val="20"/>
        </w:rPr>
        <w:t>Table</w:t>
      </w:r>
      <w:r w:rsidRPr="007C05CC">
        <w:rPr>
          <w:rFonts w:ascii="Arial" w:hAnsi="Arial" w:cs="Arial"/>
          <w:b/>
          <w:sz w:val="20"/>
        </w:rPr>
        <w:t xml:space="preserve"> 1. The geographic and physical details of the wells selected </w:t>
      </w:r>
    </w:p>
    <w:tbl>
      <w:tblPr>
        <w:tblStyle w:val="TableGrid"/>
        <w:tblW w:w="9247" w:type="dxa"/>
        <w:tblInd w:w="108" w:type="dxa"/>
        <w:tblLayout w:type="fixed"/>
        <w:tblLook w:val="04A0" w:firstRow="1" w:lastRow="0" w:firstColumn="1" w:lastColumn="0" w:noHBand="0" w:noVBand="1"/>
      </w:tblPr>
      <w:tblGrid>
        <w:gridCol w:w="624"/>
        <w:gridCol w:w="1423"/>
        <w:gridCol w:w="2160"/>
        <w:gridCol w:w="1260"/>
        <w:gridCol w:w="1260"/>
        <w:gridCol w:w="1260"/>
        <w:gridCol w:w="1260"/>
      </w:tblGrid>
      <w:tr w:rsidR="00DF49A1" w:rsidRPr="007C05CC" w14:paraId="2E3C6C68" w14:textId="77777777" w:rsidTr="00DF49A1">
        <w:tc>
          <w:tcPr>
            <w:tcW w:w="624" w:type="dxa"/>
          </w:tcPr>
          <w:p w14:paraId="1BC9F252" w14:textId="77777777" w:rsidR="00DF49A1" w:rsidRPr="007C05CC" w:rsidRDefault="00DF49A1" w:rsidP="00DF49A1">
            <w:pPr>
              <w:spacing w:line="276" w:lineRule="auto"/>
              <w:jc w:val="center"/>
              <w:rPr>
                <w:rFonts w:ascii="Arial" w:hAnsi="Arial" w:cs="Arial"/>
                <w:b/>
                <w:color w:val="000000"/>
                <w:sz w:val="20"/>
                <w:szCs w:val="20"/>
                <w:shd w:val="clear" w:color="auto" w:fill="FFFFFF"/>
              </w:rPr>
            </w:pPr>
            <w:r w:rsidRPr="007C05CC">
              <w:rPr>
                <w:rFonts w:ascii="Arial" w:hAnsi="Arial" w:cs="Arial"/>
                <w:b/>
                <w:color w:val="000000"/>
                <w:sz w:val="20"/>
                <w:szCs w:val="20"/>
                <w:shd w:val="clear" w:color="auto" w:fill="FFFFFF"/>
              </w:rPr>
              <w:t>S. No.</w:t>
            </w:r>
          </w:p>
        </w:tc>
        <w:tc>
          <w:tcPr>
            <w:tcW w:w="1423" w:type="dxa"/>
          </w:tcPr>
          <w:p w14:paraId="2D61EE4F" w14:textId="77777777" w:rsidR="00DF49A1" w:rsidRPr="007C05CC" w:rsidRDefault="00DF49A1" w:rsidP="00DF49A1">
            <w:pPr>
              <w:spacing w:line="276" w:lineRule="auto"/>
              <w:jc w:val="center"/>
              <w:rPr>
                <w:rFonts w:ascii="Arial" w:hAnsi="Arial" w:cs="Arial"/>
                <w:b/>
                <w:color w:val="000000"/>
                <w:sz w:val="20"/>
                <w:szCs w:val="20"/>
                <w:shd w:val="clear" w:color="auto" w:fill="FFFFFF"/>
              </w:rPr>
            </w:pPr>
            <w:r w:rsidRPr="007C05CC">
              <w:rPr>
                <w:rFonts w:ascii="Arial" w:hAnsi="Arial" w:cs="Arial"/>
                <w:b/>
                <w:color w:val="000000"/>
                <w:sz w:val="20"/>
                <w:szCs w:val="20"/>
                <w:shd w:val="clear" w:color="auto" w:fill="FFFFFF"/>
              </w:rPr>
              <w:t xml:space="preserve">Well ID (as per state and central </w:t>
            </w:r>
            <w:r w:rsidRPr="007C05CC">
              <w:rPr>
                <w:rFonts w:ascii="Arial" w:hAnsi="Arial" w:cs="Arial"/>
                <w:b/>
                <w:color w:val="000000"/>
                <w:sz w:val="20"/>
                <w:szCs w:val="20"/>
                <w:shd w:val="clear" w:color="auto" w:fill="FFFFFF"/>
              </w:rPr>
              <w:lastRenderedPageBreak/>
              <w:t>GW Dept. norms)</w:t>
            </w:r>
          </w:p>
        </w:tc>
        <w:tc>
          <w:tcPr>
            <w:tcW w:w="2160" w:type="dxa"/>
          </w:tcPr>
          <w:p w14:paraId="21002138" w14:textId="77777777" w:rsidR="00DF49A1" w:rsidRPr="007C05CC" w:rsidRDefault="00DF49A1" w:rsidP="00DF49A1">
            <w:pPr>
              <w:spacing w:line="276" w:lineRule="auto"/>
              <w:jc w:val="center"/>
              <w:rPr>
                <w:rFonts w:ascii="Arial" w:hAnsi="Arial" w:cs="Arial"/>
                <w:b/>
                <w:color w:val="000000"/>
                <w:sz w:val="20"/>
                <w:szCs w:val="20"/>
                <w:shd w:val="clear" w:color="auto" w:fill="FFFFFF"/>
              </w:rPr>
            </w:pPr>
            <w:r w:rsidRPr="007C05CC">
              <w:rPr>
                <w:rFonts w:ascii="Arial" w:hAnsi="Arial" w:cs="Arial"/>
                <w:b/>
                <w:color w:val="000000"/>
                <w:sz w:val="20"/>
                <w:szCs w:val="20"/>
                <w:shd w:val="clear" w:color="auto" w:fill="FFFFFF"/>
              </w:rPr>
              <w:lastRenderedPageBreak/>
              <w:t>Panchayat</w:t>
            </w:r>
          </w:p>
        </w:tc>
        <w:tc>
          <w:tcPr>
            <w:tcW w:w="1260" w:type="dxa"/>
          </w:tcPr>
          <w:p w14:paraId="1D0736FD" w14:textId="77777777" w:rsidR="00DF49A1" w:rsidRPr="007C05CC" w:rsidRDefault="00DF49A1" w:rsidP="00DF49A1">
            <w:pPr>
              <w:spacing w:line="276" w:lineRule="auto"/>
              <w:jc w:val="center"/>
              <w:rPr>
                <w:rFonts w:ascii="Arial" w:hAnsi="Arial" w:cs="Arial"/>
                <w:b/>
                <w:color w:val="000000"/>
                <w:sz w:val="20"/>
                <w:szCs w:val="20"/>
                <w:shd w:val="clear" w:color="auto" w:fill="FFFFFF"/>
              </w:rPr>
            </w:pPr>
            <w:r w:rsidRPr="007C05CC">
              <w:rPr>
                <w:rFonts w:ascii="Arial" w:hAnsi="Arial" w:cs="Arial"/>
                <w:b/>
                <w:color w:val="000000"/>
                <w:sz w:val="20"/>
                <w:szCs w:val="20"/>
                <w:shd w:val="clear" w:color="auto" w:fill="FFFFFF"/>
              </w:rPr>
              <w:t>Latitude (Decimal degrees)</w:t>
            </w:r>
          </w:p>
        </w:tc>
        <w:tc>
          <w:tcPr>
            <w:tcW w:w="1260" w:type="dxa"/>
          </w:tcPr>
          <w:p w14:paraId="38D552FD" w14:textId="77777777" w:rsidR="00DF49A1" w:rsidRPr="007C05CC" w:rsidRDefault="00DF49A1" w:rsidP="00DF49A1">
            <w:pPr>
              <w:spacing w:line="276" w:lineRule="auto"/>
              <w:jc w:val="center"/>
              <w:rPr>
                <w:rFonts w:ascii="Arial" w:hAnsi="Arial" w:cs="Arial"/>
                <w:b/>
                <w:color w:val="000000"/>
                <w:sz w:val="20"/>
                <w:szCs w:val="20"/>
                <w:shd w:val="clear" w:color="auto" w:fill="FFFFFF"/>
              </w:rPr>
            </w:pPr>
            <w:r w:rsidRPr="007C05CC">
              <w:rPr>
                <w:rFonts w:ascii="Arial" w:hAnsi="Arial" w:cs="Arial"/>
                <w:b/>
                <w:color w:val="000000"/>
                <w:sz w:val="20"/>
                <w:szCs w:val="20"/>
                <w:shd w:val="clear" w:color="auto" w:fill="FFFFFF"/>
              </w:rPr>
              <w:t>Longitude (Decimal degrees)</w:t>
            </w:r>
          </w:p>
        </w:tc>
        <w:tc>
          <w:tcPr>
            <w:tcW w:w="1260" w:type="dxa"/>
          </w:tcPr>
          <w:p w14:paraId="6ADD8DE6" w14:textId="77777777" w:rsidR="00DF49A1" w:rsidRPr="007C05CC" w:rsidRDefault="00DF49A1" w:rsidP="00DF49A1">
            <w:pPr>
              <w:spacing w:line="276" w:lineRule="auto"/>
              <w:jc w:val="center"/>
              <w:rPr>
                <w:rFonts w:ascii="Arial" w:hAnsi="Arial" w:cs="Arial"/>
                <w:b/>
                <w:color w:val="000000"/>
                <w:sz w:val="20"/>
                <w:szCs w:val="20"/>
                <w:shd w:val="clear" w:color="auto" w:fill="FFFFFF"/>
              </w:rPr>
            </w:pPr>
            <w:r w:rsidRPr="007C05CC">
              <w:rPr>
                <w:rFonts w:ascii="Arial" w:hAnsi="Arial" w:cs="Arial"/>
                <w:b/>
                <w:color w:val="000000"/>
                <w:sz w:val="20"/>
                <w:szCs w:val="20"/>
                <w:shd w:val="clear" w:color="auto" w:fill="FFFFFF"/>
              </w:rPr>
              <w:t>Well type</w:t>
            </w:r>
          </w:p>
        </w:tc>
        <w:tc>
          <w:tcPr>
            <w:tcW w:w="1260" w:type="dxa"/>
          </w:tcPr>
          <w:p w14:paraId="5099902A" w14:textId="77777777" w:rsidR="00DF49A1" w:rsidRPr="007C05CC" w:rsidRDefault="00DF49A1" w:rsidP="00DF49A1">
            <w:pPr>
              <w:spacing w:line="276" w:lineRule="auto"/>
              <w:jc w:val="center"/>
              <w:rPr>
                <w:rFonts w:ascii="Arial" w:hAnsi="Arial" w:cs="Arial"/>
                <w:b/>
                <w:color w:val="000000"/>
                <w:sz w:val="20"/>
                <w:szCs w:val="20"/>
                <w:shd w:val="clear" w:color="auto" w:fill="FFFFFF"/>
              </w:rPr>
            </w:pPr>
            <w:r w:rsidRPr="007C05CC">
              <w:rPr>
                <w:rFonts w:ascii="Arial" w:hAnsi="Arial" w:cs="Arial"/>
                <w:b/>
                <w:color w:val="000000"/>
                <w:sz w:val="20"/>
                <w:szCs w:val="20"/>
                <w:shd w:val="clear" w:color="auto" w:fill="FFFFFF"/>
              </w:rPr>
              <w:t>Elevation (m)</w:t>
            </w:r>
          </w:p>
        </w:tc>
      </w:tr>
      <w:tr w:rsidR="00DF49A1" w:rsidRPr="007C05CC" w14:paraId="3776609A" w14:textId="77777777" w:rsidTr="00DF49A1">
        <w:tc>
          <w:tcPr>
            <w:tcW w:w="624" w:type="dxa"/>
          </w:tcPr>
          <w:p w14:paraId="5F17A0C1"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w:t>
            </w:r>
          </w:p>
        </w:tc>
        <w:tc>
          <w:tcPr>
            <w:tcW w:w="1423" w:type="dxa"/>
          </w:tcPr>
          <w:p w14:paraId="287EF730"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126</w:t>
            </w:r>
          </w:p>
        </w:tc>
        <w:tc>
          <w:tcPr>
            <w:tcW w:w="2160" w:type="dxa"/>
          </w:tcPr>
          <w:p w14:paraId="29DDB592" w14:textId="77777777" w:rsidR="00DF49A1" w:rsidRPr="007C05CC" w:rsidRDefault="00DF49A1" w:rsidP="00DF49A1">
            <w:pPr>
              <w:spacing w:line="276" w:lineRule="auto"/>
              <w:rPr>
                <w:rFonts w:ascii="Arial" w:hAnsi="Arial" w:cs="Arial"/>
                <w:color w:val="000000"/>
                <w:sz w:val="20"/>
                <w:szCs w:val="20"/>
                <w:shd w:val="clear" w:color="auto" w:fill="FFFFFF"/>
              </w:rPr>
            </w:pPr>
            <w:proofErr w:type="spellStart"/>
            <w:r w:rsidRPr="007C05CC">
              <w:rPr>
                <w:rFonts w:ascii="Arial" w:hAnsi="Arial" w:cs="Arial"/>
                <w:color w:val="000000"/>
                <w:sz w:val="20"/>
                <w:szCs w:val="20"/>
                <w:shd w:val="clear" w:color="auto" w:fill="FFFFFF"/>
              </w:rPr>
              <w:t>Chittur</w:t>
            </w:r>
            <w:proofErr w:type="spellEnd"/>
            <w:r w:rsidRPr="007C05CC">
              <w:rPr>
                <w:rFonts w:ascii="Arial" w:hAnsi="Arial" w:cs="Arial"/>
                <w:color w:val="000000"/>
                <w:sz w:val="20"/>
                <w:szCs w:val="20"/>
                <w:shd w:val="clear" w:color="auto" w:fill="FFFFFF"/>
              </w:rPr>
              <w:t xml:space="preserve"> </w:t>
            </w:r>
            <w:proofErr w:type="spellStart"/>
            <w:r w:rsidRPr="007C05CC">
              <w:rPr>
                <w:rFonts w:ascii="Arial" w:hAnsi="Arial" w:cs="Arial"/>
                <w:color w:val="000000"/>
                <w:sz w:val="20"/>
                <w:szCs w:val="20"/>
                <w:shd w:val="clear" w:color="auto" w:fill="FFFFFF"/>
              </w:rPr>
              <w:t>Muncipality</w:t>
            </w:r>
            <w:proofErr w:type="spellEnd"/>
          </w:p>
        </w:tc>
        <w:tc>
          <w:tcPr>
            <w:tcW w:w="1260" w:type="dxa"/>
          </w:tcPr>
          <w:p w14:paraId="398B604E"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10.703</w:t>
            </w:r>
          </w:p>
        </w:tc>
        <w:tc>
          <w:tcPr>
            <w:tcW w:w="1260" w:type="dxa"/>
          </w:tcPr>
          <w:p w14:paraId="32FA6801"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76.738</w:t>
            </w:r>
          </w:p>
        </w:tc>
        <w:tc>
          <w:tcPr>
            <w:tcW w:w="1260" w:type="dxa"/>
          </w:tcPr>
          <w:p w14:paraId="4B74B5C5"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Dug well</w:t>
            </w:r>
          </w:p>
        </w:tc>
        <w:tc>
          <w:tcPr>
            <w:tcW w:w="1260" w:type="dxa"/>
          </w:tcPr>
          <w:p w14:paraId="576E2460"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121</w:t>
            </w:r>
          </w:p>
        </w:tc>
      </w:tr>
      <w:tr w:rsidR="00DF49A1" w:rsidRPr="007C05CC" w14:paraId="091B3CA8" w14:textId="77777777" w:rsidTr="00DF49A1">
        <w:tc>
          <w:tcPr>
            <w:tcW w:w="624" w:type="dxa"/>
          </w:tcPr>
          <w:p w14:paraId="5364B2BC"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2</w:t>
            </w:r>
          </w:p>
        </w:tc>
        <w:tc>
          <w:tcPr>
            <w:tcW w:w="1423" w:type="dxa"/>
          </w:tcPr>
          <w:p w14:paraId="5929B860"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139</w:t>
            </w:r>
          </w:p>
        </w:tc>
        <w:tc>
          <w:tcPr>
            <w:tcW w:w="2160" w:type="dxa"/>
          </w:tcPr>
          <w:p w14:paraId="30933229" w14:textId="77777777" w:rsidR="00DF49A1" w:rsidRPr="007C05CC" w:rsidRDefault="00DF49A1" w:rsidP="00DF49A1">
            <w:pPr>
              <w:spacing w:line="276" w:lineRule="auto"/>
              <w:rPr>
                <w:rFonts w:ascii="Arial" w:hAnsi="Arial" w:cs="Arial"/>
                <w:color w:val="000000"/>
                <w:sz w:val="20"/>
                <w:szCs w:val="20"/>
                <w:shd w:val="clear" w:color="auto" w:fill="FFFFFF"/>
              </w:rPr>
            </w:pPr>
            <w:proofErr w:type="spellStart"/>
            <w:r w:rsidRPr="007C05CC">
              <w:rPr>
                <w:rFonts w:ascii="Arial" w:hAnsi="Arial" w:cs="Arial"/>
                <w:color w:val="000000"/>
                <w:sz w:val="20"/>
                <w:szCs w:val="20"/>
                <w:shd w:val="clear" w:color="auto" w:fill="FFFFFF"/>
              </w:rPr>
              <w:t>Nallepilly</w:t>
            </w:r>
            <w:proofErr w:type="spellEnd"/>
          </w:p>
        </w:tc>
        <w:tc>
          <w:tcPr>
            <w:tcW w:w="1260" w:type="dxa"/>
          </w:tcPr>
          <w:p w14:paraId="19F82F54"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10.741</w:t>
            </w:r>
          </w:p>
        </w:tc>
        <w:tc>
          <w:tcPr>
            <w:tcW w:w="1260" w:type="dxa"/>
          </w:tcPr>
          <w:p w14:paraId="613C7A96"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76.816</w:t>
            </w:r>
          </w:p>
        </w:tc>
        <w:tc>
          <w:tcPr>
            <w:tcW w:w="1260" w:type="dxa"/>
          </w:tcPr>
          <w:p w14:paraId="6837BADC"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Bore well</w:t>
            </w:r>
          </w:p>
        </w:tc>
        <w:tc>
          <w:tcPr>
            <w:tcW w:w="1260" w:type="dxa"/>
          </w:tcPr>
          <w:p w14:paraId="3D08791E"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152</w:t>
            </w:r>
          </w:p>
        </w:tc>
      </w:tr>
      <w:tr w:rsidR="00DF49A1" w:rsidRPr="007C05CC" w14:paraId="1F73232F" w14:textId="77777777" w:rsidTr="00DF49A1">
        <w:tc>
          <w:tcPr>
            <w:tcW w:w="624" w:type="dxa"/>
          </w:tcPr>
          <w:p w14:paraId="74F2BAD1"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3</w:t>
            </w:r>
          </w:p>
        </w:tc>
        <w:tc>
          <w:tcPr>
            <w:tcW w:w="1423" w:type="dxa"/>
          </w:tcPr>
          <w:p w14:paraId="1EF5D033"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141</w:t>
            </w:r>
          </w:p>
        </w:tc>
        <w:tc>
          <w:tcPr>
            <w:tcW w:w="2160" w:type="dxa"/>
          </w:tcPr>
          <w:p w14:paraId="5740FA22" w14:textId="77777777" w:rsidR="00DF49A1" w:rsidRPr="007C05CC" w:rsidRDefault="00DF49A1" w:rsidP="00DF49A1">
            <w:pPr>
              <w:spacing w:line="276" w:lineRule="auto"/>
              <w:rPr>
                <w:rFonts w:ascii="Arial" w:hAnsi="Arial" w:cs="Arial"/>
                <w:color w:val="000000"/>
                <w:sz w:val="20"/>
                <w:szCs w:val="20"/>
                <w:shd w:val="clear" w:color="auto" w:fill="FFFFFF"/>
              </w:rPr>
            </w:pPr>
            <w:proofErr w:type="spellStart"/>
            <w:r w:rsidRPr="007C05CC">
              <w:rPr>
                <w:rFonts w:ascii="Arial" w:hAnsi="Arial" w:cs="Arial"/>
                <w:color w:val="000000"/>
                <w:sz w:val="20"/>
                <w:szCs w:val="20"/>
                <w:shd w:val="clear" w:color="auto" w:fill="FFFFFF"/>
              </w:rPr>
              <w:t>Vadakarappathy</w:t>
            </w:r>
            <w:proofErr w:type="spellEnd"/>
          </w:p>
        </w:tc>
        <w:tc>
          <w:tcPr>
            <w:tcW w:w="1260" w:type="dxa"/>
          </w:tcPr>
          <w:p w14:paraId="72C8E0BC"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10.796</w:t>
            </w:r>
          </w:p>
        </w:tc>
        <w:tc>
          <w:tcPr>
            <w:tcW w:w="1260" w:type="dxa"/>
          </w:tcPr>
          <w:p w14:paraId="1F628C34"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76.889</w:t>
            </w:r>
          </w:p>
        </w:tc>
        <w:tc>
          <w:tcPr>
            <w:tcW w:w="1260" w:type="dxa"/>
          </w:tcPr>
          <w:p w14:paraId="22A95CC4"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Bore well</w:t>
            </w:r>
          </w:p>
        </w:tc>
        <w:tc>
          <w:tcPr>
            <w:tcW w:w="1260" w:type="dxa"/>
          </w:tcPr>
          <w:p w14:paraId="565895AE"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218</w:t>
            </w:r>
          </w:p>
        </w:tc>
      </w:tr>
      <w:tr w:rsidR="00DF49A1" w:rsidRPr="007C05CC" w14:paraId="151BB5BE" w14:textId="77777777" w:rsidTr="00DF49A1">
        <w:tc>
          <w:tcPr>
            <w:tcW w:w="624" w:type="dxa"/>
          </w:tcPr>
          <w:p w14:paraId="1F1975ED"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4</w:t>
            </w:r>
          </w:p>
        </w:tc>
        <w:tc>
          <w:tcPr>
            <w:tcW w:w="1423" w:type="dxa"/>
          </w:tcPr>
          <w:p w14:paraId="2ECDD340"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149</w:t>
            </w:r>
          </w:p>
        </w:tc>
        <w:tc>
          <w:tcPr>
            <w:tcW w:w="2160" w:type="dxa"/>
          </w:tcPr>
          <w:p w14:paraId="292E0309" w14:textId="77777777" w:rsidR="00DF49A1" w:rsidRPr="007C05CC" w:rsidRDefault="00DF49A1" w:rsidP="00DF49A1">
            <w:pPr>
              <w:spacing w:line="276" w:lineRule="auto"/>
              <w:rPr>
                <w:rFonts w:ascii="Arial" w:hAnsi="Arial" w:cs="Arial"/>
                <w:color w:val="000000"/>
                <w:sz w:val="20"/>
                <w:szCs w:val="20"/>
                <w:shd w:val="clear" w:color="auto" w:fill="FFFFFF"/>
              </w:rPr>
            </w:pPr>
            <w:proofErr w:type="spellStart"/>
            <w:r w:rsidRPr="007C05CC">
              <w:rPr>
                <w:rFonts w:ascii="Arial" w:hAnsi="Arial" w:cs="Arial"/>
                <w:color w:val="000000"/>
                <w:sz w:val="20"/>
                <w:szCs w:val="20"/>
                <w:shd w:val="clear" w:color="auto" w:fill="FFFFFF"/>
              </w:rPr>
              <w:t>Pattenchery</w:t>
            </w:r>
            <w:proofErr w:type="spellEnd"/>
          </w:p>
        </w:tc>
        <w:tc>
          <w:tcPr>
            <w:tcW w:w="1260" w:type="dxa"/>
          </w:tcPr>
          <w:p w14:paraId="6537405E"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10.597</w:t>
            </w:r>
          </w:p>
        </w:tc>
        <w:tc>
          <w:tcPr>
            <w:tcW w:w="1260" w:type="dxa"/>
          </w:tcPr>
          <w:p w14:paraId="13AD36A9"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76.663</w:t>
            </w:r>
          </w:p>
        </w:tc>
        <w:tc>
          <w:tcPr>
            <w:tcW w:w="1260" w:type="dxa"/>
          </w:tcPr>
          <w:p w14:paraId="7716A312"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Bore well</w:t>
            </w:r>
          </w:p>
        </w:tc>
        <w:tc>
          <w:tcPr>
            <w:tcW w:w="1260" w:type="dxa"/>
          </w:tcPr>
          <w:p w14:paraId="3A7AD3CA"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89</w:t>
            </w:r>
          </w:p>
        </w:tc>
      </w:tr>
      <w:tr w:rsidR="00DF49A1" w:rsidRPr="007C05CC" w14:paraId="04BE0AC1" w14:textId="77777777" w:rsidTr="00DF49A1">
        <w:tc>
          <w:tcPr>
            <w:tcW w:w="624" w:type="dxa"/>
          </w:tcPr>
          <w:p w14:paraId="6317E6D4"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5</w:t>
            </w:r>
          </w:p>
        </w:tc>
        <w:tc>
          <w:tcPr>
            <w:tcW w:w="1423" w:type="dxa"/>
          </w:tcPr>
          <w:p w14:paraId="26FF44AF"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150</w:t>
            </w:r>
          </w:p>
        </w:tc>
        <w:tc>
          <w:tcPr>
            <w:tcW w:w="2160" w:type="dxa"/>
          </w:tcPr>
          <w:p w14:paraId="29FAB61B" w14:textId="77777777" w:rsidR="00DF49A1" w:rsidRPr="007C05CC" w:rsidRDefault="00DF49A1" w:rsidP="00DF49A1">
            <w:pPr>
              <w:spacing w:line="276" w:lineRule="auto"/>
              <w:rPr>
                <w:rFonts w:ascii="Arial" w:hAnsi="Arial" w:cs="Arial"/>
                <w:color w:val="000000"/>
                <w:sz w:val="20"/>
                <w:szCs w:val="20"/>
                <w:shd w:val="clear" w:color="auto" w:fill="FFFFFF"/>
              </w:rPr>
            </w:pPr>
            <w:proofErr w:type="spellStart"/>
            <w:r w:rsidRPr="007C05CC">
              <w:rPr>
                <w:rFonts w:ascii="Arial" w:hAnsi="Arial" w:cs="Arial"/>
                <w:color w:val="000000"/>
                <w:sz w:val="20"/>
                <w:szCs w:val="20"/>
                <w:shd w:val="clear" w:color="auto" w:fill="FFFFFF"/>
              </w:rPr>
              <w:t>Chittur</w:t>
            </w:r>
            <w:proofErr w:type="spellEnd"/>
            <w:r w:rsidRPr="007C05CC">
              <w:rPr>
                <w:rFonts w:ascii="Arial" w:hAnsi="Arial" w:cs="Arial"/>
                <w:color w:val="000000"/>
                <w:sz w:val="20"/>
                <w:szCs w:val="20"/>
                <w:shd w:val="clear" w:color="auto" w:fill="FFFFFF"/>
              </w:rPr>
              <w:t xml:space="preserve"> </w:t>
            </w:r>
            <w:proofErr w:type="spellStart"/>
            <w:r w:rsidRPr="007C05CC">
              <w:rPr>
                <w:rFonts w:ascii="Arial" w:hAnsi="Arial" w:cs="Arial"/>
                <w:color w:val="000000"/>
                <w:sz w:val="20"/>
                <w:szCs w:val="20"/>
                <w:shd w:val="clear" w:color="auto" w:fill="FFFFFF"/>
              </w:rPr>
              <w:t>Muncipality</w:t>
            </w:r>
            <w:proofErr w:type="spellEnd"/>
          </w:p>
        </w:tc>
        <w:tc>
          <w:tcPr>
            <w:tcW w:w="1260" w:type="dxa"/>
          </w:tcPr>
          <w:p w14:paraId="1228FD0F"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10.678</w:t>
            </w:r>
          </w:p>
        </w:tc>
        <w:tc>
          <w:tcPr>
            <w:tcW w:w="1260" w:type="dxa"/>
          </w:tcPr>
          <w:p w14:paraId="4980D45B"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76.701</w:t>
            </w:r>
          </w:p>
        </w:tc>
        <w:tc>
          <w:tcPr>
            <w:tcW w:w="1260" w:type="dxa"/>
          </w:tcPr>
          <w:p w14:paraId="6E5F91D4"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Bore well</w:t>
            </w:r>
          </w:p>
        </w:tc>
        <w:tc>
          <w:tcPr>
            <w:tcW w:w="1260" w:type="dxa"/>
          </w:tcPr>
          <w:p w14:paraId="636A6BFF"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117</w:t>
            </w:r>
          </w:p>
        </w:tc>
      </w:tr>
      <w:tr w:rsidR="00DF49A1" w:rsidRPr="007C05CC" w14:paraId="339DC237" w14:textId="77777777" w:rsidTr="00DF49A1">
        <w:tc>
          <w:tcPr>
            <w:tcW w:w="624" w:type="dxa"/>
          </w:tcPr>
          <w:p w14:paraId="09AF3DEC"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6</w:t>
            </w:r>
          </w:p>
        </w:tc>
        <w:tc>
          <w:tcPr>
            <w:tcW w:w="1423" w:type="dxa"/>
          </w:tcPr>
          <w:p w14:paraId="22E735DE"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151</w:t>
            </w:r>
          </w:p>
        </w:tc>
        <w:tc>
          <w:tcPr>
            <w:tcW w:w="2160" w:type="dxa"/>
          </w:tcPr>
          <w:p w14:paraId="1B0A42CB" w14:textId="77777777" w:rsidR="00DF49A1" w:rsidRPr="007C05CC" w:rsidRDefault="00DF49A1" w:rsidP="00DF49A1">
            <w:pPr>
              <w:spacing w:line="276" w:lineRule="auto"/>
              <w:rPr>
                <w:rFonts w:ascii="Arial" w:hAnsi="Arial" w:cs="Arial"/>
                <w:color w:val="000000"/>
                <w:sz w:val="20"/>
                <w:szCs w:val="20"/>
                <w:shd w:val="clear" w:color="auto" w:fill="FFFFFF"/>
              </w:rPr>
            </w:pPr>
            <w:proofErr w:type="spellStart"/>
            <w:r w:rsidRPr="007C05CC">
              <w:rPr>
                <w:rFonts w:ascii="Arial" w:hAnsi="Arial" w:cs="Arial"/>
                <w:color w:val="000000"/>
                <w:sz w:val="20"/>
                <w:szCs w:val="20"/>
                <w:shd w:val="clear" w:color="auto" w:fill="FFFFFF"/>
              </w:rPr>
              <w:t>Nallepilly</w:t>
            </w:r>
            <w:proofErr w:type="spellEnd"/>
          </w:p>
        </w:tc>
        <w:tc>
          <w:tcPr>
            <w:tcW w:w="1260" w:type="dxa"/>
          </w:tcPr>
          <w:p w14:paraId="73B1219C"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10.728</w:t>
            </w:r>
          </w:p>
        </w:tc>
        <w:tc>
          <w:tcPr>
            <w:tcW w:w="1260" w:type="dxa"/>
          </w:tcPr>
          <w:p w14:paraId="6D6362E4"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76.779</w:t>
            </w:r>
          </w:p>
        </w:tc>
        <w:tc>
          <w:tcPr>
            <w:tcW w:w="1260" w:type="dxa"/>
          </w:tcPr>
          <w:p w14:paraId="18D5C389"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Bore well</w:t>
            </w:r>
          </w:p>
        </w:tc>
        <w:tc>
          <w:tcPr>
            <w:tcW w:w="1260" w:type="dxa"/>
          </w:tcPr>
          <w:p w14:paraId="5BBB183D"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118</w:t>
            </w:r>
          </w:p>
        </w:tc>
      </w:tr>
      <w:tr w:rsidR="00DF49A1" w:rsidRPr="007C05CC" w14:paraId="3EF08B79" w14:textId="77777777" w:rsidTr="00DF49A1">
        <w:tc>
          <w:tcPr>
            <w:tcW w:w="624" w:type="dxa"/>
          </w:tcPr>
          <w:p w14:paraId="46307A97"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7</w:t>
            </w:r>
          </w:p>
        </w:tc>
        <w:tc>
          <w:tcPr>
            <w:tcW w:w="1423" w:type="dxa"/>
          </w:tcPr>
          <w:p w14:paraId="4CDBDF0D"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PKD S-6</w:t>
            </w:r>
          </w:p>
        </w:tc>
        <w:tc>
          <w:tcPr>
            <w:tcW w:w="2160" w:type="dxa"/>
          </w:tcPr>
          <w:p w14:paraId="2A08DAA7" w14:textId="77777777" w:rsidR="00DF49A1" w:rsidRPr="007C05CC" w:rsidRDefault="00DF49A1" w:rsidP="00DF49A1">
            <w:pPr>
              <w:spacing w:line="276" w:lineRule="auto"/>
              <w:rPr>
                <w:rFonts w:ascii="Arial" w:hAnsi="Arial" w:cs="Arial"/>
                <w:color w:val="000000"/>
                <w:sz w:val="20"/>
                <w:szCs w:val="20"/>
                <w:shd w:val="clear" w:color="auto" w:fill="FFFFFF"/>
              </w:rPr>
            </w:pPr>
            <w:proofErr w:type="spellStart"/>
            <w:r w:rsidRPr="007C05CC">
              <w:rPr>
                <w:rFonts w:ascii="Arial" w:hAnsi="Arial" w:cs="Arial"/>
                <w:color w:val="000000"/>
                <w:sz w:val="20"/>
                <w:szCs w:val="20"/>
                <w:shd w:val="clear" w:color="auto" w:fill="FFFFFF"/>
              </w:rPr>
              <w:t>Kozhinjampara</w:t>
            </w:r>
            <w:proofErr w:type="spellEnd"/>
          </w:p>
        </w:tc>
        <w:tc>
          <w:tcPr>
            <w:tcW w:w="1260" w:type="dxa"/>
          </w:tcPr>
          <w:p w14:paraId="30B905D8"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10.757</w:t>
            </w:r>
          </w:p>
        </w:tc>
        <w:tc>
          <w:tcPr>
            <w:tcW w:w="1260" w:type="dxa"/>
          </w:tcPr>
          <w:p w14:paraId="45220CC1"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76.751</w:t>
            </w:r>
          </w:p>
        </w:tc>
        <w:tc>
          <w:tcPr>
            <w:tcW w:w="1260" w:type="dxa"/>
          </w:tcPr>
          <w:p w14:paraId="4650276C"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Dug well</w:t>
            </w:r>
          </w:p>
        </w:tc>
        <w:tc>
          <w:tcPr>
            <w:tcW w:w="1260" w:type="dxa"/>
          </w:tcPr>
          <w:p w14:paraId="0C0535E0"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125</w:t>
            </w:r>
          </w:p>
        </w:tc>
      </w:tr>
      <w:tr w:rsidR="00DF49A1" w:rsidRPr="007C05CC" w14:paraId="0CD8D5C6" w14:textId="77777777" w:rsidTr="00DF49A1">
        <w:tc>
          <w:tcPr>
            <w:tcW w:w="624" w:type="dxa"/>
          </w:tcPr>
          <w:p w14:paraId="2D23642B"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8</w:t>
            </w:r>
          </w:p>
        </w:tc>
        <w:tc>
          <w:tcPr>
            <w:tcW w:w="1423" w:type="dxa"/>
          </w:tcPr>
          <w:p w14:paraId="41C69CD6"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PKD S-7</w:t>
            </w:r>
          </w:p>
        </w:tc>
        <w:tc>
          <w:tcPr>
            <w:tcW w:w="2160" w:type="dxa"/>
          </w:tcPr>
          <w:p w14:paraId="7B7BA810" w14:textId="77777777" w:rsidR="00DF49A1" w:rsidRPr="007C05CC" w:rsidRDefault="00DF49A1" w:rsidP="00DF49A1">
            <w:pPr>
              <w:spacing w:line="276" w:lineRule="auto"/>
              <w:rPr>
                <w:rFonts w:ascii="Arial" w:hAnsi="Arial" w:cs="Arial"/>
                <w:color w:val="000000"/>
                <w:sz w:val="20"/>
                <w:szCs w:val="20"/>
                <w:shd w:val="clear" w:color="auto" w:fill="FFFFFF"/>
              </w:rPr>
            </w:pPr>
            <w:proofErr w:type="spellStart"/>
            <w:r w:rsidRPr="007C05CC">
              <w:rPr>
                <w:rFonts w:ascii="Arial" w:hAnsi="Arial" w:cs="Arial"/>
                <w:color w:val="000000"/>
                <w:sz w:val="20"/>
                <w:szCs w:val="20"/>
                <w:shd w:val="clear" w:color="auto" w:fill="FFFFFF"/>
              </w:rPr>
              <w:t>Kozhinjampara</w:t>
            </w:r>
            <w:proofErr w:type="spellEnd"/>
          </w:p>
        </w:tc>
        <w:tc>
          <w:tcPr>
            <w:tcW w:w="1260" w:type="dxa"/>
          </w:tcPr>
          <w:p w14:paraId="51EB6459"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10.736</w:t>
            </w:r>
          </w:p>
        </w:tc>
        <w:tc>
          <w:tcPr>
            <w:tcW w:w="1260" w:type="dxa"/>
          </w:tcPr>
          <w:p w14:paraId="4E7591F5"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76.833</w:t>
            </w:r>
          </w:p>
        </w:tc>
        <w:tc>
          <w:tcPr>
            <w:tcW w:w="1260" w:type="dxa"/>
          </w:tcPr>
          <w:p w14:paraId="0F6D45DD"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Dug well</w:t>
            </w:r>
          </w:p>
        </w:tc>
        <w:tc>
          <w:tcPr>
            <w:tcW w:w="1260" w:type="dxa"/>
          </w:tcPr>
          <w:p w14:paraId="6E1DEB4D"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152</w:t>
            </w:r>
          </w:p>
        </w:tc>
      </w:tr>
      <w:tr w:rsidR="00DF49A1" w:rsidRPr="007C05CC" w14:paraId="34196656" w14:textId="77777777" w:rsidTr="00DF49A1">
        <w:tc>
          <w:tcPr>
            <w:tcW w:w="624" w:type="dxa"/>
          </w:tcPr>
          <w:p w14:paraId="758DB683"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9</w:t>
            </w:r>
          </w:p>
        </w:tc>
        <w:tc>
          <w:tcPr>
            <w:tcW w:w="1423" w:type="dxa"/>
          </w:tcPr>
          <w:p w14:paraId="589FB886"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PKD S-8</w:t>
            </w:r>
          </w:p>
        </w:tc>
        <w:tc>
          <w:tcPr>
            <w:tcW w:w="2160" w:type="dxa"/>
          </w:tcPr>
          <w:p w14:paraId="0276CD1E" w14:textId="77777777" w:rsidR="00DF49A1" w:rsidRPr="007C05CC" w:rsidRDefault="00DF49A1" w:rsidP="00DF49A1">
            <w:pPr>
              <w:spacing w:line="276" w:lineRule="auto"/>
              <w:rPr>
                <w:rFonts w:ascii="Arial" w:hAnsi="Arial" w:cs="Arial"/>
                <w:color w:val="000000"/>
                <w:sz w:val="20"/>
                <w:szCs w:val="20"/>
                <w:shd w:val="clear" w:color="auto" w:fill="FFFFFF"/>
              </w:rPr>
            </w:pPr>
            <w:proofErr w:type="spellStart"/>
            <w:r w:rsidRPr="007C05CC">
              <w:rPr>
                <w:rFonts w:ascii="Arial" w:hAnsi="Arial" w:cs="Arial"/>
                <w:color w:val="000000"/>
                <w:sz w:val="20"/>
                <w:szCs w:val="20"/>
                <w:shd w:val="clear" w:color="auto" w:fill="FFFFFF"/>
              </w:rPr>
              <w:t>Perumatty</w:t>
            </w:r>
            <w:proofErr w:type="spellEnd"/>
          </w:p>
        </w:tc>
        <w:tc>
          <w:tcPr>
            <w:tcW w:w="1260" w:type="dxa"/>
          </w:tcPr>
          <w:p w14:paraId="22A7A29C"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10.652</w:t>
            </w:r>
          </w:p>
        </w:tc>
        <w:tc>
          <w:tcPr>
            <w:tcW w:w="1260" w:type="dxa"/>
          </w:tcPr>
          <w:p w14:paraId="141602AF"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76.752</w:t>
            </w:r>
          </w:p>
        </w:tc>
        <w:tc>
          <w:tcPr>
            <w:tcW w:w="1260" w:type="dxa"/>
          </w:tcPr>
          <w:p w14:paraId="2B71AD0C"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Dug well</w:t>
            </w:r>
          </w:p>
        </w:tc>
        <w:tc>
          <w:tcPr>
            <w:tcW w:w="1260" w:type="dxa"/>
          </w:tcPr>
          <w:p w14:paraId="4308650C" w14:textId="77777777" w:rsidR="00DF49A1" w:rsidRPr="007C05CC" w:rsidRDefault="00DF49A1" w:rsidP="00DF49A1">
            <w:pPr>
              <w:spacing w:line="276" w:lineRule="auto"/>
              <w:rPr>
                <w:rFonts w:ascii="Arial" w:hAnsi="Arial" w:cs="Arial"/>
                <w:color w:val="000000"/>
                <w:sz w:val="20"/>
                <w:szCs w:val="20"/>
                <w:shd w:val="clear" w:color="auto" w:fill="FFFFFF"/>
              </w:rPr>
            </w:pPr>
            <w:r w:rsidRPr="007C05CC">
              <w:rPr>
                <w:rFonts w:ascii="Arial" w:hAnsi="Arial" w:cs="Arial"/>
                <w:color w:val="000000"/>
                <w:sz w:val="20"/>
                <w:szCs w:val="20"/>
                <w:shd w:val="clear" w:color="auto" w:fill="FFFFFF"/>
              </w:rPr>
              <w:t>143</w:t>
            </w:r>
          </w:p>
        </w:tc>
      </w:tr>
    </w:tbl>
    <w:p w14:paraId="4D77B713" w14:textId="77777777" w:rsidR="00DF49A1" w:rsidRDefault="00DF49A1" w:rsidP="00DF49A1">
      <w:pPr>
        <w:spacing w:before="240" w:line="360" w:lineRule="auto"/>
        <w:jc w:val="center"/>
        <w:rPr>
          <w:rFonts w:ascii="Times New Roman" w:hAnsi="Times New Roman" w:cs="Times New Roman"/>
          <w:sz w:val="24"/>
        </w:rPr>
      </w:pPr>
      <w:r w:rsidRPr="00CD2725">
        <w:rPr>
          <w:rFonts w:ascii="Times New Roman" w:hAnsi="Times New Roman" w:cs="Times New Roman"/>
          <w:noProof/>
          <w:color w:val="000000"/>
          <w:sz w:val="24"/>
          <w:szCs w:val="23"/>
          <w:shd w:val="clear" w:color="auto" w:fill="FFFFFF"/>
        </w:rPr>
        <w:drawing>
          <wp:inline distT="0" distB="0" distL="0" distR="0" wp14:anchorId="42962AE0" wp14:editId="15F7B16A">
            <wp:extent cx="2990850" cy="3870365"/>
            <wp:effectExtent l="19050" t="19050" r="19050" b="1587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2495" cy="3911316"/>
                    </a:xfrm>
                    <a:prstGeom prst="rect">
                      <a:avLst/>
                    </a:prstGeom>
                    <a:ln>
                      <a:solidFill>
                        <a:schemeClr val="tx1"/>
                      </a:solidFill>
                    </a:ln>
                  </pic:spPr>
                </pic:pic>
              </a:graphicData>
            </a:graphic>
          </wp:inline>
        </w:drawing>
      </w:r>
    </w:p>
    <w:p w14:paraId="04B738D6" w14:textId="77777777" w:rsidR="00DF49A1" w:rsidRPr="007C05CC" w:rsidRDefault="00DF49A1" w:rsidP="00DF49A1">
      <w:pPr>
        <w:tabs>
          <w:tab w:val="left" w:pos="945"/>
          <w:tab w:val="center" w:pos="4320"/>
        </w:tabs>
        <w:spacing w:after="0"/>
        <w:rPr>
          <w:rFonts w:ascii="Arial" w:hAnsi="Arial" w:cs="Arial"/>
          <w:b/>
          <w:color w:val="000000"/>
          <w:sz w:val="24"/>
          <w:szCs w:val="23"/>
          <w:shd w:val="clear" w:color="auto" w:fill="FFFFFF"/>
        </w:rPr>
      </w:pPr>
      <w:r>
        <w:rPr>
          <w:rFonts w:ascii="Times New Roman" w:hAnsi="Times New Roman" w:cs="Times New Roman"/>
          <w:b/>
          <w:color w:val="000000"/>
          <w:sz w:val="24"/>
          <w:szCs w:val="23"/>
          <w:shd w:val="clear" w:color="auto" w:fill="FFFFFF"/>
        </w:rPr>
        <w:tab/>
      </w:r>
      <w:r>
        <w:rPr>
          <w:rFonts w:ascii="Times New Roman" w:hAnsi="Times New Roman" w:cs="Times New Roman"/>
          <w:b/>
          <w:color w:val="000000"/>
          <w:sz w:val="24"/>
          <w:szCs w:val="23"/>
          <w:shd w:val="clear" w:color="auto" w:fill="FFFFFF"/>
        </w:rPr>
        <w:tab/>
      </w:r>
      <w:r w:rsidRPr="007C05CC">
        <w:rPr>
          <w:rFonts w:ascii="Arial" w:hAnsi="Arial" w:cs="Arial"/>
          <w:b/>
          <w:color w:val="000000"/>
          <w:sz w:val="20"/>
          <w:szCs w:val="23"/>
          <w:shd w:val="clear" w:color="auto" w:fill="FFFFFF"/>
        </w:rPr>
        <w:t xml:space="preserve">Fig. 2 Location map of observation wells in the </w:t>
      </w:r>
      <w:proofErr w:type="spellStart"/>
      <w:r w:rsidRPr="007C05CC">
        <w:rPr>
          <w:rFonts w:ascii="Arial" w:hAnsi="Arial" w:cs="Arial"/>
          <w:b/>
          <w:color w:val="000000"/>
          <w:sz w:val="20"/>
          <w:szCs w:val="23"/>
          <w:shd w:val="clear" w:color="auto" w:fill="FFFFFF"/>
        </w:rPr>
        <w:t>Chittur</w:t>
      </w:r>
      <w:proofErr w:type="spellEnd"/>
      <w:r w:rsidRPr="007C05CC">
        <w:rPr>
          <w:rFonts w:ascii="Arial" w:hAnsi="Arial" w:cs="Arial"/>
          <w:b/>
          <w:color w:val="000000"/>
          <w:sz w:val="20"/>
          <w:szCs w:val="23"/>
          <w:shd w:val="clear" w:color="auto" w:fill="FFFFFF"/>
        </w:rPr>
        <w:t xml:space="preserve"> block</w:t>
      </w:r>
    </w:p>
    <w:p w14:paraId="040C108F" w14:textId="77777777" w:rsidR="00DF49A1" w:rsidRDefault="00DF49A1" w:rsidP="00DF49A1">
      <w:pPr>
        <w:tabs>
          <w:tab w:val="left" w:pos="945"/>
          <w:tab w:val="center" w:pos="4320"/>
        </w:tabs>
        <w:spacing w:after="0"/>
        <w:rPr>
          <w:rFonts w:ascii="Times New Roman" w:hAnsi="Times New Roman" w:cs="Times New Roman"/>
          <w:b/>
          <w:color w:val="000000"/>
          <w:sz w:val="24"/>
          <w:szCs w:val="23"/>
          <w:shd w:val="clear" w:color="auto" w:fill="FFFFFF"/>
        </w:rPr>
      </w:pPr>
    </w:p>
    <w:p w14:paraId="5DE3F4DF" w14:textId="77777777" w:rsidR="00DF49A1" w:rsidRPr="007C05CC" w:rsidRDefault="00DF49A1" w:rsidP="00DF49A1">
      <w:pPr>
        <w:tabs>
          <w:tab w:val="left" w:pos="945"/>
          <w:tab w:val="center" w:pos="4320"/>
        </w:tabs>
        <w:spacing w:after="0"/>
        <w:rPr>
          <w:rFonts w:ascii="Arial" w:hAnsi="Arial" w:cs="Arial"/>
          <w:b/>
          <w:color w:val="000000"/>
          <w:szCs w:val="23"/>
          <w:shd w:val="clear" w:color="auto" w:fill="FFFFFF"/>
        </w:rPr>
      </w:pPr>
      <w:r w:rsidRPr="007C05CC">
        <w:rPr>
          <w:rFonts w:ascii="Arial" w:hAnsi="Arial" w:cs="Arial"/>
          <w:b/>
          <w:color w:val="000000"/>
          <w:szCs w:val="23"/>
          <w:shd w:val="clear" w:color="auto" w:fill="FFFFFF"/>
        </w:rPr>
        <w:t xml:space="preserve">3.2 Overall conceptual framework of the study </w:t>
      </w:r>
    </w:p>
    <w:p w14:paraId="0D35EE53" w14:textId="77777777" w:rsidR="00DF49A1" w:rsidRDefault="00DF49A1" w:rsidP="00DF49A1">
      <w:pPr>
        <w:tabs>
          <w:tab w:val="left" w:pos="945"/>
          <w:tab w:val="center" w:pos="4320"/>
        </w:tabs>
        <w:spacing w:after="0"/>
        <w:rPr>
          <w:rFonts w:ascii="Times New Roman" w:hAnsi="Times New Roman" w:cs="Times New Roman"/>
          <w:b/>
          <w:color w:val="000000"/>
          <w:sz w:val="24"/>
          <w:szCs w:val="23"/>
          <w:shd w:val="clear" w:color="auto" w:fill="FFFFFF"/>
        </w:rPr>
      </w:pPr>
    </w:p>
    <w:p w14:paraId="69049B6D" w14:textId="77777777" w:rsidR="00DF49A1" w:rsidRPr="007C05CC" w:rsidRDefault="00DF49A1" w:rsidP="00DF49A1">
      <w:pPr>
        <w:tabs>
          <w:tab w:val="left" w:pos="945"/>
          <w:tab w:val="center" w:pos="4320"/>
        </w:tabs>
        <w:spacing w:after="0" w:line="360" w:lineRule="auto"/>
        <w:jc w:val="both"/>
        <w:rPr>
          <w:rFonts w:ascii="Arial" w:hAnsi="Arial" w:cs="Arial"/>
          <w:b/>
          <w:color w:val="000000"/>
          <w:sz w:val="20"/>
          <w:szCs w:val="23"/>
          <w:shd w:val="clear" w:color="auto" w:fill="FFFFFF"/>
        </w:rPr>
      </w:pPr>
      <w:r>
        <w:rPr>
          <w:rFonts w:ascii="Times New Roman" w:hAnsi="Times New Roman" w:cs="Times New Roman"/>
          <w:bCs/>
          <w:color w:val="000000"/>
          <w:sz w:val="24"/>
          <w:szCs w:val="23"/>
          <w:shd w:val="clear" w:color="auto" w:fill="FFFFFF"/>
        </w:rPr>
        <w:tab/>
      </w:r>
      <w:r w:rsidRPr="007C05CC">
        <w:rPr>
          <w:rFonts w:ascii="Arial" w:hAnsi="Arial" w:cs="Arial"/>
          <w:bCs/>
          <w:color w:val="000000"/>
          <w:sz w:val="20"/>
          <w:szCs w:val="23"/>
          <w:shd w:val="clear" w:color="auto" w:fill="FFFFFF"/>
        </w:rPr>
        <w:t xml:space="preserve">To evaluate seasonal variation, the monthly data were organized into two distinct hydrologic periods:  1. Pre-Monsoon season- data representing the lowest annual water </w:t>
      </w:r>
      <w:r w:rsidRPr="00C71BA7">
        <w:rPr>
          <w:rFonts w:ascii="Arial" w:hAnsi="Arial" w:cs="Arial"/>
          <w:bCs/>
          <w:color w:val="000000"/>
          <w:sz w:val="20"/>
          <w:szCs w:val="23"/>
          <w:shd w:val="clear" w:color="auto" w:fill="FFFFFF"/>
        </w:rPr>
        <w:t>table</w:t>
      </w:r>
      <w:r w:rsidRPr="007C05CC">
        <w:rPr>
          <w:rFonts w:ascii="Arial" w:hAnsi="Arial" w:cs="Arial"/>
          <w:bCs/>
          <w:color w:val="000000"/>
          <w:sz w:val="20"/>
          <w:szCs w:val="23"/>
          <w:shd w:val="clear" w:color="auto" w:fill="FFFFFF"/>
        </w:rPr>
        <w:t xml:space="preserve"> levels, typically recorded during March -May, 2. Post-Monsoon Season- data representing the highest yearly water </w:t>
      </w:r>
      <w:r w:rsidRPr="00C71BA7">
        <w:rPr>
          <w:rFonts w:ascii="Arial" w:hAnsi="Arial" w:cs="Arial"/>
          <w:bCs/>
          <w:color w:val="000000"/>
          <w:sz w:val="20"/>
          <w:szCs w:val="23"/>
          <w:shd w:val="clear" w:color="auto" w:fill="FFFFFF"/>
        </w:rPr>
        <w:t>table</w:t>
      </w:r>
      <w:r w:rsidRPr="007C05CC">
        <w:rPr>
          <w:rFonts w:ascii="Arial" w:hAnsi="Arial" w:cs="Arial"/>
          <w:bCs/>
          <w:color w:val="000000"/>
          <w:sz w:val="20"/>
          <w:szCs w:val="23"/>
          <w:shd w:val="clear" w:color="auto" w:fill="FFFFFF"/>
        </w:rPr>
        <w:t xml:space="preserve"> levels, typically recorded in October -November. A schematic representation of the overall workflow is organized in Fig.3.</w:t>
      </w:r>
      <w:r w:rsidR="007C05CC">
        <w:rPr>
          <w:rFonts w:ascii="Arial" w:hAnsi="Arial" w:cs="Arial"/>
          <w:bCs/>
          <w:color w:val="000000"/>
          <w:sz w:val="20"/>
          <w:szCs w:val="23"/>
          <w:shd w:val="clear" w:color="auto" w:fill="FFFFFF"/>
        </w:rPr>
        <w:t xml:space="preserve"> </w:t>
      </w:r>
      <w:r w:rsidRPr="007C05CC">
        <w:rPr>
          <w:rFonts w:ascii="Arial" w:hAnsi="Arial" w:cs="Arial"/>
          <w:bCs/>
          <w:color w:val="000000"/>
          <w:sz w:val="20"/>
          <w:szCs w:val="23"/>
          <w:shd w:val="clear" w:color="auto" w:fill="FFFFFF"/>
        </w:rPr>
        <w:t xml:space="preserve">The water level data were subjected to both statistical (temporal) and spatial analysis. ArcGIS 10.3 </w:t>
      </w:r>
      <w:r w:rsidRPr="007C05CC">
        <w:rPr>
          <w:rFonts w:ascii="Arial" w:hAnsi="Arial" w:cs="Arial"/>
          <w:bCs/>
          <w:color w:val="000000"/>
          <w:sz w:val="20"/>
          <w:szCs w:val="23"/>
          <w:shd w:val="clear" w:color="auto" w:fill="FFFFFF"/>
        </w:rPr>
        <w:lastRenderedPageBreak/>
        <w:t>was used for spatial data analysis and preparation of spatial maps. Microsoft Excel was used to show temporal variation graphs and to detect trends.</w:t>
      </w:r>
    </w:p>
    <w:p w14:paraId="70CB840E" w14:textId="77777777" w:rsidR="00DF49A1" w:rsidRDefault="00DF49A1" w:rsidP="00DF49A1">
      <w:pPr>
        <w:tabs>
          <w:tab w:val="left" w:pos="945"/>
          <w:tab w:val="center" w:pos="4320"/>
        </w:tabs>
        <w:spacing w:after="0"/>
        <w:rPr>
          <w:rFonts w:ascii="Times New Roman" w:hAnsi="Times New Roman" w:cs="Times New Roman"/>
          <w:b/>
          <w:color w:val="000000"/>
          <w:sz w:val="24"/>
          <w:szCs w:val="23"/>
          <w:shd w:val="clear" w:color="auto" w:fill="FFFFFF"/>
        </w:rPr>
      </w:pPr>
    </w:p>
    <w:p w14:paraId="4A95F6A9" w14:textId="77777777" w:rsidR="00DF49A1" w:rsidRDefault="00DF49A1" w:rsidP="00DF49A1">
      <w:pPr>
        <w:spacing w:line="360" w:lineRule="auto"/>
        <w:jc w:val="center"/>
        <w:rPr>
          <w:rFonts w:ascii="Times New Roman" w:hAnsi="Times New Roman" w:cs="Times New Roman"/>
          <w:b/>
          <w:sz w:val="28"/>
        </w:rPr>
      </w:pPr>
      <w:r>
        <w:rPr>
          <w:noProof/>
        </w:rPr>
        <w:drawing>
          <wp:inline distT="0" distB="0" distL="0" distR="0" wp14:anchorId="5A5DE169" wp14:editId="5E9D51EF">
            <wp:extent cx="5943600" cy="3833495"/>
            <wp:effectExtent l="19050" t="19050" r="1905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33495"/>
                    </a:xfrm>
                    <a:prstGeom prst="rect">
                      <a:avLst/>
                    </a:prstGeom>
                    <a:ln>
                      <a:solidFill>
                        <a:schemeClr val="tx1"/>
                      </a:solidFill>
                    </a:ln>
                  </pic:spPr>
                </pic:pic>
              </a:graphicData>
            </a:graphic>
          </wp:inline>
        </w:drawing>
      </w:r>
    </w:p>
    <w:p w14:paraId="762488AF" w14:textId="77777777" w:rsidR="00DF49A1" w:rsidRPr="007C05CC" w:rsidRDefault="00DF49A1" w:rsidP="00DF49A1">
      <w:pPr>
        <w:spacing w:line="360" w:lineRule="auto"/>
        <w:jc w:val="center"/>
        <w:rPr>
          <w:rFonts w:ascii="Arial" w:hAnsi="Arial" w:cs="Arial"/>
          <w:b/>
          <w:sz w:val="20"/>
          <w:szCs w:val="24"/>
        </w:rPr>
      </w:pPr>
      <w:r w:rsidRPr="007C05CC">
        <w:rPr>
          <w:rFonts w:ascii="Arial" w:hAnsi="Arial" w:cs="Arial"/>
          <w:b/>
          <w:sz w:val="20"/>
          <w:szCs w:val="24"/>
        </w:rPr>
        <w:t>Fig. 3. Detailed methodology of the present research work</w:t>
      </w:r>
    </w:p>
    <w:p w14:paraId="729C92DD" w14:textId="77777777" w:rsidR="00DF49A1" w:rsidRPr="007C05CC" w:rsidRDefault="00DF49A1" w:rsidP="00DF49A1">
      <w:pPr>
        <w:spacing w:before="240" w:line="360" w:lineRule="auto"/>
        <w:jc w:val="both"/>
        <w:rPr>
          <w:rFonts w:ascii="Arial" w:hAnsi="Arial" w:cs="Arial"/>
          <w:b/>
        </w:rPr>
      </w:pPr>
      <w:r w:rsidRPr="007C05CC">
        <w:rPr>
          <w:rFonts w:ascii="Arial" w:hAnsi="Arial" w:cs="Arial"/>
          <w:b/>
        </w:rPr>
        <w:t>3.3 Spatial Interpolation and Mapping</w:t>
      </w:r>
    </w:p>
    <w:p w14:paraId="7BBB1AB3" w14:textId="77777777" w:rsidR="00DF49A1" w:rsidRPr="007C05CC" w:rsidRDefault="00DF49A1" w:rsidP="007C05CC">
      <w:pPr>
        <w:spacing w:before="240" w:line="360" w:lineRule="auto"/>
        <w:ind w:firstLine="720"/>
        <w:jc w:val="both"/>
        <w:rPr>
          <w:rFonts w:ascii="Arial" w:hAnsi="Arial" w:cs="Arial"/>
          <w:bCs/>
          <w:sz w:val="20"/>
        </w:rPr>
      </w:pPr>
      <w:r w:rsidRPr="007C05CC">
        <w:rPr>
          <w:rFonts w:ascii="Arial" w:hAnsi="Arial" w:cs="Arial"/>
          <w:bCs/>
          <w:sz w:val="20"/>
        </w:rPr>
        <w:t xml:space="preserve">Geospatial technique is an important approach for groundwater management studies in recent years (Karunanidhi </w:t>
      </w:r>
      <w:r w:rsidRPr="007C05CC">
        <w:rPr>
          <w:rFonts w:ascii="Arial" w:hAnsi="Arial" w:cs="Arial"/>
          <w:bCs/>
          <w:i/>
          <w:iCs/>
          <w:sz w:val="20"/>
        </w:rPr>
        <w:t>et al</w:t>
      </w:r>
      <w:r w:rsidRPr="007C05CC">
        <w:rPr>
          <w:rFonts w:ascii="Arial" w:hAnsi="Arial" w:cs="Arial"/>
          <w:bCs/>
          <w:sz w:val="20"/>
        </w:rPr>
        <w:t xml:space="preserve">., 2012; Subramani </w:t>
      </w:r>
      <w:r w:rsidRPr="007C05CC">
        <w:rPr>
          <w:rFonts w:ascii="Arial" w:hAnsi="Arial" w:cs="Arial"/>
          <w:bCs/>
          <w:i/>
          <w:iCs/>
          <w:sz w:val="20"/>
        </w:rPr>
        <w:t>et al</w:t>
      </w:r>
      <w:r w:rsidRPr="007C05CC">
        <w:rPr>
          <w:rFonts w:ascii="Arial" w:hAnsi="Arial" w:cs="Arial"/>
          <w:bCs/>
          <w:sz w:val="20"/>
        </w:rPr>
        <w:t>., 2013). Spatial analysis tool in the Geographical Information System (GIS) was used to study the spatiotemporal variation of groundwater levels over the period of 29 years (1994–2022). The mean annual and mean seasonal (pre- and post-monsoon) water level depths were computed for all nine wells. The pre-monsoon (Mar-May) and post-monsoon (Oct-Nov) water level trends were separately mapped using ArcGIS 10.3.</w:t>
      </w:r>
    </w:p>
    <w:p w14:paraId="53FC2CF4" w14:textId="77777777" w:rsidR="00DF49A1" w:rsidRPr="007C05CC" w:rsidRDefault="00DF49A1" w:rsidP="007C05CC">
      <w:pPr>
        <w:spacing w:before="240" w:line="360" w:lineRule="auto"/>
        <w:ind w:firstLine="720"/>
        <w:jc w:val="both"/>
        <w:rPr>
          <w:rFonts w:ascii="Arial" w:hAnsi="Arial" w:cs="Arial"/>
          <w:bCs/>
          <w:sz w:val="20"/>
        </w:rPr>
      </w:pPr>
      <w:r w:rsidRPr="007C05CC">
        <w:rPr>
          <w:rFonts w:ascii="Arial" w:hAnsi="Arial" w:cs="Arial"/>
          <w:bCs/>
          <w:sz w:val="20"/>
        </w:rPr>
        <w:t xml:space="preserve">The Inverse Distance Weighting (IDW) interpolation technique was applied to generate continuous groundwater level maps (piezometric maps). IDW is an accurate deterministic method that estimates cell values using a linear combination of values at known sample points, with the weight of each point inversely proportional to the distance from the cell being estimated. This approach allowed for the clear identification of high-demand (deeper water </w:t>
      </w:r>
      <w:r w:rsidRPr="00C71BA7">
        <w:rPr>
          <w:rFonts w:ascii="Arial" w:hAnsi="Arial" w:cs="Arial"/>
          <w:bCs/>
          <w:sz w:val="20"/>
        </w:rPr>
        <w:t>table</w:t>
      </w:r>
      <w:r w:rsidRPr="007C05CC">
        <w:rPr>
          <w:rFonts w:ascii="Arial" w:hAnsi="Arial" w:cs="Arial"/>
          <w:bCs/>
          <w:sz w:val="20"/>
        </w:rPr>
        <w:t xml:space="preserve">) and high-recharge (shallower water </w:t>
      </w:r>
      <w:r w:rsidRPr="00C71BA7">
        <w:rPr>
          <w:rFonts w:ascii="Arial" w:hAnsi="Arial" w:cs="Arial"/>
          <w:bCs/>
          <w:sz w:val="20"/>
        </w:rPr>
        <w:t>table</w:t>
      </w:r>
      <w:r w:rsidRPr="007C05CC">
        <w:rPr>
          <w:rFonts w:ascii="Arial" w:hAnsi="Arial" w:cs="Arial"/>
          <w:bCs/>
          <w:sz w:val="20"/>
        </w:rPr>
        <w:t xml:space="preserve">) zones within the </w:t>
      </w:r>
      <w:proofErr w:type="spellStart"/>
      <w:r w:rsidRPr="007C05CC">
        <w:rPr>
          <w:rFonts w:ascii="Arial" w:hAnsi="Arial" w:cs="Arial"/>
          <w:bCs/>
          <w:sz w:val="20"/>
        </w:rPr>
        <w:t>Chittur</w:t>
      </w:r>
      <w:proofErr w:type="spellEnd"/>
      <w:r w:rsidRPr="007C05CC">
        <w:rPr>
          <w:rFonts w:ascii="Arial" w:hAnsi="Arial" w:cs="Arial"/>
          <w:bCs/>
          <w:sz w:val="20"/>
        </w:rPr>
        <w:t xml:space="preserve"> Block.</w:t>
      </w:r>
    </w:p>
    <w:p w14:paraId="0C556416" w14:textId="77777777" w:rsidR="00DF49A1" w:rsidRPr="007C05CC" w:rsidRDefault="00DF49A1" w:rsidP="00DF49A1">
      <w:pPr>
        <w:spacing w:line="360" w:lineRule="auto"/>
        <w:jc w:val="both"/>
        <w:rPr>
          <w:rFonts w:ascii="Arial" w:hAnsi="Arial" w:cs="Arial"/>
          <w:b/>
          <w:szCs w:val="24"/>
        </w:rPr>
      </w:pPr>
      <w:r w:rsidRPr="007C05CC">
        <w:rPr>
          <w:rFonts w:ascii="Arial" w:hAnsi="Arial" w:cs="Arial"/>
          <w:b/>
          <w:szCs w:val="24"/>
        </w:rPr>
        <w:lastRenderedPageBreak/>
        <w:t>3.4 Temporal Trend Analysis</w:t>
      </w:r>
    </w:p>
    <w:p w14:paraId="42ED527E" w14:textId="77777777" w:rsidR="00DF49A1" w:rsidRPr="007C05CC" w:rsidRDefault="00DF49A1" w:rsidP="007C05CC">
      <w:pPr>
        <w:spacing w:after="200" w:line="360" w:lineRule="auto"/>
        <w:ind w:firstLine="720"/>
        <w:jc w:val="both"/>
        <w:rPr>
          <w:rFonts w:ascii="Arial" w:hAnsi="Arial" w:cs="Arial"/>
          <w:bCs/>
          <w:sz w:val="20"/>
          <w:szCs w:val="24"/>
        </w:rPr>
      </w:pPr>
      <w:r w:rsidRPr="007C05CC">
        <w:rPr>
          <w:rFonts w:ascii="Arial" w:hAnsi="Arial" w:cs="Arial"/>
          <w:bCs/>
          <w:sz w:val="20"/>
          <w:szCs w:val="24"/>
        </w:rPr>
        <w:t xml:space="preserve">The temporal trend analysis was carried out to understand the seasonal fluctuations, long-term variations, and overall groundwater </w:t>
      </w:r>
      <w:proofErr w:type="spellStart"/>
      <w:r w:rsidRPr="007C05CC">
        <w:rPr>
          <w:rFonts w:ascii="Arial" w:hAnsi="Arial" w:cs="Arial"/>
          <w:bCs/>
          <w:sz w:val="20"/>
          <w:szCs w:val="24"/>
        </w:rPr>
        <w:t>behaviour</w:t>
      </w:r>
      <w:proofErr w:type="spellEnd"/>
      <w:r w:rsidRPr="007C05CC">
        <w:rPr>
          <w:rFonts w:ascii="Arial" w:hAnsi="Arial" w:cs="Arial"/>
          <w:bCs/>
          <w:sz w:val="20"/>
          <w:szCs w:val="24"/>
        </w:rPr>
        <w:t xml:space="preserve"> in the study area. This analysis provides valuable insights into the dynamics of groundwater recharge, extraction, and sustainability within the </w:t>
      </w:r>
      <w:proofErr w:type="spellStart"/>
      <w:r w:rsidRPr="007C05CC">
        <w:rPr>
          <w:rFonts w:ascii="Arial" w:hAnsi="Arial" w:cs="Arial"/>
          <w:bCs/>
          <w:sz w:val="20"/>
          <w:szCs w:val="24"/>
        </w:rPr>
        <w:t>Chittur</w:t>
      </w:r>
      <w:proofErr w:type="spellEnd"/>
      <w:r w:rsidRPr="007C05CC">
        <w:rPr>
          <w:rFonts w:ascii="Arial" w:hAnsi="Arial" w:cs="Arial"/>
          <w:bCs/>
          <w:sz w:val="20"/>
          <w:szCs w:val="24"/>
        </w:rPr>
        <w:t xml:space="preserve"> block. To detect statistically significant trends in the 29-years’ time series data (both annual and seasonal), the non-parametric Mann-Kendall (MK) test was employed. The MK test is widely preferred in hydrological studies as it does not require the data to be normally distributed and is less sensitive to outliers. The significance of the trend was tested at the 5% level (alpha = 0.05). The magnitude of the trend (rate of water level change per year) was estimated using Sen's Slope Estimator. This robust, non-parametric method provides an accurate measure of the linear rate of change over the study period. </w:t>
      </w:r>
    </w:p>
    <w:p w14:paraId="258295F3" w14:textId="77777777" w:rsidR="00DF49A1" w:rsidRPr="007C05CC" w:rsidRDefault="009554DE" w:rsidP="00DF49A1">
      <w:pPr>
        <w:spacing w:after="200" w:line="276" w:lineRule="auto"/>
        <w:rPr>
          <w:rFonts w:ascii="Arial" w:hAnsi="Arial" w:cs="Arial"/>
          <w:b/>
          <w:color w:val="00B050"/>
          <w:sz w:val="20"/>
          <w:szCs w:val="24"/>
          <w:u w:val="single"/>
        </w:rPr>
      </w:pPr>
      <w:r>
        <w:rPr>
          <w:rFonts w:ascii="Arial" w:hAnsi="Arial" w:cs="Arial"/>
          <w:b/>
          <w:sz w:val="20"/>
          <w:szCs w:val="24"/>
          <w:u w:val="single"/>
        </w:rPr>
        <w:t>3.4.1 Mann-Kendall Test (M</w:t>
      </w:r>
      <w:r w:rsidR="00DF49A1" w:rsidRPr="009554DE">
        <w:rPr>
          <w:rFonts w:ascii="Arial" w:hAnsi="Arial" w:cs="Arial"/>
          <w:b/>
          <w:color w:val="000000" w:themeColor="text1"/>
          <w:sz w:val="20"/>
          <w:szCs w:val="24"/>
          <w:u w:val="single"/>
        </w:rPr>
        <w:t>K</w:t>
      </w:r>
      <w:r w:rsidR="007C05CC" w:rsidRPr="009554DE">
        <w:rPr>
          <w:rFonts w:ascii="Arial" w:hAnsi="Arial" w:cs="Arial"/>
          <w:b/>
          <w:color w:val="000000" w:themeColor="text1"/>
          <w:sz w:val="20"/>
          <w:szCs w:val="24"/>
          <w:u w:val="single"/>
        </w:rPr>
        <w:t>)</w:t>
      </w:r>
    </w:p>
    <w:p w14:paraId="1DBF4D84" w14:textId="77777777" w:rsidR="00DF49A1" w:rsidRPr="007C05CC" w:rsidRDefault="00DF49A1" w:rsidP="00DF49A1">
      <w:pPr>
        <w:spacing w:after="240" w:line="360" w:lineRule="auto"/>
        <w:ind w:firstLine="720"/>
        <w:jc w:val="both"/>
        <w:rPr>
          <w:rFonts w:ascii="Arial" w:hAnsi="Arial" w:cs="Arial"/>
          <w:sz w:val="20"/>
          <w:szCs w:val="20"/>
        </w:rPr>
      </w:pPr>
      <w:r w:rsidRPr="007C05CC">
        <w:rPr>
          <w:rFonts w:ascii="Arial" w:hAnsi="Arial" w:cs="Arial"/>
          <w:sz w:val="20"/>
          <w:szCs w:val="20"/>
        </w:rPr>
        <w:t xml:space="preserve">The Mann–Kendall (M–K) test is a widely used non-parametric statistical method for detecting monotonic trends in time-series data, particularly when the data do not conform to a normal distribution. The M-K test has been extensively used in hydrological and environmental studies for analyzing trends in parameters such as precipitation, streamflow, groundwater levels, and water quality (Obot et al., 2010; Sai and Joseph, 2018; </w:t>
      </w:r>
      <w:proofErr w:type="spellStart"/>
      <w:r w:rsidRPr="007C05CC">
        <w:rPr>
          <w:rFonts w:ascii="Arial" w:hAnsi="Arial" w:cs="Arial"/>
          <w:sz w:val="20"/>
          <w:szCs w:val="20"/>
        </w:rPr>
        <w:t>Siddharam</w:t>
      </w:r>
      <w:proofErr w:type="spellEnd"/>
      <w:r w:rsidRPr="007C05CC">
        <w:rPr>
          <w:rFonts w:ascii="Arial" w:hAnsi="Arial" w:cs="Arial"/>
          <w:sz w:val="20"/>
          <w:szCs w:val="20"/>
        </w:rPr>
        <w:t xml:space="preserve"> et al., 2022). This test evaluates whether a consistent upward or downward trend exists over time without requiring the trend to be linear. </w:t>
      </w:r>
    </w:p>
    <w:p w14:paraId="4F0D8A4F" w14:textId="77777777" w:rsidR="00DF49A1" w:rsidRPr="007C05CC" w:rsidRDefault="00DF49A1" w:rsidP="00DF49A1">
      <w:pPr>
        <w:spacing w:after="240" w:line="360" w:lineRule="auto"/>
        <w:jc w:val="both"/>
        <w:rPr>
          <w:rFonts w:ascii="Arial" w:hAnsi="Arial" w:cs="Arial"/>
          <w:sz w:val="20"/>
          <w:szCs w:val="20"/>
        </w:rPr>
      </w:pPr>
      <w:r w:rsidRPr="007C05CC">
        <w:rPr>
          <w:rFonts w:ascii="Arial" w:hAnsi="Arial" w:cs="Arial"/>
          <w:sz w:val="20"/>
          <w:szCs w:val="20"/>
        </w:rPr>
        <w:t>The Mann-Kendall statistic (S) is given in equation 1.</w:t>
      </w:r>
    </w:p>
    <w:p w14:paraId="557FCBDE" w14:textId="77777777" w:rsidR="00DF49A1" w:rsidRPr="007C05CC" w:rsidRDefault="00DF49A1" w:rsidP="00DF49A1">
      <w:pPr>
        <w:rPr>
          <w:rFonts w:ascii="Arial" w:hAnsi="Arial" w:cs="Arial"/>
          <w:sz w:val="20"/>
          <w:szCs w:val="20"/>
        </w:rPr>
      </w:pPr>
      <m:oMath>
        <m:r>
          <w:rPr>
            <w:rFonts w:ascii="Cambria Math" w:hAnsi="Cambria Math" w:cs="Arial"/>
            <w:sz w:val="20"/>
            <w:szCs w:val="20"/>
          </w:rPr>
          <m:t>S=</m:t>
        </m:r>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n-1</m:t>
            </m:r>
          </m:sup>
          <m:e>
            <m:nary>
              <m:naryPr>
                <m:chr m:val="∑"/>
                <m:limLoc m:val="undOvr"/>
                <m:ctrlPr>
                  <w:rPr>
                    <w:rFonts w:ascii="Cambria Math" w:hAnsi="Cambria Math" w:cs="Arial"/>
                    <w:i/>
                    <w:sz w:val="20"/>
                    <w:szCs w:val="20"/>
                  </w:rPr>
                </m:ctrlPr>
              </m:naryPr>
              <m:sub>
                <m:r>
                  <w:rPr>
                    <w:rFonts w:ascii="Cambria Math" w:hAnsi="Cambria Math" w:cs="Arial"/>
                    <w:sz w:val="20"/>
                    <w:szCs w:val="20"/>
                  </w:rPr>
                  <m:t>j=i+1</m:t>
                </m:r>
              </m:sub>
              <m:sup>
                <m:r>
                  <w:rPr>
                    <w:rFonts w:ascii="Cambria Math" w:hAnsi="Cambria Math" w:cs="Arial"/>
                    <w:sz w:val="20"/>
                    <w:szCs w:val="20"/>
                  </w:rPr>
                  <m:t>n</m:t>
                </m:r>
              </m:sup>
              <m:e>
                <m:r>
                  <w:rPr>
                    <w:rFonts w:ascii="Cambria Math" w:hAnsi="Cambria Math" w:cs="Arial"/>
                    <w:sz w:val="20"/>
                    <w:szCs w:val="20"/>
                  </w:rPr>
                  <m:t>sign(</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m:t>
                </m:r>
              </m:e>
            </m:nary>
          </m:e>
        </m:nary>
      </m:oMath>
      <w:r w:rsidRPr="007C05CC">
        <w:rPr>
          <w:rFonts w:ascii="Arial" w:hAnsi="Arial" w:cs="Arial"/>
          <w:sz w:val="20"/>
          <w:szCs w:val="20"/>
        </w:rPr>
        <w:t xml:space="preserve">                     …………………….  (1)</w:t>
      </w:r>
    </w:p>
    <w:p w14:paraId="22BCF551" w14:textId="77777777" w:rsidR="00DF49A1" w:rsidRPr="007C05CC" w:rsidRDefault="00DF49A1" w:rsidP="00DF49A1">
      <w:pPr>
        <w:rPr>
          <w:rFonts w:ascii="Arial" w:hAnsi="Arial" w:cs="Arial"/>
          <w:sz w:val="20"/>
          <w:szCs w:val="20"/>
        </w:rPr>
      </w:pPr>
      <w:r w:rsidRPr="007C05CC">
        <w:rPr>
          <w:rFonts w:ascii="Arial" w:hAnsi="Arial" w:cs="Arial"/>
          <w:sz w:val="20"/>
          <w:szCs w:val="20"/>
        </w:rPr>
        <w:t>where,</w:t>
      </w:r>
    </w:p>
    <w:p w14:paraId="461BECF5" w14:textId="77777777" w:rsidR="00DF49A1" w:rsidRPr="007C05CC" w:rsidRDefault="00DF49A1" w:rsidP="00DF49A1">
      <w:pPr>
        <w:rPr>
          <w:rFonts w:ascii="Arial" w:hAnsi="Arial" w:cs="Arial"/>
          <w:sz w:val="20"/>
          <w:szCs w:val="20"/>
        </w:rPr>
      </w:pPr>
      <m:oMath>
        <m:r>
          <w:rPr>
            <w:rFonts w:ascii="Cambria Math" w:hAnsi="Cambria Math" w:cs="Arial"/>
            <w:sz w:val="20"/>
            <w:szCs w:val="20"/>
          </w:rPr>
          <m:t>sign(</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m:t>
        </m:r>
      </m:oMath>
      <w:r w:rsidRPr="007C05CC">
        <w:rPr>
          <w:rFonts w:ascii="Arial" w:hAnsi="Arial" w:cs="Arial"/>
          <w:sz w:val="20"/>
          <w:szCs w:val="20"/>
        </w:rPr>
        <w:t xml:space="preserve"> = 1, if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m:t>
        </m:r>
      </m:oMath>
      <w:r w:rsidRPr="007C05CC">
        <w:rPr>
          <w:rFonts w:ascii="Arial" w:hAnsi="Arial" w:cs="Arial"/>
          <w:sz w:val="20"/>
          <w:szCs w:val="20"/>
        </w:rPr>
        <w:t xml:space="preserve"> ˃ 0</w:t>
      </w:r>
    </w:p>
    <w:p w14:paraId="385E4640" w14:textId="77777777" w:rsidR="00DF49A1" w:rsidRPr="007C05CC" w:rsidRDefault="00DF49A1" w:rsidP="00DF49A1">
      <w:pPr>
        <w:rPr>
          <w:rFonts w:ascii="Arial" w:hAnsi="Arial" w:cs="Arial"/>
          <w:sz w:val="20"/>
          <w:szCs w:val="20"/>
        </w:rPr>
      </w:pPr>
      <m:oMath>
        <m:r>
          <w:rPr>
            <w:rFonts w:ascii="Cambria Math" w:hAnsi="Cambria Math" w:cs="Arial"/>
            <w:sz w:val="20"/>
            <w:szCs w:val="20"/>
          </w:rPr>
          <m:t>sign(</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m:t>
        </m:r>
      </m:oMath>
      <w:r w:rsidRPr="007C05CC">
        <w:rPr>
          <w:rFonts w:ascii="Arial" w:hAnsi="Arial" w:cs="Arial"/>
          <w:sz w:val="20"/>
          <w:szCs w:val="20"/>
        </w:rPr>
        <w:t xml:space="preserve"> = 0, if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m:t>
        </m:r>
      </m:oMath>
      <w:r w:rsidRPr="007C05CC">
        <w:rPr>
          <w:rFonts w:ascii="Arial" w:hAnsi="Arial" w:cs="Arial"/>
          <w:sz w:val="20"/>
          <w:szCs w:val="20"/>
        </w:rPr>
        <w:t xml:space="preserve"> = 0</w:t>
      </w:r>
    </w:p>
    <w:p w14:paraId="13B9D786" w14:textId="77777777" w:rsidR="00DF49A1" w:rsidRPr="007C05CC" w:rsidRDefault="00DF49A1" w:rsidP="00DF49A1">
      <w:pPr>
        <w:spacing w:after="240"/>
        <w:rPr>
          <w:rFonts w:ascii="Arial" w:hAnsi="Arial" w:cs="Arial"/>
          <w:sz w:val="20"/>
          <w:szCs w:val="20"/>
        </w:rPr>
      </w:pPr>
      <m:oMath>
        <m:r>
          <w:rPr>
            <w:rFonts w:ascii="Cambria Math" w:hAnsi="Cambria Math" w:cs="Arial"/>
            <w:sz w:val="20"/>
            <w:szCs w:val="20"/>
          </w:rPr>
          <m:t>sign(</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m:t>
        </m:r>
      </m:oMath>
      <w:r w:rsidRPr="007C05CC">
        <w:rPr>
          <w:rFonts w:ascii="Arial" w:hAnsi="Arial" w:cs="Arial"/>
          <w:sz w:val="20"/>
          <w:szCs w:val="20"/>
        </w:rPr>
        <w:t xml:space="preserve"> = -1, if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m:t>
        </m:r>
      </m:oMath>
      <w:r w:rsidRPr="007C05CC">
        <w:rPr>
          <w:rFonts w:ascii="Arial" w:hAnsi="Arial" w:cs="Arial"/>
          <w:sz w:val="20"/>
          <w:szCs w:val="20"/>
        </w:rPr>
        <w:t xml:space="preserve"> ˂ 0</w:t>
      </w:r>
    </w:p>
    <w:p w14:paraId="5B8DF416" w14:textId="77777777" w:rsidR="00DF49A1" w:rsidRPr="007C05CC" w:rsidRDefault="00DF49A1" w:rsidP="00DF49A1">
      <w:pPr>
        <w:spacing w:after="240" w:line="360" w:lineRule="auto"/>
        <w:jc w:val="both"/>
        <w:rPr>
          <w:rFonts w:ascii="Arial" w:hAnsi="Arial" w:cs="Arial"/>
          <w:sz w:val="20"/>
          <w:szCs w:val="20"/>
        </w:rPr>
      </w:pPr>
      <w:r w:rsidRPr="007C05CC">
        <w:rPr>
          <w:rFonts w:ascii="Arial" w:hAnsi="Arial" w:cs="Arial"/>
          <w:sz w:val="20"/>
          <w:szCs w:val="20"/>
        </w:rPr>
        <w:tab/>
        <w:t xml:space="preserve">A positive value of S indicates a rising trend and a negative value indicates a falling trend.  However, it is necessary to perform the statistical analysis for the significance of the trend. </w:t>
      </w:r>
      <w:r w:rsidRPr="007C05CC">
        <w:rPr>
          <w:rFonts w:ascii="Arial" w:hAnsi="Arial" w:cs="Arial"/>
          <w:color w:val="000000" w:themeColor="text1"/>
          <w:sz w:val="20"/>
          <w:szCs w:val="20"/>
        </w:rPr>
        <w:t>This test assumes that there are not many tied values within the dataset.</w:t>
      </w:r>
      <w:r w:rsidRPr="007C05CC">
        <w:rPr>
          <w:rFonts w:ascii="Arial" w:hAnsi="Arial" w:cs="Arial"/>
          <w:sz w:val="20"/>
          <w:szCs w:val="20"/>
        </w:rPr>
        <w:t xml:space="preserve">  The variance (S) is calculated by the following equation 2.</w:t>
      </w:r>
    </w:p>
    <w:p w14:paraId="6FD9E9F9" w14:textId="77777777" w:rsidR="00DF49A1" w:rsidRPr="007C05CC" w:rsidRDefault="00DF49A1" w:rsidP="00DF49A1">
      <w:pPr>
        <w:rPr>
          <w:rFonts w:ascii="Arial" w:hAnsi="Arial" w:cs="Arial"/>
          <w:sz w:val="20"/>
          <w:szCs w:val="20"/>
        </w:rPr>
      </w:pPr>
      <m:oMath>
        <m:r>
          <w:rPr>
            <w:rFonts w:ascii="Cambria Math" w:hAnsi="Cambria Math" w:cs="Arial"/>
            <w:sz w:val="20"/>
            <w:szCs w:val="20"/>
          </w:rPr>
          <m:t xml:space="preserve">Var </m:t>
        </m:r>
        <m:d>
          <m:dPr>
            <m:ctrlPr>
              <w:rPr>
                <w:rFonts w:ascii="Cambria Math" w:hAnsi="Cambria Math" w:cs="Arial"/>
                <w:i/>
                <w:sz w:val="20"/>
                <w:szCs w:val="20"/>
              </w:rPr>
            </m:ctrlPr>
          </m:dPr>
          <m:e>
            <m:r>
              <w:rPr>
                <w:rFonts w:ascii="Cambria Math" w:hAnsi="Cambria Math" w:cs="Arial"/>
                <w:sz w:val="20"/>
                <w:szCs w:val="20"/>
              </w:rPr>
              <m:t>S</m:t>
            </m:r>
          </m:e>
        </m:d>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18</m:t>
            </m:r>
          </m:den>
        </m:f>
        <m:r>
          <w:rPr>
            <w:rFonts w:ascii="Cambria Math" w:hAnsi="Cambria Math" w:cs="Arial"/>
            <w:sz w:val="20"/>
            <w:szCs w:val="20"/>
          </w:rPr>
          <m:t>[n</m:t>
        </m:r>
        <m:d>
          <m:dPr>
            <m:ctrlPr>
              <w:rPr>
                <w:rFonts w:ascii="Cambria Math" w:hAnsi="Cambria Math" w:cs="Arial"/>
                <w:i/>
                <w:sz w:val="20"/>
                <w:szCs w:val="20"/>
              </w:rPr>
            </m:ctrlPr>
          </m:dPr>
          <m:e>
            <m:r>
              <w:rPr>
                <w:rFonts w:ascii="Cambria Math" w:hAnsi="Cambria Math" w:cs="Arial"/>
                <w:sz w:val="20"/>
                <w:szCs w:val="20"/>
              </w:rPr>
              <m:t>n-1</m:t>
            </m:r>
          </m:e>
        </m:d>
        <m:d>
          <m:dPr>
            <m:ctrlPr>
              <w:rPr>
                <w:rFonts w:ascii="Cambria Math" w:hAnsi="Cambria Math" w:cs="Arial"/>
                <w:i/>
                <w:sz w:val="20"/>
                <w:szCs w:val="20"/>
              </w:rPr>
            </m:ctrlPr>
          </m:dPr>
          <m:e>
            <m:r>
              <w:rPr>
                <w:rFonts w:ascii="Cambria Math" w:hAnsi="Cambria Math" w:cs="Arial"/>
                <w:sz w:val="20"/>
                <w:szCs w:val="20"/>
              </w:rPr>
              <m:t>2n+5</m:t>
            </m:r>
          </m:e>
        </m:d>
        <m:r>
          <w:rPr>
            <w:rFonts w:ascii="Cambria Math" w:hAnsi="Cambria Math" w:cs="Arial"/>
            <w:sz w:val="20"/>
            <w:szCs w:val="20"/>
          </w:rPr>
          <m:t>-</m:t>
        </m:r>
        <m:nary>
          <m:naryPr>
            <m:chr m:val="∑"/>
            <m:limLoc m:val="undOvr"/>
            <m:ctrlPr>
              <w:rPr>
                <w:rFonts w:ascii="Cambria Math" w:hAnsi="Cambria Math" w:cs="Arial"/>
                <w:i/>
                <w:sz w:val="20"/>
                <w:szCs w:val="20"/>
              </w:rPr>
            </m:ctrlPr>
          </m:naryPr>
          <m:sub>
            <m:r>
              <w:rPr>
                <w:rFonts w:ascii="Cambria Math" w:hAnsi="Cambria Math" w:cs="Arial"/>
                <w:sz w:val="20"/>
                <w:szCs w:val="20"/>
              </w:rPr>
              <m:t>p=1</m:t>
            </m:r>
          </m:sub>
          <m:sup>
            <m:r>
              <w:rPr>
                <w:rFonts w:ascii="Cambria Math" w:hAnsi="Cambria Math" w:cs="Arial"/>
                <w:sz w:val="20"/>
                <w:szCs w:val="20"/>
              </w:rPr>
              <m:t>g</m:t>
            </m:r>
          </m:sup>
          <m:e>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p</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p</m:t>
                </m:r>
              </m:sub>
            </m:sSub>
            <m:r>
              <w:rPr>
                <w:rFonts w:ascii="Cambria Math" w:hAnsi="Cambria Math" w:cs="Arial"/>
                <w:sz w:val="20"/>
                <w:szCs w:val="20"/>
              </w:rPr>
              <m:t>-1)(2</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p</m:t>
                </m:r>
              </m:sub>
            </m:sSub>
            <m:r>
              <w:rPr>
                <w:rFonts w:ascii="Cambria Math" w:hAnsi="Cambria Math" w:cs="Arial"/>
                <w:sz w:val="20"/>
                <w:szCs w:val="20"/>
              </w:rPr>
              <m:t>+5)]</m:t>
            </m:r>
          </m:e>
        </m:nary>
      </m:oMath>
      <w:r w:rsidRPr="007C05CC">
        <w:rPr>
          <w:rFonts w:ascii="Arial" w:hAnsi="Arial" w:cs="Arial"/>
          <w:sz w:val="20"/>
          <w:szCs w:val="20"/>
        </w:rPr>
        <w:t xml:space="preserve">      ………….  (2)</w:t>
      </w:r>
    </w:p>
    <w:p w14:paraId="15F1EA93" w14:textId="77777777" w:rsidR="00DF49A1" w:rsidRPr="007C05CC" w:rsidRDefault="00DF49A1" w:rsidP="00DF49A1">
      <w:pPr>
        <w:rPr>
          <w:rFonts w:ascii="Arial" w:hAnsi="Arial" w:cs="Arial"/>
          <w:sz w:val="20"/>
          <w:szCs w:val="20"/>
        </w:rPr>
      </w:pPr>
      <w:r w:rsidRPr="007C05CC">
        <w:rPr>
          <w:rFonts w:ascii="Arial" w:hAnsi="Arial" w:cs="Arial"/>
          <w:sz w:val="20"/>
          <w:szCs w:val="20"/>
        </w:rPr>
        <w:t>Where,</w:t>
      </w:r>
    </w:p>
    <w:p w14:paraId="7CC0B947" w14:textId="77777777" w:rsidR="00DF49A1" w:rsidRPr="007C05CC" w:rsidRDefault="00DF49A1" w:rsidP="00DF49A1">
      <w:pPr>
        <w:rPr>
          <w:rFonts w:ascii="Arial" w:hAnsi="Arial" w:cs="Arial"/>
          <w:sz w:val="20"/>
          <w:szCs w:val="20"/>
        </w:rPr>
      </w:pPr>
      <w:r w:rsidRPr="007C05CC">
        <w:rPr>
          <w:rFonts w:ascii="Arial" w:hAnsi="Arial" w:cs="Arial"/>
          <w:sz w:val="20"/>
          <w:szCs w:val="20"/>
        </w:rPr>
        <w:t>n- Number of data points,</w:t>
      </w:r>
    </w:p>
    <w:p w14:paraId="0890DB9F" w14:textId="77777777" w:rsidR="00DF49A1" w:rsidRPr="007C05CC" w:rsidRDefault="00DF49A1" w:rsidP="00DF49A1">
      <w:pPr>
        <w:rPr>
          <w:rFonts w:ascii="Arial" w:hAnsi="Arial" w:cs="Arial"/>
          <w:sz w:val="20"/>
          <w:szCs w:val="20"/>
        </w:rPr>
      </w:pPr>
      <w:r w:rsidRPr="007C05CC">
        <w:rPr>
          <w:rFonts w:ascii="Arial" w:hAnsi="Arial" w:cs="Arial"/>
          <w:sz w:val="20"/>
          <w:szCs w:val="20"/>
        </w:rPr>
        <w:t>g- Number of tied groups and</w:t>
      </w:r>
    </w:p>
    <w:p w14:paraId="38461BEF" w14:textId="77777777" w:rsidR="00DF49A1" w:rsidRPr="007C05CC" w:rsidRDefault="007C5969" w:rsidP="00DF49A1">
      <w:pPr>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p</m:t>
            </m:r>
          </m:sub>
        </m:sSub>
      </m:oMath>
      <w:r w:rsidR="00DF49A1" w:rsidRPr="007C05CC">
        <w:rPr>
          <w:rFonts w:ascii="Arial" w:hAnsi="Arial" w:cs="Arial"/>
          <w:sz w:val="20"/>
          <w:szCs w:val="20"/>
        </w:rPr>
        <w:t xml:space="preserve">- Number of data points in the </w:t>
      </w:r>
      <w:proofErr w:type="spellStart"/>
      <w:r w:rsidR="00DF49A1" w:rsidRPr="007C05CC">
        <w:rPr>
          <w:rFonts w:ascii="Arial" w:hAnsi="Arial" w:cs="Arial"/>
          <w:sz w:val="20"/>
          <w:szCs w:val="20"/>
        </w:rPr>
        <w:t>p</w:t>
      </w:r>
      <w:r w:rsidR="00DF49A1" w:rsidRPr="007C05CC">
        <w:rPr>
          <w:rFonts w:ascii="Arial" w:hAnsi="Arial" w:cs="Arial"/>
          <w:sz w:val="20"/>
          <w:szCs w:val="20"/>
          <w:vertAlign w:val="superscript"/>
        </w:rPr>
        <w:t>th</w:t>
      </w:r>
      <w:proofErr w:type="spellEnd"/>
      <w:r w:rsidR="00DF49A1" w:rsidRPr="007C05CC">
        <w:rPr>
          <w:rFonts w:ascii="Arial" w:hAnsi="Arial" w:cs="Arial"/>
          <w:sz w:val="20"/>
          <w:szCs w:val="20"/>
        </w:rPr>
        <w:t xml:space="preserve"> group.</w:t>
      </w:r>
    </w:p>
    <w:p w14:paraId="74AA6A00" w14:textId="77777777" w:rsidR="00DF49A1" w:rsidRPr="007C05CC" w:rsidRDefault="00DF49A1" w:rsidP="00DF49A1">
      <w:pPr>
        <w:spacing w:line="360" w:lineRule="auto"/>
        <w:rPr>
          <w:rFonts w:ascii="Arial" w:hAnsi="Arial" w:cs="Arial"/>
          <w:sz w:val="20"/>
          <w:szCs w:val="20"/>
        </w:rPr>
      </w:pPr>
      <w:r w:rsidRPr="007C05CC">
        <w:rPr>
          <w:rFonts w:ascii="Arial" w:hAnsi="Arial" w:cs="Arial"/>
          <w:sz w:val="20"/>
          <w:szCs w:val="20"/>
        </w:rPr>
        <w:t>The absolute value of the Z</w:t>
      </w:r>
      <w:r w:rsidRPr="007C05CC">
        <w:rPr>
          <w:rFonts w:ascii="Arial" w:hAnsi="Arial" w:cs="Arial"/>
          <w:sz w:val="20"/>
          <w:szCs w:val="20"/>
          <w:vertAlign w:val="subscript"/>
        </w:rPr>
        <w:t>MK</w:t>
      </w:r>
      <w:r w:rsidRPr="007C05CC">
        <w:rPr>
          <w:rFonts w:ascii="Arial" w:hAnsi="Arial" w:cs="Arial"/>
          <w:sz w:val="20"/>
          <w:szCs w:val="20"/>
        </w:rPr>
        <w:t xml:space="preserve"> statistic is compared against a critical value from the standard normal distribution </w:t>
      </w:r>
      <w:r w:rsidRPr="00C71BA7">
        <w:rPr>
          <w:rFonts w:ascii="Arial" w:hAnsi="Arial" w:cs="Arial"/>
          <w:sz w:val="20"/>
          <w:szCs w:val="20"/>
        </w:rPr>
        <w:t>table</w:t>
      </w:r>
      <w:r w:rsidRPr="007C05CC">
        <w:rPr>
          <w:rFonts w:ascii="Arial" w:hAnsi="Arial" w:cs="Arial"/>
          <w:sz w:val="20"/>
          <w:szCs w:val="20"/>
        </w:rPr>
        <w:t xml:space="preserve"> corresponding to the chosen significance level (α).</w:t>
      </w:r>
    </w:p>
    <w:p w14:paraId="48B17B75" w14:textId="77777777" w:rsidR="00DF49A1" w:rsidRPr="007C05CC" w:rsidRDefault="00DF49A1" w:rsidP="00DF49A1">
      <w:pPr>
        <w:rPr>
          <w:rFonts w:ascii="Arial" w:hAnsi="Arial" w:cs="Arial"/>
          <w:color w:val="000000" w:themeColor="text1"/>
          <w:sz w:val="20"/>
          <w:szCs w:val="20"/>
        </w:rPr>
      </w:pPr>
      <w:r w:rsidRPr="007C05CC">
        <w:rPr>
          <w:rFonts w:ascii="Arial" w:hAnsi="Arial" w:cs="Arial"/>
          <w:noProof/>
          <w:color w:val="000000" w:themeColor="text1"/>
          <w:sz w:val="20"/>
          <w:szCs w:val="20"/>
        </w:rPr>
        <mc:AlternateContent>
          <mc:Choice Requires="wps">
            <w:drawing>
              <wp:anchor distT="0" distB="0" distL="114300" distR="114300" simplePos="0" relativeHeight="251659264" behindDoc="0" locked="0" layoutInCell="1" allowOverlap="1" wp14:anchorId="545D2107" wp14:editId="13C8F644">
                <wp:simplePos x="0" y="0"/>
                <wp:positionH relativeFrom="column">
                  <wp:posOffset>1704975</wp:posOffset>
                </wp:positionH>
                <wp:positionV relativeFrom="paragraph">
                  <wp:posOffset>278765</wp:posOffset>
                </wp:positionV>
                <wp:extent cx="257175" cy="771525"/>
                <wp:effectExtent l="0" t="0" r="47625" b="28575"/>
                <wp:wrapNone/>
                <wp:docPr id="7" name="Right Brac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771525"/>
                        </a:xfrm>
                        <a:prstGeom prst="rightBrace">
                          <a:avLst/>
                        </a:prstGeom>
                        <a:solidFill>
                          <a:schemeClr val="bg1"/>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47AF09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 o:spid="_x0000_s1026" type="#_x0000_t88" style="position:absolute;margin-left:134.25pt;margin-top:21.95pt;width:20.2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" adj="600" filled="t" fillcolor="white [3212]" strokecolor="black [3213]" strokeweight=".5pt">
                <v:stroke joinstyle="miter"/>
              </v:shape>
            </w:pict>
          </mc:Fallback>
        </mc:AlternateContent>
      </w:r>
      <w:r w:rsidRPr="007C05CC">
        <w:rPr>
          <w:rFonts w:ascii="Arial" w:hAnsi="Arial" w:cs="Arial"/>
          <w:color w:val="000000" w:themeColor="text1"/>
          <w:sz w:val="20"/>
          <w:szCs w:val="20"/>
        </w:rPr>
        <w:t>The normal Z-statistic is computed as follows:</w:t>
      </w:r>
    </w:p>
    <w:p w14:paraId="5BDA2246" w14:textId="77777777" w:rsidR="00DF49A1" w:rsidRPr="007C05CC" w:rsidRDefault="00DF49A1" w:rsidP="00DF49A1">
      <w:pPr>
        <w:rPr>
          <w:rFonts w:ascii="Arial" w:hAnsi="Arial" w:cs="Arial"/>
          <w:sz w:val="20"/>
          <w:szCs w:val="20"/>
        </w:rPr>
      </w:pPr>
      <m:oMath>
        <m:r>
          <w:rPr>
            <w:rFonts w:ascii="Cambria Math" w:hAnsi="Cambria Math" w:cs="Arial"/>
            <w:sz w:val="20"/>
            <w:szCs w:val="20"/>
          </w:rPr>
          <m:t xml:space="preserve">Z= </m:t>
        </m:r>
        <m:f>
          <m:fPr>
            <m:ctrlPr>
              <w:rPr>
                <w:rFonts w:ascii="Cambria Math" w:hAnsi="Cambria Math" w:cs="Arial"/>
                <w:i/>
                <w:sz w:val="20"/>
                <w:szCs w:val="20"/>
              </w:rPr>
            </m:ctrlPr>
          </m:fPr>
          <m:num>
            <m:r>
              <w:rPr>
                <w:rFonts w:ascii="Cambria Math" w:hAnsi="Cambria Math" w:cs="Arial"/>
                <w:sz w:val="20"/>
                <w:szCs w:val="20"/>
              </w:rPr>
              <m:t>S-1</m:t>
            </m:r>
          </m:num>
          <m:den>
            <m:rad>
              <m:radPr>
                <m:degHide m:val="1"/>
                <m:ctrlPr>
                  <w:rPr>
                    <w:rFonts w:ascii="Cambria Math" w:hAnsi="Cambria Math" w:cs="Arial"/>
                    <w:i/>
                    <w:sz w:val="20"/>
                    <w:szCs w:val="20"/>
                  </w:rPr>
                </m:ctrlPr>
              </m:radPr>
              <m:deg/>
              <m:e>
                <m:r>
                  <w:rPr>
                    <w:rFonts w:ascii="Cambria Math" w:hAnsi="Cambria Math" w:cs="Arial"/>
                    <w:sz w:val="20"/>
                    <w:szCs w:val="20"/>
                  </w:rPr>
                  <m:t>Var (S)</m:t>
                </m:r>
              </m:e>
            </m:rad>
          </m:den>
        </m:f>
      </m:oMath>
      <w:r w:rsidRPr="007C05CC">
        <w:rPr>
          <w:rFonts w:ascii="Arial" w:hAnsi="Arial" w:cs="Arial"/>
          <w:sz w:val="20"/>
          <w:szCs w:val="20"/>
        </w:rPr>
        <w:t xml:space="preserve"> , if S ˃ 0</w:t>
      </w:r>
    </w:p>
    <w:p w14:paraId="5A61D169" w14:textId="77777777" w:rsidR="00DF49A1" w:rsidRPr="007C05CC" w:rsidRDefault="00DF49A1" w:rsidP="00DF49A1">
      <w:pPr>
        <w:tabs>
          <w:tab w:val="center" w:pos="4680"/>
        </w:tabs>
        <w:rPr>
          <w:rFonts w:ascii="Arial" w:hAnsi="Arial" w:cs="Arial"/>
          <w:sz w:val="20"/>
          <w:szCs w:val="20"/>
        </w:rPr>
      </w:pPr>
      <m:oMath>
        <m:r>
          <w:rPr>
            <w:rFonts w:ascii="Cambria Math" w:hAnsi="Cambria Math" w:cs="Arial"/>
            <w:sz w:val="20"/>
            <w:szCs w:val="20"/>
          </w:rPr>
          <m:t>Z= 0</m:t>
        </m:r>
      </m:oMath>
      <w:r w:rsidRPr="007C05CC">
        <w:rPr>
          <w:rFonts w:ascii="Arial" w:hAnsi="Arial" w:cs="Arial"/>
          <w:sz w:val="20"/>
          <w:szCs w:val="20"/>
        </w:rPr>
        <w:t xml:space="preserve"> , if S = 0</w:t>
      </w:r>
      <w:r w:rsidRPr="007C05CC">
        <w:rPr>
          <w:rFonts w:ascii="Arial" w:hAnsi="Arial" w:cs="Arial"/>
          <w:sz w:val="20"/>
          <w:szCs w:val="20"/>
        </w:rPr>
        <w:tab/>
        <w:t xml:space="preserve">                   ………………….  (3)</w:t>
      </w:r>
    </w:p>
    <w:p w14:paraId="75AB9E41" w14:textId="77777777" w:rsidR="00DF49A1" w:rsidRPr="007C05CC" w:rsidRDefault="00DF49A1" w:rsidP="00DF49A1">
      <w:pPr>
        <w:rPr>
          <w:rFonts w:ascii="Arial" w:hAnsi="Arial" w:cs="Arial"/>
          <w:sz w:val="20"/>
          <w:szCs w:val="20"/>
        </w:rPr>
      </w:pPr>
      <m:oMath>
        <m:r>
          <w:rPr>
            <w:rFonts w:ascii="Cambria Math" w:hAnsi="Cambria Math" w:cs="Arial"/>
            <w:sz w:val="20"/>
            <w:szCs w:val="20"/>
          </w:rPr>
          <m:t xml:space="preserve">Z= </m:t>
        </m:r>
        <m:f>
          <m:fPr>
            <m:ctrlPr>
              <w:rPr>
                <w:rFonts w:ascii="Cambria Math" w:hAnsi="Cambria Math" w:cs="Arial"/>
                <w:i/>
                <w:sz w:val="20"/>
                <w:szCs w:val="20"/>
              </w:rPr>
            </m:ctrlPr>
          </m:fPr>
          <m:num>
            <m:r>
              <w:rPr>
                <w:rFonts w:ascii="Cambria Math" w:hAnsi="Cambria Math" w:cs="Arial"/>
                <w:sz w:val="20"/>
                <w:szCs w:val="20"/>
              </w:rPr>
              <m:t>S+1</m:t>
            </m:r>
          </m:num>
          <m:den>
            <m:rad>
              <m:radPr>
                <m:degHide m:val="1"/>
                <m:ctrlPr>
                  <w:rPr>
                    <w:rFonts w:ascii="Cambria Math" w:hAnsi="Cambria Math" w:cs="Arial"/>
                    <w:i/>
                    <w:sz w:val="20"/>
                    <w:szCs w:val="20"/>
                  </w:rPr>
                </m:ctrlPr>
              </m:radPr>
              <m:deg/>
              <m:e>
                <m:r>
                  <w:rPr>
                    <w:rFonts w:ascii="Cambria Math" w:hAnsi="Cambria Math" w:cs="Arial"/>
                    <w:sz w:val="20"/>
                    <w:szCs w:val="20"/>
                  </w:rPr>
                  <m:t>Var (S)</m:t>
                </m:r>
              </m:e>
            </m:rad>
          </m:den>
        </m:f>
      </m:oMath>
      <w:r w:rsidRPr="007C05CC">
        <w:rPr>
          <w:rFonts w:ascii="Arial" w:hAnsi="Arial" w:cs="Arial"/>
          <w:sz w:val="20"/>
          <w:szCs w:val="20"/>
        </w:rPr>
        <w:t xml:space="preserve"> , if S ˂ 0</w:t>
      </w:r>
    </w:p>
    <w:p w14:paraId="53E32025" w14:textId="77777777" w:rsidR="00DF49A1" w:rsidRPr="007C05CC" w:rsidRDefault="00DF49A1" w:rsidP="00DF49A1">
      <w:pPr>
        <w:spacing w:after="240" w:line="360" w:lineRule="auto"/>
        <w:jc w:val="both"/>
        <w:rPr>
          <w:rFonts w:ascii="Arial" w:hAnsi="Arial" w:cs="Arial"/>
          <w:color w:val="EE0000"/>
          <w:sz w:val="20"/>
          <w:szCs w:val="20"/>
        </w:rPr>
      </w:pPr>
      <w:r w:rsidRPr="007C05CC">
        <w:rPr>
          <w:rFonts w:ascii="Arial" w:hAnsi="Arial" w:cs="Arial"/>
          <w:sz w:val="20"/>
          <w:szCs w:val="20"/>
        </w:rPr>
        <w:tab/>
      </w:r>
      <w:r w:rsidRPr="007C05CC">
        <w:rPr>
          <w:rFonts w:ascii="Arial" w:hAnsi="Arial" w:cs="Arial"/>
          <w:color w:val="000000" w:themeColor="text1"/>
          <w:sz w:val="20"/>
          <w:szCs w:val="20"/>
        </w:rPr>
        <w:t>The trend is said to be rising if Z is positive and the computed Z-statistics is greater than the Z-value corresponding to the 5% level of significance.  If the computed Z-statistics is less than the Z-value corresponding to the 5% level of significance, there is no trend.</w:t>
      </w:r>
    </w:p>
    <w:p w14:paraId="4B550116" w14:textId="77777777" w:rsidR="00DF49A1" w:rsidRPr="007C05CC" w:rsidRDefault="00DF49A1" w:rsidP="00DF49A1">
      <w:pPr>
        <w:pStyle w:val="ListParagraph"/>
        <w:numPr>
          <w:ilvl w:val="0"/>
          <w:numId w:val="3"/>
        </w:numPr>
        <w:spacing w:after="0" w:line="360" w:lineRule="auto"/>
        <w:jc w:val="both"/>
        <w:rPr>
          <w:rFonts w:ascii="Arial" w:hAnsi="Arial" w:cs="Arial"/>
          <w:sz w:val="20"/>
          <w:szCs w:val="20"/>
        </w:rPr>
      </w:pPr>
      <w:r w:rsidRPr="007C05CC">
        <w:rPr>
          <w:rFonts w:ascii="Arial" w:hAnsi="Arial" w:cs="Arial"/>
          <w:sz w:val="20"/>
          <w:szCs w:val="20"/>
        </w:rPr>
        <w:t>The Z-value is 1.645 at 10% level of significance.</w:t>
      </w:r>
    </w:p>
    <w:p w14:paraId="17177413" w14:textId="77777777" w:rsidR="00DF49A1" w:rsidRPr="007C05CC" w:rsidRDefault="00DF49A1" w:rsidP="00DF49A1">
      <w:pPr>
        <w:pStyle w:val="ListParagraph"/>
        <w:numPr>
          <w:ilvl w:val="0"/>
          <w:numId w:val="3"/>
        </w:numPr>
        <w:spacing w:after="0" w:line="360" w:lineRule="auto"/>
        <w:jc w:val="both"/>
        <w:rPr>
          <w:rFonts w:ascii="Arial" w:hAnsi="Arial" w:cs="Arial"/>
          <w:sz w:val="20"/>
          <w:szCs w:val="20"/>
        </w:rPr>
      </w:pPr>
      <w:r w:rsidRPr="007C05CC">
        <w:rPr>
          <w:rFonts w:ascii="Arial" w:hAnsi="Arial" w:cs="Arial"/>
          <w:sz w:val="20"/>
          <w:szCs w:val="20"/>
        </w:rPr>
        <w:t>The Z-value is 1.96 at 5% level of significance.</w:t>
      </w:r>
    </w:p>
    <w:p w14:paraId="79CCB086" w14:textId="77777777" w:rsidR="00DF49A1" w:rsidRPr="007C05CC" w:rsidRDefault="00DF49A1" w:rsidP="00DF49A1">
      <w:pPr>
        <w:pStyle w:val="ListParagraph"/>
        <w:numPr>
          <w:ilvl w:val="0"/>
          <w:numId w:val="3"/>
        </w:numPr>
        <w:spacing w:after="240" w:line="360" w:lineRule="auto"/>
        <w:jc w:val="both"/>
        <w:rPr>
          <w:rFonts w:ascii="Arial" w:hAnsi="Arial" w:cs="Arial"/>
          <w:sz w:val="20"/>
          <w:szCs w:val="20"/>
        </w:rPr>
      </w:pPr>
      <w:r w:rsidRPr="007C05CC">
        <w:rPr>
          <w:rFonts w:ascii="Arial" w:hAnsi="Arial" w:cs="Arial"/>
          <w:sz w:val="20"/>
          <w:szCs w:val="20"/>
        </w:rPr>
        <w:t>The Z-value is 2.33 at 1% level of significance.</w:t>
      </w:r>
    </w:p>
    <w:p w14:paraId="3C9D0AA7" w14:textId="77777777" w:rsidR="00DF49A1" w:rsidRPr="007C05CC" w:rsidRDefault="00DF49A1" w:rsidP="00DF49A1">
      <w:pPr>
        <w:pStyle w:val="ListParagraph"/>
        <w:numPr>
          <w:ilvl w:val="2"/>
          <w:numId w:val="7"/>
        </w:numPr>
        <w:rPr>
          <w:rFonts w:ascii="Arial" w:hAnsi="Arial" w:cs="Arial"/>
          <w:b/>
          <w:bCs/>
          <w:sz w:val="20"/>
          <w:szCs w:val="24"/>
          <w:u w:val="single"/>
        </w:rPr>
      </w:pPr>
      <w:r w:rsidRPr="007C05CC">
        <w:rPr>
          <w:rFonts w:ascii="Arial" w:hAnsi="Arial" w:cs="Arial"/>
          <w:b/>
          <w:bCs/>
          <w:sz w:val="20"/>
          <w:szCs w:val="24"/>
          <w:u w:val="single"/>
        </w:rPr>
        <w:t>Sen’s slope Estimator</w:t>
      </w:r>
    </w:p>
    <w:p w14:paraId="6FAE79D0" w14:textId="77777777" w:rsidR="00DF49A1" w:rsidRPr="007C05CC" w:rsidRDefault="00DF49A1" w:rsidP="00DF49A1">
      <w:pPr>
        <w:spacing w:line="360" w:lineRule="auto"/>
        <w:jc w:val="both"/>
        <w:rPr>
          <w:rFonts w:ascii="Arial" w:hAnsi="Arial" w:cs="Arial"/>
          <w:sz w:val="20"/>
          <w:szCs w:val="20"/>
        </w:rPr>
      </w:pPr>
      <w:r w:rsidRPr="00C65572">
        <w:rPr>
          <w:rFonts w:ascii="Times New Roman" w:hAnsi="Times New Roman" w:cs="Times New Roman"/>
          <w:sz w:val="24"/>
          <w:szCs w:val="24"/>
        </w:rPr>
        <w:tab/>
      </w:r>
      <w:r w:rsidRPr="007C05CC">
        <w:rPr>
          <w:rFonts w:ascii="Arial" w:hAnsi="Arial" w:cs="Arial"/>
          <w:sz w:val="20"/>
          <w:szCs w:val="20"/>
        </w:rPr>
        <w:t>The Sen's Slope Estimator tells the rate (magnitude and direction) of the trend (a numerical value with units). Sen’s slope has the advantage over the regression slope in the sense that it is not much affected by gross data errors and outliers. The Sen’s slope is estimated as the median of all pairwise slopes between each pair of points in the dataset.  Each individual slope (</w:t>
      </w:r>
      <w:proofErr w:type="spellStart"/>
      <w:r w:rsidRPr="007C05CC">
        <w:rPr>
          <w:rFonts w:ascii="Arial" w:hAnsi="Arial" w:cs="Arial"/>
          <w:sz w:val="20"/>
          <w:szCs w:val="20"/>
        </w:rPr>
        <w:t>m</w:t>
      </w:r>
      <w:r w:rsidRPr="007C05CC">
        <w:rPr>
          <w:rFonts w:ascii="Arial" w:hAnsi="Arial" w:cs="Arial"/>
          <w:sz w:val="20"/>
          <w:szCs w:val="20"/>
          <w:vertAlign w:val="subscript"/>
        </w:rPr>
        <w:t>ij</w:t>
      </w:r>
      <w:proofErr w:type="spellEnd"/>
      <w:r w:rsidRPr="007C05CC">
        <w:rPr>
          <w:rFonts w:ascii="Arial" w:hAnsi="Arial" w:cs="Arial"/>
          <w:sz w:val="20"/>
          <w:szCs w:val="20"/>
        </w:rPr>
        <w:t>) is estimated using the following equation:</w:t>
      </w:r>
    </w:p>
    <w:p w14:paraId="138415E7" w14:textId="77777777" w:rsidR="00DF49A1" w:rsidRPr="007C05CC" w:rsidRDefault="007C05CC" w:rsidP="00DF49A1">
      <w:pPr>
        <w:jc w:val="center"/>
        <w:rPr>
          <w:rFonts w:ascii="Arial" w:hAnsi="Arial" w:cs="Arial"/>
          <w:sz w:val="20"/>
          <w:szCs w:val="20"/>
        </w:rPr>
      </w:pPr>
      <w:r>
        <w:rPr>
          <w:rFonts w:ascii="Arial" w:hAnsi="Arial" w:cs="Arial"/>
          <w:sz w:val="20"/>
          <w:szCs w:val="20"/>
        </w:rPr>
        <w:tab/>
        <w:t xml:space="preserve"> </w:t>
      </w:r>
      <m:oMath>
        <m:sSub>
          <m:sSubPr>
            <m:ctrlPr>
              <w:rPr>
                <w:rFonts w:ascii="Cambria Math" w:hAnsi="Cambria Math" w:cs="Arial"/>
                <w:sz w:val="20"/>
                <w:szCs w:val="20"/>
              </w:rPr>
            </m:ctrlPr>
          </m:sSubPr>
          <m:e>
            <m:r>
              <w:rPr>
                <w:rFonts w:ascii="Cambria Math" w:hAnsi="Cambria Math" w:cs="Arial"/>
                <w:sz w:val="20"/>
                <w:szCs w:val="20"/>
              </w:rPr>
              <m:t>m</m:t>
            </m:r>
          </m:e>
          <m:sub>
            <m:r>
              <w:rPr>
                <w:rFonts w:ascii="Cambria Math" w:hAnsi="Cambria Math" w:cs="Arial"/>
                <w:sz w:val="20"/>
                <w:szCs w:val="20"/>
              </w:rPr>
              <m:t>ij</m:t>
            </m:r>
          </m:sub>
        </m:sSub>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j</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i</m:t>
                </m:r>
              </m:sub>
            </m:sSub>
            <m:r>
              <w:rPr>
                <w:rFonts w:ascii="Cambria Math" w:hAnsi="Cambria Math" w:cs="Arial"/>
                <w:sz w:val="20"/>
                <w:szCs w:val="20"/>
              </w:rPr>
              <m:t>)</m:t>
            </m:r>
          </m:num>
          <m:den>
            <m:r>
              <w:rPr>
                <w:rFonts w:ascii="Cambria Math" w:hAnsi="Cambria Math" w:cs="Arial"/>
                <w:sz w:val="20"/>
                <w:szCs w:val="20"/>
              </w:rPr>
              <m:t>(j-i)</m:t>
            </m:r>
          </m:den>
        </m:f>
      </m:oMath>
      <w:r w:rsidR="00DF49A1" w:rsidRPr="007C05CC">
        <w:rPr>
          <w:rFonts w:ascii="Arial" w:hAnsi="Arial" w:cs="Arial"/>
          <w:sz w:val="20"/>
          <w:szCs w:val="20"/>
        </w:rPr>
        <w:t xml:space="preserve">                   …………………….  (4)</w:t>
      </w:r>
    </w:p>
    <w:p w14:paraId="4D4903C7" w14:textId="77777777" w:rsidR="00DF49A1" w:rsidRPr="007C05CC" w:rsidRDefault="00DF49A1" w:rsidP="00DF49A1">
      <w:pPr>
        <w:rPr>
          <w:rFonts w:ascii="Arial" w:hAnsi="Arial" w:cs="Arial"/>
          <w:sz w:val="20"/>
          <w:szCs w:val="20"/>
        </w:rPr>
      </w:pPr>
      <w:r w:rsidRPr="007C05CC">
        <w:rPr>
          <w:rFonts w:ascii="Arial" w:hAnsi="Arial" w:cs="Arial"/>
          <w:sz w:val="20"/>
          <w:szCs w:val="20"/>
        </w:rPr>
        <w:t>where,</w:t>
      </w:r>
    </w:p>
    <w:p w14:paraId="0522C05D" w14:textId="77777777" w:rsidR="00DF49A1" w:rsidRPr="007C05CC" w:rsidRDefault="00DF49A1" w:rsidP="00DF49A1">
      <w:pPr>
        <w:rPr>
          <w:rFonts w:ascii="Arial" w:hAnsi="Arial" w:cs="Arial"/>
          <w:sz w:val="20"/>
          <w:szCs w:val="20"/>
        </w:rPr>
      </w:pPr>
      <w:proofErr w:type="spellStart"/>
      <w:r w:rsidRPr="007C05CC">
        <w:rPr>
          <w:rFonts w:ascii="Arial" w:hAnsi="Arial" w:cs="Arial"/>
          <w:sz w:val="20"/>
          <w:szCs w:val="20"/>
        </w:rPr>
        <w:t>i</w:t>
      </w:r>
      <w:proofErr w:type="spellEnd"/>
      <w:r w:rsidRPr="007C05CC">
        <w:rPr>
          <w:rFonts w:ascii="Arial" w:hAnsi="Arial" w:cs="Arial"/>
          <w:sz w:val="20"/>
          <w:szCs w:val="20"/>
        </w:rPr>
        <w:t xml:space="preserve">=1 to n-1 and j= 2 </w:t>
      </w:r>
      <w:proofErr w:type="spellStart"/>
      <w:r w:rsidRPr="007C05CC">
        <w:rPr>
          <w:rFonts w:ascii="Arial" w:hAnsi="Arial" w:cs="Arial"/>
          <w:sz w:val="20"/>
          <w:szCs w:val="20"/>
        </w:rPr>
        <w:t>to n</w:t>
      </w:r>
      <w:proofErr w:type="spellEnd"/>
      <w:r w:rsidRPr="007C05CC">
        <w:rPr>
          <w:rFonts w:ascii="Arial" w:hAnsi="Arial" w:cs="Arial"/>
          <w:sz w:val="20"/>
          <w:szCs w:val="20"/>
        </w:rPr>
        <w:t>,</w:t>
      </w:r>
    </w:p>
    <w:p w14:paraId="213A65D0" w14:textId="77777777" w:rsidR="00DF49A1" w:rsidRPr="007C05CC" w:rsidRDefault="00DF49A1" w:rsidP="00DF49A1">
      <w:pPr>
        <w:rPr>
          <w:rFonts w:ascii="Arial" w:hAnsi="Arial" w:cs="Arial"/>
          <w:sz w:val="20"/>
          <w:szCs w:val="20"/>
        </w:rPr>
      </w:pPr>
      <w:proofErr w:type="spellStart"/>
      <w:r w:rsidRPr="007C05CC">
        <w:rPr>
          <w:rFonts w:ascii="Arial" w:hAnsi="Arial" w:cs="Arial"/>
          <w:sz w:val="20"/>
          <w:szCs w:val="20"/>
        </w:rPr>
        <w:t>Y</w:t>
      </w:r>
      <w:r w:rsidRPr="007C05CC">
        <w:rPr>
          <w:rFonts w:ascii="Arial" w:hAnsi="Arial" w:cs="Arial"/>
          <w:sz w:val="20"/>
          <w:szCs w:val="20"/>
          <w:vertAlign w:val="subscript"/>
        </w:rPr>
        <w:t>j</w:t>
      </w:r>
      <w:proofErr w:type="spellEnd"/>
      <w:r w:rsidRPr="007C05CC">
        <w:rPr>
          <w:rFonts w:ascii="Arial" w:hAnsi="Arial" w:cs="Arial"/>
          <w:sz w:val="20"/>
          <w:szCs w:val="20"/>
        </w:rPr>
        <w:t xml:space="preserve"> and Y</w:t>
      </w:r>
      <w:r w:rsidRPr="007C05CC">
        <w:rPr>
          <w:rFonts w:ascii="Arial" w:hAnsi="Arial" w:cs="Arial"/>
          <w:sz w:val="20"/>
          <w:szCs w:val="20"/>
          <w:vertAlign w:val="subscript"/>
        </w:rPr>
        <w:t>i</w:t>
      </w:r>
      <w:r w:rsidRPr="007C05CC">
        <w:rPr>
          <w:rFonts w:ascii="Arial" w:hAnsi="Arial" w:cs="Arial"/>
          <w:sz w:val="20"/>
          <w:szCs w:val="20"/>
        </w:rPr>
        <w:t xml:space="preserve"> are data values at time j and </w:t>
      </w:r>
      <w:proofErr w:type="spellStart"/>
      <w:r w:rsidRPr="007C05CC">
        <w:rPr>
          <w:rFonts w:ascii="Arial" w:hAnsi="Arial" w:cs="Arial"/>
          <w:sz w:val="20"/>
          <w:szCs w:val="20"/>
        </w:rPr>
        <w:t>i</w:t>
      </w:r>
      <w:proofErr w:type="spellEnd"/>
      <w:r w:rsidRPr="007C05CC">
        <w:rPr>
          <w:rFonts w:ascii="Arial" w:hAnsi="Arial" w:cs="Arial"/>
          <w:sz w:val="20"/>
          <w:szCs w:val="20"/>
        </w:rPr>
        <w:t xml:space="preserve"> (j ˃ </w:t>
      </w:r>
      <w:proofErr w:type="spellStart"/>
      <w:r w:rsidRPr="007C05CC">
        <w:rPr>
          <w:rFonts w:ascii="Arial" w:hAnsi="Arial" w:cs="Arial"/>
          <w:sz w:val="20"/>
          <w:szCs w:val="20"/>
        </w:rPr>
        <w:t>i</w:t>
      </w:r>
      <w:proofErr w:type="spellEnd"/>
      <w:r w:rsidRPr="007C05CC">
        <w:rPr>
          <w:rFonts w:ascii="Arial" w:hAnsi="Arial" w:cs="Arial"/>
          <w:sz w:val="20"/>
          <w:szCs w:val="20"/>
        </w:rPr>
        <w:t xml:space="preserve">), respectively.  </w:t>
      </w:r>
    </w:p>
    <w:p w14:paraId="58608E9D" w14:textId="77777777" w:rsidR="00DF49A1" w:rsidRPr="007C05CC" w:rsidRDefault="00DF49A1" w:rsidP="00DF49A1">
      <w:pPr>
        <w:spacing w:line="360" w:lineRule="auto"/>
        <w:jc w:val="both"/>
        <w:rPr>
          <w:rFonts w:ascii="Arial" w:hAnsi="Arial" w:cs="Arial"/>
          <w:sz w:val="20"/>
          <w:szCs w:val="20"/>
        </w:rPr>
      </w:pPr>
      <w:r w:rsidRPr="007C05CC">
        <w:rPr>
          <w:rFonts w:ascii="Arial" w:hAnsi="Arial" w:cs="Arial"/>
          <w:sz w:val="20"/>
          <w:szCs w:val="20"/>
        </w:rPr>
        <w:tab/>
        <w:t xml:space="preserve">If there are n values of </w:t>
      </w:r>
      <w:proofErr w:type="spellStart"/>
      <w:r w:rsidRPr="007C05CC">
        <w:rPr>
          <w:rFonts w:ascii="Arial" w:hAnsi="Arial" w:cs="Arial"/>
          <w:sz w:val="20"/>
          <w:szCs w:val="20"/>
        </w:rPr>
        <w:t>Y</w:t>
      </w:r>
      <w:r w:rsidRPr="007C05CC">
        <w:rPr>
          <w:rFonts w:ascii="Arial" w:hAnsi="Arial" w:cs="Arial"/>
          <w:sz w:val="20"/>
          <w:szCs w:val="20"/>
          <w:vertAlign w:val="subscript"/>
        </w:rPr>
        <w:t>j</w:t>
      </w:r>
      <w:proofErr w:type="spellEnd"/>
      <w:r w:rsidRPr="007C05CC">
        <w:rPr>
          <w:rFonts w:ascii="Arial" w:hAnsi="Arial" w:cs="Arial"/>
          <w:sz w:val="20"/>
          <w:szCs w:val="20"/>
        </w:rPr>
        <w:t xml:space="preserve"> in the time series, there will be N= n (n-1)/2 slope estimates.  The Sen’s slope is the median slope of these N values of slopes.  </w:t>
      </w:r>
    </w:p>
    <w:p w14:paraId="0B4C03C4" w14:textId="77777777" w:rsidR="00DF49A1" w:rsidRPr="007C05CC" w:rsidRDefault="00DF49A1" w:rsidP="00DF49A1">
      <w:pPr>
        <w:rPr>
          <w:rFonts w:ascii="Arial" w:hAnsi="Arial" w:cs="Arial"/>
          <w:sz w:val="20"/>
          <w:szCs w:val="20"/>
        </w:rPr>
      </w:pPr>
      <w:r w:rsidRPr="007C05CC">
        <w:rPr>
          <w:rFonts w:ascii="Arial" w:hAnsi="Arial" w:cs="Arial"/>
          <w:sz w:val="20"/>
          <w:szCs w:val="20"/>
        </w:rPr>
        <w:t>The Sen’s slope is:</w:t>
      </w:r>
    </w:p>
    <w:p w14:paraId="7E392ACD" w14:textId="77777777" w:rsidR="00DF49A1" w:rsidRPr="007C05CC" w:rsidRDefault="00DF49A1" w:rsidP="00DF49A1">
      <w:pPr>
        <w:rPr>
          <w:rFonts w:ascii="Arial" w:hAnsi="Arial" w:cs="Arial"/>
          <w:sz w:val="20"/>
          <w:szCs w:val="20"/>
        </w:rPr>
      </w:pPr>
      <m:oMath>
        <m:r>
          <w:rPr>
            <w:rFonts w:ascii="Cambria Math" w:hAnsi="Cambria Math" w:cs="Arial"/>
            <w:sz w:val="20"/>
            <w:szCs w:val="20"/>
          </w:rPr>
          <m:t>m=</m:t>
        </m:r>
        <m:sSub>
          <m:sSubPr>
            <m:ctrlPr>
              <w:rPr>
                <w:rFonts w:ascii="Cambria Math" w:hAnsi="Cambria Math" w:cs="Arial"/>
                <w:i/>
                <w:sz w:val="20"/>
                <w:szCs w:val="20"/>
              </w:rPr>
            </m:ctrlPr>
          </m:sSubPr>
          <m:e>
            <m:r>
              <w:rPr>
                <w:rFonts w:ascii="Cambria Math" w:hAnsi="Cambria Math" w:cs="Arial"/>
                <w:sz w:val="20"/>
                <w:szCs w:val="20"/>
              </w:rPr>
              <m:t>m</m:t>
            </m:r>
          </m:e>
          <m:sub>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N+1</m:t>
                </m:r>
              </m:num>
              <m:den>
                <m:r>
                  <w:rPr>
                    <w:rFonts w:ascii="Cambria Math" w:hAnsi="Cambria Math" w:cs="Arial"/>
                    <w:sz w:val="20"/>
                    <w:szCs w:val="20"/>
                  </w:rPr>
                  <m:t>2</m:t>
                </m:r>
              </m:den>
            </m:f>
            <m:r>
              <w:rPr>
                <w:rFonts w:ascii="Cambria Math" w:hAnsi="Cambria Math" w:cs="Arial"/>
                <w:sz w:val="20"/>
                <w:szCs w:val="20"/>
              </w:rPr>
              <m:t>)</m:t>
            </m:r>
          </m:sub>
        </m:sSub>
      </m:oMath>
      <w:r w:rsidRPr="007C05CC">
        <w:rPr>
          <w:rFonts w:ascii="Arial" w:hAnsi="Arial" w:cs="Arial"/>
          <w:sz w:val="20"/>
          <w:szCs w:val="20"/>
        </w:rPr>
        <w:t>, if n is odd</w:t>
      </w:r>
    </w:p>
    <w:p w14:paraId="722BE7F1" w14:textId="77777777" w:rsidR="00DF49A1" w:rsidRPr="007C05CC" w:rsidRDefault="00DF49A1" w:rsidP="00DF49A1">
      <w:pPr>
        <w:rPr>
          <w:rFonts w:ascii="Arial" w:hAnsi="Arial" w:cs="Arial"/>
          <w:sz w:val="20"/>
          <w:szCs w:val="20"/>
        </w:rPr>
      </w:pPr>
      <m:oMath>
        <m:r>
          <w:rPr>
            <w:rFonts w:ascii="Cambria Math" w:hAnsi="Cambria Math" w:cs="Arial"/>
            <w:sz w:val="20"/>
            <w:szCs w:val="20"/>
          </w:rPr>
          <m:t>m=</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m:t>
            </m:r>
          </m:e>
          <m:sub>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N</m:t>
                    </m:r>
                  </m:num>
                  <m:den>
                    <m:r>
                      <w:rPr>
                        <w:rFonts w:ascii="Cambria Math" w:hAnsi="Cambria Math" w:cs="Arial"/>
                        <w:sz w:val="20"/>
                        <w:szCs w:val="20"/>
                      </w:rPr>
                      <m:t>2</m:t>
                    </m:r>
                  </m:den>
                </m:f>
              </m:e>
            </m:d>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m</m:t>
            </m:r>
          </m:e>
          <m:sub>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N+1</m:t>
                    </m:r>
                  </m:num>
                  <m:den>
                    <m:r>
                      <w:rPr>
                        <w:rFonts w:ascii="Cambria Math" w:hAnsi="Cambria Math" w:cs="Arial"/>
                        <w:sz w:val="20"/>
                        <w:szCs w:val="20"/>
                      </w:rPr>
                      <m:t>2</m:t>
                    </m:r>
                  </m:den>
                </m:f>
              </m:e>
            </m:d>
          </m:sub>
        </m:sSub>
        <m:r>
          <w:rPr>
            <w:rFonts w:ascii="Cambria Math" w:hAnsi="Cambria Math" w:cs="Arial"/>
            <w:sz w:val="20"/>
            <w:szCs w:val="20"/>
          </w:rPr>
          <m:t>)</m:t>
        </m:r>
      </m:oMath>
      <w:r w:rsidRPr="007C05CC">
        <w:rPr>
          <w:rFonts w:ascii="Arial" w:hAnsi="Arial" w:cs="Arial"/>
          <w:sz w:val="20"/>
          <w:szCs w:val="20"/>
        </w:rPr>
        <w:t>, if n is even</w:t>
      </w:r>
    </w:p>
    <w:p w14:paraId="196DF0EE" w14:textId="77777777" w:rsidR="00DF49A1" w:rsidRDefault="00DF49A1" w:rsidP="00DF49A1">
      <w:pPr>
        <w:spacing w:line="360" w:lineRule="auto"/>
        <w:rPr>
          <w:rFonts w:ascii="Arial" w:hAnsi="Arial" w:cs="Arial"/>
          <w:sz w:val="20"/>
          <w:szCs w:val="20"/>
        </w:rPr>
      </w:pPr>
      <w:r w:rsidRPr="007C05CC">
        <w:rPr>
          <w:rFonts w:ascii="Arial" w:hAnsi="Arial" w:cs="Arial"/>
          <w:sz w:val="20"/>
          <w:szCs w:val="20"/>
        </w:rPr>
        <w:t>Positive Sen’s slope indicates a rising trend, while the negative Sen’s slope indicates a falling trend.</w:t>
      </w:r>
    </w:p>
    <w:p w14:paraId="29C08EFD" w14:textId="77777777" w:rsidR="007C05CC" w:rsidRDefault="007C05CC" w:rsidP="00DF49A1">
      <w:pPr>
        <w:spacing w:line="360" w:lineRule="auto"/>
        <w:rPr>
          <w:rFonts w:ascii="Times New Roman" w:hAnsi="Times New Roman" w:cs="Times New Roman"/>
          <w:sz w:val="24"/>
          <w:szCs w:val="24"/>
        </w:rPr>
      </w:pPr>
    </w:p>
    <w:p w14:paraId="5B3A400C" w14:textId="77777777" w:rsidR="00DF49A1" w:rsidRPr="007C05CC" w:rsidRDefault="007C05CC" w:rsidP="00DF49A1">
      <w:pPr>
        <w:spacing w:line="360" w:lineRule="auto"/>
        <w:rPr>
          <w:rFonts w:ascii="Arial" w:hAnsi="Arial" w:cs="Arial"/>
          <w:b/>
          <w:szCs w:val="24"/>
        </w:rPr>
      </w:pPr>
      <w:r w:rsidRPr="007C05CC">
        <w:rPr>
          <w:rFonts w:ascii="Arial" w:hAnsi="Arial" w:cs="Arial"/>
          <w:b/>
          <w:szCs w:val="24"/>
        </w:rPr>
        <w:lastRenderedPageBreak/>
        <w:t>4. RESULTS AND DISCUSSION</w:t>
      </w:r>
    </w:p>
    <w:p w14:paraId="64B7F8C7" w14:textId="77777777" w:rsidR="00DF49A1" w:rsidRPr="007C05CC" w:rsidRDefault="00DF49A1" w:rsidP="00DF49A1">
      <w:pPr>
        <w:spacing w:line="360" w:lineRule="auto"/>
        <w:rPr>
          <w:rFonts w:ascii="Arial" w:hAnsi="Arial" w:cs="Arial"/>
          <w:b/>
          <w:sz w:val="24"/>
          <w:szCs w:val="24"/>
        </w:rPr>
      </w:pPr>
      <w:r w:rsidRPr="007C05CC">
        <w:rPr>
          <w:rFonts w:ascii="Arial" w:hAnsi="Arial" w:cs="Arial"/>
          <w:b/>
          <w:szCs w:val="24"/>
        </w:rPr>
        <w:t>4.1 Temporal variation of groundwater level dynamics</w:t>
      </w:r>
    </w:p>
    <w:p w14:paraId="00CFE421" w14:textId="77777777" w:rsidR="00DF49A1" w:rsidRPr="007C05CC" w:rsidRDefault="00DF49A1" w:rsidP="00DF49A1">
      <w:pPr>
        <w:pStyle w:val="NormalWeb"/>
        <w:spacing w:line="360" w:lineRule="auto"/>
        <w:ind w:firstLine="720"/>
        <w:jc w:val="both"/>
        <w:rPr>
          <w:rFonts w:ascii="Arial" w:hAnsi="Arial" w:cs="Arial"/>
          <w:color w:val="EE0000"/>
          <w:sz w:val="20"/>
        </w:rPr>
      </w:pPr>
      <w:r w:rsidRPr="007C05CC">
        <w:rPr>
          <w:rFonts w:ascii="Arial" w:hAnsi="Arial" w:cs="Arial"/>
          <w:color w:val="000000"/>
          <w:sz w:val="20"/>
          <w:szCs w:val="23"/>
          <w:shd w:val="clear" w:color="auto" w:fill="FFFFFF"/>
        </w:rPr>
        <w:t xml:space="preserve">The analysis of the mean groundwater level (m </w:t>
      </w:r>
      <w:proofErr w:type="spellStart"/>
      <w:r w:rsidRPr="007C05CC">
        <w:rPr>
          <w:rFonts w:ascii="Arial" w:hAnsi="Arial" w:cs="Arial"/>
          <w:color w:val="000000"/>
          <w:sz w:val="20"/>
          <w:szCs w:val="23"/>
          <w:shd w:val="clear" w:color="auto" w:fill="FFFFFF"/>
        </w:rPr>
        <w:t>bgl</w:t>
      </w:r>
      <w:proofErr w:type="spellEnd"/>
      <w:r w:rsidRPr="007C05CC">
        <w:rPr>
          <w:rFonts w:ascii="Arial" w:hAnsi="Arial" w:cs="Arial"/>
          <w:color w:val="000000"/>
          <w:sz w:val="20"/>
          <w:szCs w:val="23"/>
          <w:shd w:val="clear" w:color="auto" w:fill="FFFFFF"/>
        </w:rPr>
        <w:t xml:space="preserve">) relative to rainfall (Fig. 4) revealed a strong climatic dependency of the shallow hard-rock aquifer system in the </w:t>
      </w:r>
      <w:proofErr w:type="spellStart"/>
      <w:r w:rsidRPr="007C05CC">
        <w:rPr>
          <w:rFonts w:ascii="Arial" w:hAnsi="Arial" w:cs="Arial"/>
          <w:color w:val="000000"/>
          <w:sz w:val="20"/>
          <w:szCs w:val="23"/>
          <w:shd w:val="clear" w:color="auto" w:fill="FFFFFF"/>
        </w:rPr>
        <w:t>Chittur</w:t>
      </w:r>
      <w:proofErr w:type="spellEnd"/>
      <w:r w:rsidRPr="007C05CC">
        <w:rPr>
          <w:rFonts w:ascii="Arial" w:hAnsi="Arial" w:cs="Arial"/>
          <w:color w:val="000000"/>
          <w:sz w:val="20"/>
          <w:szCs w:val="23"/>
          <w:shd w:val="clear" w:color="auto" w:fill="FFFFFF"/>
        </w:rPr>
        <w:t xml:space="preserve"> Block.</w:t>
      </w:r>
      <w:r w:rsidRPr="007C05CC">
        <w:rPr>
          <w:rFonts w:ascii="Arial" w:hAnsi="Arial" w:cs="Arial"/>
          <w:color w:val="EE0000"/>
          <w:sz w:val="20"/>
          <w:szCs w:val="23"/>
          <w:shd w:val="clear" w:color="auto" w:fill="FFFFFF"/>
        </w:rPr>
        <w:t xml:space="preserve"> </w:t>
      </w:r>
      <w:r w:rsidRPr="007C05CC">
        <w:rPr>
          <w:rFonts w:ascii="Arial" w:hAnsi="Arial" w:cs="Arial"/>
          <w:sz w:val="20"/>
        </w:rPr>
        <w:t>Groundwater level observations showed considerable spatial variability, a characteristic of hard-rock terrains where water storage is controlled by fracture patterns and weathered zones (</w:t>
      </w:r>
      <w:r w:rsidRPr="00F512AC">
        <w:rPr>
          <w:rFonts w:ascii="Arial" w:hAnsi="Arial" w:cs="Arial"/>
          <w:color w:val="000000" w:themeColor="text1"/>
          <w:sz w:val="20"/>
        </w:rPr>
        <w:t>Shaji et al., 2018</w:t>
      </w:r>
      <w:r w:rsidRPr="007C05CC">
        <w:rPr>
          <w:rFonts w:ascii="Arial" w:hAnsi="Arial" w:cs="Arial"/>
          <w:sz w:val="20"/>
        </w:rPr>
        <w:t xml:space="preserve">). Wells like PKD S-7 and well no. 141 recorded substantially deeper water levels (up to 20 m </w:t>
      </w:r>
      <w:proofErr w:type="spellStart"/>
      <w:r w:rsidRPr="007C05CC">
        <w:rPr>
          <w:rFonts w:ascii="Arial" w:hAnsi="Arial" w:cs="Arial"/>
          <w:sz w:val="20"/>
        </w:rPr>
        <w:t>bgl</w:t>
      </w:r>
      <w:proofErr w:type="spellEnd"/>
      <w:r w:rsidRPr="007C05CC">
        <w:rPr>
          <w:rFonts w:ascii="Arial" w:hAnsi="Arial" w:cs="Arial"/>
          <w:sz w:val="20"/>
        </w:rPr>
        <w:t xml:space="preserve">) in areas </w:t>
      </w:r>
      <w:proofErr w:type="spellStart"/>
      <w:r w:rsidRPr="007C05CC">
        <w:rPr>
          <w:rFonts w:ascii="Arial" w:hAnsi="Arial" w:cs="Arial"/>
          <w:sz w:val="20"/>
        </w:rPr>
        <w:t>Perumatty</w:t>
      </w:r>
      <w:proofErr w:type="spellEnd"/>
      <w:r w:rsidRPr="007C05CC">
        <w:rPr>
          <w:rFonts w:ascii="Arial" w:hAnsi="Arial" w:cs="Arial"/>
          <w:sz w:val="20"/>
        </w:rPr>
        <w:t xml:space="preserve"> and </w:t>
      </w:r>
      <w:proofErr w:type="spellStart"/>
      <w:r w:rsidRPr="007C05CC">
        <w:rPr>
          <w:rFonts w:ascii="Arial" w:hAnsi="Arial" w:cs="Arial"/>
          <w:sz w:val="20"/>
        </w:rPr>
        <w:t>Vadakarapathy</w:t>
      </w:r>
      <w:proofErr w:type="spellEnd"/>
      <w:r w:rsidRPr="007C05CC">
        <w:rPr>
          <w:rFonts w:ascii="Arial" w:hAnsi="Arial" w:cs="Arial"/>
          <w:sz w:val="20"/>
        </w:rPr>
        <w:t xml:space="preserve"> panchayats</w:t>
      </w:r>
      <w:r w:rsidRPr="007C05CC">
        <w:rPr>
          <w:rFonts w:ascii="Arial" w:hAnsi="Arial" w:cs="Arial"/>
          <w:color w:val="EE0000"/>
          <w:sz w:val="20"/>
        </w:rPr>
        <w:t>.</w:t>
      </w:r>
      <w:r w:rsidRPr="007C05CC">
        <w:rPr>
          <w:rFonts w:ascii="Arial" w:hAnsi="Arial" w:cs="Arial"/>
          <w:sz w:val="20"/>
        </w:rPr>
        <w:t xml:space="preserve"> This </w:t>
      </w:r>
      <w:proofErr w:type="gramStart"/>
      <w:r w:rsidRPr="007C05CC">
        <w:rPr>
          <w:rFonts w:ascii="Arial" w:hAnsi="Arial" w:cs="Arial"/>
          <w:sz w:val="20"/>
        </w:rPr>
        <w:t>deep water</w:t>
      </w:r>
      <w:proofErr w:type="gramEnd"/>
      <w:r w:rsidRPr="007C05CC">
        <w:rPr>
          <w:rFonts w:ascii="Arial" w:hAnsi="Arial" w:cs="Arial"/>
          <w:sz w:val="20"/>
        </w:rPr>
        <w:t xml:space="preserve"> </w:t>
      </w:r>
      <w:r w:rsidRPr="00C71BA7">
        <w:rPr>
          <w:rFonts w:ascii="Arial" w:hAnsi="Arial" w:cs="Arial"/>
          <w:sz w:val="20"/>
        </w:rPr>
        <w:t>table</w:t>
      </w:r>
      <w:r w:rsidRPr="007C05CC">
        <w:rPr>
          <w:rFonts w:ascii="Arial" w:hAnsi="Arial" w:cs="Arial"/>
          <w:sz w:val="20"/>
        </w:rPr>
        <w:t xml:space="preserve"> signals areas under intense, sustained groundwater abstraction, likely for irrigation, combined with limited recharge potential. Conversely, wells such as 126, 139, 149, 150, 151, PKD S-6, and PKD S-8 exhibited shallower, relatively s</w:t>
      </w:r>
      <w:r w:rsidRPr="00C71BA7">
        <w:rPr>
          <w:rFonts w:ascii="Arial" w:hAnsi="Arial" w:cs="Arial"/>
          <w:sz w:val="20"/>
        </w:rPr>
        <w:t>table</w:t>
      </w:r>
      <w:r w:rsidRPr="007C05CC">
        <w:rPr>
          <w:rFonts w:ascii="Arial" w:hAnsi="Arial" w:cs="Arial"/>
          <w:sz w:val="20"/>
        </w:rPr>
        <w:t xml:space="preserve"> water levels (mostly within 10 m </w:t>
      </w:r>
      <w:proofErr w:type="spellStart"/>
      <w:r w:rsidRPr="007C05CC">
        <w:rPr>
          <w:rFonts w:ascii="Arial" w:hAnsi="Arial" w:cs="Arial"/>
          <w:sz w:val="20"/>
        </w:rPr>
        <w:t>bgl</w:t>
      </w:r>
      <w:proofErr w:type="spellEnd"/>
      <w:r w:rsidRPr="007C05CC">
        <w:rPr>
          <w:rFonts w:ascii="Arial" w:hAnsi="Arial" w:cs="Arial"/>
          <w:sz w:val="20"/>
        </w:rPr>
        <w:t xml:space="preserve">) in areas </w:t>
      </w:r>
      <w:proofErr w:type="spellStart"/>
      <w:r w:rsidRPr="007C05CC">
        <w:rPr>
          <w:rFonts w:ascii="Arial" w:hAnsi="Arial" w:cs="Arial"/>
          <w:sz w:val="20"/>
        </w:rPr>
        <w:t>Chittur</w:t>
      </w:r>
      <w:proofErr w:type="spellEnd"/>
      <w:r w:rsidRPr="007C05CC">
        <w:rPr>
          <w:rFonts w:ascii="Arial" w:hAnsi="Arial" w:cs="Arial"/>
          <w:sz w:val="20"/>
        </w:rPr>
        <w:t xml:space="preserve"> municipality, </w:t>
      </w:r>
      <w:proofErr w:type="spellStart"/>
      <w:r w:rsidRPr="007C05CC">
        <w:rPr>
          <w:rFonts w:ascii="Arial" w:hAnsi="Arial" w:cs="Arial"/>
          <w:sz w:val="20"/>
        </w:rPr>
        <w:t>Nallepilly</w:t>
      </w:r>
      <w:proofErr w:type="spellEnd"/>
      <w:r w:rsidRPr="007C05CC">
        <w:rPr>
          <w:rFonts w:ascii="Arial" w:hAnsi="Arial" w:cs="Arial"/>
          <w:sz w:val="20"/>
        </w:rPr>
        <w:t xml:space="preserve">, </w:t>
      </w:r>
      <w:proofErr w:type="spellStart"/>
      <w:r w:rsidRPr="007C05CC">
        <w:rPr>
          <w:rFonts w:ascii="Arial" w:hAnsi="Arial" w:cs="Arial"/>
          <w:sz w:val="20"/>
        </w:rPr>
        <w:t>Pattenchery</w:t>
      </w:r>
      <w:proofErr w:type="spellEnd"/>
      <w:r w:rsidRPr="007C05CC">
        <w:rPr>
          <w:rFonts w:ascii="Arial" w:hAnsi="Arial" w:cs="Arial"/>
          <w:sz w:val="20"/>
        </w:rPr>
        <w:t xml:space="preserve"> panchayats indicating </w:t>
      </w:r>
      <w:proofErr w:type="spellStart"/>
      <w:r w:rsidRPr="007C05CC">
        <w:rPr>
          <w:rFonts w:ascii="Arial" w:hAnsi="Arial" w:cs="Arial"/>
          <w:sz w:val="20"/>
        </w:rPr>
        <w:t>favourable</w:t>
      </w:r>
      <w:proofErr w:type="spellEnd"/>
      <w:r w:rsidRPr="007C05CC">
        <w:rPr>
          <w:rFonts w:ascii="Arial" w:hAnsi="Arial" w:cs="Arial"/>
          <w:sz w:val="20"/>
        </w:rPr>
        <w:t xml:space="preserve"> recharge conditions or lower abstraction stress.</w:t>
      </w:r>
    </w:p>
    <w:p w14:paraId="426F86CD" w14:textId="77777777" w:rsidR="00DF49A1" w:rsidRPr="007C05CC" w:rsidRDefault="00DF49A1" w:rsidP="00DF49A1">
      <w:pPr>
        <w:pStyle w:val="NormalWeb"/>
        <w:spacing w:line="360" w:lineRule="auto"/>
        <w:ind w:firstLine="720"/>
        <w:jc w:val="both"/>
        <w:rPr>
          <w:rFonts w:ascii="Arial" w:hAnsi="Arial" w:cs="Arial"/>
          <w:sz w:val="20"/>
        </w:rPr>
      </w:pPr>
      <w:r w:rsidRPr="007C05CC">
        <w:rPr>
          <w:rFonts w:ascii="Arial" w:hAnsi="Arial" w:cs="Arial"/>
          <w:sz w:val="20"/>
        </w:rPr>
        <w:t>Temporal hydrographs clearly demonstrated that rainfall served as the primary driver of groundwater recharge. Deeper water levels were consistently observed during drought periods (notably post-2016), reflecting a significant net depletion of storage, while a partial recovery was noted during years with higher precipitation (e.g., 2018, during which high rainfall and floods in Kerala). This direct correlation confirmed the unconfined nature of the phreatic aquifer and its immediate response to monsoonal input.</w:t>
      </w:r>
    </w:p>
    <w:p w14:paraId="4B9344E2" w14:textId="77777777" w:rsidR="00DF49A1" w:rsidRPr="007C05CC" w:rsidRDefault="00DF49A1" w:rsidP="00DF49A1">
      <w:pPr>
        <w:pStyle w:val="ListParagraph"/>
        <w:spacing w:after="0"/>
        <w:ind w:left="360"/>
        <w:rPr>
          <w:rFonts w:ascii="Arial" w:hAnsi="Arial" w:cs="Arial"/>
          <w:color w:val="000000"/>
          <w:sz w:val="20"/>
          <w:szCs w:val="23"/>
          <w:shd w:val="clear" w:color="auto" w:fill="FFFFFF"/>
        </w:rPr>
      </w:pPr>
      <w:r w:rsidRPr="007C05CC">
        <w:rPr>
          <w:rFonts w:ascii="Arial" w:hAnsi="Arial" w:cs="Arial"/>
          <w:noProof/>
          <w:sz w:val="18"/>
        </w:rPr>
        <w:drawing>
          <wp:inline distT="0" distB="0" distL="0" distR="0" wp14:anchorId="1F9C57B0" wp14:editId="4BDCAB44">
            <wp:extent cx="5620385" cy="2876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5213" cy="2879021"/>
                    </a:xfrm>
                    <a:prstGeom prst="rect">
                      <a:avLst/>
                    </a:prstGeom>
                  </pic:spPr>
                </pic:pic>
              </a:graphicData>
            </a:graphic>
          </wp:inline>
        </w:drawing>
      </w:r>
    </w:p>
    <w:p w14:paraId="6BC6724F" w14:textId="77777777" w:rsidR="00DF49A1" w:rsidRPr="007C05CC" w:rsidRDefault="00DF49A1" w:rsidP="00DF49A1">
      <w:pPr>
        <w:pStyle w:val="ListParagraph"/>
        <w:ind w:left="360"/>
        <w:jc w:val="center"/>
        <w:rPr>
          <w:rFonts w:ascii="Arial" w:hAnsi="Arial" w:cs="Arial"/>
          <w:b/>
          <w:color w:val="000000"/>
          <w:sz w:val="20"/>
          <w:szCs w:val="23"/>
          <w:shd w:val="clear" w:color="auto" w:fill="FFFFFF"/>
        </w:rPr>
      </w:pPr>
      <w:r w:rsidRPr="007C05CC">
        <w:rPr>
          <w:rFonts w:ascii="Arial" w:hAnsi="Arial" w:cs="Arial"/>
          <w:b/>
          <w:color w:val="000000"/>
          <w:sz w:val="20"/>
          <w:szCs w:val="23"/>
          <w:shd w:val="clear" w:color="auto" w:fill="FFFFFF"/>
        </w:rPr>
        <w:t xml:space="preserve">Fig. 4 Variation of mean groundwater level (m </w:t>
      </w:r>
      <w:proofErr w:type="spellStart"/>
      <w:r w:rsidRPr="007C05CC">
        <w:rPr>
          <w:rFonts w:ascii="Arial" w:hAnsi="Arial" w:cs="Arial"/>
          <w:b/>
          <w:color w:val="000000"/>
          <w:sz w:val="20"/>
          <w:szCs w:val="23"/>
          <w:shd w:val="clear" w:color="auto" w:fill="FFFFFF"/>
        </w:rPr>
        <w:t>bgl</w:t>
      </w:r>
      <w:proofErr w:type="spellEnd"/>
      <w:r w:rsidRPr="007C05CC">
        <w:rPr>
          <w:rFonts w:ascii="Arial" w:hAnsi="Arial" w:cs="Arial"/>
          <w:b/>
          <w:color w:val="000000"/>
          <w:sz w:val="20"/>
          <w:szCs w:val="23"/>
          <w:shd w:val="clear" w:color="auto" w:fill="FFFFFF"/>
        </w:rPr>
        <w:t>) with respect to rainfall</w:t>
      </w:r>
    </w:p>
    <w:p w14:paraId="371C233B" w14:textId="77777777" w:rsidR="00DF49A1" w:rsidRPr="007C05CC" w:rsidRDefault="00DF49A1" w:rsidP="00DF49A1">
      <w:pPr>
        <w:pStyle w:val="NormalWeb"/>
        <w:spacing w:line="360" w:lineRule="auto"/>
        <w:ind w:firstLine="720"/>
        <w:jc w:val="both"/>
        <w:rPr>
          <w:rFonts w:ascii="Arial" w:hAnsi="Arial" w:cs="Arial"/>
          <w:sz w:val="20"/>
        </w:rPr>
      </w:pPr>
      <w:r w:rsidRPr="007C05CC">
        <w:rPr>
          <w:rFonts w:ascii="Arial" w:hAnsi="Arial" w:cs="Arial"/>
          <w:sz w:val="20"/>
        </w:rPr>
        <w:t>The coexistence of deeply stressed wells and shallow, s</w:t>
      </w:r>
      <w:r w:rsidRPr="00C71BA7">
        <w:rPr>
          <w:rFonts w:ascii="Arial" w:hAnsi="Arial" w:cs="Arial"/>
          <w:sz w:val="20"/>
        </w:rPr>
        <w:t>table</w:t>
      </w:r>
      <w:r w:rsidRPr="007C05CC">
        <w:rPr>
          <w:rFonts w:ascii="Arial" w:hAnsi="Arial" w:cs="Arial"/>
          <w:sz w:val="20"/>
        </w:rPr>
        <w:t xml:space="preserve"> wells reflected the spatial heterogeneity of aquifer resilience in the hard-rock environment. The deeper wells are likely tapping highly </w:t>
      </w:r>
      <w:proofErr w:type="spellStart"/>
      <w:r w:rsidRPr="007C05CC">
        <w:rPr>
          <w:rFonts w:ascii="Arial" w:hAnsi="Arial" w:cs="Arial"/>
          <w:sz w:val="20"/>
        </w:rPr>
        <w:t>utilised</w:t>
      </w:r>
      <w:proofErr w:type="spellEnd"/>
      <w:r w:rsidRPr="007C05CC">
        <w:rPr>
          <w:rFonts w:ascii="Arial" w:hAnsi="Arial" w:cs="Arial"/>
          <w:sz w:val="20"/>
        </w:rPr>
        <w:t xml:space="preserve"> </w:t>
      </w:r>
      <w:proofErr w:type="spellStart"/>
      <w:r w:rsidRPr="007C05CC">
        <w:rPr>
          <w:rFonts w:ascii="Arial" w:hAnsi="Arial" w:cs="Arial"/>
          <w:sz w:val="20"/>
        </w:rPr>
        <w:t>localised</w:t>
      </w:r>
      <w:proofErr w:type="spellEnd"/>
      <w:r w:rsidRPr="007C05CC">
        <w:rPr>
          <w:rFonts w:ascii="Arial" w:hAnsi="Arial" w:cs="Arial"/>
          <w:sz w:val="20"/>
        </w:rPr>
        <w:t xml:space="preserve"> fracture systems or are situated in areas classified as 'over-exploited' by the Central </w:t>
      </w:r>
      <w:r w:rsidRPr="007C05CC">
        <w:rPr>
          <w:rFonts w:ascii="Arial" w:hAnsi="Arial" w:cs="Arial"/>
          <w:sz w:val="20"/>
        </w:rPr>
        <w:lastRenderedPageBreak/>
        <w:t xml:space="preserve">Ground Water Board (CGWB) due to intensive agriculture, a known scenario in the </w:t>
      </w:r>
      <w:proofErr w:type="spellStart"/>
      <w:r w:rsidRPr="007C05CC">
        <w:rPr>
          <w:rFonts w:ascii="Arial" w:hAnsi="Arial" w:cs="Arial"/>
          <w:sz w:val="20"/>
        </w:rPr>
        <w:t>Chittur</w:t>
      </w:r>
      <w:proofErr w:type="spellEnd"/>
      <w:r w:rsidRPr="007C05CC">
        <w:rPr>
          <w:rFonts w:ascii="Arial" w:hAnsi="Arial" w:cs="Arial"/>
          <w:sz w:val="20"/>
        </w:rPr>
        <w:t xml:space="preserve"> block (</w:t>
      </w:r>
      <w:proofErr w:type="spellStart"/>
      <w:r w:rsidRPr="00F512AC">
        <w:rPr>
          <w:rFonts w:ascii="Arial" w:hAnsi="Arial" w:cs="Arial"/>
          <w:color w:val="000000" w:themeColor="text1"/>
          <w:sz w:val="20"/>
        </w:rPr>
        <w:t>Praseeja</w:t>
      </w:r>
      <w:proofErr w:type="spellEnd"/>
      <w:r w:rsidRPr="00F512AC">
        <w:rPr>
          <w:rFonts w:ascii="Arial" w:hAnsi="Arial" w:cs="Arial"/>
          <w:color w:val="000000" w:themeColor="text1"/>
          <w:sz w:val="20"/>
        </w:rPr>
        <w:t xml:space="preserve"> and Younus, 2024;</w:t>
      </w:r>
      <w:r w:rsidRPr="007C05CC">
        <w:rPr>
          <w:rFonts w:ascii="Arial" w:hAnsi="Arial" w:cs="Arial"/>
          <w:sz w:val="20"/>
        </w:rPr>
        <w:t xml:space="preserve"> Shaji et al., 2018). Long-term sustainability, therefore, is not solely dependent on total rainfall but critically relies on local hydrogeology, land use, and abstraction intensity, which collectively determine the depth and recovery pattern of the groundwater </w:t>
      </w:r>
      <w:r w:rsidRPr="00C71BA7">
        <w:rPr>
          <w:rFonts w:ascii="Arial" w:hAnsi="Arial" w:cs="Arial"/>
          <w:sz w:val="20"/>
        </w:rPr>
        <w:t>table</w:t>
      </w:r>
      <w:r w:rsidRPr="007C05CC">
        <w:rPr>
          <w:rFonts w:ascii="Arial" w:hAnsi="Arial" w:cs="Arial"/>
          <w:sz w:val="20"/>
        </w:rPr>
        <w:t>.</w:t>
      </w:r>
    </w:p>
    <w:p w14:paraId="4D8062E1" w14:textId="77777777" w:rsidR="00DF49A1" w:rsidRPr="007C05CC" w:rsidRDefault="00DF49A1" w:rsidP="00DF49A1">
      <w:pPr>
        <w:spacing w:line="360" w:lineRule="auto"/>
        <w:jc w:val="both"/>
        <w:rPr>
          <w:rFonts w:ascii="Arial" w:hAnsi="Arial" w:cs="Arial"/>
          <w:b/>
          <w:bCs/>
          <w:szCs w:val="24"/>
        </w:rPr>
      </w:pPr>
      <w:r w:rsidRPr="007C05CC">
        <w:rPr>
          <w:rFonts w:ascii="Arial" w:hAnsi="Arial" w:cs="Arial"/>
          <w:b/>
          <w:bCs/>
          <w:szCs w:val="24"/>
        </w:rPr>
        <w:t>4.2 Spatial variation of groundwater level dynamics</w:t>
      </w:r>
    </w:p>
    <w:p w14:paraId="515E206A" w14:textId="77777777" w:rsidR="00DF49A1" w:rsidRPr="007C05CC" w:rsidRDefault="00DF49A1" w:rsidP="00DF49A1">
      <w:pPr>
        <w:spacing w:line="360" w:lineRule="auto"/>
        <w:ind w:firstLine="720"/>
        <w:jc w:val="both"/>
        <w:rPr>
          <w:rFonts w:ascii="Arial" w:hAnsi="Arial" w:cs="Arial"/>
          <w:sz w:val="20"/>
        </w:rPr>
      </w:pPr>
      <w:r w:rsidRPr="007C05CC">
        <w:rPr>
          <w:rFonts w:ascii="Arial" w:hAnsi="Arial" w:cs="Arial"/>
          <w:sz w:val="20"/>
        </w:rPr>
        <w:t xml:space="preserve">Spatial groundwater level variation maps (Fig. 5 and Fig.6) generated for key years (1994, 2000, 2010, 2017, and 2022) illustrated the long-term evolution of groundwater storage under coupled hydroclimatic and anthropogenic influences. These maps were prepared for both pre-monsoon (March–May) and post-monsoon (October–November) periods, thereby enabling the identification of zones of recharge, decline, and fluctuation. </w:t>
      </w:r>
    </w:p>
    <w:p w14:paraId="230E51B6" w14:textId="77777777" w:rsidR="00DF49A1" w:rsidRPr="009554DE" w:rsidRDefault="009554DE" w:rsidP="00DF49A1">
      <w:pPr>
        <w:spacing w:line="360" w:lineRule="auto"/>
        <w:jc w:val="both"/>
        <w:rPr>
          <w:rFonts w:ascii="Arial" w:hAnsi="Arial" w:cs="Arial"/>
          <w:sz w:val="20"/>
          <w:u w:val="single"/>
        </w:rPr>
      </w:pPr>
      <w:r w:rsidRPr="009554DE">
        <w:rPr>
          <w:rFonts w:ascii="Arial" w:hAnsi="Arial" w:cs="Arial"/>
          <w:b/>
          <w:bCs/>
          <w:color w:val="000000" w:themeColor="text1"/>
          <w:sz w:val="20"/>
          <w:u w:val="single"/>
        </w:rPr>
        <w:t xml:space="preserve">4.2.1 </w:t>
      </w:r>
      <w:r w:rsidR="00DF49A1" w:rsidRPr="009554DE">
        <w:rPr>
          <w:rFonts w:ascii="Arial" w:hAnsi="Arial" w:cs="Arial"/>
          <w:b/>
          <w:bCs/>
          <w:color w:val="000000" w:themeColor="text1"/>
          <w:sz w:val="20"/>
          <w:u w:val="single"/>
        </w:rPr>
        <w:t>Pre-monsoon groundwater levels</w:t>
      </w:r>
    </w:p>
    <w:p w14:paraId="7761665D" w14:textId="77777777" w:rsidR="00DF49A1" w:rsidRPr="009554DE" w:rsidRDefault="00DF49A1" w:rsidP="00DF49A1">
      <w:pPr>
        <w:spacing w:line="360" w:lineRule="auto"/>
        <w:ind w:firstLine="720"/>
        <w:jc w:val="both"/>
        <w:rPr>
          <w:rFonts w:ascii="Arial" w:hAnsi="Arial" w:cs="Arial"/>
          <w:color w:val="000000" w:themeColor="text1"/>
          <w:sz w:val="20"/>
          <w:szCs w:val="20"/>
        </w:rPr>
      </w:pPr>
      <w:r w:rsidRPr="009554DE">
        <w:rPr>
          <w:rFonts w:ascii="Arial" w:hAnsi="Arial" w:cs="Arial"/>
          <w:color w:val="000000" w:themeColor="text1"/>
          <w:sz w:val="20"/>
          <w:szCs w:val="20"/>
        </w:rPr>
        <w:t xml:space="preserve">Pre-monsoon Groundwater levels (GWLs) showed (Fig. 5) substantial spatial variation, ranging between 3.65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xml:space="preserve"> and 25.5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xml:space="preserve">. The distribution consistently showed shallower GWLs in the southern region and deeper levels in the northern and certain central parts. The southern region's relatively shallow levels were attributed to </w:t>
      </w:r>
      <w:proofErr w:type="spellStart"/>
      <w:r w:rsidRPr="009554DE">
        <w:rPr>
          <w:rFonts w:ascii="Arial" w:hAnsi="Arial" w:cs="Arial"/>
          <w:color w:val="000000" w:themeColor="text1"/>
          <w:sz w:val="20"/>
          <w:szCs w:val="20"/>
        </w:rPr>
        <w:t>favourable</w:t>
      </w:r>
      <w:proofErr w:type="spellEnd"/>
      <w:r w:rsidRPr="009554DE">
        <w:rPr>
          <w:rFonts w:ascii="Arial" w:hAnsi="Arial" w:cs="Arial"/>
          <w:color w:val="000000" w:themeColor="text1"/>
          <w:sz w:val="20"/>
          <w:szCs w:val="20"/>
        </w:rPr>
        <w:t xml:space="preserve"> physiographic and lithological conditions (e.g., gently sloping pediments and enhanced weathering) that facilitate infiltration and recharge. In contrast, the northern sector's persistent deep GWL zones reflect higher abstraction pressures associated with intensive farming and/or comparatively lower recharge potential due to less permeable geological formations. The persistence of these deep zones across multiple years (1994–2022) clearly marks them as hydrologically stressed areas requiring urgent management.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DF49A1" w:rsidRPr="009554DE" w14:paraId="558F8119" w14:textId="77777777" w:rsidTr="00DF49A1">
        <w:tc>
          <w:tcPr>
            <w:tcW w:w="4315" w:type="dxa"/>
          </w:tcPr>
          <w:p w14:paraId="6EA10747"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 xml:space="preserve"> </w:t>
            </w:r>
            <w:r w:rsidRPr="009554DE">
              <w:rPr>
                <w:rFonts w:ascii="Arial" w:hAnsi="Arial" w:cs="Arial"/>
                <w:noProof/>
                <w:color w:val="000000" w:themeColor="text1"/>
                <w:sz w:val="20"/>
                <w:szCs w:val="20"/>
              </w:rPr>
              <w:drawing>
                <wp:inline distT="0" distB="0" distL="0" distR="0" wp14:anchorId="6BA32F9C" wp14:editId="6E6660B1">
                  <wp:extent cx="2156580" cy="279082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8036" cy="2792709"/>
                          </a:xfrm>
                          <a:prstGeom prst="rect">
                            <a:avLst/>
                          </a:prstGeom>
                        </pic:spPr>
                      </pic:pic>
                    </a:graphicData>
                  </a:graphic>
                </wp:inline>
              </w:drawing>
            </w:r>
          </w:p>
          <w:p w14:paraId="32A1149F"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(a)</w:t>
            </w:r>
          </w:p>
        </w:tc>
        <w:tc>
          <w:tcPr>
            <w:tcW w:w="4315" w:type="dxa"/>
          </w:tcPr>
          <w:p w14:paraId="68A0EBE7"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68984B3A" wp14:editId="358AE3B0">
                  <wp:extent cx="2143125" cy="2773410"/>
                  <wp:effectExtent l="0" t="0" r="0" b="8255"/>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4272" cy="2774894"/>
                          </a:xfrm>
                          <a:prstGeom prst="rect">
                            <a:avLst/>
                          </a:prstGeom>
                        </pic:spPr>
                      </pic:pic>
                    </a:graphicData>
                  </a:graphic>
                </wp:inline>
              </w:drawing>
            </w:r>
          </w:p>
          <w:p w14:paraId="0086FC73"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(b)</w:t>
            </w:r>
          </w:p>
        </w:tc>
      </w:tr>
      <w:tr w:rsidR="00DF49A1" w:rsidRPr="009554DE" w14:paraId="40A71DE8" w14:textId="77777777" w:rsidTr="00DF49A1">
        <w:tc>
          <w:tcPr>
            <w:tcW w:w="4315" w:type="dxa"/>
          </w:tcPr>
          <w:p w14:paraId="7D587432"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lastRenderedPageBreak/>
              <w:drawing>
                <wp:inline distT="0" distB="0" distL="0" distR="0" wp14:anchorId="2C4D94D4" wp14:editId="37536434">
                  <wp:extent cx="2324100" cy="3007610"/>
                  <wp:effectExtent l="0" t="0" r="0" b="254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2565" cy="3018565"/>
                          </a:xfrm>
                          <a:prstGeom prst="rect">
                            <a:avLst/>
                          </a:prstGeom>
                        </pic:spPr>
                      </pic:pic>
                    </a:graphicData>
                  </a:graphic>
                </wp:inline>
              </w:drawing>
            </w:r>
          </w:p>
          <w:p w14:paraId="456E9ED8"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(c)</w:t>
            </w:r>
          </w:p>
        </w:tc>
        <w:tc>
          <w:tcPr>
            <w:tcW w:w="4315" w:type="dxa"/>
          </w:tcPr>
          <w:p w14:paraId="3FD0A7E6"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1537FAE8" wp14:editId="1FA14BDB">
                  <wp:extent cx="2333229" cy="3019425"/>
                  <wp:effectExtent l="0" t="0" r="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0945" cy="3029410"/>
                          </a:xfrm>
                          <a:prstGeom prst="rect">
                            <a:avLst/>
                          </a:prstGeom>
                        </pic:spPr>
                      </pic:pic>
                    </a:graphicData>
                  </a:graphic>
                </wp:inline>
              </w:drawing>
            </w:r>
          </w:p>
          <w:p w14:paraId="42C5FDD1"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(d)</w:t>
            </w:r>
          </w:p>
        </w:tc>
      </w:tr>
      <w:tr w:rsidR="00DF49A1" w:rsidRPr="009554DE" w14:paraId="0193FC2B" w14:textId="77777777" w:rsidTr="00DF49A1">
        <w:tc>
          <w:tcPr>
            <w:tcW w:w="8630" w:type="dxa"/>
            <w:gridSpan w:val="2"/>
          </w:tcPr>
          <w:p w14:paraId="66332518"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09E7E588" wp14:editId="205D4523">
                  <wp:extent cx="2457450" cy="3180180"/>
                  <wp:effectExtent l="0" t="0" r="0" b="1270"/>
                  <wp:docPr id="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2629" cy="3186882"/>
                          </a:xfrm>
                          <a:prstGeom prst="rect">
                            <a:avLst/>
                          </a:prstGeom>
                        </pic:spPr>
                      </pic:pic>
                    </a:graphicData>
                  </a:graphic>
                </wp:inline>
              </w:drawing>
            </w:r>
          </w:p>
          <w:p w14:paraId="5323056D"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(e)</w:t>
            </w:r>
          </w:p>
        </w:tc>
      </w:tr>
    </w:tbl>
    <w:p w14:paraId="253DC1BC" w14:textId="77777777" w:rsidR="00DF49A1" w:rsidRPr="009554DE" w:rsidRDefault="00DF49A1" w:rsidP="009554DE">
      <w:pPr>
        <w:spacing w:line="360" w:lineRule="auto"/>
        <w:jc w:val="center"/>
        <w:rPr>
          <w:rFonts w:ascii="Arial" w:hAnsi="Arial" w:cs="Arial"/>
          <w:b/>
          <w:i/>
          <w:color w:val="000000" w:themeColor="text1"/>
          <w:sz w:val="20"/>
          <w:szCs w:val="20"/>
        </w:rPr>
      </w:pPr>
      <w:r w:rsidRPr="009554DE">
        <w:rPr>
          <w:rFonts w:ascii="Arial" w:hAnsi="Arial" w:cs="Arial"/>
          <w:b/>
          <w:color w:val="000000" w:themeColor="text1"/>
          <w:sz w:val="20"/>
          <w:szCs w:val="20"/>
        </w:rPr>
        <w:t>Fig. 5 Spatial variation of pre-monsoon groundwater level in the years (a) 1994, (b) 2000, (c) 2010, (d) 2017, (e) 2022</w:t>
      </w:r>
    </w:p>
    <w:p w14:paraId="4D3E010B" w14:textId="77777777" w:rsidR="00DF49A1" w:rsidRPr="009554DE" w:rsidRDefault="009554DE" w:rsidP="00DF49A1">
      <w:pPr>
        <w:rPr>
          <w:rFonts w:ascii="Arial" w:hAnsi="Arial" w:cs="Arial"/>
          <w:b/>
          <w:color w:val="000000" w:themeColor="text1"/>
          <w:sz w:val="20"/>
          <w:szCs w:val="20"/>
          <w:u w:val="single"/>
        </w:rPr>
      </w:pPr>
      <w:r w:rsidRPr="009554DE">
        <w:rPr>
          <w:rFonts w:ascii="Arial" w:hAnsi="Arial" w:cs="Arial"/>
          <w:b/>
          <w:color w:val="000000" w:themeColor="text1"/>
          <w:sz w:val="20"/>
          <w:szCs w:val="20"/>
          <w:u w:val="single"/>
        </w:rPr>
        <w:t xml:space="preserve">4.2.2 </w:t>
      </w:r>
      <w:r w:rsidR="00DF49A1" w:rsidRPr="009554DE">
        <w:rPr>
          <w:rFonts w:ascii="Arial" w:hAnsi="Arial" w:cs="Arial"/>
          <w:b/>
          <w:color w:val="000000" w:themeColor="text1"/>
          <w:sz w:val="20"/>
          <w:szCs w:val="20"/>
          <w:u w:val="single"/>
        </w:rPr>
        <w:t>Post-monsoon groundwater levels</w:t>
      </w:r>
    </w:p>
    <w:p w14:paraId="5EBAEDBB" w14:textId="77777777" w:rsidR="00DF49A1" w:rsidRPr="009554DE" w:rsidRDefault="00DF49A1" w:rsidP="00DF49A1">
      <w:pPr>
        <w:spacing w:line="360" w:lineRule="auto"/>
        <w:ind w:firstLine="720"/>
        <w:jc w:val="both"/>
        <w:rPr>
          <w:rFonts w:ascii="Arial" w:hAnsi="Arial" w:cs="Arial"/>
          <w:sz w:val="20"/>
          <w:szCs w:val="20"/>
        </w:rPr>
      </w:pPr>
      <w:r w:rsidRPr="009554DE">
        <w:rPr>
          <w:rFonts w:ascii="Arial" w:hAnsi="Arial" w:cs="Arial"/>
          <w:color w:val="000000" w:themeColor="text1"/>
          <w:sz w:val="20"/>
          <w:szCs w:val="20"/>
        </w:rPr>
        <w:t xml:space="preserve">The post-monsoon GWLs (Fig. 6) showed a significant improvement, ranging from 1.12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xml:space="preserve"> to 15.2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xml:space="preserve">, confirming the monsoon's role as the dominant recharge mechanism. </w:t>
      </w:r>
      <w:r w:rsidRPr="009554DE">
        <w:rPr>
          <w:rFonts w:ascii="Arial" w:hAnsi="Arial" w:cs="Arial"/>
          <w:sz w:val="20"/>
          <w:szCs w:val="20"/>
        </w:rPr>
        <w:t xml:space="preserve">Widespread shallow water levels were observed, particularly in the central and southern regions, demonstrating efficient aquifer recovery and </w:t>
      </w:r>
      <w:proofErr w:type="spellStart"/>
      <w:r w:rsidRPr="009554DE">
        <w:rPr>
          <w:rFonts w:ascii="Arial" w:hAnsi="Arial" w:cs="Arial"/>
          <w:sz w:val="20"/>
          <w:szCs w:val="20"/>
        </w:rPr>
        <w:t>favourable</w:t>
      </w:r>
      <w:proofErr w:type="spellEnd"/>
      <w:r w:rsidRPr="009554DE">
        <w:rPr>
          <w:rFonts w:ascii="Arial" w:hAnsi="Arial" w:cs="Arial"/>
          <w:sz w:val="20"/>
          <w:szCs w:val="20"/>
        </w:rPr>
        <w:t xml:space="preserve"> hydrogeological conditions. This seasonal rise underscores the direct, critical </w:t>
      </w:r>
      <w:r w:rsidRPr="009554DE">
        <w:rPr>
          <w:rFonts w:ascii="Arial" w:hAnsi="Arial" w:cs="Arial"/>
          <w:sz w:val="20"/>
          <w:szCs w:val="20"/>
        </w:rPr>
        <w:lastRenderedPageBreak/>
        <w:t xml:space="preserve">relationship between monsoonal precipitation and the replenishment of the hard-rock aquifer reserve. This pattern is typical for the </w:t>
      </w:r>
      <w:proofErr w:type="spellStart"/>
      <w:r w:rsidRPr="009554DE">
        <w:rPr>
          <w:rFonts w:ascii="Arial" w:hAnsi="Arial" w:cs="Arial"/>
          <w:sz w:val="20"/>
          <w:szCs w:val="20"/>
        </w:rPr>
        <w:t>Kalpathypuzha</w:t>
      </w:r>
      <w:proofErr w:type="spellEnd"/>
      <w:r w:rsidRPr="009554DE">
        <w:rPr>
          <w:rFonts w:ascii="Arial" w:hAnsi="Arial" w:cs="Arial"/>
          <w:sz w:val="20"/>
          <w:szCs w:val="20"/>
        </w:rPr>
        <w:t xml:space="preserve"> sub-basin near </w:t>
      </w:r>
      <w:proofErr w:type="spellStart"/>
      <w:r w:rsidRPr="009554DE">
        <w:rPr>
          <w:rFonts w:ascii="Arial" w:hAnsi="Arial" w:cs="Arial"/>
          <w:sz w:val="20"/>
          <w:szCs w:val="20"/>
        </w:rPr>
        <w:t>Chittur</w:t>
      </w:r>
      <w:proofErr w:type="spellEnd"/>
      <w:r w:rsidRPr="009554DE">
        <w:rPr>
          <w:rFonts w:ascii="Arial" w:hAnsi="Arial" w:cs="Arial"/>
          <w:sz w:val="20"/>
          <w:szCs w:val="20"/>
        </w:rPr>
        <w:t xml:space="preserve"> as reported by </w:t>
      </w:r>
      <w:proofErr w:type="spellStart"/>
      <w:r w:rsidRPr="009554DE">
        <w:rPr>
          <w:rFonts w:ascii="Arial" w:hAnsi="Arial" w:cs="Arial"/>
          <w:sz w:val="20"/>
          <w:szCs w:val="20"/>
        </w:rPr>
        <w:t>Assainar</w:t>
      </w:r>
      <w:proofErr w:type="spellEnd"/>
      <w:r w:rsidRPr="009554DE">
        <w:rPr>
          <w:rFonts w:ascii="Arial" w:hAnsi="Arial" w:cs="Arial"/>
          <w:sz w:val="20"/>
          <w:szCs w:val="20"/>
        </w:rPr>
        <w:t xml:space="preserve"> and Joseph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DF49A1" w:rsidRPr="009554DE" w14:paraId="035FEA36" w14:textId="77777777" w:rsidTr="00DF49A1">
        <w:tc>
          <w:tcPr>
            <w:tcW w:w="4315" w:type="dxa"/>
          </w:tcPr>
          <w:p w14:paraId="443F024A"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35320211" wp14:editId="5A862269">
                  <wp:extent cx="2465715" cy="3190875"/>
                  <wp:effectExtent l="0" t="0" r="0"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6785" cy="3205201"/>
                          </a:xfrm>
                          <a:prstGeom prst="rect">
                            <a:avLst/>
                          </a:prstGeom>
                        </pic:spPr>
                      </pic:pic>
                    </a:graphicData>
                  </a:graphic>
                </wp:inline>
              </w:drawing>
            </w:r>
          </w:p>
          <w:p w14:paraId="4047A52D"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(a)</w:t>
            </w:r>
          </w:p>
        </w:tc>
        <w:tc>
          <w:tcPr>
            <w:tcW w:w="4315" w:type="dxa"/>
          </w:tcPr>
          <w:p w14:paraId="17989674"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66E306FC" wp14:editId="2E8FE084">
                  <wp:extent cx="2486025" cy="3217158"/>
                  <wp:effectExtent l="0" t="0" r="0" b="2540"/>
                  <wp:docPr id="1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8453" cy="3233241"/>
                          </a:xfrm>
                          <a:prstGeom prst="rect">
                            <a:avLst/>
                          </a:prstGeom>
                        </pic:spPr>
                      </pic:pic>
                    </a:graphicData>
                  </a:graphic>
                </wp:inline>
              </w:drawing>
            </w:r>
          </w:p>
          <w:p w14:paraId="53D09138"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(b)</w:t>
            </w:r>
          </w:p>
        </w:tc>
      </w:tr>
      <w:tr w:rsidR="00DF49A1" w:rsidRPr="009554DE" w14:paraId="099FCDBC" w14:textId="77777777" w:rsidTr="00DF49A1">
        <w:tc>
          <w:tcPr>
            <w:tcW w:w="4315" w:type="dxa"/>
          </w:tcPr>
          <w:p w14:paraId="11A8DD6E"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60A5022A" wp14:editId="3550F9C6">
                  <wp:extent cx="2252266" cy="2914650"/>
                  <wp:effectExtent l="0" t="0" r="0" b="0"/>
                  <wp:docPr id="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9928" cy="2924565"/>
                          </a:xfrm>
                          <a:prstGeom prst="rect">
                            <a:avLst/>
                          </a:prstGeom>
                        </pic:spPr>
                      </pic:pic>
                    </a:graphicData>
                  </a:graphic>
                </wp:inline>
              </w:drawing>
            </w:r>
          </w:p>
          <w:p w14:paraId="16438733"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(c)</w:t>
            </w:r>
          </w:p>
        </w:tc>
        <w:tc>
          <w:tcPr>
            <w:tcW w:w="4315" w:type="dxa"/>
          </w:tcPr>
          <w:p w14:paraId="37A678E2"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7E8AE5B6" wp14:editId="319B6D94">
                  <wp:extent cx="2259625" cy="2924175"/>
                  <wp:effectExtent l="0" t="0" r="7620"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3586" cy="2942242"/>
                          </a:xfrm>
                          <a:prstGeom prst="rect">
                            <a:avLst/>
                          </a:prstGeom>
                        </pic:spPr>
                      </pic:pic>
                    </a:graphicData>
                  </a:graphic>
                </wp:inline>
              </w:drawing>
            </w:r>
          </w:p>
          <w:p w14:paraId="08784947"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(d)</w:t>
            </w:r>
          </w:p>
        </w:tc>
      </w:tr>
      <w:tr w:rsidR="00DF49A1" w:rsidRPr="009554DE" w14:paraId="336CA99D" w14:textId="77777777" w:rsidTr="00DF49A1">
        <w:tc>
          <w:tcPr>
            <w:tcW w:w="8630" w:type="dxa"/>
            <w:gridSpan w:val="2"/>
          </w:tcPr>
          <w:p w14:paraId="52A46DD4"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lastRenderedPageBreak/>
              <w:drawing>
                <wp:inline distT="0" distB="0" distL="0" distR="0" wp14:anchorId="32C7A759" wp14:editId="306BE058">
                  <wp:extent cx="2274346" cy="2943225"/>
                  <wp:effectExtent l="0" t="0" r="0" b="0"/>
                  <wp:docPr id="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2832" cy="2954206"/>
                          </a:xfrm>
                          <a:prstGeom prst="rect">
                            <a:avLst/>
                          </a:prstGeom>
                        </pic:spPr>
                      </pic:pic>
                    </a:graphicData>
                  </a:graphic>
                </wp:inline>
              </w:drawing>
            </w:r>
          </w:p>
          <w:p w14:paraId="09163144"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(e)</w:t>
            </w:r>
          </w:p>
        </w:tc>
      </w:tr>
    </w:tbl>
    <w:p w14:paraId="6AB3B071" w14:textId="77777777" w:rsidR="00DF49A1" w:rsidRPr="009554DE" w:rsidRDefault="00DF49A1" w:rsidP="00DF49A1">
      <w:pPr>
        <w:spacing w:line="360" w:lineRule="auto"/>
        <w:jc w:val="center"/>
        <w:rPr>
          <w:rFonts w:ascii="Arial" w:hAnsi="Arial" w:cs="Arial"/>
          <w:b/>
          <w:color w:val="000000" w:themeColor="text1"/>
          <w:sz w:val="20"/>
          <w:szCs w:val="20"/>
        </w:rPr>
      </w:pPr>
      <w:r w:rsidRPr="009554DE">
        <w:rPr>
          <w:rFonts w:ascii="Arial" w:hAnsi="Arial" w:cs="Arial"/>
          <w:b/>
          <w:color w:val="000000" w:themeColor="text1"/>
          <w:sz w:val="20"/>
          <w:szCs w:val="20"/>
        </w:rPr>
        <w:t>Fig. 6 Spatial variation of post-monsoon groundwater level in the years (a) 1994, (b) 2000, (c) 2010, (d) 2017, (e) 2022</w:t>
      </w:r>
    </w:p>
    <w:p w14:paraId="0A84D90A" w14:textId="77777777" w:rsidR="00DF49A1" w:rsidRPr="009554DE" w:rsidRDefault="009554DE" w:rsidP="00DF49A1">
      <w:pPr>
        <w:rPr>
          <w:rFonts w:ascii="Arial" w:hAnsi="Arial" w:cs="Arial"/>
          <w:b/>
          <w:bCs/>
          <w:color w:val="000000" w:themeColor="text1"/>
          <w:sz w:val="20"/>
          <w:szCs w:val="20"/>
          <w:u w:val="single"/>
        </w:rPr>
      </w:pPr>
      <w:r w:rsidRPr="009554DE">
        <w:rPr>
          <w:rFonts w:ascii="Arial" w:hAnsi="Arial" w:cs="Arial"/>
          <w:b/>
          <w:bCs/>
          <w:color w:val="000000" w:themeColor="text1"/>
          <w:sz w:val="20"/>
          <w:szCs w:val="20"/>
          <w:u w:val="single"/>
        </w:rPr>
        <w:t xml:space="preserve">4.2.3 </w:t>
      </w:r>
      <w:r w:rsidR="00DF49A1" w:rsidRPr="009554DE">
        <w:rPr>
          <w:rFonts w:ascii="Arial" w:hAnsi="Arial" w:cs="Arial"/>
          <w:b/>
          <w:bCs/>
          <w:color w:val="000000" w:themeColor="text1"/>
          <w:sz w:val="20"/>
          <w:szCs w:val="20"/>
          <w:u w:val="single"/>
        </w:rPr>
        <w:t>Seasonal groundwater level fluctuations</w:t>
      </w:r>
    </w:p>
    <w:p w14:paraId="2586FD05" w14:textId="77777777" w:rsidR="00DF49A1" w:rsidRPr="009554DE" w:rsidRDefault="00DF49A1" w:rsidP="00DF49A1">
      <w:pPr>
        <w:spacing w:line="360" w:lineRule="auto"/>
        <w:ind w:firstLine="720"/>
        <w:jc w:val="both"/>
        <w:rPr>
          <w:rFonts w:ascii="Arial" w:hAnsi="Arial" w:cs="Arial"/>
          <w:color w:val="000000" w:themeColor="text1"/>
          <w:sz w:val="20"/>
          <w:szCs w:val="20"/>
        </w:rPr>
      </w:pPr>
      <w:r w:rsidRPr="009554DE">
        <w:rPr>
          <w:rFonts w:ascii="Arial" w:hAnsi="Arial" w:cs="Arial"/>
          <w:color w:val="000000" w:themeColor="text1"/>
          <w:sz w:val="20"/>
          <w:szCs w:val="20"/>
        </w:rPr>
        <w:t xml:space="preserve">The analysis of seasonal fluctuation (difference between pre- and post-monsoon levels), as shown in Fig. 7 ranged significantly between 0.5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xml:space="preserve"> and 10.3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The highest fluctuation in 2017 coincided with years of below-normal rainfall and peak pumping intensity, indicating maximum hydrological stress. The lowest fluctuation in 1994 suggested relatively s</w:t>
      </w:r>
      <w:r w:rsidRPr="00C71BA7">
        <w:rPr>
          <w:rFonts w:ascii="Arial" w:hAnsi="Arial" w:cs="Arial"/>
          <w:color w:val="000000" w:themeColor="text1"/>
          <w:sz w:val="20"/>
          <w:szCs w:val="20"/>
        </w:rPr>
        <w:t>table</w:t>
      </w:r>
      <w:r w:rsidRPr="009554DE">
        <w:rPr>
          <w:rFonts w:ascii="Arial" w:hAnsi="Arial" w:cs="Arial"/>
          <w:color w:val="000000" w:themeColor="text1"/>
          <w:sz w:val="20"/>
          <w:szCs w:val="20"/>
        </w:rPr>
        <w:t xml:space="preserve"> recharge–discharge conditions during that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DF49A1" w:rsidRPr="009554DE" w14:paraId="093C58C7" w14:textId="77777777" w:rsidTr="00DF49A1">
        <w:tc>
          <w:tcPr>
            <w:tcW w:w="4315" w:type="dxa"/>
          </w:tcPr>
          <w:p w14:paraId="46A57EFC"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358A4FBC" wp14:editId="1621A8E1">
                  <wp:extent cx="2419350" cy="3130873"/>
                  <wp:effectExtent l="0" t="0" r="0"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3942" cy="3136816"/>
                          </a:xfrm>
                          <a:prstGeom prst="rect">
                            <a:avLst/>
                          </a:prstGeom>
                        </pic:spPr>
                      </pic:pic>
                    </a:graphicData>
                  </a:graphic>
                </wp:inline>
              </w:drawing>
            </w:r>
          </w:p>
          <w:p w14:paraId="56055F0A"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(a)</w:t>
            </w:r>
          </w:p>
        </w:tc>
        <w:tc>
          <w:tcPr>
            <w:tcW w:w="4315" w:type="dxa"/>
          </w:tcPr>
          <w:p w14:paraId="271BE624"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24588174" wp14:editId="726AFE14">
                  <wp:extent cx="2409825" cy="3118548"/>
                  <wp:effectExtent l="0" t="0" r="0" b="5715"/>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6841" cy="3127627"/>
                          </a:xfrm>
                          <a:prstGeom prst="rect">
                            <a:avLst/>
                          </a:prstGeom>
                        </pic:spPr>
                      </pic:pic>
                    </a:graphicData>
                  </a:graphic>
                </wp:inline>
              </w:drawing>
            </w:r>
          </w:p>
          <w:p w14:paraId="7458AEF1"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(b)</w:t>
            </w:r>
          </w:p>
        </w:tc>
      </w:tr>
      <w:tr w:rsidR="00DF49A1" w:rsidRPr="009554DE" w14:paraId="02774016" w14:textId="77777777" w:rsidTr="00DF49A1">
        <w:tc>
          <w:tcPr>
            <w:tcW w:w="4315" w:type="dxa"/>
          </w:tcPr>
          <w:p w14:paraId="6B267C45"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lastRenderedPageBreak/>
              <w:drawing>
                <wp:inline distT="0" distB="0" distL="0" distR="0" wp14:anchorId="0DA23549" wp14:editId="22E2FA47">
                  <wp:extent cx="2303786" cy="2981325"/>
                  <wp:effectExtent l="0" t="0" r="1270" b="0"/>
                  <wp:docPr id="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1802" cy="2991699"/>
                          </a:xfrm>
                          <a:prstGeom prst="rect">
                            <a:avLst/>
                          </a:prstGeom>
                        </pic:spPr>
                      </pic:pic>
                    </a:graphicData>
                  </a:graphic>
                </wp:inline>
              </w:drawing>
            </w:r>
          </w:p>
          <w:p w14:paraId="3E7A42D3"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(c)</w:t>
            </w:r>
          </w:p>
        </w:tc>
        <w:tc>
          <w:tcPr>
            <w:tcW w:w="4315" w:type="dxa"/>
          </w:tcPr>
          <w:p w14:paraId="736277E2"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78A83794" wp14:editId="68691509">
                  <wp:extent cx="2314575" cy="2995286"/>
                  <wp:effectExtent l="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9280" cy="3001374"/>
                          </a:xfrm>
                          <a:prstGeom prst="rect">
                            <a:avLst/>
                          </a:prstGeom>
                        </pic:spPr>
                      </pic:pic>
                    </a:graphicData>
                  </a:graphic>
                </wp:inline>
              </w:drawing>
            </w:r>
          </w:p>
          <w:p w14:paraId="239E1423"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(d)</w:t>
            </w:r>
          </w:p>
        </w:tc>
      </w:tr>
      <w:tr w:rsidR="00DF49A1" w:rsidRPr="009554DE" w14:paraId="2E940454" w14:textId="77777777" w:rsidTr="00DF49A1">
        <w:tc>
          <w:tcPr>
            <w:tcW w:w="8630" w:type="dxa"/>
            <w:gridSpan w:val="2"/>
          </w:tcPr>
          <w:p w14:paraId="33E23667"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noProof/>
                <w:color w:val="000000" w:themeColor="text1"/>
                <w:sz w:val="20"/>
                <w:szCs w:val="20"/>
              </w:rPr>
              <w:drawing>
                <wp:inline distT="0" distB="0" distL="0" distR="0" wp14:anchorId="2258E63E" wp14:editId="4785A88C">
                  <wp:extent cx="2476500" cy="3204830"/>
                  <wp:effectExtent l="0" t="0" r="0" b="0"/>
                  <wp:docPr id="1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4797" cy="3215567"/>
                          </a:xfrm>
                          <a:prstGeom prst="rect">
                            <a:avLst/>
                          </a:prstGeom>
                        </pic:spPr>
                      </pic:pic>
                    </a:graphicData>
                  </a:graphic>
                </wp:inline>
              </w:drawing>
            </w:r>
          </w:p>
          <w:p w14:paraId="084DDFEC" w14:textId="77777777" w:rsidR="00DF49A1" w:rsidRPr="009554DE" w:rsidRDefault="00DF49A1" w:rsidP="00DF49A1">
            <w:pPr>
              <w:jc w:val="center"/>
              <w:rPr>
                <w:rFonts w:ascii="Arial" w:hAnsi="Arial" w:cs="Arial"/>
                <w:color w:val="000000" w:themeColor="text1"/>
                <w:sz w:val="20"/>
                <w:szCs w:val="20"/>
              </w:rPr>
            </w:pPr>
            <w:r w:rsidRPr="009554DE">
              <w:rPr>
                <w:rFonts w:ascii="Arial" w:hAnsi="Arial" w:cs="Arial"/>
                <w:color w:val="000000" w:themeColor="text1"/>
                <w:sz w:val="20"/>
                <w:szCs w:val="20"/>
              </w:rPr>
              <w:t>(e)</w:t>
            </w:r>
          </w:p>
        </w:tc>
      </w:tr>
    </w:tbl>
    <w:p w14:paraId="7F76C8B4" w14:textId="77777777" w:rsidR="00DF49A1" w:rsidRPr="009554DE" w:rsidRDefault="00DF49A1" w:rsidP="00DF49A1">
      <w:pPr>
        <w:jc w:val="center"/>
        <w:rPr>
          <w:rFonts w:ascii="Arial" w:hAnsi="Arial" w:cs="Arial"/>
          <w:b/>
          <w:color w:val="000000" w:themeColor="text1"/>
          <w:sz w:val="20"/>
          <w:szCs w:val="20"/>
        </w:rPr>
      </w:pPr>
      <w:r w:rsidRPr="009554DE">
        <w:rPr>
          <w:rFonts w:ascii="Arial" w:hAnsi="Arial" w:cs="Arial"/>
          <w:b/>
          <w:color w:val="000000" w:themeColor="text1"/>
          <w:sz w:val="20"/>
          <w:szCs w:val="20"/>
        </w:rPr>
        <w:t>Fig. 7 Seasonal groundwater level fluctuations in the years (a) 1994, (b) 2000, (c) 2010, (d) 2017, (e) 2022</w:t>
      </w:r>
    </w:p>
    <w:p w14:paraId="0AFE9875" w14:textId="77777777" w:rsidR="00DF49A1" w:rsidRPr="009554DE" w:rsidRDefault="009554DE" w:rsidP="00DF49A1">
      <w:pPr>
        <w:spacing w:line="360" w:lineRule="auto"/>
        <w:jc w:val="both"/>
        <w:rPr>
          <w:rFonts w:ascii="Arial" w:hAnsi="Arial" w:cs="Arial"/>
          <w:b/>
          <w:bCs/>
          <w:color w:val="000000" w:themeColor="text1"/>
          <w:sz w:val="20"/>
          <w:szCs w:val="20"/>
          <w:u w:val="single"/>
        </w:rPr>
      </w:pPr>
      <w:r w:rsidRPr="009554DE">
        <w:rPr>
          <w:rFonts w:ascii="Arial" w:hAnsi="Arial" w:cs="Arial"/>
          <w:b/>
          <w:bCs/>
          <w:color w:val="000000" w:themeColor="text1"/>
          <w:sz w:val="20"/>
          <w:szCs w:val="20"/>
          <w:u w:val="single"/>
        </w:rPr>
        <w:t xml:space="preserve">4.2.4 </w:t>
      </w:r>
      <w:r w:rsidR="00DF49A1" w:rsidRPr="009554DE">
        <w:rPr>
          <w:rFonts w:ascii="Arial" w:hAnsi="Arial" w:cs="Arial"/>
          <w:b/>
          <w:bCs/>
          <w:color w:val="000000" w:themeColor="text1"/>
          <w:sz w:val="20"/>
          <w:szCs w:val="20"/>
          <w:u w:val="single"/>
        </w:rPr>
        <w:t>Long-term variation of groundwater level and its fluctuation during the period 1994-2022</w:t>
      </w:r>
    </w:p>
    <w:p w14:paraId="642B65BE" w14:textId="77777777" w:rsidR="00DF49A1" w:rsidRPr="009554DE" w:rsidRDefault="00DF49A1" w:rsidP="00DF49A1">
      <w:pPr>
        <w:spacing w:line="360" w:lineRule="auto"/>
        <w:ind w:firstLine="720"/>
        <w:jc w:val="both"/>
        <w:rPr>
          <w:rFonts w:ascii="Arial" w:hAnsi="Arial" w:cs="Arial"/>
          <w:color w:val="000000" w:themeColor="text1"/>
          <w:sz w:val="20"/>
          <w:szCs w:val="20"/>
        </w:rPr>
      </w:pPr>
      <w:r w:rsidRPr="009554DE">
        <w:rPr>
          <w:rFonts w:ascii="Arial" w:hAnsi="Arial" w:cs="Arial"/>
          <w:color w:val="000000" w:themeColor="text1"/>
          <w:sz w:val="20"/>
          <w:szCs w:val="20"/>
        </w:rPr>
        <w:t xml:space="preserve">The long-term spatial variation (1994–2022) of groundwater level revealed that during the pre-monsoon period, the central, western, and southern regions exhibited shallow groundwater levels (4.3–9.2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xml:space="preserve">), as indicated by the green-shaded areas in the map (Fig 8a). These regions are hydrologically </w:t>
      </w:r>
      <w:proofErr w:type="spellStart"/>
      <w:r w:rsidRPr="009554DE">
        <w:rPr>
          <w:rFonts w:ascii="Arial" w:hAnsi="Arial" w:cs="Arial"/>
          <w:color w:val="000000" w:themeColor="text1"/>
          <w:sz w:val="20"/>
          <w:szCs w:val="20"/>
        </w:rPr>
        <w:t>favourable</w:t>
      </w:r>
      <w:proofErr w:type="spellEnd"/>
      <w:r w:rsidRPr="009554DE">
        <w:rPr>
          <w:rFonts w:ascii="Arial" w:hAnsi="Arial" w:cs="Arial"/>
          <w:color w:val="000000" w:themeColor="text1"/>
          <w:sz w:val="20"/>
          <w:szCs w:val="20"/>
        </w:rPr>
        <w:t xml:space="preserve">, showing high potential for groundwater availability before the onset of the rainy season. In </w:t>
      </w:r>
      <w:r w:rsidRPr="009554DE">
        <w:rPr>
          <w:rFonts w:ascii="Arial" w:hAnsi="Arial" w:cs="Arial"/>
          <w:color w:val="000000" w:themeColor="text1"/>
          <w:sz w:val="20"/>
          <w:szCs w:val="20"/>
        </w:rPr>
        <w:lastRenderedPageBreak/>
        <w:t xml:space="preserve">contrast, the north-central zone and smaller isolated patches recorded deeper groundwater levels (9.3–17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xml:space="preserve">), reflecting intensive water withdrawal or inadequate recharge. In the post-monsoon period (Fig.8b), groundwater levels rise substantially across the study area, predominantly ranging between 2.1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xml:space="preserve"> and 13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confirming the positive recharge effect of monsoonal rainfall.</w:t>
      </w:r>
    </w:p>
    <w:p w14:paraId="6FEB0E6D" w14:textId="77777777" w:rsidR="00DF49A1" w:rsidRPr="009554DE" w:rsidRDefault="00DF49A1" w:rsidP="00DF49A1">
      <w:pPr>
        <w:spacing w:line="360" w:lineRule="auto"/>
        <w:ind w:firstLine="720"/>
        <w:jc w:val="both"/>
        <w:rPr>
          <w:rFonts w:ascii="Arial" w:hAnsi="Arial" w:cs="Arial"/>
          <w:color w:val="000000" w:themeColor="text1"/>
          <w:sz w:val="20"/>
          <w:szCs w:val="20"/>
        </w:rPr>
      </w:pPr>
      <w:r w:rsidRPr="009554DE">
        <w:rPr>
          <w:rFonts w:ascii="Arial" w:hAnsi="Arial" w:cs="Arial"/>
          <w:color w:val="000000" w:themeColor="text1"/>
          <w:sz w:val="20"/>
          <w:szCs w:val="20"/>
        </w:rPr>
        <w:t xml:space="preserve">The long-term fluctuation map (Fig.8c) distinctly delineated three zones. Low Fluctuations (1–1.9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were observed in the central, southern, and western regions, indicating s</w:t>
      </w:r>
      <w:r w:rsidRPr="00C71BA7">
        <w:rPr>
          <w:rFonts w:ascii="Arial" w:hAnsi="Arial" w:cs="Arial"/>
          <w:color w:val="000000" w:themeColor="text1"/>
          <w:sz w:val="20"/>
          <w:szCs w:val="20"/>
        </w:rPr>
        <w:t>table</w:t>
      </w:r>
      <w:r w:rsidRPr="009554DE">
        <w:rPr>
          <w:rFonts w:ascii="Arial" w:hAnsi="Arial" w:cs="Arial"/>
          <w:color w:val="000000" w:themeColor="text1"/>
          <w:sz w:val="20"/>
          <w:szCs w:val="20"/>
        </w:rPr>
        <w:t xml:space="preserve"> aquifer conditions due to consistent recharge and balanced demand. Moderate Fluctuations (2–2.7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xml:space="preserve">) observed in the central-eastern and northern parts, representing moderately responsive aquifers where seasonal withdrawal and recharge effects are prominent. High Fluctuations (2.8–3.1 m </w:t>
      </w:r>
      <w:proofErr w:type="spellStart"/>
      <w:r w:rsidRPr="009554DE">
        <w:rPr>
          <w:rFonts w:ascii="Arial" w:hAnsi="Arial" w:cs="Arial"/>
          <w:color w:val="000000" w:themeColor="text1"/>
          <w:sz w:val="20"/>
          <w:szCs w:val="20"/>
        </w:rPr>
        <w:t>bgl</w:t>
      </w:r>
      <w:proofErr w:type="spellEnd"/>
      <w:r w:rsidRPr="009554DE">
        <w:rPr>
          <w:rFonts w:ascii="Arial" w:hAnsi="Arial" w:cs="Arial"/>
          <w:color w:val="000000" w:themeColor="text1"/>
          <w:sz w:val="20"/>
          <w:szCs w:val="20"/>
        </w:rPr>
        <w:t xml:space="preserve">) are concentrated in the northern and north-eastern regions, representing the most intensive groundwater extraction zones, coupled with limited or slower recharge potential, leading to the greatest water </w:t>
      </w:r>
      <w:r w:rsidRPr="00C71BA7">
        <w:rPr>
          <w:rFonts w:ascii="Arial" w:hAnsi="Arial" w:cs="Arial"/>
          <w:color w:val="000000" w:themeColor="text1"/>
          <w:sz w:val="20"/>
          <w:szCs w:val="20"/>
        </w:rPr>
        <w:t>table</w:t>
      </w:r>
      <w:r w:rsidRPr="009554DE">
        <w:rPr>
          <w:rFonts w:ascii="Arial" w:hAnsi="Arial" w:cs="Arial"/>
          <w:color w:val="000000" w:themeColor="text1"/>
          <w:sz w:val="20"/>
          <w:szCs w:val="20"/>
        </w:rPr>
        <w:t xml:space="preserve"> variation. </w:t>
      </w:r>
    </w:p>
    <w:p w14:paraId="279554B9" w14:textId="77777777" w:rsidR="00DF49A1" w:rsidRPr="009554DE" w:rsidRDefault="00DF49A1" w:rsidP="00DF49A1">
      <w:pPr>
        <w:spacing w:line="360" w:lineRule="auto"/>
        <w:ind w:firstLine="720"/>
        <w:jc w:val="both"/>
        <w:rPr>
          <w:rFonts w:ascii="Arial" w:hAnsi="Arial" w:cs="Arial"/>
          <w:color w:val="000000" w:themeColor="text1"/>
          <w:sz w:val="20"/>
          <w:szCs w:val="20"/>
        </w:rPr>
      </w:pPr>
      <w:r w:rsidRPr="009554DE">
        <w:rPr>
          <w:rFonts w:ascii="Arial" w:hAnsi="Arial" w:cs="Arial"/>
          <w:color w:val="000000" w:themeColor="text1"/>
          <w:sz w:val="20"/>
          <w:szCs w:val="20"/>
        </w:rPr>
        <w:t xml:space="preserve">The long term </w:t>
      </w:r>
      <w:proofErr w:type="spellStart"/>
      <w:r w:rsidRPr="009554DE">
        <w:rPr>
          <w:rFonts w:ascii="Arial" w:hAnsi="Arial" w:cs="Arial"/>
          <w:color w:val="000000" w:themeColor="text1"/>
          <w:sz w:val="20"/>
          <w:szCs w:val="20"/>
        </w:rPr>
        <w:t>spatio</w:t>
      </w:r>
      <w:proofErr w:type="spellEnd"/>
      <w:r w:rsidRPr="009554DE">
        <w:rPr>
          <w:rFonts w:ascii="Arial" w:hAnsi="Arial" w:cs="Arial"/>
          <w:color w:val="000000" w:themeColor="text1"/>
          <w:sz w:val="20"/>
          <w:szCs w:val="20"/>
        </w:rPr>
        <w:t xml:space="preserve">-temporal analysis (1994–2022) concluded a clear trend of progressive groundwater level decline in the high-abstraction zones of the northern and central regions of the </w:t>
      </w:r>
      <w:proofErr w:type="spellStart"/>
      <w:r w:rsidRPr="009554DE">
        <w:rPr>
          <w:rFonts w:ascii="Arial" w:hAnsi="Arial" w:cs="Arial"/>
          <w:color w:val="000000" w:themeColor="text1"/>
          <w:sz w:val="20"/>
          <w:szCs w:val="20"/>
        </w:rPr>
        <w:t>Chittur</w:t>
      </w:r>
      <w:proofErr w:type="spellEnd"/>
      <w:r w:rsidRPr="009554DE">
        <w:rPr>
          <w:rFonts w:ascii="Arial" w:hAnsi="Arial" w:cs="Arial"/>
          <w:color w:val="000000" w:themeColor="text1"/>
          <w:sz w:val="20"/>
          <w:szCs w:val="20"/>
        </w:rPr>
        <w:t xml:space="preserve"> block, while the southern and western parts remain relatively s</w:t>
      </w:r>
      <w:r w:rsidRPr="00C71BA7">
        <w:rPr>
          <w:rFonts w:ascii="Arial" w:hAnsi="Arial" w:cs="Arial"/>
          <w:color w:val="000000" w:themeColor="text1"/>
          <w:sz w:val="20"/>
          <w:szCs w:val="20"/>
        </w:rPr>
        <w:t>table</w:t>
      </w:r>
      <w:r w:rsidRPr="009554DE">
        <w:rPr>
          <w:rFonts w:ascii="Arial" w:hAnsi="Arial" w:cs="Arial"/>
          <w:color w:val="000000" w:themeColor="text1"/>
          <w:sz w:val="20"/>
          <w:szCs w:val="20"/>
        </w:rPr>
        <w:t>. The consistent post-monsoon recovery confirmed the vital importance of rainfall-driven recharge but also highlighted the uneven spatial distribution of aquifer stress.</w:t>
      </w:r>
    </w:p>
    <w:p w14:paraId="26E0110E" w14:textId="77777777" w:rsidR="00DF49A1" w:rsidRPr="009554DE" w:rsidRDefault="00DF49A1" w:rsidP="00DF49A1">
      <w:pPr>
        <w:spacing w:line="360" w:lineRule="auto"/>
        <w:ind w:firstLine="720"/>
        <w:jc w:val="both"/>
        <w:rPr>
          <w:rFonts w:ascii="Arial" w:hAnsi="Arial" w:cs="Arial"/>
          <w:color w:val="000000" w:themeColor="text1"/>
          <w:sz w:val="20"/>
          <w:szCs w:val="20"/>
        </w:rPr>
      </w:pPr>
      <w:r w:rsidRPr="009554DE">
        <w:rPr>
          <w:rFonts w:ascii="Arial" w:hAnsi="Arial" w:cs="Arial"/>
          <w:color w:val="000000" w:themeColor="text1"/>
          <w:sz w:val="20"/>
          <w:szCs w:val="20"/>
        </w:rPr>
        <w:t xml:space="preserve">The </w:t>
      </w:r>
      <w:proofErr w:type="spellStart"/>
      <w:r w:rsidRPr="009554DE">
        <w:rPr>
          <w:rFonts w:ascii="Arial" w:hAnsi="Arial" w:cs="Arial"/>
          <w:color w:val="000000" w:themeColor="text1"/>
          <w:sz w:val="20"/>
          <w:szCs w:val="20"/>
        </w:rPr>
        <w:t>Chittur</w:t>
      </w:r>
      <w:proofErr w:type="spellEnd"/>
      <w:r w:rsidRPr="009554DE">
        <w:rPr>
          <w:rFonts w:ascii="Arial" w:hAnsi="Arial" w:cs="Arial"/>
          <w:color w:val="000000" w:themeColor="text1"/>
          <w:sz w:val="20"/>
          <w:szCs w:val="20"/>
        </w:rPr>
        <w:t xml:space="preserve"> Block's status as a drought-prone and water-stressed area (</w:t>
      </w:r>
      <w:proofErr w:type="spellStart"/>
      <w:r w:rsidRPr="009554DE">
        <w:rPr>
          <w:rFonts w:ascii="Arial" w:hAnsi="Arial" w:cs="Arial"/>
          <w:color w:val="000000" w:themeColor="text1"/>
          <w:sz w:val="20"/>
          <w:szCs w:val="20"/>
        </w:rPr>
        <w:t>Praseeja</w:t>
      </w:r>
      <w:proofErr w:type="spellEnd"/>
      <w:r w:rsidRPr="009554DE">
        <w:rPr>
          <w:rFonts w:ascii="Arial" w:hAnsi="Arial" w:cs="Arial"/>
          <w:color w:val="000000" w:themeColor="text1"/>
          <w:sz w:val="20"/>
          <w:szCs w:val="20"/>
        </w:rPr>
        <w:t xml:space="preserve"> and Younus, 2024) requires a shift toward site-specific, demand-side, and supply-side management strategies to minimize spatial and temporal disparities in water availability. Effective measures such as regulating groundwater extraction, promoting water-efficient irrigation practices, and implementing artificial recharge structures (e.g., check dams, percolation tanks) in the high-fluctuation northern zones are essential for restoring aquifer balance and ensuring the long-term sustainability of the hard-rock aquifer 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DF49A1" w:rsidRPr="009554DE" w14:paraId="70379C7D" w14:textId="77777777" w:rsidTr="00DF49A1">
        <w:tc>
          <w:tcPr>
            <w:tcW w:w="4315" w:type="dxa"/>
          </w:tcPr>
          <w:p w14:paraId="7CFB0360" w14:textId="77777777" w:rsidR="00DF49A1" w:rsidRPr="009554DE" w:rsidRDefault="00DF49A1" w:rsidP="00DF49A1">
            <w:pPr>
              <w:jc w:val="center"/>
              <w:rPr>
                <w:rFonts w:ascii="Arial" w:hAnsi="Arial" w:cs="Arial"/>
                <w:sz w:val="20"/>
                <w:szCs w:val="20"/>
              </w:rPr>
            </w:pPr>
            <w:r w:rsidRPr="009554DE">
              <w:rPr>
                <w:rFonts w:ascii="Arial" w:hAnsi="Arial" w:cs="Arial"/>
                <w:noProof/>
                <w:sz w:val="20"/>
                <w:szCs w:val="20"/>
              </w:rPr>
              <w:lastRenderedPageBreak/>
              <w:drawing>
                <wp:inline distT="0" distB="0" distL="0" distR="0" wp14:anchorId="6D9FDC65" wp14:editId="28D71138">
                  <wp:extent cx="2571750" cy="3328094"/>
                  <wp:effectExtent l="0" t="0" r="0" b="5715"/>
                  <wp:docPr id="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82937" cy="3342571"/>
                          </a:xfrm>
                          <a:prstGeom prst="rect">
                            <a:avLst/>
                          </a:prstGeom>
                        </pic:spPr>
                      </pic:pic>
                    </a:graphicData>
                  </a:graphic>
                </wp:inline>
              </w:drawing>
            </w:r>
          </w:p>
          <w:p w14:paraId="44BD6A0B" w14:textId="77777777" w:rsidR="00DF49A1" w:rsidRPr="009554DE" w:rsidRDefault="00DF49A1" w:rsidP="00DF49A1">
            <w:pPr>
              <w:jc w:val="center"/>
              <w:rPr>
                <w:rFonts w:ascii="Arial" w:hAnsi="Arial" w:cs="Arial"/>
                <w:sz w:val="20"/>
                <w:szCs w:val="20"/>
              </w:rPr>
            </w:pPr>
            <w:r w:rsidRPr="009554DE">
              <w:rPr>
                <w:rFonts w:ascii="Arial" w:hAnsi="Arial" w:cs="Arial"/>
                <w:sz w:val="20"/>
                <w:szCs w:val="20"/>
              </w:rPr>
              <w:t>(a)</w:t>
            </w:r>
          </w:p>
        </w:tc>
        <w:tc>
          <w:tcPr>
            <w:tcW w:w="4315" w:type="dxa"/>
          </w:tcPr>
          <w:p w14:paraId="3199FEB0" w14:textId="77777777" w:rsidR="00DF49A1" w:rsidRPr="009554DE" w:rsidRDefault="00DF49A1" w:rsidP="00DF49A1">
            <w:pPr>
              <w:jc w:val="center"/>
              <w:rPr>
                <w:rFonts w:ascii="Arial" w:hAnsi="Arial" w:cs="Arial"/>
                <w:sz w:val="20"/>
                <w:szCs w:val="20"/>
              </w:rPr>
            </w:pPr>
            <w:r w:rsidRPr="009554DE">
              <w:rPr>
                <w:rFonts w:ascii="Arial" w:hAnsi="Arial" w:cs="Arial"/>
                <w:noProof/>
                <w:sz w:val="20"/>
                <w:szCs w:val="20"/>
              </w:rPr>
              <w:drawing>
                <wp:inline distT="0" distB="0" distL="0" distR="0" wp14:anchorId="5DBC5501" wp14:editId="1D15E207">
                  <wp:extent cx="2524372" cy="3267075"/>
                  <wp:effectExtent l="0" t="0" r="9525" b="0"/>
                  <wp:docPr id="1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0413" cy="3287835"/>
                          </a:xfrm>
                          <a:prstGeom prst="rect">
                            <a:avLst/>
                          </a:prstGeom>
                        </pic:spPr>
                      </pic:pic>
                    </a:graphicData>
                  </a:graphic>
                </wp:inline>
              </w:drawing>
            </w:r>
          </w:p>
          <w:p w14:paraId="7BCC85D8" w14:textId="77777777" w:rsidR="00DF49A1" w:rsidRPr="009554DE" w:rsidRDefault="00DF49A1" w:rsidP="00DF49A1">
            <w:pPr>
              <w:jc w:val="center"/>
              <w:rPr>
                <w:rFonts w:ascii="Arial" w:hAnsi="Arial" w:cs="Arial"/>
                <w:sz w:val="20"/>
                <w:szCs w:val="20"/>
              </w:rPr>
            </w:pPr>
            <w:r w:rsidRPr="009554DE">
              <w:rPr>
                <w:rFonts w:ascii="Arial" w:hAnsi="Arial" w:cs="Arial"/>
                <w:sz w:val="20"/>
                <w:szCs w:val="20"/>
              </w:rPr>
              <w:t>(b)</w:t>
            </w:r>
          </w:p>
        </w:tc>
      </w:tr>
      <w:tr w:rsidR="00DF49A1" w:rsidRPr="009554DE" w14:paraId="053F1FD1" w14:textId="77777777" w:rsidTr="00DF49A1">
        <w:tc>
          <w:tcPr>
            <w:tcW w:w="8630" w:type="dxa"/>
            <w:gridSpan w:val="2"/>
          </w:tcPr>
          <w:p w14:paraId="207B4C57" w14:textId="77777777" w:rsidR="00DF49A1" w:rsidRPr="009554DE" w:rsidRDefault="00DF49A1" w:rsidP="00DF49A1">
            <w:pPr>
              <w:jc w:val="center"/>
              <w:rPr>
                <w:rFonts w:ascii="Arial" w:hAnsi="Arial" w:cs="Arial"/>
                <w:sz w:val="20"/>
                <w:szCs w:val="20"/>
              </w:rPr>
            </w:pPr>
            <w:r w:rsidRPr="009554DE">
              <w:rPr>
                <w:rFonts w:ascii="Arial" w:hAnsi="Arial" w:cs="Arial"/>
                <w:noProof/>
                <w:sz w:val="20"/>
                <w:szCs w:val="20"/>
              </w:rPr>
              <w:drawing>
                <wp:inline distT="0" distB="0" distL="0" distR="0" wp14:anchorId="6B8CF823" wp14:editId="1A184F80">
                  <wp:extent cx="2524125" cy="3266755"/>
                  <wp:effectExtent l="0" t="0" r="0" b="0"/>
                  <wp:docPr id="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6133" cy="3282295"/>
                          </a:xfrm>
                          <a:prstGeom prst="rect">
                            <a:avLst/>
                          </a:prstGeom>
                        </pic:spPr>
                      </pic:pic>
                    </a:graphicData>
                  </a:graphic>
                </wp:inline>
              </w:drawing>
            </w:r>
          </w:p>
          <w:p w14:paraId="352C72DC" w14:textId="77777777" w:rsidR="00DF49A1" w:rsidRPr="009554DE" w:rsidRDefault="00DF49A1" w:rsidP="00DF49A1">
            <w:pPr>
              <w:jc w:val="center"/>
              <w:rPr>
                <w:rFonts w:ascii="Arial" w:hAnsi="Arial" w:cs="Arial"/>
                <w:sz w:val="20"/>
                <w:szCs w:val="20"/>
              </w:rPr>
            </w:pPr>
            <w:r w:rsidRPr="009554DE">
              <w:rPr>
                <w:rFonts w:ascii="Arial" w:hAnsi="Arial" w:cs="Arial"/>
                <w:sz w:val="20"/>
                <w:szCs w:val="20"/>
              </w:rPr>
              <w:t>(c)</w:t>
            </w:r>
          </w:p>
        </w:tc>
      </w:tr>
    </w:tbl>
    <w:p w14:paraId="61B449C0" w14:textId="77777777" w:rsidR="00DF49A1" w:rsidRPr="009554DE" w:rsidRDefault="00DF49A1" w:rsidP="00DF49A1">
      <w:pPr>
        <w:spacing w:line="360" w:lineRule="auto"/>
        <w:jc w:val="center"/>
        <w:rPr>
          <w:rFonts w:ascii="Arial" w:hAnsi="Arial" w:cs="Arial"/>
          <w:b/>
          <w:color w:val="000000" w:themeColor="text1"/>
          <w:sz w:val="20"/>
          <w:szCs w:val="20"/>
        </w:rPr>
      </w:pPr>
      <w:r w:rsidRPr="009554DE">
        <w:rPr>
          <w:rFonts w:ascii="Arial" w:hAnsi="Arial" w:cs="Arial"/>
          <w:b/>
          <w:sz w:val="20"/>
          <w:szCs w:val="20"/>
        </w:rPr>
        <w:t>Fig. 8 Overall variation of groundwater levels and fluctuation durin</w:t>
      </w:r>
      <w:r w:rsidRPr="009554DE">
        <w:rPr>
          <w:rFonts w:ascii="Arial" w:hAnsi="Arial" w:cs="Arial"/>
          <w:b/>
          <w:color w:val="000000" w:themeColor="text1"/>
          <w:sz w:val="20"/>
          <w:szCs w:val="20"/>
        </w:rPr>
        <w:t>g the period 1994-2022 (a) pre-monsoon, (b) post-monsoon and (c) fluctuations.</w:t>
      </w:r>
    </w:p>
    <w:p w14:paraId="5C7E26C3" w14:textId="77777777" w:rsidR="00DF49A1" w:rsidRPr="009554DE" w:rsidRDefault="00DF49A1" w:rsidP="00DF49A1">
      <w:pPr>
        <w:rPr>
          <w:rFonts w:ascii="Arial" w:hAnsi="Arial" w:cs="Arial"/>
          <w:b/>
          <w:color w:val="000000" w:themeColor="text1"/>
          <w:szCs w:val="20"/>
        </w:rPr>
      </w:pPr>
      <w:r w:rsidRPr="009554DE">
        <w:rPr>
          <w:rFonts w:ascii="Arial" w:hAnsi="Arial" w:cs="Arial"/>
          <w:b/>
          <w:color w:val="000000" w:themeColor="text1"/>
          <w:szCs w:val="20"/>
        </w:rPr>
        <w:t>4.3 Trend analysis of groundwater level</w:t>
      </w:r>
    </w:p>
    <w:p w14:paraId="6EA1E2C6" w14:textId="075CA6F4" w:rsidR="00DF49A1" w:rsidRPr="009554DE" w:rsidRDefault="00DF49A1" w:rsidP="00DF49A1">
      <w:pPr>
        <w:spacing w:line="360" w:lineRule="auto"/>
        <w:ind w:firstLine="720"/>
        <w:jc w:val="both"/>
        <w:rPr>
          <w:rFonts w:ascii="Arial" w:hAnsi="Arial" w:cs="Arial"/>
          <w:bCs/>
          <w:color w:val="000000" w:themeColor="text1"/>
          <w:sz w:val="20"/>
          <w:szCs w:val="20"/>
        </w:rPr>
      </w:pPr>
      <w:r w:rsidRPr="009554DE">
        <w:rPr>
          <w:rFonts w:ascii="Arial" w:hAnsi="Arial" w:cs="Arial"/>
          <w:sz w:val="20"/>
          <w:szCs w:val="20"/>
        </w:rPr>
        <w:t xml:space="preserve">This section presents the results of the long-term trend analysis of groundwater levels (GWLs) across the nine observation wells in the </w:t>
      </w:r>
      <w:proofErr w:type="spellStart"/>
      <w:r w:rsidRPr="009554DE">
        <w:rPr>
          <w:rFonts w:ascii="Arial" w:hAnsi="Arial" w:cs="Arial"/>
          <w:sz w:val="20"/>
          <w:szCs w:val="20"/>
        </w:rPr>
        <w:t>Chittur</w:t>
      </w:r>
      <w:proofErr w:type="spellEnd"/>
      <w:r w:rsidRPr="009554DE">
        <w:rPr>
          <w:rFonts w:ascii="Arial" w:hAnsi="Arial" w:cs="Arial"/>
          <w:sz w:val="20"/>
          <w:szCs w:val="20"/>
        </w:rPr>
        <w:t xml:space="preserve"> Block, spanning the period 1994–2022. The non-parametric </w:t>
      </w:r>
      <w:r w:rsidRPr="009554DE">
        <w:rPr>
          <w:rFonts w:ascii="Arial" w:hAnsi="Arial" w:cs="Arial"/>
          <w:sz w:val="20"/>
          <w:szCs w:val="20"/>
        </w:rPr>
        <w:lastRenderedPageBreak/>
        <w:t>Mann-Kendall (MK) test was utilized to determine the statistical significance of the trend, while Sen’s slope estimator was employed to quantify the magnitude (rate) of change in the GWL. The analysis was performed for the pre-monsoon (March–May), post-monsoon (October–November), and annual periods (</w:t>
      </w:r>
      <w:r w:rsidRPr="00C71BA7">
        <w:rPr>
          <w:rFonts w:ascii="Arial" w:hAnsi="Arial" w:cs="Arial"/>
          <w:sz w:val="20"/>
          <w:szCs w:val="20"/>
        </w:rPr>
        <w:t>Table</w:t>
      </w:r>
      <w:r w:rsidRPr="009554DE">
        <w:rPr>
          <w:rFonts w:ascii="Arial" w:hAnsi="Arial" w:cs="Arial"/>
          <w:sz w:val="20"/>
          <w:szCs w:val="20"/>
        </w:rPr>
        <w:t xml:space="preserve">s </w:t>
      </w:r>
      <w:r w:rsidR="00C71BA7">
        <w:rPr>
          <w:rFonts w:ascii="Arial" w:hAnsi="Arial" w:cs="Arial"/>
          <w:sz w:val="20"/>
          <w:szCs w:val="20"/>
        </w:rPr>
        <w:t>2</w:t>
      </w:r>
      <w:r w:rsidRPr="009554DE">
        <w:rPr>
          <w:rFonts w:ascii="Arial" w:hAnsi="Arial" w:cs="Arial"/>
          <w:sz w:val="20"/>
          <w:szCs w:val="20"/>
        </w:rPr>
        <w:t xml:space="preserve">, </w:t>
      </w:r>
      <w:r w:rsidR="00C71BA7">
        <w:rPr>
          <w:rFonts w:ascii="Arial" w:hAnsi="Arial" w:cs="Arial"/>
          <w:sz w:val="20"/>
          <w:szCs w:val="20"/>
        </w:rPr>
        <w:t>3</w:t>
      </w:r>
      <w:r w:rsidRPr="009554DE">
        <w:rPr>
          <w:rFonts w:ascii="Arial" w:hAnsi="Arial" w:cs="Arial"/>
          <w:sz w:val="20"/>
          <w:szCs w:val="20"/>
        </w:rPr>
        <w:t xml:space="preserve">, and </w:t>
      </w:r>
      <w:r w:rsidR="00C71BA7">
        <w:rPr>
          <w:rFonts w:ascii="Arial" w:hAnsi="Arial" w:cs="Arial"/>
          <w:sz w:val="20"/>
          <w:szCs w:val="20"/>
        </w:rPr>
        <w:t>4</w:t>
      </w:r>
      <w:r w:rsidRPr="009554DE">
        <w:rPr>
          <w:rFonts w:ascii="Arial" w:hAnsi="Arial" w:cs="Arial"/>
          <w:sz w:val="20"/>
          <w:szCs w:val="20"/>
        </w:rPr>
        <w:t xml:space="preserve">, respectively). The trend analysis revealed significant spatial heterogeneity in long-term groundwater dynamics, </w:t>
      </w:r>
      <w:proofErr w:type="spellStart"/>
      <w:r w:rsidRPr="009554DE">
        <w:rPr>
          <w:rFonts w:ascii="Arial" w:hAnsi="Arial" w:cs="Arial"/>
          <w:sz w:val="20"/>
          <w:szCs w:val="20"/>
        </w:rPr>
        <w:t>emphasising</w:t>
      </w:r>
      <w:proofErr w:type="spellEnd"/>
      <w:r w:rsidRPr="009554DE">
        <w:rPr>
          <w:rFonts w:ascii="Arial" w:hAnsi="Arial" w:cs="Arial"/>
          <w:sz w:val="20"/>
          <w:szCs w:val="20"/>
        </w:rPr>
        <w:t xml:space="preserve"> the varied pressures and recharge conditions across the block.</w:t>
      </w:r>
    </w:p>
    <w:p w14:paraId="5385C143" w14:textId="7A7416E3" w:rsidR="00DF49A1" w:rsidRPr="009554DE" w:rsidRDefault="00DF49A1" w:rsidP="00DF49A1">
      <w:pPr>
        <w:rPr>
          <w:rFonts w:ascii="Arial" w:hAnsi="Arial" w:cs="Arial"/>
          <w:b/>
          <w:sz w:val="20"/>
          <w:szCs w:val="20"/>
        </w:rPr>
      </w:pPr>
      <w:r w:rsidRPr="00C71BA7">
        <w:rPr>
          <w:rFonts w:ascii="Arial" w:hAnsi="Arial" w:cs="Arial"/>
          <w:b/>
          <w:color w:val="000000" w:themeColor="text1"/>
          <w:sz w:val="20"/>
          <w:szCs w:val="20"/>
        </w:rPr>
        <w:t>Table</w:t>
      </w:r>
      <w:bookmarkStart w:id="1" w:name="_Hlk211432820"/>
      <w:r w:rsidRPr="009554DE">
        <w:rPr>
          <w:rFonts w:ascii="Arial" w:hAnsi="Arial" w:cs="Arial"/>
          <w:b/>
          <w:color w:val="000000" w:themeColor="text1"/>
          <w:sz w:val="20"/>
          <w:szCs w:val="20"/>
        </w:rPr>
        <w:t xml:space="preserve"> </w:t>
      </w:r>
      <w:r w:rsidR="00C71BA7">
        <w:rPr>
          <w:rFonts w:ascii="Arial" w:hAnsi="Arial" w:cs="Arial"/>
          <w:b/>
          <w:color w:val="000000" w:themeColor="text1"/>
          <w:sz w:val="20"/>
          <w:szCs w:val="20"/>
        </w:rPr>
        <w:t>2</w:t>
      </w:r>
      <w:r w:rsidRPr="009554DE">
        <w:rPr>
          <w:rFonts w:ascii="Arial" w:hAnsi="Arial" w:cs="Arial"/>
          <w:b/>
          <w:color w:val="000000" w:themeColor="text1"/>
          <w:sz w:val="20"/>
          <w:szCs w:val="20"/>
        </w:rPr>
        <w:t xml:space="preserve"> Trend </w:t>
      </w:r>
      <w:r w:rsidRPr="009554DE">
        <w:rPr>
          <w:rFonts w:ascii="Arial" w:hAnsi="Arial" w:cs="Arial"/>
          <w:b/>
          <w:sz w:val="20"/>
          <w:szCs w:val="20"/>
        </w:rPr>
        <w:t>analysis of groundwater level during the pre-monsoon period (Mar-May)</w:t>
      </w:r>
      <w:bookmarkEnd w:id="1"/>
    </w:p>
    <w:tbl>
      <w:tblPr>
        <w:tblStyle w:val="TableGrid"/>
        <w:tblW w:w="8630" w:type="dxa"/>
        <w:tblLayout w:type="fixed"/>
        <w:tblLook w:val="04A0" w:firstRow="1" w:lastRow="0" w:firstColumn="1" w:lastColumn="0" w:noHBand="0" w:noVBand="1"/>
      </w:tblPr>
      <w:tblGrid>
        <w:gridCol w:w="1165"/>
        <w:gridCol w:w="810"/>
        <w:gridCol w:w="1170"/>
        <w:gridCol w:w="1530"/>
        <w:gridCol w:w="1530"/>
        <w:gridCol w:w="990"/>
        <w:gridCol w:w="1435"/>
      </w:tblGrid>
      <w:tr w:rsidR="00DF49A1" w:rsidRPr="009554DE" w14:paraId="5DC48EFA" w14:textId="77777777" w:rsidTr="00DF49A1">
        <w:trPr>
          <w:trHeight w:val="548"/>
        </w:trPr>
        <w:tc>
          <w:tcPr>
            <w:tcW w:w="1165" w:type="dxa"/>
            <w:hideMark/>
          </w:tcPr>
          <w:p w14:paraId="4D540094"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Well ID</w:t>
            </w:r>
          </w:p>
        </w:tc>
        <w:tc>
          <w:tcPr>
            <w:tcW w:w="810" w:type="dxa"/>
            <w:hideMark/>
          </w:tcPr>
          <w:p w14:paraId="2AA7146B"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VAR(S)</w:t>
            </w:r>
          </w:p>
        </w:tc>
        <w:tc>
          <w:tcPr>
            <w:tcW w:w="1170" w:type="dxa"/>
            <w:hideMark/>
          </w:tcPr>
          <w:p w14:paraId="66C720DD"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Z-Statistics</w:t>
            </w:r>
          </w:p>
          <w:p w14:paraId="0044AFE1"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(Computed)</w:t>
            </w:r>
          </w:p>
        </w:tc>
        <w:tc>
          <w:tcPr>
            <w:tcW w:w="1530" w:type="dxa"/>
            <w:hideMark/>
          </w:tcPr>
          <w:p w14:paraId="661C0C4C"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rPr>
              <w:t>Z-value (10% Level of significance)</w:t>
            </w:r>
          </w:p>
        </w:tc>
        <w:tc>
          <w:tcPr>
            <w:tcW w:w="1530" w:type="dxa"/>
            <w:hideMark/>
          </w:tcPr>
          <w:p w14:paraId="5D10BD57"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rPr>
              <w:t>Z-value (5% Level of significance)</w:t>
            </w:r>
          </w:p>
        </w:tc>
        <w:tc>
          <w:tcPr>
            <w:tcW w:w="990" w:type="dxa"/>
            <w:hideMark/>
          </w:tcPr>
          <w:p w14:paraId="663C92E3"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Slope</w:t>
            </w:r>
          </w:p>
        </w:tc>
        <w:tc>
          <w:tcPr>
            <w:tcW w:w="1435" w:type="dxa"/>
            <w:hideMark/>
          </w:tcPr>
          <w:p w14:paraId="3CDBF7F7"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Trend</w:t>
            </w:r>
          </w:p>
        </w:tc>
      </w:tr>
      <w:tr w:rsidR="00DF49A1" w:rsidRPr="009554DE" w14:paraId="552B7A6B" w14:textId="77777777" w:rsidTr="00DF49A1">
        <w:trPr>
          <w:trHeight w:val="80"/>
        </w:trPr>
        <w:tc>
          <w:tcPr>
            <w:tcW w:w="1165" w:type="dxa"/>
            <w:hideMark/>
          </w:tcPr>
          <w:p w14:paraId="58ADFB43"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126</w:t>
            </w:r>
          </w:p>
        </w:tc>
        <w:tc>
          <w:tcPr>
            <w:tcW w:w="810" w:type="dxa"/>
            <w:hideMark/>
          </w:tcPr>
          <w:p w14:paraId="258D2F81"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2842</w:t>
            </w:r>
          </w:p>
        </w:tc>
        <w:tc>
          <w:tcPr>
            <w:tcW w:w="1170" w:type="dxa"/>
            <w:hideMark/>
          </w:tcPr>
          <w:p w14:paraId="34642C80"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-1.437</w:t>
            </w:r>
          </w:p>
        </w:tc>
        <w:tc>
          <w:tcPr>
            <w:tcW w:w="1530" w:type="dxa"/>
            <w:hideMark/>
          </w:tcPr>
          <w:p w14:paraId="020BECAA"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1.645</w:t>
            </w:r>
          </w:p>
        </w:tc>
        <w:tc>
          <w:tcPr>
            <w:tcW w:w="1530" w:type="dxa"/>
            <w:hideMark/>
          </w:tcPr>
          <w:p w14:paraId="1E82F826"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1.96</w:t>
            </w:r>
          </w:p>
        </w:tc>
        <w:tc>
          <w:tcPr>
            <w:tcW w:w="990" w:type="dxa"/>
            <w:hideMark/>
          </w:tcPr>
          <w:p w14:paraId="21767ABD"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0.462</w:t>
            </w:r>
          </w:p>
        </w:tc>
        <w:tc>
          <w:tcPr>
            <w:tcW w:w="1435" w:type="dxa"/>
            <w:hideMark/>
          </w:tcPr>
          <w:p w14:paraId="594F603A"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No</w:t>
            </w:r>
          </w:p>
        </w:tc>
      </w:tr>
      <w:tr w:rsidR="00DF49A1" w:rsidRPr="009554DE" w14:paraId="7FEAEC3E" w14:textId="77777777" w:rsidTr="00DF49A1">
        <w:trPr>
          <w:trHeight w:val="70"/>
        </w:trPr>
        <w:tc>
          <w:tcPr>
            <w:tcW w:w="1165" w:type="dxa"/>
            <w:hideMark/>
          </w:tcPr>
          <w:p w14:paraId="0004438D"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139</w:t>
            </w:r>
          </w:p>
        </w:tc>
        <w:tc>
          <w:tcPr>
            <w:tcW w:w="810" w:type="dxa"/>
            <w:hideMark/>
          </w:tcPr>
          <w:p w14:paraId="3EA0222F"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2842</w:t>
            </w:r>
          </w:p>
        </w:tc>
        <w:tc>
          <w:tcPr>
            <w:tcW w:w="1170" w:type="dxa"/>
            <w:hideMark/>
          </w:tcPr>
          <w:p w14:paraId="204C3421"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1.191</w:t>
            </w:r>
          </w:p>
        </w:tc>
        <w:tc>
          <w:tcPr>
            <w:tcW w:w="1530" w:type="dxa"/>
            <w:hideMark/>
          </w:tcPr>
          <w:p w14:paraId="2678892B"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1.645</w:t>
            </w:r>
          </w:p>
        </w:tc>
        <w:tc>
          <w:tcPr>
            <w:tcW w:w="1530" w:type="dxa"/>
            <w:hideMark/>
          </w:tcPr>
          <w:p w14:paraId="7932EC6B"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1.96</w:t>
            </w:r>
          </w:p>
        </w:tc>
        <w:tc>
          <w:tcPr>
            <w:tcW w:w="990" w:type="dxa"/>
            <w:hideMark/>
          </w:tcPr>
          <w:p w14:paraId="31A4AEBF"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1.115</w:t>
            </w:r>
          </w:p>
        </w:tc>
        <w:tc>
          <w:tcPr>
            <w:tcW w:w="1435" w:type="dxa"/>
            <w:hideMark/>
          </w:tcPr>
          <w:p w14:paraId="15D0A231"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No</w:t>
            </w:r>
          </w:p>
        </w:tc>
      </w:tr>
      <w:tr w:rsidR="00DF49A1" w:rsidRPr="009554DE" w14:paraId="7E225C68" w14:textId="77777777" w:rsidTr="00DF49A1">
        <w:trPr>
          <w:trHeight w:val="70"/>
        </w:trPr>
        <w:tc>
          <w:tcPr>
            <w:tcW w:w="1165" w:type="dxa"/>
            <w:hideMark/>
          </w:tcPr>
          <w:p w14:paraId="7275FA6F"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141</w:t>
            </w:r>
          </w:p>
        </w:tc>
        <w:tc>
          <w:tcPr>
            <w:tcW w:w="810" w:type="dxa"/>
            <w:hideMark/>
          </w:tcPr>
          <w:p w14:paraId="33157487"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2842</w:t>
            </w:r>
          </w:p>
        </w:tc>
        <w:tc>
          <w:tcPr>
            <w:tcW w:w="1170" w:type="dxa"/>
            <w:hideMark/>
          </w:tcPr>
          <w:p w14:paraId="592430CA"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1.987</w:t>
            </w:r>
          </w:p>
        </w:tc>
        <w:tc>
          <w:tcPr>
            <w:tcW w:w="1530" w:type="dxa"/>
            <w:hideMark/>
          </w:tcPr>
          <w:p w14:paraId="5C7095BD"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1.645</w:t>
            </w:r>
          </w:p>
        </w:tc>
        <w:tc>
          <w:tcPr>
            <w:tcW w:w="1530" w:type="dxa"/>
            <w:hideMark/>
          </w:tcPr>
          <w:p w14:paraId="662D6420"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1.96</w:t>
            </w:r>
          </w:p>
        </w:tc>
        <w:tc>
          <w:tcPr>
            <w:tcW w:w="990" w:type="dxa"/>
            <w:hideMark/>
          </w:tcPr>
          <w:p w14:paraId="7667121D"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-0.623</w:t>
            </w:r>
          </w:p>
        </w:tc>
        <w:tc>
          <w:tcPr>
            <w:tcW w:w="1435" w:type="dxa"/>
            <w:hideMark/>
          </w:tcPr>
          <w:p w14:paraId="6B2ED15A" w14:textId="77777777" w:rsidR="00DF49A1" w:rsidRPr="009554DE" w:rsidRDefault="00DF49A1" w:rsidP="00DF49A1">
            <w:pPr>
              <w:spacing w:after="160"/>
              <w:rPr>
                <w:rFonts w:ascii="Arial" w:hAnsi="Arial" w:cs="Arial"/>
                <w:color w:val="000000" w:themeColor="text1"/>
                <w:sz w:val="20"/>
                <w:szCs w:val="20"/>
              </w:rPr>
            </w:pPr>
            <w:r w:rsidRPr="009554DE">
              <w:rPr>
                <w:rFonts w:ascii="Arial" w:hAnsi="Arial" w:cs="Arial"/>
                <w:bCs/>
                <w:color w:val="000000" w:themeColor="text1"/>
                <w:sz w:val="20"/>
                <w:szCs w:val="20"/>
                <w:lang w:val="en-IN"/>
              </w:rPr>
              <w:t>Decreasing</w:t>
            </w:r>
          </w:p>
        </w:tc>
      </w:tr>
      <w:tr w:rsidR="00DF49A1" w:rsidRPr="009554DE" w14:paraId="1AD5276A" w14:textId="77777777" w:rsidTr="00DF49A1">
        <w:trPr>
          <w:trHeight w:val="70"/>
        </w:trPr>
        <w:tc>
          <w:tcPr>
            <w:tcW w:w="1165" w:type="dxa"/>
            <w:hideMark/>
          </w:tcPr>
          <w:p w14:paraId="07400595"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149</w:t>
            </w:r>
          </w:p>
        </w:tc>
        <w:tc>
          <w:tcPr>
            <w:tcW w:w="810" w:type="dxa"/>
            <w:hideMark/>
          </w:tcPr>
          <w:p w14:paraId="3E22EC16"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2842</w:t>
            </w:r>
          </w:p>
        </w:tc>
        <w:tc>
          <w:tcPr>
            <w:tcW w:w="1170" w:type="dxa"/>
            <w:hideMark/>
          </w:tcPr>
          <w:p w14:paraId="5CC7E25B"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rPr>
              <w:t>1.934</w:t>
            </w:r>
          </w:p>
        </w:tc>
        <w:tc>
          <w:tcPr>
            <w:tcW w:w="1530" w:type="dxa"/>
            <w:hideMark/>
          </w:tcPr>
          <w:p w14:paraId="7B439924"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1.645</w:t>
            </w:r>
          </w:p>
        </w:tc>
        <w:tc>
          <w:tcPr>
            <w:tcW w:w="1530" w:type="dxa"/>
            <w:hideMark/>
          </w:tcPr>
          <w:p w14:paraId="6B570358"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1.96</w:t>
            </w:r>
          </w:p>
        </w:tc>
        <w:tc>
          <w:tcPr>
            <w:tcW w:w="990" w:type="dxa"/>
            <w:hideMark/>
          </w:tcPr>
          <w:p w14:paraId="04283E2F"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rPr>
              <w:t>-0.010</w:t>
            </w:r>
          </w:p>
        </w:tc>
        <w:tc>
          <w:tcPr>
            <w:tcW w:w="1435" w:type="dxa"/>
            <w:hideMark/>
          </w:tcPr>
          <w:p w14:paraId="16E64441" w14:textId="77777777" w:rsidR="00DF49A1" w:rsidRPr="009554DE" w:rsidRDefault="00DF49A1" w:rsidP="00DF49A1">
            <w:pPr>
              <w:spacing w:after="160"/>
              <w:rPr>
                <w:rFonts w:ascii="Arial" w:hAnsi="Arial" w:cs="Arial"/>
                <w:color w:val="000000" w:themeColor="text1"/>
                <w:sz w:val="20"/>
                <w:szCs w:val="20"/>
              </w:rPr>
            </w:pPr>
            <w:r w:rsidRPr="009554DE">
              <w:rPr>
                <w:rFonts w:ascii="Arial" w:hAnsi="Arial" w:cs="Arial"/>
                <w:bCs/>
                <w:color w:val="000000" w:themeColor="text1"/>
                <w:sz w:val="20"/>
                <w:szCs w:val="20"/>
                <w:lang w:val="en-IN"/>
              </w:rPr>
              <w:t>Decreasing</w:t>
            </w:r>
          </w:p>
        </w:tc>
      </w:tr>
      <w:tr w:rsidR="00DF49A1" w:rsidRPr="009554DE" w14:paraId="3B805E12" w14:textId="77777777" w:rsidTr="00DF49A1">
        <w:trPr>
          <w:trHeight w:val="70"/>
        </w:trPr>
        <w:tc>
          <w:tcPr>
            <w:tcW w:w="1165" w:type="dxa"/>
            <w:hideMark/>
          </w:tcPr>
          <w:p w14:paraId="7E55D104"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150</w:t>
            </w:r>
          </w:p>
        </w:tc>
        <w:tc>
          <w:tcPr>
            <w:tcW w:w="810" w:type="dxa"/>
            <w:hideMark/>
          </w:tcPr>
          <w:p w14:paraId="3D40798B"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2842</w:t>
            </w:r>
          </w:p>
        </w:tc>
        <w:tc>
          <w:tcPr>
            <w:tcW w:w="1170" w:type="dxa"/>
            <w:hideMark/>
          </w:tcPr>
          <w:p w14:paraId="6D83A355"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0.924</w:t>
            </w:r>
          </w:p>
        </w:tc>
        <w:tc>
          <w:tcPr>
            <w:tcW w:w="1530" w:type="dxa"/>
            <w:hideMark/>
          </w:tcPr>
          <w:p w14:paraId="6E1DEBE9"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1.645</w:t>
            </w:r>
          </w:p>
        </w:tc>
        <w:tc>
          <w:tcPr>
            <w:tcW w:w="1530" w:type="dxa"/>
            <w:hideMark/>
          </w:tcPr>
          <w:p w14:paraId="0CF0498D"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1.96</w:t>
            </w:r>
          </w:p>
        </w:tc>
        <w:tc>
          <w:tcPr>
            <w:tcW w:w="990" w:type="dxa"/>
            <w:hideMark/>
          </w:tcPr>
          <w:p w14:paraId="79425C18"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0.159</w:t>
            </w:r>
          </w:p>
        </w:tc>
        <w:tc>
          <w:tcPr>
            <w:tcW w:w="1435" w:type="dxa"/>
            <w:hideMark/>
          </w:tcPr>
          <w:p w14:paraId="01D3F591"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No</w:t>
            </w:r>
          </w:p>
        </w:tc>
      </w:tr>
      <w:tr w:rsidR="00DF49A1" w:rsidRPr="009554DE" w14:paraId="7C4E5989" w14:textId="77777777" w:rsidTr="00DF49A1">
        <w:trPr>
          <w:trHeight w:val="70"/>
        </w:trPr>
        <w:tc>
          <w:tcPr>
            <w:tcW w:w="1165" w:type="dxa"/>
            <w:hideMark/>
          </w:tcPr>
          <w:p w14:paraId="46A59A54"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151</w:t>
            </w:r>
          </w:p>
        </w:tc>
        <w:tc>
          <w:tcPr>
            <w:tcW w:w="810" w:type="dxa"/>
            <w:hideMark/>
          </w:tcPr>
          <w:p w14:paraId="5A1E656D"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2842</w:t>
            </w:r>
          </w:p>
        </w:tc>
        <w:tc>
          <w:tcPr>
            <w:tcW w:w="1170" w:type="dxa"/>
            <w:hideMark/>
          </w:tcPr>
          <w:p w14:paraId="5B25E96D"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-0.048</w:t>
            </w:r>
          </w:p>
        </w:tc>
        <w:tc>
          <w:tcPr>
            <w:tcW w:w="1530" w:type="dxa"/>
            <w:hideMark/>
          </w:tcPr>
          <w:p w14:paraId="5878EAD7"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1.645</w:t>
            </w:r>
          </w:p>
        </w:tc>
        <w:tc>
          <w:tcPr>
            <w:tcW w:w="1530" w:type="dxa"/>
            <w:hideMark/>
          </w:tcPr>
          <w:p w14:paraId="31D617B1"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1.96</w:t>
            </w:r>
          </w:p>
        </w:tc>
        <w:tc>
          <w:tcPr>
            <w:tcW w:w="990" w:type="dxa"/>
            <w:hideMark/>
          </w:tcPr>
          <w:p w14:paraId="7D57B61E"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1.175</w:t>
            </w:r>
          </w:p>
        </w:tc>
        <w:tc>
          <w:tcPr>
            <w:tcW w:w="1435" w:type="dxa"/>
            <w:hideMark/>
          </w:tcPr>
          <w:p w14:paraId="28F28E6B"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No</w:t>
            </w:r>
          </w:p>
        </w:tc>
      </w:tr>
      <w:tr w:rsidR="00DF49A1" w:rsidRPr="009554DE" w14:paraId="31B8534C" w14:textId="77777777" w:rsidTr="00DF49A1">
        <w:trPr>
          <w:trHeight w:val="70"/>
        </w:trPr>
        <w:tc>
          <w:tcPr>
            <w:tcW w:w="1165" w:type="dxa"/>
            <w:hideMark/>
          </w:tcPr>
          <w:p w14:paraId="64CDE596"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PKD S-6</w:t>
            </w:r>
          </w:p>
        </w:tc>
        <w:tc>
          <w:tcPr>
            <w:tcW w:w="810" w:type="dxa"/>
            <w:hideMark/>
          </w:tcPr>
          <w:p w14:paraId="49ED9F68"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2842</w:t>
            </w:r>
          </w:p>
        </w:tc>
        <w:tc>
          <w:tcPr>
            <w:tcW w:w="1170" w:type="dxa"/>
            <w:hideMark/>
          </w:tcPr>
          <w:p w14:paraId="3C09328C"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2.155</w:t>
            </w:r>
          </w:p>
        </w:tc>
        <w:tc>
          <w:tcPr>
            <w:tcW w:w="1530" w:type="dxa"/>
            <w:hideMark/>
          </w:tcPr>
          <w:p w14:paraId="47E4EF90"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1.645</w:t>
            </w:r>
          </w:p>
        </w:tc>
        <w:tc>
          <w:tcPr>
            <w:tcW w:w="1530" w:type="dxa"/>
            <w:hideMark/>
          </w:tcPr>
          <w:p w14:paraId="34C744D3"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1.96</w:t>
            </w:r>
          </w:p>
        </w:tc>
        <w:tc>
          <w:tcPr>
            <w:tcW w:w="990" w:type="dxa"/>
            <w:hideMark/>
          </w:tcPr>
          <w:p w14:paraId="5BA82080"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-3.786</w:t>
            </w:r>
          </w:p>
        </w:tc>
        <w:tc>
          <w:tcPr>
            <w:tcW w:w="1435" w:type="dxa"/>
            <w:hideMark/>
          </w:tcPr>
          <w:p w14:paraId="5BF3C423"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Decreasing</w:t>
            </w:r>
          </w:p>
        </w:tc>
      </w:tr>
      <w:tr w:rsidR="00DF49A1" w:rsidRPr="009554DE" w14:paraId="139183B0" w14:textId="77777777" w:rsidTr="00DF49A1">
        <w:trPr>
          <w:trHeight w:val="287"/>
        </w:trPr>
        <w:tc>
          <w:tcPr>
            <w:tcW w:w="1165" w:type="dxa"/>
            <w:hideMark/>
          </w:tcPr>
          <w:p w14:paraId="0760699F"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PKD S-7</w:t>
            </w:r>
          </w:p>
        </w:tc>
        <w:tc>
          <w:tcPr>
            <w:tcW w:w="810" w:type="dxa"/>
            <w:hideMark/>
          </w:tcPr>
          <w:p w14:paraId="18C0B887"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2842</w:t>
            </w:r>
          </w:p>
        </w:tc>
        <w:tc>
          <w:tcPr>
            <w:tcW w:w="1170" w:type="dxa"/>
            <w:hideMark/>
          </w:tcPr>
          <w:p w14:paraId="3473DCA0"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-0.589</w:t>
            </w:r>
          </w:p>
        </w:tc>
        <w:tc>
          <w:tcPr>
            <w:tcW w:w="1530" w:type="dxa"/>
            <w:hideMark/>
          </w:tcPr>
          <w:p w14:paraId="5BE3A7D6"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1.645</w:t>
            </w:r>
          </w:p>
        </w:tc>
        <w:tc>
          <w:tcPr>
            <w:tcW w:w="1530" w:type="dxa"/>
            <w:hideMark/>
          </w:tcPr>
          <w:p w14:paraId="47AAA20C"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1.96</w:t>
            </w:r>
          </w:p>
        </w:tc>
        <w:tc>
          <w:tcPr>
            <w:tcW w:w="990" w:type="dxa"/>
            <w:hideMark/>
          </w:tcPr>
          <w:p w14:paraId="78177003"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1.464</w:t>
            </w:r>
          </w:p>
        </w:tc>
        <w:tc>
          <w:tcPr>
            <w:tcW w:w="1435" w:type="dxa"/>
            <w:hideMark/>
          </w:tcPr>
          <w:p w14:paraId="36311222"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No</w:t>
            </w:r>
          </w:p>
        </w:tc>
      </w:tr>
      <w:tr w:rsidR="00DF49A1" w:rsidRPr="009554DE" w14:paraId="7A35AEBF" w14:textId="77777777" w:rsidTr="00DF49A1">
        <w:trPr>
          <w:trHeight w:val="70"/>
        </w:trPr>
        <w:tc>
          <w:tcPr>
            <w:tcW w:w="1165" w:type="dxa"/>
            <w:hideMark/>
          </w:tcPr>
          <w:p w14:paraId="5075A88A"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PKD S-8</w:t>
            </w:r>
          </w:p>
        </w:tc>
        <w:tc>
          <w:tcPr>
            <w:tcW w:w="810" w:type="dxa"/>
            <w:hideMark/>
          </w:tcPr>
          <w:p w14:paraId="4CCF996A"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2842</w:t>
            </w:r>
          </w:p>
        </w:tc>
        <w:tc>
          <w:tcPr>
            <w:tcW w:w="1170" w:type="dxa"/>
            <w:hideMark/>
          </w:tcPr>
          <w:p w14:paraId="533D44D5"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rPr>
              <w:t>2.014</w:t>
            </w:r>
          </w:p>
        </w:tc>
        <w:tc>
          <w:tcPr>
            <w:tcW w:w="1530" w:type="dxa"/>
            <w:hideMark/>
          </w:tcPr>
          <w:p w14:paraId="70868A99"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1.645</w:t>
            </w:r>
          </w:p>
        </w:tc>
        <w:tc>
          <w:tcPr>
            <w:tcW w:w="1530" w:type="dxa"/>
            <w:hideMark/>
          </w:tcPr>
          <w:p w14:paraId="74800D02"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1.96</w:t>
            </w:r>
          </w:p>
        </w:tc>
        <w:tc>
          <w:tcPr>
            <w:tcW w:w="990" w:type="dxa"/>
            <w:hideMark/>
          </w:tcPr>
          <w:p w14:paraId="6F8008A0"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rPr>
              <w:t>-0.903</w:t>
            </w:r>
          </w:p>
        </w:tc>
        <w:tc>
          <w:tcPr>
            <w:tcW w:w="1435" w:type="dxa"/>
            <w:hideMark/>
          </w:tcPr>
          <w:p w14:paraId="1DD7C88E" w14:textId="77777777" w:rsidR="00DF49A1" w:rsidRPr="009554DE" w:rsidRDefault="00DF49A1" w:rsidP="00DF49A1">
            <w:pPr>
              <w:spacing w:after="160"/>
              <w:rPr>
                <w:rFonts w:ascii="Arial" w:hAnsi="Arial" w:cs="Arial"/>
                <w:sz w:val="20"/>
                <w:szCs w:val="20"/>
              </w:rPr>
            </w:pPr>
            <w:r w:rsidRPr="009554DE">
              <w:rPr>
                <w:rFonts w:ascii="Arial" w:hAnsi="Arial" w:cs="Arial"/>
                <w:bCs/>
                <w:sz w:val="20"/>
                <w:szCs w:val="20"/>
                <w:lang w:val="en-IN"/>
              </w:rPr>
              <w:t>Decreasing</w:t>
            </w:r>
          </w:p>
        </w:tc>
      </w:tr>
    </w:tbl>
    <w:p w14:paraId="787DDA4E" w14:textId="276F8A71" w:rsidR="00DF49A1" w:rsidRPr="009554DE" w:rsidRDefault="00DF49A1" w:rsidP="00DF49A1">
      <w:pPr>
        <w:spacing w:before="240"/>
        <w:rPr>
          <w:rFonts w:ascii="Arial" w:hAnsi="Arial" w:cs="Arial"/>
          <w:b/>
          <w:sz w:val="20"/>
          <w:szCs w:val="20"/>
        </w:rPr>
      </w:pPr>
      <w:r w:rsidRPr="00C71BA7">
        <w:rPr>
          <w:rFonts w:ascii="Arial" w:hAnsi="Arial" w:cs="Arial"/>
          <w:b/>
          <w:color w:val="000000" w:themeColor="text1"/>
          <w:sz w:val="20"/>
          <w:szCs w:val="20"/>
        </w:rPr>
        <w:t>Table</w:t>
      </w:r>
      <w:r w:rsidRPr="009554DE">
        <w:rPr>
          <w:rFonts w:ascii="Arial" w:hAnsi="Arial" w:cs="Arial"/>
          <w:b/>
          <w:color w:val="000000" w:themeColor="text1"/>
          <w:sz w:val="20"/>
          <w:szCs w:val="20"/>
        </w:rPr>
        <w:t xml:space="preserve"> </w:t>
      </w:r>
      <w:r w:rsidR="00C71BA7">
        <w:rPr>
          <w:rFonts w:ascii="Arial" w:hAnsi="Arial" w:cs="Arial"/>
          <w:b/>
          <w:color w:val="000000" w:themeColor="text1"/>
          <w:sz w:val="20"/>
          <w:szCs w:val="20"/>
        </w:rPr>
        <w:t>3</w:t>
      </w:r>
      <w:r w:rsidRPr="009554DE">
        <w:rPr>
          <w:rFonts w:ascii="Arial" w:hAnsi="Arial" w:cs="Arial"/>
          <w:b/>
          <w:color w:val="000000" w:themeColor="text1"/>
          <w:sz w:val="20"/>
          <w:szCs w:val="20"/>
        </w:rPr>
        <w:t xml:space="preserve">: </w:t>
      </w:r>
      <w:r w:rsidRPr="009554DE">
        <w:rPr>
          <w:rFonts w:ascii="Arial" w:hAnsi="Arial" w:cs="Arial"/>
          <w:b/>
          <w:sz w:val="20"/>
          <w:szCs w:val="20"/>
        </w:rPr>
        <w:t>Trend analysis of groundwater level during the post-monsoon period (Oct-Nov)</w:t>
      </w:r>
    </w:p>
    <w:tbl>
      <w:tblPr>
        <w:tblStyle w:val="TableGrid"/>
        <w:tblW w:w="8630" w:type="dxa"/>
        <w:tblLayout w:type="fixed"/>
        <w:tblLook w:val="04A0" w:firstRow="1" w:lastRow="0" w:firstColumn="1" w:lastColumn="0" w:noHBand="0" w:noVBand="1"/>
      </w:tblPr>
      <w:tblGrid>
        <w:gridCol w:w="1165"/>
        <w:gridCol w:w="810"/>
        <w:gridCol w:w="1170"/>
        <w:gridCol w:w="1530"/>
        <w:gridCol w:w="1530"/>
        <w:gridCol w:w="990"/>
        <w:gridCol w:w="1435"/>
      </w:tblGrid>
      <w:tr w:rsidR="00DF49A1" w:rsidRPr="009554DE" w14:paraId="06FF11E1" w14:textId="77777777" w:rsidTr="00DF49A1">
        <w:trPr>
          <w:trHeight w:val="548"/>
        </w:trPr>
        <w:tc>
          <w:tcPr>
            <w:tcW w:w="1165" w:type="dxa"/>
            <w:hideMark/>
          </w:tcPr>
          <w:p w14:paraId="0F2CEB88" w14:textId="77777777" w:rsidR="00DF49A1" w:rsidRPr="009554DE" w:rsidRDefault="00DF49A1" w:rsidP="00DF49A1">
            <w:pPr>
              <w:spacing w:after="160" w:line="276" w:lineRule="auto"/>
              <w:rPr>
                <w:rFonts w:ascii="Arial" w:hAnsi="Arial" w:cs="Arial"/>
                <w:b/>
                <w:sz w:val="20"/>
                <w:szCs w:val="20"/>
              </w:rPr>
            </w:pPr>
            <w:r w:rsidRPr="009554DE">
              <w:rPr>
                <w:rFonts w:ascii="Arial" w:hAnsi="Arial" w:cs="Arial"/>
                <w:b/>
                <w:bCs/>
                <w:sz w:val="20"/>
                <w:szCs w:val="20"/>
                <w:lang w:val="en-IN"/>
              </w:rPr>
              <w:t>Well ID</w:t>
            </w:r>
          </w:p>
        </w:tc>
        <w:tc>
          <w:tcPr>
            <w:tcW w:w="810" w:type="dxa"/>
            <w:hideMark/>
          </w:tcPr>
          <w:p w14:paraId="49548A5C" w14:textId="77777777" w:rsidR="00DF49A1" w:rsidRPr="009554DE" w:rsidRDefault="00DF49A1" w:rsidP="00DF49A1">
            <w:pPr>
              <w:spacing w:after="160" w:line="276" w:lineRule="auto"/>
              <w:rPr>
                <w:rFonts w:ascii="Arial" w:hAnsi="Arial" w:cs="Arial"/>
                <w:b/>
                <w:sz w:val="20"/>
                <w:szCs w:val="20"/>
              </w:rPr>
            </w:pPr>
            <w:r w:rsidRPr="009554DE">
              <w:rPr>
                <w:rFonts w:ascii="Arial" w:hAnsi="Arial" w:cs="Arial"/>
                <w:b/>
                <w:bCs/>
                <w:sz w:val="20"/>
                <w:szCs w:val="20"/>
                <w:lang w:val="en-IN"/>
              </w:rPr>
              <w:t>VAR(S)</w:t>
            </w:r>
          </w:p>
        </w:tc>
        <w:tc>
          <w:tcPr>
            <w:tcW w:w="1170" w:type="dxa"/>
            <w:hideMark/>
          </w:tcPr>
          <w:p w14:paraId="4B4CCFFA" w14:textId="77777777" w:rsidR="00DF49A1" w:rsidRPr="009554DE" w:rsidRDefault="00DF49A1" w:rsidP="00DF49A1">
            <w:pPr>
              <w:spacing w:after="160" w:line="276" w:lineRule="auto"/>
              <w:rPr>
                <w:rFonts w:ascii="Arial" w:hAnsi="Arial" w:cs="Arial"/>
                <w:b/>
                <w:sz w:val="20"/>
                <w:szCs w:val="20"/>
              </w:rPr>
            </w:pPr>
            <w:r w:rsidRPr="009554DE">
              <w:rPr>
                <w:rFonts w:ascii="Arial" w:hAnsi="Arial" w:cs="Arial"/>
                <w:b/>
                <w:bCs/>
                <w:sz w:val="20"/>
                <w:szCs w:val="20"/>
                <w:lang w:val="en-IN"/>
              </w:rPr>
              <w:t>Z-Statistics</w:t>
            </w:r>
          </w:p>
          <w:p w14:paraId="5CD37A84" w14:textId="77777777" w:rsidR="00DF49A1" w:rsidRPr="009554DE" w:rsidRDefault="00DF49A1" w:rsidP="00DF49A1">
            <w:pPr>
              <w:spacing w:after="160" w:line="276" w:lineRule="auto"/>
              <w:rPr>
                <w:rFonts w:ascii="Arial" w:hAnsi="Arial" w:cs="Arial"/>
                <w:b/>
                <w:sz w:val="20"/>
                <w:szCs w:val="20"/>
              </w:rPr>
            </w:pPr>
            <w:r w:rsidRPr="009554DE">
              <w:rPr>
                <w:rFonts w:ascii="Arial" w:hAnsi="Arial" w:cs="Arial"/>
                <w:b/>
                <w:bCs/>
                <w:sz w:val="20"/>
                <w:szCs w:val="20"/>
                <w:lang w:val="en-IN"/>
              </w:rPr>
              <w:t>(Computed)</w:t>
            </w:r>
          </w:p>
        </w:tc>
        <w:tc>
          <w:tcPr>
            <w:tcW w:w="1530" w:type="dxa"/>
            <w:hideMark/>
          </w:tcPr>
          <w:p w14:paraId="38100BD8" w14:textId="77777777" w:rsidR="00DF49A1" w:rsidRPr="009554DE" w:rsidRDefault="00DF49A1" w:rsidP="00DF49A1">
            <w:pPr>
              <w:spacing w:after="160" w:line="276" w:lineRule="auto"/>
              <w:rPr>
                <w:rFonts w:ascii="Arial" w:hAnsi="Arial" w:cs="Arial"/>
                <w:b/>
                <w:sz w:val="20"/>
                <w:szCs w:val="20"/>
              </w:rPr>
            </w:pPr>
            <w:r w:rsidRPr="009554DE">
              <w:rPr>
                <w:rFonts w:ascii="Arial" w:hAnsi="Arial" w:cs="Arial"/>
                <w:b/>
                <w:bCs/>
                <w:sz w:val="20"/>
                <w:szCs w:val="20"/>
              </w:rPr>
              <w:t>Z-value (10% Level of significance)</w:t>
            </w:r>
          </w:p>
        </w:tc>
        <w:tc>
          <w:tcPr>
            <w:tcW w:w="1530" w:type="dxa"/>
            <w:hideMark/>
          </w:tcPr>
          <w:p w14:paraId="5AA33AE7" w14:textId="77777777" w:rsidR="00DF49A1" w:rsidRPr="009554DE" w:rsidRDefault="00DF49A1" w:rsidP="00DF49A1">
            <w:pPr>
              <w:spacing w:after="160" w:line="276" w:lineRule="auto"/>
              <w:rPr>
                <w:rFonts w:ascii="Arial" w:hAnsi="Arial" w:cs="Arial"/>
                <w:b/>
                <w:sz w:val="20"/>
                <w:szCs w:val="20"/>
              </w:rPr>
            </w:pPr>
            <w:r w:rsidRPr="009554DE">
              <w:rPr>
                <w:rFonts w:ascii="Arial" w:hAnsi="Arial" w:cs="Arial"/>
                <w:b/>
                <w:bCs/>
                <w:sz w:val="20"/>
                <w:szCs w:val="20"/>
              </w:rPr>
              <w:t>Z-value (5% Level of significance)</w:t>
            </w:r>
          </w:p>
        </w:tc>
        <w:tc>
          <w:tcPr>
            <w:tcW w:w="990" w:type="dxa"/>
            <w:hideMark/>
          </w:tcPr>
          <w:p w14:paraId="43179D2A" w14:textId="77777777" w:rsidR="00DF49A1" w:rsidRPr="009554DE" w:rsidRDefault="00DF49A1" w:rsidP="00DF49A1">
            <w:pPr>
              <w:spacing w:after="160" w:line="276" w:lineRule="auto"/>
              <w:rPr>
                <w:rFonts w:ascii="Arial" w:hAnsi="Arial" w:cs="Arial"/>
                <w:b/>
                <w:sz w:val="20"/>
                <w:szCs w:val="20"/>
              </w:rPr>
            </w:pPr>
            <w:r w:rsidRPr="009554DE">
              <w:rPr>
                <w:rFonts w:ascii="Arial" w:hAnsi="Arial" w:cs="Arial"/>
                <w:b/>
                <w:bCs/>
                <w:sz w:val="20"/>
                <w:szCs w:val="20"/>
                <w:lang w:val="en-IN"/>
              </w:rPr>
              <w:t>Slope</w:t>
            </w:r>
          </w:p>
        </w:tc>
        <w:tc>
          <w:tcPr>
            <w:tcW w:w="1435" w:type="dxa"/>
            <w:hideMark/>
          </w:tcPr>
          <w:p w14:paraId="7BF527A6" w14:textId="77777777" w:rsidR="00DF49A1" w:rsidRPr="009554DE" w:rsidRDefault="00DF49A1" w:rsidP="00DF49A1">
            <w:pPr>
              <w:spacing w:after="160" w:line="276" w:lineRule="auto"/>
              <w:rPr>
                <w:rFonts w:ascii="Arial" w:hAnsi="Arial" w:cs="Arial"/>
                <w:b/>
                <w:sz w:val="20"/>
                <w:szCs w:val="20"/>
              </w:rPr>
            </w:pPr>
            <w:r w:rsidRPr="009554DE">
              <w:rPr>
                <w:rFonts w:ascii="Arial" w:hAnsi="Arial" w:cs="Arial"/>
                <w:b/>
                <w:bCs/>
                <w:sz w:val="20"/>
                <w:szCs w:val="20"/>
                <w:lang w:val="en-IN"/>
              </w:rPr>
              <w:t>Trend</w:t>
            </w:r>
          </w:p>
        </w:tc>
      </w:tr>
      <w:tr w:rsidR="00DF49A1" w:rsidRPr="009554DE" w14:paraId="4E134447" w14:textId="77777777" w:rsidTr="00DF49A1">
        <w:trPr>
          <w:trHeight w:val="80"/>
        </w:trPr>
        <w:tc>
          <w:tcPr>
            <w:tcW w:w="1165" w:type="dxa"/>
            <w:vAlign w:val="center"/>
            <w:hideMark/>
          </w:tcPr>
          <w:p w14:paraId="025DA0E9" w14:textId="77777777" w:rsidR="00DF49A1" w:rsidRPr="009554DE" w:rsidRDefault="00DF49A1" w:rsidP="00DF49A1">
            <w:pPr>
              <w:pStyle w:val="NormalWeb"/>
              <w:spacing w:before="0" w:beforeAutospacing="0" w:after="0" w:afterAutospacing="0" w:line="276" w:lineRule="auto"/>
              <w:jc w:val="center"/>
              <w:textAlignment w:val="center"/>
              <w:rPr>
                <w:rFonts w:ascii="Arial" w:hAnsi="Arial" w:cs="Arial"/>
                <w:sz w:val="20"/>
                <w:szCs w:val="20"/>
              </w:rPr>
            </w:pPr>
            <w:r w:rsidRPr="009554DE">
              <w:rPr>
                <w:rFonts w:ascii="Arial" w:hAnsi="Arial" w:cs="Arial"/>
                <w:bCs/>
                <w:color w:val="000000"/>
                <w:sz w:val="20"/>
                <w:szCs w:val="20"/>
                <w:lang w:val="en-IN"/>
              </w:rPr>
              <w:t>126</w:t>
            </w:r>
          </w:p>
        </w:tc>
        <w:tc>
          <w:tcPr>
            <w:tcW w:w="810" w:type="dxa"/>
            <w:vAlign w:val="bottom"/>
            <w:hideMark/>
          </w:tcPr>
          <w:p w14:paraId="5CF2B8A6"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2842</w:t>
            </w:r>
          </w:p>
        </w:tc>
        <w:tc>
          <w:tcPr>
            <w:tcW w:w="1170" w:type="dxa"/>
            <w:vAlign w:val="bottom"/>
            <w:hideMark/>
          </w:tcPr>
          <w:p w14:paraId="66A2A660"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-1.948</w:t>
            </w:r>
          </w:p>
        </w:tc>
        <w:tc>
          <w:tcPr>
            <w:tcW w:w="1530" w:type="dxa"/>
            <w:vAlign w:val="bottom"/>
            <w:hideMark/>
          </w:tcPr>
          <w:p w14:paraId="08D59B34"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1.645</w:t>
            </w:r>
          </w:p>
        </w:tc>
        <w:tc>
          <w:tcPr>
            <w:tcW w:w="1530" w:type="dxa"/>
            <w:vAlign w:val="bottom"/>
            <w:hideMark/>
          </w:tcPr>
          <w:p w14:paraId="05AFC3B4"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1.96</w:t>
            </w:r>
          </w:p>
        </w:tc>
        <w:tc>
          <w:tcPr>
            <w:tcW w:w="990" w:type="dxa"/>
            <w:vAlign w:val="bottom"/>
            <w:hideMark/>
          </w:tcPr>
          <w:p w14:paraId="42F39181"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0.573</w:t>
            </w:r>
          </w:p>
        </w:tc>
        <w:tc>
          <w:tcPr>
            <w:tcW w:w="1435" w:type="dxa"/>
            <w:vAlign w:val="bottom"/>
            <w:hideMark/>
          </w:tcPr>
          <w:p w14:paraId="1521D5C9"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No</w:t>
            </w:r>
          </w:p>
        </w:tc>
      </w:tr>
      <w:tr w:rsidR="00DF49A1" w:rsidRPr="009554DE" w14:paraId="318E35CB" w14:textId="77777777" w:rsidTr="00DF49A1">
        <w:trPr>
          <w:trHeight w:val="70"/>
        </w:trPr>
        <w:tc>
          <w:tcPr>
            <w:tcW w:w="1165" w:type="dxa"/>
            <w:vAlign w:val="center"/>
            <w:hideMark/>
          </w:tcPr>
          <w:p w14:paraId="542F43D7" w14:textId="77777777" w:rsidR="00DF49A1" w:rsidRPr="009554DE" w:rsidRDefault="00DF49A1" w:rsidP="00DF49A1">
            <w:pPr>
              <w:pStyle w:val="NormalWeb"/>
              <w:spacing w:before="0" w:beforeAutospacing="0" w:after="0" w:afterAutospacing="0" w:line="276" w:lineRule="auto"/>
              <w:jc w:val="center"/>
              <w:textAlignment w:val="center"/>
              <w:rPr>
                <w:rFonts w:ascii="Arial" w:hAnsi="Arial" w:cs="Arial"/>
                <w:sz w:val="20"/>
                <w:szCs w:val="20"/>
              </w:rPr>
            </w:pPr>
            <w:r w:rsidRPr="009554DE">
              <w:rPr>
                <w:rFonts w:ascii="Arial" w:hAnsi="Arial" w:cs="Arial"/>
                <w:bCs/>
                <w:color w:val="000000"/>
                <w:sz w:val="20"/>
                <w:szCs w:val="20"/>
                <w:lang w:val="en-IN"/>
              </w:rPr>
              <w:t>139</w:t>
            </w:r>
          </w:p>
        </w:tc>
        <w:tc>
          <w:tcPr>
            <w:tcW w:w="810" w:type="dxa"/>
            <w:vAlign w:val="bottom"/>
            <w:hideMark/>
          </w:tcPr>
          <w:p w14:paraId="344A6619"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2842</w:t>
            </w:r>
          </w:p>
        </w:tc>
        <w:tc>
          <w:tcPr>
            <w:tcW w:w="1170" w:type="dxa"/>
            <w:vAlign w:val="bottom"/>
            <w:hideMark/>
          </w:tcPr>
          <w:p w14:paraId="253BA281"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1.257</w:t>
            </w:r>
          </w:p>
        </w:tc>
        <w:tc>
          <w:tcPr>
            <w:tcW w:w="1530" w:type="dxa"/>
            <w:vAlign w:val="bottom"/>
            <w:hideMark/>
          </w:tcPr>
          <w:p w14:paraId="7BD5E508"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1.645</w:t>
            </w:r>
          </w:p>
        </w:tc>
        <w:tc>
          <w:tcPr>
            <w:tcW w:w="1530" w:type="dxa"/>
            <w:vAlign w:val="bottom"/>
            <w:hideMark/>
          </w:tcPr>
          <w:p w14:paraId="57C0709F"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1.96</w:t>
            </w:r>
          </w:p>
        </w:tc>
        <w:tc>
          <w:tcPr>
            <w:tcW w:w="990" w:type="dxa"/>
            <w:vAlign w:val="bottom"/>
            <w:hideMark/>
          </w:tcPr>
          <w:p w14:paraId="0CAD6266"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1.117</w:t>
            </w:r>
          </w:p>
        </w:tc>
        <w:tc>
          <w:tcPr>
            <w:tcW w:w="1435" w:type="dxa"/>
            <w:vAlign w:val="bottom"/>
            <w:hideMark/>
          </w:tcPr>
          <w:p w14:paraId="72A4A656"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No</w:t>
            </w:r>
          </w:p>
        </w:tc>
      </w:tr>
      <w:tr w:rsidR="00DF49A1" w:rsidRPr="009554DE" w14:paraId="60EDCA51" w14:textId="77777777" w:rsidTr="00DF49A1">
        <w:trPr>
          <w:trHeight w:val="70"/>
        </w:trPr>
        <w:tc>
          <w:tcPr>
            <w:tcW w:w="1165" w:type="dxa"/>
            <w:vAlign w:val="center"/>
            <w:hideMark/>
          </w:tcPr>
          <w:p w14:paraId="37B26CA9" w14:textId="77777777" w:rsidR="00DF49A1" w:rsidRPr="009554DE" w:rsidRDefault="00DF49A1" w:rsidP="00DF49A1">
            <w:pPr>
              <w:pStyle w:val="NormalWeb"/>
              <w:spacing w:before="0" w:beforeAutospacing="0" w:after="0" w:afterAutospacing="0" w:line="276" w:lineRule="auto"/>
              <w:jc w:val="center"/>
              <w:textAlignment w:val="center"/>
              <w:rPr>
                <w:rFonts w:ascii="Arial" w:hAnsi="Arial" w:cs="Arial"/>
                <w:sz w:val="20"/>
                <w:szCs w:val="20"/>
              </w:rPr>
            </w:pPr>
            <w:r w:rsidRPr="009554DE">
              <w:rPr>
                <w:rFonts w:ascii="Arial" w:hAnsi="Arial" w:cs="Arial"/>
                <w:bCs/>
                <w:color w:val="000000"/>
                <w:sz w:val="20"/>
                <w:szCs w:val="20"/>
                <w:lang w:val="en-IN"/>
              </w:rPr>
              <w:t>141</w:t>
            </w:r>
          </w:p>
        </w:tc>
        <w:tc>
          <w:tcPr>
            <w:tcW w:w="810" w:type="dxa"/>
            <w:vAlign w:val="bottom"/>
            <w:hideMark/>
          </w:tcPr>
          <w:p w14:paraId="52FF66E9"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2842</w:t>
            </w:r>
          </w:p>
        </w:tc>
        <w:tc>
          <w:tcPr>
            <w:tcW w:w="1170" w:type="dxa"/>
            <w:vAlign w:val="bottom"/>
            <w:hideMark/>
          </w:tcPr>
          <w:p w14:paraId="2B1BD87B"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2.638</w:t>
            </w:r>
          </w:p>
        </w:tc>
        <w:tc>
          <w:tcPr>
            <w:tcW w:w="1530" w:type="dxa"/>
            <w:vAlign w:val="bottom"/>
            <w:hideMark/>
          </w:tcPr>
          <w:p w14:paraId="664CA65F"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2597737D"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3E36483E"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-0.781</w:t>
            </w:r>
          </w:p>
        </w:tc>
        <w:tc>
          <w:tcPr>
            <w:tcW w:w="1435" w:type="dxa"/>
            <w:vAlign w:val="bottom"/>
            <w:hideMark/>
          </w:tcPr>
          <w:p w14:paraId="437E5774"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Decreasing</w:t>
            </w:r>
          </w:p>
        </w:tc>
      </w:tr>
      <w:tr w:rsidR="00DF49A1" w:rsidRPr="009554DE" w14:paraId="0C387657" w14:textId="77777777" w:rsidTr="00DF49A1">
        <w:trPr>
          <w:trHeight w:val="70"/>
        </w:trPr>
        <w:tc>
          <w:tcPr>
            <w:tcW w:w="1165" w:type="dxa"/>
            <w:vAlign w:val="center"/>
            <w:hideMark/>
          </w:tcPr>
          <w:p w14:paraId="1D7762B7" w14:textId="77777777" w:rsidR="00DF49A1" w:rsidRPr="009554DE" w:rsidRDefault="00DF49A1" w:rsidP="00DF49A1">
            <w:pPr>
              <w:pStyle w:val="NormalWeb"/>
              <w:spacing w:before="0" w:beforeAutospacing="0" w:after="0" w:afterAutospacing="0" w:line="276" w:lineRule="auto"/>
              <w:jc w:val="center"/>
              <w:textAlignment w:val="center"/>
              <w:rPr>
                <w:rFonts w:ascii="Arial" w:hAnsi="Arial" w:cs="Arial"/>
                <w:sz w:val="20"/>
                <w:szCs w:val="20"/>
              </w:rPr>
            </w:pPr>
            <w:r w:rsidRPr="009554DE">
              <w:rPr>
                <w:rFonts w:ascii="Arial" w:hAnsi="Arial" w:cs="Arial"/>
                <w:bCs/>
                <w:color w:val="000000"/>
                <w:sz w:val="20"/>
                <w:szCs w:val="20"/>
                <w:lang w:val="en-IN"/>
              </w:rPr>
              <w:t>149</w:t>
            </w:r>
          </w:p>
        </w:tc>
        <w:tc>
          <w:tcPr>
            <w:tcW w:w="810" w:type="dxa"/>
            <w:vAlign w:val="bottom"/>
            <w:hideMark/>
          </w:tcPr>
          <w:p w14:paraId="0812BF6E" w14:textId="77777777" w:rsidR="00DF49A1" w:rsidRPr="009554DE" w:rsidRDefault="00DF49A1" w:rsidP="00DF49A1">
            <w:pPr>
              <w:pStyle w:val="NormalWeb"/>
              <w:spacing w:before="0" w:beforeAutospacing="0" w:after="0" w:afterAutospacing="0" w:line="276" w:lineRule="auto"/>
              <w:jc w:val="center"/>
              <w:rPr>
                <w:rFonts w:ascii="Arial" w:hAnsi="Arial" w:cs="Arial"/>
                <w:sz w:val="20"/>
                <w:szCs w:val="20"/>
              </w:rPr>
            </w:pPr>
            <w:r w:rsidRPr="009554DE">
              <w:rPr>
                <w:rFonts w:ascii="Arial" w:hAnsi="Arial" w:cs="Arial"/>
                <w:bCs/>
                <w:color w:val="000000"/>
                <w:sz w:val="20"/>
                <w:szCs w:val="20"/>
                <w:lang w:val="en-IN"/>
              </w:rPr>
              <w:t>2842</w:t>
            </w:r>
          </w:p>
        </w:tc>
        <w:tc>
          <w:tcPr>
            <w:tcW w:w="1170" w:type="dxa"/>
            <w:vAlign w:val="bottom"/>
            <w:hideMark/>
          </w:tcPr>
          <w:p w14:paraId="5246943C" w14:textId="77777777" w:rsidR="00DF49A1" w:rsidRPr="009554DE" w:rsidRDefault="00DF49A1" w:rsidP="00DF49A1">
            <w:pPr>
              <w:pStyle w:val="NormalWeb"/>
              <w:spacing w:before="0" w:beforeAutospacing="0" w:after="0" w:afterAutospacing="0" w:line="276" w:lineRule="auto"/>
              <w:jc w:val="center"/>
              <w:rPr>
                <w:rFonts w:ascii="Arial" w:hAnsi="Arial" w:cs="Arial"/>
                <w:color w:val="000000" w:themeColor="text1"/>
                <w:sz w:val="20"/>
                <w:szCs w:val="20"/>
              </w:rPr>
            </w:pPr>
            <w:r w:rsidRPr="009554DE">
              <w:rPr>
                <w:rFonts w:ascii="Arial" w:hAnsi="Arial" w:cs="Arial"/>
                <w:bCs/>
                <w:color w:val="000000" w:themeColor="text1"/>
                <w:sz w:val="20"/>
                <w:szCs w:val="20"/>
              </w:rPr>
              <w:t>1.994</w:t>
            </w:r>
          </w:p>
        </w:tc>
        <w:tc>
          <w:tcPr>
            <w:tcW w:w="1530" w:type="dxa"/>
            <w:vAlign w:val="bottom"/>
            <w:hideMark/>
          </w:tcPr>
          <w:p w14:paraId="78B1A141"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51842430"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556D1CBA" w14:textId="77777777" w:rsidR="00DF49A1" w:rsidRPr="009554DE" w:rsidRDefault="00DF49A1" w:rsidP="00DF49A1">
            <w:pPr>
              <w:pStyle w:val="NormalWeb"/>
              <w:spacing w:before="0" w:beforeAutospacing="0" w:after="0" w:afterAutospacing="0" w:line="276" w:lineRule="auto"/>
              <w:jc w:val="center"/>
              <w:rPr>
                <w:rFonts w:ascii="Arial" w:hAnsi="Arial" w:cs="Arial"/>
                <w:color w:val="000000" w:themeColor="text1"/>
                <w:sz w:val="20"/>
                <w:szCs w:val="20"/>
              </w:rPr>
            </w:pPr>
            <w:r w:rsidRPr="009554DE">
              <w:rPr>
                <w:rFonts w:ascii="Arial" w:hAnsi="Arial" w:cs="Arial"/>
                <w:bCs/>
                <w:color w:val="000000" w:themeColor="text1"/>
                <w:sz w:val="20"/>
                <w:szCs w:val="20"/>
              </w:rPr>
              <w:t>-0.011</w:t>
            </w:r>
          </w:p>
        </w:tc>
        <w:tc>
          <w:tcPr>
            <w:tcW w:w="1435" w:type="dxa"/>
            <w:vAlign w:val="bottom"/>
            <w:hideMark/>
          </w:tcPr>
          <w:p w14:paraId="55F3FCDC"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Decreasing</w:t>
            </w:r>
          </w:p>
        </w:tc>
      </w:tr>
      <w:tr w:rsidR="00DF49A1" w:rsidRPr="009554DE" w14:paraId="61D20044" w14:textId="77777777" w:rsidTr="00DF49A1">
        <w:trPr>
          <w:trHeight w:val="70"/>
        </w:trPr>
        <w:tc>
          <w:tcPr>
            <w:tcW w:w="1165" w:type="dxa"/>
            <w:vAlign w:val="center"/>
            <w:hideMark/>
          </w:tcPr>
          <w:p w14:paraId="6D20A917" w14:textId="77777777" w:rsidR="00DF49A1" w:rsidRPr="009554DE" w:rsidRDefault="00DF49A1" w:rsidP="00DF49A1">
            <w:pPr>
              <w:pStyle w:val="NormalWeb"/>
              <w:spacing w:before="0" w:beforeAutospacing="0" w:after="0" w:afterAutospacing="0" w:line="276" w:lineRule="auto"/>
              <w:jc w:val="center"/>
              <w:textAlignment w:val="center"/>
              <w:rPr>
                <w:rFonts w:ascii="Arial" w:hAnsi="Arial" w:cs="Arial"/>
                <w:sz w:val="20"/>
                <w:szCs w:val="20"/>
              </w:rPr>
            </w:pPr>
            <w:r w:rsidRPr="009554DE">
              <w:rPr>
                <w:rFonts w:ascii="Arial" w:hAnsi="Arial" w:cs="Arial"/>
                <w:bCs/>
                <w:color w:val="000000"/>
                <w:sz w:val="20"/>
                <w:szCs w:val="20"/>
                <w:lang w:val="en-IN"/>
              </w:rPr>
              <w:t>150</w:t>
            </w:r>
          </w:p>
        </w:tc>
        <w:tc>
          <w:tcPr>
            <w:tcW w:w="810" w:type="dxa"/>
            <w:vAlign w:val="bottom"/>
            <w:hideMark/>
          </w:tcPr>
          <w:p w14:paraId="1903CE1F"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2842</w:t>
            </w:r>
          </w:p>
        </w:tc>
        <w:tc>
          <w:tcPr>
            <w:tcW w:w="1170" w:type="dxa"/>
            <w:vAlign w:val="bottom"/>
            <w:hideMark/>
          </w:tcPr>
          <w:p w14:paraId="42072AFE"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1.924</w:t>
            </w:r>
          </w:p>
        </w:tc>
        <w:tc>
          <w:tcPr>
            <w:tcW w:w="1530" w:type="dxa"/>
            <w:vAlign w:val="bottom"/>
            <w:hideMark/>
          </w:tcPr>
          <w:p w14:paraId="280920CD"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013C19BD"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79B42326"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0.894</w:t>
            </w:r>
          </w:p>
        </w:tc>
        <w:tc>
          <w:tcPr>
            <w:tcW w:w="1435" w:type="dxa"/>
            <w:vAlign w:val="bottom"/>
            <w:hideMark/>
          </w:tcPr>
          <w:p w14:paraId="0EB5718E"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No</w:t>
            </w:r>
          </w:p>
        </w:tc>
      </w:tr>
      <w:tr w:rsidR="00DF49A1" w:rsidRPr="009554DE" w14:paraId="01C1FB84" w14:textId="77777777" w:rsidTr="00DF49A1">
        <w:trPr>
          <w:trHeight w:val="70"/>
        </w:trPr>
        <w:tc>
          <w:tcPr>
            <w:tcW w:w="1165" w:type="dxa"/>
            <w:vAlign w:val="center"/>
            <w:hideMark/>
          </w:tcPr>
          <w:p w14:paraId="50612CEF" w14:textId="77777777" w:rsidR="00DF49A1" w:rsidRPr="009554DE" w:rsidRDefault="00DF49A1" w:rsidP="00DF49A1">
            <w:pPr>
              <w:pStyle w:val="NormalWeb"/>
              <w:spacing w:before="0" w:beforeAutospacing="0" w:after="0" w:afterAutospacing="0" w:line="276" w:lineRule="auto"/>
              <w:jc w:val="center"/>
              <w:textAlignment w:val="center"/>
              <w:rPr>
                <w:rFonts w:ascii="Arial" w:hAnsi="Arial" w:cs="Arial"/>
                <w:sz w:val="20"/>
                <w:szCs w:val="20"/>
              </w:rPr>
            </w:pPr>
            <w:r w:rsidRPr="009554DE">
              <w:rPr>
                <w:rFonts w:ascii="Arial" w:hAnsi="Arial" w:cs="Arial"/>
                <w:bCs/>
                <w:color w:val="000000"/>
                <w:sz w:val="20"/>
                <w:szCs w:val="20"/>
                <w:lang w:val="en-IN"/>
              </w:rPr>
              <w:t>151</w:t>
            </w:r>
          </w:p>
        </w:tc>
        <w:tc>
          <w:tcPr>
            <w:tcW w:w="810" w:type="dxa"/>
            <w:vAlign w:val="bottom"/>
            <w:hideMark/>
          </w:tcPr>
          <w:p w14:paraId="3B05ACCF"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2842</w:t>
            </w:r>
          </w:p>
        </w:tc>
        <w:tc>
          <w:tcPr>
            <w:tcW w:w="1170" w:type="dxa"/>
            <w:vAlign w:val="bottom"/>
            <w:hideMark/>
          </w:tcPr>
          <w:p w14:paraId="63C34ED3"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-0.482</w:t>
            </w:r>
          </w:p>
        </w:tc>
        <w:tc>
          <w:tcPr>
            <w:tcW w:w="1530" w:type="dxa"/>
            <w:vAlign w:val="bottom"/>
            <w:hideMark/>
          </w:tcPr>
          <w:p w14:paraId="56B3D562"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4C0DFD8C"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4FC4C1BE"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1.274</w:t>
            </w:r>
          </w:p>
        </w:tc>
        <w:tc>
          <w:tcPr>
            <w:tcW w:w="1435" w:type="dxa"/>
            <w:vAlign w:val="bottom"/>
            <w:hideMark/>
          </w:tcPr>
          <w:p w14:paraId="4A4986B7"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No</w:t>
            </w:r>
          </w:p>
        </w:tc>
      </w:tr>
      <w:tr w:rsidR="00DF49A1" w:rsidRPr="009554DE" w14:paraId="7C927F85" w14:textId="77777777" w:rsidTr="00DF49A1">
        <w:trPr>
          <w:trHeight w:val="70"/>
        </w:trPr>
        <w:tc>
          <w:tcPr>
            <w:tcW w:w="1165" w:type="dxa"/>
            <w:vAlign w:val="center"/>
            <w:hideMark/>
          </w:tcPr>
          <w:p w14:paraId="09DAB30D" w14:textId="77777777" w:rsidR="00DF49A1" w:rsidRPr="009554DE" w:rsidRDefault="00DF49A1" w:rsidP="00DF49A1">
            <w:pPr>
              <w:pStyle w:val="NormalWeb"/>
              <w:spacing w:before="0" w:beforeAutospacing="0" w:after="0" w:afterAutospacing="0" w:line="276" w:lineRule="auto"/>
              <w:jc w:val="center"/>
              <w:textAlignment w:val="center"/>
              <w:rPr>
                <w:rFonts w:ascii="Arial" w:hAnsi="Arial" w:cs="Arial"/>
                <w:sz w:val="20"/>
                <w:szCs w:val="20"/>
              </w:rPr>
            </w:pPr>
            <w:r w:rsidRPr="009554DE">
              <w:rPr>
                <w:rFonts w:ascii="Arial" w:hAnsi="Arial" w:cs="Arial"/>
                <w:bCs/>
                <w:color w:val="000000"/>
                <w:sz w:val="20"/>
                <w:szCs w:val="20"/>
                <w:lang w:val="en-IN"/>
              </w:rPr>
              <w:t>PKD S-6</w:t>
            </w:r>
          </w:p>
        </w:tc>
        <w:tc>
          <w:tcPr>
            <w:tcW w:w="810" w:type="dxa"/>
            <w:vAlign w:val="bottom"/>
            <w:hideMark/>
          </w:tcPr>
          <w:p w14:paraId="2613A0C4"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2842</w:t>
            </w:r>
          </w:p>
        </w:tc>
        <w:tc>
          <w:tcPr>
            <w:tcW w:w="1170" w:type="dxa"/>
            <w:vAlign w:val="bottom"/>
            <w:hideMark/>
          </w:tcPr>
          <w:p w14:paraId="5A0B3BA9"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1.962</w:t>
            </w:r>
          </w:p>
        </w:tc>
        <w:tc>
          <w:tcPr>
            <w:tcW w:w="1530" w:type="dxa"/>
            <w:vAlign w:val="bottom"/>
            <w:hideMark/>
          </w:tcPr>
          <w:p w14:paraId="7BFCA363"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2614FF28"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0E8D747B"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-2.589</w:t>
            </w:r>
          </w:p>
        </w:tc>
        <w:tc>
          <w:tcPr>
            <w:tcW w:w="1435" w:type="dxa"/>
            <w:vAlign w:val="bottom"/>
            <w:hideMark/>
          </w:tcPr>
          <w:p w14:paraId="63BA4914"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Decreasing</w:t>
            </w:r>
          </w:p>
        </w:tc>
      </w:tr>
      <w:tr w:rsidR="00DF49A1" w:rsidRPr="009554DE" w14:paraId="33BA153D" w14:textId="77777777" w:rsidTr="00DF49A1">
        <w:trPr>
          <w:trHeight w:val="287"/>
        </w:trPr>
        <w:tc>
          <w:tcPr>
            <w:tcW w:w="1165" w:type="dxa"/>
            <w:vAlign w:val="center"/>
            <w:hideMark/>
          </w:tcPr>
          <w:p w14:paraId="1B3309CE" w14:textId="77777777" w:rsidR="00DF49A1" w:rsidRPr="009554DE" w:rsidRDefault="00DF49A1" w:rsidP="00DF49A1">
            <w:pPr>
              <w:pStyle w:val="NormalWeb"/>
              <w:spacing w:before="0" w:beforeAutospacing="0" w:after="0" w:afterAutospacing="0" w:line="276" w:lineRule="auto"/>
              <w:jc w:val="center"/>
              <w:textAlignment w:val="center"/>
              <w:rPr>
                <w:rFonts w:ascii="Arial" w:hAnsi="Arial" w:cs="Arial"/>
                <w:sz w:val="20"/>
                <w:szCs w:val="20"/>
              </w:rPr>
            </w:pPr>
            <w:r w:rsidRPr="009554DE">
              <w:rPr>
                <w:rFonts w:ascii="Arial" w:hAnsi="Arial" w:cs="Arial"/>
                <w:bCs/>
                <w:color w:val="000000"/>
                <w:sz w:val="20"/>
                <w:szCs w:val="20"/>
                <w:lang w:val="en-IN"/>
              </w:rPr>
              <w:t>PKD S-7</w:t>
            </w:r>
          </w:p>
        </w:tc>
        <w:tc>
          <w:tcPr>
            <w:tcW w:w="810" w:type="dxa"/>
            <w:vAlign w:val="bottom"/>
            <w:hideMark/>
          </w:tcPr>
          <w:p w14:paraId="100BDA50"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2842</w:t>
            </w:r>
          </w:p>
        </w:tc>
        <w:tc>
          <w:tcPr>
            <w:tcW w:w="1170" w:type="dxa"/>
            <w:vAlign w:val="bottom"/>
            <w:hideMark/>
          </w:tcPr>
          <w:p w14:paraId="31C2E490"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-0.894</w:t>
            </w:r>
          </w:p>
        </w:tc>
        <w:tc>
          <w:tcPr>
            <w:tcW w:w="1530" w:type="dxa"/>
            <w:vAlign w:val="bottom"/>
            <w:hideMark/>
          </w:tcPr>
          <w:p w14:paraId="1CC73651"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1.645</w:t>
            </w:r>
          </w:p>
        </w:tc>
        <w:tc>
          <w:tcPr>
            <w:tcW w:w="1530" w:type="dxa"/>
            <w:vAlign w:val="bottom"/>
            <w:hideMark/>
          </w:tcPr>
          <w:p w14:paraId="217B7847"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1.96</w:t>
            </w:r>
          </w:p>
        </w:tc>
        <w:tc>
          <w:tcPr>
            <w:tcW w:w="990" w:type="dxa"/>
            <w:vAlign w:val="bottom"/>
            <w:hideMark/>
          </w:tcPr>
          <w:p w14:paraId="18C1EDC6"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1.147</w:t>
            </w:r>
          </w:p>
        </w:tc>
        <w:tc>
          <w:tcPr>
            <w:tcW w:w="1435" w:type="dxa"/>
            <w:vAlign w:val="bottom"/>
            <w:hideMark/>
          </w:tcPr>
          <w:p w14:paraId="62CB7E53"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No</w:t>
            </w:r>
          </w:p>
        </w:tc>
      </w:tr>
      <w:tr w:rsidR="00DF49A1" w:rsidRPr="009554DE" w14:paraId="6E41F903" w14:textId="77777777" w:rsidTr="00DF49A1">
        <w:trPr>
          <w:trHeight w:val="70"/>
        </w:trPr>
        <w:tc>
          <w:tcPr>
            <w:tcW w:w="1165" w:type="dxa"/>
            <w:vAlign w:val="center"/>
            <w:hideMark/>
          </w:tcPr>
          <w:p w14:paraId="04CD8BE5" w14:textId="77777777" w:rsidR="00DF49A1" w:rsidRPr="009554DE" w:rsidRDefault="00DF49A1" w:rsidP="00DF49A1">
            <w:pPr>
              <w:pStyle w:val="NormalWeb"/>
              <w:spacing w:before="0" w:beforeAutospacing="0" w:after="0" w:afterAutospacing="0" w:line="276" w:lineRule="auto"/>
              <w:jc w:val="center"/>
              <w:textAlignment w:val="center"/>
              <w:rPr>
                <w:rFonts w:ascii="Arial" w:hAnsi="Arial" w:cs="Arial"/>
                <w:sz w:val="20"/>
                <w:szCs w:val="20"/>
              </w:rPr>
            </w:pPr>
            <w:r w:rsidRPr="009554DE">
              <w:rPr>
                <w:rFonts w:ascii="Arial" w:hAnsi="Arial" w:cs="Arial"/>
                <w:bCs/>
                <w:color w:val="000000"/>
                <w:sz w:val="20"/>
                <w:szCs w:val="20"/>
                <w:lang w:val="en-IN"/>
              </w:rPr>
              <w:t>PKD S-8</w:t>
            </w:r>
          </w:p>
        </w:tc>
        <w:tc>
          <w:tcPr>
            <w:tcW w:w="810" w:type="dxa"/>
            <w:vAlign w:val="bottom"/>
            <w:hideMark/>
          </w:tcPr>
          <w:p w14:paraId="5C7C95A6" w14:textId="77777777" w:rsidR="00DF49A1" w:rsidRPr="009554DE" w:rsidRDefault="00DF49A1" w:rsidP="00DF49A1">
            <w:pPr>
              <w:pStyle w:val="NormalWeb"/>
              <w:spacing w:before="0" w:beforeAutospacing="0" w:after="0" w:afterAutospacing="0" w:line="276" w:lineRule="auto"/>
              <w:jc w:val="center"/>
              <w:rPr>
                <w:rFonts w:ascii="Arial" w:hAnsi="Arial" w:cs="Arial"/>
                <w:sz w:val="20"/>
                <w:szCs w:val="20"/>
              </w:rPr>
            </w:pPr>
            <w:r w:rsidRPr="009554DE">
              <w:rPr>
                <w:rFonts w:ascii="Arial" w:hAnsi="Arial" w:cs="Arial"/>
                <w:bCs/>
                <w:color w:val="000000"/>
                <w:sz w:val="20"/>
                <w:szCs w:val="20"/>
                <w:lang w:val="en-IN"/>
              </w:rPr>
              <w:t>2842</w:t>
            </w:r>
          </w:p>
        </w:tc>
        <w:tc>
          <w:tcPr>
            <w:tcW w:w="1170" w:type="dxa"/>
            <w:vAlign w:val="bottom"/>
            <w:hideMark/>
          </w:tcPr>
          <w:p w14:paraId="3285E9C2" w14:textId="77777777" w:rsidR="00DF49A1" w:rsidRPr="009554DE" w:rsidRDefault="00DF49A1" w:rsidP="00DF49A1">
            <w:pPr>
              <w:pStyle w:val="NormalWeb"/>
              <w:spacing w:before="0" w:beforeAutospacing="0" w:after="0" w:afterAutospacing="0" w:line="276" w:lineRule="auto"/>
              <w:jc w:val="center"/>
              <w:rPr>
                <w:rFonts w:ascii="Arial" w:hAnsi="Arial" w:cs="Arial"/>
                <w:sz w:val="20"/>
                <w:szCs w:val="20"/>
              </w:rPr>
            </w:pPr>
            <w:r w:rsidRPr="009554DE">
              <w:rPr>
                <w:rFonts w:ascii="Arial" w:hAnsi="Arial" w:cs="Arial"/>
                <w:bCs/>
                <w:color w:val="000000"/>
                <w:sz w:val="20"/>
                <w:szCs w:val="20"/>
              </w:rPr>
              <w:t>1.024</w:t>
            </w:r>
          </w:p>
        </w:tc>
        <w:tc>
          <w:tcPr>
            <w:tcW w:w="1530" w:type="dxa"/>
            <w:vAlign w:val="bottom"/>
            <w:hideMark/>
          </w:tcPr>
          <w:p w14:paraId="566572E5"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1.645</w:t>
            </w:r>
          </w:p>
        </w:tc>
        <w:tc>
          <w:tcPr>
            <w:tcW w:w="1530" w:type="dxa"/>
            <w:vAlign w:val="bottom"/>
            <w:hideMark/>
          </w:tcPr>
          <w:p w14:paraId="0CF5969B"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1.96</w:t>
            </w:r>
          </w:p>
        </w:tc>
        <w:tc>
          <w:tcPr>
            <w:tcW w:w="990" w:type="dxa"/>
            <w:vAlign w:val="bottom"/>
            <w:hideMark/>
          </w:tcPr>
          <w:p w14:paraId="449F82DD" w14:textId="77777777" w:rsidR="00DF49A1" w:rsidRPr="009554DE" w:rsidRDefault="00DF49A1" w:rsidP="00DF49A1">
            <w:pPr>
              <w:pStyle w:val="NormalWeb"/>
              <w:spacing w:before="0" w:beforeAutospacing="0" w:after="0" w:afterAutospacing="0" w:line="276" w:lineRule="auto"/>
              <w:jc w:val="center"/>
              <w:rPr>
                <w:rFonts w:ascii="Arial" w:hAnsi="Arial" w:cs="Arial"/>
                <w:sz w:val="20"/>
                <w:szCs w:val="20"/>
              </w:rPr>
            </w:pPr>
            <w:r w:rsidRPr="009554DE">
              <w:rPr>
                <w:rFonts w:ascii="Arial" w:hAnsi="Arial" w:cs="Arial"/>
                <w:bCs/>
                <w:color w:val="000000"/>
                <w:sz w:val="20"/>
                <w:szCs w:val="20"/>
              </w:rPr>
              <w:t>0.917</w:t>
            </w:r>
          </w:p>
        </w:tc>
        <w:tc>
          <w:tcPr>
            <w:tcW w:w="1435" w:type="dxa"/>
            <w:vAlign w:val="bottom"/>
            <w:hideMark/>
          </w:tcPr>
          <w:p w14:paraId="366C27DC" w14:textId="77777777" w:rsidR="00DF49A1" w:rsidRPr="009554DE" w:rsidRDefault="00DF49A1" w:rsidP="00DF49A1">
            <w:pPr>
              <w:pStyle w:val="NormalWeb"/>
              <w:spacing w:before="0" w:beforeAutospacing="0" w:after="0" w:afterAutospacing="0" w:line="276" w:lineRule="auto"/>
              <w:jc w:val="center"/>
              <w:textAlignment w:val="bottom"/>
              <w:rPr>
                <w:rFonts w:ascii="Arial" w:hAnsi="Arial" w:cs="Arial"/>
                <w:sz w:val="20"/>
                <w:szCs w:val="20"/>
              </w:rPr>
            </w:pPr>
            <w:r w:rsidRPr="009554DE">
              <w:rPr>
                <w:rFonts w:ascii="Arial" w:hAnsi="Arial" w:cs="Arial"/>
                <w:bCs/>
                <w:color w:val="000000"/>
                <w:sz w:val="20"/>
                <w:szCs w:val="20"/>
                <w:lang w:val="en-IN"/>
              </w:rPr>
              <w:t>No</w:t>
            </w:r>
          </w:p>
        </w:tc>
      </w:tr>
    </w:tbl>
    <w:p w14:paraId="73FADCFA" w14:textId="77777777" w:rsidR="009554DE" w:rsidRDefault="009554DE" w:rsidP="00DF49A1">
      <w:pPr>
        <w:spacing w:before="480"/>
        <w:rPr>
          <w:rFonts w:ascii="Arial" w:hAnsi="Arial" w:cs="Arial"/>
          <w:b/>
          <w:color w:val="000000" w:themeColor="text1"/>
          <w:sz w:val="20"/>
          <w:szCs w:val="20"/>
        </w:rPr>
      </w:pPr>
    </w:p>
    <w:p w14:paraId="79FC4A71" w14:textId="27196F5D" w:rsidR="00DF49A1" w:rsidRPr="009554DE" w:rsidRDefault="00DF49A1" w:rsidP="00DF49A1">
      <w:pPr>
        <w:spacing w:before="480"/>
        <w:rPr>
          <w:rFonts w:ascii="Arial" w:hAnsi="Arial" w:cs="Arial"/>
          <w:b/>
          <w:sz w:val="20"/>
          <w:szCs w:val="20"/>
        </w:rPr>
      </w:pPr>
      <w:r w:rsidRPr="00C71BA7">
        <w:rPr>
          <w:rFonts w:ascii="Arial" w:hAnsi="Arial" w:cs="Arial"/>
          <w:b/>
          <w:color w:val="000000" w:themeColor="text1"/>
          <w:sz w:val="20"/>
          <w:szCs w:val="20"/>
        </w:rPr>
        <w:lastRenderedPageBreak/>
        <w:t>Table</w:t>
      </w:r>
      <w:r w:rsidRPr="009554DE">
        <w:rPr>
          <w:rFonts w:ascii="Arial" w:hAnsi="Arial" w:cs="Arial"/>
          <w:b/>
          <w:color w:val="000000" w:themeColor="text1"/>
          <w:sz w:val="20"/>
          <w:szCs w:val="20"/>
        </w:rPr>
        <w:t xml:space="preserve"> </w:t>
      </w:r>
      <w:r w:rsidR="00C71BA7">
        <w:rPr>
          <w:rFonts w:ascii="Arial" w:hAnsi="Arial" w:cs="Arial"/>
          <w:b/>
          <w:sz w:val="20"/>
          <w:szCs w:val="20"/>
        </w:rPr>
        <w:t>4</w:t>
      </w:r>
      <w:r w:rsidRPr="009554DE">
        <w:rPr>
          <w:rFonts w:ascii="Arial" w:hAnsi="Arial" w:cs="Arial"/>
          <w:b/>
          <w:sz w:val="20"/>
          <w:szCs w:val="20"/>
        </w:rPr>
        <w:t xml:space="preserve">: Trend analysis of annual groundwater level </w:t>
      </w:r>
    </w:p>
    <w:tbl>
      <w:tblPr>
        <w:tblStyle w:val="TableGrid"/>
        <w:tblW w:w="8630" w:type="dxa"/>
        <w:tblLayout w:type="fixed"/>
        <w:tblLook w:val="04A0" w:firstRow="1" w:lastRow="0" w:firstColumn="1" w:lastColumn="0" w:noHBand="0" w:noVBand="1"/>
      </w:tblPr>
      <w:tblGrid>
        <w:gridCol w:w="1165"/>
        <w:gridCol w:w="810"/>
        <w:gridCol w:w="1170"/>
        <w:gridCol w:w="1530"/>
        <w:gridCol w:w="1530"/>
        <w:gridCol w:w="990"/>
        <w:gridCol w:w="1435"/>
      </w:tblGrid>
      <w:tr w:rsidR="00DF49A1" w:rsidRPr="009554DE" w14:paraId="6D5A8CA1" w14:textId="77777777" w:rsidTr="00DF49A1">
        <w:trPr>
          <w:trHeight w:val="548"/>
        </w:trPr>
        <w:tc>
          <w:tcPr>
            <w:tcW w:w="1165" w:type="dxa"/>
            <w:hideMark/>
          </w:tcPr>
          <w:p w14:paraId="5EC0D958"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Well ID</w:t>
            </w:r>
          </w:p>
        </w:tc>
        <w:tc>
          <w:tcPr>
            <w:tcW w:w="810" w:type="dxa"/>
            <w:hideMark/>
          </w:tcPr>
          <w:p w14:paraId="275EEE65"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VAR(S)</w:t>
            </w:r>
          </w:p>
        </w:tc>
        <w:tc>
          <w:tcPr>
            <w:tcW w:w="1170" w:type="dxa"/>
            <w:hideMark/>
          </w:tcPr>
          <w:p w14:paraId="7FEC61F8"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Z-Statistics</w:t>
            </w:r>
          </w:p>
          <w:p w14:paraId="2A7759A9"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(Computed)</w:t>
            </w:r>
          </w:p>
        </w:tc>
        <w:tc>
          <w:tcPr>
            <w:tcW w:w="1530" w:type="dxa"/>
            <w:hideMark/>
          </w:tcPr>
          <w:p w14:paraId="3FB777E5"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rPr>
              <w:t>Z-value (10% Level of significance)</w:t>
            </w:r>
          </w:p>
        </w:tc>
        <w:tc>
          <w:tcPr>
            <w:tcW w:w="1530" w:type="dxa"/>
            <w:hideMark/>
          </w:tcPr>
          <w:p w14:paraId="7C7F5B50"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rPr>
              <w:t>Z-value (5% Level of significance)</w:t>
            </w:r>
          </w:p>
        </w:tc>
        <w:tc>
          <w:tcPr>
            <w:tcW w:w="990" w:type="dxa"/>
            <w:hideMark/>
          </w:tcPr>
          <w:p w14:paraId="3CDF0512"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Slope</w:t>
            </w:r>
          </w:p>
        </w:tc>
        <w:tc>
          <w:tcPr>
            <w:tcW w:w="1435" w:type="dxa"/>
            <w:hideMark/>
          </w:tcPr>
          <w:p w14:paraId="52D26ADD" w14:textId="77777777" w:rsidR="00DF49A1" w:rsidRPr="009554DE" w:rsidRDefault="00DF49A1" w:rsidP="00DF49A1">
            <w:pPr>
              <w:spacing w:after="160"/>
              <w:rPr>
                <w:rFonts w:ascii="Arial" w:hAnsi="Arial" w:cs="Arial"/>
                <w:b/>
                <w:sz w:val="20"/>
                <w:szCs w:val="20"/>
              </w:rPr>
            </w:pPr>
            <w:r w:rsidRPr="009554DE">
              <w:rPr>
                <w:rFonts w:ascii="Arial" w:hAnsi="Arial" w:cs="Arial"/>
                <w:b/>
                <w:bCs/>
                <w:sz w:val="20"/>
                <w:szCs w:val="20"/>
                <w:lang w:val="en-IN"/>
              </w:rPr>
              <w:t>Trend</w:t>
            </w:r>
          </w:p>
        </w:tc>
      </w:tr>
      <w:tr w:rsidR="00DF49A1" w:rsidRPr="009554DE" w14:paraId="4E65C4DC" w14:textId="77777777" w:rsidTr="00DF49A1">
        <w:trPr>
          <w:trHeight w:val="80"/>
        </w:trPr>
        <w:tc>
          <w:tcPr>
            <w:tcW w:w="1165" w:type="dxa"/>
            <w:vAlign w:val="center"/>
            <w:hideMark/>
          </w:tcPr>
          <w:p w14:paraId="45D1EF5A" w14:textId="77777777" w:rsidR="00DF49A1" w:rsidRPr="009554DE" w:rsidRDefault="00DF49A1" w:rsidP="00DF49A1">
            <w:pPr>
              <w:pStyle w:val="NormalWeb"/>
              <w:spacing w:before="0" w:beforeAutospacing="0" w:after="0" w:afterAutospacing="0" w:line="360" w:lineRule="auto"/>
              <w:jc w:val="center"/>
              <w:textAlignment w:val="center"/>
              <w:rPr>
                <w:rFonts w:ascii="Arial" w:hAnsi="Arial" w:cs="Arial"/>
                <w:color w:val="000000" w:themeColor="text1"/>
                <w:sz w:val="20"/>
                <w:szCs w:val="20"/>
              </w:rPr>
            </w:pPr>
            <w:r w:rsidRPr="009554DE">
              <w:rPr>
                <w:rFonts w:ascii="Arial" w:hAnsi="Arial" w:cs="Arial"/>
                <w:bCs/>
                <w:color w:val="000000" w:themeColor="text1"/>
                <w:sz w:val="20"/>
                <w:szCs w:val="20"/>
                <w:lang w:val="en-IN"/>
              </w:rPr>
              <w:t>126</w:t>
            </w:r>
          </w:p>
        </w:tc>
        <w:tc>
          <w:tcPr>
            <w:tcW w:w="810" w:type="dxa"/>
            <w:vAlign w:val="bottom"/>
            <w:hideMark/>
          </w:tcPr>
          <w:p w14:paraId="21D83B12"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2842</w:t>
            </w:r>
          </w:p>
        </w:tc>
        <w:tc>
          <w:tcPr>
            <w:tcW w:w="1170" w:type="dxa"/>
            <w:vAlign w:val="bottom"/>
            <w:hideMark/>
          </w:tcPr>
          <w:p w14:paraId="7F5EE02D"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1.256</w:t>
            </w:r>
          </w:p>
        </w:tc>
        <w:tc>
          <w:tcPr>
            <w:tcW w:w="1530" w:type="dxa"/>
            <w:vAlign w:val="bottom"/>
            <w:hideMark/>
          </w:tcPr>
          <w:p w14:paraId="75CB18DA"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0B8562CD"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172C12D7"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0.645</w:t>
            </w:r>
          </w:p>
        </w:tc>
        <w:tc>
          <w:tcPr>
            <w:tcW w:w="1435" w:type="dxa"/>
            <w:vAlign w:val="bottom"/>
            <w:hideMark/>
          </w:tcPr>
          <w:p w14:paraId="10DB76B5"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No</w:t>
            </w:r>
          </w:p>
        </w:tc>
      </w:tr>
      <w:tr w:rsidR="00DF49A1" w:rsidRPr="009554DE" w14:paraId="3B1F3190" w14:textId="77777777" w:rsidTr="00DF49A1">
        <w:trPr>
          <w:trHeight w:val="70"/>
        </w:trPr>
        <w:tc>
          <w:tcPr>
            <w:tcW w:w="1165" w:type="dxa"/>
            <w:vAlign w:val="center"/>
            <w:hideMark/>
          </w:tcPr>
          <w:p w14:paraId="313E1439" w14:textId="77777777" w:rsidR="00DF49A1" w:rsidRPr="009554DE" w:rsidRDefault="00DF49A1" w:rsidP="00DF49A1">
            <w:pPr>
              <w:pStyle w:val="NormalWeb"/>
              <w:spacing w:before="0" w:beforeAutospacing="0" w:after="0" w:afterAutospacing="0" w:line="360" w:lineRule="auto"/>
              <w:jc w:val="center"/>
              <w:textAlignment w:val="center"/>
              <w:rPr>
                <w:rFonts w:ascii="Arial" w:hAnsi="Arial" w:cs="Arial"/>
                <w:color w:val="000000" w:themeColor="text1"/>
                <w:sz w:val="20"/>
                <w:szCs w:val="20"/>
              </w:rPr>
            </w:pPr>
            <w:r w:rsidRPr="009554DE">
              <w:rPr>
                <w:rFonts w:ascii="Arial" w:hAnsi="Arial" w:cs="Arial"/>
                <w:bCs/>
                <w:color w:val="000000" w:themeColor="text1"/>
                <w:sz w:val="20"/>
                <w:szCs w:val="20"/>
                <w:lang w:val="en-IN"/>
              </w:rPr>
              <w:t>139</w:t>
            </w:r>
          </w:p>
        </w:tc>
        <w:tc>
          <w:tcPr>
            <w:tcW w:w="810" w:type="dxa"/>
            <w:vAlign w:val="bottom"/>
            <w:hideMark/>
          </w:tcPr>
          <w:p w14:paraId="359AA28E"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2842</w:t>
            </w:r>
          </w:p>
        </w:tc>
        <w:tc>
          <w:tcPr>
            <w:tcW w:w="1170" w:type="dxa"/>
            <w:vAlign w:val="bottom"/>
            <w:hideMark/>
          </w:tcPr>
          <w:p w14:paraId="085ADEE2"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1.973</w:t>
            </w:r>
          </w:p>
        </w:tc>
        <w:tc>
          <w:tcPr>
            <w:tcW w:w="1530" w:type="dxa"/>
            <w:vAlign w:val="bottom"/>
            <w:hideMark/>
          </w:tcPr>
          <w:p w14:paraId="2125278B"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296AD61D"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02A4EF7B"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-0.984</w:t>
            </w:r>
          </w:p>
        </w:tc>
        <w:tc>
          <w:tcPr>
            <w:tcW w:w="1435" w:type="dxa"/>
            <w:vAlign w:val="bottom"/>
            <w:hideMark/>
          </w:tcPr>
          <w:p w14:paraId="0C83E61A"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Decreasing</w:t>
            </w:r>
          </w:p>
        </w:tc>
      </w:tr>
      <w:tr w:rsidR="00DF49A1" w:rsidRPr="009554DE" w14:paraId="214F77DC" w14:textId="77777777" w:rsidTr="00DF49A1">
        <w:trPr>
          <w:trHeight w:val="70"/>
        </w:trPr>
        <w:tc>
          <w:tcPr>
            <w:tcW w:w="1165" w:type="dxa"/>
            <w:vAlign w:val="center"/>
            <w:hideMark/>
          </w:tcPr>
          <w:p w14:paraId="36BD4209" w14:textId="77777777" w:rsidR="00DF49A1" w:rsidRPr="009554DE" w:rsidRDefault="00DF49A1" w:rsidP="00DF49A1">
            <w:pPr>
              <w:pStyle w:val="NormalWeb"/>
              <w:spacing w:before="0" w:beforeAutospacing="0" w:after="0" w:afterAutospacing="0" w:line="360" w:lineRule="auto"/>
              <w:jc w:val="center"/>
              <w:textAlignment w:val="center"/>
              <w:rPr>
                <w:rFonts w:ascii="Arial" w:hAnsi="Arial" w:cs="Arial"/>
                <w:color w:val="000000" w:themeColor="text1"/>
                <w:sz w:val="20"/>
                <w:szCs w:val="20"/>
              </w:rPr>
            </w:pPr>
            <w:r w:rsidRPr="009554DE">
              <w:rPr>
                <w:rFonts w:ascii="Arial" w:hAnsi="Arial" w:cs="Arial"/>
                <w:bCs/>
                <w:color w:val="000000" w:themeColor="text1"/>
                <w:sz w:val="20"/>
                <w:szCs w:val="20"/>
                <w:lang w:val="en-IN"/>
              </w:rPr>
              <w:t>141</w:t>
            </w:r>
          </w:p>
        </w:tc>
        <w:tc>
          <w:tcPr>
            <w:tcW w:w="810" w:type="dxa"/>
            <w:vAlign w:val="bottom"/>
            <w:hideMark/>
          </w:tcPr>
          <w:p w14:paraId="159B30EF"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2842</w:t>
            </w:r>
          </w:p>
        </w:tc>
        <w:tc>
          <w:tcPr>
            <w:tcW w:w="1170" w:type="dxa"/>
            <w:vAlign w:val="bottom"/>
            <w:hideMark/>
          </w:tcPr>
          <w:p w14:paraId="7DB0F63F"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2.126</w:t>
            </w:r>
          </w:p>
        </w:tc>
        <w:tc>
          <w:tcPr>
            <w:tcW w:w="1530" w:type="dxa"/>
            <w:vAlign w:val="bottom"/>
            <w:hideMark/>
          </w:tcPr>
          <w:p w14:paraId="08E3BC49"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23BAF77D"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56B54E60"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-0.947</w:t>
            </w:r>
          </w:p>
        </w:tc>
        <w:tc>
          <w:tcPr>
            <w:tcW w:w="1435" w:type="dxa"/>
            <w:vAlign w:val="bottom"/>
            <w:hideMark/>
          </w:tcPr>
          <w:p w14:paraId="048C9C29"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Decreasing</w:t>
            </w:r>
          </w:p>
        </w:tc>
      </w:tr>
      <w:tr w:rsidR="00DF49A1" w:rsidRPr="009554DE" w14:paraId="104DDB43" w14:textId="77777777" w:rsidTr="00DF49A1">
        <w:trPr>
          <w:trHeight w:val="70"/>
        </w:trPr>
        <w:tc>
          <w:tcPr>
            <w:tcW w:w="1165" w:type="dxa"/>
            <w:vAlign w:val="center"/>
            <w:hideMark/>
          </w:tcPr>
          <w:p w14:paraId="00B5F7C9" w14:textId="77777777" w:rsidR="00DF49A1" w:rsidRPr="009554DE" w:rsidRDefault="00DF49A1" w:rsidP="00DF49A1">
            <w:pPr>
              <w:pStyle w:val="NormalWeb"/>
              <w:spacing w:before="0" w:beforeAutospacing="0" w:after="0" w:afterAutospacing="0" w:line="360" w:lineRule="auto"/>
              <w:jc w:val="center"/>
              <w:textAlignment w:val="center"/>
              <w:rPr>
                <w:rFonts w:ascii="Arial" w:hAnsi="Arial" w:cs="Arial"/>
                <w:color w:val="000000" w:themeColor="text1"/>
                <w:sz w:val="20"/>
                <w:szCs w:val="20"/>
              </w:rPr>
            </w:pPr>
            <w:r w:rsidRPr="009554DE">
              <w:rPr>
                <w:rFonts w:ascii="Arial" w:hAnsi="Arial" w:cs="Arial"/>
                <w:bCs/>
                <w:color w:val="000000" w:themeColor="text1"/>
                <w:sz w:val="20"/>
                <w:szCs w:val="20"/>
                <w:lang w:val="en-IN"/>
              </w:rPr>
              <w:t>149</w:t>
            </w:r>
          </w:p>
        </w:tc>
        <w:tc>
          <w:tcPr>
            <w:tcW w:w="810" w:type="dxa"/>
            <w:vAlign w:val="bottom"/>
            <w:hideMark/>
          </w:tcPr>
          <w:p w14:paraId="5FEF8AB9" w14:textId="77777777" w:rsidR="00DF49A1" w:rsidRPr="009554DE" w:rsidRDefault="00DF49A1" w:rsidP="00DF49A1">
            <w:pPr>
              <w:pStyle w:val="NormalWeb"/>
              <w:spacing w:before="0" w:beforeAutospacing="0" w:after="0" w:afterAutospacing="0" w:line="360" w:lineRule="auto"/>
              <w:jc w:val="center"/>
              <w:rPr>
                <w:rFonts w:ascii="Arial" w:hAnsi="Arial" w:cs="Arial"/>
                <w:color w:val="000000" w:themeColor="text1"/>
                <w:sz w:val="20"/>
                <w:szCs w:val="20"/>
              </w:rPr>
            </w:pPr>
            <w:r w:rsidRPr="009554DE">
              <w:rPr>
                <w:rFonts w:ascii="Arial" w:hAnsi="Arial" w:cs="Arial"/>
                <w:bCs/>
                <w:color w:val="000000" w:themeColor="text1"/>
                <w:sz w:val="20"/>
                <w:szCs w:val="20"/>
                <w:lang w:val="en-IN"/>
              </w:rPr>
              <w:t>2842</w:t>
            </w:r>
          </w:p>
        </w:tc>
        <w:tc>
          <w:tcPr>
            <w:tcW w:w="1170" w:type="dxa"/>
            <w:vAlign w:val="bottom"/>
            <w:hideMark/>
          </w:tcPr>
          <w:p w14:paraId="03A9B799" w14:textId="77777777" w:rsidR="00DF49A1" w:rsidRPr="009554DE" w:rsidRDefault="00DF49A1" w:rsidP="00DF49A1">
            <w:pPr>
              <w:pStyle w:val="NormalWeb"/>
              <w:spacing w:before="0" w:beforeAutospacing="0" w:after="0" w:afterAutospacing="0" w:line="360" w:lineRule="auto"/>
              <w:jc w:val="center"/>
              <w:rPr>
                <w:rFonts w:ascii="Arial" w:hAnsi="Arial" w:cs="Arial"/>
                <w:color w:val="000000" w:themeColor="text1"/>
                <w:sz w:val="20"/>
                <w:szCs w:val="20"/>
              </w:rPr>
            </w:pPr>
            <w:r w:rsidRPr="009554DE">
              <w:rPr>
                <w:rFonts w:ascii="Arial" w:hAnsi="Arial" w:cs="Arial"/>
                <w:bCs/>
                <w:color w:val="000000" w:themeColor="text1"/>
                <w:sz w:val="20"/>
                <w:szCs w:val="20"/>
              </w:rPr>
              <w:t>1.998</w:t>
            </w:r>
          </w:p>
        </w:tc>
        <w:tc>
          <w:tcPr>
            <w:tcW w:w="1530" w:type="dxa"/>
            <w:vAlign w:val="bottom"/>
            <w:hideMark/>
          </w:tcPr>
          <w:p w14:paraId="20F5261A"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77C36BCA"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1F0B1501" w14:textId="77777777" w:rsidR="00DF49A1" w:rsidRPr="009554DE" w:rsidRDefault="00DF49A1" w:rsidP="00DF49A1">
            <w:pPr>
              <w:pStyle w:val="NormalWeb"/>
              <w:spacing w:before="0" w:beforeAutospacing="0" w:after="0" w:afterAutospacing="0" w:line="360" w:lineRule="auto"/>
              <w:jc w:val="center"/>
              <w:rPr>
                <w:rFonts w:ascii="Arial" w:hAnsi="Arial" w:cs="Arial"/>
                <w:color w:val="000000" w:themeColor="text1"/>
                <w:sz w:val="20"/>
                <w:szCs w:val="20"/>
              </w:rPr>
            </w:pPr>
            <w:r w:rsidRPr="009554DE">
              <w:rPr>
                <w:rFonts w:ascii="Arial" w:hAnsi="Arial" w:cs="Arial"/>
                <w:bCs/>
                <w:color w:val="000000" w:themeColor="text1"/>
                <w:sz w:val="20"/>
                <w:szCs w:val="20"/>
              </w:rPr>
              <w:t>-0.105</w:t>
            </w:r>
          </w:p>
        </w:tc>
        <w:tc>
          <w:tcPr>
            <w:tcW w:w="1435" w:type="dxa"/>
            <w:vAlign w:val="bottom"/>
            <w:hideMark/>
          </w:tcPr>
          <w:p w14:paraId="07317B24"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Decreasing</w:t>
            </w:r>
          </w:p>
        </w:tc>
      </w:tr>
      <w:tr w:rsidR="00DF49A1" w:rsidRPr="009554DE" w14:paraId="60F3A802" w14:textId="77777777" w:rsidTr="00DF49A1">
        <w:trPr>
          <w:trHeight w:val="70"/>
        </w:trPr>
        <w:tc>
          <w:tcPr>
            <w:tcW w:w="1165" w:type="dxa"/>
            <w:vAlign w:val="center"/>
            <w:hideMark/>
          </w:tcPr>
          <w:p w14:paraId="15E1623F" w14:textId="77777777" w:rsidR="00DF49A1" w:rsidRPr="009554DE" w:rsidRDefault="00DF49A1" w:rsidP="00DF49A1">
            <w:pPr>
              <w:pStyle w:val="NormalWeb"/>
              <w:spacing w:before="0" w:beforeAutospacing="0" w:after="0" w:afterAutospacing="0" w:line="360" w:lineRule="auto"/>
              <w:jc w:val="center"/>
              <w:textAlignment w:val="center"/>
              <w:rPr>
                <w:rFonts w:ascii="Arial" w:hAnsi="Arial" w:cs="Arial"/>
                <w:color w:val="000000" w:themeColor="text1"/>
                <w:sz w:val="20"/>
                <w:szCs w:val="20"/>
              </w:rPr>
            </w:pPr>
            <w:r w:rsidRPr="009554DE">
              <w:rPr>
                <w:rFonts w:ascii="Arial" w:hAnsi="Arial" w:cs="Arial"/>
                <w:bCs/>
                <w:color w:val="000000" w:themeColor="text1"/>
                <w:sz w:val="20"/>
                <w:szCs w:val="20"/>
                <w:lang w:val="en-IN"/>
              </w:rPr>
              <w:t>150</w:t>
            </w:r>
          </w:p>
        </w:tc>
        <w:tc>
          <w:tcPr>
            <w:tcW w:w="810" w:type="dxa"/>
            <w:vAlign w:val="bottom"/>
            <w:hideMark/>
          </w:tcPr>
          <w:p w14:paraId="0282DA9D"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2842</w:t>
            </w:r>
          </w:p>
        </w:tc>
        <w:tc>
          <w:tcPr>
            <w:tcW w:w="1170" w:type="dxa"/>
            <w:vAlign w:val="bottom"/>
            <w:hideMark/>
          </w:tcPr>
          <w:p w14:paraId="710976B3"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1.247</w:t>
            </w:r>
          </w:p>
        </w:tc>
        <w:tc>
          <w:tcPr>
            <w:tcW w:w="1530" w:type="dxa"/>
            <w:vAlign w:val="bottom"/>
            <w:hideMark/>
          </w:tcPr>
          <w:p w14:paraId="131B9DAE"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257CCEF0"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401BA5E7"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0.258</w:t>
            </w:r>
          </w:p>
        </w:tc>
        <w:tc>
          <w:tcPr>
            <w:tcW w:w="1435" w:type="dxa"/>
            <w:vAlign w:val="bottom"/>
            <w:hideMark/>
          </w:tcPr>
          <w:p w14:paraId="7FB86B27"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No</w:t>
            </w:r>
          </w:p>
        </w:tc>
      </w:tr>
      <w:tr w:rsidR="00DF49A1" w:rsidRPr="009554DE" w14:paraId="7630BAAD" w14:textId="77777777" w:rsidTr="00DF49A1">
        <w:trPr>
          <w:trHeight w:val="70"/>
        </w:trPr>
        <w:tc>
          <w:tcPr>
            <w:tcW w:w="1165" w:type="dxa"/>
            <w:vAlign w:val="center"/>
            <w:hideMark/>
          </w:tcPr>
          <w:p w14:paraId="7E8143D7" w14:textId="77777777" w:rsidR="00DF49A1" w:rsidRPr="009554DE" w:rsidRDefault="00DF49A1" w:rsidP="00DF49A1">
            <w:pPr>
              <w:pStyle w:val="NormalWeb"/>
              <w:spacing w:before="0" w:beforeAutospacing="0" w:after="0" w:afterAutospacing="0" w:line="360" w:lineRule="auto"/>
              <w:jc w:val="center"/>
              <w:textAlignment w:val="center"/>
              <w:rPr>
                <w:rFonts w:ascii="Arial" w:hAnsi="Arial" w:cs="Arial"/>
                <w:color w:val="000000" w:themeColor="text1"/>
                <w:sz w:val="20"/>
                <w:szCs w:val="20"/>
              </w:rPr>
            </w:pPr>
            <w:r w:rsidRPr="009554DE">
              <w:rPr>
                <w:rFonts w:ascii="Arial" w:hAnsi="Arial" w:cs="Arial"/>
                <w:bCs/>
                <w:color w:val="000000" w:themeColor="text1"/>
                <w:sz w:val="20"/>
                <w:szCs w:val="20"/>
                <w:lang w:val="en-IN"/>
              </w:rPr>
              <w:t>151</w:t>
            </w:r>
          </w:p>
        </w:tc>
        <w:tc>
          <w:tcPr>
            <w:tcW w:w="810" w:type="dxa"/>
            <w:vAlign w:val="bottom"/>
            <w:hideMark/>
          </w:tcPr>
          <w:p w14:paraId="40149D9F"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2842</w:t>
            </w:r>
          </w:p>
        </w:tc>
        <w:tc>
          <w:tcPr>
            <w:tcW w:w="1170" w:type="dxa"/>
            <w:vAlign w:val="bottom"/>
            <w:hideMark/>
          </w:tcPr>
          <w:p w14:paraId="71EFA2D1"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-0.645</w:t>
            </w:r>
          </w:p>
        </w:tc>
        <w:tc>
          <w:tcPr>
            <w:tcW w:w="1530" w:type="dxa"/>
            <w:vAlign w:val="bottom"/>
            <w:hideMark/>
          </w:tcPr>
          <w:p w14:paraId="114625C3"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4B236ACD"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28C526D2"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1.247</w:t>
            </w:r>
          </w:p>
        </w:tc>
        <w:tc>
          <w:tcPr>
            <w:tcW w:w="1435" w:type="dxa"/>
            <w:vAlign w:val="bottom"/>
            <w:hideMark/>
          </w:tcPr>
          <w:p w14:paraId="2E6F12CB"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No</w:t>
            </w:r>
          </w:p>
        </w:tc>
      </w:tr>
      <w:tr w:rsidR="00DF49A1" w:rsidRPr="009554DE" w14:paraId="34E31031" w14:textId="77777777" w:rsidTr="00DF49A1">
        <w:trPr>
          <w:trHeight w:val="70"/>
        </w:trPr>
        <w:tc>
          <w:tcPr>
            <w:tcW w:w="1165" w:type="dxa"/>
            <w:vAlign w:val="center"/>
            <w:hideMark/>
          </w:tcPr>
          <w:p w14:paraId="4676833F" w14:textId="77777777" w:rsidR="00DF49A1" w:rsidRPr="009554DE" w:rsidRDefault="00DF49A1" w:rsidP="00DF49A1">
            <w:pPr>
              <w:pStyle w:val="NormalWeb"/>
              <w:spacing w:before="0" w:beforeAutospacing="0" w:after="0" w:afterAutospacing="0" w:line="360" w:lineRule="auto"/>
              <w:jc w:val="center"/>
              <w:textAlignment w:val="center"/>
              <w:rPr>
                <w:rFonts w:ascii="Arial" w:hAnsi="Arial" w:cs="Arial"/>
                <w:color w:val="000000" w:themeColor="text1"/>
                <w:sz w:val="20"/>
                <w:szCs w:val="20"/>
              </w:rPr>
            </w:pPr>
            <w:r w:rsidRPr="009554DE">
              <w:rPr>
                <w:rFonts w:ascii="Arial" w:hAnsi="Arial" w:cs="Arial"/>
                <w:bCs/>
                <w:color w:val="000000" w:themeColor="text1"/>
                <w:sz w:val="20"/>
                <w:szCs w:val="20"/>
                <w:lang w:val="en-IN"/>
              </w:rPr>
              <w:t>PKD S-6</w:t>
            </w:r>
          </w:p>
        </w:tc>
        <w:tc>
          <w:tcPr>
            <w:tcW w:w="810" w:type="dxa"/>
            <w:vAlign w:val="bottom"/>
            <w:hideMark/>
          </w:tcPr>
          <w:p w14:paraId="4B95E03A"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2842</w:t>
            </w:r>
          </w:p>
        </w:tc>
        <w:tc>
          <w:tcPr>
            <w:tcW w:w="1170" w:type="dxa"/>
            <w:vAlign w:val="bottom"/>
            <w:hideMark/>
          </w:tcPr>
          <w:p w14:paraId="4FC7F0D4"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1.957</w:t>
            </w:r>
          </w:p>
        </w:tc>
        <w:tc>
          <w:tcPr>
            <w:tcW w:w="1530" w:type="dxa"/>
            <w:vAlign w:val="bottom"/>
            <w:hideMark/>
          </w:tcPr>
          <w:p w14:paraId="446ED41A"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6ACBB02D"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23329A2C"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-1.468</w:t>
            </w:r>
          </w:p>
        </w:tc>
        <w:tc>
          <w:tcPr>
            <w:tcW w:w="1435" w:type="dxa"/>
            <w:vAlign w:val="bottom"/>
            <w:hideMark/>
          </w:tcPr>
          <w:p w14:paraId="67514C25"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Decreasing</w:t>
            </w:r>
          </w:p>
        </w:tc>
      </w:tr>
      <w:tr w:rsidR="00DF49A1" w:rsidRPr="009554DE" w14:paraId="5421F48C" w14:textId="77777777" w:rsidTr="00DF49A1">
        <w:trPr>
          <w:trHeight w:val="287"/>
        </w:trPr>
        <w:tc>
          <w:tcPr>
            <w:tcW w:w="1165" w:type="dxa"/>
            <w:vAlign w:val="center"/>
            <w:hideMark/>
          </w:tcPr>
          <w:p w14:paraId="05F0FF19" w14:textId="77777777" w:rsidR="00DF49A1" w:rsidRPr="009554DE" w:rsidRDefault="00DF49A1" w:rsidP="00DF49A1">
            <w:pPr>
              <w:pStyle w:val="NormalWeb"/>
              <w:spacing w:before="0" w:beforeAutospacing="0" w:after="0" w:afterAutospacing="0" w:line="360" w:lineRule="auto"/>
              <w:jc w:val="center"/>
              <w:textAlignment w:val="center"/>
              <w:rPr>
                <w:rFonts w:ascii="Arial" w:hAnsi="Arial" w:cs="Arial"/>
                <w:color w:val="000000" w:themeColor="text1"/>
                <w:sz w:val="20"/>
                <w:szCs w:val="20"/>
              </w:rPr>
            </w:pPr>
            <w:r w:rsidRPr="009554DE">
              <w:rPr>
                <w:rFonts w:ascii="Arial" w:hAnsi="Arial" w:cs="Arial"/>
                <w:bCs/>
                <w:color w:val="000000" w:themeColor="text1"/>
                <w:sz w:val="20"/>
                <w:szCs w:val="20"/>
                <w:lang w:val="en-IN"/>
              </w:rPr>
              <w:t>PKD S-7</w:t>
            </w:r>
          </w:p>
        </w:tc>
        <w:tc>
          <w:tcPr>
            <w:tcW w:w="810" w:type="dxa"/>
            <w:vAlign w:val="bottom"/>
            <w:hideMark/>
          </w:tcPr>
          <w:p w14:paraId="097706A7"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2842</w:t>
            </w:r>
          </w:p>
        </w:tc>
        <w:tc>
          <w:tcPr>
            <w:tcW w:w="1170" w:type="dxa"/>
            <w:vAlign w:val="bottom"/>
            <w:hideMark/>
          </w:tcPr>
          <w:p w14:paraId="3646DA5C"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-0.459</w:t>
            </w:r>
          </w:p>
        </w:tc>
        <w:tc>
          <w:tcPr>
            <w:tcW w:w="1530" w:type="dxa"/>
            <w:vAlign w:val="bottom"/>
            <w:hideMark/>
          </w:tcPr>
          <w:p w14:paraId="5733BCE8"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76E3070A"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7E920703"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1.863</w:t>
            </w:r>
          </w:p>
        </w:tc>
        <w:tc>
          <w:tcPr>
            <w:tcW w:w="1435" w:type="dxa"/>
            <w:vAlign w:val="bottom"/>
            <w:hideMark/>
          </w:tcPr>
          <w:p w14:paraId="4323EC03"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No</w:t>
            </w:r>
          </w:p>
        </w:tc>
      </w:tr>
      <w:tr w:rsidR="00DF49A1" w:rsidRPr="009554DE" w14:paraId="19050919" w14:textId="77777777" w:rsidTr="00DF49A1">
        <w:trPr>
          <w:trHeight w:val="70"/>
        </w:trPr>
        <w:tc>
          <w:tcPr>
            <w:tcW w:w="1165" w:type="dxa"/>
            <w:vAlign w:val="center"/>
            <w:hideMark/>
          </w:tcPr>
          <w:p w14:paraId="35AF874F" w14:textId="77777777" w:rsidR="00DF49A1" w:rsidRPr="009554DE" w:rsidRDefault="00DF49A1" w:rsidP="00DF49A1">
            <w:pPr>
              <w:pStyle w:val="NormalWeb"/>
              <w:spacing w:before="0" w:beforeAutospacing="0" w:after="0" w:afterAutospacing="0" w:line="360" w:lineRule="auto"/>
              <w:jc w:val="center"/>
              <w:textAlignment w:val="center"/>
              <w:rPr>
                <w:rFonts w:ascii="Arial" w:hAnsi="Arial" w:cs="Arial"/>
                <w:color w:val="000000" w:themeColor="text1"/>
                <w:sz w:val="20"/>
                <w:szCs w:val="20"/>
              </w:rPr>
            </w:pPr>
            <w:r w:rsidRPr="009554DE">
              <w:rPr>
                <w:rFonts w:ascii="Arial" w:hAnsi="Arial" w:cs="Arial"/>
                <w:bCs/>
                <w:color w:val="000000" w:themeColor="text1"/>
                <w:sz w:val="20"/>
                <w:szCs w:val="20"/>
                <w:lang w:val="en-IN"/>
              </w:rPr>
              <w:t>PKD S-8</w:t>
            </w:r>
          </w:p>
        </w:tc>
        <w:tc>
          <w:tcPr>
            <w:tcW w:w="810" w:type="dxa"/>
            <w:vAlign w:val="bottom"/>
            <w:hideMark/>
          </w:tcPr>
          <w:p w14:paraId="29E6C37B" w14:textId="77777777" w:rsidR="00DF49A1" w:rsidRPr="009554DE" w:rsidRDefault="00DF49A1" w:rsidP="00DF49A1">
            <w:pPr>
              <w:pStyle w:val="NormalWeb"/>
              <w:spacing w:before="0" w:beforeAutospacing="0" w:after="0" w:afterAutospacing="0" w:line="360" w:lineRule="auto"/>
              <w:jc w:val="center"/>
              <w:rPr>
                <w:rFonts w:ascii="Arial" w:hAnsi="Arial" w:cs="Arial"/>
                <w:color w:val="000000" w:themeColor="text1"/>
                <w:sz w:val="20"/>
                <w:szCs w:val="20"/>
              </w:rPr>
            </w:pPr>
            <w:r w:rsidRPr="009554DE">
              <w:rPr>
                <w:rFonts w:ascii="Arial" w:hAnsi="Arial" w:cs="Arial"/>
                <w:bCs/>
                <w:color w:val="000000" w:themeColor="text1"/>
                <w:sz w:val="20"/>
                <w:szCs w:val="20"/>
                <w:lang w:val="en-IN"/>
              </w:rPr>
              <w:t>2842</w:t>
            </w:r>
          </w:p>
        </w:tc>
        <w:tc>
          <w:tcPr>
            <w:tcW w:w="1170" w:type="dxa"/>
            <w:vAlign w:val="bottom"/>
            <w:hideMark/>
          </w:tcPr>
          <w:p w14:paraId="14E62119" w14:textId="77777777" w:rsidR="00DF49A1" w:rsidRPr="009554DE" w:rsidRDefault="00DF49A1" w:rsidP="00DF49A1">
            <w:pPr>
              <w:pStyle w:val="NormalWeb"/>
              <w:spacing w:before="0" w:beforeAutospacing="0" w:after="0" w:afterAutospacing="0" w:line="360" w:lineRule="auto"/>
              <w:jc w:val="center"/>
              <w:rPr>
                <w:rFonts w:ascii="Arial" w:hAnsi="Arial" w:cs="Arial"/>
                <w:color w:val="000000" w:themeColor="text1"/>
                <w:sz w:val="20"/>
                <w:szCs w:val="20"/>
              </w:rPr>
            </w:pPr>
            <w:r w:rsidRPr="009554DE">
              <w:rPr>
                <w:rFonts w:ascii="Arial" w:hAnsi="Arial" w:cs="Arial"/>
                <w:bCs/>
                <w:color w:val="000000" w:themeColor="text1"/>
                <w:sz w:val="20"/>
                <w:szCs w:val="20"/>
              </w:rPr>
              <w:t>1.994</w:t>
            </w:r>
          </w:p>
        </w:tc>
        <w:tc>
          <w:tcPr>
            <w:tcW w:w="1530" w:type="dxa"/>
            <w:vAlign w:val="bottom"/>
            <w:hideMark/>
          </w:tcPr>
          <w:p w14:paraId="5B9086A2"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1.645</w:t>
            </w:r>
          </w:p>
        </w:tc>
        <w:tc>
          <w:tcPr>
            <w:tcW w:w="1530" w:type="dxa"/>
            <w:vAlign w:val="bottom"/>
            <w:hideMark/>
          </w:tcPr>
          <w:p w14:paraId="5289EACA"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1.96</w:t>
            </w:r>
          </w:p>
        </w:tc>
        <w:tc>
          <w:tcPr>
            <w:tcW w:w="990" w:type="dxa"/>
            <w:vAlign w:val="bottom"/>
            <w:hideMark/>
          </w:tcPr>
          <w:p w14:paraId="10011D7B" w14:textId="77777777" w:rsidR="00DF49A1" w:rsidRPr="009554DE" w:rsidRDefault="00DF49A1" w:rsidP="00DF49A1">
            <w:pPr>
              <w:pStyle w:val="NormalWeb"/>
              <w:spacing w:before="0" w:beforeAutospacing="0" w:after="0" w:afterAutospacing="0" w:line="360" w:lineRule="auto"/>
              <w:jc w:val="center"/>
              <w:rPr>
                <w:rFonts w:ascii="Arial" w:hAnsi="Arial" w:cs="Arial"/>
                <w:color w:val="000000" w:themeColor="text1"/>
                <w:sz w:val="20"/>
                <w:szCs w:val="20"/>
              </w:rPr>
            </w:pPr>
            <w:r w:rsidRPr="009554DE">
              <w:rPr>
                <w:rFonts w:ascii="Arial" w:hAnsi="Arial" w:cs="Arial"/>
                <w:bCs/>
                <w:color w:val="000000" w:themeColor="text1"/>
                <w:sz w:val="20"/>
                <w:szCs w:val="20"/>
              </w:rPr>
              <w:t>-0.116</w:t>
            </w:r>
          </w:p>
        </w:tc>
        <w:tc>
          <w:tcPr>
            <w:tcW w:w="1435" w:type="dxa"/>
            <w:vAlign w:val="bottom"/>
            <w:hideMark/>
          </w:tcPr>
          <w:p w14:paraId="15D49FD9" w14:textId="77777777" w:rsidR="00DF49A1" w:rsidRPr="009554DE" w:rsidRDefault="00DF49A1" w:rsidP="00DF49A1">
            <w:pPr>
              <w:pStyle w:val="NormalWeb"/>
              <w:spacing w:before="0" w:beforeAutospacing="0" w:after="0" w:afterAutospacing="0" w:line="360" w:lineRule="auto"/>
              <w:jc w:val="center"/>
              <w:textAlignment w:val="bottom"/>
              <w:rPr>
                <w:rFonts w:ascii="Arial" w:hAnsi="Arial" w:cs="Arial"/>
                <w:color w:val="000000" w:themeColor="text1"/>
                <w:sz w:val="20"/>
                <w:szCs w:val="20"/>
              </w:rPr>
            </w:pPr>
            <w:r w:rsidRPr="009554DE">
              <w:rPr>
                <w:rFonts w:ascii="Arial" w:hAnsi="Arial" w:cs="Arial"/>
                <w:bCs/>
                <w:color w:val="000000" w:themeColor="text1"/>
                <w:sz w:val="20"/>
                <w:szCs w:val="20"/>
                <w:lang w:val="en-IN"/>
              </w:rPr>
              <w:t>Decreasing</w:t>
            </w:r>
          </w:p>
        </w:tc>
      </w:tr>
    </w:tbl>
    <w:p w14:paraId="713ABF93" w14:textId="77777777" w:rsidR="00DF49A1" w:rsidRPr="009554DE" w:rsidRDefault="00DF49A1" w:rsidP="009554DE">
      <w:pPr>
        <w:spacing w:before="240" w:line="360" w:lineRule="auto"/>
        <w:ind w:firstLine="720"/>
        <w:jc w:val="both"/>
        <w:rPr>
          <w:rFonts w:ascii="Arial" w:hAnsi="Arial" w:cs="Arial"/>
          <w:color w:val="000000" w:themeColor="text1"/>
          <w:sz w:val="20"/>
          <w:szCs w:val="20"/>
        </w:rPr>
      </w:pPr>
      <w:r w:rsidRPr="009554DE">
        <w:rPr>
          <w:rFonts w:ascii="Arial" w:hAnsi="Arial" w:cs="Arial"/>
          <w:color w:val="000000" w:themeColor="text1"/>
          <w:sz w:val="20"/>
          <w:szCs w:val="20"/>
        </w:rPr>
        <w:t xml:space="preserve">Wells 141, 149, and PKD S-6 exhibited a statistically significant decreasing trend (negative Z-statistic in MK test and negative Sen’s slope value) across all three periods: pre-monsoon, post-monsoon, and annual. This consistent decline is a critical finding, indicating that the lowering of the water </w:t>
      </w:r>
      <w:r w:rsidRPr="00C71BA7">
        <w:rPr>
          <w:rFonts w:ascii="Arial" w:hAnsi="Arial" w:cs="Arial"/>
          <w:color w:val="000000" w:themeColor="text1"/>
          <w:sz w:val="20"/>
          <w:szCs w:val="20"/>
        </w:rPr>
        <w:t>table</w:t>
      </w:r>
      <w:r w:rsidRPr="009554DE">
        <w:rPr>
          <w:rFonts w:ascii="Arial" w:hAnsi="Arial" w:cs="Arial"/>
          <w:color w:val="000000" w:themeColor="text1"/>
          <w:sz w:val="20"/>
          <w:szCs w:val="20"/>
        </w:rPr>
        <w:t xml:space="preserve"> is a long-term, cumulative process rather than merely a seasonal fluctuation. These wells are situated in zones where the groundwater abstraction rates consistently exceed the natural recharge capacity, leading to progressive aquifer depletion. This depletion is likely driven by intensive agricultural pumping in the surrounding area, coupled with potentially </w:t>
      </w:r>
      <w:proofErr w:type="spellStart"/>
      <w:r w:rsidRPr="009554DE">
        <w:rPr>
          <w:rFonts w:ascii="Arial" w:hAnsi="Arial" w:cs="Arial"/>
          <w:color w:val="000000" w:themeColor="text1"/>
          <w:sz w:val="20"/>
          <w:szCs w:val="20"/>
        </w:rPr>
        <w:t>unfavourable</w:t>
      </w:r>
      <w:proofErr w:type="spellEnd"/>
      <w:r w:rsidRPr="009554DE">
        <w:rPr>
          <w:rFonts w:ascii="Arial" w:hAnsi="Arial" w:cs="Arial"/>
          <w:color w:val="000000" w:themeColor="text1"/>
          <w:sz w:val="20"/>
          <w:szCs w:val="20"/>
        </w:rPr>
        <w:t xml:space="preserve"> hydrogeological characteristics (e.g., thinly weathered zones or poorly connected fracture systems) that restrict infiltration and storage capacity (Shaji et al., 2018).</w:t>
      </w:r>
    </w:p>
    <w:p w14:paraId="75D44CC8" w14:textId="77777777" w:rsidR="00DF49A1" w:rsidRPr="009554DE" w:rsidRDefault="00DF49A1" w:rsidP="00DF49A1">
      <w:pPr>
        <w:spacing w:line="360" w:lineRule="auto"/>
        <w:ind w:firstLine="720"/>
        <w:jc w:val="both"/>
        <w:rPr>
          <w:rFonts w:ascii="Arial" w:hAnsi="Arial" w:cs="Arial"/>
          <w:color w:val="000000" w:themeColor="text1"/>
          <w:sz w:val="20"/>
          <w:szCs w:val="20"/>
        </w:rPr>
      </w:pPr>
      <w:r w:rsidRPr="009554DE">
        <w:rPr>
          <w:rFonts w:ascii="Arial" w:hAnsi="Arial" w:cs="Arial"/>
          <w:color w:val="000000" w:themeColor="text1"/>
          <w:sz w:val="20"/>
          <w:szCs w:val="20"/>
        </w:rPr>
        <w:t xml:space="preserve">Wells 139 and PKD S-8 showed a statistically significant decreasing trend in the annual GWL, but their trends during the pre-monsoon and post-monsoon periods were either weak or statistically insignificant (Z-statistic close to zero). This pattern suggested that, while the overall groundwater storage suffers a net annual loss, the intense seasonal recharge during the monsoon period is effective in temporarily </w:t>
      </w:r>
      <w:proofErr w:type="spellStart"/>
      <w:r w:rsidRPr="009554DE">
        <w:rPr>
          <w:rFonts w:ascii="Arial" w:hAnsi="Arial" w:cs="Arial"/>
          <w:color w:val="000000" w:themeColor="text1"/>
          <w:sz w:val="20"/>
          <w:szCs w:val="20"/>
        </w:rPr>
        <w:t>stabilising</w:t>
      </w:r>
      <w:proofErr w:type="spellEnd"/>
      <w:r w:rsidRPr="009554DE">
        <w:rPr>
          <w:rFonts w:ascii="Arial" w:hAnsi="Arial" w:cs="Arial"/>
          <w:color w:val="000000" w:themeColor="text1"/>
          <w:sz w:val="20"/>
          <w:szCs w:val="20"/>
        </w:rPr>
        <w:t xml:space="preserve"> or mitigating the immediate post-monsoon declines. However, heavy withdrawals during the subsequent dry seasons ultimately lead to a net annual loss, underscoring the dominant role of anthropogenic activity in long-term aquifer stress.</w:t>
      </w:r>
    </w:p>
    <w:p w14:paraId="6C928186" w14:textId="77777777" w:rsidR="00DF49A1" w:rsidRPr="009554DE" w:rsidRDefault="00DF49A1" w:rsidP="00DF49A1">
      <w:pPr>
        <w:spacing w:line="360" w:lineRule="auto"/>
        <w:ind w:firstLine="720"/>
        <w:jc w:val="both"/>
        <w:rPr>
          <w:rFonts w:ascii="Arial" w:hAnsi="Arial" w:cs="Arial"/>
          <w:color w:val="000000" w:themeColor="text1"/>
          <w:sz w:val="20"/>
          <w:szCs w:val="20"/>
        </w:rPr>
      </w:pPr>
      <w:r w:rsidRPr="009554DE">
        <w:rPr>
          <w:rFonts w:ascii="Arial" w:hAnsi="Arial" w:cs="Arial"/>
          <w:color w:val="000000" w:themeColor="text1"/>
          <w:sz w:val="20"/>
          <w:szCs w:val="20"/>
        </w:rPr>
        <w:t>Wells 126, 150, 151, and PKD S-7 showed no statistically significant trend (low Z-statistic) across any observation period (pre-monsoon, post-monsoon, or annual). These wells are likely situated in zones where the groundwater abstraction is minimal or effectively balanced with recharge. Such s</w:t>
      </w:r>
      <w:r w:rsidRPr="00C71BA7">
        <w:rPr>
          <w:rFonts w:ascii="Arial" w:hAnsi="Arial" w:cs="Arial"/>
          <w:color w:val="000000" w:themeColor="text1"/>
          <w:sz w:val="20"/>
          <w:szCs w:val="20"/>
        </w:rPr>
        <w:t>table</w:t>
      </w:r>
      <w:r w:rsidRPr="009554DE">
        <w:rPr>
          <w:rFonts w:ascii="Arial" w:hAnsi="Arial" w:cs="Arial"/>
          <w:color w:val="000000" w:themeColor="text1"/>
          <w:sz w:val="20"/>
          <w:szCs w:val="20"/>
        </w:rPr>
        <w:t xml:space="preserve"> conditions often correspond to </w:t>
      </w:r>
      <w:proofErr w:type="spellStart"/>
      <w:r w:rsidRPr="009554DE">
        <w:rPr>
          <w:rFonts w:ascii="Arial" w:hAnsi="Arial" w:cs="Arial"/>
          <w:color w:val="000000" w:themeColor="text1"/>
          <w:sz w:val="20"/>
          <w:szCs w:val="20"/>
        </w:rPr>
        <w:t>favourable</w:t>
      </w:r>
      <w:proofErr w:type="spellEnd"/>
      <w:r w:rsidRPr="009554DE">
        <w:rPr>
          <w:rFonts w:ascii="Arial" w:hAnsi="Arial" w:cs="Arial"/>
          <w:color w:val="000000" w:themeColor="text1"/>
          <w:sz w:val="20"/>
          <w:szCs w:val="20"/>
        </w:rPr>
        <w:t xml:space="preserve"> geomorphic settings (e.g., alluvial plains or gently sloping pediments) that enhance infiltration and promote longer-duration water retention (Kumar et al., 2021). </w:t>
      </w:r>
    </w:p>
    <w:p w14:paraId="4B7FEF09" w14:textId="77777777" w:rsidR="00DF49A1" w:rsidRPr="009554DE" w:rsidRDefault="00DF49A1" w:rsidP="00DF49A1">
      <w:pPr>
        <w:spacing w:line="360" w:lineRule="auto"/>
        <w:ind w:firstLine="720"/>
        <w:jc w:val="both"/>
        <w:rPr>
          <w:rFonts w:ascii="Arial" w:hAnsi="Arial" w:cs="Arial"/>
          <w:color w:val="000000" w:themeColor="text1"/>
          <w:sz w:val="20"/>
          <w:szCs w:val="20"/>
        </w:rPr>
      </w:pPr>
      <w:r w:rsidRPr="009554DE">
        <w:rPr>
          <w:rFonts w:ascii="Arial" w:hAnsi="Arial" w:cs="Arial"/>
          <w:color w:val="000000" w:themeColor="text1"/>
          <w:sz w:val="20"/>
          <w:szCs w:val="20"/>
        </w:rPr>
        <w:lastRenderedPageBreak/>
        <w:t>The positive values of Sen's slope for some of these wells indicate a slight, non-significant rising trend, suggesting a near-equilibrium state. The Sen’s slope estimator provided a quantitative measure of the decline, with wells showing a significant decreasing trend exhibiting negative slope values. Conversely, the remaining wells showed positive or near-zero slopes, reflecting either a non-significant or rising trend, reinforcing the spatial segmentation of aquifer health.</w:t>
      </w:r>
    </w:p>
    <w:p w14:paraId="060201C4" w14:textId="77777777" w:rsidR="00DF49A1" w:rsidRPr="009554DE" w:rsidRDefault="00DF49A1" w:rsidP="00DF49A1">
      <w:pPr>
        <w:spacing w:line="360" w:lineRule="auto"/>
        <w:ind w:firstLine="720"/>
        <w:jc w:val="both"/>
        <w:rPr>
          <w:rFonts w:ascii="Arial" w:hAnsi="Arial" w:cs="Arial"/>
          <w:color w:val="EE0000"/>
          <w:sz w:val="20"/>
          <w:szCs w:val="20"/>
        </w:rPr>
      </w:pPr>
      <w:r w:rsidRPr="009554DE">
        <w:rPr>
          <w:rFonts w:ascii="Arial" w:hAnsi="Arial" w:cs="Arial"/>
          <w:sz w:val="20"/>
          <w:szCs w:val="20"/>
        </w:rPr>
        <w:t xml:space="preserve">Overall, the observed patterns revealed marked spatial heterogeneity in groundwater dynamics within the </w:t>
      </w:r>
      <w:proofErr w:type="spellStart"/>
      <w:r w:rsidRPr="009554DE">
        <w:rPr>
          <w:rFonts w:ascii="Arial" w:hAnsi="Arial" w:cs="Arial"/>
          <w:sz w:val="20"/>
          <w:szCs w:val="20"/>
        </w:rPr>
        <w:t>Chittur</w:t>
      </w:r>
      <w:proofErr w:type="spellEnd"/>
      <w:r w:rsidRPr="009554DE">
        <w:rPr>
          <w:rFonts w:ascii="Arial" w:hAnsi="Arial" w:cs="Arial"/>
          <w:sz w:val="20"/>
          <w:szCs w:val="20"/>
        </w:rPr>
        <w:t xml:space="preserve"> block, with some regions experiencing critical depletion while others remain s</w:t>
      </w:r>
      <w:r w:rsidRPr="00C71BA7">
        <w:rPr>
          <w:rFonts w:ascii="Arial" w:hAnsi="Arial" w:cs="Arial"/>
          <w:sz w:val="20"/>
          <w:szCs w:val="20"/>
        </w:rPr>
        <w:t>table</w:t>
      </w:r>
      <w:r w:rsidRPr="009554DE">
        <w:rPr>
          <w:rFonts w:ascii="Arial" w:hAnsi="Arial" w:cs="Arial"/>
          <w:sz w:val="20"/>
          <w:szCs w:val="20"/>
        </w:rPr>
        <w:t xml:space="preserve">. This underscores the need for micro-level groundwater management strategies tailored to local hydrogeological and socio-economic conditions. The findings were consistent with those of </w:t>
      </w:r>
      <w:proofErr w:type="spellStart"/>
      <w:r w:rsidRPr="009554DE">
        <w:rPr>
          <w:rFonts w:ascii="Arial" w:hAnsi="Arial" w:cs="Arial"/>
          <w:sz w:val="20"/>
          <w:szCs w:val="20"/>
        </w:rPr>
        <w:t>Assainar</w:t>
      </w:r>
      <w:proofErr w:type="spellEnd"/>
      <w:r w:rsidRPr="009554DE">
        <w:rPr>
          <w:rFonts w:ascii="Arial" w:hAnsi="Arial" w:cs="Arial"/>
          <w:sz w:val="20"/>
          <w:szCs w:val="20"/>
        </w:rPr>
        <w:t xml:space="preserve"> and Joseph (2023), who reported similar spatial variability and declining groundwater trends across the </w:t>
      </w:r>
      <w:proofErr w:type="spellStart"/>
      <w:r w:rsidRPr="009554DE">
        <w:rPr>
          <w:rFonts w:ascii="Arial" w:hAnsi="Arial" w:cs="Arial"/>
          <w:sz w:val="20"/>
          <w:szCs w:val="20"/>
        </w:rPr>
        <w:t>Chittur</w:t>
      </w:r>
      <w:proofErr w:type="spellEnd"/>
      <w:r w:rsidRPr="009554DE">
        <w:rPr>
          <w:rFonts w:ascii="Arial" w:hAnsi="Arial" w:cs="Arial"/>
          <w:sz w:val="20"/>
          <w:szCs w:val="20"/>
        </w:rPr>
        <w:t xml:space="preserve"> block. These observations also aligned with national assessments by CGWB (2020) and regional modelling efforts by Kumar </w:t>
      </w:r>
      <w:r w:rsidRPr="009554DE">
        <w:rPr>
          <w:rFonts w:ascii="Arial" w:hAnsi="Arial" w:cs="Arial"/>
          <w:i/>
          <w:sz w:val="20"/>
          <w:szCs w:val="20"/>
        </w:rPr>
        <w:t xml:space="preserve">et al. </w:t>
      </w:r>
      <w:r w:rsidRPr="009554DE">
        <w:rPr>
          <w:rFonts w:ascii="Arial" w:hAnsi="Arial" w:cs="Arial"/>
          <w:sz w:val="20"/>
          <w:szCs w:val="20"/>
        </w:rPr>
        <w:t>(2021), both of which highlighted the growing stress on groundwater resources due to imbalanced recharge–extraction dynamics in Kerala’s semi-arid zones.</w:t>
      </w:r>
    </w:p>
    <w:p w14:paraId="160A7959" w14:textId="77777777" w:rsidR="00DF49A1" w:rsidRPr="009554DE" w:rsidRDefault="00DF49A1" w:rsidP="00DF49A1">
      <w:pPr>
        <w:spacing w:line="360" w:lineRule="auto"/>
        <w:jc w:val="both"/>
        <w:rPr>
          <w:rFonts w:ascii="Arial" w:hAnsi="Arial" w:cs="Arial"/>
          <w:b/>
          <w:color w:val="000000" w:themeColor="text1"/>
          <w:sz w:val="20"/>
          <w:szCs w:val="20"/>
        </w:rPr>
      </w:pPr>
      <w:r w:rsidRPr="00C71BA7">
        <w:rPr>
          <w:rFonts w:ascii="Arial" w:hAnsi="Arial" w:cs="Arial"/>
          <w:b/>
          <w:color w:val="000000" w:themeColor="text1"/>
          <w:sz w:val="20"/>
          <w:szCs w:val="20"/>
        </w:rPr>
        <w:t>Table</w:t>
      </w:r>
      <w:r w:rsidRPr="009554DE">
        <w:rPr>
          <w:rFonts w:ascii="Arial" w:hAnsi="Arial" w:cs="Arial"/>
          <w:b/>
          <w:color w:val="000000" w:themeColor="text1"/>
          <w:sz w:val="20"/>
          <w:szCs w:val="20"/>
        </w:rPr>
        <w:t>. 5. Abstract result of Mann-Kendall Z statistics and Sen’s slope estimation values for groundwater levels (1994-2022)</w:t>
      </w:r>
    </w:p>
    <w:tbl>
      <w:tblPr>
        <w:tblStyle w:val="TableGrid"/>
        <w:tblW w:w="9445" w:type="dxa"/>
        <w:tblLook w:val="04A0" w:firstRow="1" w:lastRow="0" w:firstColumn="1" w:lastColumn="0" w:noHBand="0" w:noVBand="1"/>
      </w:tblPr>
      <w:tblGrid>
        <w:gridCol w:w="1168"/>
        <w:gridCol w:w="1617"/>
        <w:gridCol w:w="1260"/>
        <w:gridCol w:w="1350"/>
        <w:gridCol w:w="1350"/>
        <w:gridCol w:w="1350"/>
        <w:gridCol w:w="1350"/>
      </w:tblGrid>
      <w:tr w:rsidR="00DF49A1" w:rsidRPr="009554DE" w14:paraId="0070242B" w14:textId="77777777" w:rsidTr="00DF49A1">
        <w:tc>
          <w:tcPr>
            <w:tcW w:w="1168" w:type="dxa"/>
            <w:vMerge w:val="restart"/>
          </w:tcPr>
          <w:p w14:paraId="2ADE0734" w14:textId="77777777" w:rsidR="00DF49A1" w:rsidRPr="009554DE" w:rsidRDefault="00DF49A1" w:rsidP="00DF49A1">
            <w:pPr>
              <w:spacing w:line="360" w:lineRule="auto"/>
              <w:rPr>
                <w:rFonts w:ascii="Arial" w:hAnsi="Arial" w:cs="Arial"/>
                <w:b/>
                <w:color w:val="000000" w:themeColor="text1"/>
                <w:sz w:val="20"/>
                <w:szCs w:val="20"/>
              </w:rPr>
            </w:pPr>
          </w:p>
          <w:p w14:paraId="22C70E63" w14:textId="77777777" w:rsidR="00DF49A1" w:rsidRPr="009554DE" w:rsidRDefault="00DF49A1" w:rsidP="00DF49A1">
            <w:pPr>
              <w:spacing w:line="360" w:lineRule="auto"/>
              <w:rPr>
                <w:rFonts w:ascii="Arial" w:hAnsi="Arial" w:cs="Arial"/>
                <w:b/>
                <w:color w:val="000000" w:themeColor="text1"/>
                <w:sz w:val="20"/>
                <w:szCs w:val="20"/>
              </w:rPr>
            </w:pPr>
            <w:r w:rsidRPr="009554DE">
              <w:rPr>
                <w:rFonts w:ascii="Arial" w:hAnsi="Arial" w:cs="Arial"/>
                <w:b/>
                <w:color w:val="000000" w:themeColor="text1"/>
                <w:sz w:val="20"/>
                <w:szCs w:val="20"/>
              </w:rPr>
              <w:t>Well no</w:t>
            </w:r>
          </w:p>
        </w:tc>
        <w:tc>
          <w:tcPr>
            <w:tcW w:w="2877" w:type="dxa"/>
            <w:gridSpan w:val="2"/>
          </w:tcPr>
          <w:p w14:paraId="497FC428" w14:textId="77777777" w:rsidR="00DF49A1" w:rsidRPr="009554DE" w:rsidRDefault="00DF49A1" w:rsidP="00DF49A1">
            <w:pPr>
              <w:spacing w:line="360" w:lineRule="auto"/>
              <w:jc w:val="center"/>
              <w:rPr>
                <w:rFonts w:ascii="Arial" w:hAnsi="Arial" w:cs="Arial"/>
                <w:b/>
                <w:color w:val="000000" w:themeColor="text1"/>
                <w:sz w:val="20"/>
                <w:szCs w:val="20"/>
              </w:rPr>
            </w:pPr>
            <w:proofErr w:type="gramStart"/>
            <w:r w:rsidRPr="009554DE">
              <w:rPr>
                <w:rFonts w:ascii="Arial" w:hAnsi="Arial" w:cs="Arial"/>
                <w:b/>
                <w:color w:val="000000" w:themeColor="text1"/>
                <w:sz w:val="20"/>
                <w:szCs w:val="20"/>
              </w:rPr>
              <w:t>Pre monsoon</w:t>
            </w:r>
            <w:proofErr w:type="gramEnd"/>
          </w:p>
        </w:tc>
        <w:tc>
          <w:tcPr>
            <w:tcW w:w="2700" w:type="dxa"/>
            <w:gridSpan w:val="2"/>
          </w:tcPr>
          <w:p w14:paraId="4595045A" w14:textId="77777777" w:rsidR="00DF49A1" w:rsidRPr="009554DE" w:rsidRDefault="00DF49A1" w:rsidP="00DF49A1">
            <w:pPr>
              <w:spacing w:line="360" w:lineRule="auto"/>
              <w:jc w:val="center"/>
              <w:rPr>
                <w:rFonts w:ascii="Arial" w:hAnsi="Arial" w:cs="Arial"/>
                <w:b/>
                <w:color w:val="000000" w:themeColor="text1"/>
                <w:sz w:val="20"/>
                <w:szCs w:val="20"/>
              </w:rPr>
            </w:pPr>
            <w:r w:rsidRPr="009554DE">
              <w:rPr>
                <w:rFonts w:ascii="Arial" w:hAnsi="Arial" w:cs="Arial"/>
                <w:b/>
                <w:color w:val="000000" w:themeColor="text1"/>
                <w:sz w:val="20"/>
                <w:szCs w:val="20"/>
              </w:rPr>
              <w:t>Post monsoon</w:t>
            </w:r>
          </w:p>
        </w:tc>
        <w:tc>
          <w:tcPr>
            <w:tcW w:w="2700" w:type="dxa"/>
            <w:gridSpan w:val="2"/>
          </w:tcPr>
          <w:p w14:paraId="00D4D807" w14:textId="77777777" w:rsidR="00DF49A1" w:rsidRPr="009554DE" w:rsidRDefault="00DF49A1" w:rsidP="00DF49A1">
            <w:pPr>
              <w:spacing w:line="360" w:lineRule="auto"/>
              <w:jc w:val="center"/>
              <w:rPr>
                <w:rFonts w:ascii="Arial" w:hAnsi="Arial" w:cs="Arial"/>
                <w:b/>
                <w:color w:val="000000" w:themeColor="text1"/>
                <w:sz w:val="20"/>
                <w:szCs w:val="20"/>
              </w:rPr>
            </w:pPr>
            <w:r w:rsidRPr="009554DE">
              <w:rPr>
                <w:rFonts w:ascii="Arial" w:hAnsi="Arial" w:cs="Arial"/>
                <w:b/>
                <w:color w:val="000000" w:themeColor="text1"/>
                <w:sz w:val="20"/>
                <w:szCs w:val="20"/>
              </w:rPr>
              <w:t>Annual</w:t>
            </w:r>
          </w:p>
        </w:tc>
      </w:tr>
      <w:tr w:rsidR="00DF49A1" w:rsidRPr="009554DE" w14:paraId="5EF77407" w14:textId="77777777" w:rsidTr="00DF49A1">
        <w:tc>
          <w:tcPr>
            <w:tcW w:w="1168" w:type="dxa"/>
            <w:vMerge/>
          </w:tcPr>
          <w:p w14:paraId="69282BC2" w14:textId="77777777" w:rsidR="00DF49A1" w:rsidRPr="009554DE" w:rsidRDefault="00DF49A1" w:rsidP="00DF49A1">
            <w:pPr>
              <w:spacing w:line="360" w:lineRule="auto"/>
              <w:rPr>
                <w:rFonts w:ascii="Arial" w:hAnsi="Arial" w:cs="Arial"/>
                <w:b/>
                <w:color w:val="000000" w:themeColor="text1"/>
                <w:sz w:val="20"/>
                <w:szCs w:val="20"/>
              </w:rPr>
            </w:pPr>
          </w:p>
        </w:tc>
        <w:tc>
          <w:tcPr>
            <w:tcW w:w="1617" w:type="dxa"/>
          </w:tcPr>
          <w:p w14:paraId="4523A846" w14:textId="77777777" w:rsidR="00DF49A1" w:rsidRPr="009554DE" w:rsidRDefault="00DF49A1" w:rsidP="00DF49A1">
            <w:pPr>
              <w:spacing w:line="360" w:lineRule="auto"/>
              <w:rPr>
                <w:rFonts w:ascii="Arial" w:hAnsi="Arial" w:cs="Arial"/>
                <w:b/>
                <w:color w:val="000000" w:themeColor="text1"/>
                <w:sz w:val="20"/>
                <w:szCs w:val="20"/>
              </w:rPr>
            </w:pPr>
            <w:r w:rsidRPr="009554DE">
              <w:rPr>
                <w:rFonts w:ascii="Arial" w:hAnsi="Arial" w:cs="Arial"/>
                <w:b/>
                <w:color w:val="000000" w:themeColor="text1"/>
                <w:sz w:val="20"/>
                <w:szCs w:val="20"/>
              </w:rPr>
              <w:t>Z- statistics</w:t>
            </w:r>
          </w:p>
        </w:tc>
        <w:tc>
          <w:tcPr>
            <w:tcW w:w="1260" w:type="dxa"/>
          </w:tcPr>
          <w:p w14:paraId="03FB5B27" w14:textId="77777777" w:rsidR="00DF49A1" w:rsidRPr="009554DE" w:rsidRDefault="00DF49A1" w:rsidP="00DF49A1">
            <w:pPr>
              <w:spacing w:line="360" w:lineRule="auto"/>
              <w:rPr>
                <w:rFonts w:ascii="Arial" w:hAnsi="Arial" w:cs="Arial"/>
                <w:b/>
                <w:color w:val="000000" w:themeColor="text1"/>
                <w:sz w:val="20"/>
                <w:szCs w:val="20"/>
              </w:rPr>
            </w:pPr>
            <w:r w:rsidRPr="009554DE">
              <w:rPr>
                <w:rFonts w:ascii="Arial" w:hAnsi="Arial" w:cs="Arial"/>
                <w:b/>
                <w:color w:val="000000" w:themeColor="text1"/>
                <w:sz w:val="20"/>
                <w:szCs w:val="20"/>
              </w:rPr>
              <w:t>Slope</w:t>
            </w:r>
          </w:p>
        </w:tc>
        <w:tc>
          <w:tcPr>
            <w:tcW w:w="1350" w:type="dxa"/>
          </w:tcPr>
          <w:p w14:paraId="5CE492DA" w14:textId="77777777" w:rsidR="00DF49A1" w:rsidRPr="009554DE" w:rsidRDefault="00DF49A1" w:rsidP="00DF49A1">
            <w:pPr>
              <w:spacing w:line="360" w:lineRule="auto"/>
              <w:rPr>
                <w:rFonts w:ascii="Arial" w:hAnsi="Arial" w:cs="Arial"/>
                <w:b/>
                <w:color w:val="000000" w:themeColor="text1"/>
                <w:sz w:val="20"/>
                <w:szCs w:val="20"/>
              </w:rPr>
            </w:pPr>
            <w:r w:rsidRPr="009554DE">
              <w:rPr>
                <w:rFonts w:ascii="Arial" w:hAnsi="Arial" w:cs="Arial"/>
                <w:b/>
                <w:color w:val="000000" w:themeColor="text1"/>
                <w:sz w:val="20"/>
                <w:szCs w:val="20"/>
              </w:rPr>
              <w:t>Z- statistics</w:t>
            </w:r>
          </w:p>
        </w:tc>
        <w:tc>
          <w:tcPr>
            <w:tcW w:w="1350" w:type="dxa"/>
          </w:tcPr>
          <w:p w14:paraId="47E28B10" w14:textId="77777777" w:rsidR="00DF49A1" w:rsidRPr="009554DE" w:rsidRDefault="00DF49A1" w:rsidP="00DF49A1">
            <w:pPr>
              <w:spacing w:line="360" w:lineRule="auto"/>
              <w:rPr>
                <w:rFonts w:ascii="Arial" w:hAnsi="Arial" w:cs="Arial"/>
                <w:b/>
                <w:color w:val="000000" w:themeColor="text1"/>
                <w:sz w:val="20"/>
                <w:szCs w:val="20"/>
              </w:rPr>
            </w:pPr>
            <w:r w:rsidRPr="009554DE">
              <w:rPr>
                <w:rFonts w:ascii="Arial" w:hAnsi="Arial" w:cs="Arial"/>
                <w:b/>
                <w:color w:val="000000" w:themeColor="text1"/>
                <w:sz w:val="20"/>
                <w:szCs w:val="20"/>
              </w:rPr>
              <w:t>Slope</w:t>
            </w:r>
          </w:p>
        </w:tc>
        <w:tc>
          <w:tcPr>
            <w:tcW w:w="1350" w:type="dxa"/>
          </w:tcPr>
          <w:p w14:paraId="58FDC4CB" w14:textId="77777777" w:rsidR="00DF49A1" w:rsidRPr="009554DE" w:rsidRDefault="00DF49A1" w:rsidP="00DF49A1">
            <w:pPr>
              <w:spacing w:line="360" w:lineRule="auto"/>
              <w:rPr>
                <w:rFonts w:ascii="Arial" w:hAnsi="Arial" w:cs="Arial"/>
                <w:b/>
                <w:color w:val="000000" w:themeColor="text1"/>
                <w:sz w:val="20"/>
                <w:szCs w:val="20"/>
              </w:rPr>
            </w:pPr>
            <w:r w:rsidRPr="009554DE">
              <w:rPr>
                <w:rFonts w:ascii="Arial" w:hAnsi="Arial" w:cs="Arial"/>
                <w:b/>
                <w:color w:val="000000" w:themeColor="text1"/>
                <w:sz w:val="20"/>
                <w:szCs w:val="20"/>
              </w:rPr>
              <w:t>Z- statistics</w:t>
            </w:r>
          </w:p>
        </w:tc>
        <w:tc>
          <w:tcPr>
            <w:tcW w:w="1350" w:type="dxa"/>
          </w:tcPr>
          <w:p w14:paraId="1A7393BD" w14:textId="77777777" w:rsidR="00DF49A1" w:rsidRPr="009554DE" w:rsidRDefault="00DF49A1" w:rsidP="00DF49A1">
            <w:pPr>
              <w:spacing w:line="360" w:lineRule="auto"/>
              <w:rPr>
                <w:rFonts w:ascii="Arial" w:hAnsi="Arial" w:cs="Arial"/>
                <w:b/>
                <w:color w:val="000000" w:themeColor="text1"/>
                <w:sz w:val="20"/>
                <w:szCs w:val="20"/>
              </w:rPr>
            </w:pPr>
            <w:r w:rsidRPr="009554DE">
              <w:rPr>
                <w:rFonts w:ascii="Arial" w:hAnsi="Arial" w:cs="Arial"/>
                <w:b/>
                <w:color w:val="000000" w:themeColor="text1"/>
                <w:sz w:val="20"/>
                <w:szCs w:val="20"/>
              </w:rPr>
              <w:t>Slope</w:t>
            </w:r>
          </w:p>
        </w:tc>
      </w:tr>
      <w:tr w:rsidR="00DF49A1" w:rsidRPr="009554DE" w14:paraId="5B4984D6" w14:textId="77777777" w:rsidTr="00DF49A1">
        <w:tc>
          <w:tcPr>
            <w:tcW w:w="1168" w:type="dxa"/>
          </w:tcPr>
          <w:p w14:paraId="562B1D7D"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126</w:t>
            </w:r>
          </w:p>
        </w:tc>
        <w:tc>
          <w:tcPr>
            <w:tcW w:w="1617" w:type="dxa"/>
          </w:tcPr>
          <w:p w14:paraId="4F17224B"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-1.437</w:t>
            </w:r>
          </w:p>
        </w:tc>
        <w:tc>
          <w:tcPr>
            <w:tcW w:w="1260" w:type="dxa"/>
          </w:tcPr>
          <w:p w14:paraId="458B87F0"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0.462</w:t>
            </w:r>
          </w:p>
        </w:tc>
        <w:tc>
          <w:tcPr>
            <w:tcW w:w="1350" w:type="dxa"/>
          </w:tcPr>
          <w:p w14:paraId="14EAE339"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-1.948</w:t>
            </w:r>
          </w:p>
        </w:tc>
        <w:tc>
          <w:tcPr>
            <w:tcW w:w="1350" w:type="dxa"/>
          </w:tcPr>
          <w:p w14:paraId="121BBDCD"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-0.573</w:t>
            </w:r>
          </w:p>
        </w:tc>
        <w:tc>
          <w:tcPr>
            <w:tcW w:w="1350" w:type="dxa"/>
          </w:tcPr>
          <w:p w14:paraId="4D4D2EE0"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1.256</w:t>
            </w:r>
          </w:p>
        </w:tc>
        <w:tc>
          <w:tcPr>
            <w:tcW w:w="1350" w:type="dxa"/>
          </w:tcPr>
          <w:p w14:paraId="250C1334"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-0.645</w:t>
            </w:r>
          </w:p>
        </w:tc>
      </w:tr>
      <w:tr w:rsidR="00DF49A1" w:rsidRPr="009554DE" w14:paraId="5CD1D7A1" w14:textId="77777777" w:rsidTr="00DF49A1">
        <w:tc>
          <w:tcPr>
            <w:tcW w:w="1168" w:type="dxa"/>
          </w:tcPr>
          <w:p w14:paraId="2E79E281"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139</w:t>
            </w:r>
          </w:p>
        </w:tc>
        <w:tc>
          <w:tcPr>
            <w:tcW w:w="1617" w:type="dxa"/>
          </w:tcPr>
          <w:p w14:paraId="14F343C3"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1.191</w:t>
            </w:r>
          </w:p>
        </w:tc>
        <w:tc>
          <w:tcPr>
            <w:tcW w:w="1260" w:type="dxa"/>
          </w:tcPr>
          <w:p w14:paraId="537B3B99"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1.115</w:t>
            </w:r>
          </w:p>
        </w:tc>
        <w:tc>
          <w:tcPr>
            <w:tcW w:w="1350" w:type="dxa"/>
          </w:tcPr>
          <w:p w14:paraId="39AA396B"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1.257</w:t>
            </w:r>
          </w:p>
        </w:tc>
        <w:tc>
          <w:tcPr>
            <w:tcW w:w="1350" w:type="dxa"/>
          </w:tcPr>
          <w:p w14:paraId="526999BB"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1.117</w:t>
            </w:r>
          </w:p>
        </w:tc>
        <w:tc>
          <w:tcPr>
            <w:tcW w:w="1350" w:type="dxa"/>
          </w:tcPr>
          <w:p w14:paraId="383B8F4C"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1.973*</w:t>
            </w:r>
          </w:p>
        </w:tc>
        <w:tc>
          <w:tcPr>
            <w:tcW w:w="1350" w:type="dxa"/>
          </w:tcPr>
          <w:p w14:paraId="5FF533D2"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0.984</w:t>
            </w:r>
          </w:p>
        </w:tc>
      </w:tr>
      <w:tr w:rsidR="00DF49A1" w:rsidRPr="009554DE" w14:paraId="39D57921" w14:textId="77777777" w:rsidTr="00DF49A1">
        <w:tc>
          <w:tcPr>
            <w:tcW w:w="1168" w:type="dxa"/>
          </w:tcPr>
          <w:p w14:paraId="794A1B3E"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141</w:t>
            </w:r>
          </w:p>
        </w:tc>
        <w:tc>
          <w:tcPr>
            <w:tcW w:w="1617" w:type="dxa"/>
          </w:tcPr>
          <w:p w14:paraId="2B041EF9"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1.987*</w:t>
            </w:r>
          </w:p>
        </w:tc>
        <w:tc>
          <w:tcPr>
            <w:tcW w:w="1260" w:type="dxa"/>
          </w:tcPr>
          <w:p w14:paraId="5824FD43"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-0.623</w:t>
            </w:r>
          </w:p>
        </w:tc>
        <w:tc>
          <w:tcPr>
            <w:tcW w:w="1350" w:type="dxa"/>
          </w:tcPr>
          <w:p w14:paraId="1E14E622"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2.638*</w:t>
            </w:r>
          </w:p>
        </w:tc>
        <w:tc>
          <w:tcPr>
            <w:tcW w:w="1350" w:type="dxa"/>
          </w:tcPr>
          <w:p w14:paraId="22CD6452"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-0.781</w:t>
            </w:r>
          </w:p>
        </w:tc>
        <w:tc>
          <w:tcPr>
            <w:tcW w:w="1350" w:type="dxa"/>
          </w:tcPr>
          <w:p w14:paraId="3C8E5995"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2.126*</w:t>
            </w:r>
          </w:p>
        </w:tc>
        <w:tc>
          <w:tcPr>
            <w:tcW w:w="1350" w:type="dxa"/>
          </w:tcPr>
          <w:p w14:paraId="3C0F8105"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-0.947</w:t>
            </w:r>
          </w:p>
        </w:tc>
      </w:tr>
      <w:tr w:rsidR="00DF49A1" w:rsidRPr="009554DE" w14:paraId="14102D4D" w14:textId="77777777" w:rsidTr="00DF49A1">
        <w:tc>
          <w:tcPr>
            <w:tcW w:w="1168" w:type="dxa"/>
          </w:tcPr>
          <w:p w14:paraId="4D94B86F"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149</w:t>
            </w:r>
          </w:p>
        </w:tc>
        <w:tc>
          <w:tcPr>
            <w:tcW w:w="1617" w:type="dxa"/>
          </w:tcPr>
          <w:p w14:paraId="5D74652C"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1.934*</w:t>
            </w:r>
          </w:p>
        </w:tc>
        <w:tc>
          <w:tcPr>
            <w:tcW w:w="1260" w:type="dxa"/>
          </w:tcPr>
          <w:p w14:paraId="555A2392"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-0.010</w:t>
            </w:r>
          </w:p>
        </w:tc>
        <w:tc>
          <w:tcPr>
            <w:tcW w:w="1350" w:type="dxa"/>
          </w:tcPr>
          <w:p w14:paraId="7E138907"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1.994*</w:t>
            </w:r>
          </w:p>
        </w:tc>
        <w:tc>
          <w:tcPr>
            <w:tcW w:w="1350" w:type="dxa"/>
          </w:tcPr>
          <w:p w14:paraId="4E7CCE73"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-0.011</w:t>
            </w:r>
          </w:p>
        </w:tc>
        <w:tc>
          <w:tcPr>
            <w:tcW w:w="1350" w:type="dxa"/>
          </w:tcPr>
          <w:p w14:paraId="2508E3D3"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1.998*</w:t>
            </w:r>
          </w:p>
        </w:tc>
        <w:tc>
          <w:tcPr>
            <w:tcW w:w="1350" w:type="dxa"/>
          </w:tcPr>
          <w:p w14:paraId="6118EB85"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-0.105</w:t>
            </w:r>
          </w:p>
        </w:tc>
      </w:tr>
      <w:tr w:rsidR="00DF49A1" w:rsidRPr="009554DE" w14:paraId="6FE6C000" w14:textId="77777777" w:rsidTr="00DF49A1">
        <w:tc>
          <w:tcPr>
            <w:tcW w:w="1168" w:type="dxa"/>
          </w:tcPr>
          <w:p w14:paraId="4BA6B099"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150</w:t>
            </w:r>
          </w:p>
        </w:tc>
        <w:tc>
          <w:tcPr>
            <w:tcW w:w="1617" w:type="dxa"/>
          </w:tcPr>
          <w:p w14:paraId="54D1BE50"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0.924</w:t>
            </w:r>
          </w:p>
        </w:tc>
        <w:tc>
          <w:tcPr>
            <w:tcW w:w="1260" w:type="dxa"/>
          </w:tcPr>
          <w:p w14:paraId="0D7EF003"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0.159</w:t>
            </w:r>
          </w:p>
        </w:tc>
        <w:tc>
          <w:tcPr>
            <w:tcW w:w="1350" w:type="dxa"/>
          </w:tcPr>
          <w:p w14:paraId="59CA5A9C"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1.924</w:t>
            </w:r>
          </w:p>
        </w:tc>
        <w:tc>
          <w:tcPr>
            <w:tcW w:w="1350" w:type="dxa"/>
          </w:tcPr>
          <w:p w14:paraId="4303035D"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0.894</w:t>
            </w:r>
          </w:p>
        </w:tc>
        <w:tc>
          <w:tcPr>
            <w:tcW w:w="1350" w:type="dxa"/>
          </w:tcPr>
          <w:p w14:paraId="65A4E7D1"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1.247</w:t>
            </w:r>
          </w:p>
        </w:tc>
        <w:tc>
          <w:tcPr>
            <w:tcW w:w="1350" w:type="dxa"/>
          </w:tcPr>
          <w:p w14:paraId="025E1F63"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0.258</w:t>
            </w:r>
          </w:p>
        </w:tc>
      </w:tr>
      <w:tr w:rsidR="00DF49A1" w:rsidRPr="009554DE" w14:paraId="47071F57" w14:textId="77777777" w:rsidTr="00DF49A1">
        <w:tc>
          <w:tcPr>
            <w:tcW w:w="1168" w:type="dxa"/>
          </w:tcPr>
          <w:p w14:paraId="0260B232"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151</w:t>
            </w:r>
          </w:p>
        </w:tc>
        <w:tc>
          <w:tcPr>
            <w:tcW w:w="1617" w:type="dxa"/>
          </w:tcPr>
          <w:p w14:paraId="52A0EBD3"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-0.048</w:t>
            </w:r>
          </w:p>
        </w:tc>
        <w:tc>
          <w:tcPr>
            <w:tcW w:w="1260" w:type="dxa"/>
          </w:tcPr>
          <w:p w14:paraId="0283D852"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1.175</w:t>
            </w:r>
          </w:p>
        </w:tc>
        <w:tc>
          <w:tcPr>
            <w:tcW w:w="1350" w:type="dxa"/>
          </w:tcPr>
          <w:p w14:paraId="170E8407"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-0.482</w:t>
            </w:r>
          </w:p>
        </w:tc>
        <w:tc>
          <w:tcPr>
            <w:tcW w:w="1350" w:type="dxa"/>
          </w:tcPr>
          <w:p w14:paraId="22EBC9E7"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1.274</w:t>
            </w:r>
          </w:p>
        </w:tc>
        <w:tc>
          <w:tcPr>
            <w:tcW w:w="1350" w:type="dxa"/>
          </w:tcPr>
          <w:p w14:paraId="4AAD66BA"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-0.645</w:t>
            </w:r>
          </w:p>
        </w:tc>
        <w:tc>
          <w:tcPr>
            <w:tcW w:w="1350" w:type="dxa"/>
          </w:tcPr>
          <w:p w14:paraId="794AD62B"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1.247</w:t>
            </w:r>
          </w:p>
        </w:tc>
      </w:tr>
      <w:tr w:rsidR="00DF49A1" w:rsidRPr="009554DE" w14:paraId="2679427D" w14:textId="77777777" w:rsidTr="00DF49A1">
        <w:tc>
          <w:tcPr>
            <w:tcW w:w="1168" w:type="dxa"/>
          </w:tcPr>
          <w:p w14:paraId="774A1FD9"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PKD S 6</w:t>
            </w:r>
          </w:p>
        </w:tc>
        <w:tc>
          <w:tcPr>
            <w:tcW w:w="1617" w:type="dxa"/>
          </w:tcPr>
          <w:p w14:paraId="71B4C077"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2.155*</w:t>
            </w:r>
          </w:p>
        </w:tc>
        <w:tc>
          <w:tcPr>
            <w:tcW w:w="1260" w:type="dxa"/>
          </w:tcPr>
          <w:p w14:paraId="3E488027"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-3.786</w:t>
            </w:r>
          </w:p>
        </w:tc>
        <w:tc>
          <w:tcPr>
            <w:tcW w:w="1350" w:type="dxa"/>
          </w:tcPr>
          <w:p w14:paraId="7E6939CC"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1.962*</w:t>
            </w:r>
          </w:p>
        </w:tc>
        <w:tc>
          <w:tcPr>
            <w:tcW w:w="1350" w:type="dxa"/>
          </w:tcPr>
          <w:p w14:paraId="25DB3AF3"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-2.589</w:t>
            </w:r>
          </w:p>
        </w:tc>
        <w:tc>
          <w:tcPr>
            <w:tcW w:w="1350" w:type="dxa"/>
          </w:tcPr>
          <w:p w14:paraId="66714F39"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1.957*</w:t>
            </w:r>
          </w:p>
        </w:tc>
        <w:tc>
          <w:tcPr>
            <w:tcW w:w="1350" w:type="dxa"/>
          </w:tcPr>
          <w:p w14:paraId="23F91A78"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-1.468</w:t>
            </w:r>
          </w:p>
        </w:tc>
      </w:tr>
      <w:tr w:rsidR="00DF49A1" w:rsidRPr="009554DE" w14:paraId="733A1A93" w14:textId="77777777" w:rsidTr="00DF49A1">
        <w:tc>
          <w:tcPr>
            <w:tcW w:w="1168" w:type="dxa"/>
          </w:tcPr>
          <w:p w14:paraId="14F88789"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PKD S 7</w:t>
            </w:r>
          </w:p>
        </w:tc>
        <w:tc>
          <w:tcPr>
            <w:tcW w:w="1617" w:type="dxa"/>
          </w:tcPr>
          <w:p w14:paraId="1D74493F"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-0.589</w:t>
            </w:r>
          </w:p>
        </w:tc>
        <w:tc>
          <w:tcPr>
            <w:tcW w:w="1260" w:type="dxa"/>
          </w:tcPr>
          <w:p w14:paraId="112AAB64"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1.464</w:t>
            </w:r>
          </w:p>
        </w:tc>
        <w:tc>
          <w:tcPr>
            <w:tcW w:w="1350" w:type="dxa"/>
          </w:tcPr>
          <w:p w14:paraId="2CFDC2F7"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-0.894</w:t>
            </w:r>
          </w:p>
        </w:tc>
        <w:tc>
          <w:tcPr>
            <w:tcW w:w="1350" w:type="dxa"/>
          </w:tcPr>
          <w:p w14:paraId="1E2D5AF2"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1.147</w:t>
            </w:r>
          </w:p>
        </w:tc>
        <w:tc>
          <w:tcPr>
            <w:tcW w:w="1350" w:type="dxa"/>
          </w:tcPr>
          <w:p w14:paraId="4D06A7E4"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-0.459</w:t>
            </w:r>
          </w:p>
        </w:tc>
        <w:tc>
          <w:tcPr>
            <w:tcW w:w="1350" w:type="dxa"/>
          </w:tcPr>
          <w:p w14:paraId="1363B597"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1.863</w:t>
            </w:r>
          </w:p>
        </w:tc>
      </w:tr>
      <w:tr w:rsidR="00DF49A1" w:rsidRPr="009554DE" w14:paraId="5713BBBE" w14:textId="77777777" w:rsidTr="00DF49A1">
        <w:tc>
          <w:tcPr>
            <w:tcW w:w="1168" w:type="dxa"/>
          </w:tcPr>
          <w:p w14:paraId="171A6680"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PKD S 8</w:t>
            </w:r>
          </w:p>
        </w:tc>
        <w:tc>
          <w:tcPr>
            <w:tcW w:w="1617" w:type="dxa"/>
          </w:tcPr>
          <w:p w14:paraId="6ADB01F5"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2.014*</w:t>
            </w:r>
          </w:p>
        </w:tc>
        <w:tc>
          <w:tcPr>
            <w:tcW w:w="1260" w:type="dxa"/>
          </w:tcPr>
          <w:p w14:paraId="6EE6FC74"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-0.903</w:t>
            </w:r>
          </w:p>
        </w:tc>
        <w:tc>
          <w:tcPr>
            <w:tcW w:w="1350" w:type="dxa"/>
          </w:tcPr>
          <w:p w14:paraId="2E6FD013"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1.024</w:t>
            </w:r>
          </w:p>
        </w:tc>
        <w:tc>
          <w:tcPr>
            <w:tcW w:w="1350" w:type="dxa"/>
          </w:tcPr>
          <w:p w14:paraId="128E2BF7"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-0.917</w:t>
            </w:r>
          </w:p>
        </w:tc>
        <w:tc>
          <w:tcPr>
            <w:tcW w:w="1350" w:type="dxa"/>
          </w:tcPr>
          <w:p w14:paraId="73396C02"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1.994*</w:t>
            </w:r>
          </w:p>
        </w:tc>
        <w:tc>
          <w:tcPr>
            <w:tcW w:w="1350" w:type="dxa"/>
          </w:tcPr>
          <w:p w14:paraId="7CF17B4A" w14:textId="77777777" w:rsidR="00DF49A1" w:rsidRPr="009554DE" w:rsidRDefault="00DF49A1" w:rsidP="00DF49A1">
            <w:pPr>
              <w:spacing w:line="360" w:lineRule="auto"/>
              <w:rPr>
                <w:rFonts w:ascii="Arial" w:hAnsi="Arial" w:cs="Arial"/>
                <w:color w:val="000000" w:themeColor="text1"/>
                <w:sz w:val="20"/>
                <w:szCs w:val="20"/>
              </w:rPr>
            </w:pPr>
            <w:r w:rsidRPr="009554DE">
              <w:rPr>
                <w:rFonts w:ascii="Arial" w:hAnsi="Arial" w:cs="Arial"/>
                <w:color w:val="000000" w:themeColor="text1"/>
                <w:sz w:val="20"/>
                <w:szCs w:val="20"/>
              </w:rPr>
              <w:t>-0.116</w:t>
            </w:r>
          </w:p>
        </w:tc>
      </w:tr>
    </w:tbl>
    <w:p w14:paraId="2B165D96" w14:textId="77777777" w:rsidR="00DF49A1" w:rsidRPr="009554DE" w:rsidRDefault="00DF49A1" w:rsidP="00DF49A1">
      <w:pPr>
        <w:spacing w:before="240" w:after="240" w:line="360" w:lineRule="auto"/>
        <w:jc w:val="right"/>
        <w:rPr>
          <w:rFonts w:ascii="Arial" w:hAnsi="Arial" w:cs="Arial"/>
          <w:color w:val="000000" w:themeColor="text1"/>
          <w:sz w:val="20"/>
          <w:szCs w:val="20"/>
        </w:rPr>
      </w:pPr>
      <w:r w:rsidRPr="009554DE">
        <w:rPr>
          <w:rFonts w:ascii="Arial" w:hAnsi="Arial" w:cs="Arial"/>
          <w:color w:val="000000" w:themeColor="text1"/>
          <w:sz w:val="20"/>
          <w:szCs w:val="20"/>
        </w:rPr>
        <w:t>(‘*’ Trend at 95% level of significance)</w:t>
      </w:r>
    </w:p>
    <w:p w14:paraId="14111D1C" w14:textId="77777777" w:rsidR="00DF49A1" w:rsidRPr="009554DE" w:rsidRDefault="00DF49A1" w:rsidP="00DF49A1">
      <w:pPr>
        <w:pStyle w:val="NormalWeb"/>
        <w:spacing w:line="360" w:lineRule="auto"/>
        <w:ind w:firstLine="720"/>
        <w:jc w:val="both"/>
        <w:rPr>
          <w:rFonts w:ascii="Arial" w:hAnsi="Arial" w:cs="Arial"/>
          <w:sz w:val="20"/>
          <w:szCs w:val="20"/>
        </w:rPr>
      </w:pPr>
      <w:r w:rsidRPr="009554DE">
        <w:rPr>
          <w:rFonts w:ascii="Arial" w:hAnsi="Arial" w:cs="Arial"/>
          <w:sz w:val="20"/>
          <w:szCs w:val="20"/>
        </w:rPr>
        <w:t xml:space="preserve">The identified zones of persistent groundwater decline (Wells 141, 149, PKD S-6) represent a significant threat to agricultural productivity within the block, especially during the crucial pre-monsoon planting and growing seasons. The lowering of the water </w:t>
      </w:r>
      <w:r w:rsidRPr="00C71BA7">
        <w:rPr>
          <w:rFonts w:ascii="Arial" w:hAnsi="Arial" w:cs="Arial"/>
          <w:sz w:val="20"/>
          <w:szCs w:val="20"/>
        </w:rPr>
        <w:t>table</w:t>
      </w:r>
      <w:r w:rsidRPr="009554DE">
        <w:rPr>
          <w:rFonts w:ascii="Arial" w:hAnsi="Arial" w:cs="Arial"/>
          <w:sz w:val="20"/>
          <w:szCs w:val="20"/>
        </w:rPr>
        <w:t xml:space="preserve"> increases pumping costs and energy use, eventually rendering current abstraction methods unsustainable.  This robust, scientific insight provides a valuable basis for micro-level groundwater management strategies that are tailored to local hydrogeological and socio-economic conditions. The results of this study revealed that water scarcity poses a significant threat to agricultural productivity within the block. </w:t>
      </w:r>
    </w:p>
    <w:p w14:paraId="6F9677F0" w14:textId="77777777" w:rsidR="00DF49A1" w:rsidRPr="009554DE" w:rsidRDefault="00DF49A1" w:rsidP="00DF49A1">
      <w:pPr>
        <w:pStyle w:val="NormalWeb"/>
        <w:spacing w:line="360" w:lineRule="auto"/>
        <w:ind w:firstLine="720"/>
        <w:jc w:val="both"/>
        <w:rPr>
          <w:rFonts w:ascii="Arial" w:hAnsi="Arial" w:cs="Arial"/>
          <w:sz w:val="20"/>
          <w:szCs w:val="20"/>
        </w:rPr>
      </w:pPr>
      <w:r w:rsidRPr="009554DE">
        <w:rPr>
          <w:rFonts w:ascii="Arial" w:hAnsi="Arial" w:cs="Arial"/>
          <w:sz w:val="20"/>
          <w:szCs w:val="20"/>
        </w:rPr>
        <w:lastRenderedPageBreak/>
        <w:t>The research has successfully identified regions experiencing groundwater stress across different monsoon periods. These insights can assist planners in implementing immediate and effective groundwater management strategies to address the declining water levels. The use of statistical trend analysis provided a valuable foresight for sustainable groundwater development in the area. Overall, the study provided a scientific basis for informed decision-making and resource allocation in the context of integrated water resource management.</w:t>
      </w:r>
    </w:p>
    <w:p w14:paraId="7A8417F0" w14:textId="77777777" w:rsidR="00DF49A1" w:rsidRPr="009554DE" w:rsidRDefault="009554DE" w:rsidP="009554DE">
      <w:pPr>
        <w:pStyle w:val="NormalWeb"/>
        <w:numPr>
          <w:ilvl w:val="0"/>
          <w:numId w:val="8"/>
        </w:numPr>
        <w:spacing w:line="360" w:lineRule="auto"/>
        <w:ind w:left="360"/>
        <w:jc w:val="both"/>
        <w:rPr>
          <w:rFonts w:ascii="Arial" w:hAnsi="Arial" w:cs="Arial"/>
          <w:b/>
          <w:sz w:val="22"/>
          <w:szCs w:val="20"/>
        </w:rPr>
      </w:pPr>
      <w:r w:rsidRPr="009554DE">
        <w:rPr>
          <w:rFonts w:ascii="Arial" w:hAnsi="Arial" w:cs="Arial"/>
          <w:b/>
          <w:sz w:val="22"/>
          <w:szCs w:val="20"/>
        </w:rPr>
        <w:t>CONCLUSIONS</w:t>
      </w:r>
    </w:p>
    <w:p w14:paraId="389745CD" w14:textId="77777777" w:rsidR="00DF49A1" w:rsidRPr="009554DE" w:rsidRDefault="00DF49A1" w:rsidP="00DF49A1">
      <w:pPr>
        <w:pStyle w:val="NormalWeb"/>
        <w:spacing w:line="360" w:lineRule="auto"/>
        <w:ind w:firstLine="720"/>
        <w:jc w:val="both"/>
        <w:rPr>
          <w:rFonts w:ascii="Arial" w:hAnsi="Arial" w:cs="Arial"/>
          <w:sz w:val="20"/>
          <w:szCs w:val="20"/>
        </w:rPr>
      </w:pPr>
      <w:r w:rsidRPr="009554DE">
        <w:rPr>
          <w:rFonts w:ascii="Arial" w:hAnsi="Arial" w:cs="Arial"/>
          <w:sz w:val="20"/>
          <w:szCs w:val="20"/>
        </w:rPr>
        <w:t xml:space="preserve">This research provided a comprehensive spatiotemporal assessment of groundwater dynamics within the </w:t>
      </w:r>
      <w:proofErr w:type="spellStart"/>
      <w:r w:rsidRPr="009554DE">
        <w:rPr>
          <w:rFonts w:ascii="Arial" w:hAnsi="Arial" w:cs="Arial"/>
          <w:sz w:val="20"/>
          <w:szCs w:val="20"/>
        </w:rPr>
        <w:t>Chittur</w:t>
      </w:r>
      <w:proofErr w:type="spellEnd"/>
      <w:r w:rsidRPr="009554DE">
        <w:rPr>
          <w:rFonts w:ascii="Arial" w:hAnsi="Arial" w:cs="Arial"/>
          <w:sz w:val="20"/>
          <w:szCs w:val="20"/>
        </w:rPr>
        <w:t xml:space="preserve"> block of Palakkad district, leveraging a 29-year dataset (1994–2022) from nine observation wells. Through a synthesis of spatial interpolation and statistical trend analyses, the study successfully characterized the complex responses of the aquifer system to both climatic variability and anthropogenic pressures. The analysis clearly demonstrated a strong correlation between groundwater level fluctuations and rainfall patterns. Significant water-level declines were predominantly observed in the period preceding 2016, followed by no</w:t>
      </w:r>
      <w:r w:rsidRPr="00C71BA7">
        <w:rPr>
          <w:rFonts w:ascii="Arial" w:hAnsi="Arial" w:cs="Arial"/>
          <w:sz w:val="20"/>
          <w:szCs w:val="20"/>
        </w:rPr>
        <w:t>table</w:t>
      </w:r>
      <w:r w:rsidRPr="009554DE">
        <w:rPr>
          <w:rFonts w:ascii="Arial" w:hAnsi="Arial" w:cs="Arial"/>
          <w:sz w:val="20"/>
          <w:szCs w:val="20"/>
        </w:rPr>
        <w:t>, though often partial, recovery after 2018 due to subsequent high-rainfall years. This indicated that while the aquifer system has been subject to considerable stress in localized areas, it retains a capacity for natural recharge under favorable climatic conditions.</w:t>
      </w:r>
    </w:p>
    <w:p w14:paraId="1E5DADCE" w14:textId="77777777" w:rsidR="00DF49A1" w:rsidRPr="009554DE" w:rsidRDefault="00DF49A1" w:rsidP="00DF49A1">
      <w:pPr>
        <w:pStyle w:val="NormalWeb"/>
        <w:spacing w:line="360" w:lineRule="auto"/>
        <w:ind w:firstLine="720"/>
        <w:jc w:val="both"/>
        <w:rPr>
          <w:rFonts w:ascii="Arial" w:hAnsi="Arial" w:cs="Arial"/>
          <w:sz w:val="20"/>
          <w:szCs w:val="20"/>
        </w:rPr>
      </w:pPr>
      <w:r w:rsidRPr="009554DE">
        <w:rPr>
          <w:rFonts w:ascii="Arial" w:hAnsi="Arial" w:cs="Arial"/>
          <w:sz w:val="20"/>
          <w:szCs w:val="20"/>
        </w:rPr>
        <w:t xml:space="preserve">Northern and northeastern zones experienced the most substantial reduction, with declines ranging from 2 to 5 meters below ground level (m </w:t>
      </w:r>
      <w:proofErr w:type="spellStart"/>
      <w:r w:rsidRPr="009554DE">
        <w:rPr>
          <w:rFonts w:ascii="Arial" w:hAnsi="Arial" w:cs="Arial"/>
          <w:sz w:val="20"/>
          <w:szCs w:val="20"/>
        </w:rPr>
        <w:t>bgl</w:t>
      </w:r>
      <w:proofErr w:type="spellEnd"/>
      <w:r w:rsidRPr="009554DE">
        <w:rPr>
          <w:rFonts w:ascii="Arial" w:hAnsi="Arial" w:cs="Arial"/>
          <w:sz w:val="20"/>
          <w:szCs w:val="20"/>
        </w:rPr>
        <w:t xml:space="preserve">) across all monsoon seasons. This degradation is linked to a confluence of factors, including limited infiltration, increased surface runoff, and intensified groundwater extraction. In contrast, the southern and western regions displayed more moderate fluctuations, and the central portion consistently maintained relatively shallow water levels, typically above 3 m </w:t>
      </w:r>
      <w:proofErr w:type="spellStart"/>
      <w:r w:rsidRPr="009554DE">
        <w:rPr>
          <w:rFonts w:ascii="Arial" w:hAnsi="Arial" w:cs="Arial"/>
          <w:sz w:val="20"/>
          <w:szCs w:val="20"/>
        </w:rPr>
        <w:t>bgl</w:t>
      </w:r>
      <w:proofErr w:type="spellEnd"/>
      <w:r w:rsidRPr="009554DE">
        <w:rPr>
          <w:rFonts w:ascii="Arial" w:hAnsi="Arial" w:cs="Arial"/>
          <w:sz w:val="20"/>
          <w:szCs w:val="20"/>
        </w:rPr>
        <w:t xml:space="preserve"> during both pre-monsoon and post-monsoon periods.</w:t>
      </w:r>
    </w:p>
    <w:p w14:paraId="0AE173A2" w14:textId="77777777" w:rsidR="00DF49A1" w:rsidRPr="009554DE" w:rsidRDefault="00DF49A1" w:rsidP="00F512AC">
      <w:pPr>
        <w:pStyle w:val="NormalWeb"/>
        <w:spacing w:line="360" w:lineRule="auto"/>
        <w:ind w:firstLine="720"/>
        <w:jc w:val="both"/>
        <w:rPr>
          <w:rFonts w:ascii="Arial" w:hAnsi="Arial" w:cs="Arial"/>
          <w:sz w:val="20"/>
          <w:szCs w:val="20"/>
        </w:rPr>
      </w:pPr>
      <w:r w:rsidRPr="009554DE">
        <w:rPr>
          <w:rFonts w:ascii="Arial" w:hAnsi="Arial" w:cs="Arial"/>
          <w:sz w:val="20"/>
          <w:szCs w:val="20"/>
        </w:rPr>
        <w:t>The long-term trend analysis solidified these findings, revealing an overall decreasing tendency in several key locations. A decline was established in three wells (141, 149, PKD S-6) during the post-monsoon period, escalating to four wells (141, 149, PKD S-6, and PKD S-8) in the critical pre-monsoon season. Annually, a decreasing trend was evident across five wells (139, 141, 149, PKD S-6, and PKD S-8) over the entire observation period. Crucially, the most acute pre-monsoon decline was concentrated in the southeastern and northeastern parts of the block. This severe seasonal stress is largely attribu</w:t>
      </w:r>
      <w:r w:rsidRPr="00C71BA7">
        <w:rPr>
          <w:rFonts w:ascii="Arial" w:hAnsi="Arial" w:cs="Arial"/>
          <w:sz w:val="20"/>
          <w:szCs w:val="20"/>
        </w:rPr>
        <w:t>table</w:t>
      </w:r>
      <w:r w:rsidRPr="009554DE">
        <w:rPr>
          <w:rFonts w:ascii="Arial" w:hAnsi="Arial" w:cs="Arial"/>
          <w:sz w:val="20"/>
          <w:szCs w:val="20"/>
        </w:rPr>
        <w:t xml:space="preserve"> to intensive groundwater use for irrigation, which exacerbates aquifer depletion during dry spells.</w:t>
      </w:r>
    </w:p>
    <w:p w14:paraId="061DBF62" w14:textId="77777777" w:rsidR="00DF49A1" w:rsidRDefault="00DF49A1" w:rsidP="00F512AC">
      <w:pPr>
        <w:pStyle w:val="NormalWeb"/>
        <w:spacing w:line="360" w:lineRule="auto"/>
        <w:ind w:firstLine="720"/>
        <w:jc w:val="both"/>
        <w:rPr>
          <w:rFonts w:ascii="Arial" w:hAnsi="Arial" w:cs="Arial"/>
          <w:sz w:val="20"/>
          <w:szCs w:val="20"/>
        </w:rPr>
      </w:pPr>
      <w:r w:rsidRPr="009554DE">
        <w:rPr>
          <w:rFonts w:ascii="Arial" w:hAnsi="Arial" w:cs="Arial"/>
          <w:sz w:val="20"/>
          <w:szCs w:val="20"/>
        </w:rPr>
        <w:t xml:space="preserve">These observed spatial and temporal disparities in groundwater availability present significant challenges for the sustainability of local agricultural communities. Consequently, to safeguard the aquifer for long-term use, the immediate implementation of groundwater augmentation measures is essential. </w:t>
      </w:r>
      <w:r w:rsidRPr="009554DE">
        <w:rPr>
          <w:rFonts w:ascii="Arial" w:hAnsi="Arial" w:cs="Arial"/>
          <w:sz w:val="20"/>
          <w:szCs w:val="20"/>
        </w:rPr>
        <w:lastRenderedPageBreak/>
        <w:t>Priority should be given to the most vulnerable zones through the construction of sui</w:t>
      </w:r>
      <w:r w:rsidRPr="00C71BA7">
        <w:rPr>
          <w:rFonts w:ascii="Arial" w:hAnsi="Arial" w:cs="Arial"/>
          <w:sz w:val="20"/>
          <w:szCs w:val="20"/>
        </w:rPr>
        <w:t>table</w:t>
      </w:r>
      <w:r w:rsidRPr="009554DE">
        <w:rPr>
          <w:rFonts w:ascii="Arial" w:hAnsi="Arial" w:cs="Arial"/>
          <w:sz w:val="20"/>
          <w:szCs w:val="20"/>
        </w:rPr>
        <w:t xml:space="preserve"> artificial recharge structures and techniques to enhance effective groundwater storage and promote resilience.</w:t>
      </w:r>
    </w:p>
    <w:p w14:paraId="49719AAB" w14:textId="77777777" w:rsidR="00D123F8" w:rsidRPr="00D123F8" w:rsidRDefault="00D123F8" w:rsidP="00D123F8">
      <w:pPr>
        <w:pStyle w:val="NormalWeb"/>
        <w:spacing w:line="360" w:lineRule="auto"/>
        <w:jc w:val="both"/>
        <w:rPr>
          <w:rFonts w:ascii="Arial" w:hAnsi="Arial" w:cs="Arial"/>
          <w:b/>
          <w:sz w:val="22"/>
          <w:szCs w:val="20"/>
        </w:rPr>
      </w:pPr>
    </w:p>
    <w:p w14:paraId="26477CF9" w14:textId="77777777" w:rsidR="00507119" w:rsidRDefault="00507119" w:rsidP="00507119">
      <w:pPr>
        <w:pStyle w:val="NormalWeb"/>
        <w:spacing w:line="360" w:lineRule="auto"/>
        <w:jc w:val="both"/>
        <w:rPr>
          <w:rFonts w:ascii="Arial" w:hAnsi="Arial" w:cs="Arial"/>
          <w:b/>
          <w:sz w:val="22"/>
          <w:szCs w:val="20"/>
        </w:rPr>
      </w:pPr>
      <w:r w:rsidRPr="00507119">
        <w:rPr>
          <w:rFonts w:ascii="Arial" w:hAnsi="Arial" w:cs="Arial"/>
          <w:b/>
          <w:sz w:val="22"/>
          <w:szCs w:val="20"/>
        </w:rPr>
        <w:t>COMPETING INTERESTS</w:t>
      </w:r>
    </w:p>
    <w:p w14:paraId="1F9210AF" w14:textId="77777777" w:rsidR="00507119" w:rsidRPr="00507119" w:rsidRDefault="00507119" w:rsidP="00795C86">
      <w:pPr>
        <w:pStyle w:val="NormalWeb"/>
        <w:spacing w:before="0" w:beforeAutospacing="0" w:line="360" w:lineRule="auto"/>
        <w:jc w:val="both"/>
        <w:rPr>
          <w:rFonts w:ascii="Arial" w:hAnsi="Arial" w:cs="Arial"/>
          <w:sz w:val="20"/>
          <w:szCs w:val="20"/>
        </w:rPr>
      </w:pPr>
      <w:r w:rsidRPr="00507119">
        <w:rPr>
          <w:rFonts w:ascii="Arial" w:hAnsi="Arial" w:cs="Arial"/>
          <w:sz w:val="20"/>
          <w:szCs w:val="20"/>
        </w:rPr>
        <w:t>No competing interests</w:t>
      </w:r>
    </w:p>
    <w:p w14:paraId="4196D434" w14:textId="77777777" w:rsidR="00DF49A1" w:rsidRPr="009554DE" w:rsidRDefault="009554DE" w:rsidP="00507119">
      <w:pPr>
        <w:pStyle w:val="NormalWeb"/>
        <w:spacing w:line="360" w:lineRule="auto"/>
        <w:jc w:val="both"/>
        <w:rPr>
          <w:rFonts w:ascii="Arial" w:hAnsi="Arial" w:cs="Arial"/>
          <w:b/>
          <w:sz w:val="22"/>
          <w:szCs w:val="20"/>
        </w:rPr>
      </w:pPr>
      <w:r w:rsidRPr="009554DE">
        <w:rPr>
          <w:rFonts w:ascii="Arial" w:hAnsi="Arial" w:cs="Arial"/>
          <w:b/>
          <w:sz w:val="22"/>
          <w:szCs w:val="20"/>
        </w:rPr>
        <w:t>REFERENCES</w:t>
      </w:r>
    </w:p>
    <w:p w14:paraId="5257A56F"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Abdullahi, M. G., </w:t>
      </w:r>
      <w:proofErr w:type="spellStart"/>
      <w:r w:rsidRPr="009554DE">
        <w:rPr>
          <w:rFonts w:ascii="Arial" w:hAnsi="Arial" w:cs="Arial"/>
          <w:sz w:val="20"/>
          <w:szCs w:val="20"/>
        </w:rPr>
        <w:t>Toriman</w:t>
      </w:r>
      <w:proofErr w:type="spellEnd"/>
      <w:r w:rsidRPr="009554DE">
        <w:rPr>
          <w:rFonts w:ascii="Arial" w:hAnsi="Arial" w:cs="Arial"/>
          <w:sz w:val="20"/>
          <w:szCs w:val="20"/>
        </w:rPr>
        <w:t xml:space="preserve">, M. E., Gasim, M. B., </w:t>
      </w:r>
      <w:r w:rsidR="00F512AC">
        <w:rPr>
          <w:rFonts w:ascii="Arial" w:hAnsi="Arial" w:cs="Arial"/>
          <w:sz w:val="20"/>
          <w:szCs w:val="20"/>
        </w:rPr>
        <w:t>&amp;</w:t>
      </w:r>
      <w:r w:rsidRPr="009554DE">
        <w:rPr>
          <w:rFonts w:ascii="Arial" w:hAnsi="Arial" w:cs="Arial"/>
          <w:sz w:val="20"/>
          <w:szCs w:val="20"/>
        </w:rPr>
        <w:t xml:space="preserve"> Garba, I. (2015). Trends analysis of groundwater: Using non-parametric methods in Terengganu Malaysia. </w:t>
      </w:r>
      <w:r w:rsidRPr="00F512AC">
        <w:rPr>
          <w:rFonts w:ascii="Arial" w:hAnsi="Arial" w:cs="Arial"/>
          <w:i/>
          <w:sz w:val="20"/>
          <w:szCs w:val="20"/>
        </w:rPr>
        <w:t>Journal of Earth Science and Climatic Change</w:t>
      </w:r>
      <w:r w:rsidR="009554DE">
        <w:rPr>
          <w:rFonts w:ascii="Arial" w:hAnsi="Arial" w:cs="Arial"/>
          <w:sz w:val="20"/>
          <w:szCs w:val="20"/>
        </w:rPr>
        <w:t>, 6(1),</w:t>
      </w:r>
      <w:r w:rsidRPr="009554DE">
        <w:rPr>
          <w:rFonts w:ascii="Arial" w:hAnsi="Arial" w:cs="Arial"/>
          <w:sz w:val="20"/>
          <w:szCs w:val="20"/>
        </w:rPr>
        <w:t xml:space="preserve"> 1–3.</w:t>
      </w:r>
    </w:p>
    <w:p w14:paraId="0772654D"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 Aggarwal, R</w:t>
      </w:r>
      <w:r w:rsidR="00F512AC">
        <w:rPr>
          <w:rFonts w:ascii="Arial" w:hAnsi="Arial" w:cs="Arial"/>
          <w:sz w:val="20"/>
          <w:szCs w:val="20"/>
        </w:rPr>
        <w:t>., Kaushal, M. P., Kaur, S., &amp;</w:t>
      </w:r>
      <w:r w:rsidRPr="009554DE">
        <w:rPr>
          <w:rFonts w:ascii="Arial" w:hAnsi="Arial" w:cs="Arial"/>
          <w:sz w:val="20"/>
          <w:szCs w:val="20"/>
        </w:rPr>
        <w:t xml:space="preserve"> </w:t>
      </w:r>
      <w:proofErr w:type="spellStart"/>
      <w:r w:rsidRPr="009554DE">
        <w:rPr>
          <w:rFonts w:ascii="Arial" w:hAnsi="Arial" w:cs="Arial"/>
          <w:sz w:val="20"/>
          <w:szCs w:val="20"/>
        </w:rPr>
        <w:t>Farmaha</w:t>
      </w:r>
      <w:proofErr w:type="spellEnd"/>
      <w:r w:rsidRPr="009554DE">
        <w:rPr>
          <w:rFonts w:ascii="Arial" w:hAnsi="Arial" w:cs="Arial"/>
          <w:sz w:val="20"/>
          <w:szCs w:val="20"/>
        </w:rPr>
        <w:t>, B. (2009). Water resource management for sustain able agriculture in Punjab, Indi</w:t>
      </w:r>
      <w:r w:rsidR="00F512AC">
        <w:rPr>
          <w:rFonts w:ascii="Arial" w:hAnsi="Arial" w:cs="Arial"/>
          <w:sz w:val="20"/>
          <w:szCs w:val="20"/>
        </w:rPr>
        <w:t xml:space="preserve">a. </w:t>
      </w:r>
      <w:r w:rsidR="00F512AC" w:rsidRPr="00F512AC">
        <w:rPr>
          <w:rFonts w:ascii="Arial" w:hAnsi="Arial" w:cs="Arial"/>
          <w:i/>
          <w:sz w:val="20"/>
          <w:szCs w:val="20"/>
        </w:rPr>
        <w:t>Water Science and Technology</w:t>
      </w:r>
      <w:r w:rsidR="00F512AC">
        <w:rPr>
          <w:rFonts w:ascii="Arial" w:hAnsi="Arial" w:cs="Arial"/>
          <w:sz w:val="20"/>
          <w:szCs w:val="20"/>
        </w:rPr>
        <w:t>, 160(11),</w:t>
      </w:r>
      <w:r w:rsidRPr="009554DE">
        <w:rPr>
          <w:rFonts w:ascii="Arial" w:hAnsi="Arial" w:cs="Arial"/>
          <w:sz w:val="20"/>
          <w:szCs w:val="20"/>
        </w:rPr>
        <w:t xml:space="preserve"> 2905–2911.</w:t>
      </w:r>
    </w:p>
    <w:p w14:paraId="4AA4E382"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 Amanpreet, S., Chandrashe</w:t>
      </w:r>
      <w:r w:rsidR="00F512AC">
        <w:rPr>
          <w:rFonts w:ascii="Arial" w:hAnsi="Arial" w:cs="Arial"/>
          <w:sz w:val="20"/>
          <w:szCs w:val="20"/>
        </w:rPr>
        <w:t>khar, S., Jeyaseelan, A. T., &amp;</w:t>
      </w:r>
      <w:r w:rsidRPr="009554DE">
        <w:rPr>
          <w:rFonts w:ascii="Arial" w:hAnsi="Arial" w:cs="Arial"/>
          <w:sz w:val="20"/>
          <w:szCs w:val="20"/>
        </w:rPr>
        <w:t xml:space="preserve"> Chowdary, V. M. (2015). </w:t>
      </w:r>
      <w:proofErr w:type="spellStart"/>
      <w:r w:rsidRPr="009554DE">
        <w:rPr>
          <w:rFonts w:ascii="Arial" w:hAnsi="Arial" w:cs="Arial"/>
          <w:sz w:val="20"/>
          <w:szCs w:val="20"/>
        </w:rPr>
        <w:t>Spatio</w:t>
      </w:r>
      <w:proofErr w:type="spellEnd"/>
      <w:r w:rsidRPr="009554DE">
        <w:rPr>
          <w:rFonts w:ascii="Arial" w:hAnsi="Arial" w:cs="Arial"/>
          <w:sz w:val="20"/>
          <w:szCs w:val="20"/>
        </w:rPr>
        <w:t xml:space="preserve">-temporal analysis of groundwater resources in Jalandhar district of Punjab state, India. </w:t>
      </w:r>
      <w:r w:rsidRPr="00F512AC">
        <w:rPr>
          <w:rFonts w:ascii="Arial" w:hAnsi="Arial" w:cs="Arial"/>
          <w:i/>
          <w:sz w:val="20"/>
          <w:szCs w:val="20"/>
        </w:rPr>
        <w:t>Sustainable Water Resources Management</w:t>
      </w:r>
      <w:r w:rsidR="00F512AC">
        <w:rPr>
          <w:rFonts w:ascii="Arial" w:hAnsi="Arial" w:cs="Arial"/>
          <w:sz w:val="20"/>
          <w:szCs w:val="20"/>
        </w:rPr>
        <w:t>,</w:t>
      </w:r>
      <w:r w:rsidRPr="009554DE">
        <w:rPr>
          <w:rFonts w:ascii="Arial" w:hAnsi="Arial" w:cs="Arial"/>
          <w:sz w:val="20"/>
          <w:szCs w:val="20"/>
        </w:rPr>
        <w:t xml:space="preserve"> 1</w:t>
      </w:r>
      <w:r w:rsidR="00F512AC">
        <w:rPr>
          <w:rFonts w:ascii="Arial" w:hAnsi="Arial" w:cs="Arial"/>
          <w:sz w:val="20"/>
          <w:szCs w:val="20"/>
        </w:rPr>
        <w:t>,</w:t>
      </w:r>
      <w:r w:rsidRPr="009554DE">
        <w:rPr>
          <w:rFonts w:ascii="Arial" w:hAnsi="Arial" w:cs="Arial"/>
          <w:sz w:val="20"/>
          <w:szCs w:val="20"/>
        </w:rPr>
        <w:t xml:space="preserve"> 293–304.</w:t>
      </w:r>
    </w:p>
    <w:p w14:paraId="32B8D655"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Amrita, Singh, O., </w:t>
      </w:r>
      <w:r w:rsidR="00F512AC">
        <w:rPr>
          <w:rFonts w:ascii="Arial" w:hAnsi="Arial" w:cs="Arial"/>
          <w:sz w:val="20"/>
          <w:szCs w:val="20"/>
        </w:rPr>
        <w:t>&amp;</w:t>
      </w:r>
      <w:r w:rsidRPr="009554DE">
        <w:rPr>
          <w:rFonts w:ascii="Arial" w:hAnsi="Arial" w:cs="Arial"/>
          <w:sz w:val="20"/>
          <w:szCs w:val="20"/>
        </w:rPr>
        <w:t xml:space="preserve"> Singh, K. P. (2016). Analysis of groundwater level trends in Kurukshetra District of Haryana: 1990–2013. </w:t>
      </w:r>
      <w:r w:rsidRPr="00F512AC">
        <w:rPr>
          <w:rFonts w:ascii="Arial" w:hAnsi="Arial" w:cs="Arial"/>
          <w:i/>
          <w:sz w:val="20"/>
          <w:szCs w:val="20"/>
        </w:rPr>
        <w:t>Environmental P</w:t>
      </w:r>
      <w:r w:rsidR="00F512AC" w:rsidRPr="00F512AC">
        <w:rPr>
          <w:rFonts w:ascii="Arial" w:hAnsi="Arial" w:cs="Arial"/>
          <w:i/>
          <w:sz w:val="20"/>
          <w:szCs w:val="20"/>
        </w:rPr>
        <w:t>ollution Control Journal</w:t>
      </w:r>
      <w:r w:rsidR="00F512AC">
        <w:rPr>
          <w:rFonts w:ascii="Arial" w:hAnsi="Arial" w:cs="Arial"/>
          <w:sz w:val="20"/>
          <w:szCs w:val="20"/>
        </w:rPr>
        <w:t>, 19(2),</w:t>
      </w:r>
      <w:r w:rsidRPr="009554DE">
        <w:rPr>
          <w:rFonts w:ascii="Arial" w:hAnsi="Arial" w:cs="Arial"/>
          <w:sz w:val="20"/>
          <w:szCs w:val="20"/>
        </w:rPr>
        <w:t xml:space="preserve"> 23–31.</w:t>
      </w:r>
    </w:p>
    <w:p w14:paraId="78034820"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Arya, S., </w:t>
      </w:r>
      <w:r w:rsidR="00F512AC">
        <w:rPr>
          <w:rFonts w:ascii="Arial" w:hAnsi="Arial" w:cs="Arial"/>
          <w:sz w:val="20"/>
          <w:szCs w:val="20"/>
        </w:rPr>
        <w:t>&amp;</w:t>
      </w:r>
      <w:r w:rsidRPr="009554DE">
        <w:rPr>
          <w:rFonts w:ascii="Arial" w:hAnsi="Arial" w:cs="Arial"/>
          <w:sz w:val="20"/>
          <w:szCs w:val="20"/>
        </w:rPr>
        <w:t xml:space="preserve"> Subramani, T. (2015). Groundwater flow </w:t>
      </w:r>
      <w:r w:rsidR="00F512AC">
        <w:rPr>
          <w:rFonts w:ascii="Arial" w:hAnsi="Arial" w:cs="Arial"/>
          <w:sz w:val="20"/>
          <w:szCs w:val="20"/>
        </w:rPr>
        <w:t>&amp;</w:t>
      </w:r>
      <w:r w:rsidRPr="009554DE">
        <w:rPr>
          <w:rFonts w:ascii="Arial" w:hAnsi="Arial" w:cs="Arial"/>
          <w:sz w:val="20"/>
          <w:szCs w:val="20"/>
        </w:rPr>
        <w:t xml:space="preserve"> fluctuation using GIS in a hard rock region, South India. </w:t>
      </w:r>
      <w:r w:rsidRPr="00F512AC">
        <w:rPr>
          <w:rFonts w:ascii="Arial" w:hAnsi="Arial" w:cs="Arial"/>
          <w:i/>
          <w:sz w:val="20"/>
          <w:szCs w:val="20"/>
        </w:rPr>
        <w:t>Indian Journal of Geo-Marine Sciences</w:t>
      </w:r>
      <w:r w:rsidR="00F512AC">
        <w:rPr>
          <w:rFonts w:ascii="Arial" w:hAnsi="Arial" w:cs="Arial"/>
          <w:sz w:val="20"/>
          <w:szCs w:val="20"/>
        </w:rPr>
        <w:t>,</w:t>
      </w:r>
      <w:r w:rsidRPr="009554DE">
        <w:rPr>
          <w:rFonts w:ascii="Arial" w:hAnsi="Arial" w:cs="Arial"/>
          <w:sz w:val="20"/>
          <w:szCs w:val="20"/>
        </w:rPr>
        <w:t xml:space="preserve"> 44(9)</w:t>
      </w:r>
      <w:r w:rsidR="00F512AC">
        <w:rPr>
          <w:rFonts w:ascii="Arial" w:hAnsi="Arial" w:cs="Arial"/>
          <w:sz w:val="20"/>
          <w:szCs w:val="20"/>
        </w:rPr>
        <w:t>,</w:t>
      </w:r>
      <w:r w:rsidRPr="009554DE">
        <w:rPr>
          <w:rFonts w:ascii="Arial" w:hAnsi="Arial" w:cs="Arial"/>
          <w:sz w:val="20"/>
          <w:szCs w:val="20"/>
        </w:rPr>
        <w:t xml:space="preserve"> 1422–1427. </w:t>
      </w:r>
    </w:p>
    <w:p w14:paraId="30F2FE3E"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Arya, S., Vennila, G., </w:t>
      </w:r>
      <w:r w:rsidR="00F512AC">
        <w:rPr>
          <w:rFonts w:ascii="Arial" w:hAnsi="Arial" w:cs="Arial"/>
          <w:sz w:val="20"/>
          <w:szCs w:val="20"/>
        </w:rPr>
        <w:t>&amp;</w:t>
      </w:r>
      <w:r w:rsidRPr="009554DE">
        <w:rPr>
          <w:rFonts w:ascii="Arial" w:hAnsi="Arial" w:cs="Arial"/>
          <w:sz w:val="20"/>
          <w:szCs w:val="20"/>
        </w:rPr>
        <w:t xml:space="preserve"> Subramani, T. (2018). Spatial </w:t>
      </w:r>
      <w:r w:rsidR="00F512AC">
        <w:rPr>
          <w:rFonts w:ascii="Arial" w:hAnsi="Arial" w:cs="Arial"/>
          <w:sz w:val="20"/>
          <w:szCs w:val="20"/>
        </w:rPr>
        <w:t>&amp;</w:t>
      </w:r>
      <w:r w:rsidRPr="009554DE">
        <w:rPr>
          <w:rFonts w:ascii="Arial" w:hAnsi="Arial" w:cs="Arial"/>
          <w:sz w:val="20"/>
          <w:szCs w:val="20"/>
        </w:rPr>
        <w:t xml:space="preserve"> seasonal variation of groundwater levels in Vat </w:t>
      </w:r>
      <w:proofErr w:type="spellStart"/>
      <w:r w:rsidRPr="009554DE">
        <w:rPr>
          <w:rFonts w:ascii="Arial" w:hAnsi="Arial" w:cs="Arial"/>
          <w:sz w:val="20"/>
          <w:szCs w:val="20"/>
        </w:rPr>
        <w:t>tamalaikarai</w:t>
      </w:r>
      <w:proofErr w:type="spellEnd"/>
      <w:r w:rsidRPr="009554DE">
        <w:rPr>
          <w:rFonts w:ascii="Arial" w:hAnsi="Arial" w:cs="Arial"/>
          <w:sz w:val="20"/>
          <w:szCs w:val="20"/>
        </w:rPr>
        <w:t xml:space="preserve"> River basin, Tamil Nadu, India—A study using GIS and GPS. </w:t>
      </w:r>
      <w:r w:rsidRPr="00F512AC">
        <w:rPr>
          <w:rFonts w:ascii="Arial" w:hAnsi="Arial" w:cs="Arial"/>
          <w:i/>
          <w:sz w:val="20"/>
          <w:szCs w:val="20"/>
        </w:rPr>
        <w:t>Indian Journal of Geo Marine Sciences</w:t>
      </w:r>
      <w:r w:rsidR="00F512AC">
        <w:rPr>
          <w:rFonts w:ascii="Arial" w:hAnsi="Arial" w:cs="Arial"/>
          <w:i/>
          <w:sz w:val="20"/>
          <w:szCs w:val="20"/>
        </w:rPr>
        <w:t>,</w:t>
      </w:r>
      <w:r w:rsidRPr="009554DE">
        <w:rPr>
          <w:rFonts w:ascii="Arial" w:hAnsi="Arial" w:cs="Arial"/>
          <w:sz w:val="20"/>
          <w:szCs w:val="20"/>
        </w:rPr>
        <w:t xml:space="preserve"> 47(9)</w:t>
      </w:r>
      <w:r w:rsidR="00F512AC">
        <w:rPr>
          <w:rFonts w:ascii="Arial" w:hAnsi="Arial" w:cs="Arial"/>
          <w:sz w:val="20"/>
          <w:szCs w:val="20"/>
        </w:rPr>
        <w:t>,</w:t>
      </w:r>
      <w:r w:rsidRPr="009554DE">
        <w:rPr>
          <w:rFonts w:ascii="Arial" w:hAnsi="Arial" w:cs="Arial"/>
          <w:sz w:val="20"/>
          <w:szCs w:val="20"/>
        </w:rPr>
        <w:t xml:space="preserve"> 1749–1753.</w:t>
      </w:r>
    </w:p>
    <w:p w14:paraId="75106BDC" w14:textId="77777777" w:rsidR="00DF49A1" w:rsidRPr="009554DE" w:rsidRDefault="00DF49A1" w:rsidP="00DF49A1">
      <w:pPr>
        <w:spacing w:line="360" w:lineRule="auto"/>
        <w:jc w:val="both"/>
        <w:rPr>
          <w:rFonts w:ascii="Arial" w:hAnsi="Arial" w:cs="Arial"/>
          <w:sz w:val="20"/>
          <w:szCs w:val="20"/>
        </w:rPr>
      </w:pPr>
      <w:proofErr w:type="spellStart"/>
      <w:r w:rsidRPr="009554DE">
        <w:rPr>
          <w:rFonts w:ascii="Arial" w:hAnsi="Arial" w:cs="Arial"/>
          <w:sz w:val="20"/>
          <w:szCs w:val="20"/>
        </w:rPr>
        <w:t>Assainar</w:t>
      </w:r>
      <w:proofErr w:type="spellEnd"/>
      <w:r w:rsidRPr="009554DE">
        <w:rPr>
          <w:rFonts w:ascii="Arial" w:hAnsi="Arial" w:cs="Arial"/>
          <w:sz w:val="20"/>
          <w:szCs w:val="20"/>
        </w:rPr>
        <w:t xml:space="preserve">, K. K. R., Joseph, A. </w:t>
      </w:r>
      <w:r w:rsidR="00F512AC">
        <w:rPr>
          <w:rFonts w:ascii="Arial" w:hAnsi="Arial" w:cs="Arial"/>
          <w:sz w:val="20"/>
          <w:szCs w:val="20"/>
        </w:rPr>
        <w:t>&amp;</w:t>
      </w:r>
      <w:r w:rsidRPr="009554DE">
        <w:rPr>
          <w:rFonts w:ascii="Arial" w:hAnsi="Arial" w:cs="Arial"/>
          <w:sz w:val="20"/>
          <w:szCs w:val="20"/>
        </w:rPr>
        <w:t xml:space="preserve"> Sajeena, S. </w:t>
      </w:r>
      <w:r w:rsidR="00A56716">
        <w:rPr>
          <w:rFonts w:ascii="Arial" w:hAnsi="Arial" w:cs="Arial"/>
          <w:sz w:val="20"/>
          <w:szCs w:val="20"/>
        </w:rPr>
        <w:t>(</w:t>
      </w:r>
      <w:r w:rsidRPr="009554DE">
        <w:rPr>
          <w:rFonts w:ascii="Arial" w:hAnsi="Arial" w:cs="Arial"/>
          <w:sz w:val="20"/>
          <w:szCs w:val="20"/>
        </w:rPr>
        <w:t>2023</w:t>
      </w:r>
      <w:r w:rsidR="00A56716">
        <w:rPr>
          <w:rFonts w:ascii="Arial" w:hAnsi="Arial" w:cs="Arial"/>
          <w:sz w:val="20"/>
          <w:szCs w:val="20"/>
        </w:rPr>
        <w:t>)</w:t>
      </w:r>
      <w:r w:rsidRPr="009554DE">
        <w:rPr>
          <w:rFonts w:ascii="Arial" w:hAnsi="Arial" w:cs="Arial"/>
          <w:sz w:val="20"/>
          <w:szCs w:val="20"/>
        </w:rPr>
        <w:t xml:space="preserve">. Trend analysis of groundwater levels in </w:t>
      </w:r>
      <w:proofErr w:type="spellStart"/>
      <w:r w:rsidRPr="009554DE">
        <w:rPr>
          <w:rFonts w:ascii="Arial" w:hAnsi="Arial" w:cs="Arial"/>
          <w:sz w:val="20"/>
          <w:szCs w:val="20"/>
        </w:rPr>
        <w:t>Kalpathypuzha</w:t>
      </w:r>
      <w:proofErr w:type="spellEnd"/>
      <w:r w:rsidRPr="009554DE">
        <w:rPr>
          <w:rFonts w:ascii="Arial" w:hAnsi="Arial" w:cs="Arial"/>
          <w:sz w:val="20"/>
          <w:szCs w:val="20"/>
        </w:rPr>
        <w:t xml:space="preserve"> sub-basin of </w:t>
      </w:r>
      <w:proofErr w:type="spellStart"/>
      <w:r w:rsidRPr="009554DE">
        <w:rPr>
          <w:rFonts w:ascii="Arial" w:hAnsi="Arial" w:cs="Arial"/>
          <w:sz w:val="20"/>
          <w:szCs w:val="20"/>
        </w:rPr>
        <w:t>Bharathapuzha</w:t>
      </w:r>
      <w:proofErr w:type="spellEnd"/>
      <w:r w:rsidRPr="009554DE">
        <w:rPr>
          <w:rFonts w:ascii="Arial" w:hAnsi="Arial" w:cs="Arial"/>
          <w:sz w:val="20"/>
          <w:szCs w:val="20"/>
        </w:rPr>
        <w:t xml:space="preserve">, Kerala, India. </w:t>
      </w:r>
      <w:r w:rsidR="00F512AC">
        <w:rPr>
          <w:rFonts w:ascii="Arial" w:hAnsi="Arial" w:cs="Arial"/>
          <w:i/>
          <w:sz w:val="20"/>
          <w:szCs w:val="20"/>
        </w:rPr>
        <w:t xml:space="preserve">International </w:t>
      </w:r>
      <w:r w:rsidRPr="009554DE">
        <w:rPr>
          <w:rFonts w:ascii="Arial" w:hAnsi="Arial" w:cs="Arial"/>
          <w:i/>
          <w:sz w:val="20"/>
          <w:szCs w:val="20"/>
        </w:rPr>
        <w:t>J</w:t>
      </w:r>
      <w:r w:rsidR="00F512AC">
        <w:rPr>
          <w:rFonts w:ascii="Arial" w:hAnsi="Arial" w:cs="Arial"/>
          <w:i/>
          <w:sz w:val="20"/>
          <w:szCs w:val="20"/>
        </w:rPr>
        <w:t>ournal</w:t>
      </w:r>
      <w:r w:rsidRPr="009554DE">
        <w:rPr>
          <w:rFonts w:ascii="Arial" w:hAnsi="Arial" w:cs="Arial"/>
          <w:i/>
          <w:sz w:val="20"/>
          <w:szCs w:val="20"/>
        </w:rPr>
        <w:t xml:space="preserve"> of Environ</w:t>
      </w:r>
      <w:r w:rsidR="00F512AC">
        <w:rPr>
          <w:rFonts w:ascii="Arial" w:hAnsi="Arial" w:cs="Arial"/>
          <w:i/>
          <w:sz w:val="20"/>
          <w:szCs w:val="20"/>
        </w:rPr>
        <w:t>ment</w:t>
      </w:r>
      <w:r w:rsidRPr="009554DE">
        <w:rPr>
          <w:rFonts w:ascii="Arial" w:hAnsi="Arial" w:cs="Arial"/>
          <w:i/>
          <w:sz w:val="20"/>
          <w:szCs w:val="20"/>
        </w:rPr>
        <w:t xml:space="preserve"> and Climate Change</w:t>
      </w:r>
      <w:r w:rsidR="00F512AC">
        <w:rPr>
          <w:rFonts w:ascii="Arial" w:hAnsi="Arial" w:cs="Arial"/>
          <w:i/>
          <w:sz w:val="20"/>
          <w:szCs w:val="20"/>
        </w:rPr>
        <w:t>,</w:t>
      </w:r>
      <w:r w:rsidRPr="009554DE">
        <w:rPr>
          <w:rFonts w:ascii="Arial" w:hAnsi="Arial" w:cs="Arial"/>
          <w:i/>
          <w:sz w:val="20"/>
          <w:szCs w:val="20"/>
        </w:rPr>
        <w:t xml:space="preserve"> </w:t>
      </w:r>
      <w:r w:rsidRPr="009554DE">
        <w:rPr>
          <w:rFonts w:ascii="Arial" w:hAnsi="Arial" w:cs="Arial"/>
          <w:sz w:val="20"/>
          <w:szCs w:val="20"/>
        </w:rPr>
        <w:t>13</w:t>
      </w:r>
      <w:r w:rsidR="00F512AC">
        <w:rPr>
          <w:rFonts w:ascii="Arial" w:hAnsi="Arial" w:cs="Arial"/>
          <w:sz w:val="20"/>
          <w:szCs w:val="20"/>
        </w:rPr>
        <w:t xml:space="preserve"> (9),</w:t>
      </w:r>
      <w:r w:rsidRPr="009554DE">
        <w:rPr>
          <w:rFonts w:ascii="Arial" w:hAnsi="Arial" w:cs="Arial"/>
          <w:sz w:val="20"/>
          <w:szCs w:val="20"/>
        </w:rPr>
        <w:t xml:space="preserve"> 1145-1157. </w:t>
      </w:r>
    </w:p>
    <w:p w14:paraId="1206C0E0"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Basistha, A., Arya, D. S., </w:t>
      </w:r>
      <w:r w:rsidR="00F512AC">
        <w:rPr>
          <w:rFonts w:ascii="Arial" w:hAnsi="Arial" w:cs="Arial"/>
          <w:sz w:val="20"/>
          <w:szCs w:val="20"/>
        </w:rPr>
        <w:t>&amp;</w:t>
      </w:r>
      <w:r w:rsidRPr="009554DE">
        <w:rPr>
          <w:rFonts w:ascii="Arial" w:hAnsi="Arial" w:cs="Arial"/>
          <w:sz w:val="20"/>
          <w:szCs w:val="20"/>
        </w:rPr>
        <w:t xml:space="preserve"> Goel, N. K. (2009). Analysis of historical changes in precipitation in the Indian Himalayas. </w:t>
      </w:r>
      <w:r w:rsidRPr="00F512AC">
        <w:rPr>
          <w:rFonts w:ascii="Arial" w:hAnsi="Arial" w:cs="Arial"/>
          <w:i/>
          <w:sz w:val="20"/>
          <w:szCs w:val="20"/>
        </w:rPr>
        <w:t>Inter</w:t>
      </w:r>
      <w:r w:rsidR="00F512AC" w:rsidRPr="00F512AC">
        <w:rPr>
          <w:rFonts w:ascii="Arial" w:hAnsi="Arial" w:cs="Arial"/>
          <w:i/>
          <w:sz w:val="20"/>
          <w:szCs w:val="20"/>
        </w:rPr>
        <w:t>national Journal of Climatology</w:t>
      </w:r>
      <w:r w:rsidR="00F512AC">
        <w:rPr>
          <w:rFonts w:ascii="Arial" w:hAnsi="Arial" w:cs="Arial"/>
          <w:sz w:val="20"/>
          <w:szCs w:val="20"/>
        </w:rPr>
        <w:t>, 29(4),</w:t>
      </w:r>
      <w:r w:rsidRPr="009554DE">
        <w:rPr>
          <w:rFonts w:ascii="Arial" w:hAnsi="Arial" w:cs="Arial"/>
          <w:sz w:val="20"/>
          <w:szCs w:val="20"/>
        </w:rPr>
        <w:t xml:space="preserve"> 555–572.</w:t>
      </w:r>
    </w:p>
    <w:p w14:paraId="2821FEDC"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lastRenderedPageBreak/>
        <w:t xml:space="preserve">Burn, D. H., </w:t>
      </w:r>
      <w:r w:rsidR="00F512AC">
        <w:rPr>
          <w:rFonts w:ascii="Arial" w:hAnsi="Arial" w:cs="Arial"/>
          <w:sz w:val="20"/>
          <w:szCs w:val="20"/>
        </w:rPr>
        <w:t>&amp;</w:t>
      </w:r>
      <w:r w:rsidRPr="009554DE">
        <w:rPr>
          <w:rFonts w:ascii="Arial" w:hAnsi="Arial" w:cs="Arial"/>
          <w:sz w:val="20"/>
          <w:szCs w:val="20"/>
        </w:rPr>
        <w:t xml:space="preserve"> Elnur, M. A. H. (2002). Detection of hydrologic trends and variability. </w:t>
      </w:r>
      <w:r w:rsidRPr="00F512AC">
        <w:rPr>
          <w:rFonts w:ascii="Arial" w:hAnsi="Arial" w:cs="Arial"/>
          <w:i/>
          <w:sz w:val="20"/>
          <w:szCs w:val="20"/>
        </w:rPr>
        <w:t>Journal of Hydrology</w:t>
      </w:r>
      <w:r w:rsidR="00F512AC">
        <w:rPr>
          <w:rFonts w:ascii="Arial" w:hAnsi="Arial" w:cs="Arial"/>
          <w:sz w:val="20"/>
          <w:szCs w:val="20"/>
        </w:rPr>
        <w:t>. 255,</w:t>
      </w:r>
      <w:r w:rsidRPr="009554DE">
        <w:rPr>
          <w:rFonts w:ascii="Arial" w:hAnsi="Arial" w:cs="Arial"/>
          <w:sz w:val="20"/>
          <w:szCs w:val="20"/>
        </w:rPr>
        <w:t xml:space="preserve"> 107–122.</w:t>
      </w:r>
    </w:p>
    <w:p w14:paraId="3B3AFB37"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Central Ground Water Board (CGWB). (2014). Groundwater booklet of Palakkad district, Kerala. Ministry of Water Resources, Government of India.</w:t>
      </w:r>
    </w:p>
    <w:p w14:paraId="60C436C8"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Central Ground Water Board (CGWB). (2020). Ground Water Year Book - Kerala State 2019–20. Ministry of Jal Shakti, Government of India.</w:t>
      </w:r>
    </w:p>
    <w:p w14:paraId="627693A3"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Duhan, D., </w:t>
      </w:r>
      <w:r w:rsidR="00F512AC">
        <w:rPr>
          <w:rFonts w:ascii="Arial" w:hAnsi="Arial" w:cs="Arial"/>
          <w:sz w:val="20"/>
          <w:szCs w:val="20"/>
        </w:rPr>
        <w:t>&amp;</w:t>
      </w:r>
      <w:r w:rsidRPr="009554DE">
        <w:rPr>
          <w:rFonts w:ascii="Arial" w:hAnsi="Arial" w:cs="Arial"/>
          <w:sz w:val="20"/>
          <w:szCs w:val="20"/>
        </w:rPr>
        <w:t xml:space="preserve"> Pandey, A. (2013). Statistical analysis of long term spatial and temporal trends of precipita</w:t>
      </w:r>
      <w:r w:rsidR="00F512AC">
        <w:rPr>
          <w:rFonts w:ascii="Arial" w:hAnsi="Arial" w:cs="Arial"/>
          <w:sz w:val="20"/>
          <w:szCs w:val="20"/>
        </w:rPr>
        <w:t>tion</w:t>
      </w:r>
      <w:r w:rsidRPr="009554DE">
        <w:rPr>
          <w:rFonts w:ascii="Arial" w:hAnsi="Arial" w:cs="Arial"/>
          <w:sz w:val="20"/>
          <w:szCs w:val="20"/>
        </w:rPr>
        <w:t xml:space="preserve"> during 1901–2002 at Madhya Pradesh, India. </w:t>
      </w:r>
      <w:r w:rsidRPr="00F512AC">
        <w:rPr>
          <w:rFonts w:ascii="Arial" w:hAnsi="Arial" w:cs="Arial"/>
          <w:i/>
          <w:sz w:val="20"/>
          <w:szCs w:val="20"/>
        </w:rPr>
        <w:t>Atmospheric Research.</w:t>
      </w:r>
      <w:r w:rsidR="00F512AC">
        <w:rPr>
          <w:rFonts w:ascii="Arial" w:hAnsi="Arial" w:cs="Arial"/>
          <w:sz w:val="20"/>
          <w:szCs w:val="20"/>
        </w:rPr>
        <w:t xml:space="preserve"> 122,</w:t>
      </w:r>
      <w:r w:rsidRPr="009554DE">
        <w:rPr>
          <w:rFonts w:ascii="Arial" w:hAnsi="Arial" w:cs="Arial"/>
          <w:sz w:val="20"/>
          <w:szCs w:val="20"/>
        </w:rPr>
        <w:t xml:space="preserve"> 136–149.</w:t>
      </w:r>
    </w:p>
    <w:p w14:paraId="7A0AAD27"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Gemmer, M., Becker, S., </w:t>
      </w:r>
      <w:r w:rsidR="00F512AC">
        <w:rPr>
          <w:rFonts w:ascii="Arial" w:hAnsi="Arial" w:cs="Arial"/>
          <w:sz w:val="20"/>
          <w:szCs w:val="20"/>
        </w:rPr>
        <w:t>&amp;</w:t>
      </w:r>
      <w:r w:rsidRPr="009554DE">
        <w:rPr>
          <w:rFonts w:ascii="Arial" w:hAnsi="Arial" w:cs="Arial"/>
          <w:sz w:val="20"/>
          <w:szCs w:val="20"/>
        </w:rPr>
        <w:t xml:space="preserve"> Jiang, T. (2004). Observed monthly precipitation trends in China 1951–2002. </w:t>
      </w:r>
      <w:r w:rsidRPr="00F512AC">
        <w:rPr>
          <w:rFonts w:ascii="Arial" w:hAnsi="Arial" w:cs="Arial"/>
          <w:i/>
          <w:sz w:val="20"/>
          <w:szCs w:val="20"/>
        </w:rPr>
        <w:t>Theoretical and Applied Climatology.</w:t>
      </w:r>
      <w:r w:rsidR="00F512AC">
        <w:rPr>
          <w:rFonts w:ascii="Arial" w:hAnsi="Arial" w:cs="Arial"/>
          <w:sz w:val="20"/>
          <w:szCs w:val="20"/>
        </w:rPr>
        <w:t xml:space="preserve"> 77,</w:t>
      </w:r>
      <w:r w:rsidRPr="009554DE">
        <w:rPr>
          <w:rFonts w:ascii="Arial" w:hAnsi="Arial" w:cs="Arial"/>
          <w:sz w:val="20"/>
          <w:szCs w:val="20"/>
        </w:rPr>
        <w:t xml:space="preserve"> 39–45. </w:t>
      </w:r>
    </w:p>
    <w:p w14:paraId="06A1A250"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Goyal, S. K., Chaudhary, B. S., Singh, O., Sethi, G. K., </w:t>
      </w:r>
      <w:r w:rsidR="00F512AC">
        <w:rPr>
          <w:rFonts w:ascii="Arial" w:hAnsi="Arial" w:cs="Arial"/>
          <w:sz w:val="20"/>
          <w:szCs w:val="20"/>
        </w:rPr>
        <w:t>&amp;</w:t>
      </w:r>
      <w:r w:rsidRPr="009554DE">
        <w:rPr>
          <w:rFonts w:ascii="Arial" w:hAnsi="Arial" w:cs="Arial"/>
          <w:sz w:val="20"/>
          <w:szCs w:val="20"/>
        </w:rPr>
        <w:t xml:space="preserve"> Thakur, P. K. (2010). Variability analysis of groundwater levels—A GIS based case study. </w:t>
      </w:r>
      <w:r w:rsidRPr="00F512AC">
        <w:rPr>
          <w:rFonts w:ascii="Arial" w:hAnsi="Arial" w:cs="Arial"/>
          <w:i/>
          <w:sz w:val="20"/>
          <w:szCs w:val="20"/>
        </w:rPr>
        <w:t>Journal of the Indian Society of Remote Sensing</w:t>
      </w:r>
      <w:r w:rsidR="00F512AC">
        <w:rPr>
          <w:rFonts w:ascii="Arial" w:hAnsi="Arial" w:cs="Arial"/>
          <w:sz w:val="20"/>
          <w:szCs w:val="20"/>
        </w:rPr>
        <w:t>, 38(2),</w:t>
      </w:r>
      <w:r w:rsidRPr="009554DE">
        <w:rPr>
          <w:rFonts w:ascii="Arial" w:hAnsi="Arial" w:cs="Arial"/>
          <w:sz w:val="20"/>
          <w:szCs w:val="20"/>
        </w:rPr>
        <w:t xml:space="preserve"> 355–364. </w:t>
      </w:r>
    </w:p>
    <w:p w14:paraId="01DC9555" w14:textId="77777777" w:rsidR="00DF49A1" w:rsidRPr="009554DE" w:rsidRDefault="00DF49A1" w:rsidP="00DF49A1">
      <w:pPr>
        <w:pStyle w:val="NormalWeb"/>
        <w:spacing w:line="360" w:lineRule="auto"/>
        <w:jc w:val="both"/>
        <w:rPr>
          <w:rFonts w:ascii="Arial" w:hAnsi="Arial" w:cs="Arial"/>
          <w:sz w:val="20"/>
          <w:szCs w:val="20"/>
        </w:rPr>
      </w:pPr>
      <w:proofErr w:type="spellStart"/>
      <w:r w:rsidRPr="009554DE">
        <w:rPr>
          <w:rFonts w:ascii="Arial" w:hAnsi="Arial" w:cs="Arial"/>
          <w:sz w:val="20"/>
          <w:szCs w:val="20"/>
        </w:rPr>
        <w:t>Gunarathana</w:t>
      </w:r>
      <w:proofErr w:type="spellEnd"/>
      <w:r w:rsidRPr="009554DE">
        <w:rPr>
          <w:rFonts w:ascii="Arial" w:hAnsi="Arial" w:cs="Arial"/>
          <w:sz w:val="20"/>
          <w:szCs w:val="20"/>
        </w:rPr>
        <w:t xml:space="preserve">, M. H. J. P., </w:t>
      </w:r>
      <w:proofErr w:type="spellStart"/>
      <w:r w:rsidRPr="009554DE">
        <w:rPr>
          <w:rFonts w:ascii="Arial" w:hAnsi="Arial" w:cs="Arial"/>
          <w:sz w:val="20"/>
          <w:szCs w:val="20"/>
        </w:rPr>
        <w:t>Nirmanee</w:t>
      </w:r>
      <w:proofErr w:type="spellEnd"/>
      <w:r w:rsidRPr="009554DE">
        <w:rPr>
          <w:rFonts w:ascii="Arial" w:hAnsi="Arial" w:cs="Arial"/>
          <w:sz w:val="20"/>
          <w:szCs w:val="20"/>
        </w:rPr>
        <w:t xml:space="preserve">, K. G. S., </w:t>
      </w:r>
      <w:r w:rsidR="00F512AC">
        <w:rPr>
          <w:rFonts w:ascii="Arial" w:hAnsi="Arial" w:cs="Arial"/>
          <w:sz w:val="20"/>
          <w:szCs w:val="20"/>
        </w:rPr>
        <w:t>&amp;</w:t>
      </w:r>
      <w:r w:rsidRPr="009554DE">
        <w:rPr>
          <w:rFonts w:ascii="Arial" w:hAnsi="Arial" w:cs="Arial"/>
          <w:sz w:val="20"/>
          <w:szCs w:val="20"/>
        </w:rPr>
        <w:t xml:space="preserve"> Kumari, M. K. N. (2016). Geostatistical analysis of spatial and seasonal variation of groundwater level: A comprehensive study in </w:t>
      </w:r>
      <w:proofErr w:type="spellStart"/>
      <w:r w:rsidRPr="009554DE">
        <w:rPr>
          <w:rFonts w:ascii="Arial" w:hAnsi="Arial" w:cs="Arial"/>
          <w:sz w:val="20"/>
          <w:szCs w:val="20"/>
        </w:rPr>
        <w:t>Malwathu</w:t>
      </w:r>
      <w:proofErr w:type="spellEnd"/>
      <w:r w:rsidRPr="009554DE">
        <w:rPr>
          <w:rFonts w:ascii="Arial" w:hAnsi="Arial" w:cs="Arial"/>
          <w:sz w:val="20"/>
          <w:szCs w:val="20"/>
        </w:rPr>
        <w:t xml:space="preserve"> </w:t>
      </w:r>
      <w:proofErr w:type="spellStart"/>
      <w:r w:rsidRPr="009554DE">
        <w:rPr>
          <w:rFonts w:ascii="Arial" w:hAnsi="Arial" w:cs="Arial"/>
          <w:sz w:val="20"/>
          <w:szCs w:val="20"/>
        </w:rPr>
        <w:t>Oya</w:t>
      </w:r>
      <w:proofErr w:type="spellEnd"/>
      <w:r w:rsidRPr="009554DE">
        <w:rPr>
          <w:rFonts w:ascii="Arial" w:hAnsi="Arial" w:cs="Arial"/>
          <w:sz w:val="20"/>
          <w:szCs w:val="20"/>
        </w:rPr>
        <w:t xml:space="preserve"> cascade-I, Anu </w:t>
      </w:r>
      <w:proofErr w:type="spellStart"/>
      <w:r w:rsidRPr="009554DE">
        <w:rPr>
          <w:rFonts w:ascii="Arial" w:hAnsi="Arial" w:cs="Arial"/>
          <w:sz w:val="20"/>
          <w:szCs w:val="20"/>
        </w:rPr>
        <w:t>radhapura</w:t>
      </w:r>
      <w:proofErr w:type="spellEnd"/>
      <w:r w:rsidRPr="009554DE">
        <w:rPr>
          <w:rFonts w:ascii="Arial" w:hAnsi="Arial" w:cs="Arial"/>
          <w:sz w:val="20"/>
          <w:szCs w:val="20"/>
        </w:rPr>
        <w:t xml:space="preserve">, </w:t>
      </w:r>
      <w:proofErr w:type="spellStart"/>
      <w:r w:rsidRPr="009554DE">
        <w:rPr>
          <w:rFonts w:ascii="Arial" w:hAnsi="Arial" w:cs="Arial"/>
          <w:sz w:val="20"/>
          <w:szCs w:val="20"/>
        </w:rPr>
        <w:t>Srilanka</w:t>
      </w:r>
      <w:proofErr w:type="spellEnd"/>
      <w:r w:rsidRPr="009554DE">
        <w:rPr>
          <w:rFonts w:ascii="Arial" w:hAnsi="Arial" w:cs="Arial"/>
          <w:sz w:val="20"/>
          <w:szCs w:val="20"/>
        </w:rPr>
        <w:t xml:space="preserve">. </w:t>
      </w:r>
      <w:r w:rsidRPr="00F512AC">
        <w:rPr>
          <w:rFonts w:ascii="Arial" w:hAnsi="Arial" w:cs="Arial"/>
          <w:i/>
          <w:sz w:val="20"/>
          <w:szCs w:val="20"/>
        </w:rPr>
        <w:t>International Research Journal of Environment Sciences</w:t>
      </w:r>
      <w:r w:rsidR="00F512AC">
        <w:rPr>
          <w:rFonts w:ascii="Arial" w:hAnsi="Arial" w:cs="Arial"/>
          <w:sz w:val="20"/>
          <w:szCs w:val="20"/>
        </w:rPr>
        <w:t>,</w:t>
      </w:r>
      <w:r w:rsidRPr="009554DE">
        <w:rPr>
          <w:rFonts w:ascii="Arial" w:hAnsi="Arial" w:cs="Arial"/>
          <w:sz w:val="20"/>
          <w:szCs w:val="20"/>
        </w:rPr>
        <w:t xml:space="preserve"> 5(8)</w:t>
      </w:r>
      <w:r w:rsidR="00F512AC">
        <w:rPr>
          <w:rFonts w:ascii="Arial" w:hAnsi="Arial" w:cs="Arial"/>
          <w:sz w:val="20"/>
          <w:szCs w:val="20"/>
        </w:rPr>
        <w:t>,</w:t>
      </w:r>
      <w:r w:rsidRPr="009554DE">
        <w:rPr>
          <w:rFonts w:ascii="Arial" w:hAnsi="Arial" w:cs="Arial"/>
          <w:sz w:val="20"/>
          <w:szCs w:val="20"/>
        </w:rPr>
        <w:t xml:space="preserve"> 29–36.</w:t>
      </w:r>
    </w:p>
    <w:p w14:paraId="06598F30"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Jasechko, S., </w:t>
      </w:r>
      <w:r w:rsidR="00F512AC">
        <w:rPr>
          <w:rFonts w:ascii="Arial" w:hAnsi="Arial" w:cs="Arial"/>
          <w:sz w:val="20"/>
          <w:szCs w:val="20"/>
        </w:rPr>
        <w:t>&amp;</w:t>
      </w:r>
      <w:r w:rsidRPr="009554DE">
        <w:rPr>
          <w:rFonts w:ascii="Arial" w:hAnsi="Arial" w:cs="Arial"/>
          <w:sz w:val="20"/>
          <w:szCs w:val="20"/>
        </w:rPr>
        <w:t xml:space="preserve"> Perrone, D. </w:t>
      </w:r>
      <w:r w:rsidR="00A56716">
        <w:rPr>
          <w:rFonts w:ascii="Arial" w:hAnsi="Arial" w:cs="Arial"/>
          <w:sz w:val="20"/>
          <w:szCs w:val="20"/>
        </w:rPr>
        <w:t>(</w:t>
      </w:r>
      <w:r w:rsidRPr="009554DE">
        <w:rPr>
          <w:rFonts w:ascii="Arial" w:hAnsi="Arial" w:cs="Arial"/>
          <w:sz w:val="20"/>
          <w:szCs w:val="20"/>
        </w:rPr>
        <w:t>2021</w:t>
      </w:r>
      <w:r w:rsidR="00A56716">
        <w:rPr>
          <w:rFonts w:ascii="Arial" w:hAnsi="Arial" w:cs="Arial"/>
          <w:sz w:val="20"/>
          <w:szCs w:val="20"/>
        </w:rPr>
        <w:t>)</w:t>
      </w:r>
      <w:r w:rsidRPr="009554DE">
        <w:rPr>
          <w:rFonts w:ascii="Arial" w:hAnsi="Arial" w:cs="Arial"/>
          <w:sz w:val="20"/>
          <w:szCs w:val="20"/>
        </w:rPr>
        <w:t xml:space="preserve">. Global groundwater wells at risk of running dry. </w:t>
      </w:r>
      <w:r w:rsidRPr="00F512AC">
        <w:rPr>
          <w:rFonts w:ascii="Arial" w:hAnsi="Arial" w:cs="Arial"/>
          <w:i/>
          <w:sz w:val="20"/>
          <w:szCs w:val="20"/>
        </w:rPr>
        <w:t>Science</w:t>
      </w:r>
      <w:r w:rsidR="00F512AC">
        <w:rPr>
          <w:rFonts w:ascii="Arial" w:hAnsi="Arial" w:cs="Arial"/>
          <w:sz w:val="20"/>
          <w:szCs w:val="20"/>
        </w:rPr>
        <w:t>,</w:t>
      </w:r>
      <w:r w:rsidRPr="009554DE">
        <w:rPr>
          <w:rFonts w:ascii="Arial" w:hAnsi="Arial" w:cs="Arial"/>
          <w:sz w:val="20"/>
          <w:szCs w:val="20"/>
        </w:rPr>
        <w:t xml:space="preserve"> 372 (6540)</w:t>
      </w:r>
      <w:r w:rsidR="00F512AC">
        <w:rPr>
          <w:rFonts w:ascii="Arial" w:hAnsi="Arial" w:cs="Arial"/>
          <w:sz w:val="20"/>
          <w:szCs w:val="20"/>
        </w:rPr>
        <w:t>,</w:t>
      </w:r>
      <w:r w:rsidRPr="009554DE">
        <w:rPr>
          <w:rFonts w:ascii="Arial" w:hAnsi="Arial" w:cs="Arial"/>
          <w:sz w:val="20"/>
          <w:szCs w:val="20"/>
        </w:rPr>
        <w:t xml:space="preserve"> 418–421.</w:t>
      </w:r>
    </w:p>
    <w:p w14:paraId="34D6C57C"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Jasechko, S., Seybold, H., Perrone, D., Fan, Y., </w:t>
      </w:r>
      <w:proofErr w:type="spellStart"/>
      <w:r w:rsidRPr="009554DE">
        <w:rPr>
          <w:rFonts w:ascii="Arial" w:hAnsi="Arial" w:cs="Arial"/>
          <w:sz w:val="20"/>
          <w:szCs w:val="20"/>
        </w:rPr>
        <w:t>Shamsudduha</w:t>
      </w:r>
      <w:proofErr w:type="spellEnd"/>
      <w:r w:rsidRPr="009554DE">
        <w:rPr>
          <w:rFonts w:ascii="Arial" w:hAnsi="Arial" w:cs="Arial"/>
          <w:sz w:val="20"/>
          <w:szCs w:val="20"/>
        </w:rPr>
        <w:t xml:space="preserve">, M., Taylor, R. G., Fallatah, O., </w:t>
      </w:r>
      <w:r w:rsidR="00F512AC">
        <w:rPr>
          <w:rFonts w:ascii="Arial" w:hAnsi="Arial" w:cs="Arial"/>
          <w:sz w:val="20"/>
          <w:szCs w:val="20"/>
        </w:rPr>
        <w:t>&amp;</w:t>
      </w:r>
      <w:r w:rsidRPr="009554DE">
        <w:rPr>
          <w:rFonts w:ascii="Arial" w:hAnsi="Arial" w:cs="Arial"/>
          <w:sz w:val="20"/>
          <w:szCs w:val="20"/>
        </w:rPr>
        <w:t xml:space="preserve"> Kirchner, J. W. </w:t>
      </w:r>
      <w:r w:rsidR="00A56716">
        <w:rPr>
          <w:rFonts w:ascii="Arial" w:hAnsi="Arial" w:cs="Arial"/>
          <w:sz w:val="20"/>
          <w:szCs w:val="20"/>
        </w:rPr>
        <w:t>(</w:t>
      </w:r>
      <w:r w:rsidRPr="009554DE">
        <w:rPr>
          <w:rFonts w:ascii="Arial" w:hAnsi="Arial" w:cs="Arial"/>
          <w:sz w:val="20"/>
          <w:szCs w:val="20"/>
        </w:rPr>
        <w:t>2024</w:t>
      </w:r>
      <w:r w:rsidR="00A56716">
        <w:rPr>
          <w:rFonts w:ascii="Arial" w:hAnsi="Arial" w:cs="Arial"/>
          <w:sz w:val="20"/>
          <w:szCs w:val="20"/>
        </w:rPr>
        <w:t>)</w:t>
      </w:r>
      <w:r w:rsidRPr="009554DE">
        <w:rPr>
          <w:rFonts w:ascii="Arial" w:hAnsi="Arial" w:cs="Arial"/>
          <w:sz w:val="20"/>
          <w:szCs w:val="20"/>
        </w:rPr>
        <w:t xml:space="preserve">. Rapid groundwater decline and some cases of recovery in aquifers globally. </w:t>
      </w:r>
      <w:r w:rsidRPr="00F512AC">
        <w:rPr>
          <w:rFonts w:ascii="Arial" w:hAnsi="Arial" w:cs="Arial"/>
          <w:i/>
          <w:sz w:val="20"/>
          <w:szCs w:val="20"/>
        </w:rPr>
        <w:t>Nature</w:t>
      </w:r>
      <w:r w:rsidRPr="009554DE">
        <w:rPr>
          <w:rFonts w:ascii="Arial" w:hAnsi="Arial" w:cs="Arial"/>
          <w:sz w:val="20"/>
          <w:szCs w:val="20"/>
        </w:rPr>
        <w:t>, 625(7996)</w:t>
      </w:r>
      <w:r w:rsidR="00F512AC">
        <w:rPr>
          <w:rFonts w:ascii="Arial" w:hAnsi="Arial" w:cs="Arial"/>
          <w:sz w:val="20"/>
          <w:szCs w:val="20"/>
        </w:rPr>
        <w:t>,</w:t>
      </w:r>
      <w:r w:rsidRPr="009554DE">
        <w:rPr>
          <w:rFonts w:ascii="Arial" w:hAnsi="Arial" w:cs="Arial"/>
          <w:sz w:val="20"/>
          <w:szCs w:val="20"/>
        </w:rPr>
        <w:t xml:space="preserve"> 715–721.</w:t>
      </w:r>
    </w:p>
    <w:p w14:paraId="2E62F47D"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Karunanidhi, D., Vennila, G., &amp; Suresh, M. (2012). GIS approach for rainfall fluctuation study in Omalur Taluk, Salem District, Tamil Nadu, India. </w:t>
      </w:r>
      <w:r w:rsidRPr="00B035FF">
        <w:rPr>
          <w:rFonts w:ascii="Arial" w:hAnsi="Arial" w:cs="Arial"/>
          <w:i/>
          <w:sz w:val="20"/>
          <w:szCs w:val="20"/>
        </w:rPr>
        <w:t>Pollution Research</w:t>
      </w:r>
      <w:r w:rsidR="00B035FF">
        <w:rPr>
          <w:rFonts w:ascii="Arial" w:hAnsi="Arial" w:cs="Arial"/>
          <w:sz w:val="20"/>
          <w:szCs w:val="20"/>
        </w:rPr>
        <w:t>, 31(3),</w:t>
      </w:r>
      <w:r w:rsidRPr="009554DE">
        <w:rPr>
          <w:rFonts w:ascii="Arial" w:hAnsi="Arial" w:cs="Arial"/>
          <w:sz w:val="20"/>
          <w:szCs w:val="20"/>
        </w:rPr>
        <w:t xml:space="preserve"> 493–497.</w:t>
      </w:r>
    </w:p>
    <w:p w14:paraId="254A30D2"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Kendall, M. G. (1975). Rank correlation methods. Griffin, London. http://www.sciencedirect.com/science/ </w:t>
      </w:r>
      <w:proofErr w:type="spellStart"/>
      <w:r w:rsidRPr="009554DE">
        <w:rPr>
          <w:rFonts w:ascii="Arial" w:hAnsi="Arial" w:cs="Arial"/>
          <w:sz w:val="20"/>
          <w:szCs w:val="20"/>
        </w:rPr>
        <w:t>refhub</w:t>
      </w:r>
      <w:proofErr w:type="spellEnd"/>
      <w:r w:rsidRPr="009554DE">
        <w:rPr>
          <w:rFonts w:ascii="Arial" w:hAnsi="Arial" w:cs="Arial"/>
          <w:sz w:val="20"/>
          <w:szCs w:val="20"/>
        </w:rPr>
        <w:t>/S0895-9811(15)00014-0/sref18.</w:t>
      </w:r>
    </w:p>
    <w:p w14:paraId="2A3FBC79" w14:textId="77777777" w:rsidR="00DF49A1" w:rsidRPr="009554DE" w:rsidRDefault="00DF49A1" w:rsidP="00DF49A1">
      <w:pPr>
        <w:pStyle w:val="NormalWeb"/>
        <w:spacing w:line="360" w:lineRule="auto"/>
        <w:jc w:val="both"/>
        <w:rPr>
          <w:rFonts w:ascii="Arial" w:hAnsi="Arial" w:cs="Arial"/>
          <w:sz w:val="20"/>
          <w:szCs w:val="20"/>
        </w:rPr>
      </w:pPr>
      <w:proofErr w:type="spellStart"/>
      <w:r w:rsidRPr="009554DE">
        <w:rPr>
          <w:rFonts w:ascii="Arial" w:hAnsi="Arial" w:cs="Arial"/>
          <w:sz w:val="20"/>
          <w:szCs w:val="20"/>
        </w:rPr>
        <w:t>Kshetrimayum</w:t>
      </w:r>
      <w:proofErr w:type="spellEnd"/>
      <w:r w:rsidRPr="009554DE">
        <w:rPr>
          <w:rFonts w:ascii="Arial" w:hAnsi="Arial" w:cs="Arial"/>
          <w:sz w:val="20"/>
          <w:szCs w:val="20"/>
        </w:rPr>
        <w:t xml:space="preserve">, K. S., </w:t>
      </w:r>
      <w:r w:rsidR="00F512AC">
        <w:rPr>
          <w:rFonts w:ascii="Arial" w:hAnsi="Arial" w:cs="Arial"/>
          <w:sz w:val="20"/>
          <w:szCs w:val="20"/>
        </w:rPr>
        <w:t>&amp;</w:t>
      </w:r>
      <w:r w:rsidRPr="009554DE">
        <w:rPr>
          <w:rFonts w:ascii="Arial" w:hAnsi="Arial" w:cs="Arial"/>
          <w:sz w:val="20"/>
          <w:szCs w:val="20"/>
        </w:rPr>
        <w:t xml:space="preserve"> Bajpai, V. N. (2012). Assessment of groundwater quality for irrigation use and evolution of </w:t>
      </w:r>
      <w:proofErr w:type="spellStart"/>
      <w:r w:rsidRPr="009554DE">
        <w:rPr>
          <w:rFonts w:ascii="Arial" w:hAnsi="Arial" w:cs="Arial"/>
          <w:sz w:val="20"/>
          <w:szCs w:val="20"/>
        </w:rPr>
        <w:t>hydrochemical</w:t>
      </w:r>
      <w:proofErr w:type="spellEnd"/>
      <w:r w:rsidRPr="009554DE">
        <w:rPr>
          <w:rFonts w:ascii="Arial" w:hAnsi="Arial" w:cs="Arial"/>
          <w:sz w:val="20"/>
          <w:szCs w:val="20"/>
        </w:rPr>
        <w:t xml:space="preserve"> facies in </w:t>
      </w:r>
      <w:proofErr w:type="spellStart"/>
      <w:r w:rsidRPr="009554DE">
        <w:rPr>
          <w:rFonts w:ascii="Arial" w:hAnsi="Arial" w:cs="Arial"/>
          <w:sz w:val="20"/>
          <w:szCs w:val="20"/>
        </w:rPr>
        <w:t>Markanda</w:t>
      </w:r>
      <w:proofErr w:type="spellEnd"/>
      <w:r w:rsidRPr="009554DE">
        <w:rPr>
          <w:rFonts w:ascii="Arial" w:hAnsi="Arial" w:cs="Arial"/>
          <w:sz w:val="20"/>
          <w:szCs w:val="20"/>
        </w:rPr>
        <w:t xml:space="preserve"> river basin, north western India. </w:t>
      </w:r>
      <w:r w:rsidRPr="00B035FF">
        <w:rPr>
          <w:rFonts w:ascii="Arial" w:hAnsi="Arial" w:cs="Arial"/>
          <w:i/>
          <w:sz w:val="20"/>
          <w:szCs w:val="20"/>
        </w:rPr>
        <w:t>Journal of the Geological Society of India</w:t>
      </w:r>
      <w:r w:rsidR="00B035FF">
        <w:rPr>
          <w:rFonts w:ascii="Arial" w:hAnsi="Arial" w:cs="Arial"/>
          <w:i/>
          <w:sz w:val="20"/>
          <w:szCs w:val="20"/>
        </w:rPr>
        <w:t>,</w:t>
      </w:r>
      <w:r w:rsidR="00B035FF">
        <w:rPr>
          <w:rFonts w:ascii="Arial" w:hAnsi="Arial" w:cs="Arial"/>
          <w:sz w:val="20"/>
          <w:szCs w:val="20"/>
        </w:rPr>
        <w:t xml:space="preserve"> 79,</w:t>
      </w:r>
      <w:r w:rsidRPr="009554DE">
        <w:rPr>
          <w:rFonts w:ascii="Arial" w:hAnsi="Arial" w:cs="Arial"/>
          <w:sz w:val="20"/>
          <w:szCs w:val="20"/>
        </w:rPr>
        <w:t xml:space="preserve"> 189–198.</w:t>
      </w:r>
    </w:p>
    <w:p w14:paraId="6A2E376C"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lastRenderedPageBreak/>
        <w:t xml:space="preserve">Kumar, P., </w:t>
      </w:r>
      <w:proofErr w:type="spellStart"/>
      <w:r w:rsidRPr="009554DE">
        <w:rPr>
          <w:rFonts w:ascii="Arial" w:hAnsi="Arial" w:cs="Arial"/>
          <w:sz w:val="20"/>
          <w:szCs w:val="20"/>
        </w:rPr>
        <w:t>Chandniha</w:t>
      </w:r>
      <w:proofErr w:type="spellEnd"/>
      <w:r w:rsidRPr="009554DE">
        <w:rPr>
          <w:rFonts w:ascii="Arial" w:hAnsi="Arial" w:cs="Arial"/>
          <w:sz w:val="20"/>
          <w:szCs w:val="20"/>
        </w:rPr>
        <w:t xml:space="preserve">, S. K., Lohani, A. K., Krishnan, Gopal, </w:t>
      </w:r>
      <w:r w:rsidR="00F512AC">
        <w:rPr>
          <w:rFonts w:ascii="Arial" w:hAnsi="Arial" w:cs="Arial"/>
          <w:sz w:val="20"/>
          <w:szCs w:val="20"/>
        </w:rPr>
        <w:t>&amp;</w:t>
      </w:r>
      <w:r w:rsidRPr="009554DE">
        <w:rPr>
          <w:rFonts w:ascii="Arial" w:hAnsi="Arial" w:cs="Arial"/>
          <w:sz w:val="20"/>
          <w:szCs w:val="20"/>
        </w:rPr>
        <w:t xml:space="preserve"> Nema, A. K. (2018). Trend analysis of groundwater level using non-parametric tests in alluvial aquifers of Uttar Pradesh, India. </w:t>
      </w:r>
      <w:r w:rsidRPr="00B035FF">
        <w:rPr>
          <w:rFonts w:ascii="Arial" w:hAnsi="Arial" w:cs="Arial"/>
          <w:i/>
          <w:sz w:val="20"/>
          <w:szCs w:val="20"/>
        </w:rPr>
        <w:t>Current World Environment</w:t>
      </w:r>
      <w:r w:rsidR="00B035FF">
        <w:rPr>
          <w:rFonts w:ascii="Arial" w:hAnsi="Arial" w:cs="Arial"/>
          <w:sz w:val="20"/>
          <w:szCs w:val="20"/>
        </w:rPr>
        <w:t>, 13(1),</w:t>
      </w:r>
      <w:r w:rsidRPr="009554DE">
        <w:rPr>
          <w:rFonts w:ascii="Arial" w:hAnsi="Arial" w:cs="Arial"/>
          <w:sz w:val="20"/>
          <w:szCs w:val="20"/>
        </w:rPr>
        <w:t xml:space="preserve"> 44–54.</w:t>
      </w:r>
    </w:p>
    <w:p w14:paraId="0A111B0B" w14:textId="77777777" w:rsidR="00DF49A1" w:rsidRPr="009554DE" w:rsidRDefault="00DF49A1" w:rsidP="00DF49A1">
      <w:pPr>
        <w:spacing w:line="360" w:lineRule="auto"/>
        <w:jc w:val="both"/>
        <w:rPr>
          <w:rFonts w:ascii="Arial" w:hAnsi="Arial" w:cs="Arial"/>
          <w:sz w:val="20"/>
          <w:szCs w:val="20"/>
        </w:rPr>
      </w:pPr>
      <w:r w:rsidRPr="009554DE">
        <w:rPr>
          <w:rFonts w:ascii="Arial" w:hAnsi="Arial" w:cs="Arial"/>
          <w:sz w:val="20"/>
          <w:szCs w:val="20"/>
        </w:rPr>
        <w:t xml:space="preserve">Kumar, P., Thomas, A. </w:t>
      </w:r>
      <w:r w:rsidR="00F512AC">
        <w:rPr>
          <w:rFonts w:ascii="Arial" w:hAnsi="Arial" w:cs="Arial"/>
          <w:sz w:val="20"/>
          <w:szCs w:val="20"/>
        </w:rPr>
        <w:t>&amp;</w:t>
      </w:r>
      <w:r w:rsidRPr="009554DE">
        <w:rPr>
          <w:rFonts w:ascii="Arial" w:hAnsi="Arial" w:cs="Arial"/>
          <w:sz w:val="20"/>
          <w:szCs w:val="20"/>
        </w:rPr>
        <w:t xml:space="preserve"> Joseph, L. </w:t>
      </w:r>
      <w:r w:rsidR="00A56716">
        <w:rPr>
          <w:rFonts w:ascii="Arial" w:hAnsi="Arial" w:cs="Arial"/>
          <w:sz w:val="20"/>
          <w:szCs w:val="20"/>
        </w:rPr>
        <w:t>(</w:t>
      </w:r>
      <w:r w:rsidRPr="009554DE">
        <w:rPr>
          <w:rFonts w:ascii="Arial" w:hAnsi="Arial" w:cs="Arial"/>
          <w:sz w:val="20"/>
          <w:szCs w:val="20"/>
        </w:rPr>
        <w:t>2021</w:t>
      </w:r>
      <w:r w:rsidR="00A56716">
        <w:rPr>
          <w:rFonts w:ascii="Arial" w:hAnsi="Arial" w:cs="Arial"/>
          <w:sz w:val="20"/>
          <w:szCs w:val="20"/>
        </w:rPr>
        <w:t>)</w:t>
      </w:r>
      <w:r w:rsidRPr="009554DE">
        <w:rPr>
          <w:rFonts w:ascii="Arial" w:hAnsi="Arial" w:cs="Arial"/>
          <w:sz w:val="20"/>
          <w:szCs w:val="20"/>
        </w:rPr>
        <w:t xml:space="preserve">. Groundwater level trends and recharge potential assessment in semi-arid regions of Kerala using long-term monitoring data. </w:t>
      </w:r>
      <w:r w:rsidRPr="009554DE">
        <w:rPr>
          <w:rFonts w:ascii="Arial" w:hAnsi="Arial" w:cs="Arial"/>
          <w:i/>
          <w:sz w:val="20"/>
          <w:szCs w:val="20"/>
        </w:rPr>
        <w:t>Hydro Res</w:t>
      </w:r>
      <w:r w:rsidR="00B035FF">
        <w:rPr>
          <w:rFonts w:ascii="Arial" w:hAnsi="Arial" w:cs="Arial"/>
          <w:i/>
          <w:sz w:val="20"/>
          <w:szCs w:val="20"/>
        </w:rPr>
        <w:t>earch,</w:t>
      </w:r>
      <w:r w:rsidR="00B035FF">
        <w:rPr>
          <w:rFonts w:ascii="Arial" w:hAnsi="Arial" w:cs="Arial"/>
          <w:sz w:val="20"/>
          <w:szCs w:val="20"/>
        </w:rPr>
        <w:t xml:space="preserve"> 4(2),</w:t>
      </w:r>
      <w:r w:rsidRPr="009554DE">
        <w:rPr>
          <w:rFonts w:ascii="Arial" w:hAnsi="Arial" w:cs="Arial"/>
          <w:sz w:val="20"/>
          <w:szCs w:val="20"/>
        </w:rPr>
        <w:t xml:space="preserve"> 67–79.</w:t>
      </w:r>
    </w:p>
    <w:p w14:paraId="4D4726E6"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Mann, H. B. (1945). Non-parametric tests against trend. </w:t>
      </w:r>
      <w:r w:rsidRPr="00B035FF">
        <w:rPr>
          <w:rFonts w:ascii="Arial" w:hAnsi="Arial" w:cs="Arial"/>
          <w:i/>
          <w:sz w:val="20"/>
          <w:szCs w:val="20"/>
        </w:rPr>
        <w:t>Econometrica,</w:t>
      </w:r>
      <w:r w:rsidRPr="009554DE">
        <w:rPr>
          <w:rFonts w:ascii="Arial" w:hAnsi="Arial" w:cs="Arial"/>
          <w:sz w:val="20"/>
          <w:szCs w:val="20"/>
        </w:rPr>
        <w:t xml:space="preserve"> 13</w:t>
      </w:r>
      <w:r w:rsidR="00B035FF">
        <w:rPr>
          <w:rFonts w:ascii="Arial" w:hAnsi="Arial" w:cs="Arial"/>
          <w:sz w:val="20"/>
          <w:szCs w:val="20"/>
        </w:rPr>
        <w:t>,</w:t>
      </w:r>
      <w:r w:rsidRPr="009554DE">
        <w:rPr>
          <w:rFonts w:ascii="Arial" w:hAnsi="Arial" w:cs="Arial"/>
          <w:sz w:val="20"/>
          <w:szCs w:val="20"/>
        </w:rPr>
        <w:t xml:space="preserve"> 245–259. </w:t>
      </w:r>
    </w:p>
    <w:p w14:paraId="3DAC1E58"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Obot, N. I., Chendo, M. A. C., Udo, S. O. </w:t>
      </w:r>
      <w:r w:rsidR="00F512AC">
        <w:rPr>
          <w:rFonts w:ascii="Arial" w:hAnsi="Arial" w:cs="Arial"/>
          <w:sz w:val="20"/>
          <w:szCs w:val="20"/>
        </w:rPr>
        <w:t>&amp;</w:t>
      </w:r>
      <w:r w:rsidRPr="009554DE">
        <w:rPr>
          <w:rFonts w:ascii="Arial" w:hAnsi="Arial" w:cs="Arial"/>
          <w:sz w:val="20"/>
          <w:szCs w:val="20"/>
        </w:rPr>
        <w:t xml:space="preserve"> </w:t>
      </w:r>
      <w:proofErr w:type="spellStart"/>
      <w:r w:rsidRPr="009554DE">
        <w:rPr>
          <w:rFonts w:ascii="Arial" w:hAnsi="Arial" w:cs="Arial"/>
          <w:sz w:val="20"/>
          <w:szCs w:val="20"/>
        </w:rPr>
        <w:t>Ewona</w:t>
      </w:r>
      <w:proofErr w:type="spellEnd"/>
      <w:r w:rsidRPr="009554DE">
        <w:rPr>
          <w:rFonts w:ascii="Arial" w:hAnsi="Arial" w:cs="Arial"/>
          <w:sz w:val="20"/>
          <w:szCs w:val="20"/>
        </w:rPr>
        <w:t xml:space="preserve">, I. O. </w:t>
      </w:r>
      <w:r w:rsidR="00A56716">
        <w:rPr>
          <w:rFonts w:ascii="Arial" w:hAnsi="Arial" w:cs="Arial"/>
          <w:sz w:val="20"/>
          <w:szCs w:val="20"/>
        </w:rPr>
        <w:t>(</w:t>
      </w:r>
      <w:r w:rsidRPr="009554DE">
        <w:rPr>
          <w:rFonts w:ascii="Arial" w:hAnsi="Arial" w:cs="Arial"/>
          <w:sz w:val="20"/>
          <w:szCs w:val="20"/>
        </w:rPr>
        <w:t>2010</w:t>
      </w:r>
      <w:r w:rsidR="00A56716">
        <w:rPr>
          <w:rFonts w:ascii="Arial" w:hAnsi="Arial" w:cs="Arial"/>
          <w:sz w:val="20"/>
          <w:szCs w:val="20"/>
        </w:rPr>
        <w:t>)</w:t>
      </w:r>
      <w:r w:rsidRPr="009554DE">
        <w:rPr>
          <w:rFonts w:ascii="Arial" w:hAnsi="Arial" w:cs="Arial"/>
          <w:sz w:val="20"/>
          <w:szCs w:val="20"/>
        </w:rPr>
        <w:t xml:space="preserve">. Evaluation of rainfall trends in Nigeria (1978-2007). </w:t>
      </w:r>
      <w:r w:rsidRPr="00B035FF">
        <w:rPr>
          <w:rFonts w:ascii="Arial" w:hAnsi="Arial" w:cs="Arial"/>
          <w:i/>
          <w:sz w:val="20"/>
          <w:szCs w:val="20"/>
        </w:rPr>
        <w:t>International Journal of Physical Sciences</w:t>
      </w:r>
      <w:r w:rsidR="00B035FF">
        <w:rPr>
          <w:rFonts w:ascii="Arial" w:hAnsi="Arial" w:cs="Arial"/>
          <w:i/>
          <w:sz w:val="20"/>
          <w:szCs w:val="20"/>
        </w:rPr>
        <w:t>,</w:t>
      </w:r>
      <w:r w:rsidR="00B035FF">
        <w:rPr>
          <w:rFonts w:ascii="Arial" w:hAnsi="Arial" w:cs="Arial"/>
          <w:sz w:val="20"/>
          <w:szCs w:val="20"/>
        </w:rPr>
        <w:t xml:space="preserve"> 5(14),</w:t>
      </w:r>
      <w:r w:rsidRPr="009554DE">
        <w:rPr>
          <w:rFonts w:ascii="Arial" w:hAnsi="Arial" w:cs="Arial"/>
          <w:sz w:val="20"/>
          <w:szCs w:val="20"/>
        </w:rPr>
        <w:t xml:space="preserve"> 2217-2222.</w:t>
      </w:r>
    </w:p>
    <w:p w14:paraId="0F14F92D" w14:textId="77777777" w:rsidR="00DF49A1" w:rsidRPr="009554DE" w:rsidRDefault="00DF49A1" w:rsidP="00A56716">
      <w:pPr>
        <w:spacing w:line="360" w:lineRule="auto"/>
        <w:jc w:val="both"/>
        <w:rPr>
          <w:rFonts w:ascii="Arial" w:hAnsi="Arial" w:cs="Arial"/>
          <w:bCs/>
          <w:color w:val="000000" w:themeColor="text1"/>
          <w:sz w:val="20"/>
          <w:szCs w:val="20"/>
        </w:rPr>
      </w:pPr>
      <w:proofErr w:type="spellStart"/>
      <w:r w:rsidRPr="009554DE">
        <w:rPr>
          <w:rFonts w:ascii="Arial" w:hAnsi="Arial" w:cs="Arial"/>
          <w:bCs/>
          <w:color w:val="000000" w:themeColor="text1"/>
          <w:sz w:val="20"/>
          <w:szCs w:val="20"/>
        </w:rPr>
        <w:t>Praseeja</w:t>
      </w:r>
      <w:proofErr w:type="spellEnd"/>
      <w:r w:rsidRPr="009554DE">
        <w:rPr>
          <w:rFonts w:ascii="Arial" w:hAnsi="Arial" w:cs="Arial"/>
          <w:bCs/>
          <w:color w:val="000000" w:themeColor="text1"/>
          <w:sz w:val="20"/>
          <w:szCs w:val="20"/>
        </w:rPr>
        <w:t xml:space="preserve">, A. V. </w:t>
      </w:r>
      <w:r w:rsidR="00F512AC">
        <w:rPr>
          <w:rFonts w:ascii="Arial" w:hAnsi="Arial" w:cs="Arial"/>
          <w:bCs/>
          <w:color w:val="000000" w:themeColor="text1"/>
          <w:sz w:val="20"/>
          <w:szCs w:val="20"/>
        </w:rPr>
        <w:t>&amp;</w:t>
      </w:r>
      <w:r w:rsidRPr="009554DE">
        <w:rPr>
          <w:rFonts w:ascii="Arial" w:hAnsi="Arial" w:cs="Arial"/>
          <w:bCs/>
          <w:color w:val="000000" w:themeColor="text1"/>
          <w:sz w:val="20"/>
          <w:szCs w:val="20"/>
        </w:rPr>
        <w:t xml:space="preserve"> Younus, S. (2024). Monitoring of ground water level fluctuation in </w:t>
      </w:r>
      <w:proofErr w:type="spellStart"/>
      <w:r w:rsidRPr="009554DE">
        <w:rPr>
          <w:rFonts w:ascii="Arial" w:hAnsi="Arial" w:cs="Arial"/>
          <w:bCs/>
          <w:color w:val="000000" w:themeColor="text1"/>
          <w:sz w:val="20"/>
          <w:szCs w:val="20"/>
        </w:rPr>
        <w:t>Chittur</w:t>
      </w:r>
      <w:proofErr w:type="spellEnd"/>
      <w:r w:rsidRPr="009554DE">
        <w:rPr>
          <w:rFonts w:ascii="Arial" w:hAnsi="Arial" w:cs="Arial"/>
          <w:bCs/>
          <w:color w:val="000000" w:themeColor="text1"/>
          <w:sz w:val="20"/>
          <w:szCs w:val="20"/>
        </w:rPr>
        <w:t xml:space="preserve">, Palakkad. </w:t>
      </w:r>
      <w:r w:rsidRPr="00B035FF">
        <w:rPr>
          <w:rFonts w:ascii="Arial" w:hAnsi="Arial" w:cs="Arial"/>
          <w:bCs/>
          <w:i/>
          <w:color w:val="000000" w:themeColor="text1"/>
          <w:sz w:val="20"/>
          <w:szCs w:val="20"/>
        </w:rPr>
        <w:t>International Journal of Energy and Water Resources</w:t>
      </w:r>
      <w:r w:rsidR="00B035FF">
        <w:rPr>
          <w:rFonts w:ascii="Arial" w:hAnsi="Arial" w:cs="Arial"/>
          <w:bCs/>
          <w:color w:val="000000" w:themeColor="text1"/>
          <w:sz w:val="20"/>
          <w:szCs w:val="20"/>
        </w:rPr>
        <w:t>, 91pp.</w:t>
      </w:r>
    </w:p>
    <w:p w14:paraId="32A7F9B5"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Sai, K. V. </w:t>
      </w:r>
      <w:r w:rsidR="00F512AC">
        <w:rPr>
          <w:rFonts w:ascii="Arial" w:hAnsi="Arial" w:cs="Arial"/>
          <w:sz w:val="20"/>
          <w:szCs w:val="20"/>
        </w:rPr>
        <w:t>&amp;</w:t>
      </w:r>
      <w:r w:rsidRPr="009554DE">
        <w:rPr>
          <w:rFonts w:ascii="Arial" w:hAnsi="Arial" w:cs="Arial"/>
          <w:sz w:val="20"/>
          <w:szCs w:val="20"/>
        </w:rPr>
        <w:t xml:space="preserve"> Joseph, A. (2018). Trend analysis of rainfall of </w:t>
      </w:r>
      <w:proofErr w:type="spellStart"/>
      <w:r w:rsidRPr="009554DE">
        <w:rPr>
          <w:rFonts w:ascii="Arial" w:hAnsi="Arial" w:cs="Arial"/>
          <w:sz w:val="20"/>
          <w:szCs w:val="20"/>
        </w:rPr>
        <w:t>Pattambi</w:t>
      </w:r>
      <w:proofErr w:type="spellEnd"/>
      <w:r w:rsidRPr="009554DE">
        <w:rPr>
          <w:rFonts w:ascii="Arial" w:hAnsi="Arial" w:cs="Arial"/>
          <w:sz w:val="20"/>
          <w:szCs w:val="20"/>
        </w:rPr>
        <w:t xml:space="preserve"> region, Kerala. </w:t>
      </w:r>
      <w:r w:rsidRPr="009554DE">
        <w:rPr>
          <w:rFonts w:ascii="Arial" w:hAnsi="Arial" w:cs="Arial"/>
          <w:i/>
          <w:sz w:val="20"/>
          <w:szCs w:val="20"/>
        </w:rPr>
        <w:t>Int</w:t>
      </w:r>
      <w:r w:rsidR="00B035FF">
        <w:rPr>
          <w:rFonts w:ascii="Arial" w:hAnsi="Arial" w:cs="Arial"/>
          <w:i/>
          <w:sz w:val="20"/>
          <w:szCs w:val="20"/>
        </w:rPr>
        <w:t>ernational</w:t>
      </w:r>
      <w:r w:rsidRPr="009554DE">
        <w:rPr>
          <w:rFonts w:ascii="Arial" w:hAnsi="Arial" w:cs="Arial"/>
          <w:i/>
          <w:sz w:val="20"/>
          <w:szCs w:val="20"/>
        </w:rPr>
        <w:t xml:space="preserve"> </w:t>
      </w:r>
      <w:proofErr w:type="gramStart"/>
      <w:r w:rsidR="00B035FF">
        <w:rPr>
          <w:rFonts w:ascii="Arial" w:hAnsi="Arial" w:cs="Arial"/>
          <w:i/>
          <w:sz w:val="20"/>
          <w:szCs w:val="20"/>
        </w:rPr>
        <w:t>Journal</w:t>
      </w:r>
      <w:r w:rsidRPr="009554DE">
        <w:rPr>
          <w:rFonts w:ascii="Arial" w:hAnsi="Arial" w:cs="Arial"/>
          <w:i/>
          <w:sz w:val="20"/>
          <w:szCs w:val="20"/>
        </w:rPr>
        <w:t xml:space="preserve"> </w:t>
      </w:r>
      <w:r w:rsidR="00B035FF">
        <w:rPr>
          <w:rFonts w:ascii="Arial" w:hAnsi="Arial" w:cs="Arial"/>
          <w:i/>
          <w:sz w:val="20"/>
          <w:szCs w:val="20"/>
        </w:rPr>
        <w:t xml:space="preserve"> of</w:t>
      </w:r>
      <w:proofErr w:type="gramEnd"/>
      <w:r w:rsidR="00B035FF">
        <w:rPr>
          <w:rFonts w:ascii="Arial" w:hAnsi="Arial" w:cs="Arial"/>
          <w:i/>
          <w:sz w:val="20"/>
          <w:szCs w:val="20"/>
        </w:rPr>
        <w:t xml:space="preserve"> Current</w:t>
      </w:r>
      <w:r w:rsidRPr="009554DE">
        <w:rPr>
          <w:rFonts w:ascii="Arial" w:hAnsi="Arial" w:cs="Arial"/>
          <w:i/>
          <w:sz w:val="20"/>
          <w:szCs w:val="20"/>
        </w:rPr>
        <w:t xml:space="preserve"> </w:t>
      </w:r>
      <w:r w:rsidR="00B035FF">
        <w:rPr>
          <w:rFonts w:ascii="Arial" w:hAnsi="Arial" w:cs="Arial"/>
          <w:i/>
          <w:sz w:val="20"/>
          <w:szCs w:val="20"/>
        </w:rPr>
        <w:t>Microbiology</w:t>
      </w:r>
      <w:r w:rsidRPr="009554DE">
        <w:rPr>
          <w:rFonts w:ascii="Arial" w:hAnsi="Arial" w:cs="Arial"/>
          <w:i/>
          <w:sz w:val="20"/>
          <w:szCs w:val="20"/>
        </w:rPr>
        <w:t xml:space="preserve"> </w:t>
      </w:r>
      <w:r w:rsidR="00B035FF">
        <w:rPr>
          <w:rFonts w:ascii="Arial" w:hAnsi="Arial" w:cs="Arial"/>
          <w:i/>
          <w:sz w:val="20"/>
          <w:szCs w:val="20"/>
        </w:rPr>
        <w:t xml:space="preserve">and </w:t>
      </w:r>
      <w:r w:rsidRPr="009554DE">
        <w:rPr>
          <w:rFonts w:ascii="Arial" w:hAnsi="Arial" w:cs="Arial"/>
          <w:i/>
          <w:sz w:val="20"/>
          <w:szCs w:val="20"/>
        </w:rPr>
        <w:t>App</w:t>
      </w:r>
      <w:r w:rsidR="00B035FF">
        <w:rPr>
          <w:rFonts w:ascii="Arial" w:hAnsi="Arial" w:cs="Arial"/>
          <w:i/>
          <w:sz w:val="20"/>
          <w:szCs w:val="20"/>
        </w:rPr>
        <w:t>lied</w:t>
      </w:r>
      <w:r w:rsidRPr="009554DE">
        <w:rPr>
          <w:rFonts w:ascii="Arial" w:hAnsi="Arial" w:cs="Arial"/>
          <w:i/>
          <w:sz w:val="20"/>
          <w:szCs w:val="20"/>
        </w:rPr>
        <w:t xml:space="preserve"> Sci</w:t>
      </w:r>
      <w:r w:rsidR="00B035FF">
        <w:rPr>
          <w:rFonts w:ascii="Arial" w:hAnsi="Arial" w:cs="Arial"/>
          <w:i/>
          <w:sz w:val="20"/>
          <w:szCs w:val="20"/>
        </w:rPr>
        <w:t>ence,</w:t>
      </w:r>
      <w:r w:rsidRPr="009554DE">
        <w:rPr>
          <w:rFonts w:ascii="Arial" w:hAnsi="Arial" w:cs="Arial"/>
          <w:i/>
          <w:sz w:val="20"/>
          <w:szCs w:val="20"/>
        </w:rPr>
        <w:t xml:space="preserve"> </w:t>
      </w:r>
      <w:r w:rsidR="00B035FF">
        <w:rPr>
          <w:rFonts w:ascii="Arial" w:hAnsi="Arial" w:cs="Arial"/>
          <w:sz w:val="20"/>
          <w:szCs w:val="20"/>
        </w:rPr>
        <w:t>7(9),</w:t>
      </w:r>
      <w:r w:rsidRPr="009554DE">
        <w:rPr>
          <w:rFonts w:ascii="Arial" w:hAnsi="Arial" w:cs="Arial"/>
          <w:sz w:val="20"/>
          <w:szCs w:val="20"/>
        </w:rPr>
        <w:t xml:space="preserve"> 3274-3281.</w:t>
      </w:r>
    </w:p>
    <w:p w14:paraId="71235DBB" w14:textId="77777777" w:rsidR="00DF49A1" w:rsidRPr="009554DE" w:rsidRDefault="00DF49A1" w:rsidP="00B035FF">
      <w:pPr>
        <w:spacing w:line="360" w:lineRule="auto"/>
        <w:jc w:val="both"/>
        <w:rPr>
          <w:rFonts w:ascii="Arial" w:hAnsi="Arial" w:cs="Arial"/>
          <w:bCs/>
          <w:color w:val="000000" w:themeColor="text1"/>
          <w:sz w:val="20"/>
          <w:szCs w:val="20"/>
        </w:rPr>
      </w:pPr>
      <w:r w:rsidRPr="009554DE">
        <w:rPr>
          <w:rFonts w:ascii="Arial" w:hAnsi="Arial" w:cs="Arial"/>
          <w:bCs/>
          <w:color w:val="000000" w:themeColor="text1"/>
          <w:sz w:val="20"/>
          <w:szCs w:val="20"/>
        </w:rPr>
        <w:t xml:space="preserve">Shaji, E., Gómez-Alday, J. J., Hussein, S., Deepu, T. R. </w:t>
      </w:r>
      <w:r w:rsidR="00F512AC">
        <w:rPr>
          <w:rFonts w:ascii="Arial" w:hAnsi="Arial" w:cs="Arial"/>
          <w:bCs/>
          <w:color w:val="000000" w:themeColor="text1"/>
          <w:sz w:val="20"/>
          <w:szCs w:val="20"/>
        </w:rPr>
        <w:t>&amp;</w:t>
      </w:r>
      <w:r w:rsidRPr="009554DE">
        <w:rPr>
          <w:rFonts w:ascii="Arial" w:hAnsi="Arial" w:cs="Arial"/>
          <w:bCs/>
          <w:color w:val="000000" w:themeColor="text1"/>
          <w:sz w:val="20"/>
          <w:szCs w:val="20"/>
        </w:rPr>
        <w:t xml:space="preserve"> Anilkumar, Y. (2018). Salinization and deterioration of groundwater quality by nitrate and fluoride in the </w:t>
      </w:r>
      <w:proofErr w:type="spellStart"/>
      <w:r w:rsidRPr="009554DE">
        <w:rPr>
          <w:rFonts w:ascii="Arial" w:hAnsi="Arial" w:cs="Arial"/>
          <w:bCs/>
          <w:color w:val="000000" w:themeColor="text1"/>
          <w:sz w:val="20"/>
          <w:szCs w:val="20"/>
        </w:rPr>
        <w:t>Chittur</w:t>
      </w:r>
      <w:proofErr w:type="spellEnd"/>
      <w:r w:rsidRPr="009554DE">
        <w:rPr>
          <w:rFonts w:ascii="Arial" w:hAnsi="Arial" w:cs="Arial"/>
          <w:bCs/>
          <w:color w:val="000000" w:themeColor="text1"/>
          <w:sz w:val="20"/>
          <w:szCs w:val="20"/>
        </w:rPr>
        <w:t xml:space="preserve"> Block, Palakkad, Kerala. </w:t>
      </w:r>
      <w:r w:rsidRPr="00B035FF">
        <w:rPr>
          <w:rFonts w:ascii="Arial" w:hAnsi="Arial" w:cs="Arial"/>
          <w:bCs/>
          <w:i/>
          <w:color w:val="000000" w:themeColor="text1"/>
          <w:sz w:val="20"/>
          <w:szCs w:val="20"/>
        </w:rPr>
        <w:t>Journal of Geological Society of India</w:t>
      </w:r>
      <w:r w:rsidR="00B035FF">
        <w:rPr>
          <w:rFonts w:ascii="Arial" w:hAnsi="Arial" w:cs="Arial"/>
          <w:bCs/>
          <w:i/>
          <w:color w:val="000000" w:themeColor="text1"/>
          <w:sz w:val="20"/>
          <w:szCs w:val="20"/>
        </w:rPr>
        <w:t>,</w:t>
      </w:r>
      <w:r w:rsidR="00B035FF">
        <w:rPr>
          <w:rFonts w:ascii="Arial" w:hAnsi="Arial" w:cs="Arial"/>
          <w:bCs/>
          <w:color w:val="000000" w:themeColor="text1"/>
          <w:sz w:val="20"/>
          <w:szCs w:val="20"/>
        </w:rPr>
        <w:t xml:space="preserve"> 92(3),</w:t>
      </w:r>
      <w:r w:rsidRPr="009554DE">
        <w:rPr>
          <w:rFonts w:ascii="Arial" w:hAnsi="Arial" w:cs="Arial"/>
          <w:bCs/>
          <w:color w:val="000000" w:themeColor="text1"/>
          <w:sz w:val="20"/>
          <w:szCs w:val="20"/>
        </w:rPr>
        <w:t xml:space="preserve"> 337–345. </w:t>
      </w:r>
    </w:p>
    <w:p w14:paraId="74CFCBFC" w14:textId="77777777" w:rsidR="00DF49A1" w:rsidRPr="009554DE" w:rsidRDefault="00DF49A1" w:rsidP="00DF49A1">
      <w:pPr>
        <w:spacing w:line="360" w:lineRule="auto"/>
        <w:jc w:val="both"/>
        <w:rPr>
          <w:rFonts w:ascii="Arial" w:hAnsi="Arial" w:cs="Arial"/>
          <w:bCs/>
          <w:color w:val="000000" w:themeColor="text1"/>
          <w:sz w:val="20"/>
          <w:szCs w:val="20"/>
        </w:rPr>
      </w:pPr>
      <w:proofErr w:type="spellStart"/>
      <w:r w:rsidRPr="009554DE">
        <w:rPr>
          <w:rFonts w:ascii="Arial" w:hAnsi="Arial" w:cs="Arial"/>
          <w:bCs/>
          <w:color w:val="000000" w:themeColor="text1"/>
          <w:sz w:val="20"/>
          <w:szCs w:val="20"/>
        </w:rPr>
        <w:t>Siddharam</w:t>
      </w:r>
      <w:proofErr w:type="spellEnd"/>
      <w:r w:rsidRPr="009554DE">
        <w:rPr>
          <w:rFonts w:ascii="Arial" w:hAnsi="Arial" w:cs="Arial"/>
          <w:bCs/>
          <w:color w:val="000000" w:themeColor="text1"/>
          <w:sz w:val="20"/>
          <w:szCs w:val="20"/>
        </w:rPr>
        <w:t xml:space="preserve">, Janardan, B. K., </w:t>
      </w:r>
      <w:proofErr w:type="spellStart"/>
      <w:r w:rsidRPr="009554DE">
        <w:rPr>
          <w:rFonts w:ascii="Arial" w:hAnsi="Arial" w:cs="Arial"/>
          <w:bCs/>
          <w:color w:val="000000" w:themeColor="text1"/>
          <w:sz w:val="20"/>
          <w:szCs w:val="20"/>
        </w:rPr>
        <w:t>Basavaraja</w:t>
      </w:r>
      <w:proofErr w:type="spellEnd"/>
      <w:r w:rsidRPr="009554DE">
        <w:rPr>
          <w:rFonts w:ascii="Arial" w:hAnsi="Arial" w:cs="Arial"/>
          <w:bCs/>
          <w:color w:val="000000" w:themeColor="text1"/>
          <w:sz w:val="20"/>
          <w:szCs w:val="20"/>
        </w:rPr>
        <w:t xml:space="preserve">, D. </w:t>
      </w:r>
      <w:r w:rsidR="00F512AC">
        <w:rPr>
          <w:rFonts w:ascii="Arial" w:hAnsi="Arial" w:cs="Arial"/>
          <w:bCs/>
          <w:color w:val="000000" w:themeColor="text1"/>
          <w:sz w:val="20"/>
          <w:szCs w:val="20"/>
        </w:rPr>
        <w:t>&amp;</w:t>
      </w:r>
      <w:r w:rsidRPr="009554DE">
        <w:rPr>
          <w:rFonts w:ascii="Arial" w:hAnsi="Arial" w:cs="Arial"/>
          <w:bCs/>
          <w:color w:val="000000" w:themeColor="text1"/>
          <w:sz w:val="20"/>
          <w:szCs w:val="20"/>
        </w:rPr>
        <w:t xml:space="preserve"> Dandekar, A. T. </w:t>
      </w:r>
      <w:r w:rsidR="00A56716">
        <w:rPr>
          <w:rFonts w:ascii="Arial" w:hAnsi="Arial" w:cs="Arial"/>
          <w:bCs/>
          <w:color w:val="000000" w:themeColor="text1"/>
          <w:sz w:val="20"/>
          <w:szCs w:val="20"/>
        </w:rPr>
        <w:t>(</w:t>
      </w:r>
      <w:r w:rsidRPr="009554DE">
        <w:rPr>
          <w:rFonts w:ascii="Arial" w:hAnsi="Arial" w:cs="Arial"/>
          <w:bCs/>
          <w:color w:val="000000" w:themeColor="text1"/>
          <w:sz w:val="20"/>
          <w:szCs w:val="20"/>
        </w:rPr>
        <w:t>2022</w:t>
      </w:r>
      <w:r w:rsidR="00A56716">
        <w:rPr>
          <w:rFonts w:ascii="Arial" w:hAnsi="Arial" w:cs="Arial"/>
          <w:bCs/>
          <w:color w:val="000000" w:themeColor="text1"/>
          <w:sz w:val="20"/>
          <w:szCs w:val="20"/>
        </w:rPr>
        <w:t>)</w:t>
      </w:r>
      <w:r w:rsidRPr="009554DE">
        <w:rPr>
          <w:rFonts w:ascii="Arial" w:hAnsi="Arial" w:cs="Arial"/>
          <w:bCs/>
          <w:color w:val="000000" w:themeColor="text1"/>
          <w:sz w:val="20"/>
          <w:szCs w:val="20"/>
        </w:rPr>
        <w:t xml:space="preserve">. </w:t>
      </w:r>
      <w:r w:rsidRPr="009554DE">
        <w:rPr>
          <w:rFonts w:ascii="Arial" w:hAnsi="Arial" w:cs="Arial"/>
          <w:sz w:val="20"/>
          <w:szCs w:val="20"/>
        </w:rPr>
        <w:t xml:space="preserve">Assessment of Long </w:t>
      </w:r>
      <w:proofErr w:type="spellStart"/>
      <w:r w:rsidRPr="009554DE">
        <w:rPr>
          <w:rFonts w:ascii="Arial" w:hAnsi="Arial" w:cs="Arial"/>
          <w:sz w:val="20"/>
          <w:szCs w:val="20"/>
        </w:rPr>
        <w:t>TermSpatio</w:t>
      </w:r>
      <w:proofErr w:type="spellEnd"/>
      <w:r w:rsidRPr="009554DE">
        <w:rPr>
          <w:rFonts w:ascii="Arial" w:hAnsi="Arial" w:cs="Arial"/>
          <w:sz w:val="20"/>
          <w:szCs w:val="20"/>
        </w:rPr>
        <w:t xml:space="preserve">-temporal Variability in Temperature over the </w:t>
      </w:r>
      <w:proofErr w:type="spellStart"/>
      <w:r w:rsidRPr="009554DE">
        <w:rPr>
          <w:rFonts w:ascii="Arial" w:hAnsi="Arial" w:cs="Arial"/>
          <w:sz w:val="20"/>
          <w:szCs w:val="20"/>
        </w:rPr>
        <w:t>Kalaburgi</w:t>
      </w:r>
      <w:proofErr w:type="spellEnd"/>
      <w:r w:rsidRPr="009554DE">
        <w:rPr>
          <w:rFonts w:ascii="Arial" w:hAnsi="Arial" w:cs="Arial"/>
          <w:sz w:val="20"/>
          <w:szCs w:val="20"/>
        </w:rPr>
        <w:t xml:space="preserve"> District, North Eastern Region of Karnataka, India. </w:t>
      </w:r>
      <w:r w:rsidRPr="00B035FF">
        <w:rPr>
          <w:rFonts w:ascii="Arial" w:hAnsi="Arial" w:cs="Arial"/>
          <w:i/>
          <w:sz w:val="20"/>
          <w:szCs w:val="20"/>
        </w:rPr>
        <w:t xml:space="preserve">Journal of </w:t>
      </w:r>
      <w:proofErr w:type="spellStart"/>
      <w:r w:rsidRPr="00B035FF">
        <w:rPr>
          <w:rFonts w:ascii="Arial" w:hAnsi="Arial" w:cs="Arial"/>
          <w:i/>
          <w:sz w:val="20"/>
          <w:szCs w:val="20"/>
        </w:rPr>
        <w:t>Agrisearch</w:t>
      </w:r>
      <w:proofErr w:type="spellEnd"/>
      <w:r w:rsidR="00B035FF">
        <w:rPr>
          <w:rFonts w:ascii="Arial" w:hAnsi="Arial" w:cs="Arial"/>
          <w:i/>
          <w:sz w:val="20"/>
          <w:szCs w:val="20"/>
        </w:rPr>
        <w:t>,</w:t>
      </w:r>
      <w:r w:rsidR="00B035FF">
        <w:rPr>
          <w:rFonts w:ascii="Arial" w:hAnsi="Arial" w:cs="Arial"/>
          <w:sz w:val="20"/>
          <w:szCs w:val="20"/>
        </w:rPr>
        <w:t xml:space="preserve"> 9(1),</w:t>
      </w:r>
      <w:r w:rsidRPr="009554DE">
        <w:rPr>
          <w:rFonts w:ascii="Arial" w:hAnsi="Arial" w:cs="Arial"/>
          <w:sz w:val="20"/>
          <w:szCs w:val="20"/>
        </w:rPr>
        <w:t xml:space="preserve"> 63-68.</w:t>
      </w:r>
    </w:p>
    <w:p w14:paraId="62D188E4" w14:textId="77777777" w:rsidR="00DF49A1" w:rsidRPr="009554DE" w:rsidRDefault="00DF49A1" w:rsidP="00DF49A1">
      <w:pPr>
        <w:pStyle w:val="NormalWeb"/>
        <w:spacing w:line="360" w:lineRule="auto"/>
        <w:jc w:val="both"/>
        <w:rPr>
          <w:rFonts w:ascii="Arial" w:hAnsi="Arial" w:cs="Arial"/>
          <w:sz w:val="20"/>
          <w:szCs w:val="20"/>
        </w:rPr>
      </w:pPr>
      <w:proofErr w:type="spellStart"/>
      <w:r w:rsidRPr="009554DE">
        <w:rPr>
          <w:rFonts w:ascii="Arial" w:hAnsi="Arial" w:cs="Arial"/>
          <w:sz w:val="20"/>
          <w:szCs w:val="20"/>
        </w:rPr>
        <w:t>Sivapragasam</w:t>
      </w:r>
      <w:proofErr w:type="spellEnd"/>
      <w:r w:rsidRPr="009554DE">
        <w:rPr>
          <w:rFonts w:ascii="Arial" w:hAnsi="Arial" w:cs="Arial"/>
          <w:sz w:val="20"/>
          <w:szCs w:val="20"/>
        </w:rPr>
        <w:t xml:space="preserve">, C., Kannabiran, K., Karthik, G., </w:t>
      </w:r>
      <w:r w:rsidR="00F512AC">
        <w:rPr>
          <w:rFonts w:ascii="Arial" w:hAnsi="Arial" w:cs="Arial"/>
          <w:sz w:val="20"/>
          <w:szCs w:val="20"/>
        </w:rPr>
        <w:t>&amp;</w:t>
      </w:r>
      <w:r w:rsidRPr="009554DE">
        <w:rPr>
          <w:rFonts w:ascii="Arial" w:hAnsi="Arial" w:cs="Arial"/>
          <w:sz w:val="20"/>
          <w:szCs w:val="20"/>
        </w:rPr>
        <w:t xml:space="preserve"> Raja, S. (2015). Assessing suitability of GP modeling for groundw</w:t>
      </w:r>
      <w:r w:rsidR="00B035FF">
        <w:rPr>
          <w:rFonts w:ascii="Arial" w:hAnsi="Arial" w:cs="Arial"/>
          <w:sz w:val="20"/>
          <w:szCs w:val="20"/>
        </w:rPr>
        <w:t xml:space="preserve">ater level. </w:t>
      </w:r>
      <w:r w:rsidR="00B035FF" w:rsidRPr="00B035FF">
        <w:rPr>
          <w:rFonts w:ascii="Arial" w:hAnsi="Arial" w:cs="Arial"/>
          <w:i/>
          <w:sz w:val="20"/>
          <w:szCs w:val="20"/>
        </w:rPr>
        <w:t>Aquatic Procedia,</w:t>
      </w:r>
      <w:r w:rsidR="00B035FF">
        <w:rPr>
          <w:rFonts w:ascii="Arial" w:hAnsi="Arial" w:cs="Arial"/>
          <w:sz w:val="20"/>
          <w:szCs w:val="20"/>
        </w:rPr>
        <w:t xml:space="preserve"> 4,</w:t>
      </w:r>
      <w:r w:rsidRPr="009554DE">
        <w:rPr>
          <w:rFonts w:ascii="Arial" w:hAnsi="Arial" w:cs="Arial"/>
          <w:sz w:val="20"/>
          <w:szCs w:val="20"/>
        </w:rPr>
        <w:t xml:space="preserve"> 693–699.</w:t>
      </w:r>
    </w:p>
    <w:p w14:paraId="1B7D86E5"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Subramani, T., Babu, Savithri, </w:t>
      </w:r>
      <w:r w:rsidR="00F512AC">
        <w:rPr>
          <w:rFonts w:ascii="Arial" w:hAnsi="Arial" w:cs="Arial"/>
          <w:sz w:val="20"/>
          <w:szCs w:val="20"/>
        </w:rPr>
        <w:t>&amp;</w:t>
      </w:r>
      <w:r w:rsidRPr="009554DE">
        <w:rPr>
          <w:rFonts w:ascii="Arial" w:hAnsi="Arial" w:cs="Arial"/>
          <w:sz w:val="20"/>
          <w:szCs w:val="20"/>
        </w:rPr>
        <w:t xml:space="preserve"> Elango, L. (2013). Computation of groundwater resources and recharge in </w:t>
      </w:r>
      <w:proofErr w:type="spellStart"/>
      <w:r w:rsidRPr="009554DE">
        <w:rPr>
          <w:rFonts w:ascii="Arial" w:hAnsi="Arial" w:cs="Arial"/>
          <w:sz w:val="20"/>
          <w:szCs w:val="20"/>
        </w:rPr>
        <w:t>Chithar</w:t>
      </w:r>
      <w:proofErr w:type="spellEnd"/>
      <w:r w:rsidRPr="009554DE">
        <w:rPr>
          <w:rFonts w:ascii="Arial" w:hAnsi="Arial" w:cs="Arial"/>
          <w:sz w:val="20"/>
          <w:szCs w:val="20"/>
        </w:rPr>
        <w:t xml:space="preserve"> River Basin, South India. </w:t>
      </w:r>
      <w:r w:rsidRPr="00B035FF">
        <w:rPr>
          <w:rFonts w:ascii="Arial" w:hAnsi="Arial" w:cs="Arial"/>
          <w:i/>
          <w:sz w:val="20"/>
          <w:szCs w:val="20"/>
        </w:rPr>
        <w:t>Environmental Monitoring and Assessment</w:t>
      </w:r>
      <w:r w:rsidR="00B035FF">
        <w:rPr>
          <w:rFonts w:ascii="Arial" w:hAnsi="Arial" w:cs="Arial"/>
          <w:sz w:val="20"/>
          <w:szCs w:val="20"/>
        </w:rPr>
        <w:t>. 185,</w:t>
      </w:r>
      <w:r w:rsidRPr="009554DE">
        <w:rPr>
          <w:rFonts w:ascii="Arial" w:hAnsi="Arial" w:cs="Arial"/>
          <w:sz w:val="20"/>
          <w:szCs w:val="20"/>
        </w:rPr>
        <w:t xml:space="preserve"> 983–994. </w:t>
      </w:r>
    </w:p>
    <w:p w14:paraId="39ACC088"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Subramani, T., Prabaharan, S., </w:t>
      </w:r>
      <w:r w:rsidR="00F512AC">
        <w:rPr>
          <w:rFonts w:ascii="Arial" w:hAnsi="Arial" w:cs="Arial"/>
          <w:sz w:val="20"/>
          <w:szCs w:val="20"/>
        </w:rPr>
        <w:t>&amp;</w:t>
      </w:r>
      <w:r w:rsidRPr="009554DE">
        <w:rPr>
          <w:rFonts w:ascii="Arial" w:hAnsi="Arial" w:cs="Arial"/>
          <w:sz w:val="20"/>
          <w:szCs w:val="20"/>
        </w:rPr>
        <w:t xml:space="preserve"> Karunanidhi, D. (2015). Groundwater prospecting in a part of Tami </w:t>
      </w:r>
      <w:proofErr w:type="spellStart"/>
      <w:r w:rsidRPr="009554DE">
        <w:rPr>
          <w:rFonts w:ascii="Arial" w:hAnsi="Arial" w:cs="Arial"/>
          <w:sz w:val="20"/>
          <w:szCs w:val="20"/>
        </w:rPr>
        <w:t>rabarani</w:t>
      </w:r>
      <w:proofErr w:type="spellEnd"/>
      <w:r w:rsidRPr="009554DE">
        <w:rPr>
          <w:rFonts w:ascii="Arial" w:hAnsi="Arial" w:cs="Arial"/>
          <w:sz w:val="20"/>
          <w:szCs w:val="20"/>
        </w:rPr>
        <w:t xml:space="preserve"> River basin, South India using Remote Sensing and GIS. </w:t>
      </w:r>
      <w:r w:rsidRPr="00B035FF">
        <w:rPr>
          <w:rFonts w:ascii="Arial" w:hAnsi="Arial" w:cs="Arial"/>
          <w:i/>
          <w:sz w:val="20"/>
          <w:szCs w:val="20"/>
        </w:rPr>
        <w:t>Indian Journal of Geo-Marine Sciences</w:t>
      </w:r>
      <w:r w:rsidR="00B035FF">
        <w:rPr>
          <w:rFonts w:ascii="Arial" w:hAnsi="Arial" w:cs="Arial"/>
          <w:sz w:val="20"/>
          <w:szCs w:val="20"/>
        </w:rPr>
        <w:t>,</w:t>
      </w:r>
      <w:r w:rsidRPr="009554DE">
        <w:rPr>
          <w:rFonts w:ascii="Arial" w:hAnsi="Arial" w:cs="Arial"/>
          <w:sz w:val="20"/>
          <w:szCs w:val="20"/>
        </w:rPr>
        <w:t xml:space="preserve"> 44(9)</w:t>
      </w:r>
      <w:r w:rsidR="00B035FF">
        <w:rPr>
          <w:rFonts w:ascii="Arial" w:hAnsi="Arial" w:cs="Arial"/>
          <w:sz w:val="20"/>
          <w:szCs w:val="20"/>
        </w:rPr>
        <w:t>,</w:t>
      </w:r>
      <w:r w:rsidRPr="009554DE">
        <w:rPr>
          <w:rFonts w:ascii="Arial" w:hAnsi="Arial" w:cs="Arial"/>
          <w:sz w:val="20"/>
          <w:szCs w:val="20"/>
        </w:rPr>
        <w:t xml:space="preserve"> 1401–1408.</w:t>
      </w:r>
    </w:p>
    <w:p w14:paraId="3362E3DE" w14:textId="77777777" w:rsidR="00DF49A1" w:rsidRPr="009554DE" w:rsidRDefault="00DF49A1" w:rsidP="00DF49A1">
      <w:pPr>
        <w:pStyle w:val="NormalWeb"/>
        <w:spacing w:line="360" w:lineRule="auto"/>
        <w:jc w:val="both"/>
        <w:rPr>
          <w:rFonts w:ascii="Arial" w:hAnsi="Arial" w:cs="Arial"/>
          <w:sz w:val="20"/>
          <w:szCs w:val="20"/>
        </w:rPr>
      </w:pPr>
      <w:r w:rsidRPr="009554DE">
        <w:rPr>
          <w:rFonts w:ascii="Arial" w:hAnsi="Arial" w:cs="Arial"/>
          <w:sz w:val="20"/>
          <w:szCs w:val="20"/>
        </w:rPr>
        <w:t xml:space="preserve">Tabari, H., Nikbakht, J., </w:t>
      </w:r>
      <w:r w:rsidR="00F512AC">
        <w:rPr>
          <w:rFonts w:ascii="Arial" w:hAnsi="Arial" w:cs="Arial"/>
          <w:sz w:val="20"/>
          <w:szCs w:val="20"/>
        </w:rPr>
        <w:t>&amp;</w:t>
      </w:r>
      <w:r w:rsidRPr="009554DE">
        <w:rPr>
          <w:rFonts w:ascii="Arial" w:hAnsi="Arial" w:cs="Arial"/>
          <w:sz w:val="20"/>
          <w:szCs w:val="20"/>
        </w:rPr>
        <w:t xml:space="preserve"> </w:t>
      </w:r>
      <w:proofErr w:type="spellStart"/>
      <w:r w:rsidRPr="009554DE">
        <w:rPr>
          <w:rFonts w:ascii="Arial" w:hAnsi="Arial" w:cs="Arial"/>
          <w:sz w:val="20"/>
          <w:szCs w:val="20"/>
        </w:rPr>
        <w:t>Some’e</w:t>
      </w:r>
      <w:proofErr w:type="spellEnd"/>
      <w:r w:rsidRPr="009554DE">
        <w:rPr>
          <w:rFonts w:ascii="Arial" w:hAnsi="Arial" w:cs="Arial"/>
          <w:sz w:val="20"/>
          <w:szCs w:val="20"/>
        </w:rPr>
        <w:t xml:space="preserve">, B. S. (2012). Investigation of groundwater level fluctuations in the north of Iran. </w:t>
      </w:r>
      <w:r w:rsidR="00B035FF">
        <w:rPr>
          <w:rFonts w:ascii="Arial" w:hAnsi="Arial" w:cs="Arial"/>
          <w:i/>
          <w:sz w:val="20"/>
          <w:szCs w:val="20"/>
        </w:rPr>
        <w:t>Environmental Earth Sciences,</w:t>
      </w:r>
      <w:r w:rsidR="00B035FF">
        <w:rPr>
          <w:rFonts w:ascii="Arial" w:hAnsi="Arial" w:cs="Arial"/>
          <w:sz w:val="20"/>
          <w:szCs w:val="20"/>
        </w:rPr>
        <w:t xml:space="preserve"> 66,</w:t>
      </w:r>
      <w:r w:rsidRPr="009554DE">
        <w:rPr>
          <w:rFonts w:ascii="Arial" w:hAnsi="Arial" w:cs="Arial"/>
          <w:sz w:val="20"/>
          <w:szCs w:val="20"/>
        </w:rPr>
        <w:t xml:space="preserve"> 231–243.</w:t>
      </w:r>
    </w:p>
    <w:p w14:paraId="73CC99E8" w14:textId="77777777" w:rsidR="00A72A60" w:rsidRPr="009554DE" w:rsidRDefault="00DF49A1" w:rsidP="009554DE">
      <w:pPr>
        <w:pStyle w:val="NormalWeb"/>
        <w:spacing w:line="360" w:lineRule="auto"/>
        <w:jc w:val="both"/>
        <w:rPr>
          <w:rFonts w:ascii="Arial" w:hAnsi="Arial" w:cs="Arial"/>
          <w:sz w:val="20"/>
          <w:szCs w:val="20"/>
        </w:rPr>
      </w:pPr>
      <w:r w:rsidRPr="009554DE">
        <w:rPr>
          <w:rFonts w:ascii="Arial" w:hAnsi="Arial" w:cs="Arial"/>
          <w:sz w:val="20"/>
          <w:szCs w:val="20"/>
        </w:rPr>
        <w:lastRenderedPageBreak/>
        <w:t xml:space="preserve">United Nations Educational, Scientific and Cultural Organization (UNESCO). </w:t>
      </w:r>
      <w:r w:rsidR="00A56716">
        <w:rPr>
          <w:rFonts w:ascii="Arial" w:hAnsi="Arial" w:cs="Arial"/>
          <w:sz w:val="20"/>
          <w:szCs w:val="20"/>
        </w:rPr>
        <w:t>(</w:t>
      </w:r>
      <w:r w:rsidRPr="009554DE">
        <w:rPr>
          <w:rFonts w:ascii="Arial" w:hAnsi="Arial" w:cs="Arial"/>
          <w:sz w:val="20"/>
          <w:szCs w:val="20"/>
        </w:rPr>
        <w:t>2022</w:t>
      </w:r>
      <w:r w:rsidR="00A56716">
        <w:rPr>
          <w:rFonts w:ascii="Arial" w:hAnsi="Arial" w:cs="Arial"/>
          <w:sz w:val="20"/>
          <w:szCs w:val="20"/>
        </w:rPr>
        <w:t>)</w:t>
      </w:r>
      <w:r w:rsidRPr="009554DE">
        <w:rPr>
          <w:rFonts w:ascii="Arial" w:hAnsi="Arial" w:cs="Arial"/>
          <w:sz w:val="20"/>
          <w:szCs w:val="20"/>
        </w:rPr>
        <w:t xml:space="preserve">. The United Nations World Water Development Report 2022 on groundwater, a synthesis. </w:t>
      </w:r>
      <w:r w:rsidRPr="00B035FF">
        <w:rPr>
          <w:rFonts w:ascii="Arial" w:hAnsi="Arial" w:cs="Arial"/>
          <w:i/>
          <w:sz w:val="20"/>
          <w:szCs w:val="20"/>
        </w:rPr>
        <w:t>Water International</w:t>
      </w:r>
      <w:r w:rsidRPr="009554DE">
        <w:rPr>
          <w:rFonts w:ascii="Arial" w:hAnsi="Arial" w:cs="Arial"/>
          <w:sz w:val="20"/>
          <w:szCs w:val="20"/>
        </w:rPr>
        <w:t>, 47(6)</w:t>
      </w:r>
      <w:r w:rsidR="00B035FF">
        <w:rPr>
          <w:rFonts w:ascii="Arial" w:hAnsi="Arial" w:cs="Arial"/>
          <w:sz w:val="20"/>
          <w:szCs w:val="20"/>
        </w:rPr>
        <w:t>,</w:t>
      </w:r>
      <w:r w:rsidRPr="009554DE">
        <w:rPr>
          <w:rFonts w:ascii="Arial" w:hAnsi="Arial" w:cs="Arial"/>
          <w:sz w:val="20"/>
          <w:szCs w:val="20"/>
        </w:rPr>
        <w:t xml:space="preserve"> 843–851.</w:t>
      </w:r>
    </w:p>
    <w:sectPr w:rsidR="00A72A60" w:rsidRPr="009554DE" w:rsidSect="00A0344E">
      <w:footerReference w:type="default" r:id="rId29"/>
      <w:foot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75A27" w14:textId="77777777" w:rsidR="007C5969" w:rsidRDefault="007C5969" w:rsidP="00D123F8">
      <w:pPr>
        <w:spacing w:after="0" w:line="240" w:lineRule="auto"/>
      </w:pPr>
      <w:r>
        <w:separator/>
      </w:r>
    </w:p>
  </w:endnote>
  <w:endnote w:type="continuationSeparator" w:id="0">
    <w:p w14:paraId="007624A3" w14:textId="77777777" w:rsidR="007C5969" w:rsidRDefault="007C5969" w:rsidP="00D12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C969E" w14:textId="77777777" w:rsidR="003979C4" w:rsidRDefault="003979C4">
    <w:pPr>
      <w:pStyle w:val="Footer"/>
    </w:pPr>
  </w:p>
  <w:p w14:paraId="35BAF1E8" w14:textId="77777777" w:rsidR="003979C4" w:rsidRDefault="00397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92840" w14:textId="77777777" w:rsidR="003979C4" w:rsidRDefault="00397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672E2E" w14:textId="77777777" w:rsidR="007C5969" w:rsidRDefault="007C5969" w:rsidP="00D123F8">
      <w:pPr>
        <w:spacing w:after="0" w:line="240" w:lineRule="auto"/>
      </w:pPr>
      <w:r>
        <w:separator/>
      </w:r>
    </w:p>
  </w:footnote>
  <w:footnote w:type="continuationSeparator" w:id="0">
    <w:p w14:paraId="33783706" w14:textId="77777777" w:rsidR="007C5969" w:rsidRDefault="007C5969" w:rsidP="00D123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23DC"/>
    <w:multiLevelType w:val="hybridMultilevel"/>
    <w:tmpl w:val="B3A4280E"/>
    <w:lvl w:ilvl="0" w:tplc="16CC19A6">
      <w:start w:val="1"/>
      <w:numFmt w:val="bullet"/>
      <w:lvlText w:val=""/>
      <w:lvlJc w:val="left"/>
      <w:pPr>
        <w:tabs>
          <w:tab w:val="num" w:pos="720"/>
        </w:tabs>
        <w:ind w:left="720" w:hanging="360"/>
      </w:pPr>
      <w:rPr>
        <w:rFonts w:ascii="Wingdings" w:hAnsi="Wingdings" w:hint="default"/>
      </w:rPr>
    </w:lvl>
    <w:lvl w:ilvl="1" w:tplc="5622DAD4" w:tentative="1">
      <w:start w:val="1"/>
      <w:numFmt w:val="bullet"/>
      <w:lvlText w:val=""/>
      <w:lvlJc w:val="left"/>
      <w:pPr>
        <w:tabs>
          <w:tab w:val="num" w:pos="1440"/>
        </w:tabs>
        <w:ind w:left="1440" w:hanging="360"/>
      </w:pPr>
      <w:rPr>
        <w:rFonts w:ascii="Wingdings" w:hAnsi="Wingdings" w:hint="default"/>
      </w:rPr>
    </w:lvl>
    <w:lvl w:ilvl="2" w:tplc="7A50F3B8" w:tentative="1">
      <w:start w:val="1"/>
      <w:numFmt w:val="bullet"/>
      <w:lvlText w:val=""/>
      <w:lvlJc w:val="left"/>
      <w:pPr>
        <w:tabs>
          <w:tab w:val="num" w:pos="2160"/>
        </w:tabs>
        <w:ind w:left="2160" w:hanging="360"/>
      </w:pPr>
      <w:rPr>
        <w:rFonts w:ascii="Wingdings" w:hAnsi="Wingdings" w:hint="default"/>
      </w:rPr>
    </w:lvl>
    <w:lvl w:ilvl="3" w:tplc="A4DAD19C" w:tentative="1">
      <w:start w:val="1"/>
      <w:numFmt w:val="bullet"/>
      <w:lvlText w:val=""/>
      <w:lvlJc w:val="left"/>
      <w:pPr>
        <w:tabs>
          <w:tab w:val="num" w:pos="2880"/>
        </w:tabs>
        <w:ind w:left="2880" w:hanging="360"/>
      </w:pPr>
      <w:rPr>
        <w:rFonts w:ascii="Wingdings" w:hAnsi="Wingdings" w:hint="default"/>
      </w:rPr>
    </w:lvl>
    <w:lvl w:ilvl="4" w:tplc="DF24F9FC" w:tentative="1">
      <w:start w:val="1"/>
      <w:numFmt w:val="bullet"/>
      <w:lvlText w:val=""/>
      <w:lvlJc w:val="left"/>
      <w:pPr>
        <w:tabs>
          <w:tab w:val="num" w:pos="3600"/>
        </w:tabs>
        <w:ind w:left="3600" w:hanging="360"/>
      </w:pPr>
      <w:rPr>
        <w:rFonts w:ascii="Wingdings" w:hAnsi="Wingdings" w:hint="default"/>
      </w:rPr>
    </w:lvl>
    <w:lvl w:ilvl="5" w:tplc="EDCAFAAA" w:tentative="1">
      <w:start w:val="1"/>
      <w:numFmt w:val="bullet"/>
      <w:lvlText w:val=""/>
      <w:lvlJc w:val="left"/>
      <w:pPr>
        <w:tabs>
          <w:tab w:val="num" w:pos="4320"/>
        </w:tabs>
        <w:ind w:left="4320" w:hanging="360"/>
      </w:pPr>
      <w:rPr>
        <w:rFonts w:ascii="Wingdings" w:hAnsi="Wingdings" w:hint="default"/>
      </w:rPr>
    </w:lvl>
    <w:lvl w:ilvl="6" w:tplc="0590A3AC" w:tentative="1">
      <w:start w:val="1"/>
      <w:numFmt w:val="bullet"/>
      <w:lvlText w:val=""/>
      <w:lvlJc w:val="left"/>
      <w:pPr>
        <w:tabs>
          <w:tab w:val="num" w:pos="5040"/>
        </w:tabs>
        <w:ind w:left="5040" w:hanging="360"/>
      </w:pPr>
      <w:rPr>
        <w:rFonts w:ascii="Wingdings" w:hAnsi="Wingdings" w:hint="default"/>
      </w:rPr>
    </w:lvl>
    <w:lvl w:ilvl="7" w:tplc="74AAFBE2" w:tentative="1">
      <w:start w:val="1"/>
      <w:numFmt w:val="bullet"/>
      <w:lvlText w:val=""/>
      <w:lvlJc w:val="left"/>
      <w:pPr>
        <w:tabs>
          <w:tab w:val="num" w:pos="5760"/>
        </w:tabs>
        <w:ind w:left="5760" w:hanging="360"/>
      </w:pPr>
      <w:rPr>
        <w:rFonts w:ascii="Wingdings" w:hAnsi="Wingdings" w:hint="default"/>
      </w:rPr>
    </w:lvl>
    <w:lvl w:ilvl="8" w:tplc="C0BA537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A403C"/>
    <w:multiLevelType w:val="hybridMultilevel"/>
    <w:tmpl w:val="218EB83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F6E4D"/>
    <w:multiLevelType w:val="multilevel"/>
    <w:tmpl w:val="9720385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72756BA"/>
    <w:multiLevelType w:val="multilevel"/>
    <w:tmpl w:val="EAF2EC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9D262EF"/>
    <w:multiLevelType w:val="multilevel"/>
    <w:tmpl w:val="55D891F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8523946"/>
    <w:multiLevelType w:val="hybridMultilevel"/>
    <w:tmpl w:val="F70AE1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C15550"/>
    <w:multiLevelType w:val="multilevel"/>
    <w:tmpl w:val="3B5232A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CA257C7"/>
    <w:multiLevelType w:val="multilevel"/>
    <w:tmpl w:val="69848458"/>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6"/>
  </w:num>
  <w:num w:numId="3">
    <w:abstractNumId w:val="5"/>
  </w:num>
  <w:num w:numId="4">
    <w:abstractNumId w:val="0"/>
  </w:num>
  <w:num w:numId="5">
    <w:abstractNumId w:val="2"/>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DB4"/>
    <w:rsid w:val="0005569C"/>
    <w:rsid w:val="00367E9B"/>
    <w:rsid w:val="003979C4"/>
    <w:rsid w:val="004B762C"/>
    <w:rsid w:val="004D23F3"/>
    <w:rsid w:val="00507119"/>
    <w:rsid w:val="00795C86"/>
    <w:rsid w:val="007B1D6F"/>
    <w:rsid w:val="007C05CC"/>
    <w:rsid w:val="007C5969"/>
    <w:rsid w:val="00930214"/>
    <w:rsid w:val="009554DE"/>
    <w:rsid w:val="00A0344E"/>
    <w:rsid w:val="00A56716"/>
    <w:rsid w:val="00A72A60"/>
    <w:rsid w:val="00B035FF"/>
    <w:rsid w:val="00B65DB4"/>
    <w:rsid w:val="00B91BD7"/>
    <w:rsid w:val="00C71BA7"/>
    <w:rsid w:val="00D123F8"/>
    <w:rsid w:val="00DF49A1"/>
    <w:rsid w:val="00E009AC"/>
    <w:rsid w:val="00F51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FD850"/>
  <w15:chartTrackingRefBased/>
  <w15:docId w15:val="{31C27B37-D9AD-4CAA-B615-DCF08D1DB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49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49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ive">
    <w:name w:val="relative"/>
    <w:basedOn w:val="DefaultParagraphFont"/>
    <w:rsid w:val="00DF49A1"/>
  </w:style>
  <w:style w:type="paragraph" w:styleId="ListParagraph">
    <w:name w:val="List Paragraph"/>
    <w:basedOn w:val="Normal"/>
    <w:uiPriority w:val="34"/>
    <w:qFormat/>
    <w:rsid w:val="00DF49A1"/>
    <w:pPr>
      <w:ind w:left="720"/>
      <w:contextualSpacing/>
    </w:pPr>
  </w:style>
  <w:style w:type="table" w:styleId="TableGrid">
    <w:name w:val="Table Grid"/>
    <w:basedOn w:val="TableNormal"/>
    <w:uiPriority w:val="39"/>
    <w:rsid w:val="00DF49A1"/>
    <w:pPr>
      <w:spacing w:after="0" w:line="240" w:lineRule="auto"/>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49A1"/>
    <w:rPr>
      <w:color w:val="0563C1" w:themeColor="hyperlink"/>
      <w:u w:val="single"/>
    </w:rPr>
  </w:style>
  <w:style w:type="character" w:styleId="LineNumber">
    <w:name w:val="line number"/>
    <w:basedOn w:val="DefaultParagraphFont"/>
    <w:uiPriority w:val="99"/>
    <w:semiHidden/>
    <w:unhideWhenUsed/>
    <w:rsid w:val="007B1D6F"/>
  </w:style>
  <w:style w:type="paragraph" w:styleId="Header">
    <w:name w:val="header"/>
    <w:basedOn w:val="Normal"/>
    <w:link w:val="HeaderChar"/>
    <w:uiPriority w:val="99"/>
    <w:unhideWhenUsed/>
    <w:rsid w:val="00D123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3F8"/>
  </w:style>
  <w:style w:type="paragraph" w:styleId="Footer">
    <w:name w:val="footer"/>
    <w:basedOn w:val="Normal"/>
    <w:link w:val="FooterChar"/>
    <w:uiPriority w:val="99"/>
    <w:unhideWhenUsed/>
    <w:rsid w:val="00D123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3F8"/>
  </w:style>
  <w:style w:type="character" w:styleId="UnresolvedMention">
    <w:name w:val="Unresolved Mention"/>
    <w:basedOn w:val="DefaultParagraphFont"/>
    <w:uiPriority w:val="99"/>
    <w:semiHidden/>
    <w:unhideWhenUsed/>
    <w:rsid w:val="00E009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24</Pages>
  <Words>6077</Words>
  <Characters>34643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9</cp:revision>
  <dcterms:created xsi:type="dcterms:W3CDTF">2025-11-14T04:58:00Z</dcterms:created>
  <dcterms:modified xsi:type="dcterms:W3CDTF">2025-11-14T11:31:00Z</dcterms:modified>
</cp:coreProperties>
</file>