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70948" w14:textId="4B439A27" w:rsidR="00FD2728" w:rsidRDefault="00FD2728" w:rsidP="008D6D23">
      <w:pPr>
        <w:spacing w:line="480" w:lineRule="auto"/>
        <w:jc w:val="right"/>
        <w:rPr>
          <w:rFonts w:ascii="Arial" w:hAnsi="Arial" w:cs="Arial"/>
          <w:b/>
          <w:bCs/>
          <w:sz w:val="36"/>
          <w:szCs w:val="36"/>
        </w:rPr>
      </w:pPr>
      <w:r w:rsidRPr="00FD2728">
        <w:rPr>
          <w:rFonts w:ascii="Arial" w:hAnsi="Arial" w:cs="Arial"/>
          <w:b/>
          <w:bCs/>
          <w:i/>
          <w:iCs/>
          <w:sz w:val="36"/>
          <w:szCs w:val="36"/>
          <w:u w:val="single"/>
        </w:rPr>
        <w:t>Original Research Article</w:t>
      </w:r>
    </w:p>
    <w:p w14:paraId="49512CE3" w14:textId="1DFEF0C2" w:rsidR="00A258C3" w:rsidRPr="008D6D23" w:rsidRDefault="00F96CC6" w:rsidP="008D6D23">
      <w:pPr>
        <w:spacing w:line="480" w:lineRule="auto"/>
        <w:jc w:val="right"/>
        <w:rPr>
          <w:rFonts w:ascii="Arial" w:hAnsi="Arial" w:cs="Arial"/>
          <w:b/>
          <w:bCs/>
          <w:sz w:val="36"/>
          <w:szCs w:val="36"/>
        </w:rPr>
      </w:pPr>
      <w:r w:rsidRPr="00F96CC6">
        <w:rPr>
          <w:rFonts w:ascii="Arial" w:hAnsi="Arial" w:cs="Arial"/>
          <w:b/>
          <w:bCs/>
          <w:sz w:val="36"/>
          <w:szCs w:val="36"/>
        </w:rPr>
        <w:t xml:space="preserve">Removal of oil spills on water using biochar of the fruit of </w:t>
      </w:r>
      <w:proofErr w:type="spellStart"/>
      <w:r w:rsidRPr="00F96CC6">
        <w:rPr>
          <w:rFonts w:ascii="Arial" w:hAnsi="Arial" w:cs="Arial"/>
          <w:b/>
          <w:bCs/>
          <w:i/>
          <w:iCs/>
          <w:sz w:val="36"/>
          <w:szCs w:val="36"/>
        </w:rPr>
        <w:t>Cerbera</w:t>
      </w:r>
      <w:proofErr w:type="spellEnd"/>
      <w:r w:rsidRPr="00F96CC6">
        <w:rPr>
          <w:rFonts w:ascii="Arial" w:hAnsi="Arial" w:cs="Arial"/>
          <w:b/>
          <w:bCs/>
          <w:i/>
          <w:iCs/>
          <w:sz w:val="36"/>
          <w:szCs w:val="36"/>
        </w:rPr>
        <w:t xml:space="preserve"> </w:t>
      </w:r>
      <w:proofErr w:type="spellStart"/>
      <w:r w:rsidRPr="00F96CC6">
        <w:rPr>
          <w:rFonts w:ascii="Arial" w:hAnsi="Arial" w:cs="Arial"/>
          <w:b/>
          <w:bCs/>
          <w:i/>
          <w:iCs/>
          <w:sz w:val="36"/>
          <w:szCs w:val="36"/>
        </w:rPr>
        <w:t>manghas</w:t>
      </w:r>
      <w:proofErr w:type="spellEnd"/>
      <w:r w:rsidRPr="00F96CC6">
        <w:rPr>
          <w:rFonts w:ascii="Arial" w:hAnsi="Arial" w:cs="Arial"/>
          <w:b/>
          <w:bCs/>
          <w:sz w:val="36"/>
          <w:szCs w:val="36"/>
        </w:rPr>
        <w:t xml:space="preserve"> (</w:t>
      </w:r>
      <w:proofErr w:type="spellStart"/>
      <w:r w:rsidRPr="00F96CC6">
        <w:rPr>
          <w:rFonts w:ascii="Arial" w:hAnsi="Arial" w:cs="Arial"/>
          <w:b/>
          <w:bCs/>
          <w:sz w:val="36"/>
          <w:szCs w:val="36"/>
        </w:rPr>
        <w:t>Wel</w:t>
      </w:r>
      <w:proofErr w:type="spellEnd"/>
      <w:r w:rsidRPr="00F96CC6">
        <w:rPr>
          <w:rFonts w:ascii="Arial" w:hAnsi="Arial" w:cs="Arial"/>
          <w:b/>
          <w:bCs/>
          <w:sz w:val="36"/>
          <w:szCs w:val="36"/>
        </w:rPr>
        <w:t xml:space="preserve"> </w:t>
      </w:r>
      <w:proofErr w:type="spellStart"/>
      <w:r w:rsidRPr="00F96CC6">
        <w:rPr>
          <w:rFonts w:ascii="Arial" w:hAnsi="Arial" w:cs="Arial"/>
          <w:b/>
          <w:bCs/>
          <w:sz w:val="36"/>
          <w:szCs w:val="36"/>
        </w:rPr>
        <w:t>Kaduru</w:t>
      </w:r>
      <w:proofErr w:type="spellEnd"/>
      <w:r w:rsidRPr="00F96CC6">
        <w:rPr>
          <w:rFonts w:ascii="Arial" w:hAnsi="Arial" w:cs="Arial"/>
          <w:b/>
          <w:bCs/>
          <w:sz w:val="36"/>
          <w:szCs w:val="36"/>
        </w:rPr>
        <w:t>)</w:t>
      </w:r>
    </w:p>
    <w:p w14:paraId="5C38C209" w14:textId="77777777" w:rsidR="00F3354E" w:rsidRDefault="00F3354E" w:rsidP="00B509EC">
      <w:pPr>
        <w:pStyle w:val="Copyright"/>
        <w:spacing w:after="0" w:line="480" w:lineRule="auto"/>
        <w:jc w:val="both"/>
        <w:rPr>
          <w:rFonts w:ascii="Arial" w:hAnsi="Arial" w:cs="Arial"/>
        </w:rPr>
      </w:pPr>
    </w:p>
    <w:p w14:paraId="541513B3" w14:textId="5A893164" w:rsidR="00B01FCD" w:rsidRPr="00FB3A86" w:rsidRDefault="004B7ADB" w:rsidP="00B509EC">
      <w:pPr>
        <w:pStyle w:val="Copyright"/>
        <w:spacing w:after="0" w:line="480" w:lineRule="auto"/>
        <w:jc w:val="both"/>
        <w:rPr>
          <w:rFonts w:ascii="Arial" w:hAnsi="Arial" w:cs="Arial"/>
        </w:rPr>
        <w:sectPr w:rsidR="00B01FCD" w:rsidRPr="00FB3A86" w:rsidSect="00F3354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CA8E25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F8C9C79" w14:textId="5A7F8A1D" w:rsidR="00790ADA" w:rsidRPr="00FB3A86" w:rsidRDefault="00B01FCD" w:rsidP="005837A6">
      <w:pPr>
        <w:pStyle w:val="AbstHead"/>
        <w:spacing w:after="0" w:line="480" w:lineRule="auto"/>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4CB2404" w14:textId="77777777" w:rsidTr="001E44FE">
        <w:tc>
          <w:tcPr>
            <w:tcW w:w="9576" w:type="dxa"/>
            <w:shd w:val="clear" w:color="auto" w:fill="F2F2F2"/>
          </w:tcPr>
          <w:p w14:paraId="6C188C4C" w14:textId="1BCEFA31" w:rsidR="00505F06" w:rsidRPr="00E37CF8" w:rsidRDefault="00E37CF8" w:rsidP="00E37CF8">
            <w:pPr>
              <w:spacing w:line="480" w:lineRule="auto"/>
              <w:jc w:val="both"/>
              <w:rPr>
                <w:rFonts w:ascii="Arial" w:hAnsi="Arial" w:cs="Arial"/>
              </w:rPr>
            </w:pPr>
            <w:r w:rsidRPr="00E37CF8">
              <w:rPr>
                <w:rFonts w:ascii="Arial" w:hAnsi="Arial" w:cs="Arial"/>
              </w:rPr>
              <w:t>Marine ecosystems and inland surface water are important in maintaining the natural environmental balance, yet pollution has become a serious concern recently. Among many pollutants, oil spills require prompt attention due to their severe threat.  Natural sorbents have emerged as a sustainable solution for oil spill removal, mainly due to their low-cost, availability, biodegradation, and buoyancy. Through this research, the capability of </w:t>
            </w:r>
            <w:proofErr w:type="spellStart"/>
            <w:r w:rsidRPr="00E37CF8">
              <w:rPr>
                <w:rFonts w:ascii="Arial" w:hAnsi="Arial" w:cs="Arial"/>
                <w:i/>
                <w:iCs/>
              </w:rPr>
              <w:t>Cerbera</w:t>
            </w:r>
            <w:proofErr w:type="spellEnd"/>
            <w:r w:rsidRPr="00E37CF8">
              <w:rPr>
                <w:rFonts w:ascii="Arial" w:hAnsi="Arial" w:cs="Arial"/>
                <w:i/>
                <w:iCs/>
              </w:rPr>
              <w:t xml:space="preserve"> </w:t>
            </w:r>
            <w:proofErr w:type="spellStart"/>
            <w:r w:rsidRPr="00E37CF8">
              <w:rPr>
                <w:rFonts w:ascii="Arial" w:hAnsi="Arial" w:cs="Arial"/>
                <w:i/>
                <w:iCs/>
              </w:rPr>
              <w:t>manghas</w:t>
            </w:r>
            <w:proofErr w:type="spellEnd"/>
            <w:r w:rsidRPr="00E37CF8">
              <w:rPr>
                <w:rFonts w:ascii="Arial" w:hAnsi="Arial" w:cs="Arial"/>
                <w:i/>
                <w:iCs/>
              </w:rPr>
              <w:t> </w:t>
            </w:r>
            <w:r w:rsidRPr="00E37CF8">
              <w:rPr>
                <w:rFonts w:ascii="Arial" w:hAnsi="Arial" w:cs="Arial"/>
              </w:rPr>
              <w:t>(</w:t>
            </w:r>
            <w:proofErr w:type="spellStart"/>
            <w:r w:rsidRPr="00E37CF8">
              <w:rPr>
                <w:rFonts w:ascii="Arial" w:hAnsi="Arial" w:cs="Arial"/>
              </w:rPr>
              <w:t>Wel</w:t>
            </w:r>
            <w:proofErr w:type="spellEnd"/>
            <w:r w:rsidRPr="00E37CF8">
              <w:rPr>
                <w:rFonts w:ascii="Arial" w:hAnsi="Arial" w:cs="Arial"/>
              </w:rPr>
              <w:t xml:space="preserve"> </w:t>
            </w:r>
            <w:proofErr w:type="spellStart"/>
            <w:r w:rsidRPr="00E37CF8">
              <w:rPr>
                <w:rFonts w:ascii="Arial" w:hAnsi="Arial" w:cs="Arial"/>
              </w:rPr>
              <w:t>Kaduru</w:t>
            </w:r>
            <w:proofErr w:type="spellEnd"/>
            <w:r w:rsidRPr="00E37CF8">
              <w:rPr>
                <w:rFonts w:ascii="Arial" w:hAnsi="Arial" w:cs="Arial"/>
              </w:rPr>
              <w:t xml:space="preserve"> in Sinhala) fruit, a natural sorbent and waste material, was investigated for oil spill removal. The efficiency of biochar produced by this natural sorbent was optimized for dosage, size, pore morphology, contact time, oil type, oil volume and salinity. Maximum adsorption capacities for crude, engine and motor oils are in the range of 4.9 +/- 0.00 and 11.1 +/- 0.03 g oil/g biochar, highlighting the fact that the maximum capacity depends on the oil type. With the variation of the biochar dosage, the maximum adsorption capacity ranges from 7.4 +/- 0.01 to 10.5 +/- 0.02 g oil/g, indicating that the extent of oil adsorption increases with the biochar dosage. Variation of the time of interaction of oil types with the biochar led to maximum adsorption capacities within 30‒45 min. Moreover, the extent of removal of oil was strongly affected by the size of the sorbent, suggesting that small sizes are more effective in oil cleanup. The oil-adsorbed biochar is subsequently used for energy production, and its residual could be used for dye removal. This adsorption process neither fits the Langmuir nor the Freundlich isotherm model, indicating multilayer </w:t>
            </w:r>
            <w:r w:rsidRPr="00E37CF8">
              <w:rPr>
                <w:rFonts w:ascii="Arial" w:hAnsi="Arial" w:cs="Arial"/>
              </w:rPr>
              <w:lastRenderedPageBreak/>
              <w:t>adsorption and hydrophobic behavior. Biochar characterization was done using FTIR and SEM, to analyze surface functional groups and pore morphology, while XRF detected surface metals. Overall, this biochar offers an and effective approach to cleanup oil spills in water sources in a practical and sustainable manner.</w:t>
            </w:r>
            <w:r w:rsidR="00847A2A" w:rsidRPr="00E37CF8">
              <w:rPr>
                <w:rFonts w:ascii="Arial" w:hAnsi="Arial" w:cs="Arial"/>
              </w:rPr>
              <w:t xml:space="preserve"> </w:t>
            </w:r>
          </w:p>
        </w:tc>
      </w:tr>
    </w:tbl>
    <w:p w14:paraId="413920CC" w14:textId="18877539" w:rsidR="00505F06" w:rsidRDefault="00A24E7E" w:rsidP="00B509EC">
      <w:pPr>
        <w:pStyle w:val="Body"/>
        <w:spacing w:after="0" w:line="480" w:lineRule="auto"/>
        <w:rPr>
          <w:rFonts w:ascii="Arial" w:hAnsi="Arial" w:cs="Arial"/>
          <w:i/>
        </w:rPr>
      </w:pPr>
      <w:r w:rsidRPr="00847A2A">
        <w:rPr>
          <w:rFonts w:ascii="Arial" w:hAnsi="Arial" w:cs="Arial"/>
          <w:i/>
        </w:rPr>
        <w:lastRenderedPageBreak/>
        <w:t xml:space="preserve">Keywords: </w:t>
      </w:r>
      <w:r w:rsidR="00847A2A" w:rsidRPr="00847A2A">
        <w:rPr>
          <w:rFonts w:ascii="Arial" w:hAnsi="Arial" w:cs="Arial"/>
          <w:i/>
        </w:rPr>
        <w:t>Adsorption, Biochar, Capacity, Sorbent, Sustainability</w:t>
      </w:r>
    </w:p>
    <w:p w14:paraId="2DD1E0C5" w14:textId="7ED8B9EA" w:rsidR="00790ADA" w:rsidRPr="00FB3A86" w:rsidRDefault="00902823" w:rsidP="00B509EC">
      <w:pPr>
        <w:pStyle w:val="AbstHead"/>
        <w:spacing w:after="0" w:line="480" w:lineRule="auto"/>
        <w:jc w:val="both"/>
        <w:rPr>
          <w:rFonts w:ascii="Arial" w:hAnsi="Arial" w:cs="Arial"/>
        </w:rPr>
      </w:pPr>
      <w:r>
        <w:rPr>
          <w:rFonts w:ascii="Arial" w:hAnsi="Arial" w:cs="Arial"/>
        </w:rPr>
        <w:t xml:space="preserve">1. </w:t>
      </w:r>
      <w:r w:rsidR="00B01FCD" w:rsidRPr="00FB3A86">
        <w:rPr>
          <w:rFonts w:ascii="Arial" w:hAnsi="Arial" w:cs="Arial"/>
        </w:rPr>
        <w:t>INTRODUCTION</w:t>
      </w:r>
    </w:p>
    <w:p w14:paraId="24DBD641" w14:textId="3A95720E" w:rsidR="00DE5CC6" w:rsidRPr="00DE5CC6"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The natural environment, which refers to the surroundings in which living organisms, including humans, exist and interact, encompasses the entire system of physical, biological and chemical factors that influence life on Earth. The</w:t>
      </w:r>
      <w:r w:rsidR="00E1758D">
        <w:rPr>
          <w:rFonts w:ascii="Arial" w:eastAsia="Aptos" w:hAnsi="Arial" w:cs="Arial"/>
          <w:kern w:val="2"/>
        </w:rPr>
        <w:t xml:space="preserve"> </w:t>
      </w:r>
      <w:r w:rsidRPr="00DE5CC6">
        <w:rPr>
          <w:rFonts w:ascii="Arial" w:eastAsia="Aptos" w:hAnsi="Arial" w:cs="Arial"/>
          <w:kern w:val="2"/>
        </w:rPr>
        <w:t>natural environment provides resources such as clean air, water, food and habitat for diverse species to sustain life on Earth. Human activities, however, impact the natural environment</w:t>
      </w:r>
      <w:r w:rsidR="00E1758D">
        <w:rPr>
          <w:rFonts w:ascii="Arial" w:eastAsia="Aptos" w:hAnsi="Arial" w:cs="Arial"/>
          <w:kern w:val="2"/>
        </w:rPr>
        <w:t xml:space="preserve"> </w:t>
      </w:r>
      <w:r w:rsidRPr="00DE5CC6">
        <w:rPr>
          <w:rFonts w:ascii="Arial" w:eastAsia="Aptos" w:hAnsi="Arial" w:cs="Arial"/>
          <w:kern w:val="2"/>
        </w:rPr>
        <w:t>negatively through pollution, deforestation, climate change, and other activities</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ISBN":"9781138206489","author":[{"dropping-particle":"","family":"Sociology","given":"Environmental","non-dropping-particle":"","parse-names":false,"suffix":""},{"dropping-particle":"","family":"Issues","given":"Environmental","non-dropping-particle":"","parse-names":false,"suffix":""},{"dropping-particle":"","family":"Studies","given":"Environmental","non-dropping-particle":"","parse-names":false,"suffix":""},{"dropping-particle":"","family":"Science","given":"Political","non-dropping-particle":"","parse-names":false,"suffix":""},{"dropping-particle":"","family":"Geography","given":"Human","non-dropping-particle":"","parse-names":false,"suffix":""},{"dropping-particle":"","family":"Harper","given":"Charles","non-dropping-particle":"","parse-names":false,"suffix":""},{"dropping-particle":"","family":"Snowden","given":"Monica","non-dropping-particle":"","parse-names":false,"suffix":""}],"id":"ITEM-1","issued":{"date-parts":[["0"]]},"title":"Environment and Society","type":"book"},"uris":["http://www.mendeley.com/documents/?uuid=7aeb11c9-0da2-4575-9f45-12408ccdf586"]}],"mendeley":{"formattedCitation":"[1]","plainTextFormattedCitation":"[1]","previouslyFormattedCitation":"(1)"},"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[1]</w:t>
      </w:r>
      <w:r w:rsidRPr="00DE5CC6">
        <w:rPr>
          <w:rFonts w:ascii="Arial" w:eastAsia="Aptos" w:hAnsi="Arial" w:cs="Arial"/>
          <w:kern w:val="2"/>
        </w:rPr>
        <w:fldChar w:fldCharType="end"/>
      </w:r>
      <w:r w:rsidRPr="00DE5CC6">
        <w:rPr>
          <w:rFonts w:ascii="Arial" w:eastAsia="Aptos" w:hAnsi="Arial" w:cs="Arial"/>
          <w:kern w:val="2"/>
        </w:rPr>
        <w:t>.</w:t>
      </w:r>
      <w:r w:rsidR="00E1758D">
        <w:rPr>
          <w:rFonts w:ascii="Arial" w:eastAsia="Aptos" w:hAnsi="Arial" w:cs="Arial"/>
          <w:kern w:val="2"/>
        </w:rPr>
        <w:t xml:space="preserve"> </w:t>
      </w:r>
      <w:r w:rsidRPr="00DE5CC6">
        <w:rPr>
          <w:rFonts w:ascii="Arial" w:eastAsia="Aptos" w:hAnsi="Arial" w:cs="Arial"/>
          <w:kern w:val="2"/>
        </w:rPr>
        <w:t>Among all the natural resources, water is considered to be the most important, yet the availability of natural water sources has become scares due to the increase of pollution</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{"citationItems":[{"id":"ITEM-1","itemData":{"DOI":"10.1080/00139157.2014.922382","ISSN":"19399154","author":[{"dropping-particle":"","family":"Farrington","given":"John W.","non-dropping-particle":"","parse-names":false,"suffix":""}],"container-title":"Environment","id":"ITEM-1","issue":"4","issued":{"date-parts":[["2014"]]},"page":"16-31","title":"Oil pollution in the marine environment II: Fates and effects of oil spills","type":"article-journal","volume":"56"},"uris":["http://www.mendeley.com/documents/?uuid=92bf6722-7b34-4301-812d-2d3e1c4a3026"]}],"mendeley":{"formattedCitation":"[2]","plainTextFormattedCitation":"[2]","previouslyFormattedCitation":"(2)"},"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[2]</w:t>
      </w:r>
      <w:r w:rsidRPr="00DE5CC6">
        <w:rPr>
          <w:rFonts w:ascii="Arial" w:eastAsia="Aptos" w:hAnsi="Arial" w:cs="Arial"/>
          <w:kern w:val="2"/>
        </w:rPr>
        <w:fldChar w:fldCharType="end"/>
      </w:r>
      <w:r w:rsidRPr="00DE5CC6">
        <w:rPr>
          <w:rFonts w:ascii="Arial" w:eastAsia="Aptos" w:hAnsi="Arial" w:cs="Arial"/>
          <w:kern w:val="2"/>
        </w:rPr>
        <w:t xml:space="preserve">. </w:t>
      </w:r>
    </w:p>
    <w:p w14:paraId="20B730D1" w14:textId="5F779C9B" w:rsidR="00DE5CC6" w:rsidRPr="00DE5CC6"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Environmental pollution, at</w:t>
      </w:r>
      <w:r w:rsidR="00D14D89">
        <w:rPr>
          <w:rFonts w:ascii="Arial" w:eastAsia="Aptos" w:hAnsi="Arial" w:cs="Arial"/>
          <w:kern w:val="2"/>
        </w:rPr>
        <w:t xml:space="preserve"> </w:t>
      </w:r>
      <w:r w:rsidRPr="00DE5CC6">
        <w:rPr>
          <w:rFonts w:ascii="Arial" w:eastAsia="Aptos" w:hAnsi="Arial" w:cs="Arial"/>
          <w:kern w:val="2"/>
        </w:rPr>
        <w:t>present, has become a serious concern with significant implications for ecosystems, human health, and the overall quality of life. Among all forms of pollution, water pollution has received the greatest attention, since natural water sources are gradually becoming polluted and being inappropriate for consumption and other uses due to the discharge of various pollutants. Discharge of different oil types has become a major issue with respect to water pollution</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{"citationItems":[{"id":"ITEM-1","itemData":{"DOI":"10.3844/ajessp.2011.424.440","ISSN":"1553345X","abstract":"Problem statement: Anthropogenic activities pollute the oceans with oil through land run off, vessels accidents, periodic tanker discharges and bilge discharges. Oil spills are environmental disasters that impact human, plants and wild life including birds, fish and mammals. Approach: In this study, the International Guidelines for Preventing Oils Spills and Response to Disasters were reviewed and the characteristics of oil spills were discussed. The advantages and disadvantages of various oil spill response methods were evaluated. A comparative analysis were performed on the currently available remediation technologies using 10 evaluation criteria that included cost, efficiency, time, impact on wild life, reliability, level of difficulty, oil recovery, weather, effect on physical/chemical characteristics of oil and the need for further treatment. The advantages and disadvantages of each response method were used to determine the score assigned to that method. Result: There are many government regualtions for individual countries that serve as prevention mesures for oil spills in the offshore environment. They have to do with the design of equipment and machinery used in the offshore environment and performing the necessary safety inspections. The primary objectives of response to oil spill are: to prevent the spill from moving onto shore, reduce the impact on marine life and speed the degradation of any unrecovered oil. There are several physical, chemical, thermal and biological remediation technologies for oil spills including booms, skimmers, sorbents, dispersants, insitu burning and bioremediation. Each technique has its advantages and disadvantages and the choice of a particular technique will depend on: Type of oil, physical, biological and economical characteristics of the spill, location, weather and sea conditions, amount spilled and rate of spillage, depth of water column, time of the year and effectiveness of technique. Coclusion: Based on the comparative analysis, oil recovery with mechanical methods and the application of dispersants followed by bioremediation is the most effective response for marine oil spill. © 2011 Science Publications.","author":[{"dropping-particle":"","family":"Dave","given":"D.","non-dropping-particle":"","parse-names":false,"suffix":""},{"dropping-particle":"","family":"Ghaly","given":"A. E.","non-dropping-particle":"","parse-names":false,"suffix":""}],"container-title":"American Journal of Environmental Sciences","id":"ITEM-1","issue":"5","issued":{"date-parts":[["2011"]]},"page":"424-440","title":"Remediation technologies for marine oil spills: A critical review and comparative analysis","type":"article-journal","volume":"7"},"uris":["http://www.mendeley.com/documents/?uuid=a89f2f5a-de6a-4938-a5f7-eb9be3e46ba2"]}],"mendeley":{"formattedCitation":"[3]","plainTextFormattedCitation":"[3]","previouslyFormattedCitation":"(3)"},"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[3]</w:t>
      </w:r>
      <w:r w:rsidRPr="00DE5CC6">
        <w:rPr>
          <w:rFonts w:ascii="Arial" w:eastAsia="Aptos" w:hAnsi="Arial" w:cs="Arial"/>
          <w:kern w:val="2"/>
        </w:rPr>
        <w:fldChar w:fldCharType="end"/>
      </w:r>
      <w:r w:rsidRPr="00DE5CC6">
        <w:rPr>
          <w:rFonts w:ascii="Arial" w:eastAsia="Aptos" w:hAnsi="Arial" w:cs="Arial"/>
          <w:kern w:val="2"/>
        </w:rPr>
        <w:t>. Oil spills in water are seriously considered in the marine environment and other aquatic systems due to considerable activities in offshore and onshore oil exploration, production, and transportation over the recent years</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{"citationItems":[{"id":"ITEM-1","itemData":{"DOI":"10.1016/B978-0-12-805052-1.00024-3","ISBN":"9780128050521","abstract":"As the major energy source worldwide, petroleum products have been increasingly produced and consumed, and the environmental impact involved also rises. Despite significant progress in reducing spillage through a variety of technological and regulatory prevention measures and better industry practices, the risk of significant oil spills remains. On a daily basis, hundreds to thousands of spills are likely to occur worldwide including in the oceans. Marine oil spills involve accidental release of oil ranging from various types of crude oil to a large array of refined products, from heavy persistent fuels to light, less persistent, but very toxic fuels. The chemical composition and bulk properties of the spilled oil, and the associated weathering reactions, govern their fate, behavior, and impact in the marine environments. Oil spills are of great concern due to the enormous economic loss and the long-term, significant harm to marine ecosystems, local economy, and coastal society and community. During the long period of oil and gas exploitation, the adverse impacts of marine oil spill have been documented in various aspects. This chapter summarizes facts and effects of oil spills in oceans, and based on this, the response strategies and policies can be improved.","author":[{"dropping-particle":"","family":"Zhang","given":"Baiyu","non-dropping-particle":"","parse-names":false,"suffix":""},{"dropping-particle":"","family":"Matchinski","given":"Ethan J.","non-dropping-particle":"","parse-names":false,"suffix":""},{"dropping-particle":"","family":"Chen","given":"Bing","non-dropping-particle":"","parse-names":false,"suffix":""},{"dropping-particle":"","family":"Ye","given":"Xudong","non-dropping-particle":"","parse-names":false,"suffix":""},{"dropping-particle":"","family":"Jing","given":"Liang","non-dropping-particle":"","parse-names":false,"suffix":""},{"dropping-particle":"","family":"Lee","given":"Kenneth","non-dropping-particle":"","parse-names":false,"suffix":""}],"container-title":"World Seas: An Environmental Evaluation Volume III: Ecological Issues and Environmental Impacts","edition":"Second Edi","id":"ITEM-1","issued":{"date-parts":[["2018"]]},"number-of-pages":"391-406","publisher":"Elsevier Ltd.","title":"Marine oil spills-oil pollution, sources and effects","type":"book"},"uris":["http://www.mendeley.com/documents/?uuid=afb02934-6fba-4f31-925e-cab85cb6cfa7"]}],"mendeley":{"formattedCitation":"[4]","plainTextFormattedCitation":"[4]","previouslyFormattedCitation":"(4)"},"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[4]</w:t>
      </w:r>
      <w:r w:rsidRPr="00DE5CC6">
        <w:rPr>
          <w:rFonts w:ascii="Arial" w:eastAsia="Aptos" w:hAnsi="Arial" w:cs="Arial"/>
          <w:kern w:val="2"/>
        </w:rPr>
        <w:fldChar w:fldCharType="end"/>
      </w:r>
      <w:r w:rsidRPr="00DE5CC6">
        <w:rPr>
          <w:rFonts w:ascii="Arial" w:eastAsia="Aptos" w:hAnsi="Arial" w:cs="Arial"/>
          <w:kern w:val="2"/>
        </w:rPr>
        <w:t>.</w:t>
      </w:r>
    </w:p>
    <w:p w14:paraId="2ED8740E" w14:textId="6B736764" w:rsidR="00DE5CC6" w:rsidRPr="00DE5CC6"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Many chemical, physical and biological methods are used to remove oil spills. Among these, the utilization of adsorbents, a physical removal method which follows the techniques of adsorption, provides an efficient means to remove oil</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{"citationItems":[{"id":"ITEM-1","itemData":{"DOI":"10.1016/j.jenvman.2012.08.028","ISBN":"9211458226","ISSN":"10958630","PMID":"23023039","abstract":"Water pollution due to organic contaminants is a serious issue because of acute toxicities and carcinogenic nature of the pollutants. Among various water treatment methods, adsorption is supposed as the best one due to its inexpensiveness, universal nature and ease of operation. Many waste materials used include fruit wastes, coconut shell, scrap tyres, bark and other tannin-rich materials, sawdust and other wood type materials, rice husk, petroleum wastes, fertilizer wastes, fly ash, sugar industry wastes blast furnace slag, chitosan and seafood processing wastes, seaweed and algae, peat moss, clays, red mud, zeolites, sediment and soil, ore minerals etc. These adsorbents have been found to remove various organic pollutants ranging from 80 to 99.9%. The present article describes the conversion of waste products into effective adsorbents and their application for water treatment. The possible mechanism of adsorption on these adsorbents has also been included in this article. Besides, attempts have been made to discuss the future perspectives of low cost adsorbents in water treatment. © 2012 Elsevier Ltd.","author":[{"dropping-particle":"","family":"Ali","given":"Imran","non-dropping-particle":"","parse-names":false,"suffix":""},{"dropping-particle":"","family":"Asim","given":"Mohd","non-dropping-particle":"","parse-names":false,"suffix":""},{"dropping-particle":"","family":"Khan","given":"Tabrez A.","non-dropping-particle":"","parse-names":false,"suffix":""}],"container-title":"Journal of Environmental Management","id":"ITEM-1","issued":{"date-parts":[["2012"]]},"page":"170-183","publisher":"Elsevier Ltd","title":"Low cost adsorbents for the removal of organic pollutants from wastewater","type":"article-journal","volume":"113"},"uris":["http://www.mendeley.com/documents/?uuid=96e318f6-30ad-4916-a4db-d51f80b166ae"]}],"mendeley":{"formattedCitation":"[5]","plainTextFormattedCitation":"[5]","previouslyFormattedCitation":"(5)"},"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[5]</w:t>
      </w:r>
      <w:r w:rsidRPr="00DE5CC6">
        <w:rPr>
          <w:rFonts w:ascii="Arial" w:eastAsia="Aptos" w:hAnsi="Arial" w:cs="Arial"/>
          <w:kern w:val="2"/>
        </w:rPr>
        <w:fldChar w:fldCharType="end"/>
      </w:r>
      <w:r w:rsidRPr="00DE5CC6">
        <w:rPr>
          <w:rFonts w:ascii="Arial" w:eastAsia="Aptos" w:hAnsi="Arial" w:cs="Arial"/>
          <w:kern w:val="2"/>
        </w:rPr>
        <w:t xml:space="preserve">. </w:t>
      </w:r>
      <w:r w:rsidRPr="00DE5CC6">
        <w:rPr>
          <w:rFonts w:ascii="Arial" w:eastAsia="Aptos" w:hAnsi="Arial" w:cs="Arial"/>
          <w:kern w:val="2"/>
          <w:lang w:bidi="si-LK"/>
        </w:rPr>
        <w:t xml:space="preserve">In the context of pollution removal, the phenomenon of adsorption takes place at the interface between a solid adsorbent and </w:t>
      </w:r>
      <w:r w:rsidRPr="00DE5CC6">
        <w:rPr>
          <w:rFonts w:ascii="Arial" w:eastAsia="Aptos" w:hAnsi="Arial" w:cs="Arial"/>
          <w:kern w:val="2"/>
          <w:lang w:bidi="si-LK"/>
        </w:rPr>
        <w:lastRenderedPageBreak/>
        <w:t xml:space="preserve">the polluted water. </w:t>
      </w:r>
      <w:r w:rsidRPr="00DE5CC6">
        <w:rPr>
          <w:rFonts w:ascii="Arial" w:eastAsia="Aptos" w:hAnsi="Arial" w:cs="Arial"/>
          <w:kern w:val="2"/>
        </w:rPr>
        <w:t>Adsorption can be either physisorption or chemisorption with respect to the interactions taking place between the surface and the adsorbent material. In physisorption, week physical forces such as Van der Waals forces, hydrogen bonds, dipole</w:t>
      </w:r>
      <w:r w:rsidRPr="00DE5CC6">
        <w:rPr>
          <w:rFonts w:ascii="Arial" w:eastAsia="Aptos" w:hAnsi="Arial" w:cs="Arial"/>
          <w:kern w:val="2"/>
        </w:rPr>
        <w:sym w:font="Symbol" w:char="F02D"/>
      </w:r>
      <w:r w:rsidRPr="00DE5CC6">
        <w:rPr>
          <w:rFonts w:ascii="Arial" w:eastAsia="Aptos" w:hAnsi="Arial" w:cs="Arial"/>
          <w:kern w:val="2"/>
        </w:rPr>
        <w:t>induced dipole interactions control the adsorption process which is reversible and non-dissociative leading to a multilayer uptake</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{"citationItems":[{"id":"ITEM-1","itemData":{"DOI":"10.1002/adfm.202007356","ISSN":"16163028","abstract":"The coexistence of multiple toxic water pollutants (heavy metals, organic dyes, oils, and organic solvents) limits the sustainable supply of clean water worldwide and urges the development of advanced water purification technology that can remove these contaminants simultaneously. Since its discovery, graphene-based materials have gained substantial attention toward development of new-generation sorbents for water purification. Despite several recently published reviews on water purification technology using graphene and its derivatives, there is still a gap in the review considering multiple water-pollutant remediation using advanced graphene materials. In this review, in the first instance, a comparative structure–function–performance relationship between graphene-based sorbents and the multipollutants in water is established. A fundamental correlation is made between the sorption performance for diverse pollutants in water with the more specific adsorption properties (surface area, pore size, type of functional groups, C/O, C/N, and C/S atomic ratio) of advanced graphene sorbents. Second, the underlying interaction mechanisms are uncovered between different classes of water pollutants using single graphene-based sorbents. Third, the rational design of advanced multipollutant sorbents based on graphene is elaborated. The reality, challenges, and opportunities of advanced graphene materials as emerging sorbents for sustainable water purification technology are finally presented in the last section.","author":[{"dropping-particle":"","family":"Yap","given":"Pei Lay","non-dropping-particle":"","parse-names":false,"suffix":""},{"dropping-particle":"","family":"Nine","given":"Md Julker","non-dropping-particle":"","parse-names":false,"suffix":""},{"dropping-particle":"","family":"Hassan","given":"Kamrul","non-dropping-particle":"","parse-names":false,"suffix":""},{"dropping-particle":"","family":"Tung","given":"Tran Thanh","non-dropping-particle":"","parse-names":false,"suffix":""},{"dropping-particle":"","family":"Tran","given":"Diana N.H.","non-dropping-particle":"","parse-names":false,"suffix":""},{"dropping-particle":"","family":"Losic","given":"Dusan","non-dropping-particle":"","parse-names":false,"suffix":""}],"container-title":"Advanced Functional Materials","id":"ITEM-1","issue":"9","issued":{"date-parts":[["2021"]]},"page":"1-25","title":"Graphene-Based Sorbents for Multipollutants Removal in Water: A Review of Recent Progress","type":"article-journal","volume":"31"},"uris":["http://www.mendeley.com/documents/?uuid=e94420ab-a312-4937-a8f9-79a70622bc55","http://www.mendeley.com/documents/?uuid=a5d9c2e1-8ca0-441c-96d3-b52a581738f4"]}],"mendeley":{"formattedCitation":"[6]","plainTextFormattedCitation":"[6]","previouslyFormattedCitation":"(6)"},"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[6]</w:t>
      </w:r>
      <w:r w:rsidRPr="00DE5CC6">
        <w:rPr>
          <w:rFonts w:ascii="Arial" w:eastAsia="Aptos" w:hAnsi="Arial" w:cs="Arial"/>
          <w:kern w:val="2"/>
        </w:rPr>
        <w:fldChar w:fldCharType="end"/>
      </w:r>
      <w:r w:rsidRPr="00DE5CC6">
        <w:rPr>
          <w:rFonts w:ascii="Arial" w:eastAsia="Aptos" w:hAnsi="Arial" w:cs="Arial"/>
          <w:kern w:val="2"/>
        </w:rPr>
        <w:t>. Since this is a non-</w:t>
      </w:r>
      <w:r w:rsidR="00DE2768" w:rsidRPr="00DE5CC6">
        <w:rPr>
          <w:rFonts w:ascii="Arial" w:eastAsia="Aptos" w:hAnsi="Arial" w:cs="Arial"/>
          <w:kern w:val="2"/>
        </w:rPr>
        <w:t>activated</w:t>
      </w:r>
      <w:r w:rsidRPr="00DE5CC6">
        <w:rPr>
          <w:rFonts w:ascii="Arial" w:eastAsia="Aptos" w:hAnsi="Arial" w:cs="Arial"/>
          <w:kern w:val="2"/>
        </w:rPr>
        <w:t xml:space="preserve"> process, kinetics of physisorption is fast and the adsorption enthalpy is related to factors such as molar mass and polarity. In chemisorption, chemical bond formation takes place, and hence, it is highly specific</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10.1016/j.envpol.2021.117676","ISSN":"0269-7491","author":[{"dropping-particle":"","family":"Upamali","given":"Anushka","non-dropping-particle":"","parse-names":false,"suffix":""},{"dropping-particle":"","family":"Pradeep","given":"P B Terney","non-dropping-particle":"","parse-names":false,"suffix":""},{"dropping-particle":"","family":"Triantafyllidis","given":"Konstantinos S","non-dropping-particle":"","parse-names":false,"suffix":""},{"dropping-particle":"","family":"Vithanage","given":"Meththika","non-dropping-particle":"","parse-names":false,"suffix":""}],"container-title":"Environmental Pollution","id":"ITEM-1","issue":"June","issued":{"date-parts":[["2021"]]},"page":"117676","publisher":"Elsevier Ltd","title":"Propensity and appraisal of biochar performance in removal of oil spills : A comprehensive review","type":"article-journal","volume":"288"},"uris":["http://www.mendeley.com/documents/?uuid=aadb9144-1091-4660-8910-eb3af1eddac8"]}],"mendeley":{"formattedCitation":"[7]","plainTextFormattedCitation":"[7]","previouslyFormattedCitation":"(7)"},"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[7]</w:t>
      </w:r>
      <w:r w:rsidRPr="00DE5CC6">
        <w:rPr>
          <w:rFonts w:ascii="Arial" w:eastAsia="Aptos" w:hAnsi="Arial" w:cs="Arial"/>
          <w:kern w:val="2"/>
        </w:rPr>
        <w:fldChar w:fldCharType="end"/>
      </w:r>
      <w:r w:rsidRPr="00DE5CC6">
        <w:rPr>
          <w:rFonts w:ascii="Arial" w:eastAsia="Aptos" w:hAnsi="Arial" w:cs="Arial"/>
          <w:kern w:val="2"/>
        </w:rPr>
        <w:t>. It is limited to monolayer adsorption, and the nature of adsorption is often dissociative. Chemisorption may be irreversible, and kinetics of adsorption could be complex depending on the specific adsorption type</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{"citationItems":[{"id":"ITEM-1","itemData":{"DOI":"10.1016/j.jenvman.2012.08.028","ISBN":"9211458226","ISSN":"10958630","PMID":"23023039","abstract":"Water pollution due to organic contaminants is a serious issue because of acute toxicities and carcinogenic nature of the pollutants. Among various water treatment methods, adsorption is supposed as the best one due to its inexpensiveness, universal nature and ease of operation. Many waste materials used include fruit wastes, coconut shell, scrap tyres, bark and other tannin-rich materials, sawdust and other wood type materials, rice husk, petroleum wastes, fertilizer wastes, fly ash, sugar industry wastes blast furnace slag, chitosan and seafood processing wastes, seaweed and algae, peat moss, clays, red mud, zeolites, sediment and soil, ore minerals etc. These adsorbents have been found to remove various organic pollutants ranging from 80 to 99.9%. The present article describes the conversion of waste products into effective adsorbents and their application for water treatment. The possible mechanism of adsorption on these adsorbents has also been included in this article. Besides, attempts have been made to discuss the future perspectives of low cost adsorbents in water treatment. © 2012 Elsevier Ltd.","author":[{"dropping-particle":"","family":"Ali","given":"Imran","non-dropping-particle":"","parse-names":false,"suffix":""},{"dropping-particle":"","family":"Asim","given":"Mohd","non-dropping-particle":"","parse-names":false,"suffix":""},{"dropping-particle":"","family":"Khan","given":"Tabrez A.","non-dropping-particle":"","parse-names":false,"suffix":""}],"container-title":"Journal of Environmental Management","id":"ITEM-1","issued":{"date-parts":[["2012"]]},"page":"170-183","publisher":"Elsevier Ltd","title":"Low cost adsorbents for the removal of organic pollutants from wastewater","type":"article-journal","volume":"113"},"uris":["http://www.mendeley.com/documents/?uuid=7bd07b65-6d36-43d3-a2f2-4c088f3b8a5a","http://www.mendeley.com/documents/?uuid=96e318f6-30ad-4916-a4db-d51f80b166ae"]}],"mendeley":{"formattedCitation":"[5]","plainTextFormattedCitation":"[5]","previouslyFormattedCitation":"(5)"},"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[5]</w:t>
      </w:r>
      <w:r w:rsidRPr="00DE5CC6">
        <w:rPr>
          <w:rFonts w:ascii="Arial" w:eastAsia="Aptos" w:hAnsi="Arial" w:cs="Arial"/>
          <w:kern w:val="2"/>
        </w:rPr>
        <w:fldChar w:fldCharType="end"/>
      </w:r>
      <w:r w:rsidRPr="00DE5CC6">
        <w:rPr>
          <w:rFonts w:ascii="Arial" w:eastAsia="Aptos" w:hAnsi="Arial" w:cs="Arial"/>
          <w:kern w:val="2"/>
        </w:rPr>
        <w:t>,</w:t>
      </w:r>
      <w:r w:rsidRPr="00DE5CC6">
        <w:rPr>
          <w:rFonts w:ascii="Arial" w:eastAsia="Aptos" w:hAnsi="Arial" w:cs="Arial"/>
          <w:kern w:val="2"/>
          <w:vertAlign w:val="superscript"/>
        </w:rPr>
        <w:fldChar w:fldCharType="begin" w:fldLock="1"/>
      </w:r>
      <w:r w:rsidR="00576422">
        <w:rPr>
          <w:rFonts w:ascii="Arial" w:eastAsia="Aptos" w:hAnsi="Arial" w:cs="Arial"/>
          <w:kern w:val="2"/>
          <w:vertAlign w:val="superscript"/>
        </w:rPr>
        <w:instrText>ADDIN CSL_CITATION {"citationItems":[{"id":"ITEM-1","itemData":{"DOI":"10.3389/fenvs.2021.678574","ISSN":"2296665X","abstract":"Microplastics, which serve as sources and vector transport of organic contaminants in both terrestrial and marine environments, are emerging micropollutants of increasing concerns due to their potential harmful impacts on the environment, biota and human health. Microplastic particles have a higher affinity for hydrophobic organic contaminants due to their high surface area-to-volume ratio, particularly in aqueous conditions. However, recent findings have shown that the concentrations of organic contaminants adsorbed on microplastic surfaces, as well as their fate through vector distribution and ecological risks, are largely influenced by prevailing environmental factors and physicochemical properties in the aquatic environment. Therefore, this review article draws on scientific literature to discuss inherent polymers typically used in plastics and their affinity for different organic contaminants, as well as the compositions, environmental factors, and polymeric properties that influence their variability in sorption capacities. Some of the specific points discussed are (a) an appraisal of microplastic types, composition and their fate and vector transport in the environment; (b) a critical assessment of sorption mechanisms and major polymeric factors influencing organic contaminants-micro (nano) plastics (MNPs) interactions; (c) an evaluation of the sorption capacities of organic chemical contaminants to MNPs in terms of polymeric sorption characteristics including hydrophobicity, Van der Waals forces, π–π bond, electrostatic, and hydrogen bond interactions; and (d) an overview of the sorption mechanisms and dynamics behind microplastics-organic contaminants interactions using kinetic and isothermal models. Furthermore, insights into future areas of research gaps have been highlighted.","author":[{"dropping-particle":"","family":"Agboola","given":"Omowumi D.","non-dropping-particle":"","parse-names":false,"suffix":""},{"dropping-particle":"","family":"Benson","given":"Nsikak U.","non-dropping-particle":"","parse-names":false,"suffix":""}],"container-title":"Frontiers in Environmental Science","id":"ITEM-1","issue":"May","issued":{"date-parts":[["2021"]]},"page":"1-27","title":"Physisorption and Chemisorption Mechanisms Influencing Micro (Nano) Plastics-Organic Chemical Contaminants Interactions: A Review","type":"article-journal","volume":"9"},"uris":["http://www.mendeley.com/documents/?uuid=d3b46f74-757d-46ca-8fd6-3d29cfe5c0a3","http://www.mendeley.com/documents/?uuid=790c2cdc-fbb9-4698-a2ce-c950487eb9b3"]}],"mendeley":{"formattedCitation":"[8]","plainTextFormattedCitation":"[8]","previouslyFormattedCitation":"(8)"},"properties":{"noteIndex":0},"schema":"https://github.com/citation-style-language/schema/raw/master/csl-citation.json"}</w:instrText>
      </w:r>
      <w:r w:rsidRPr="00DE5CC6">
        <w:rPr>
          <w:rFonts w:ascii="Arial" w:eastAsia="Aptos" w:hAnsi="Arial" w:cs="Arial"/>
          <w:kern w:val="2"/>
          <w:vertAlign w:val="superscript"/>
        </w:rPr>
        <w:fldChar w:fldCharType="separate"/>
      </w:r>
      <w:r w:rsidR="00576422" w:rsidRPr="00576422">
        <w:rPr>
          <w:rFonts w:ascii="Arial" w:eastAsia="Aptos" w:hAnsi="Arial" w:cs="Arial"/>
          <w:noProof/>
          <w:kern w:val="2"/>
        </w:rPr>
        <w:t>[8]</w:t>
      </w:r>
      <w:r w:rsidRPr="00DE5CC6">
        <w:rPr>
          <w:rFonts w:ascii="Arial" w:eastAsia="Aptos" w:hAnsi="Arial" w:cs="Arial"/>
          <w:kern w:val="2"/>
          <w:vertAlign w:val="superscript"/>
        </w:rPr>
        <w:fldChar w:fldCharType="end"/>
      </w:r>
      <w:r w:rsidRPr="00DE5CC6">
        <w:rPr>
          <w:rFonts w:ascii="Arial" w:eastAsia="Aptos" w:hAnsi="Arial" w:cs="Arial"/>
          <w:kern w:val="2"/>
        </w:rPr>
        <w:t>.</w:t>
      </w:r>
    </w:p>
    <w:p w14:paraId="40E9046B" w14:textId="46DAB31C" w:rsidR="00DE5CC6" w:rsidRPr="00DE5CC6" w:rsidRDefault="00DE5CC6" w:rsidP="00B509EC">
      <w:pPr>
        <w:spacing w:after="160" w:line="480" w:lineRule="auto"/>
        <w:jc w:val="both"/>
        <w:rPr>
          <w:rFonts w:ascii="Arial" w:eastAsia="Aptos" w:hAnsi="Arial" w:cs="Arial"/>
          <w:kern w:val="2"/>
        </w:rPr>
      </w:pPr>
      <w:r w:rsidRPr="00DE5CC6">
        <w:rPr>
          <w:rFonts w:ascii="Arial" w:eastAsia="Aptos" w:hAnsi="Arial" w:cs="Arial"/>
          <w:kern w:val="2"/>
        </w:rPr>
        <w:t>The degree of liquid packing that can occur in pores is determined using the adsorption capacity. The adsorption process would be more effective if the absorbate molecules and the adsorbent surface have comparable pore sizes. Adsorption capacity, which increases with the concentration of adsorbate and the surface area of adsorbent, can be calculated using the following equation</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author":[{"dropping-particle":"","family":"Behnood","given":"Reza","non-dropping-particle":"","parse-names":false,"suffix":""},{"dropping-particle":"","family":"Anvaripour","given":"Bagher","non-dropping-particle":"","parse-names":false,"suffix":""},{"dropping-particle":"","family":"Jaafarzade","given":"Nematollah","non-dropping-particle":"","parse-names":false,"suffix":""},{"dropping-particle":"","family":"Fard","given":"Haghighi","non-dropping-particle":"","parse-names":false,"suffix":""}],"id":"ITEM-1","issue":"4","issued":{"date-parts":[["2013"]]},"page":"1-11","title":"Application of Natural Sorbents in Crude Oil Adsorption","type":"article-journal","volume":"2"},"uris":["http://www.mendeley.com/documents/?uuid=a28865b4-f82a-432b-8504-e4c8af6a52af","http://www.mendeley.com/documents/?uuid=049a4dfc-f82f-4f22-8ea0-72a4493a8364"]}],"mendeley":{"formattedCitation":"[9]","plainTextFormattedCitation":"[9]","previouslyFormattedCitation":"(9)"},"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[9]</w:t>
      </w:r>
      <w:r w:rsidRPr="00DE5CC6">
        <w:rPr>
          <w:rFonts w:ascii="Arial" w:eastAsia="Aptos" w:hAnsi="Arial" w:cs="Arial"/>
          <w:kern w:val="2"/>
        </w:rPr>
        <w:fldChar w:fldCharType="end"/>
      </w:r>
      <w:r w:rsidRPr="00DE5CC6">
        <w:rPr>
          <w:rFonts w:ascii="Arial" w:eastAsia="Aptos" w:hAnsi="Arial" w:cs="Arial"/>
          <w:kern w:val="2"/>
        </w:rPr>
        <w:t>,</w:t>
      </w:r>
      <w:r w:rsidRPr="00DE5CC6">
        <w:rPr>
          <w:rFonts w:ascii="Arial" w:eastAsia="Aptos" w:hAnsi="Arial" w:cs="Arial"/>
          <w:kern w:val="2"/>
          <w:vertAlign w:val="superscript"/>
        </w:rPr>
        <w:fldChar w:fldCharType="begin" w:fldLock="1"/>
      </w:r>
      <w:r w:rsidR="00576422">
        <w:rPr>
          <w:rFonts w:ascii="Arial" w:eastAsia="Aptos" w:hAnsi="Arial" w:cs="Arial"/>
          <w:kern w:val="2"/>
          <w:vertAlign w:val="superscript"/>
        </w:rPr>
        <w:instrText>ADDIN CSL_CITATION {"citationItems":[{"id":"ITEM-1","itemData":{"DOI":"10.1016/j.indcrop.2015.06.034","ISSN":"09266690","abstract":"Structured natural fiber assemblies made by cattail fibers were prepared by novel air-laying-bonding with introduction of 10-20% polypropylene/polyethylene sheath-core composite fibers (ES). The oil sorption characteristics of assemblies were examined by pure oil and oil-over-water tests and compared with as-prepared kapok and cotton fiber assemblies. It was found that although cattail/ES fiber assemblies were relatively less preferred in oil sorption capacity (11-14. g/g), they showed about 90% of oil retention capacity even after 24. h dripping and remained above 80% of initial sorption capacity after 10 sorption/desorption cycles. For fiber assemblies with different ES blending ratios, a blending of 10% ES was preferable to obtain a reasonable bonding structure and meanwhile guarantee the assembly's best oil sorption performance. In oil selective test, cattail/ES fiber assemblies exhibited distinctly high oil-to-water selectivities, which were found to associate with cattail fiber's chemical characteristic including high wax content (10.64%), low surface energy (45.64. mN/m) and high ratio between dispersion and polar component (15.96). Compared with single fiber assemblies, blended fiber assemblies including two different natural fibers showed complementary oil sorption with more quantity introduction of kapok fibers significantly increasing oil sorption capacities, and cattail fibers significantly enhancing oil-to-water selectivities.","author":[{"dropping-particle":"","family":"Dong","given":"Ting","non-dropping-particle":"","parse-names":false,"suffix":""},{"dropping-particle":"","family":"Xu","given":"Guangbiao","non-dropping-particle":"","parse-names":false,"suffix":""},{"dropping-particle":"","family":"Wang","given":"Fumei","non-dropping-particle":"","parse-names":false,"suffix":""}],"container-title":"Industrial Crops and Products","id":"ITEM-1","issued":{"date-parts":[["2015"]]},"page":"25-33","publisher":"Elsevier B.V.","title":"Oil spill cleanup by structured natural sorbents made from cattail fibers","type":"article-journal","volume":"76"},"uris":["http://www.mendeley.com/documents/?uuid=04edf1c6-e63a-4401-a732-8dd19b744028","http://www.mendeley.com/documents/?uuid=8e50be2b-7771-4369-b428-925bde4f8779"]}],"mendeley":{"formattedCitation":"[10]","plainTextFormattedCitation":"[10]","previouslyFormattedCitation":"(10)"},"properties":{"noteIndex":0},"schema":"https://github.com/citation-style-language/schema/raw/master/csl-citation.json"}</w:instrText>
      </w:r>
      <w:r w:rsidRPr="00DE5CC6">
        <w:rPr>
          <w:rFonts w:ascii="Arial" w:eastAsia="Aptos" w:hAnsi="Arial" w:cs="Arial"/>
          <w:kern w:val="2"/>
          <w:vertAlign w:val="superscript"/>
        </w:rPr>
        <w:fldChar w:fldCharType="separate"/>
      </w:r>
      <w:r w:rsidR="00576422" w:rsidRPr="00576422">
        <w:rPr>
          <w:rFonts w:ascii="Arial" w:eastAsia="Aptos" w:hAnsi="Arial" w:cs="Arial"/>
          <w:noProof/>
          <w:kern w:val="2"/>
        </w:rPr>
        <w:t>[10]</w:t>
      </w:r>
      <w:r w:rsidRPr="00DE5CC6">
        <w:rPr>
          <w:rFonts w:ascii="Arial" w:eastAsia="Aptos" w:hAnsi="Arial" w:cs="Arial"/>
          <w:kern w:val="2"/>
          <w:vertAlign w:val="superscript"/>
        </w:rPr>
        <w:fldChar w:fldCharType="end"/>
      </w:r>
      <w:r w:rsidRPr="00DE5CC6">
        <w:rPr>
          <w:rFonts w:ascii="Arial" w:eastAsia="Aptos" w:hAnsi="Arial" w:cs="Arial"/>
          <w:kern w:val="2"/>
        </w:rPr>
        <w:t>.</w:t>
      </w:r>
    </w:p>
    <w:p w14:paraId="465B53B7" w14:textId="77777777" w:rsidR="00DE5CC6" w:rsidRPr="00DE5CC6" w:rsidRDefault="00DE5CC6" w:rsidP="00B509EC">
      <w:pPr>
        <w:spacing w:after="160" w:line="480" w:lineRule="auto"/>
        <w:jc w:val="both"/>
        <w:rPr>
          <w:rFonts w:ascii="Arial" w:hAnsi="Arial" w:cs="Arial"/>
          <w:iCs/>
          <w:kern w:val="2"/>
        </w:rPr>
      </w:pPr>
      <m:oMathPara>
        <m:oMath>
          <m:r>
            <m:rPr>
              <m:sty m:val="p"/>
            </m:rPr>
            <w:rPr>
              <w:rFonts w:ascii="Cambria Math" w:eastAsia="Aptos" w:hAnsi="Cambria Math" w:cs="Arial"/>
              <w:kern w:val="2"/>
            </w:rPr>
            <m:t xml:space="preserve">Adsorption capacity= </m:t>
          </m:r>
          <m:f>
            <m:fPr>
              <m:ctrlPr>
                <w:rPr>
                  <w:rFonts w:ascii="Cambria Math" w:eastAsia="Aptos" w:hAnsi="Cambria Math" w:cs="Arial"/>
                  <w:iCs/>
                  <w:kern w:val="2"/>
                </w:rPr>
              </m:ctrlPr>
            </m:fPr>
            <m:num>
              <m:r>
                <m:rPr>
                  <m:sty m:val="p"/>
                </m:rPr>
                <w:rPr>
                  <w:rFonts w:ascii="Cambria Math" w:eastAsia="Aptos" w:hAnsi="Cambria Math" w:cs="Arial"/>
                  <w:kern w:val="2"/>
                </w:rPr>
                <m:t>Mass of adsorbed oil (g)</m:t>
              </m:r>
            </m:num>
            <m:den>
              <m:r>
                <m:rPr>
                  <m:sty m:val="p"/>
                </m:rPr>
                <w:rPr>
                  <w:rFonts w:ascii="Cambria Math" w:eastAsia="Aptos" w:hAnsi="Cambria Math" w:cs="Arial"/>
                  <w:kern w:val="2"/>
                </w:rPr>
                <m:t>Mass of biochar (g)</m:t>
              </m:r>
            </m:den>
          </m:f>
        </m:oMath>
      </m:oMathPara>
    </w:p>
    <w:p w14:paraId="38A75AF6" w14:textId="347AAC42" w:rsidR="00DE5CC6" w:rsidRPr="00DE5CC6" w:rsidRDefault="00453E00" w:rsidP="00B509EC">
      <w:pPr>
        <w:spacing w:after="160" w:line="480" w:lineRule="auto"/>
        <w:jc w:val="both"/>
        <w:rPr>
          <w:rFonts w:ascii="Arial" w:eastAsia="Aptos" w:hAnsi="Arial" w:cs="Arial"/>
          <w:iCs/>
          <w:kern w:val="2"/>
        </w:rPr>
      </w:pPr>
      <w:r>
        <w:rPr>
          <w:rFonts w:ascii="Arial" w:hAnsi="Arial" w:cs="Arial"/>
          <w:iCs/>
          <w:kern w:val="2"/>
        </w:rPr>
        <w:t>w</w:t>
      </w:r>
      <w:r w:rsidR="00DE5CC6" w:rsidRPr="00DE5CC6">
        <w:rPr>
          <w:rFonts w:ascii="Arial" w:hAnsi="Arial" w:cs="Arial"/>
          <w:iCs/>
          <w:kern w:val="2"/>
        </w:rPr>
        <w:t xml:space="preserve">here, </w:t>
      </w:r>
      <m:oMath>
        <m:r>
          <m:rPr>
            <m:sty m:val="p"/>
          </m:rPr>
          <w:rPr>
            <w:rFonts w:ascii="Cambria Math" w:eastAsia="Aptos" w:hAnsi="Cambria Math" w:cs="Arial"/>
            <w:kern w:val="2"/>
          </w:rPr>
          <m:t>Mass of adsorbed oil= Mass of biochar after adsorption-Initial  mass of biochar</m:t>
        </m:r>
      </m:oMath>
    </w:p>
    <w:p w14:paraId="07597426" w14:textId="17C86644" w:rsidR="00DE5CC6" w:rsidRPr="00DE5CC6" w:rsidRDefault="00DE5CC6" w:rsidP="00B509EC">
      <w:pPr>
        <w:spacing w:after="160" w:line="480" w:lineRule="auto"/>
        <w:jc w:val="both"/>
        <w:rPr>
          <w:rFonts w:ascii="Arial" w:eastAsia="Aptos" w:hAnsi="Arial" w:cs="Arial"/>
          <w:iCs/>
          <w:kern w:val="2"/>
        </w:rPr>
      </w:pPr>
      <w:r w:rsidRPr="00DE5CC6">
        <w:rPr>
          <w:rFonts w:ascii="Arial" w:eastAsia="Aptos" w:hAnsi="Arial" w:cs="Arial"/>
          <w:kern w:val="2"/>
        </w:rPr>
        <w:t>The use of natural adsorbents has become an emerging topic due to many beneficial factors such as low-cost, availability, buoyancy, and environmentally friendly nature</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{"citationItems":[{"id":"ITEM-1","itemData":{"DOI":"10.11648/j.ajche.20200802.11","author":[{"dropping-particle":"","family":"Abel","given":"Ukpong Anwana","non-dropping-particle":"","parse-names":false,"suffix":""},{"dropping-particle":"","family":"Habor","given":"Gumus Rhoda","non-dropping-particle":"","parse-names":false,"suffix":""},{"dropping-particle":"","family":"Oseribho","given":"Oboh Innocent","non-dropping-particle":"","parse-names":false,"suffix":""}],"id":"ITEM-1","issue":"April","issued":{"date-parts":[["2020"]]},"title":"Adsorption Studies of Oil Spill Clean-up Using Coconut Coir Activated Carbon Adsorption Studies of Oil Spill Clean-up Using Coconut Coir Activated Carbon ( CCAC )","type":"article-journal"},"uris":["http://www.mendeley.com/documents/?uuid=b2fe1a52-ac3b-44c0-be30-bb86aa465eae"]}],"mendeley":{"formattedCitation":"[11]","plainTextFormattedCitation":"[11]","previouslyFormattedCitation":"(11)"},"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[11]</w:t>
      </w:r>
      <w:r w:rsidRPr="00DE5CC6">
        <w:rPr>
          <w:rFonts w:ascii="Arial" w:eastAsia="Aptos" w:hAnsi="Arial" w:cs="Arial"/>
          <w:kern w:val="2"/>
        </w:rPr>
        <w:fldChar w:fldCharType="end"/>
      </w:r>
      <w:r w:rsidRPr="00DE5CC6">
        <w:rPr>
          <w:rFonts w:ascii="Arial" w:eastAsia="Aptos" w:hAnsi="Arial" w:cs="Arial"/>
          <w:kern w:val="2"/>
        </w:rPr>
        <w:t xml:space="preserve">. The fruit of </w:t>
      </w:r>
      <w:proofErr w:type="spellStart"/>
      <w:r w:rsidRPr="00DE5CC6">
        <w:rPr>
          <w:rFonts w:ascii="Arial" w:eastAsia="Aptos" w:hAnsi="Arial" w:cs="Arial"/>
          <w:i/>
          <w:iCs/>
          <w:kern w:val="2"/>
        </w:rPr>
        <w:t>Cerbera</w:t>
      </w:r>
      <w:proofErr w:type="spellEnd"/>
      <w:r w:rsidRPr="00DE5CC6">
        <w:rPr>
          <w:rFonts w:ascii="Arial" w:eastAsia="Aptos" w:hAnsi="Arial" w:cs="Arial"/>
          <w:i/>
          <w:iCs/>
          <w:kern w:val="2"/>
        </w:rPr>
        <w:t xml:space="preserve"> </w:t>
      </w:r>
      <w:proofErr w:type="spellStart"/>
      <w:r w:rsidRPr="00DE5CC6">
        <w:rPr>
          <w:rFonts w:ascii="Arial" w:eastAsia="Aptos" w:hAnsi="Arial" w:cs="Arial"/>
          <w:i/>
          <w:iCs/>
          <w:kern w:val="2"/>
        </w:rPr>
        <w:t>manghas</w:t>
      </w:r>
      <w:proofErr w:type="spellEnd"/>
      <w:r w:rsidRPr="00DE5CC6">
        <w:rPr>
          <w:rFonts w:ascii="Arial" w:eastAsia="Aptos" w:hAnsi="Arial" w:cs="Arial"/>
          <w:kern w:val="2"/>
        </w:rPr>
        <w:t xml:space="preserve"> (‘</w:t>
      </w:r>
      <w:proofErr w:type="spellStart"/>
      <w:r w:rsidRPr="00DE5CC6">
        <w:rPr>
          <w:rFonts w:ascii="Arial" w:eastAsia="Aptos" w:hAnsi="Arial" w:cs="Arial"/>
          <w:kern w:val="2"/>
        </w:rPr>
        <w:t>Wel</w:t>
      </w:r>
      <w:proofErr w:type="spellEnd"/>
      <w:r w:rsidRPr="00DE5CC6">
        <w:rPr>
          <w:rFonts w:ascii="Arial" w:eastAsia="Aptos" w:hAnsi="Arial" w:cs="Arial"/>
          <w:kern w:val="2"/>
        </w:rPr>
        <w:t xml:space="preserve"> </w:t>
      </w:r>
      <w:proofErr w:type="spellStart"/>
      <w:r w:rsidRPr="00DE5CC6">
        <w:rPr>
          <w:rFonts w:ascii="Arial" w:eastAsia="Aptos" w:hAnsi="Arial" w:cs="Arial"/>
          <w:kern w:val="2"/>
        </w:rPr>
        <w:t>Kaduru</w:t>
      </w:r>
      <w:proofErr w:type="spellEnd"/>
      <w:r w:rsidRPr="00DE5CC6">
        <w:rPr>
          <w:rFonts w:ascii="Arial" w:eastAsia="Aptos" w:hAnsi="Arial" w:cs="Arial"/>
          <w:kern w:val="2"/>
        </w:rPr>
        <w:t xml:space="preserve">’ in Sinhala), which is commonly found in coastal areas and near inland water sources in Sri Lanka, is used in this study as it exhibits the above advantages. Typically, these fruits contain a relatively small seed. The natural buoyancy of the fruit, attributed to its thick fibrous-corky mesocarp and lignified endocarp, may aid in the potential for </w:t>
      </w:r>
      <w:proofErr w:type="spellStart"/>
      <w:r w:rsidRPr="00DE5CC6">
        <w:rPr>
          <w:rFonts w:ascii="Arial" w:eastAsia="Aptos" w:hAnsi="Arial" w:cs="Arial"/>
          <w:kern w:val="2"/>
        </w:rPr>
        <w:t>hydrochorous</w:t>
      </w:r>
      <w:proofErr w:type="spellEnd"/>
      <w:r w:rsidRPr="00DE5CC6">
        <w:rPr>
          <w:rFonts w:ascii="Arial" w:eastAsia="Aptos" w:hAnsi="Arial" w:cs="Arial"/>
          <w:kern w:val="2"/>
        </w:rPr>
        <w:t xml:space="preserve"> seed dispersal in natural environments</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10.21411/CBM.A.A9AA3201","author":[{"dropping-particle":"","family":"Quigley","given":"Declan","non-dropping-particle":"","parse-names":false,"suffix":""},{"dropping-particle":"","family":"Fenwick","given":"David","non-dropping-particle":"","parse-names":false,"suffix":""}],"container-title":"Cahiers de Biologie Marine","id":"ITEM-1","issue":"October","issued":{"date-parts":[["2019"]]},"page":"419-423","title":"Cerbera sp. (Apocynaceae) drift mesocarps: first record from British waters and a summary of previous records from north-western Europe","type":"article-journal","volume":"60"},"uris":["http://www.mendeley.com/documents/?uuid=fcb56506-0a82-4c45-a02a-ff1f5467e048","http://www.mendeley.com/documents/?uuid=7da2ca09-38a8-4f63-84e9-99771d65b4e7"]}],"mendeley":{"formattedCitation":"[12]","plainTextFormattedCitation":"[12]","previouslyFormattedCitation":"(12)"},"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[12]</w:t>
      </w:r>
      <w:r w:rsidRPr="00DE5CC6">
        <w:rPr>
          <w:rFonts w:ascii="Arial" w:eastAsia="Aptos" w:hAnsi="Arial" w:cs="Arial"/>
          <w:kern w:val="2"/>
        </w:rPr>
        <w:fldChar w:fldCharType="end"/>
      </w:r>
      <w:r w:rsidRPr="00DE5CC6">
        <w:rPr>
          <w:rFonts w:ascii="Arial" w:eastAsia="Aptos" w:hAnsi="Arial" w:cs="Arial"/>
          <w:kern w:val="2"/>
        </w:rPr>
        <w:t>,</w:t>
      </w:r>
      <w:r w:rsidRPr="00DE5CC6">
        <w:rPr>
          <w:rFonts w:ascii="Arial" w:eastAsia="Aptos" w:hAnsi="Arial" w:cs="Arial"/>
          <w:kern w:val="2"/>
          <w:vertAlign w:val="superscript"/>
        </w:rPr>
        <w:fldChar w:fldCharType="begin" w:fldLock="1"/>
      </w:r>
      <w:r w:rsidR="00576422">
        <w:rPr>
          <w:rFonts w:ascii="Arial" w:eastAsia="Aptos" w:hAnsi="Arial" w:cs="Arial"/>
          <w:kern w:val="2"/>
          <w:vertAlign w:val="superscript"/>
        </w:rPr>
        <w:instrText>ADDIN CSL_CITATION {"citationItems":[{"id":"ITEM-1","itemData":{"DOI":"10.1080/15563650701668617","ISSN":"15563650","PMID":"18803087","abstract":"Objective. Self-poisoning with plant seeds or fruits is a common method of self-harm in South Asia. While most deaths follow ingestion of Thevetia peruviana (yellow oleander) seeds, other plants are locally common. During review of fatal injuries seen in a teaching hospital in eastern Sri Lanka, we noted cases of fatal self-poisoning with Cerbera manghas (sea mango, pink eyed cerbera, odollam tree) fruits. Methods. We reviewed the post-mortem records of the Batticaloa Teaching Hospital and extracted data on all cases of fatal injury. Results. During 2001 and 2002, 315 post mortems for injury were performed in Batticaloa Teaching Hospital. Intentional self-harm was responsible for 48.6% of cases. While T. peruviana was responsible for 33 deaths, C. manghas self-poisoning caused seven deaths. C. manghas cases had typical features of cardenolide poisoning with cardiac dysrhythmias and hyperkalemia. In the absence of pacing facilities and anti-digoxin Fab, management involved administration of atropine and of insulin and dextrose to lower serum potassium concentrations. Conclusions. C. manghas self-poisoning has only previously been reported from Kerala and Tamil Nadu in south India. While uncommon in other parts of Sri Lanka, it has become a common method of self-harm in one east coast district, accounting for 20% of fatal self-harm with plants in one hospital. Management was inadequate with the available resources, emphasising the need for an affordable antitoxin for plant cardenolide poisoning. Copyright © Informa UK, Ltd.","author":[{"dropping-particle":"","family":"Eddleston","given":"Michael","non-dropping-particle":"","parse-names":false,"suffix":""},{"dropping-particle":"","family":"Haggalla","given":"Sapumal","non-dropping-particle":"","parse-names":false,"suffix":""}],"container-title":"Clinical Toxicology","id":"ITEM-1","issue":"8","issued":{"date-parts":[["2008"]]},"page":"745-748","title":"Fatal injury in Eastern Sri Lanka, with special reference to cardenolide self-poisoning with Cerbera manghas fruits","type":"article-journal","volume":"46"},"uris":["http://www.mendeley.com/documents/?uuid=87561a7f-c7e8-4765-a6b3-d3b35d192566","http://www.mendeley.com/documents/?uuid=354f0532-4ca6-464c-9f3e-8dc2e83d6c12"]}],"mendeley":{"formattedCitation":"[13]","plainTextFormattedCitation":"[13]","previouslyFormattedCitation":"(13)"},"properties":{"noteIndex":0},"schema":"https://github.com/citation-style-language/schema/raw/master/csl-citation.json"}</w:instrText>
      </w:r>
      <w:r w:rsidRPr="00DE5CC6">
        <w:rPr>
          <w:rFonts w:ascii="Arial" w:eastAsia="Aptos" w:hAnsi="Arial" w:cs="Arial"/>
          <w:kern w:val="2"/>
          <w:vertAlign w:val="superscript"/>
        </w:rPr>
        <w:fldChar w:fldCharType="separate"/>
      </w:r>
      <w:r w:rsidR="00576422" w:rsidRPr="00576422">
        <w:rPr>
          <w:rFonts w:ascii="Arial" w:eastAsia="Aptos" w:hAnsi="Arial" w:cs="Arial"/>
          <w:noProof/>
          <w:kern w:val="2"/>
        </w:rPr>
        <w:t>[13]</w:t>
      </w:r>
      <w:r w:rsidRPr="00DE5CC6">
        <w:rPr>
          <w:rFonts w:ascii="Arial" w:eastAsia="Aptos" w:hAnsi="Arial" w:cs="Arial"/>
          <w:kern w:val="2"/>
          <w:vertAlign w:val="superscript"/>
        </w:rPr>
        <w:fldChar w:fldCharType="end"/>
      </w:r>
      <w:r w:rsidRPr="00DE5CC6">
        <w:rPr>
          <w:rFonts w:ascii="Arial" w:eastAsia="Aptos" w:hAnsi="Arial" w:cs="Arial"/>
          <w:kern w:val="2"/>
        </w:rPr>
        <w:t>.</w:t>
      </w:r>
      <w:r w:rsidRPr="00DE5CC6">
        <w:rPr>
          <w:rFonts w:ascii="Arial" w:eastAsia="Aptos" w:hAnsi="Arial" w:cs="Arial"/>
          <w:color w:val="000000"/>
          <w:kern w:val="2"/>
        </w:rPr>
        <w:t xml:space="preserve"> </w:t>
      </w:r>
      <w:r w:rsidRPr="00DE5CC6">
        <w:rPr>
          <w:rFonts w:ascii="Arial" w:eastAsia="Aptos" w:hAnsi="Arial" w:cs="Arial"/>
          <w:kern w:val="2"/>
        </w:rPr>
        <w:t xml:space="preserve">Biochar prepared </w:t>
      </w:r>
      <w:r w:rsidRPr="00DE5CC6">
        <w:rPr>
          <w:rFonts w:ascii="Arial" w:eastAsia="Aptos" w:hAnsi="Arial" w:cs="Arial"/>
          <w:kern w:val="2"/>
        </w:rPr>
        <w:lastRenderedPageBreak/>
        <w:t>from this fruit is used in this research, as it can be efficiently used for the removal process and efficient post removal processes can also be applied for the oil-adsorbed biochar.</w:t>
      </w:r>
    </w:p>
    <w:p w14:paraId="2899B62E" w14:textId="0E6FCD4A" w:rsidR="00790ADA" w:rsidRDefault="00DE5CC6" w:rsidP="008D6D23">
      <w:pPr>
        <w:spacing w:after="160" w:line="480" w:lineRule="auto"/>
        <w:jc w:val="both"/>
        <w:rPr>
          <w:rFonts w:ascii="Arial" w:eastAsia="Aptos" w:hAnsi="Arial" w:cs="Arial"/>
          <w:kern w:val="2"/>
        </w:rPr>
      </w:pPr>
      <w:r w:rsidRPr="00DE5CC6">
        <w:rPr>
          <w:rFonts w:ascii="Arial" w:eastAsia="Aptos" w:hAnsi="Arial" w:cs="Arial"/>
          <w:kern w:val="2"/>
        </w:rPr>
        <w:t>The use of sorbent materials to clean up oil spills from water sources has been studied widely as it is found to be an efficient remediation technology</w:t>
      </w:r>
      <w:r w:rsidRPr="00DE5CC6">
        <w:rPr>
          <w:rFonts w:ascii="Arial" w:eastAsia="Aptos" w:hAnsi="Arial" w:cs="Arial"/>
          <w:kern w:val="2"/>
        </w:rPr>
        <w:fldChar w:fldCharType="begin" w:fldLock="1"/>
      </w:r>
      <w:r w:rsidR="00576422">
        <w:rPr>
          <w:rFonts w:ascii="Arial" w:eastAsia="Aptos" w:hAnsi="Arial" w:cs="Arial"/>
          <w:kern w:val="2"/>
        </w:rPr>
        <w:instrText>ADDIN CSL_CITATION {"citationItems":[{"id":"ITEM-1","itemData":{"DOI":"10.1016/j.jtice.2021.07.009","ISSN":"18761070","abstract":"Background: Oil spills and leaks of organic pollutants have caused threats to the aquatic environment. Biomass sponges are potential absorbent materials to achieve oil–water separation due to their being low-cost and environmentally friendly. However, the ability to separate oil and water still mainly depends on preparing low-density sponges with high absorbability and motion controllability through mild and low-cost strategies. Methods: In this study, an ultralow-density biomass sponge was prepared via a facile hydrothermal method through a Fenton-like reaction using pears as raw material. Notably, a Fenton-like reaction was introduced for the fabrication of a hydrothermal process for performance optimization. In addition, a small amount of polydimethylsiloxane and magnetic nanoparticles were used to modify the surface of the pear sponge through a one-step method. Findings: The prepared biomass sponge exhibited a novel recyclability, hydrophobicity with water contact angle of 137°, stable magnetic properties and ultra-low density(0.03 g/cm3). The pear sponge also demonstrated excellent sorption capacity, achieving up to 10-20 times of its own weight for a wide range of organic solvents and oils. The prepared magnetic-driven sponges can be applied in emergencies for leakages of organic solvents, as well as leakages from tankers and offshore drilling platforms.","author":[{"dropping-particle":"","family":"Zhang","given":"Ze","non-dropping-particle":"","parse-names":false,"suffix":""},{"dropping-particle":"","family":"Yang","given":"Gang","non-dropping-particle":"","parse-names":false,"suffix":""},{"dropping-particle":"","family":"Wu","given":"Jun","non-dropping-particle":"","parse-names":false,"suffix":""},{"dropping-particle":"","family":"He","given":"Jin Song","non-dropping-particle":"","parse-names":false,"suffix":""},{"dropping-particle":"","family":"Zhang","given":"Yan Zong","non-dropping-particle":"","parse-names":false,"suffix":""},{"dropping-particle":"","family":"Tian","given":"Dong","non-dropping-particle":"","parse-names":false,"suffix":""},{"dropping-particle":"","family":"Chen","given":"Chao","non-dropping-particle":"","parse-names":false,"suffix":""},{"dropping-particle":"","family":"Deng","given":"Shi Huai","non-dropping-particle":"","parse-names":false,"suffix":""},{"dropping-particle":"","family":"Long","given":"Lu Lu","non-dropping-particle":"","parse-names":false,"suffix":""}],"container-title":"Journal of the Taiwan Institute of Chemical Engineers","id":"ITEM-1","issued":{"date-parts":[["2021"]]},"page":"332-340","publisher":"Elsevier B.V.","title":"Enhanced properties of magnetic ultralight pear sponge assisted by Fenton-like reaction for oil-water separation","type":"article-journal","volume":"126"},"uris":["http://www.mendeley.com/documents/?uuid=fdb8492c-2ee5-45a1-b76a-93c65da246cf"]}],"mendeley":{"formattedCitation":"[14]","plainTextFormattedCitation":"[14]","previouslyFormattedCitation":"(14)"},"properties":{"noteIndex":0},"schema":"https://github.com/citation-style-language/schema/raw/master/csl-citation.json"}</w:instrText>
      </w:r>
      <w:r w:rsidRPr="00DE5CC6">
        <w:rPr>
          <w:rFonts w:ascii="Arial" w:eastAsia="Aptos" w:hAnsi="Arial" w:cs="Arial"/>
          <w:kern w:val="2"/>
        </w:rPr>
        <w:fldChar w:fldCharType="separate"/>
      </w:r>
      <w:r w:rsidR="00576422" w:rsidRPr="00576422">
        <w:rPr>
          <w:rFonts w:ascii="Arial" w:eastAsia="Aptos" w:hAnsi="Arial" w:cs="Arial"/>
          <w:noProof/>
          <w:kern w:val="2"/>
        </w:rPr>
        <w:t>[14]</w:t>
      </w:r>
      <w:r w:rsidRPr="00DE5CC6">
        <w:rPr>
          <w:rFonts w:ascii="Arial" w:eastAsia="Aptos" w:hAnsi="Arial" w:cs="Arial"/>
          <w:kern w:val="2"/>
        </w:rPr>
        <w:fldChar w:fldCharType="end"/>
      </w:r>
      <w:r w:rsidRPr="00DE5CC6">
        <w:rPr>
          <w:rFonts w:ascii="Arial" w:eastAsia="Aptos" w:hAnsi="Arial" w:cs="Arial"/>
          <w:kern w:val="2"/>
        </w:rPr>
        <w:t>. Though such studies are widely carried out worldwide, it is not an area of research that has been investigated much in Sri Lanka. This research project</w:t>
      </w:r>
      <w:r w:rsidR="00037590">
        <w:rPr>
          <w:rFonts w:ascii="Arial" w:eastAsia="Aptos" w:hAnsi="Arial" w:cs="Arial"/>
          <w:kern w:val="2"/>
        </w:rPr>
        <w:t xml:space="preserve"> </w:t>
      </w:r>
      <w:r w:rsidRPr="00DE5CC6">
        <w:rPr>
          <w:rFonts w:ascii="Arial" w:eastAsia="Aptos" w:hAnsi="Arial" w:cs="Arial"/>
          <w:kern w:val="2"/>
        </w:rPr>
        <w:t xml:space="preserve">has thus been conducted to determine how effectively biochar made from the fruit of </w:t>
      </w:r>
      <w:proofErr w:type="spellStart"/>
      <w:r w:rsidRPr="00DE5CC6">
        <w:rPr>
          <w:rFonts w:ascii="Arial" w:eastAsia="Aptos" w:hAnsi="Arial" w:cs="Arial"/>
          <w:i/>
          <w:iCs/>
          <w:kern w:val="2"/>
        </w:rPr>
        <w:t>Cerbera</w:t>
      </w:r>
      <w:proofErr w:type="spellEnd"/>
      <w:r w:rsidRPr="00DE5CC6">
        <w:rPr>
          <w:rFonts w:ascii="Arial" w:eastAsia="Aptos" w:hAnsi="Arial" w:cs="Arial"/>
          <w:i/>
          <w:iCs/>
          <w:kern w:val="2"/>
        </w:rPr>
        <w:t xml:space="preserve"> </w:t>
      </w:r>
      <w:proofErr w:type="spellStart"/>
      <w:r w:rsidRPr="00DE5CC6">
        <w:rPr>
          <w:rFonts w:ascii="Arial" w:eastAsia="Aptos" w:hAnsi="Arial" w:cs="Arial"/>
          <w:i/>
          <w:iCs/>
          <w:kern w:val="2"/>
        </w:rPr>
        <w:t>mangha</w:t>
      </w:r>
      <w:r w:rsidRPr="00DE5CC6">
        <w:rPr>
          <w:rFonts w:ascii="Arial" w:eastAsia="Aptos" w:hAnsi="Arial" w:cs="Arial"/>
          <w:kern w:val="2"/>
        </w:rPr>
        <w:t>s</w:t>
      </w:r>
      <w:proofErr w:type="spellEnd"/>
      <w:r w:rsidRPr="00DE5CC6">
        <w:rPr>
          <w:rFonts w:ascii="Arial" w:eastAsia="Aptos" w:hAnsi="Arial" w:cs="Arial"/>
          <w:kern w:val="2"/>
        </w:rPr>
        <w:t xml:space="preserve"> can be used to clean up oil spills on water sources. Efficiency of adsorption can be further studied by applying modifications to the biochar via activation processes. The goal of this study is to use environmentally friendly, locally available biochar material for practical applications of cleanup processes.</w:t>
      </w:r>
    </w:p>
    <w:p w14:paraId="5F0D673E" w14:textId="77777777" w:rsidR="00DE2768" w:rsidRDefault="00DE2768" w:rsidP="00B509EC">
      <w:pPr>
        <w:pStyle w:val="AbstHead"/>
        <w:spacing w:after="0" w:line="480" w:lineRule="auto"/>
        <w:jc w:val="both"/>
        <w:rPr>
          <w:rFonts w:ascii="Arial" w:hAnsi="Arial" w:cs="Arial"/>
        </w:rPr>
      </w:pPr>
    </w:p>
    <w:p w14:paraId="74E4EC01" w14:textId="7F5A0CC8" w:rsidR="00075C11" w:rsidRDefault="00902823" w:rsidP="00B509EC">
      <w:pPr>
        <w:pStyle w:val="AbstHead"/>
        <w:spacing w:after="0" w:line="480" w:lineRule="auto"/>
        <w:jc w:val="both"/>
        <w:rPr>
          <w:rFonts w:ascii="Arial" w:hAnsi="Arial" w:cs="Arial"/>
        </w:rPr>
      </w:pPr>
      <w:r>
        <w:rPr>
          <w:rFonts w:ascii="Arial" w:hAnsi="Arial" w:cs="Arial"/>
        </w:rPr>
        <w:t>2. material</w:t>
      </w:r>
      <w:r w:rsidR="00D14D89">
        <w:rPr>
          <w:rFonts w:ascii="Arial" w:hAnsi="Arial" w:cs="Arial"/>
        </w:rPr>
        <w:t>s</w:t>
      </w:r>
      <w:r>
        <w:rPr>
          <w:rFonts w:ascii="Arial" w:hAnsi="Arial" w:cs="Arial"/>
        </w:rPr>
        <w:t xml:space="preserve"> and method</w:t>
      </w:r>
      <w:r w:rsidR="00000F8F">
        <w:rPr>
          <w:rFonts w:ascii="Arial" w:hAnsi="Arial" w:cs="Arial"/>
        </w:rPr>
        <w:t>s</w:t>
      </w:r>
    </w:p>
    <w:p w14:paraId="454DE5DE" w14:textId="77777777" w:rsidR="00DE5CC6" w:rsidRDefault="00DE5CC6" w:rsidP="00B509EC">
      <w:pPr>
        <w:spacing w:line="480" w:lineRule="auto"/>
        <w:jc w:val="both"/>
        <w:rPr>
          <w:rFonts w:ascii="Arial" w:hAnsi="Arial" w:cs="Arial"/>
        </w:rPr>
      </w:pPr>
      <w:bookmarkStart w:id="0" w:name="_Toc160127991"/>
      <w:r w:rsidRPr="00453E00">
        <w:rPr>
          <w:rFonts w:ascii="Arial" w:hAnsi="Arial" w:cs="Arial"/>
        </w:rPr>
        <w:t xml:space="preserve">NaCl was purchased from </w:t>
      </w:r>
      <w:proofErr w:type="spellStart"/>
      <w:r w:rsidRPr="00453E00">
        <w:rPr>
          <w:rFonts w:ascii="Arial" w:hAnsi="Arial" w:cs="Arial"/>
        </w:rPr>
        <w:t>Loba</w:t>
      </w:r>
      <w:proofErr w:type="spellEnd"/>
      <w:r w:rsidRPr="00453E00">
        <w:rPr>
          <w:rFonts w:ascii="Arial" w:hAnsi="Arial" w:cs="Arial"/>
        </w:rPr>
        <w:t xml:space="preserve"> </w:t>
      </w:r>
      <w:proofErr w:type="spellStart"/>
      <w:r w:rsidRPr="00453E00">
        <w:rPr>
          <w:rFonts w:ascii="Arial" w:hAnsi="Arial" w:cs="Arial"/>
        </w:rPr>
        <w:t>Chemie</w:t>
      </w:r>
      <w:proofErr w:type="spellEnd"/>
      <w:r w:rsidRPr="00453E00">
        <w:rPr>
          <w:rFonts w:ascii="Arial" w:hAnsi="Arial" w:cs="Arial"/>
        </w:rPr>
        <w:t xml:space="preserve"> (Mumbai, India) and used as received. </w:t>
      </w:r>
    </w:p>
    <w:p w14:paraId="243EFE54" w14:textId="79A24D72" w:rsidR="00031BE0" w:rsidRDefault="00DE5CC6" w:rsidP="00B509EC">
      <w:pPr>
        <w:spacing w:line="480" w:lineRule="auto"/>
        <w:jc w:val="both"/>
        <w:rPr>
          <w:rFonts w:ascii="Arial" w:hAnsi="Arial" w:cs="Arial"/>
        </w:rPr>
      </w:pPr>
      <w:r w:rsidRPr="00453E00">
        <w:rPr>
          <w:rFonts w:ascii="Arial" w:hAnsi="Arial" w:cs="Arial"/>
        </w:rPr>
        <w:t>Laboratory instruments used to conduct this research project were analytical balance (Kern, ALJ 250-4AM, Germany) and electrical balance (KERN EW 2200-2NM) for mass measurements, oven (</w:t>
      </w:r>
      <w:proofErr w:type="spellStart"/>
      <w:r w:rsidRPr="00453E00">
        <w:rPr>
          <w:rFonts w:ascii="Arial" w:hAnsi="Arial" w:cs="Arial"/>
        </w:rPr>
        <w:t>Ecogain</w:t>
      </w:r>
      <w:proofErr w:type="spellEnd"/>
      <w:r w:rsidRPr="00453E00">
        <w:rPr>
          <w:rFonts w:ascii="Arial" w:hAnsi="Arial" w:cs="Arial"/>
        </w:rPr>
        <w:t xml:space="preserve"> Series-7047DT-091) for drying, </w:t>
      </w:r>
      <w:proofErr w:type="spellStart"/>
      <w:r w:rsidR="00003134">
        <w:rPr>
          <w:rFonts w:ascii="Arial" w:hAnsi="Arial" w:cs="Arial"/>
        </w:rPr>
        <w:t>f</w:t>
      </w:r>
      <w:r w:rsidRPr="00453E00">
        <w:rPr>
          <w:rFonts w:ascii="Arial" w:hAnsi="Arial" w:cs="Arial"/>
        </w:rPr>
        <w:t>ourier</w:t>
      </w:r>
      <w:proofErr w:type="spellEnd"/>
      <w:r w:rsidRPr="00453E00">
        <w:rPr>
          <w:rFonts w:ascii="Arial" w:hAnsi="Arial" w:cs="Arial"/>
        </w:rPr>
        <w:t xml:space="preserve"> </w:t>
      </w:r>
      <w:r w:rsidR="00003134">
        <w:rPr>
          <w:rFonts w:ascii="Arial" w:hAnsi="Arial" w:cs="Arial"/>
        </w:rPr>
        <w:t>t</w:t>
      </w:r>
      <w:r w:rsidRPr="00453E00">
        <w:rPr>
          <w:rFonts w:ascii="Arial" w:hAnsi="Arial" w:cs="Arial"/>
        </w:rPr>
        <w:t xml:space="preserve">ransform </w:t>
      </w:r>
      <w:r w:rsidR="00003134">
        <w:rPr>
          <w:rFonts w:ascii="Arial" w:hAnsi="Arial" w:cs="Arial"/>
        </w:rPr>
        <w:t>i</w:t>
      </w:r>
      <w:r w:rsidRPr="00453E00">
        <w:rPr>
          <w:rFonts w:ascii="Arial" w:hAnsi="Arial" w:cs="Arial"/>
        </w:rPr>
        <w:t xml:space="preserve">nfrared (FTIR) spectra were recorded on JASCO FTIR - 6700 spectrophotometer and scanning electron microscopic (SEM) images were recorded at 500X, 1000X and 5000X magnifications on Carl Zeiss Evo Is 15 model. X-ray fluorescence (XRF) spectra were recorded using </w:t>
      </w:r>
      <w:proofErr w:type="spellStart"/>
      <w:r w:rsidRPr="00453E00">
        <w:rPr>
          <w:rFonts w:ascii="Arial" w:hAnsi="Arial" w:cs="Arial"/>
        </w:rPr>
        <w:t>Fischerscope</w:t>
      </w:r>
      <w:proofErr w:type="spellEnd"/>
      <w:r w:rsidRPr="00453E00">
        <w:rPr>
          <w:rFonts w:ascii="Arial" w:hAnsi="Arial" w:cs="Arial"/>
        </w:rPr>
        <w:t xml:space="preserve"> Model-DF500FG-456</w:t>
      </w:r>
      <w:r w:rsidR="003E0184">
        <w:rPr>
          <w:rFonts w:ascii="Arial" w:hAnsi="Arial" w:cs="Arial"/>
        </w:rPr>
        <w:t>.</w:t>
      </w:r>
    </w:p>
    <w:p w14:paraId="1BB652C4" w14:textId="1BA501B3" w:rsidR="00DE5CC6" w:rsidRPr="00031BE0" w:rsidRDefault="00DE5CC6" w:rsidP="00B509EC">
      <w:pPr>
        <w:spacing w:line="480" w:lineRule="auto"/>
        <w:jc w:val="both"/>
        <w:rPr>
          <w:rFonts w:ascii="Arial" w:hAnsi="Arial" w:cs="Arial"/>
          <w:b/>
          <w:bCs/>
        </w:rPr>
      </w:pPr>
      <w:r w:rsidRPr="00031BE0">
        <w:rPr>
          <w:rFonts w:ascii="Arial" w:hAnsi="Arial" w:cs="Arial"/>
          <w:b/>
          <w:bCs/>
          <w:sz w:val="22"/>
          <w:szCs w:val="16"/>
        </w:rPr>
        <w:t xml:space="preserve">2.1 Preparation of raw sorbent </w:t>
      </w:r>
      <w:bookmarkEnd w:id="0"/>
      <w:r w:rsidRPr="00031BE0">
        <w:rPr>
          <w:rFonts w:ascii="Arial" w:hAnsi="Arial" w:cs="Arial"/>
          <w:b/>
          <w:bCs/>
          <w:sz w:val="22"/>
          <w:szCs w:val="16"/>
        </w:rPr>
        <w:t>material</w:t>
      </w:r>
    </w:p>
    <w:p w14:paraId="5BF91225" w14:textId="1E25ACBC" w:rsidR="00031BE0" w:rsidRDefault="00DE5CC6" w:rsidP="00B509EC">
      <w:pPr>
        <w:spacing w:line="480" w:lineRule="auto"/>
        <w:jc w:val="both"/>
        <w:rPr>
          <w:rFonts w:ascii="Arial" w:hAnsi="Arial" w:cs="Arial"/>
        </w:rPr>
      </w:pPr>
      <w:r w:rsidRPr="00453E00">
        <w:rPr>
          <w:rFonts w:ascii="Arial" w:hAnsi="Arial" w:cs="Arial"/>
        </w:rPr>
        <w:t xml:space="preserve">Fruits of </w:t>
      </w:r>
      <w:proofErr w:type="spellStart"/>
      <w:r w:rsidRPr="00453E00">
        <w:rPr>
          <w:rFonts w:ascii="Arial" w:hAnsi="Arial" w:cs="Arial"/>
          <w:i/>
          <w:iCs/>
        </w:rPr>
        <w:t>Cerbera</w:t>
      </w:r>
      <w:proofErr w:type="spellEnd"/>
      <w:r w:rsidRPr="00453E00">
        <w:rPr>
          <w:rFonts w:ascii="Arial" w:hAnsi="Arial" w:cs="Arial"/>
          <w:i/>
          <w:iCs/>
        </w:rPr>
        <w:t xml:space="preserve"> </w:t>
      </w:r>
      <w:proofErr w:type="spellStart"/>
      <w:r w:rsidRPr="00453E00">
        <w:rPr>
          <w:rFonts w:ascii="Arial" w:hAnsi="Arial" w:cs="Arial"/>
          <w:i/>
          <w:iCs/>
        </w:rPr>
        <w:t>manghas</w:t>
      </w:r>
      <w:proofErr w:type="spellEnd"/>
      <w:r w:rsidRPr="00453E00">
        <w:rPr>
          <w:rFonts w:ascii="Arial" w:hAnsi="Arial" w:cs="Arial"/>
        </w:rPr>
        <w:t xml:space="preserve"> were collected from lagoons and coastal areas in Negombo, Sri Lanka. The fruits collected were soaked in water for 24 h and the remaining water was discarded. This procedure was repeated for another 24 h and the fruits were air dried for 7 days till all the moisture was removed</w:t>
      </w:r>
      <w:r w:rsidRPr="00453E00">
        <w:rPr>
          <w:rFonts w:ascii="Arial" w:hAnsi="Arial" w:cs="Arial"/>
        </w:rPr>
        <w:fldChar w:fldCharType="begin" w:fldLock="1"/>
      </w:r>
      <w:r w:rsidR="00576422">
        <w:rPr>
          <w:rFonts w:ascii="Arial" w:hAnsi="Arial" w:cs="Arial"/>
        </w:rPr>
        <w:instrText>ADDIN CSL_CITATION {"citationItems":[{"id":"ITEM-1","itemData":{"DOI":"10.1088/1755-1315/545/1/012022","author":[{"dropping-particle":"","family":"Yang","given":"Mouyuan","non-dropping-particle":"","parse-names":false,"suffix":""},{"dropping-particle":"","family":"Wang","given":"Jiaqi","non-dropping-particle":"","parse-names":false,"suffix":""},{"dropping-particle":"","family":"Chen","given":"Yan","non-dropping-particle":"","parse-names":false,"suffix":""},{"dropping-particle":"","family":"Gao","given":"Junkai","non-dropping-particle":"","parse-names":false,"suffix":""}],"id":"ITEM-1","issued":{"date-parts":[["2020"]]},"title":"Biochar produced from cotton husks and its application for the adsorption of oil products Biochar produced from cotton husks and its application for the adsorption of oil products","type":"article-journal"},"uris":["http://www.mendeley.com/documents/?uuid=ead301e2-b732-4a1b-9e9e-2713a60bed9d","http://www.mendeley.com/documents/?uuid=7171ff5b-bdf9-4c2f-90b6-8d7ffa0518a3"]}],"mendeley":{"formattedCitation":"[15]","plainTextFormattedCitation":"[15]","previouslyFormattedCitation":"(15)"},"properties":{"noteIndex":0},"schema":"https://github.com/citation-style-language/schema/raw/master/csl-citation.json"}</w:instrText>
      </w:r>
      <w:r w:rsidRPr="00453E00">
        <w:rPr>
          <w:rFonts w:ascii="Arial" w:hAnsi="Arial" w:cs="Arial"/>
        </w:rPr>
        <w:fldChar w:fldCharType="separate"/>
      </w:r>
      <w:r w:rsidR="00576422" w:rsidRPr="00576422">
        <w:rPr>
          <w:rFonts w:ascii="Arial" w:hAnsi="Arial" w:cs="Arial"/>
          <w:noProof/>
        </w:rPr>
        <w:t>[15]</w:t>
      </w:r>
      <w:r w:rsidRPr="00453E00">
        <w:rPr>
          <w:rFonts w:ascii="Arial" w:hAnsi="Arial" w:cs="Arial"/>
        </w:rPr>
        <w:fldChar w:fldCharType="end"/>
      </w:r>
      <w:r w:rsidRPr="00453E00">
        <w:rPr>
          <w:rFonts w:ascii="Arial" w:hAnsi="Arial" w:cs="Arial"/>
        </w:rPr>
        <w:t>,</w:t>
      </w:r>
      <w:r w:rsidRPr="00453E00">
        <w:rPr>
          <w:rFonts w:ascii="Arial" w:hAnsi="Arial" w:cs="Arial"/>
        </w:rPr>
        <w:fldChar w:fldCharType="begin" w:fldLock="1"/>
      </w:r>
      <w:r w:rsidR="00576422">
        <w:rPr>
          <w:rFonts w:ascii="Arial" w:hAnsi="Arial" w:cs="Arial"/>
        </w:rPr>
        <w:instrText>ADDIN CSL_CITATION {"citationItems":[{"id":"ITEM-1","itemData":{"author":[{"dropping-particle":"","family":"Saj","given":"John","non-dropping-particle":"","parse-names":false,"suffix":""},{"dropping-particle":"","family":"George","given":"Kevin","non-dropping-particle":"","parse-names":false,"suffix":""},{"dropping-particle":"","family":"Dewan","given":"Rishi","non-dropping-particle":"","parse-names":false,"suffix":""},{"dropping-particle":"","family":"Mittal","given":"Mihir","non-dropping-particle":"","parse-names":false,"suffix":""},{"dropping-particle":"","family":"Irshad","given":"Atif","non-dropping-particle":"","parse-names":false,"suffix":""}],"id":"ITEM-1","issue":"13","issued":{"date-parts":[["2020"]]},"page":"13-18","title":"Oil Spill Removal Using Natural Sorbents","type":"article-journal","volume":"VII"},"uris":["http://www.mendeley.com/documents/?uuid=160ee236-f3ac-42ac-9cf6-deffd0c789e6","http://www.mendeley.com/documents/?uuid=a840313c-a71c-4ba2-81a1-64acec59107e"]}],"mendeley":{"formattedCitation":"[16]","plainTextFormattedCitation":"[16]","previouslyFormattedCitation":"(16)"},"properties":{"noteIndex":0},"schema":"https://github.com/citation-style-language/schema/raw/master/csl-citation.json"}</w:instrText>
      </w:r>
      <w:r w:rsidRPr="00453E00">
        <w:rPr>
          <w:rFonts w:ascii="Arial" w:hAnsi="Arial" w:cs="Arial"/>
        </w:rPr>
        <w:fldChar w:fldCharType="separate"/>
      </w:r>
      <w:r w:rsidR="00576422" w:rsidRPr="00576422">
        <w:rPr>
          <w:rFonts w:ascii="Arial" w:hAnsi="Arial" w:cs="Arial"/>
          <w:noProof/>
        </w:rPr>
        <w:t>[16]</w:t>
      </w:r>
      <w:r w:rsidRPr="00453E00">
        <w:rPr>
          <w:rFonts w:ascii="Arial" w:hAnsi="Arial" w:cs="Arial"/>
        </w:rPr>
        <w:fldChar w:fldCharType="end"/>
      </w:r>
      <w:r w:rsidRPr="00453E00">
        <w:rPr>
          <w:rFonts w:ascii="Arial" w:hAnsi="Arial" w:cs="Arial"/>
        </w:rPr>
        <w:t xml:space="preserve">. The mesocarp of the fruit was separated, and </w:t>
      </w:r>
      <w:r w:rsidRPr="00453E00">
        <w:rPr>
          <w:rFonts w:ascii="Arial" w:hAnsi="Arial" w:cs="Arial"/>
        </w:rPr>
        <w:lastRenderedPageBreak/>
        <w:t>the rest of the fruit was cut into cubes of similar dimensions of approximately 2.5 cm. Cut pieces were then used to prepare biochar.</w:t>
      </w:r>
    </w:p>
    <w:p w14:paraId="425BB5ED" w14:textId="1F5A0831" w:rsidR="00DE5CC6" w:rsidRPr="00031BE0" w:rsidRDefault="00DE5CC6" w:rsidP="00B509EC">
      <w:pPr>
        <w:spacing w:line="480" w:lineRule="auto"/>
        <w:rPr>
          <w:rFonts w:ascii="Arial" w:hAnsi="Arial" w:cs="Arial"/>
          <w:b/>
          <w:bCs/>
          <w:sz w:val="22"/>
          <w:szCs w:val="22"/>
        </w:rPr>
      </w:pPr>
      <w:r w:rsidRPr="00031BE0">
        <w:rPr>
          <w:rFonts w:ascii="Arial" w:hAnsi="Arial" w:cs="Arial"/>
          <w:b/>
          <w:bCs/>
          <w:sz w:val="22"/>
          <w:szCs w:val="22"/>
        </w:rPr>
        <w:t>2.2 Preparation of biochar</w:t>
      </w:r>
    </w:p>
    <w:p w14:paraId="52A48E72" w14:textId="0F479120" w:rsidR="00AB3DC3" w:rsidRDefault="00DE5CC6" w:rsidP="00B509EC">
      <w:pPr>
        <w:spacing w:line="480" w:lineRule="auto"/>
        <w:jc w:val="both"/>
        <w:rPr>
          <w:rFonts w:ascii="Arial" w:hAnsi="Arial" w:cs="Arial"/>
        </w:rPr>
      </w:pPr>
      <w:r w:rsidRPr="001874AF">
        <w:rPr>
          <w:rFonts w:ascii="Arial" w:hAnsi="Arial" w:cs="Arial"/>
        </w:rPr>
        <w:t xml:space="preserve">Uniformly cut pieces of </w:t>
      </w:r>
      <w:proofErr w:type="spellStart"/>
      <w:r w:rsidRPr="001874AF">
        <w:rPr>
          <w:rFonts w:ascii="Arial" w:hAnsi="Arial" w:cs="Arial"/>
          <w:i/>
          <w:iCs/>
        </w:rPr>
        <w:t>Cerbera</w:t>
      </w:r>
      <w:proofErr w:type="spellEnd"/>
      <w:r w:rsidRPr="001874AF">
        <w:rPr>
          <w:rFonts w:ascii="Arial" w:hAnsi="Arial" w:cs="Arial"/>
          <w:i/>
          <w:iCs/>
        </w:rPr>
        <w:t xml:space="preserve"> </w:t>
      </w:r>
      <w:proofErr w:type="spellStart"/>
      <w:r w:rsidRPr="001874AF">
        <w:rPr>
          <w:rFonts w:ascii="Arial" w:hAnsi="Arial" w:cs="Arial"/>
          <w:i/>
          <w:iCs/>
        </w:rPr>
        <w:t>manghas</w:t>
      </w:r>
      <w:proofErr w:type="spellEnd"/>
      <w:r w:rsidRPr="001874AF">
        <w:rPr>
          <w:rFonts w:ascii="Arial" w:hAnsi="Arial" w:cs="Arial"/>
          <w:i/>
          <w:iCs/>
        </w:rPr>
        <w:t xml:space="preserve"> </w:t>
      </w:r>
      <w:r w:rsidRPr="001874AF">
        <w:rPr>
          <w:rFonts w:ascii="Arial" w:hAnsi="Arial" w:cs="Arial"/>
        </w:rPr>
        <w:t>were pyrolyzed (</w:t>
      </w:r>
      <w:bookmarkStart w:id="1" w:name="_Hlk211887388"/>
      <w:r w:rsidRPr="001874AF">
        <w:rPr>
          <w:rFonts w:ascii="Arial" w:hAnsi="Arial" w:cs="Arial"/>
        </w:rPr>
        <w:t>350</w:t>
      </w:r>
      <w:r w:rsidRPr="001874AF">
        <w:rPr>
          <w:rFonts w:ascii="Arial" w:hAnsi="Arial" w:cs="Arial"/>
        </w:rPr>
        <w:sym w:font="Symbol" w:char="F02D"/>
      </w:r>
      <w:r w:rsidRPr="001874AF">
        <w:rPr>
          <w:rFonts w:ascii="Arial" w:hAnsi="Arial" w:cs="Arial"/>
        </w:rPr>
        <w:t xml:space="preserve">400 </w:t>
      </w:r>
      <w:r w:rsidRPr="001874AF">
        <w:rPr>
          <w:rFonts w:ascii="Cambria Math" w:hAnsi="Cambria Math" w:cs="Cambria Math"/>
        </w:rPr>
        <w:t>℃</w:t>
      </w:r>
      <w:r w:rsidRPr="001874AF">
        <w:rPr>
          <w:rFonts w:ascii="Arial" w:hAnsi="Arial" w:cs="Arial"/>
        </w:rPr>
        <w:t>, 20 min</w:t>
      </w:r>
      <w:bookmarkEnd w:id="1"/>
      <w:r w:rsidRPr="001874AF">
        <w:rPr>
          <w:rFonts w:ascii="Arial" w:hAnsi="Arial" w:cs="Arial"/>
        </w:rPr>
        <w:t>) in a household kiln under limited oxygen conditions</w:t>
      </w:r>
      <w:r w:rsidRPr="001874AF">
        <w:rPr>
          <w:rFonts w:ascii="Arial" w:hAnsi="Arial" w:cs="Arial"/>
        </w:rPr>
        <w:fldChar w:fldCharType="begin" w:fldLock="1"/>
      </w:r>
      <w:r w:rsidR="00576422">
        <w:rPr>
          <w:rFonts w:ascii="Arial" w:hAnsi="Arial" w:cs="Arial"/>
        </w:rPr>
        <w:instrText>ADDIN CSL_CITATION {"citationItems":[{"id":"ITEM-1","itemData":{"author":[{"dropping-particle":"De","family":"Silva","given":"D S M","non-dropping-particle":"","parse-names":false,"suffix":""}],"id":"ITEM-1","issue":"1","issued":{"date-parts":[["2023"]]},"page":"0-3","title":"Surface modification of Trema orientalis wood biochar using natural coconut vinegar and its potential to remove aqueous calcium ions : column and batch studies","type":"article-journal","volume":"28"},"uris":["http://www.mendeley.com/documents/?uuid=e68a02a3-55ef-49d7-9eb1-4af8de713401","http://www.mendeley.com/documents/?uuid=dda2a341-bf25-4fdc-8888-19b1f825a1ea"]}],"mendeley":{"formattedCitation":"[17]","plainTextFormattedCitation":"[17]","previouslyFormattedCitation":"(17)"},"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[17]</w:t>
      </w:r>
      <w:r w:rsidRPr="001874AF">
        <w:rPr>
          <w:rFonts w:ascii="Arial" w:hAnsi="Arial" w:cs="Arial"/>
        </w:rPr>
        <w:fldChar w:fldCharType="end"/>
      </w:r>
      <w:r w:rsidRPr="001874AF">
        <w:rPr>
          <w:rFonts w:ascii="Arial" w:hAnsi="Arial" w:cs="Arial"/>
        </w:rPr>
        <w:t>,</w:t>
      </w:r>
      <w:r w:rsidRPr="001874AF">
        <w:rPr>
          <w:rFonts w:ascii="Arial" w:hAnsi="Arial" w:cs="Arial"/>
          <w:vertAlign w:val="superscript"/>
        </w:rPr>
        <w:fldChar w:fldCharType="begin" w:fldLock="1"/>
      </w:r>
      <w:r w:rsidR="00576422">
        <w:rPr>
          <w:rFonts w:ascii="Arial" w:hAnsi="Arial" w:cs="Arial"/>
          <w:vertAlign w:val="superscript"/>
        </w:rPr>
        <w:instrText>ADDIN CSL_CITATION {"citationItems":[{"id":"ITEM-1","itemData":{"DOI":"10.1016/j.aej.2013.11.001","ISSN":"1110-0168","author":[{"dropping-particle":"","family":"Abdelwahab","given":"Ola","non-dropping-particle":"","parse-names":false,"suffix":""}],"container-title":"Alexandria Engineering Journal","id":"ITEM-1","issue":"1","issued":{"date-parts":[["2014"]]},"page":"213-218","publisher":"Faculty of Engineering, Alexandria University","title":"Assessment of raw luffa as a natural hollow oleophilic fibrous sorbent for oil spill cleanup","type":"article-journal","volume":"53"},"uris":["http://www.mendeley.com/documents/?uuid=d299952a-d995-4a8b-b6e0-c0695d3dae13","http://www.mendeley.com/documents/?uuid=371e4a4e-38f7-4fb7-8c15-bce14ba7e4b5"]}],"mendeley":{"formattedCitation":"[18]","plainTextFormattedCitation":"[18]","previouslyFormattedCitation":"(18)"},"properties":{"noteIndex":0},"schema":"https://github.com/citation-style-language/schema/raw/master/csl-citation.json"}</w:instrText>
      </w:r>
      <w:r w:rsidRPr="001874AF">
        <w:rPr>
          <w:rFonts w:ascii="Arial" w:hAnsi="Arial" w:cs="Arial"/>
          <w:vertAlign w:val="superscript"/>
        </w:rPr>
        <w:fldChar w:fldCharType="separate"/>
      </w:r>
      <w:r w:rsidR="00576422" w:rsidRPr="00576422">
        <w:rPr>
          <w:rFonts w:ascii="Arial" w:hAnsi="Arial" w:cs="Arial"/>
          <w:noProof/>
        </w:rPr>
        <w:t>[18]</w:t>
      </w:r>
      <w:r w:rsidRPr="001874AF">
        <w:rPr>
          <w:rFonts w:ascii="Arial" w:hAnsi="Arial" w:cs="Arial"/>
          <w:vertAlign w:val="superscript"/>
        </w:rPr>
        <w:fldChar w:fldCharType="end"/>
      </w:r>
      <w:r w:rsidRPr="001874AF">
        <w:rPr>
          <w:rFonts w:ascii="Arial" w:hAnsi="Arial" w:cs="Arial"/>
        </w:rPr>
        <w:t>.</w:t>
      </w:r>
    </w:p>
    <w:p w14:paraId="04384318" w14:textId="4F60E100" w:rsidR="00DE5CC6" w:rsidRPr="00AB3DC3" w:rsidRDefault="00DE5CC6" w:rsidP="00B509EC">
      <w:pPr>
        <w:spacing w:line="480" w:lineRule="auto"/>
        <w:jc w:val="both"/>
        <w:rPr>
          <w:rFonts w:ascii="Arial" w:hAnsi="Arial" w:cs="Arial"/>
        </w:rPr>
      </w:pPr>
      <w:r w:rsidRPr="00AB3DC3">
        <w:rPr>
          <w:rFonts w:ascii="Arial" w:hAnsi="Arial" w:cs="Arial"/>
          <w:b/>
          <w:sz w:val="22"/>
          <w:szCs w:val="16"/>
        </w:rPr>
        <w:t>2.3 Adsorption studies</w:t>
      </w:r>
    </w:p>
    <w:p w14:paraId="7D72AB5C" w14:textId="77777777" w:rsidR="00DE5CC6" w:rsidRPr="001874AF" w:rsidRDefault="00DE5CC6" w:rsidP="00B509EC">
      <w:pPr>
        <w:spacing w:line="480" w:lineRule="auto"/>
        <w:jc w:val="both"/>
        <w:rPr>
          <w:rFonts w:ascii="Arial" w:hAnsi="Arial" w:cs="Arial"/>
        </w:rPr>
      </w:pPr>
      <w:r w:rsidRPr="001874AF">
        <w:rPr>
          <w:rFonts w:ascii="Arial" w:hAnsi="Arial" w:cs="Arial"/>
        </w:rPr>
        <w:t>Adsorption studies were performed using three main oil types, crude oil, engine oil and motor oil. Using these oil types, different parameters were varied, and the adsorption capacities were calculated.</w:t>
      </w:r>
    </w:p>
    <w:p w14:paraId="3324D8BE" w14:textId="06212928" w:rsidR="00DE5CC6" w:rsidRPr="001874AF" w:rsidRDefault="00DE5CC6" w:rsidP="00B509EC">
      <w:pPr>
        <w:spacing w:line="480" w:lineRule="auto"/>
        <w:jc w:val="both"/>
        <w:rPr>
          <w:rFonts w:ascii="Arial" w:hAnsi="Arial" w:cs="Arial"/>
        </w:rPr>
      </w:pPr>
      <w:r w:rsidRPr="001874AF">
        <w:rPr>
          <w:rFonts w:ascii="Arial" w:hAnsi="Arial" w:cs="Arial"/>
        </w:rPr>
        <w:t>Variation of biochar dosage was studied using different amounts (0.50, 1.00, 2.00, 3.00, 4.00, 5.00 g) of biochar</w:t>
      </w:r>
      <w:r w:rsidRPr="001874AF">
        <w:rPr>
          <w:rFonts w:ascii="Arial" w:hAnsi="Arial" w:cs="Arial"/>
        </w:rPr>
        <w:fldChar w:fldCharType="begin" w:fldLock="1"/>
      </w:r>
      <w:r w:rsidR="00576422">
        <w:rPr>
          <w:rFonts w:ascii="Arial" w:hAnsi="Arial" w:cs="Arial"/>
        </w:rPr>
        <w:instrText>ADDIN CSL_CITATION {"citationItems":[{"id":"ITEM-1","itemData":{"DOI":"10.1016/j.jece.2015.02.015","ISSN":"2213-3437","author":[{"dropping-particle":"","family":"Ifelebuegu","given":"Augustine Osamor","non-dropping-particle":"","parse-names":false,"suffix":""},{"dropping-particle":"","family":"Vu","given":"Tuan","non-dropping-particle":"","parse-names":false,"suffix":""},{"dropping-particle":"","family":"Nguyen","given":"Anh","non-dropping-particle":"","parse-names":false,"suffix":""},{"dropping-particle":"","family":"Ukotije-ikwut","given":"Peter","non-dropping-particle":"","parse-names":false,"suffix":""}],"container-title":"Biochemical Pharmacology","id":"ITEM-1","issued":{"date-parts":[["2015"]]},"publisher":"Elsevier B.V.","title":"Journal of Environmental Chemical Engineering Liquid-phase sorption characteristics of human hair as a natural oil spill sorbent","type":"article-journal"},"uris":["http://www.mendeley.com/documents/?uuid=57e9d092-93f8-4cf0-8aba-1675a66627ca","http://www.mendeley.com/documents/?uuid=fa02024e-b649-43b0-8ed9-97ea53eb8931"]}],"mendeley":{"formattedCitation":"[19]","plainTextFormattedCitation":"[19]","previouslyFormattedCitation":"(19)"},"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[19]</w:t>
      </w:r>
      <w:r w:rsidRPr="001874AF">
        <w:rPr>
          <w:rFonts w:ascii="Arial" w:hAnsi="Arial" w:cs="Arial"/>
        </w:rPr>
        <w:fldChar w:fldCharType="end"/>
      </w:r>
      <w:r w:rsidRPr="001874AF">
        <w:rPr>
          <w:rFonts w:ascii="Arial" w:hAnsi="Arial" w:cs="Arial"/>
        </w:rPr>
        <w:t xml:space="preserve">. An aliquot of 500.0 mL of water was added </w:t>
      </w:r>
      <w:r w:rsidR="001874AF" w:rsidRPr="001874AF">
        <w:rPr>
          <w:rFonts w:ascii="Arial" w:hAnsi="Arial" w:cs="Arial"/>
        </w:rPr>
        <w:t>to</w:t>
      </w:r>
      <w:r w:rsidRPr="001874AF">
        <w:rPr>
          <w:rFonts w:ascii="Arial" w:hAnsi="Arial" w:cs="Arial"/>
        </w:rPr>
        <w:t xml:space="preserve"> 30.0 mL of each oil type, and the system was thoroughly agitated. Thereafter, weighed samples of biochar were added separately into each beaker. The system was kept for 30 min to reach adsorption equilibrium. Thereafter, biochar was removed from the oil/water suspension, and air dried for 30 min until excess oil was dripped off. Biochar samples were then oven-dried for 1.0 h at 105 </w:t>
      </w:r>
      <w:r w:rsidRPr="001874AF">
        <w:rPr>
          <w:rFonts w:ascii="Arial" w:hAnsi="Arial" w:cs="Arial"/>
        </w:rPr>
        <w:sym w:font="Symbol" w:char="F0B0"/>
      </w:r>
      <w:r w:rsidRPr="001874AF">
        <w:rPr>
          <w:rFonts w:ascii="Arial" w:hAnsi="Arial" w:cs="Arial"/>
        </w:rPr>
        <w:t>C to remove the remaining moisture and was allowed to cool to room temperature through natural convection</w:t>
      </w:r>
      <w:r w:rsidRPr="001874AF">
        <w:rPr>
          <w:rFonts w:ascii="Arial" w:hAnsi="Arial" w:cs="Arial"/>
        </w:rPr>
        <w:fldChar w:fldCharType="begin" w:fldLock="1"/>
      </w:r>
      <w:r w:rsidR="00576422">
        <w:rPr>
          <w:rFonts w:ascii="Arial" w:hAnsi="Arial" w:cs="Arial"/>
        </w:rPr>
        <w:instrText>ADDIN CSL_CITATION {"citationItems":[{"id":"ITEM-1","itemData":{"DOI":"10.1016/j.aej.2013.11.001","ISSN":"1110-0168","author":[{"dropping-particle":"","family":"Abdelwahab","given":"Ola","non-dropping-particle":"","parse-names":false,"suffix":""}],"container-title":"Alexandria Engineering Journal","id":"ITEM-1","issue":"1","issued":{"date-parts":[["2014"]]},"page":"213-218","publisher":"Faculty of Engineering, Alexandria University","title":"Assessment of raw luffa as a natural hollow oleophilic fibrous sorbent for oil spill cleanup","type":"article-journal","volume":"53"},"uris":["http://www.mendeley.com/documents/?uuid=371e4a4e-38f7-4fb7-8c15-bce14ba7e4b5","http://www.mendeley.com/documents/?uuid=d299952a-d995-4a8b-b6e0-c0695d3dae13"]}],"mendeley":{"formattedCitation":"[18]","plainTextFormattedCitation":"[18]","previouslyFormattedCitation":"(18)"},"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[18]</w:t>
      </w:r>
      <w:r w:rsidRPr="001874AF">
        <w:rPr>
          <w:rFonts w:ascii="Arial" w:hAnsi="Arial" w:cs="Arial"/>
        </w:rPr>
        <w:fldChar w:fldCharType="end"/>
      </w:r>
      <w:r w:rsidRPr="001874AF">
        <w:rPr>
          <w:rFonts w:ascii="Arial" w:hAnsi="Arial" w:cs="Arial"/>
        </w:rPr>
        <w:t xml:space="preserve">. The mass of biochar was recorded, and its adsorption capacity was determined. </w:t>
      </w:r>
      <w:r w:rsidR="005837A6">
        <w:rPr>
          <w:rFonts w:ascii="Arial" w:hAnsi="Arial" w:cs="Arial"/>
        </w:rPr>
        <w:t>The control</w:t>
      </w:r>
      <w:r w:rsidRPr="001874AF">
        <w:rPr>
          <w:rFonts w:ascii="Arial" w:hAnsi="Arial" w:cs="Arial"/>
        </w:rPr>
        <w:t xml:space="preserve"> was also run simultaneously. The mass of biochar which gave the maximum adsorption capacity was selected as the optimum mass for further studies. The same procedure was repeated for all oil types.</w:t>
      </w:r>
    </w:p>
    <w:p w14:paraId="279BAF4A" w14:textId="159F732F" w:rsidR="00DE5CC6" w:rsidRPr="001874AF" w:rsidRDefault="00DE5CC6" w:rsidP="00B509EC">
      <w:pPr>
        <w:spacing w:line="480" w:lineRule="auto"/>
        <w:jc w:val="both"/>
        <w:rPr>
          <w:rFonts w:ascii="Arial" w:hAnsi="Arial" w:cs="Arial"/>
        </w:rPr>
      </w:pPr>
      <w:r w:rsidRPr="001874AF">
        <w:rPr>
          <w:rFonts w:ascii="Arial" w:hAnsi="Arial" w:cs="Arial"/>
        </w:rPr>
        <w:t>To study the variation of contact time, the selected oil type (30.0 mL) was added to 500.0 mL of water sample, followed by thorough agitation. Thereafter, the optimum mass of biochar was added to each sample and kept for 15, 30, 45, 60 and 75 min separately</w:t>
      </w:r>
      <w:r w:rsidRPr="001874AF">
        <w:rPr>
          <w:rFonts w:ascii="Arial" w:hAnsi="Arial" w:cs="Arial"/>
        </w:rPr>
        <w:fldChar w:fldCharType="begin" w:fldLock="1"/>
      </w:r>
      <w:r w:rsidR="00576422">
        <w:rPr>
          <w:rFonts w:ascii="Arial" w:hAnsi="Arial" w:cs="Arial"/>
        </w:rPr>
        <w:instrText>ADDIN CSL_CITATION {"citationItems":[{"id":"ITEM-1","itemData":{"DOI":"10.1080/20464177.2018.1544401","author":[{"dropping-particle":"","family":"Hoang","given":"Anh Tuan","non-dropping-particle":"","parse-names":false,"suffix":""},{"dropping-particle":"","family":"Pham","given":"Xuan Duong","non-dropping-particle":"","parse-names":false,"suffix":""}],"id":"ITEM-1","issued":{"date-parts":[["2018"]]},"title":"An investigation of remediation and recovery of oil spill and toxic heavy metal from maritime pollution by a new absorbent material","type":"article-journal","volume":"4177"},"uris":["http://www.mendeley.com/documents/?uuid=b7917327-d488-4921-9938-5bcb1677000c","http://www.mendeley.com/documents/?uuid=1376fa67-aef0-415d-a3cd-24593e436f6e"]}],"mendeley":{"formattedCitation":"[20]","plainTextFormattedCitation":"[20]","previouslyFormattedCitation":"(20)"},"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[20]</w:t>
      </w:r>
      <w:r w:rsidRPr="001874AF">
        <w:rPr>
          <w:rFonts w:ascii="Arial" w:hAnsi="Arial" w:cs="Arial"/>
        </w:rPr>
        <w:fldChar w:fldCharType="end"/>
      </w:r>
      <w:r w:rsidRPr="001874AF">
        <w:rPr>
          <w:rFonts w:ascii="Arial" w:hAnsi="Arial" w:cs="Arial"/>
        </w:rPr>
        <w:t xml:space="preserve">. After adsorption, a similar procedure </w:t>
      </w:r>
      <w:r w:rsidR="00443E97">
        <w:rPr>
          <w:rFonts w:ascii="Arial" w:hAnsi="Arial" w:cs="Arial"/>
        </w:rPr>
        <w:t xml:space="preserve">as </w:t>
      </w:r>
      <w:r w:rsidRPr="001874AF">
        <w:rPr>
          <w:rFonts w:ascii="Arial" w:hAnsi="Arial" w:cs="Arial"/>
        </w:rPr>
        <w:t xml:space="preserve">stated above was repeated to find the optimum time of adsorption. </w:t>
      </w:r>
    </w:p>
    <w:p w14:paraId="1AA0818D" w14:textId="0F5B0AE0" w:rsidR="00DE5CC6" w:rsidRPr="001874AF" w:rsidRDefault="00DE5CC6" w:rsidP="00B509EC">
      <w:pPr>
        <w:spacing w:line="480" w:lineRule="auto"/>
        <w:jc w:val="both"/>
        <w:rPr>
          <w:rFonts w:ascii="Arial" w:hAnsi="Arial" w:cs="Arial"/>
        </w:rPr>
      </w:pPr>
      <w:r w:rsidRPr="001874AF">
        <w:rPr>
          <w:rFonts w:ascii="Arial" w:hAnsi="Arial" w:cs="Arial"/>
        </w:rPr>
        <w:t xml:space="preserve">To examine the variation of oil volume, different volumes (10.0, 20.0, 30.0, 40.0, 50.0, 60.0, 70.0 and 80.0 mL) of the selected oil type were added to 500.0 mL of water  separately and </w:t>
      </w:r>
      <w:r w:rsidRPr="001874AF">
        <w:rPr>
          <w:rFonts w:ascii="Arial" w:hAnsi="Arial" w:cs="Arial"/>
        </w:rPr>
        <w:lastRenderedPageBreak/>
        <w:t>mixed well</w:t>
      </w:r>
      <w:r w:rsidRPr="001874AF">
        <w:rPr>
          <w:rFonts w:ascii="Arial" w:hAnsi="Arial" w:cs="Arial"/>
        </w:rPr>
        <w:fldChar w:fldCharType="begin" w:fldLock="1"/>
      </w:r>
      <w:r w:rsidR="00576422">
        <w:rPr>
          <w:rFonts w:ascii="Arial" w:hAnsi="Arial" w:cs="Arial"/>
        </w:rPr>
        <w:instrText>ADDIN CSL_CITATION {"citationItems":[{"id":"ITEM-1","itemData":{"DOI":"10.1016/j.aej.2013.11.001","ISSN":"1110-0168","author":[{"dropping-particle":"","family":"Abdelwahab","given":"Ola","non-dropping-particle":"","parse-names":false,"suffix":""}],"container-title":"Alexandria Engineering Journal","id":"ITEM-1","issue":"1","issued":{"date-parts":[["2014"]]},"page":"213-218","publisher":"Faculty of Engineering, Alexandria University","title":"Assessment of raw luffa as a natural hollow oleophilic fibrous sorbent for oil spill cleanup","type":"article-journal","volume":"53"},"uris":["http://www.mendeley.com/documents/?uuid=371e4a4e-38f7-4fb7-8c15-bce14ba7e4b5","http://www.mendeley.com/documents/?uuid=d299952a-d995-4a8b-b6e0-c0695d3dae13"]}],"mendeley":{"formattedCitation":"[18]","plainTextFormattedCitation":"[18]","previouslyFormattedCitation":"(18)"},"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[18]</w:t>
      </w:r>
      <w:r w:rsidRPr="001874AF">
        <w:rPr>
          <w:rFonts w:ascii="Arial" w:hAnsi="Arial" w:cs="Arial"/>
        </w:rPr>
        <w:fldChar w:fldCharType="end"/>
      </w:r>
      <w:r w:rsidRPr="001874AF">
        <w:rPr>
          <w:rFonts w:ascii="Arial" w:hAnsi="Arial" w:cs="Arial"/>
        </w:rPr>
        <w:t>. Then, the optimum mass of biochar was added to each sample and kept for the optimum adsorption (contact) time. After adsorption, a similar procedure was repeated to find the optimum oil volume of adsorption.</w:t>
      </w:r>
    </w:p>
    <w:p w14:paraId="1A96C5A2" w14:textId="67B685C4" w:rsidR="00DE5CC6" w:rsidRPr="001874AF" w:rsidRDefault="00DE5CC6" w:rsidP="00B509EC">
      <w:pPr>
        <w:spacing w:line="480" w:lineRule="auto"/>
        <w:jc w:val="both"/>
        <w:rPr>
          <w:rFonts w:ascii="Arial" w:hAnsi="Arial" w:cs="Arial"/>
        </w:rPr>
      </w:pPr>
      <w:r w:rsidRPr="001874AF">
        <w:rPr>
          <w:rFonts w:ascii="Arial" w:hAnsi="Arial" w:cs="Arial"/>
        </w:rPr>
        <w:t>The variation of salinity was studied using three NaCl solutions of different concentrations (0.49, 0.59 and 0.69 mol L</w:t>
      </w:r>
      <w:r w:rsidRPr="001874AF">
        <w:rPr>
          <w:rFonts w:ascii="Arial" w:hAnsi="Arial" w:cs="Arial"/>
          <w:vertAlign w:val="superscript"/>
        </w:rPr>
        <w:t>-1</w:t>
      </w:r>
      <w:r w:rsidRPr="001874AF">
        <w:rPr>
          <w:rFonts w:ascii="Arial" w:hAnsi="Arial" w:cs="Arial"/>
        </w:rPr>
        <w:t>) and DI water. The selected oil type (30.0 mL) was added to each NaCl (500.0 mL) solution separately, and  mixed well</w:t>
      </w:r>
      <w:r w:rsidRPr="001874AF">
        <w:rPr>
          <w:rFonts w:ascii="Arial" w:hAnsi="Arial" w:cs="Arial"/>
        </w:rPr>
        <w:fldChar w:fldCharType="begin" w:fldLock="1"/>
      </w:r>
      <w:r w:rsidR="00576422">
        <w:rPr>
          <w:rFonts w:ascii="Arial" w:hAnsi="Arial" w:cs="Arial"/>
        </w:rPr>
        <w:instrText>ADDIN CSL_CITATION {"citationItems":[{"id":"ITEM-1","itemData":{"DOI":"10.5004/dwt.2021.27275","author":[{"dropping-particle":"","family":"Tamer","given":"T M","non-dropping-particle":"","parse-names":false,"suffix":""},{"dropping-particle":"","family":"Omer","given":"A M","non-dropping-particle":"","parse-names":false,"suffix":""},{"dropping-particle":"","family":"Khalifa","given":"R E","non-dropping-particle":"","parse-names":false,"suffix":""},{"dropping-particle":"","family":"Ali","given":"A A","non-dropping-particle":"","parse-names":false,"suffix":""},{"dropping-particle":"","family":"Ammar","given":"Y A","non-dropping-particle":"","parse-names":false,"suffix":""},{"dropping-particle":"","family":"Eldin","given":"M S Mohy","non-dropping-particle":"","parse-names":false,"suffix":""}],"id":"ITEM-1","issued":{"date-parts":[["2021"]]},"page":"319-327","title":"Aminated chitosan-g-poly ( butyl acrylate ) copolymer for heavy oil spills removal : kinetic , isotherm , and thermodynamic investigations","type":"article-journal","volume":"226"},"uris":["http://www.mendeley.com/documents/?uuid=f1fdcfff-1845-4407-bb21-2d65de467fee"]}],"mendeley":{"formattedCitation":"[21]","plainTextFormattedCitation":"[21]","previouslyFormattedCitation":"(21)"},"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[21]</w:t>
      </w:r>
      <w:r w:rsidRPr="001874AF">
        <w:rPr>
          <w:rFonts w:ascii="Arial" w:hAnsi="Arial" w:cs="Arial"/>
        </w:rPr>
        <w:fldChar w:fldCharType="end"/>
      </w:r>
      <w:r w:rsidRPr="001874AF">
        <w:rPr>
          <w:rFonts w:ascii="Arial" w:hAnsi="Arial" w:cs="Arial"/>
        </w:rPr>
        <w:t>. The optimum mass of biochar was added to each sample and kept in each oil type for the optimum contact time for adsorption. Thereafter, a similar procedure was repeated to determine the behavior of the biochar at different salinities.</w:t>
      </w:r>
    </w:p>
    <w:p w14:paraId="25288F4D" w14:textId="2E5755CE" w:rsidR="00DE5CC6" w:rsidRPr="001874AF" w:rsidRDefault="00DE5CC6" w:rsidP="00B509EC">
      <w:pPr>
        <w:spacing w:line="480" w:lineRule="auto"/>
        <w:jc w:val="both"/>
        <w:rPr>
          <w:rFonts w:ascii="Arial" w:hAnsi="Arial" w:cs="Arial"/>
        </w:rPr>
      </w:pPr>
      <w:r w:rsidRPr="001874AF">
        <w:rPr>
          <w:rFonts w:ascii="Arial" w:hAnsi="Arial" w:cs="Arial"/>
        </w:rPr>
        <w:t xml:space="preserve">Engine oil was used to study the effect of the size of biochar. The mass of biochar of the entire fruit was measured, and a similar mass of half of the fruit, quarter of the fruit and smaller pieces were taken. </w:t>
      </w:r>
      <w:r w:rsidR="00081E7C">
        <w:rPr>
          <w:rFonts w:ascii="Arial" w:hAnsi="Arial" w:cs="Arial"/>
        </w:rPr>
        <w:t>E</w:t>
      </w:r>
      <w:r w:rsidRPr="001874AF">
        <w:rPr>
          <w:rFonts w:ascii="Arial" w:hAnsi="Arial" w:cs="Arial"/>
        </w:rPr>
        <w:t>xcess engine oil was added to 500.0 mL of water sample, and mixed. Then, known masses of biochar were added to water samples separately, and each system was kept for 30 min for adsorption. After adsorption, the same procedure was repeated to find which  size of biochar is most suitable for the oil removal</w:t>
      </w:r>
      <w:r w:rsidRPr="001874AF">
        <w:rPr>
          <w:rFonts w:ascii="Arial" w:hAnsi="Arial" w:cs="Arial"/>
        </w:rPr>
        <w:fldChar w:fldCharType="begin" w:fldLock="1"/>
      </w:r>
      <w:r w:rsidR="00576422">
        <w:rPr>
          <w:rFonts w:ascii="Arial" w:hAnsi="Arial" w:cs="Arial"/>
        </w:rPr>
        <w:instrText>ADDIN CSL_CITATION {"citationItems":[{"id":"ITEM-1","itemData":{"author":[{"dropping-particle":"","family":"Behnood","given":"Reza","non-dropping-particle":"","parse-names":false,"suffix":""},{"dropping-particle":"","family":"Anvaripour","given":"Bagher","non-dropping-particle":"","parse-names":false,"suffix":""},{"dropping-particle":"","family":"Jaafarzade","given":"Nematollah","non-dropping-particle":"","parse-names":false,"suffix":""},{"dropping-particle":"","family":"Fard","given":"Haghighi","non-dropping-particle":"","parse-names":false,"suffix":""}],"id":"ITEM-1","issue":"4","issued":{"date-parts":[["2013"]]},"page":"1-11","title":"Application of Natural Sorbents in Crude Oil Adsorption","type":"article-journal","volume":"2"},"uris":["http://www.mendeley.com/documents/?uuid=049a4dfc-f82f-4f22-8ea0-72a4493a8364"]}],"mendeley":{"formattedCitation":"[9]","plainTextFormattedCitation":"[9]","previouslyFormattedCitation":"(9)"},"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[9]</w:t>
      </w:r>
      <w:r w:rsidRPr="001874AF">
        <w:rPr>
          <w:rFonts w:ascii="Arial" w:hAnsi="Arial" w:cs="Arial"/>
        </w:rPr>
        <w:fldChar w:fldCharType="end"/>
      </w:r>
      <w:r w:rsidRPr="001874AF">
        <w:rPr>
          <w:rFonts w:ascii="Arial" w:hAnsi="Arial" w:cs="Arial"/>
        </w:rPr>
        <w:t xml:space="preserve">.  </w:t>
      </w:r>
    </w:p>
    <w:p w14:paraId="7CEAE5E0" w14:textId="56FED2F3" w:rsidR="00AB3DC3" w:rsidRDefault="00DE5CC6" w:rsidP="00B509EC">
      <w:pPr>
        <w:spacing w:line="480" w:lineRule="auto"/>
        <w:jc w:val="both"/>
        <w:rPr>
          <w:rFonts w:ascii="Arial" w:hAnsi="Arial" w:cs="Arial"/>
        </w:rPr>
      </w:pPr>
      <w:r w:rsidRPr="001874AF">
        <w:rPr>
          <w:rFonts w:ascii="Arial" w:hAnsi="Arial" w:cs="Arial"/>
        </w:rPr>
        <w:t>Motor oil was used to study the effect of weathering. For this, an aliquot of 30.0 mL of motor oil was added to 500.0 mL of water and mixed well. The resulting suspension  was kept for 1 day, 3 days, 5 days, 7 days, and 9 days, separately</w:t>
      </w:r>
      <w:r w:rsidRPr="001874AF">
        <w:rPr>
          <w:rFonts w:ascii="Arial" w:hAnsi="Arial" w:cs="Arial"/>
        </w:rPr>
        <w:fldChar w:fldCharType="begin" w:fldLock="1"/>
      </w:r>
      <w:r w:rsidR="00576422">
        <w:rPr>
          <w:rFonts w:ascii="Arial" w:hAnsi="Arial" w:cs="Arial"/>
        </w:rPr>
        <w:instrText>ADDIN CSL_CITATION {"citationItems":[{"id":"ITEM-1","itemData":{"author":[{"dropping-particle":"","family":"Agarry","given":"Samuel E","non-dropping-particle":"","parse-names":false,"suffix":""},{"dropping-particle":"","family":"Oghenejoboh","given":"Kigho M","non-dropping-particle":"","parse-names":false,"suffix":""},{"dropping-particle":"","family":"Oghenejoboh","given":"Ewomazino O","non-dropping-particle":"","parse-names":false,"suffix":""},{"dropping-particle":"","family":"Owabor","given":"Chiedu N","non-dropping-particle":"","parse-names":false,"suffix":""},{"dropping-particle":"","family":"Ogunleye","given":"Oladipupo O","non-dropping-particle":"","parse-names":false,"suffix":""}],"id":"ITEM-1","issue":"2","issued":{"date-parts":[["2020"]]},"page":"694-707","title":"Adsorptive Remediation of Crude Oil Contaminated Marine Water Using Chemically and Thermally Modified Coconut ( Cocos nucifera ) Husks","type":"article-journal","volume":"8"},"uris":["http://www.mendeley.com/documents/?uuid=a112fe54-693d-48a2-a936-0e8685f39901","http://www.mendeley.com/documents/?uuid=018f3ce7-5874-42f2-aa1c-da0b62396011"]}],"mendeley":{"formattedCitation":"[22]","plainTextFormattedCitation":"[22]","previouslyFormattedCitation":"(22)"},"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[22]</w:t>
      </w:r>
      <w:r w:rsidRPr="001874AF">
        <w:rPr>
          <w:rFonts w:ascii="Arial" w:hAnsi="Arial" w:cs="Arial"/>
        </w:rPr>
        <w:fldChar w:fldCharType="end"/>
      </w:r>
      <w:r w:rsidRPr="001874AF">
        <w:rPr>
          <w:rFonts w:ascii="Arial" w:hAnsi="Arial" w:cs="Arial"/>
        </w:rPr>
        <w:t>. Then a sample of 0.50 g of biochar  was added to each sample and kept for 30 min for adsorption, and thereafter,  the maximum adsorption capacity of each system was determined</w:t>
      </w:r>
      <w:r w:rsidRPr="001874AF">
        <w:rPr>
          <w:rFonts w:ascii="Arial" w:hAnsi="Arial" w:cs="Arial"/>
        </w:rPr>
        <w:fldChar w:fldCharType="begin" w:fldLock="1"/>
      </w:r>
      <w:r w:rsidR="00576422">
        <w:rPr>
          <w:rFonts w:ascii="Arial" w:hAnsi="Arial" w:cs="Arial"/>
        </w:rPr>
        <w:instrText>ADDIN CSL_CITATION {"citationItems":[{"id":"ITEM-1","itemData":{"DOI":"10.1016/j.aej.2017.05.020","ISSN":"1110-0168","author":[{"dropping-particle":"","family":"El-din","given":"G Alaa","non-dropping-particle":"","parse-names":false,"suffix":""},{"dropping-particle":"","family":"Amer","given":"A A","non-dropping-particle":"","parse-names":false,"suffix":""},{"dropping-particle":"","family":"Malsh","given":"G","non-dropping-particle":"","parse-names":false,"suffix":""},{"dropping-particle":"","family":"Hussein","given":"M","non-dropping-particle":"","parse-names":false,"suffix":""}],"container-title":"Alexandria Engineering Journal","id":"ITEM-1","issued":{"date-parts":[["2017"]]},"publisher":"Faculty of Engineering, Alexandria University","title":"Study on the use of banana peels for oil spill removal","type":"article-journal"},"uris":["http://www.mendeley.com/documents/?uuid=d1ca7b2b-0f8c-4b54-a2b1-69d5e3188444","http://www.mendeley.com/documents/?uuid=8f04c7ab-d466-422c-99ff-a0ea0eed96ed"]}],"mendeley":{"formattedCitation":"[23]","plainTextFormattedCitation":"[23]","previouslyFormattedCitation":"(23)"},"properties":{"noteIndex":0},"schema":"https://github.com/citation-style-language/schema/raw/master/csl-citation.json"}</w:instrText>
      </w:r>
      <w:r w:rsidRPr="001874AF">
        <w:rPr>
          <w:rFonts w:ascii="Arial" w:hAnsi="Arial" w:cs="Arial"/>
        </w:rPr>
        <w:fldChar w:fldCharType="separate"/>
      </w:r>
      <w:r w:rsidR="00576422" w:rsidRPr="00576422">
        <w:rPr>
          <w:rFonts w:ascii="Arial" w:hAnsi="Arial" w:cs="Arial"/>
          <w:noProof/>
        </w:rPr>
        <w:t>[23]</w:t>
      </w:r>
      <w:r w:rsidRPr="001874AF">
        <w:rPr>
          <w:rFonts w:ascii="Arial" w:hAnsi="Arial" w:cs="Arial"/>
        </w:rPr>
        <w:fldChar w:fldCharType="end"/>
      </w:r>
      <w:r w:rsidRPr="001874AF">
        <w:rPr>
          <w:rFonts w:ascii="Arial" w:hAnsi="Arial" w:cs="Arial"/>
        </w:rPr>
        <w:t>.</w:t>
      </w:r>
      <w:bookmarkStart w:id="2" w:name="_Toc160128001"/>
    </w:p>
    <w:p w14:paraId="5DC6E208" w14:textId="54488388" w:rsidR="00DE5CC6" w:rsidRPr="00AB3DC3" w:rsidRDefault="00DE5CC6" w:rsidP="00B509EC">
      <w:pPr>
        <w:spacing w:line="480" w:lineRule="auto"/>
        <w:jc w:val="both"/>
        <w:rPr>
          <w:rFonts w:ascii="Arial" w:hAnsi="Arial" w:cs="Arial"/>
        </w:rPr>
      </w:pPr>
      <w:r w:rsidRPr="00AB3DC3">
        <w:rPr>
          <w:rFonts w:ascii="Arial" w:hAnsi="Arial" w:cs="Arial"/>
          <w:b/>
          <w:sz w:val="22"/>
          <w:szCs w:val="16"/>
        </w:rPr>
        <w:t xml:space="preserve">2.4 Applications of oil adsorbed </w:t>
      </w:r>
      <w:bookmarkEnd w:id="2"/>
      <w:r w:rsidRPr="00AB3DC3">
        <w:rPr>
          <w:rFonts w:ascii="Arial" w:hAnsi="Arial" w:cs="Arial"/>
          <w:b/>
          <w:sz w:val="22"/>
          <w:szCs w:val="16"/>
        </w:rPr>
        <w:t>biochar</w:t>
      </w:r>
    </w:p>
    <w:p w14:paraId="31DA2EFD" w14:textId="0536E03C" w:rsidR="00DE5CC6" w:rsidRPr="009919FA" w:rsidRDefault="00DE5CC6" w:rsidP="00B509EC">
      <w:pPr>
        <w:tabs>
          <w:tab w:val="left" w:pos="1562"/>
        </w:tabs>
        <w:spacing w:line="480" w:lineRule="auto"/>
        <w:jc w:val="both"/>
        <w:rPr>
          <w:rFonts w:ascii="Arial" w:hAnsi="Arial" w:cs="Arial"/>
        </w:rPr>
      </w:pPr>
      <w:r w:rsidRPr="009919FA">
        <w:rPr>
          <w:rFonts w:ascii="Arial" w:hAnsi="Arial" w:cs="Arial"/>
        </w:rPr>
        <w:t>A 1.00 g sample of each oil</w:t>
      </w:r>
      <w:r w:rsidRPr="009919FA">
        <w:rPr>
          <w:rFonts w:ascii="Arial" w:hAnsi="Arial" w:cs="Arial"/>
        </w:rPr>
        <w:sym w:font="Symbol" w:char="F02D"/>
      </w:r>
      <w:r w:rsidRPr="009919FA">
        <w:rPr>
          <w:rFonts w:ascii="Arial" w:hAnsi="Arial" w:cs="Arial"/>
        </w:rPr>
        <w:t xml:space="preserve">adsorbed biochar was burnt, and the energy released during the burning process was used to heat water in a thermostat setup.  The initial temperature and the temperature of water at </w:t>
      </w:r>
      <w:r w:rsidR="00F01986">
        <w:rPr>
          <w:rFonts w:ascii="Arial" w:hAnsi="Arial" w:cs="Arial"/>
        </w:rPr>
        <w:t>1</w:t>
      </w:r>
      <w:r w:rsidRPr="009919FA">
        <w:rPr>
          <w:rFonts w:ascii="Arial" w:hAnsi="Arial" w:cs="Arial"/>
        </w:rPr>
        <w:t xml:space="preserve"> min intervals up to 20 min were recorded. This procedure was followed to check whether oil adsorbed biochar can be used for energy production.</w:t>
      </w:r>
    </w:p>
    <w:p w14:paraId="17D01D8D" w14:textId="77777777" w:rsidR="00DE2768" w:rsidRDefault="00DE2768" w:rsidP="00B509EC">
      <w:pPr>
        <w:pStyle w:val="Head1"/>
        <w:spacing w:after="0" w:line="480" w:lineRule="auto"/>
        <w:jc w:val="both"/>
        <w:rPr>
          <w:rFonts w:ascii="Arial" w:hAnsi="Arial" w:cs="Arial"/>
        </w:rPr>
      </w:pPr>
    </w:p>
    <w:p w14:paraId="6324D3A5" w14:textId="13E3736F" w:rsidR="00902823" w:rsidRDefault="00000F8F" w:rsidP="00B509EC">
      <w:pPr>
        <w:pStyle w:val="Head1"/>
        <w:spacing w:after="0" w:line="48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45E4FA6" w14:textId="77777777"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3.1 Variation of biochar dosage</w:t>
      </w:r>
    </w:p>
    <w:p w14:paraId="21225266" w14:textId="6984C6DD" w:rsidR="006F4C60" w:rsidRDefault="006F4C60" w:rsidP="00B509EC">
      <w:pPr>
        <w:spacing w:line="480" w:lineRule="auto"/>
        <w:jc w:val="both"/>
        <w:rPr>
          <w:rFonts w:ascii="Arial" w:hAnsi="Arial" w:cs="Arial"/>
        </w:rPr>
      </w:pPr>
      <w:r w:rsidRPr="006F4C60">
        <w:rPr>
          <w:rFonts w:ascii="Arial" w:hAnsi="Arial" w:cs="Arial"/>
        </w:rPr>
        <w:t>According to the results obtained from this analysis, the maximum adsorption capacity is given by the biochar dosage of 0.50 g for all the three oil types, having values of 7.48</w:t>
      </w:r>
      <w:r w:rsidR="00DE2768">
        <w:rPr>
          <w:rFonts w:ascii="Arial" w:hAnsi="Arial" w:cs="Arial"/>
        </w:rPr>
        <w:t xml:space="preserve"> +/- </w:t>
      </w:r>
      <w:r w:rsidRPr="006F4C60">
        <w:rPr>
          <w:rFonts w:ascii="Arial" w:eastAsiaTheme="minorEastAsia" w:hAnsi="Arial" w:cs="Arial"/>
        </w:rPr>
        <w:t>0.01</w:t>
      </w:r>
      <w:r w:rsidRPr="006F4C60">
        <w:rPr>
          <w:rFonts w:ascii="Arial" w:hAnsi="Arial" w:cs="Arial"/>
        </w:rPr>
        <w:t xml:space="preserve"> g oil/g biochar for crude oil, 8.06</w:t>
      </w:r>
      <w:r w:rsidR="00DE2768">
        <w:rPr>
          <w:rFonts w:ascii="Arial" w:hAnsi="Arial" w:cs="Arial"/>
        </w:rPr>
        <w:t xml:space="preserve"> +/- </w:t>
      </w:r>
      <w:r w:rsidRPr="006F4C60">
        <w:rPr>
          <w:rFonts w:ascii="Arial" w:eastAsiaTheme="minorEastAsia" w:hAnsi="Arial" w:cs="Arial"/>
        </w:rPr>
        <w:t>0.02</w:t>
      </w:r>
      <w:r w:rsidRPr="006F4C60">
        <w:rPr>
          <w:rFonts w:ascii="Arial" w:hAnsi="Arial" w:cs="Arial"/>
        </w:rPr>
        <w:t xml:space="preserve"> g oil/g biochar for engine oil and 10.56</w:t>
      </w:r>
      <w:r w:rsidR="00DE2768">
        <w:rPr>
          <w:rFonts w:ascii="Arial" w:hAnsi="Arial" w:cs="Arial"/>
        </w:rPr>
        <w:t xml:space="preserve"> +/- </w:t>
      </w:r>
      <w:r w:rsidRPr="006F4C60">
        <w:rPr>
          <w:rFonts w:ascii="Arial" w:eastAsiaTheme="minorEastAsia" w:hAnsi="Arial" w:cs="Arial"/>
        </w:rPr>
        <w:t>0.02</w:t>
      </w:r>
      <w:r w:rsidRPr="006F4C60">
        <w:rPr>
          <w:rFonts w:ascii="Arial" w:hAnsi="Arial" w:cs="Arial"/>
        </w:rPr>
        <w:t xml:space="preserve"> g oil/g biochar for motor oil (Fig</w:t>
      </w:r>
      <w:r w:rsidR="00DE2768">
        <w:rPr>
          <w:rFonts w:ascii="Arial" w:hAnsi="Arial" w:cs="Arial"/>
        </w:rPr>
        <w:t>.</w:t>
      </w:r>
      <w:r w:rsidR="00D14D89">
        <w:rPr>
          <w:rFonts w:ascii="Arial" w:hAnsi="Arial" w:cs="Arial"/>
        </w:rPr>
        <w:t xml:space="preserve"> </w:t>
      </w:r>
      <w:r w:rsidRPr="006F4C60">
        <w:rPr>
          <w:rFonts w:ascii="Arial" w:hAnsi="Arial" w:cs="Arial"/>
        </w:rPr>
        <w:t>1</w:t>
      </w:r>
      <w:r w:rsidR="004E5B93">
        <w:rPr>
          <w:rFonts w:ascii="Arial" w:hAnsi="Arial" w:cs="Arial"/>
        </w:rPr>
        <w:t>.</w:t>
      </w:r>
      <w:r w:rsidRPr="006F4C60">
        <w:rPr>
          <w:rFonts w:ascii="Arial" w:hAnsi="Arial" w:cs="Arial"/>
        </w:rPr>
        <w:t>). The sorbent dosage affects the interactions between the oil and the sorbent</w:t>
      </w:r>
      <w:r w:rsidRPr="006F4C60">
        <w:rPr>
          <w:rFonts w:ascii="Arial" w:hAnsi="Arial" w:cs="Arial"/>
        </w:rPr>
        <w:fldChar w:fldCharType="begin" w:fldLock="1"/>
      </w:r>
      <w:r w:rsidR="00576422">
        <w:rPr>
          <w:rFonts w:ascii="Arial" w:hAnsi="Arial" w:cs="Arial"/>
        </w:rPr>
        <w:instrText>ADDIN CSL_CITATION {"citationItems":[{"id":"ITEM-1","itemData":{"author":[{"dropping-particle":"","family":"Husseien","given":"M","non-dropping-particle":"","parse-names":false,"suffix":""},{"dropping-particle":"","family":"Amer","given":"A A","non-dropping-particle":"","parse-names":false,"suffix":""}],"id":"ITEM-1","issue":"1","issued":{"date-parts":[["2009"]]},"page":"123-130","title":"Availability of barley straw application on oil spill clean up","type":"article-journal","volume":"6"},"uris":["http://www.mendeley.com/documents/?uuid=0001a179-d91e-4754-a99f-0a8c2942027c","http://www.mendeley.com/documents/?uuid=f415dbb5-1e58-4555-9033-4e850884832c"]}],"mendeley":{"formattedCitation":"[24]","plainTextFormattedCitation":"[24]","previouslyFormattedCitation":"(24)"},"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[24]</w:t>
      </w:r>
      <w:r w:rsidRPr="006F4C60">
        <w:rPr>
          <w:rFonts w:ascii="Arial" w:hAnsi="Arial" w:cs="Arial"/>
        </w:rPr>
        <w:fldChar w:fldCharType="end"/>
      </w:r>
      <w:r w:rsidRPr="006F4C60">
        <w:rPr>
          <w:rFonts w:ascii="Arial" w:hAnsi="Arial" w:cs="Arial"/>
        </w:rPr>
        <w:t>. Though the extent of oil adsorbed increases with the biochar dosage, the maximum adsorption capacity decreases. This occurrence is linked to a rise in the number of pores for adsorption at higher sorbent dosages. Nevertheless, the sorption capacity diminishes as the sorbent dosage increases, primarily due to the increase of unsaturated oil binding sites. Furthermore, the saturation effect contributes to a decline in the efficiency of oil removal once the maximum sorption capacity is attained</w:t>
      </w:r>
      <w:r w:rsidRPr="006F4C60">
        <w:rPr>
          <w:rFonts w:ascii="Arial" w:hAnsi="Arial" w:cs="Arial"/>
        </w:rPr>
        <w:fldChar w:fldCharType="begin" w:fldLock="1"/>
      </w:r>
      <w:r w:rsidR="00576422">
        <w:rPr>
          <w:rFonts w:ascii="Arial" w:hAnsi="Arial" w:cs="Arial"/>
        </w:rPr>
        <w:instrText>ADDIN CSL_CITATION {"citationItems":[{"id":"ITEM-1","itemData":{"DOI":"10.1016/j.seppur.2013.04.015","ISSN":"1383-5866","author":[{"dropping-particle":"","family":"Wahi","given":"Rafeah","non-dropping-particle":"","parse-names":false,"suffix":""},{"dropping-particle":"","family":"Abdullah","given":"Luqman Chuah","non-dropping-particle":"","parse-names":false,"suffix":""},{"dropping-particle":"","family":"Choong","given":"Thomas","non-dropping-particle":"","parse-names":false,"suffix":""},{"dropping-particle":"","family":"Yaw","given":"Shean","non-dropping-particle":"","parse-names":false,"suffix":""},{"dropping-particle":"","family":"Ngaini","given":"Zainab","non-dropping-particle":"","parse-names":false,"suffix":""},{"dropping-particle":"","family":"Mobarekeh","given":"Mohsen Nourouzi","non-dropping-particle":"","parse-names":false,"suffix":""}],"container-title":"SEPARATION AND PURIFICATION TECHNOLOGY","id":"ITEM-1","issued":{"date-parts":[["2013"]]},"publisher":"Elsevier B.V.","title":"Oil Removal from Aqueous State by Natural Fibrous Sorbent : An Overview Department of Chemistry , Universiti Malaysia Sarawak , 94300 Kota Samarahan , Sarawak ,","type":"article-journal"},"uris":["http://www.mendeley.com/documents/?uuid=37922372-2256-42cb-a62e-d6329e17447f","http://www.mendeley.com/documents/?uuid=f6368a4b-9ced-4f2d-86d3-7d73ff500963"]}],"mendeley":{"formattedCitation":"[25]","plainTextFormattedCitation":"[25]","previouslyFormattedCitation":"(25)"},"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[25]</w:t>
      </w:r>
      <w:r w:rsidRPr="006F4C60">
        <w:rPr>
          <w:rFonts w:ascii="Arial" w:hAnsi="Arial" w:cs="Arial"/>
        </w:rPr>
        <w:fldChar w:fldCharType="end"/>
      </w:r>
      <w:r w:rsidRPr="006F4C60">
        <w:rPr>
          <w:rFonts w:ascii="Arial" w:hAnsi="Arial" w:cs="Arial"/>
        </w:rPr>
        <w:t>,</w:t>
      </w:r>
      <w:r w:rsidRPr="006F4C60">
        <w:rPr>
          <w:rFonts w:ascii="Arial" w:hAnsi="Arial" w:cs="Arial"/>
          <w:vertAlign w:val="superscript"/>
        </w:rPr>
        <w:fldChar w:fldCharType="begin" w:fldLock="1"/>
      </w:r>
      <w:r w:rsidR="00576422">
        <w:rPr>
          <w:rFonts w:ascii="Arial" w:hAnsi="Arial" w:cs="Arial"/>
          <w:vertAlign w:val="superscript"/>
        </w:rPr>
        <w:instrText>ADDIN CSL_CITATION {"citationItems":[{"id":"ITEM-1","itemData":{"DOI":"10.1016/j.watres.2005.03.035","author":[{"dropping-particle":"","family":"Ahmad","given":"A L Ã","non-dropping-particle":"","parse-names":false,"suffix":""},{"dropping-particle":"","family":"Sumathi","given":"S","non-dropping-particle":"","parse-names":false,"suffix":""},{"dropping-particle":"","family":"Hameed","given":"B H","non-dropping-particle":"","parse-names":false,"suffix":""}],"id":"ITEM-1","issued":{"date-parts":[["2005"]]},"page":"2483-2494","title":"Adsorption of residue oil from palm oil mill effluent using powder and flake chitosan : Equilibrium and kinetic studies","type":"article-journal","volume":"39"},"uris":["http://www.mendeley.com/documents/?uuid=0189d4b3-8493-4e70-9bb7-19fd54c5bf06","http://www.mendeley.com/documents/?uuid=0bd9ea2d-6e92-4c8e-9e70-f31e9930d25e"]}],"mendeley":{"formattedCitation":"[26]","plainTextFormattedCitation":"[26]","previouslyFormattedCitation":"(26)"},"properties":{"noteIndex":0},"schema":"https://github.com/citation-style-language/schema/raw/master/csl-citation.json"}</w:instrText>
      </w:r>
      <w:r w:rsidRPr="006F4C60">
        <w:rPr>
          <w:rFonts w:ascii="Arial" w:hAnsi="Arial" w:cs="Arial"/>
          <w:vertAlign w:val="superscript"/>
        </w:rPr>
        <w:fldChar w:fldCharType="separate"/>
      </w:r>
      <w:r w:rsidR="00576422" w:rsidRPr="00576422">
        <w:rPr>
          <w:rFonts w:ascii="Arial" w:hAnsi="Arial" w:cs="Arial"/>
          <w:noProof/>
        </w:rPr>
        <w:t>[26]</w:t>
      </w:r>
      <w:r w:rsidRPr="006F4C60">
        <w:rPr>
          <w:rFonts w:ascii="Arial" w:hAnsi="Arial" w:cs="Arial"/>
          <w:vertAlign w:val="superscript"/>
        </w:rPr>
        <w:fldChar w:fldCharType="end"/>
      </w:r>
      <w:r w:rsidRPr="006F4C60">
        <w:rPr>
          <w:rFonts w:ascii="Arial" w:hAnsi="Arial" w:cs="Arial"/>
        </w:rPr>
        <w:t>. Though the sorbent dosage has increased, there may not be an adequate amount of oil molecules for all the exchange sites on the sorbent. This may lead to a decrease in adsorption</w:t>
      </w:r>
      <w:r w:rsidRPr="006F4C60">
        <w:rPr>
          <w:rFonts w:ascii="Arial" w:hAnsi="Arial" w:cs="Arial"/>
        </w:rPr>
        <w:fldChar w:fldCharType="begin" w:fldLock="1"/>
      </w:r>
      <w:r w:rsidR="00576422">
        <w:rPr>
          <w:rFonts w:ascii="Arial" w:hAnsi="Arial" w:cs="Arial"/>
        </w:rPr>
        <w:instrText>ADDIN CSL_CITATION {"citationItems":[{"id":"ITEM-1","itemData":{"DOI":"10.5004/dwt.2021.27275","author":[{"dropping-particle":"","family":"Tamer","given":"T M","non-dropping-particle":"","parse-names":false,"suffix":""},{"dropping-particle":"","family":"Omer","given":"A M","non-dropping-particle":"","parse-names":false,"suffix":""},{"dropping-particle":"","family":"Khalifa","given":"R E","non-dropping-particle":"","parse-names":false,"suffix":""},{"dropping-particle":"","family":"Ali","given":"A A","non-dropping-particle":"","parse-names":false,"suffix":""},{"dropping-particle":"","family":"Ammar","given":"Y A","non-dropping-particle":"","parse-names":false,"suffix":""},{"dropping-particle":"","family":"Eldin","given":"M S Mohy","non-dropping-particle":"","parse-names":false,"suffix":""}],"id":"ITEM-1","issued":{"date-parts":[["2021"]]},"page":"319-327","title":"Aminated chitosan-g-poly ( butyl acrylate ) copolymer for heavy oil spills removal : kinetic , isotherm , and thermodynamic investigations","type":"article-journal","volume":"226"},"uris":["http://www.mendeley.com/documents/?uuid=f1fdcfff-1845-4407-bb21-2d65de467fee","http://www.mendeley.com/documents/?uuid=0690ccf7-3659-4ceb-afc5-ef7ba4503c18"]}],"mendeley":{"formattedCitation":"[21]","plainTextFormattedCitation":"[21]","previouslyFormattedCitation":"(21)"},"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[21]</w:t>
      </w:r>
      <w:r w:rsidRPr="006F4C60">
        <w:rPr>
          <w:rFonts w:ascii="Arial" w:hAnsi="Arial" w:cs="Arial"/>
        </w:rPr>
        <w:fldChar w:fldCharType="end"/>
      </w:r>
      <w:r w:rsidRPr="006F4C60">
        <w:rPr>
          <w:rFonts w:ascii="Arial" w:hAnsi="Arial" w:cs="Arial"/>
        </w:rPr>
        <w:t>.</w:t>
      </w:r>
    </w:p>
    <w:p w14:paraId="6E277C00" w14:textId="43D192E9" w:rsidR="0023432D" w:rsidRPr="006F4C60" w:rsidRDefault="005A0889" w:rsidP="00B509EC">
      <w:pPr>
        <w:spacing w:line="480" w:lineRule="auto"/>
        <w:jc w:val="both"/>
        <w:rPr>
          <w:rFonts w:ascii="Arial" w:hAnsi="Arial" w:cs="Arial"/>
        </w:rPr>
      </w:pPr>
      <w:r>
        <w:rPr>
          <w:noProof/>
        </w:rPr>
        <w:drawing>
          <wp:anchor distT="0" distB="0" distL="114300" distR="114300" simplePos="0" relativeHeight="251644928" behindDoc="0" locked="0" layoutInCell="1" allowOverlap="1" wp14:anchorId="46E604D8" wp14:editId="1DD3FBC3">
            <wp:simplePos x="0" y="0"/>
            <wp:positionH relativeFrom="column">
              <wp:posOffset>-55</wp:posOffset>
            </wp:positionH>
            <wp:positionV relativeFrom="paragraph">
              <wp:posOffset>95885</wp:posOffset>
            </wp:positionV>
            <wp:extent cx="3425825" cy="2258060"/>
            <wp:effectExtent l="0" t="0" r="0" b="0"/>
            <wp:wrapSquare wrapText="bothSides"/>
            <wp:docPr id="2104284987" name="Picture 1" descr="A graph of oil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4987" name="Picture 1" descr="A graph of oil pri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5825"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76B4B" w14:textId="77777777" w:rsidR="0023432D" w:rsidRDefault="0023432D" w:rsidP="00B509EC">
      <w:pPr>
        <w:spacing w:line="480" w:lineRule="auto"/>
        <w:jc w:val="both"/>
        <w:rPr>
          <w:rFonts w:ascii="Arial" w:hAnsi="Arial" w:cs="Arial"/>
          <w:b/>
          <w:bCs/>
          <w:sz w:val="22"/>
          <w:szCs w:val="22"/>
          <w:lang w:bidi="si-LK"/>
        </w:rPr>
      </w:pPr>
    </w:p>
    <w:p w14:paraId="2A7D38DE" w14:textId="77777777" w:rsidR="0023432D" w:rsidRDefault="0023432D" w:rsidP="00B509EC">
      <w:pPr>
        <w:spacing w:line="480" w:lineRule="auto"/>
        <w:jc w:val="both"/>
        <w:rPr>
          <w:rFonts w:ascii="Arial" w:hAnsi="Arial" w:cs="Arial"/>
          <w:b/>
          <w:bCs/>
          <w:sz w:val="22"/>
          <w:szCs w:val="22"/>
          <w:lang w:bidi="si-LK"/>
        </w:rPr>
      </w:pPr>
    </w:p>
    <w:p w14:paraId="6B4B3E6B" w14:textId="77777777" w:rsidR="0023432D" w:rsidRDefault="0023432D" w:rsidP="00B509EC">
      <w:pPr>
        <w:spacing w:line="480" w:lineRule="auto"/>
        <w:jc w:val="both"/>
        <w:rPr>
          <w:rFonts w:ascii="Arial" w:hAnsi="Arial" w:cs="Arial"/>
          <w:b/>
          <w:bCs/>
          <w:sz w:val="22"/>
          <w:szCs w:val="22"/>
          <w:lang w:bidi="si-LK"/>
        </w:rPr>
      </w:pPr>
    </w:p>
    <w:p w14:paraId="1432FF45" w14:textId="77777777" w:rsidR="0023432D" w:rsidRDefault="0023432D" w:rsidP="00B509EC">
      <w:pPr>
        <w:spacing w:line="480" w:lineRule="auto"/>
        <w:jc w:val="both"/>
        <w:rPr>
          <w:rFonts w:ascii="Arial" w:hAnsi="Arial" w:cs="Arial"/>
          <w:b/>
          <w:bCs/>
          <w:sz w:val="22"/>
          <w:szCs w:val="22"/>
          <w:lang w:bidi="si-LK"/>
        </w:rPr>
      </w:pPr>
    </w:p>
    <w:p w14:paraId="0B62F367" w14:textId="77777777" w:rsidR="0023432D" w:rsidRDefault="0023432D" w:rsidP="00B509EC">
      <w:pPr>
        <w:spacing w:line="480" w:lineRule="auto"/>
        <w:jc w:val="both"/>
        <w:rPr>
          <w:rFonts w:ascii="Arial" w:hAnsi="Arial" w:cs="Arial"/>
          <w:b/>
          <w:bCs/>
          <w:sz w:val="22"/>
          <w:szCs w:val="22"/>
          <w:lang w:bidi="si-LK"/>
        </w:rPr>
      </w:pPr>
    </w:p>
    <w:p w14:paraId="0809A8F4" w14:textId="77777777" w:rsidR="0023432D" w:rsidRDefault="0023432D" w:rsidP="00B509EC">
      <w:pPr>
        <w:spacing w:line="480" w:lineRule="auto"/>
        <w:jc w:val="both"/>
        <w:rPr>
          <w:rFonts w:ascii="Arial" w:hAnsi="Arial" w:cs="Arial"/>
          <w:b/>
          <w:bCs/>
          <w:sz w:val="22"/>
          <w:szCs w:val="22"/>
          <w:lang w:bidi="si-LK"/>
        </w:rPr>
      </w:pPr>
    </w:p>
    <w:p w14:paraId="7326DE2B" w14:textId="77777777" w:rsidR="005A0889" w:rsidRDefault="005A0889" w:rsidP="00210F0F">
      <w:pPr>
        <w:spacing w:line="480" w:lineRule="auto"/>
        <w:rPr>
          <w:rFonts w:ascii="Arial" w:hAnsi="Arial" w:cs="Arial"/>
          <w:b/>
          <w:bCs/>
          <w:sz w:val="22"/>
          <w:szCs w:val="22"/>
          <w:lang w:bidi="si-LK"/>
        </w:rPr>
      </w:pPr>
    </w:p>
    <w:p w14:paraId="37A94FAC" w14:textId="4D1D2BD1" w:rsidR="00122873" w:rsidRPr="00210F0F" w:rsidRDefault="00122873" w:rsidP="00210F0F">
      <w:pPr>
        <w:spacing w:line="480" w:lineRule="auto"/>
        <w:rPr>
          <w:rFonts w:ascii="Arial" w:hAnsi="Arial" w:cs="Arial"/>
          <w:b/>
          <w:bCs/>
          <w:sz w:val="18"/>
          <w:szCs w:val="18"/>
        </w:rPr>
      </w:pPr>
      <w:r w:rsidRPr="00210F0F">
        <w:rPr>
          <w:rFonts w:ascii="Arial" w:hAnsi="Arial" w:cs="Arial"/>
          <w:b/>
          <w:bCs/>
        </w:rPr>
        <w:t>Fig</w:t>
      </w:r>
      <w:r w:rsidR="00210F0F" w:rsidRPr="00210F0F">
        <w:rPr>
          <w:rFonts w:ascii="Arial" w:hAnsi="Arial" w:cs="Arial"/>
          <w:b/>
          <w:bCs/>
        </w:rPr>
        <w:t>.</w:t>
      </w:r>
      <w:r w:rsidRPr="00210F0F">
        <w:rPr>
          <w:rFonts w:ascii="Arial" w:hAnsi="Arial" w:cs="Arial"/>
          <w:b/>
          <w:bCs/>
        </w:rPr>
        <w:t xml:space="preserve"> 1. Effect of variation of biochar dosage on adsorption capacity of different oil types</w:t>
      </w:r>
    </w:p>
    <w:p w14:paraId="3FA102DC" w14:textId="77777777" w:rsidR="0023432D" w:rsidRDefault="0023432D" w:rsidP="00B509EC">
      <w:pPr>
        <w:spacing w:line="480" w:lineRule="auto"/>
        <w:jc w:val="both"/>
        <w:rPr>
          <w:rFonts w:ascii="Arial" w:hAnsi="Arial" w:cs="Arial"/>
          <w:b/>
          <w:bCs/>
          <w:sz w:val="22"/>
          <w:szCs w:val="22"/>
          <w:lang w:bidi="si-LK"/>
        </w:rPr>
      </w:pPr>
    </w:p>
    <w:p w14:paraId="3CBFC448" w14:textId="5089557A"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lang w:bidi="si-LK"/>
        </w:rPr>
        <w:lastRenderedPageBreak/>
        <w:t>3.2 Variation of oil volume</w:t>
      </w:r>
    </w:p>
    <w:p w14:paraId="23D9E4F6" w14:textId="27E2B050" w:rsidR="006F4C60" w:rsidRDefault="006F4C60" w:rsidP="00B509EC">
      <w:pPr>
        <w:spacing w:line="480" w:lineRule="auto"/>
        <w:jc w:val="both"/>
        <w:rPr>
          <w:rFonts w:ascii="Arial" w:hAnsi="Arial" w:cs="Arial"/>
          <w:lang w:bidi="si-LK"/>
        </w:rPr>
      </w:pPr>
      <w:r w:rsidRPr="006F4C60">
        <w:rPr>
          <w:rFonts w:ascii="Arial" w:hAnsi="Arial" w:cs="Arial"/>
        </w:rPr>
        <w:t xml:space="preserve">This study reveals that motor oil shows the highest adsorption capacity at an initial volume of </w:t>
      </w:r>
      <w:r w:rsidRPr="006F4C60">
        <w:rPr>
          <w:rFonts w:ascii="Arial" w:hAnsi="Arial" w:cs="Arial"/>
        </w:rPr>
        <w:br/>
        <w:t>60.0 mL, and moreover, the adsorption capacity is comparatively higher than that of other oil types (Fig</w:t>
      </w:r>
      <w:r w:rsidR="00DE2768">
        <w:rPr>
          <w:rFonts w:ascii="Arial" w:hAnsi="Arial" w:cs="Arial"/>
        </w:rPr>
        <w:t>.</w:t>
      </w:r>
      <w:r w:rsidRPr="006F4C60">
        <w:rPr>
          <w:rFonts w:ascii="Arial" w:hAnsi="Arial" w:cs="Arial"/>
        </w:rPr>
        <w:t xml:space="preserve"> </w:t>
      </w:r>
      <w:r w:rsidR="00DE2768">
        <w:rPr>
          <w:rFonts w:ascii="Arial" w:hAnsi="Arial" w:cs="Arial"/>
        </w:rPr>
        <w:t>2</w:t>
      </w:r>
      <w:r w:rsidR="004E5B93">
        <w:rPr>
          <w:rFonts w:ascii="Arial" w:hAnsi="Arial" w:cs="Arial"/>
        </w:rPr>
        <w:t>.</w:t>
      </w:r>
      <w:r w:rsidRPr="006F4C60">
        <w:rPr>
          <w:rFonts w:ascii="Arial" w:hAnsi="Arial" w:cs="Arial"/>
        </w:rPr>
        <w:t xml:space="preserve">). Adsorption capacity of engine oil shows a maximum value when 20.0 mL of oil is added initially. The maximum volume of crude oil giving the highest adsorption capacity is 40.0 </w:t>
      </w:r>
      <w:proofErr w:type="spellStart"/>
      <w:r w:rsidRPr="006F4C60">
        <w:rPr>
          <w:rFonts w:ascii="Arial" w:hAnsi="Arial" w:cs="Arial"/>
        </w:rPr>
        <w:t>mL.</w:t>
      </w:r>
      <w:proofErr w:type="spellEnd"/>
      <w:r w:rsidRPr="006F4C60">
        <w:rPr>
          <w:rFonts w:ascii="Arial" w:hAnsi="Arial" w:cs="Arial"/>
        </w:rPr>
        <w:t xml:space="preserve"> </w:t>
      </w:r>
      <w:r w:rsidRPr="006F4C60">
        <w:rPr>
          <w:rFonts w:ascii="Arial" w:hAnsi="Arial" w:cs="Arial"/>
          <w:lang w:bidi="si-LK"/>
        </w:rPr>
        <w:t>The aspect of investigation on oil concentration lies in its ability to significantly influence the adsorption kinetics, and more precisely, directs the equilibrium behavior of the sorption process on the prepared sorbents. Elevated concentrations enhance the gradient between the bulk solution and the center of the sorbent particle, leading to improved distribution of oil residue throughout the film surrounding the particle and within the internal network of the prepared sorbents</w:t>
      </w:r>
      <w:r w:rsidRPr="006F4C60">
        <w:rPr>
          <w:rFonts w:ascii="Arial" w:hAnsi="Arial" w:cs="Arial"/>
          <w:lang w:bidi="si-LK"/>
        </w:rPr>
        <w:fldChar w:fldCharType="begin" w:fldLock="1"/>
      </w:r>
      <w:r w:rsidR="00576422">
        <w:rPr>
          <w:rFonts w:ascii="Arial" w:hAnsi="Arial" w:cs="Arial"/>
          <w:lang w:bidi="si-LK"/>
        </w:rPr>
        <w:instrText>ADDIN CSL_CITATION {"citationItems":[{"id":"ITEM-1","itemData":{"DOI":"10.5004/dwt.2019.24166","author":[{"dropping-particle":"","family":"Ghonim","given":"Randa","non-dropping-particle":"","parse-names":false,"suffix":""},{"dropping-particle":"","family":"Of","given":"City","non-dropping-particle":"","parse-names":false,"suffix":""},{"dropping-particle":"","family":"Applications","given":"Technological","non-dropping-particle":"","parse-names":false,"suffix":""},{"dropping-particle":"","family":"Ammar","given":"Yousry Ahmed","non-dropping-particle":"","parse-names":false,"suffix":""}],"id":"ITEM-1","issue":"January","issued":{"date-parts":[["2019"]]},"title":"Efficient eco-friendly crude oil adsorptive chitosan derivatives : kinetics , equilibrium and thermodynamic studies Efficient eco-friendly crude oil adsorptive chitosan derivatives : kinetics , equilibrium and thermodynamic studies","type":"article-journal"},"uris":["http://www.mendeley.com/documents/?uuid=cc42dd9d-36b9-4d4f-b89a-cac167bdfa7f","http://www.mendeley.com/documents/?uuid=dc474ec1-612e-4e46-8878-3a45b38020fc"]}],"mendeley":{"formattedCitation":"[27]","plainTextFormattedCitation":"[27]","previouslyFormattedCitation":"(27)"},"properties":{"noteIndex":0},"schema":"https://github.com/citation-style-language/schema/raw/master/csl-citation.json"}</w:instrText>
      </w:r>
      <w:r w:rsidRPr="006F4C60">
        <w:rPr>
          <w:rFonts w:ascii="Arial" w:hAnsi="Arial" w:cs="Arial"/>
          <w:lang w:bidi="si-LK"/>
        </w:rPr>
        <w:fldChar w:fldCharType="separate"/>
      </w:r>
      <w:r w:rsidR="00576422" w:rsidRPr="00576422">
        <w:rPr>
          <w:rFonts w:ascii="Arial" w:hAnsi="Arial" w:cs="Arial"/>
          <w:noProof/>
          <w:lang w:bidi="si-LK"/>
        </w:rPr>
        <w:t>[27]</w:t>
      </w:r>
      <w:r w:rsidRPr="006F4C60">
        <w:rPr>
          <w:rFonts w:ascii="Arial" w:hAnsi="Arial" w:cs="Arial"/>
          <w:lang w:bidi="si-LK"/>
        </w:rPr>
        <w:fldChar w:fldCharType="end"/>
      </w:r>
      <w:r w:rsidRPr="006F4C60">
        <w:rPr>
          <w:rFonts w:ascii="Arial" w:hAnsi="Arial" w:cs="Arial"/>
          <w:lang w:bidi="si-LK"/>
        </w:rPr>
        <w:t>,</w:t>
      </w:r>
      <w:r w:rsidRPr="006F4C60">
        <w:rPr>
          <w:rFonts w:ascii="Arial" w:hAnsi="Arial" w:cs="Arial"/>
          <w:lang w:bidi="si-LK"/>
        </w:rPr>
        <w:fldChar w:fldCharType="begin" w:fldLock="1"/>
      </w:r>
      <w:r w:rsidR="00576422">
        <w:rPr>
          <w:rFonts w:ascii="Arial" w:hAnsi="Arial" w:cs="Arial"/>
          <w:lang w:bidi="si-LK"/>
        </w:rPr>
        <w:instrText>ADDIN CSL_CITATION {"citationItems":[{"id":"ITEM-1","itemData":{"DOI":"10.1007/s11270-023-06210-1","ISBN":"0123456789","ISSN":"15732932","abstract":"Current environmental trends show an increase in pollutant concentrations in water bodies. The alarming concern this poses has made it crucial to remove pollutants from water and eliminate them, owing to the host of issues they cause to the ecosystem. While sorption is a popular method of treating wastewater, there are several concerns regarding its accessibility, affordability, efficiency, and functioning toward a circular sustainable economy. The current study focuses on the feasibility of using sugarcane bagasse (SCB) to remove oil and diesel from water and proposes to do so without turning SCB into biochar, contrary to the usual method. Raw SCB was chemically treated using sodium hydroxide and acetic acid. With little pre-treatment, it was found to have improved sorption abilities with low input materials and environmental toxicity. Sorption experiments conducted on treated and untreated SCB showed the effects of different parameters on the oil or diesel removal efficiency. Furthermore, FTIR, BET, and SEM studies were conducted to characterize the intrinsic morphology and structure of the sorbent.","author":[{"dropping-particle":"","family":"Anusha","given":"Y. G.","non-dropping-particle":"","parse-names":false,"suffix":""},{"dropping-particle":"","family":"Machado","given":"Avryl Anna","non-dropping-particle":"","parse-names":false,"suffix":""},{"dropping-particle":"","family":"Mulky","given":"Lavanya","non-dropping-particle":"","parse-names":false,"suffix":""}],"container-title":"Water, Air, and Soil Pollution","id":"ITEM-1","issue":"4","issued":{"date-parts":[["2023"]]},"publisher":"Springer International Publishing","title":"A Comparative Study of Treatment Methods of Raw Sugarcane Bagasse for Adsorption of Oil and Diesel","type":"article-journal","volume":"234"},"uris":["http://www.mendeley.com/documents/?uuid=86b6fac8-a444-4de4-bb2b-f4e599684a65","http://www.mendeley.com/documents/?uuid=28fbd9c5-75f4-4125-97cf-c19bd777b771"]}],"mendeley":{"formattedCitation":"[28]","plainTextFormattedCitation":"[28]","previouslyFormattedCitation":"(28)"},"properties":{"noteIndex":0},"schema":"https://github.com/citation-style-language/schema/raw/master/csl-citation.json"}</w:instrText>
      </w:r>
      <w:r w:rsidRPr="006F4C60">
        <w:rPr>
          <w:rFonts w:ascii="Arial" w:hAnsi="Arial" w:cs="Arial"/>
          <w:lang w:bidi="si-LK"/>
        </w:rPr>
        <w:fldChar w:fldCharType="separate"/>
      </w:r>
      <w:r w:rsidR="00576422" w:rsidRPr="00576422">
        <w:rPr>
          <w:rFonts w:ascii="Arial" w:hAnsi="Arial" w:cs="Arial"/>
          <w:noProof/>
          <w:lang w:bidi="si-LK"/>
        </w:rPr>
        <w:t>[28]</w:t>
      </w:r>
      <w:r w:rsidRPr="006F4C60">
        <w:rPr>
          <w:rFonts w:ascii="Arial" w:hAnsi="Arial" w:cs="Arial"/>
          <w:lang w:bidi="si-LK"/>
        </w:rPr>
        <w:fldChar w:fldCharType="end"/>
      </w:r>
      <w:r w:rsidRPr="006F4C60">
        <w:rPr>
          <w:rFonts w:ascii="Arial" w:hAnsi="Arial" w:cs="Arial"/>
          <w:lang w:bidi="si-LK"/>
        </w:rPr>
        <w:t>.</w:t>
      </w:r>
    </w:p>
    <w:p w14:paraId="34CC6A0E" w14:textId="4C209707" w:rsidR="0023432D" w:rsidRPr="006F4C60" w:rsidRDefault="0023432D" w:rsidP="00B509EC">
      <w:pPr>
        <w:spacing w:line="480" w:lineRule="auto"/>
        <w:jc w:val="both"/>
        <w:rPr>
          <w:rFonts w:ascii="Arial" w:hAnsi="Arial" w:cs="Arial"/>
          <w:lang w:bidi="si-LK"/>
        </w:rPr>
      </w:pPr>
      <w:r>
        <w:rPr>
          <w:noProof/>
        </w:rPr>
        <w:drawing>
          <wp:anchor distT="0" distB="0" distL="114300" distR="114300" simplePos="0" relativeHeight="251648000" behindDoc="0" locked="0" layoutInCell="1" allowOverlap="1" wp14:anchorId="552F9C89" wp14:editId="008DC8BB">
            <wp:simplePos x="0" y="0"/>
            <wp:positionH relativeFrom="column">
              <wp:posOffset>0</wp:posOffset>
            </wp:positionH>
            <wp:positionV relativeFrom="paragraph">
              <wp:posOffset>87465</wp:posOffset>
            </wp:positionV>
            <wp:extent cx="3522345" cy="2206625"/>
            <wp:effectExtent l="0" t="0" r="0" b="0"/>
            <wp:wrapSquare wrapText="bothSides"/>
            <wp:docPr id="1667397664" name="Picture 2" descr="A graph of oil pr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97664" name="Picture 2" descr="A graph of oil pric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2345"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D9253" w14:textId="77777777" w:rsidR="0023432D" w:rsidRDefault="0023432D" w:rsidP="00B509EC">
      <w:pPr>
        <w:spacing w:line="480" w:lineRule="auto"/>
        <w:jc w:val="both"/>
        <w:rPr>
          <w:rFonts w:ascii="Arial" w:hAnsi="Arial" w:cs="Arial"/>
          <w:b/>
          <w:bCs/>
          <w:sz w:val="22"/>
          <w:szCs w:val="22"/>
        </w:rPr>
      </w:pPr>
    </w:p>
    <w:p w14:paraId="1980A836" w14:textId="77777777" w:rsidR="0023432D" w:rsidRDefault="0023432D" w:rsidP="00B509EC">
      <w:pPr>
        <w:spacing w:line="480" w:lineRule="auto"/>
        <w:jc w:val="both"/>
        <w:rPr>
          <w:rFonts w:ascii="Arial" w:hAnsi="Arial" w:cs="Arial"/>
          <w:b/>
          <w:bCs/>
          <w:sz w:val="22"/>
          <w:szCs w:val="22"/>
        </w:rPr>
      </w:pPr>
    </w:p>
    <w:p w14:paraId="46865101" w14:textId="77777777" w:rsidR="0023432D" w:rsidRDefault="0023432D" w:rsidP="00B509EC">
      <w:pPr>
        <w:spacing w:line="480" w:lineRule="auto"/>
        <w:jc w:val="both"/>
        <w:rPr>
          <w:rFonts w:ascii="Arial" w:hAnsi="Arial" w:cs="Arial"/>
          <w:b/>
          <w:bCs/>
          <w:sz w:val="22"/>
          <w:szCs w:val="22"/>
        </w:rPr>
      </w:pPr>
    </w:p>
    <w:p w14:paraId="4A05B354" w14:textId="77777777" w:rsidR="0023432D" w:rsidRDefault="0023432D" w:rsidP="00B509EC">
      <w:pPr>
        <w:spacing w:line="480" w:lineRule="auto"/>
        <w:jc w:val="both"/>
        <w:rPr>
          <w:rFonts w:ascii="Arial" w:hAnsi="Arial" w:cs="Arial"/>
          <w:b/>
          <w:bCs/>
          <w:sz w:val="22"/>
          <w:szCs w:val="22"/>
        </w:rPr>
      </w:pPr>
    </w:p>
    <w:p w14:paraId="23E28B06" w14:textId="77777777" w:rsidR="0023432D" w:rsidRDefault="0023432D" w:rsidP="00B509EC">
      <w:pPr>
        <w:spacing w:line="480" w:lineRule="auto"/>
        <w:jc w:val="both"/>
        <w:rPr>
          <w:rFonts w:ascii="Arial" w:hAnsi="Arial" w:cs="Arial"/>
          <w:b/>
          <w:bCs/>
          <w:sz w:val="22"/>
          <w:szCs w:val="22"/>
        </w:rPr>
      </w:pPr>
    </w:p>
    <w:p w14:paraId="38BEC177" w14:textId="77777777" w:rsidR="0023432D" w:rsidRDefault="0023432D" w:rsidP="00B509EC">
      <w:pPr>
        <w:spacing w:line="480" w:lineRule="auto"/>
        <w:jc w:val="both"/>
        <w:rPr>
          <w:rFonts w:ascii="Arial" w:hAnsi="Arial" w:cs="Arial"/>
          <w:b/>
          <w:bCs/>
          <w:sz w:val="22"/>
          <w:szCs w:val="22"/>
        </w:rPr>
      </w:pPr>
    </w:p>
    <w:p w14:paraId="27FD54DD" w14:textId="77777777" w:rsidR="0023432D" w:rsidRDefault="0023432D" w:rsidP="00B509EC">
      <w:pPr>
        <w:spacing w:line="480" w:lineRule="auto"/>
        <w:jc w:val="both"/>
        <w:rPr>
          <w:rFonts w:ascii="Arial" w:hAnsi="Arial" w:cs="Arial"/>
          <w:b/>
          <w:bCs/>
          <w:sz w:val="22"/>
          <w:szCs w:val="22"/>
        </w:rPr>
      </w:pPr>
    </w:p>
    <w:p w14:paraId="65DD861D" w14:textId="15F4E5CC" w:rsidR="00122873" w:rsidRPr="00210F0F" w:rsidRDefault="00122873" w:rsidP="00122873">
      <w:pPr>
        <w:pStyle w:val="Caption"/>
        <w:rPr>
          <w:rFonts w:ascii="Arial" w:hAnsi="Arial" w:cs="Arial"/>
          <w:b/>
          <w:bCs/>
          <w:i w:val="0"/>
          <w:iCs w:val="0"/>
          <w:noProof/>
          <w:color w:val="auto"/>
          <w:sz w:val="20"/>
          <w:szCs w:val="20"/>
        </w:rPr>
      </w:pPr>
      <w:r w:rsidRPr="00210F0F">
        <w:rPr>
          <w:rFonts w:ascii="Arial" w:hAnsi="Arial" w:cs="Arial"/>
          <w:b/>
          <w:bCs/>
          <w:i w:val="0"/>
          <w:iCs w:val="0"/>
          <w:color w:val="auto"/>
          <w:sz w:val="20"/>
          <w:szCs w:val="20"/>
        </w:rPr>
        <w:t>Fig</w:t>
      </w:r>
      <w:r w:rsidR="004E5B93">
        <w:rPr>
          <w:rFonts w:ascii="Arial" w:hAnsi="Arial" w:cs="Arial"/>
          <w:b/>
          <w:bCs/>
          <w:i w:val="0"/>
          <w:iCs w:val="0"/>
          <w:color w:val="auto"/>
          <w:sz w:val="20"/>
          <w:szCs w:val="20"/>
        </w:rPr>
        <w:t>.</w:t>
      </w:r>
      <w:r w:rsidRPr="00210F0F">
        <w:rPr>
          <w:rFonts w:ascii="Arial" w:hAnsi="Arial" w:cs="Arial"/>
          <w:b/>
          <w:bCs/>
          <w:i w:val="0"/>
          <w:iCs w:val="0"/>
          <w:color w:val="auto"/>
          <w:sz w:val="20"/>
          <w:szCs w:val="20"/>
        </w:rPr>
        <w:t xml:space="preserve"> 2. Effect of variation of oil volume on adsorption capacity of oil types</w:t>
      </w:r>
    </w:p>
    <w:p w14:paraId="3381921D" w14:textId="77777777" w:rsidR="0023432D" w:rsidRDefault="0023432D" w:rsidP="00B509EC">
      <w:pPr>
        <w:spacing w:line="480" w:lineRule="auto"/>
        <w:jc w:val="both"/>
        <w:rPr>
          <w:rFonts w:ascii="Arial" w:hAnsi="Arial" w:cs="Arial"/>
          <w:b/>
          <w:bCs/>
          <w:sz w:val="22"/>
          <w:szCs w:val="22"/>
        </w:rPr>
      </w:pPr>
    </w:p>
    <w:p w14:paraId="79316CEF" w14:textId="59447D23"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3.3 Variation of contact time</w:t>
      </w:r>
    </w:p>
    <w:p w14:paraId="782CF62C" w14:textId="036A523F" w:rsidR="006F4C60" w:rsidRDefault="006F4C60" w:rsidP="00B509EC">
      <w:pPr>
        <w:spacing w:line="480" w:lineRule="auto"/>
        <w:jc w:val="both"/>
        <w:rPr>
          <w:rFonts w:ascii="Arial" w:hAnsi="Arial" w:cs="Arial"/>
        </w:rPr>
      </w:pPr>
      <w:r w:rsidRPr="006F4C60">
        <w:rPr>
          <w:rFonts w:ascii="Arial" w:hAnsi="Arial" w:cs="Arial"/>
        </w:rPr>
        <w:t>When considering the maximum adsorption capacity values determined, the highest capacity of crude oil is observed at a contact time of 30 min (Fig</w:t>
      </w:r>
      <w:r w:rsidR="004E5B93">
        <w:rPr>
          <w:rFonts w:ascii="Arial" w:hAnsi="Arial" w:cs="Arial"/>
        </w:rPr>
        <w:t>.</w:t>
      </w:r>
      <w:r w:rsidRPr="006F4C60">
        <w:rPr>
          <w:rFonts w:ascii="Arial" w:hAnsi="Arial" w:cs="Arial"/>
        </w:rPr>
        <w:t xml:space="preserve"> </w:t>
      </w:r>
      <w:r w:rsidR="004E5B93">
        <w:rPr>
          <w:rFonts w:ascii="Arial" w:hAnsi="Arial" w:cs="Arial"/>
        </w:rPr>
        <w:t>3.</w:t>
      </w:r>
      <w:r w:rsidRPr="006F4C60">
        <w:rPr>
          <w:rFonts w:ascii="Arial" w:hAnsi="Arial" w:cs="Arial"/>
        </w:rPr>
        <w:t xml:space="preserve">). The contact time required for the maximum capacity is observed to be 45 min for both engine oil and motor oil. According to the results, the maximum adsorption capacity increases with contact time, and after a certain </w:t>
      </w:r>
      <w:r w:rsidRPr="006F4C60">
        <w:rPr>
          <w:rFonts w:ascii="Arial" w:hAnsi="Arial" w:cs="Arial"/>
        </w:rPr>
        <w:lastRenderedPageBreak/>
        <w:t>point, it starts to decrease giving an optimum contact time for the maximum adsorption. As the concentration gradient between solution and oil spill is initially high, the sorption rate increases and after the maximum is reached, the sorption rate gradually decreases due to a decrease in concentration difference. The majority of adsorption sites within the adsorbent structure are occupied by oil. As the contact time increases, adsorption as well as desorption would take place as the adsorption sites get more occupied. When desorption increases over adsorption, adsorption capacity decreases leading to the results stated above. The high adsorption capacity can be due to the existence of empty active sites on the surface and due to the reducing strong attractive forces between the oil molecules and the adsorbent as the contact time increases</w:t>
      </w:r>
      <w:r w:rsidRPr="006F4C60">
        <w:rPr>
          <w:rFonts w:ascii="Arial" w:hAnsi="Arial" w:cs="Arial"/>
        </w:rPr>
        <w:fldChar w:fldCharType="begin" w:fldLock="1"/>
      </w:r>
      <w:r w:rsidR="00576422">
        <w:rPr>
          <w:rFonts w:ascii="Arial" w:hAnsi="Arial" w:cs="Arial"/>
        </w:rPr>
        <w:instrText>ADDIN CSL_CITATION {"citationItems":[{"id":"ITEM-1","itemData":{"DOI":"10.11648/j.ajche.20200802.11","author":[{"dropping-particle":"","family":"Abel","given":"Ukpong Anwana","non-dropping-particle":"","parse-names":false,"suffix":""},{"dropping-particle":"","family":"Habor","given":"Gumus Rhoda","non-dropping-particle":"","parse-names":false,"suffix":""},{"dropping-particle":"","family":"Oseribho","given":"Oboh Innocent","non-dropping-particle":"","parse-names":false,"suffix":""}],"id":"ITEM-1","issue":"April","issued":{"date-parts":[["2020"]]},"title":"Adsorption Studies of Oil Spill Clean-up Using Coconut Coir Activated Carbon Adsorption Studies of Oil Spill Clean-up Using Coconut Coir Activated Carbon ( CCAC )","type":"article-journal"},"uris":["http://www.mendeley.com/documents/?uuid=b2fe1a52-ac3b-44c0-be30-bb86aa465eae"]}],"mendeley":{"formattedCitation":"[11]","plainTextFormattedCitation":"[11]","previouslyFormattedCitation":"(11)"},"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[11]</w:t>
      </w:r>
      <w:r w:rsidRPr="006F4C60">
        <w:rPr>
          <w:rFonts w:ascii="Arial" w:hAnsi="Arial" w:cs="Arial"/>
        </w:rPr>
        <w:fldChar w:fldCharType="end"/>
      </w:r>
      <w:r w:rsidRPr="006F4C60">
        <w:rPr>
          <w:rFonts w:ascii="Arial" w:hAnsi="Arial" w:cs="Arial"/>
        </w:rPr>
        <w:t>. The adsorption capacity after reaching the maximum value is not significantly changed thereafter, probably  due to the establishment of equilibrium between adsorption and desorption processes that occur after saturation</w:t>
      </w:r>
      <w:r w:rsidRPr="006F4C60">
        <w:rPr>
          <w:rFonts w:ascii="Arial" w:hAnsi="Arial" w:cs="Arial"/>
        </w:rPr>
        <w:fldChar w:fldCharType="begin" w:fldLock="1"/>
      </w:r>
      <w:r w:rsidR="00576422">
        <w:rPr>
          <w:rFonts w:ascii="Arial" w:hAnsi="Arial" w:cs="Arial"/>
        </w:rPr>
        <w:instrText>ADDIN CSL_CITATION {"citationItems":[{"id":"ITEM-1","itemData":{"DOI":"10.11648/j.ajche.20200802.11","author":[{"dropping-particle":"","family":"Abel","given":"Ukpong Anwana","non-dropping-particle":"","parse-names":false,"suffix":""},{"dropping-particle":"","family":"Habor","given":"Gumus Rhoda","non-dropping-particle":"","parse-names":false,"suffix":""},{"dropping-particle":"","family":"Oseribho","given":"Oboh Innocent","non-dropping-particle":"","parse-names":false,"suffix":""}],"id":"ITEM-1","issue":"April","issued":{"date-parts":[["2020"]]},"title":"Adsorption Studies of Oil Spill Clean-up Using Coconut Coir Activated Carbon Adsorption Studies of Oil Spill Clean-up Using Coconut Coir Activated Carbon ( CCAC )","type":"article-journal"},"uris":["http://www.mendeley.com/documents/?uuid=b2fe1a52-ac3b-44c0-be30-bb86aa465eae"]}],"mendeley":{"formattedCitation":"[11]","plainTextFormattedCitation":"[11]","previouslyFormattedCitation":"(11)"},"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[11]</w:t>
      </w:r>
      <w:r w:rsidRPr="006F4C60">
        <w:rPr>
          <w:rFonts w:ascii="Arial" w:hAnsi="Arial" w:cs="Arial"/>
        </w:rPr>
        <w:fldChar w:fldCharType="end"/>
      </w:r>
      <w:r w:rsidRPr="006F4C60">
        <w:rPr>
          <w:rFonts w:ascii="Arial" w:hAnsi="Arial" w:cs="Arial"/>
        </w:rPr>
        <w:t>,</w:t>
      </w:r>
      <w:r w:rsidRPr="006F4C60" w:rsidDel="00781C3E">
        <w:rPr>
          <w:rFonts w:ascii="Arial" w:hAnsi="Arial" w:cs="Arial"/>
          <w:vertAlign w:val="superscript"/>
        </w:rPr>
        <w:t xml:space="preserve"> </w:t>
      </w:r>
      <w:r w:rsidRPr="006F4C60">
        <w:rPr>
          <w:rFonts w:ascii="Arial" w:hAnsi="Arial" w:cs="Arial"/>
          <w:vertAlign w:val="superscript"/>
        </w:rPr>
        <w:fldChar w:fldCharType="begin" w:fldLock="1"/>
      </w:r>
      <w:r w:rsidR="00576422">
        <w:rPr>
          <w:rFonts w:ascii="Arial" w:hAnsi="Arial" w:cs="Arial"/>
          <w:vertAlign w:val="superscript"/>
        </w:rPr>
        <w:instrText>ADDIN CSL_CITATION {"citationItems":[{"id":"ITEM-1","itemData":{"author":[{"dropping-particle":"","family":"Ukotije-ikwut","given":"Peter Rowland","non-dropping-particle":"","parse-names":false,"suffix":""},{"dropping-particle":"","family":"Idogun","given":"Akpevwe Kelvin","non-dropping-particle":"","parse-names":false,"suffix":""},{"dropping-particle":"","family":"Iriakuma","given":"Christopher Tubuyai","non-dropping-particle":"","parse-names":false,"suffix":""},{"dropping-particle":"","family":"Aseminaso","given":"Abiye","non-dropping-particle":"","parse-names":false,"suffix":""}],"id":"ITEM-1","issue":"8","issued":{"date-parts":[["2016"]]},"page":"1754-1764","title":"A Novel Method for Adsorption using Human Hair as a Natural Oil Spill Sorbent","type":"article-journal","volume":"7"},"uris":["http://www.mendeley.com/documents/?uuid=f6b87d52-edd6-4b16-bef2-5b7edb0eb4ab"]}],"mendeley":{"formattedCitation":"[29]","plainTextFormattedCitation":"[29]","previouslyFormattedCitation":"(29)"},"properties":{"noteIndex":0},"schema":"https://github.com/citation-style-language/schema/raw/master/csl-citation.json"}</w:instrText>
      </w:r>
      <w:r w:rsidRPr="006F4C60">
        <w:rPr>
          <w:rFonts w:ascii="Arial" w:hAnsi="Arial" w:cs="Arial"/>
          <w:vertAlign w:val="superscript"/>
        </w:rPr>
        <w:fldChar w:fldCharType="separate"/>
      </w:r>
      <w:r w:rsidR="00576422" w:rsidRPr="00576422">
        <w:rPr>
          <w:rFonts w:ascii="Arial" w:hAnsi="Arial" w:cs="Arial"/>
          <w:noProof/>
        </w:rPr>
        <w:t>[29]</w:t>
      </w:r>
      <w:r w:rsidRPr="006F4C60">
        <w:rPr>
          <w:rFonts w:ascii="Arial" w:hAnsi="Arial" w:cs="Arial"/>
          <w:vertAlign w:val="superscript"/>
        </w:rPr>
        <w:fldChar w:fldCharType="end"/>
      </w:r>
      <w:r w:rsidRPr="006F4C60">
        <w:rPr>
          <w:rFonts w:ascii="Arial" w:hAnsi="Arial" w:cs="Arial"/>
        </w:rPr>
        <w:t>.</w:t>
      </w:r>
      <w:r w:rsidRPr="006F4C60">
        <w:rPr>
          <w:rFonts w:ascii="Arial" w:hAnsi="Arial" w:cs="Arial"/>
          <w:vertAlign w:val="superscript"/>
        </w:rPr>
        <w:t xml:space="preserve"> </w:t>
      </w:r>
      <w:r w:rsidRPr="006F4C60">
        <w:rPr>
          <w:rFonts w:ascii="Arial" w:hAnsi="Arial" w:cs="Arial"/>
        </w:rPr>
        <w:t xml:space="preserve"> Fig</w:t>
      </w:r>
      <w:r w:rsidR="004E5B93">
        <w:rPr>
          <w:rFonts w:ascii="Arial" w:hAnsi="Arial" w:cs="Arial"/>
        </w:rPr>
        <w:t>.</w:t>
      </w:r>
      <w:r w:rsidRPr="006F4C60">
        <w:rPr>
          <w:rFonts w:ascii="Arial" w:hAnsi="Arial" w:cs="Arial"/>
        </w:rPr>
        <w:t xml:space="preserve"> </w:t>
      </w:r>
      <w:r w:rsidR="004E5B93">
        <w:rPr>
          <w:rFonts w:ascii="Arial" w:hAnsi="Arial" w:cs="Arial"/>
        </w:rPr>
        <w:t>4.</w:t>
      </w:r>
      <w:r w:rsidRPr="006F4C60">
        <w:rPr>
          <w:rFonts w:ascii="Arial" w:hAnsi="Arial" w:cs="Arial"/>
        </w:rPr>
        <w:t xml:space="preserve"> illustrates how oil is adsorbed to biochar with time over a 40 min period. </w:t>
      </w:r>
    </w:p>
    <w:p w14:paraId="18E6C42E" w14:textId="2143962E" w:rsidR="0023432D" w:rsidRPr="006F4C60" w:rsidRDefault="005A0889" w:rsidP="00B509EC">
      <w:pPr>
        <w:spacing w:line="480" w:lineRule="auto"/>
        <w:jc w:val="both"/>
        <w:rPr>
          <w:rFonts w:ascii="Arial" w:hAnsi="Arial" w:cs="Arial"/>
        </w:rPr>
      </w:pPr>
      <w:r>
        <w:rPr>
          <w:noProof/>
        </w:rPr>
        <w:drawing>
          <wp:anchor distT="0" distB="0" distL="114300" distR="114300" simplePos="0" relativeHeight="251658240" behindDoc="0" locked="0" layoutInCell="1" allowOverlap="1" wp14:anchorId="4F3BD4C8" wp14:editId="145B5DA3">
            <wp:simplePos x="0" y="0"/>
            <wp:positionH relativeFrom="column">
              <wp:posOffset>0</wp:posOffset>
            </wp:positionH>
            <wp:positionV relativeFrom="paragraph">
              <wp:posOffset>114300</wp:posOffset>
            </wp:positionV>
            <wp:extent cx="3625215" cy="2157095"/>
            <wp:effectExtent l="0" t="0" r="0" b="0"/>
            <wp:wrapSquare wrapText="bothSides"/>
            <wp:docPr id="559836750" name="Picture 3"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36750" name="Picture 3" descr="A graph of different colored li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215"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7FE10" w14:textId="7FE57843" w:rsidR="0023432D" w:rsidRDefault="0023432D" w:rsidP="00B509EC">
      <w:pPr>
        <w:spacing w:line="480" w:lineRule="auto"/>
        <w:jc w:val="both"/>
        <w:rPr>
          <w:rFonts w:ascii="Arial" w:hAnsi="Arial" w:cs="Arial"/>
          <w:b/>
          <w:bCs/>
          <w:sz w:val="22"/>
          <w:szCs w:val="22"/>
        </w:rPr>
      </w:pPr>
    </w:p>
    <w:p w14:paraId="059C6977" w14:textId="77777777" w:rsidR="0023432D" w:rsidRDefault="0023432D" w:rsidP="00B509EC">
      <w:pPr>
        <w:spacing w:line="480" w:lineRule="auto"/>
        <w:jc w:val="both"/>
        <w:rPr>
          <w:rFonts w:ascii="Arial" w:hAnsi="Arial" w:cs="Arial"/>
          <w:b/>
          <w:bCs/>
          <w:sz w:val="22"/>
          <w:szCs w:val="22"/>
        </w:rPr>
      </w:pPr>
    </w:p>
    <w:p w14:paraId="6D66B15B" w14:textId="77777777" w:rsidR="0023432D" w:rsidRDefault="0023432D" w:rsidP="00B509EC">
      <w:pPr>
        <w:spacing w:line="480" w:lineRule="auto"/>
        <w:jc w:val="both"/>
        <w:rPr>
          <w:rFonts w:ascii="Arial" w:hAnsi="Arial" w:cs="Arial"/>
          <w:b/>
          <w:bCs/>
          <w:sz w:val="22"/>
          <w:szCs w:val="22"/>
        </w:rPr>
      </w:pPr>
    </w:p>
    <w:p w14:paraId="7D8970EC" w14:textId="77777777" w:rsidR="0023432D" w:rsidRDefault="0023432D" w:rsidP="00B509EC">
      <w:pPr>
        <w:spacing w:line="480" w:lineRule="auto"/>
        <w:jc w:val="both"/>
        <w:rPr>
          <w:rFonts w:ascii="Arial" w:hAnsi="Arial" w:cs="Arial"/>
          <w:b/>
          <w:bCs/>
          <w:sz w:val="22"/>
          <w:szCs w:val="22"/>
        </w:rPr>
      </w:pPr>
    </w:p>
    <w:p w14:paraId="3CF10E64" w14:textId="77777777" w:rsidR="0023432D" w:rsidRDefault="0023432D" w:rsidP="00B509EC">
      <w:pPr>
        <w:spacing w:line="480" w:lineRule="auto"/>
        <w:jc w:val="both"/>
        <w:rPr>
          <w:rFonts w:ascii="Arial" w:hAnsi="Arial" w:cs="Arial"/>
          <w:b/>
          <w:bCs/>
          <w:sz w:val="22"/>
          <w:szCs w:val="22"/>
        </w:rPr>
      </w:pPr>
    </w:p>
    <w:p w14:paraId="2AA4BD4F" w14:textId="77777777" w:rsidR="0023432D" w:rsidRDefault="0023432D" w:rsidP="00B509EC">
      <w:pPr>
        <w:spacing w:line="480" w:lineRule="auto"/>
        <w:jc w:val="both"/>
        <w:rPr>
          <w:rFonts w:ascii="Arial" w:hAnsi="Arial" w:cs="Arial"/>
          <w:b/>
          <w:bCs/>
          <w:sz w:val="22"/>
          <w:szCs w:val="22"/>
        </w:rPr>
      </w:pPr>
    </w:p>
    <w:p w14:paraId="4A294B83" w14:textId="77777777" w:rsidR="00122873" w:rsidRDefault="00122873" w:rsidP="00B509EC">
      <w:pPr>
        <w:spacing w:line="480" w:lineRule="auto"/>
        <w:jc w:val="both"/>
        <w:rPr>
          <w:rFonts w:ascii="Arial" w:hAnsi="Arial" w:cs="Arial"/>
          <w:b/>
          <w:bCs/>
          <w:sz w:val="22"/>
          <w:szCs w:val="22"/>
        </w:rPr>
      </w:pPr>
    </w:p>
    <w:p w14:paraId="0FFB8348" w14:textId="112D4EAE" w:rsidR="00122873" w:rsidRPr="00210F0F" w:rsidRDefault="00122873" w:rsidP="00210F0F">
      <w:pPr>
        <w:pStyle w:val="Caption"/>
        <w:rPr>
          <w:rFonts w:ascii="Arial" w:hAnsi="Arial" w:cs="Arial"/>
          <w:b/>
          <w:bCs/>
          <w:i w:val="0"/>
          <w:iCs w:val="0"/>
          <w:noProof/>
          <w:color w:val="auto"/>
          <w:sz w:val="20"/>
          <w:szCs w:val="20"/>
        </w:rPr>
      </w:pPr>
      <w:r w:rsidRPr="00210F0F">
        <w:rPr>
          <w:rFonts w:ascii="Arial" w:hAnsi="Arial" w:cs="Arial"/>
          <w:b/>
          <w:bCs/>
          <w:i w:val="0"/>
          <w:iCs w:val="0"/>
          <w:color w:val="auto"/>
          <w:sz w:val="20"/>
          <w:szCs w:val="20"/>
        </w:rPr>
        <w:t>Fig</w:t>
      </w:r>
      <w:r w:rsidR="004E5B93">
        <w:rPr>
          <w:rFonts w:ascii="Arial" w:hAnsi="Arial" w:cs="Arial"/>
          <w:b/>
          <w:bCs/>
          <w:i w:val="0"/>
          <w:iCs w:val="0"/>
          <w:color w:val="auto"/>
          <w:sz w:val="20"/>
          <w:szCs w:val="20"/>
        </w:rPr>
        <w:t>.</w:t>
      </w:r>
      <w:r w:rsidRPr="00210F0F">
        <w:rPr>
          <w:rFonts w:ascii="Arial" w:hAnsi="Arial" w:cs="Arial"/>
          <w:b/>
          <w:bCs/>
          <w:i w:val="0"/>
          <w:iCs w:val="0"/>
          <w:color w:val="auto"/>
          <w:sz w:val="20"/>
          <w:szCs w:val="20"/>
        </w:rPr>
        <w:t xml:space="preserve"> 3. Variation of contact time on adsorption capacity of oil types  </w:t>
      </w:r>
    </w:p>
    <w:p w14:paraId="6BDE0948" w14:textId="515C33D3" w:rsidR="0023432D" w:rsidRDefault="005A0889" w:rsidP="00B509EC">
      <w:pPr>
        <w:spacing w:line="480" w:lineRule="auto"/>
        <w:jc w:val="both"/>
        <w:rPr>
          <w:rFonts w:ascii="Arial" w:hAnsi="Arial" w:cs="Arial"/>
          <w:b/>
          <w:bCs/>
          <w:sz w:val="22"/>
          <w:szCs w:val="22"/>
        </w:rPr>
      </w:pPr>
      <w:r>
        <w:rPr>
          <w:noProof/>
        </w:rPr>
        <w:drawing>
          <wp:anchor distT="0" distB="0" distL="114300" distR="114300" simplePos="0" relativeHeight="251641856" behindDoc="0" locked="0" layoutInCell="1" allowOverlap="1" wp14:anchorId="688A42E0" wp14:editId="7116D7A2">
            <wp:simplePos x="0" y="0"/>
            <wp:positionH relativeFrom="column">
              <wp:posOffset>0</wp:posOffset>
            </wp:positionH>
            <wp:positionV relativeFrom="paragraph">
              <wp:posOffset>5080</wp:posOffset>
            </wp:positionV>
            <wp:extent cx="3213100" cy="2178050"/>
            <wp:effectExtent l="0" t="0" r="0" b="0"/>
            <wp:wrapSquare wrapText="bothSides"/>
            <wp:docPr id="1048872066" name="Picture 12" descr="A group of images of different types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72066" name="Picture 12" descr="A group of images of different types of liquid&#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8" r="25096"/>
                    <a:stretch>
                      <a:fillRect/>
                    </a:stretch>
                  </pic:blipFill>
                  <pic:spPr bwMode="auto">
                    <a:xfrm>
                      <a:off x="0" y="0"/>
                      <a:ext cx="321310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CACC7C" w14:textId="195AF456" w:rsidR="00122873" w:rsidRDefault="00122873" w:rsidP="00B509EC">
      <w:pPr>
        <w:spacing w:line="480" w:lineRule="auto"/>
        <w:jc w:val="both"/>
        <w:rPr>
          <w:rFonts w:ascii="Arial" w:hAnsi="Arial" w:cs="Arial"/>
          <w:b/>
          <w:bCs/>
          <w:sz w:val="22"/>
          <w:szCs w:val="22"/>
        </w:rPr>
      </w:pPr>
    </w:p>
    <w:p w14:paraId="280E3A5E" w14:textId="19A61357" w:rsidR="00122873" w:rsidRDefault="00122873" w:rsidP="00B509EC">
      <w:pPr>
        <w:spacing w:line="480" w:lineRule="auto"/>
        <w:jc w:val="both"/>
        <w:rPr>
          <w:rFonts w:ascii="Arial" w:hAnsi="Arial" w:cs="Arial"/>
          <w:b/>
          <w:bCs/>
          <w:sz w:val="22"/>
          <w:szCs w:val="22"/>
        </w:rPr>
      </w:pPr>
    </w:p>
    <w:p w14:paraId="0B5FB6A5" w14:textId="4042191A" w:rsidR="00122873" w:rsidRDefault="00122873" w:rsidP="00B509EC">
      <w:pPr>
        <w:spacing w:line="480" w:lineRule="auto"/>
        <w:jc w:val="both"/>
        <w:rPr>
          <w:rFonts w:ascii="Arial" w:hAnsi="Arial" w:cs="Arial"/>
          <w:b/>
          <w:bCs/>
          <w:sz w:val="22"/>
          <w:szCs w:val="22"/>
        </w:rPr>
      </w:pPr>
    </w:p>
    <w:p w14:paraId="1FB486FE" w14:textId="77777777" w:rsidR="00122873" w:rsidRDefault="00122873" w:rsidP="00B509EC">
      <w:pPr>
        <w:spacing w:line="480" w:lineRule="auto"/>
        <w:jc w:val="both"/>
        <w:rPr>
          <w:rFonts w:ascii="Arial" w:hAnsi="Arial" w:cs="Arial"/>
          <w:b/>
          <w:bCs/>
          <w:sz w:val="22"/>
          <w:szCs w:val="22"/>
        </w:rPr>
      </w:pPr>
    </w:p>
    <w:p w14:paraId="4ECE93FE" w14:textId="77777777" w:rsidR="004E5B93" w:rsidRDefault="004E5B93" w:rsidP="00B509EC">
      <w:pPr>
        <w:spacing w:line="480" w:lineRule="auto"/>
        <w:jc w:val="both"/>
        <w:rPr>
          <w:rFonts w:ascii="Arial" w:hAnsi="Arial" w:cs="Arial"/>
          <w:b/>
          <w:bCs/>
          <w:sz w:val="22"/>
          <w:szCs w:val="22"/>
        </w:rPr>
      </w:pPr>
    </w:p>
    <w:p w14:paraId="3589F78C" w14:textId="77777777" w:rsidR="00AE0619" w:rsidRDefault="00AE0619" w:rsidP="00210F0F">
      <w:pPr>
        <w:rPr>
          <w:rFonts w:ascii="Arial" w:hAnsi="Arial" w:cs="Arial"/>
          <w:b/>
          <w:bCs/>
          <w:color w:val="000000" w:themeColor="text1"/>
        </w:rPr>
      </w:pPr>
    </w:p>
    <w:p w14:paraId="3E8C4D17" w14:textId="28653A37" w:rsidR="00210F0F" w:rsidRPr="00210F0F" w:rsidRDefault="00AE0619" w:rsidP="00210F0F">
      <w:pPr>
        <w:rPr>
          <w:rFonts w:ascii="Arial" w:hAnsi="Arial" w:cs="Arial"/>
          <w:b/>
          <w:bCs/>
        </w:rPr>
      </w:pPr>
      <w:r>
        <w:rPr>
          <w:rFonts w:ascii="Arial" w:hAnsi="Arial" w:cs="Arial"/>
          <w:b/>
          <w:bCs/>
          <w:color w:val="000000" w:themeColor="text1"/>
        </w:rPr>
        <w:br/>
      </w:r>
      <w:r w:rsidR="00210F0F" w:rsidRPr="00210F0F">
        <w:rPr>
          <w:rFonts w:ascii="Arial" w:hAnsi="Arial" w:cs="Arial"/>
          <w:b/>
          <w:bCs/>
          <w:color w:val="000000" w:themeColor="text1"/>
        </w:rPr>
        <w:t>Fig. 4. Removal of oil from the water surface with time</w:t>
      </w:r>
    </w:p>
    <w:p w14:paraId="5527D48F" w14:textId="77777777" w:rsidR="00122873" w:rsidRDefault="00122873" w:rsidP="00B509EC">
      <w:pPr>
        <w:spacing w:line="480" w:lineRule="auto"/>
        <w:jc w:val="both"/>
        <w:rPr>
          <w:rFonts w:ascii="Arial" w:hAnsi="Arial" w:cs="Arial"/>
          <w:b/>
          <w:bCs/>
          <w:sz w:val="22"/>
          <w:szCs w:val="22"/>
        </w:rPr>
      </w:pPr>
    </w:p>
    <w:p w14:paraId="6FECDECE" w14:textId="6402A95A"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3.4 Variation of size</w:t>
      </w:r>
    </w:p>
    <w:p w14:paraId="6D2C8988" w14:textId="0492E5BF" w:rsidR="006F4C60" w:rsidRDefault="006F4C60" w:rsidP="00B509EC">
      <w:pPr>
        <w:spacing w:line="480" w:lineRule="auto"/>
        <w:jc w:val="both"/>
        <w:rPr>
          <w:rFonts w:ascii="Arial" w:hAnsi="Arial" w:cs="Arial"/>
        </w:rPr>
      </w:pPr>
      <w:r w:rsidRPr="006F4C60">
        <w:rPr>
          <w:rFonts w:ascii="Arial" w:hAnsi="Arial" w:cs="Arial"/>
        </w:rPr>
        <w:t>According to the results obtained, the highest average adsorption capacity of 9.61 g oil/g biochar is shown by pieces of approximately 0.5 g, and the lowest capacity of 3.57 g oil/g biochar is shown by the entire fruit of biochar (Fig</w:t>
      </w:r>
      <w:r w:rsidR="004E5B93">
        <w:rPr>
          <w:rFonts w:ascii="Arial" w:hAnsi="Arial" w:cs="Arial"/>
        </w:rPr>
        <w:t>. 5.</w:t>
      </w:r>
      <w:r w:rsidRPr="006F4C60">
        <w:rPr>
          <w:rFonts w:ascii="Arial" w:hAnsi="Arial" w:cs="Arial"/>
        </w:rPr>
        <w:t>). The biochar of half of the fruit and quarter of the fruit showed adsorption capacity values between 7.01 g oil/g biochar and 7.62 g oil/g biochar, respectively; however, these two types do not exhibit a significant difference in capacities. Oil absorptivity depends on the active surface area of a sorbent material as the adsorption capacity increases with the surface area</w:t>
      </w:r>
      <w:r w:rsidRPr="006F4C60">
        <w:rPr>
          <w:rFonts w:ascii="Arial" w:hAnsi="Arial" w:cs="Arial"/>
        </w:rPr>
        <w:fldChar w:fldCharType="begin" w:fldLock="1"/>
      </w:r>
      <w:r w:rsidR="00576422">
        <w:rPr>
          <w:rFonts w:ascii="Arial" w:hAnsi="Arial" w:cs="Arial"/>
        </w:rPr>
        <w:instrText>ADDIN CSL_CITATION {"citationItems":[{"id":"ITEM-1","itemData":{"DOI":"10.1016/j.seppur.2013.04.015","ISSN":"1383-5866","author":[{"dropping-particle":"","family":"Wahi","given":"Rafeah","non-dropping-particle":"","parse-names":false,"suffix":""},{"dropping-particle":"","family":"Abdullah","given":"Luqman Chuah","non-dropping-particle":"","parse-names":false,"suffix":""},{"dropping-particle":"","family":"Choong","given":"Thomas","non-dropping-particle":"","parse-names":false,"suffix":""},{"dropping-particle":"","family":"Yaw","given":"Shean","non-dropping-particle":"","parse-names":false,"suffix":""},{"dropping-particle":"","family":"Ngaini","given":"Zainab","non-dropping-particle":"","parse-names":false,"suffix":""},{"dropping-particle":"","family":"Mobarekeh","given":"Mohsen Nourouzi","non-dropping-particle":"","parse-names":false,"suffix":""}],"container-title":"SEPARATION AND PURIFICATION TECHNOLOGY","id":"ITEM-1","issued":{"date-parts":[["2013"]]},"publisher":"Elsevier B.V.","title":"Oil Removal from Aqueous State by Natural Fibrous Sorbent : An Overview Department of Chemistry , Universiti Malaysia Sarawak , 94300 Kota Samarahan , Sarawak ,","type":"article-journal"},"uris":["http://www.mendeley.com/documents/?uuid=f6368a4b-9ced-4f2d-86d3-7d73ff500963","http://www.mendeley.com/documents/?uuid=37922372-2256-42cb-a62e-d6329e17447f"]}],"mendeley":{"formattedCitation":"[25]","plainTextFormattedCitation":"[25]","previouslyFormattedCitation":"(25)"},"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[25]</w:t>
      </w:r>
      <w:r w:rsidRPr="006F4C60">
        <w:rPr>
          <w:rFonts w:ascii="Arial" w:hAnsi="Arial" w:cs="Arial"/>
        </w:rPr>
        <w:fldChar w:fldCharType="end"/>
      </w:r>
      <w:r w:rsidRPr="006F4C60">
        <w:rPr>
          <w:rFonts w:ascii="Arial" w:hAnsi="Arial" w:cs="Arial"/>
        </w:rPr>
        <w:t xml:space="preserve">. When considering the size of a sorbent material, the available surface area for oil binding becomes high when the size is smaller, showing higher adsorption capacities. Though larger pieces can capture more oil because of increased collisions with the oil-sorbent, their higher shear forces decrease the likelihood of retaining the oil. When considering the morphology of </w:t>
      </w:r>
      <w:proofErr w:type="spellStart"/>
      <w:r w:rsidRPr="006F4C60">
        <w:rPr>
          <w:rFonts w:ascii="Arial" w:hAnsi="Arial" w:cs="Arial"/>
          <w:i/>
          <w:iCs/>
        </w:rPr>
        <w:t>Cerbera</w:t>
      </w:r>
      <w:proofErr w:type="spellEnd"/>
      <w:r w:rsidRPr="006F4C60">
        <w:rPr>
          <w:rFonts w:ascii="Arial" w:hAnsi="Arial" w:cs="Arial"/>
          <w:i/>
          <w:iCs/>
        </w:rPr>
        <w:t xml:space="preserve"> </w:t>
      </w:r>
      <w:proofErr w:type="spellStart"/>
      <w:r w:rsidRPr="006F4C60">
        <w:rPr>
          <w:rFonts w:ascii="Arial" w:hAnsi="Arial" w:cs="Arial"/>
          <w:i/>
          <w:iCs/>
        </w:rPr>
        <w:t>manghas</w:t>
      </w:r>
      <w:proofErr w:type="spellEnd"/>
      <w:r w:rsidRPr="006F4C60">
        <w:rPr>
          <w:rFonts w:ascii="Arial" w:hAnsi="Arial" w:cs="Arial"/>
        </w:rPr>
        <w:t>, the exocarp shows low adsorption and the middle sponge like mesocarp shows higher adsorption. The mesocarp is not exposed for adsorption because of the outer exocarp</w:t>
      </w:r>
      <w:r w:rsidRPr="006F4C60">
        <w:rPr>
          <w:rFonts w:ascii="Arial" w:hAnsi="Arial" w:cs="Arial"/>
        </w:rPr>
        <w:fldChar w:fldCharType="begin" w:fldLock="1"/>
      </w:r>
      <w:r w:rsidR="00576422">
        <w:rPr>
          <w:rFonts w:ascii="Arial" w:hAnsi="Arial" w:cs="Arial"/>
        </w:rPr>
        <w:instrText>ADDIN CSL_CITATION {"citationItems":[{"id":"ITEM-1","itemData":{"DOI":"10.1016/j.seppur.2013.04.015","ISSN":"1383-5866","author":[{"dropping-particle":"","family":"Wahi","given":"Rafeah","non-dropping-particle":"","parse-names":false,"suffix":""},{"dropping-particle":"","family":"Abdullah","given":"Luqman Chuah","non-dropping-particle":"","parse-names":false,"suffix":""},{"dropping-particle":"","family":"Choong","given":"Thomas","non-dropping-particle":"","parse-names":false,"suffix":""},{"dropping-particle":"","family":"Yaw","given":"Shean","non-dropping-particle":"","parse-names":false,"suffix":""},{"dropping-particle":"","family":"Ngaini","given":"Zainab","non-dropping-particle":"","parse-names":false,"suffix":""},{"dropping-particle":"","family":"Mobarekeh","given":"Mohsen Nourouzi","non-dropping-particle":"","parse-names":false,"suffix":""}],"container-title":"SEPARATION AND PURIFICATION TECHNOLOGY","id":"ITEM-1","issued":{"date-parts":[["2013"]]},"publisher":"Elsevier B.V.","title":"Oil Removal from Aqueous State by Natural Fibrous Sorbent : An Overview Department of Chemistry , Universiti Malaysia Sarawak , 94300 Kota Samarahan , Sarawak ,","type":"article-journal"},"uris":["http://www.mendeley.com/documents/?uuid=f6368a4b-9ced-4f2d-86d3-7d73ff500963","http://www.mendeley.com/documents/?uuid=37922372-2256-42cb-a62e-d6329e17447f"]}],"mendeley":{"formattedCitation":"[25]","plainTextFormattedCitation":"[25]","previouslyFormattedCitation":"(25)"},"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[25]</w:t>
      </w:r>
      <w:r w:rsidRPr="006F4C60">
        <w:rPr>
          <w:rFonts w:ascii="Arial" w:hAnsi="Arial" w:cs="Arial"/>
        </w:rPr>
        <w:fldChar w:fldCharType="end"/>
      </w:r>
      <w:r w:rsidRPr="006F4C60">
        <w:rPr>
          <w:rFonts w:ascii="Arial" w:hAnsi="Arial" w:cs="Arial"/>
        </w:rPr>
        <w:t>. The increase in oil sorption capacity achieved by reducing the average size can be attributed to the expansion of the interfacial area</w:t>
      </w:r>
      <w:r w:rsidRPr="006F4C60">
        <w:rPr>
          <w:rFonts w:ascii="Arial" w:hAnsi="Arial" w:cs="Arial"/>
        </w:rPr>
        <w:fldChar w:fldCharType="begin" w:fldLock="1"/>
      </w:r>
      <w:r w:rsidR="00576422">
        <w:rPr>
          <w:rFonts w:ascii="Arial" w:hAnsi="Arial" w:cs="Arial"/>
        </w:rPr>
        <w:instrText>ADDIN CSL_CITATION {"citationItems":[{"id":"ITEM-1","itemData":{"author":[{"dropping-particle":"","family":"Behnood","given":"Reza","non-dropping-particle":"","parse-names":false,"suffix":""},{"dropping-particle":"","family":"Anvaripour","given":"Bagher","non-dropping-particle":"","parse-names":false,"suffix":""},{"dropping-particle":"","family":"Jaafarzade","given":"Nematollah","non-dropping-particle":"","parse-names":false,"suffix":""},{"dropping-particle":"","family":"Fard","given":"Haghighi","non-dropping-particle":"","parse-names":false,"suffix":""}],"id":"ITEM-1","issue":"4","issued":{"date-parts":[["2013"]]},"page":"1-11","title":"Application of Natural Sorbents in Crude Oil Adsorption","type":"article-journal","volume":"2"},"uris":["http://www.mendeley.com/documents/?uuid=a28865b4-f82a-432b-8504-e4c8af6a52af","http://www.mendeley.com/documents/?uuid=049a4dfc-f82f-4f22-8ea0-72a4493a8364"]}],"mendeley":{"formattedCitation":"[9]","plainTextFormattedCitation":"[9]","previouslyFormattedCitation":"(9)"},"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[9]</w:t>
      </w:r>
      <w:r w:rsidRPr="006F4C60">
        <w:rPr>
          <w:rFonts w:ascii="Arial" w:hAnsi="Arial" w:cs="Arial"/>
        </w:rPr>
        <w:fldChar w:fldCharType="end"/>
      </w:r>
      <w:r w:rsidRPr="006F4C60">
        <w:rPr>
          <w:rFonts w:ascii="Arial" w:hAnsi="Arial" w:cs="Arial"/>
        </w:rPr>
        <w:t>.</w:t>
      </w:r>
    </w:p>
    <w:p w14:paraId="4BAA09C8" w14:textId="7C408C8A" w:rsidR="0023432D" w:rsidRPr="006F4C60" w:rsidRDefault="0023432D" w:rsidP="00B509EC">
      <w:pPr>
        <w:spacing w:line="480" w:lineRule="auto"/>
        <w:jc w:val="both"/>
        <w:rPr>
          <w:rFonts w:ascii="Arial" w:hAnsi="Arial" w:cs="Arial"/>
        </w:rPr>
      </w:pPr>
      <w:r>
        <w:rPr>
          <w:noProof/>
        </w:rPr>
        <w:drawing>
          <wp:anchor distT="0" distB="0" distL="114300" distR="114300" simplePos="0" relativeHeight="251651072" behindDoc="0" locked="0" layoutInCell="1" allowOverlap="1" wp14:anchorId="70C5AF63" wp14:editId="4E02C6E6">
            <wp:simplePos x="0" y="0"/>
            <wp:positionH relativeFrom="column">
              <wp:posOffset>0</wp:posOffset>
            </wp:positionH>
            <wp:positionV relativeFrom="paragraph">
              <wp:posOffset>24130</wp:posOffset>
            </wp:positionV>
            <wp:extent cx="3747770" cy="2329180"/>
            <wp:effectExtent l="0" t="0" r="0" b="0"/>
            <wp:wrapSquare wrapText="bothSides"/>
            <wp:docPr id="400197493" name="Picture 4" descr="A graph of different sizes of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7493" name="Picture 4" descr="A graph of different sizes of fru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7770"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67944" w14:textId="77777777" w:rsidR="0023432D" w:rsidRDefault="0023432D" w:rsidP="00B509EC">
      <w:pPr>
        <w:spacing w:line="480" w:lineRule="auto"/>
        <w:jc w:val="both"/>
        <w:rPr>
          <w:rFonts w:ascii="Arial" w:hAnsi="Arial" w:cs="Arial"/>
          <w:b/>
          <w:bCs/>
          <w:sz w:val="22"/>
          <w:szCs w:val="22"/>
        </w:rPr>
      </w:pPr>
    </w:p>
    <w:p w14:paraId="19AC049D" w14:textId="77777777" w:rsidR="0023432D" w:rsidRDefault="0023432D" w:rsidP="00B509EC">
      <w:pPr>
        <w:spacing w:line="480" w:lineRule="auto"/>
        <w:jc w:val="both"/>
        <w:rPr>
          <w:rFonts w:ascii="Arial" w:hAnsi="Arial" w:cs="Arial"/>
          <w:b/>
          <w:bCs/>
          <w:sz w:val="22"/>
          <w:szCs w:val="22"/>
        </w:rPr>
      </w:pPr>
    </w:p>
    <w:p w14:paraId="200A7DF5" w14:textId="77777777" w:rsidR="0023432D" w:rsidRDefault="0023432D" w:rsidP="00B509EC">
      <w:pPr>
        <w:spacing w:line="480" w:lineRule="auto"/>
        <w:jc w:val="both"/>
        <w:rPr>
          <w:rFonts w:ascii="Arial" w:hAnsi="Arial" w:cs="Arial"/>
          <w:b/>
          <w:bCs/>
          <w:sz w:val="22"/>
          <w:szCs w:val="22"/>
        </w:rPr>
      </w:pPr>
    </w:p>
    <w:p w14:paraId="36987B2E" w14:textId="77777777" w:rsidR="0023432D" w:rsidRDefault="0023432D" w:rsidP="00B509EC">
      <w:pPr>
        <w:spacing w:line="480" w:lineRule="auto"/>
        <w:jc w:val="both"/>
        <w:rPr>
          <w:rFonts w:ascii="Arial" w:hAnsi="Arial" w:cs="Arial"/>
          <w:b/>
          <w:bCs/>
          <w:sz w:val="22"/>
          <w:szCs w:val="22"/>
        </w:rPr>
      </w:pPr>
    </w:p>
    <w:p w14:paraId="4D2ECABC" w14:textId="77777777" w:rsidR="0023432D" w:rsidRDefault="0023432D" w:rsidP="00B509EC">
      <w:pPr>
        <w:spacing w:line="480" w:lineRule="auto"/>
        <w:jc w:val="both"/>
        <w:rPr>
          <w:rFonts w:ascii="Arial" w:hAnsi="Arial" w:cs="Arial"/>
          <w:b/>
          <w:bCs/>
          <w:sz w:val="22"/>
          <w:szCs w:val="22"/>
        </w:rPr>
      </w:pPr>
    </w:p>
    <w:p w14:paraId="4332CF94" w14:textId="77777777" w:rsidR="0023432D" w:rsidRDefault="0023432D" w:rsidP="00B509EC">
      <w:pPr>
        <w:spacing w:line="480" w:lineRule="auto"/>
        <w:jc w:val="both"/>
        <w:rPr>
          <w:rFonts w:ascii="Arial" w:hAnsi="Arial" w:cs="Arial"/>
          <w:b/>
          <w:bCs/>
          <w:sz w:val="22"/>
          <w:szCs w:val="22"/>
        </w:rPr>
      </w:pPr>
    </w:p>
    <w:p w14:paraId="68C585B7" w14:textId="77777777" w:rsidR="0023432D" w:rsidRDefault="0023432D" w:rsidP="00B509EC">
      <w:pPr>
        <w:spacing w:line="480" w:lineRule="auto"/>
        <w:jc w:val="both"/>
        <w:rPr>
          <w:rFonts w:ascii="Arial" w:hAnsi="Arial" w:cs="Arial"/>
          <w:b/>
          <w:bCs/>
          <w:sz w:val="22"/>
          <w:szCs w:val="22"/>
        </w:rPr>
      </w:pPr>
    </w:p>
    <w:p w14:paraId="0FCB1AC1" w14:textId="7137A9DC" w:rsidR="005A0889" w:rsidRPr="00784FBA" w:rsidRDefault="00122873" w:rsidP="00784FBA">
      <w:pPr>
        <w:pStyle w:val="Caption"/>
        <w:rPr>
          <w:rFonts w:ascii="Arial" w:hAnsi="Arial" w:cs="Arial"/>
          <w:b/>
          <w:bCs/>
          <w:i w:val="0"/>
          <w:iCs w:val="0"/>
          <w:color w:val="auto"/>
          <w:sz w:val="20"/>
          <w:szCs w:val="20"/>
        </w:rPr>
      </w:pPr>
      <w:r w:rsidRPr="00210F0F">
        <w:rPr>
          <w:rFonts w:ascii="Arial" w:hAnsi="Arial" w:cs="Arial"/>
          <w:b/>
          <w:bCs/>
          <w:i w:val="0"/>
          <w:iCs w:val="0"/>
          <w:color w:val="auto"/>
          <w:sz w:val="20"/>
          <w:szCs w:val="20"/>
        </w:rPr>
        <w:t>Fig</w:t>
      </w:r>
      <w:r w:rsidR="004E5B93">
        <w:rPr>
          <w:rFonts w:ascii="Arial" w:hAnsi="Arial" w:cs="Arial"/>
          <w:b/>
          <w:bCs/>
          <w:i w:val="0"/>
          <w:iCs w:val="0"/>
          <w:color w:val="auto"/>
          <w:sz w:val="20"/>
          <w:szCs w:val="20"/>
        </w:rPr>
        <w:t>.</w:t>
      </w:r>
      <w:r w:rsidRPr="00210F0F">
        <w:rPr>
          <w:rFonts w:ascii="Arial" w:hAnsi="Arial" w:cs="Arial"/>
          <w:b/>
          <w:bCs/>
          <w:i w:val="0"/>
          <w:iCs w:val="0"/>
          <w:color w:val="auto"/>
          <w:sz w:val="20"/>
          <w:szCs w:val="20"/>
        </w:rPr>
        <w:t xml:space="preserve"> 5. Effect of variation of adsorbent size on adsorption capacity of oil types</w:t>
      </w:r>
    </w:p>
    <w:p w14:paraId="60A51A9E" w14:textId="048224D1"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3.5 Variation of salinity</w:t>
      </w:r>
    </w:p>
    <w:p w14:paraId="38FB151D" w14:textId="2B2395AF" w:rsidR="006F4C60" w:rsidRDefault="006F4C60" w:rsidP="00B509EC">
      <w:pPr>
        <w:spacing w:line="480" w:lineRule="auto"/>
        <w:jc w:val="both"/>
        <w:rPr>
          <w:rFonts w:ascii="Arial" w:hAnsi="Arial" w:cs="Arial"/>
        </w:rPr>
      </w:pPr>
      <w:r w:rsidRPr="006F4C60">
        <w:rPr>
          <w:rFonts w:ascii="Arial" w:hAnsi="Arial" w:cs="Arial"/>
        </w:rPr>
        <w:t>It is clear from the results obtained that saltwater solutions experience greater adsorption capacity. As Fig</w:t>
      </w:r>
      <w:r w:rsidR="004E5B93">
        <w:rPr>
          <w:rFonts w:ascii="Arial" w:hAnsi="Arial" w:cs="Arial"/>
        </w:rPr>
        <w:t>. 6.</w:t>
      </w:r>
      <w:r w:rsidRPr="006F4C60">
        <w:rPr>
          <w:rFonts w:ascii="Arial" w:hAnsi="Arial" w:cs="Arial"/>
        </w:rPr>
        <w:t xml:space="preserve"> illustrates, motor oil exhibits the highest adsorption capacity for all the three NaCl solutions, followed by engine oil and then crude oil. Here, D</w:t>
      </w:r>
      <w:r w:rsidR="00437C3F">
        <w:rPr>
          <w:rFonts w:ascii="Arial" w:hAnsi="Arial" w:cs="Arial"/>
        </w:rPr>
        <w:t xml:space="preserve">e </w:t>
      </w:r>
      <w:r w:rsidRPr="006F4C60">
        <w:rPr>
          <w:rFonts w:ascii="Arial" w:hAnsi="Arial" w:cs="Arial"/>
        </w:rPr>
        <w:t>I</w:t>
      </w:r>
      <w:r w:rsidR="00437C3F">
        <w:rPr>
          <w:rFonts w:ascii="Arial" w:hAnsi="Arial" w:cs="Arial"/>
        </w:rPr>
        <w:t>onized</w:t>
      </w:r>
      <w:r w:rsidRPr="006F4C60">
        <w:rPr>
          <w:rFonts w:ascii="Arial" w:hAnsi="Arial" w:cs="Arial"/>
        </w:rPr>
        <w:t xml:space="preserve"> </w:t>
      </w:r>
      <w:r w:rsidR="00437C3F">
        <w:rPr>
          <w:rFonts w:ascii="Arial" w:hAnsi="Arial" w:cs="Arial"/>
        </w:rPr>
        <w:t xml:space="preserve">(DI) </w:t>
      </w:r>
      <w:r w:rsidRPr="006F4C60">
        <w:rPr>
          <w:rFonts w:ascii="Arial" w:hAnsi="Arial" w:cs="Arial"/>
        </w:rPr>
        <w:t>water was used as a control. The variation of adsorption capacity with salinity can be explained using the presence of functional groups on the surface of the sorbent material. Biochar has a large surface area, and it contains functional groups that can interact with the ions in the saline solution. Polar functional groups interact via electrostatic interactions while nonpolar functional groups interact via hydrophobic interactions. Accessibility and availability of certain functional groups are affected by changing the</w:t>
      </w:r>
      <w:r w:rsidRPr="006F4C60">
        <w:rPr>
          <w:rFonts w:ascii="Arial" w:hAnsi="Arial" w:cs="Arial"/>
          <w:sz w:val="28"/>
          <w:szCs w:val="28"/>
        </w:rPr>
        <w:t xml:space="preserve"> </w:t>
      </w:r>
      <w:r w:rsidRPr="006F4C60">
        <w:rPr>
          <w:rFonts w:ascii="Arial" w:hAnsi="Arial" w:cs="Arial"/>
        </w:rPr>
        <w:t>pH and ionic strength of the solution</w:t>
      </w:r>
      <w:r w:rsidRPr="006F4C60">
        <w:rPr>
          <w:rFonts w:ascii="Arial" w:hAnsi="Arial" w:cs="Arial"/>
        </w:rPr>
        <w:fldChar w:fldCharType="begin" w:fldLock="1"/>
      </w:r>
      <w:r w:rsidR="00576422">
        <w:rPr>
          <w:rFonts w:ascii="Arial" w:hAnsi="Arial" w:cs="Arial"/>
        </w:rPr>
        <w:instrText>ADDIN CSL_CITATION {"citationItems":[{"id":"ITEM-1","itemData":{"author":[{"dropping-particle":"","family":"Arafat","given":"Hassan A","non-dropping-particle":"","parse-names":false,"suffix":""},{"dropping-particle":"","family":"Franz","given":"Marcus","non-dropping-particle":"","parse-names":false,"suffix":""},{"dropping-particle":"","family":"Pinto","given":"Neville G","non-dropping-particle":"","parse-names":false,"suffix":""}],"id":"ITEM-1","issue":"11","issued":{"date-parts":[["1999"]]},"page":"5997-6003","title":"Effect of Salt on the Mechanism of Adsorption of Aromatics on Activated Carbon †","type":"article-journal"},"uris":["http://www.mendeley.com/documents/?uuid=e2b1f39d-48db-4d40-8570-c781bcf443a6","http://www.mendeley.com/documents/?uuid=4bb50de7-47a3-4c2d-b76e-7a7069aa14c7"]}],"mendeley":{"formattedCitation":"[30]","plainTextFormattedCitation":"[30]","previouslyFormattedCitation":"(30)"},"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[30]</w:t>
      </w:r>
      <w:r w:rsidRPr="006F4C60">
        <w:rPr>
          <w:rFonts w:ascii="Arial" w:hAnsi="Arial" w:cs="Arial"/>
        </w:rPr>
        <w:fldChar w:fldCharType="end"/>
      </w:r>
      <w:r w:rsidRPr="006F4C60">
        <w:rPr>
          <w:rFonts w:ascii="Arial" w:hAnsi="Arial" w:cs="Arial"/>
        </w:rPr>
        <w:t>,</w:t>
      </w:r>
      <w:r w:rsidRPr="006F4C60">
        <w:rPr>
          <w:rFonts w:ascii="Arial" w:hAnsi="Arial" w:cs="Arial"/>
          <w:vertAlign w:val="superscript"/>
        </w:rPr>
        <w:fldChar w:fldCharType="begin" w:fldLock="1"/>
      </w:r>
      <w:r w:rsidR="00576422">
        <w:rPr>
          <w:rFonts w:ascii="Arial" w:hAnsi="Arial" w:cs="Arial"/>
          <w:vertAlign w:val="superscript"/>
        </w:rPr>
        <w:instrText>ADDIN CSL_CITATION {"citationItems":[{"id":"ITEM-1","itemData":{"DOI":"10.1007/s44246-024-00100-9","ISBN":"4424602400","ISSN":"2731-6696","author":[{"dropping-particle":"","family":"Jun","given":"Jefrick","non-dropping-particle":"","parse-names":false,"suffix":""},{"dropping-particle":"","family":"Urgel","given":"Daniel T","non-dropping-particle":"","parse-names":false,"suffix":""},{"dropping-particle":"","family":"Briones","given":"Justin Marwin A","non-dropping-particle":"","parse-names":false,"suffix":""},{"dropping-particle":"","family":"Jr","given":"Emmanuel B Diaz","non-dropping-particle":"","parse-names":false,"suffix":""},{"dropping-particle":"","family":"Dimaculangan","given":"Kirstin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R","non-dropping-particle":"","parse-names":false,"suffix":""}],"container-title":"Carbon Research","id":"ITEM-1","issued":{"date-parts":[["2024"]]},"publisher":"Springer Nature Singapore","title":"Removal of diesel oil from water using biochar derived from waste banana peels as adsorbent","type":"article-journal"},"uris":["http://www.mendeley.com/documents/?uuid=7391e0ba-4e34-4fb7-8baa-345fb268ba24","http://www.mendeley.com/documents/?uuid=f402638e-9403-4bb3-8896-a6c1ab4313ff"]}],"mendeley":{"formattedCitation":"[31]","plainTextFormattedCitation":"[31]","previouslyFormattedCitation":"(31)"},"properties":{"noteIndex":0},"schema":"https://github.com/citation-style-language/schema/raw/master/csl-citation.json"}</w:instrText>
      </w:r>
      <w:r w:rsidRPr="006F4C60">
        <w:rPr>
          <w:rFonts w:ascii="Arial" w:hAnsi="Arial" w:cs="Arial"/>
          <w:vertAlign w:val="superscript"/>
        </w:rPr>
        <w:fldChar w:fldCharType="separate"/>
      </w:r>
      <w:r w:rsidR="00576422" w:rsidRPr="00576422">
        <w:rPr>
          <w:rFonts w:ascii="Arial" w:hAnsi="Arial" w:cs="Arial"/>
          <w:noProof/>
        </w:rPr>
        <w:t>[31]</w:t>
      </w:r>
      <w:r w:rsidRPr="006F4C60">
        <w:rPr>
          <w:rFonts w:ascii="Arial" w:hAnsi="Arial" w:cs="Arial"/>
          <w:vertAlign w:val="superscript"/>
        </w:rPr>
        <w:fldChar w:fldCharType="end"/>
      </w:r>
      <w:r w:rsidRPr="006F4C60">
        <w:rPr>
          <w:rFonts w:ascii="Arial" w:hAnsi="Arial" w:cs="Arial"/>
        </w:rPr>
        <w:t>. However, depending on the nature of the adsorbate and the salt concentration, the adsorption capacity differs</w:t>
      </w:r>
      <w:r w:rsidRPr="006F4C60">
        <w:rPr>
          <w:rFonts w:ascii="Arial" w:hAnsi="Arial" w:cs="Arial"/>
        </w:rPr>
        <w:fldChar w:fldCharType="begin" w:fldLock="1"/>
      </w:r>
      <w:r w:rsidR="00576422">
        <w:rPr>
          <w:rFonts w:ascii="Arial" w:hAnsi="Arial" w:cs="Arial"/>
        </w:rPr>
        <w:instrText>ADDIN CSL_CITATION {"citationItems":[{"id":"ITEM-1","itemData":{"author":[{"dropping-particle":"","family":"Arafat","given":"Hassan A","non-dropping-particle":"","parse-names":false,"suffix":""},{"dropping-particle":"","family":"Franz","given":"Marcus","non-dropping-particle":"","parse-names":false,"suffix":""},{"dropping-particle":"","family":"Pinto","given":"Neville G","non-dropping-particle":"","parse-names":false,"suffix":""}],"id":"ITEM-1","issue":"11","issued":{"date-parts":[["1999"]]},"page":"5997-6003","title":"Effect of Salt on the Mechanism of Adsorption of Aromatics on Activated Carbon †","type":"article-journal"},"uris":["http://www.mendeley.com/documents/?uuid=4bb50de7-47a3-4c2d-b76e-7a7069aa14c7","http://www.mendeley.com/documents/?uuid=e2b1f39d-48db-4d40-8570-c781bcf443a6"]}],"mendeley":{"formattedCitation":"[30]","plainTextFormattedCitation":"[30]","previouslyFormattedCitation":"(30)"},"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[30]</w:t>
      </w:r>
      <w:r w:rsidRPr="006F4C60">
        <w:rPr>
          <w:rFonts w:ascii="Arial" w:hAnsi="Arial" w:cs="Arial"/>
        </w:rPr>
        <w:fldChar w:fldCharType="end"/>
      </w:r>
      <w:r w:rsidRPr="006F4C60">
        <w:rPr>
          <w:rFonts w:ascii="Arial" w:hAnsi="Arial" w:cs="Arial"/>
        </w:rPr>
        <w:t>.</w:t>
      </w:r>
    </w:p>
    <w:p w14:paraId="206C2AF9" w14:textId="2E0D82B2" w:rsidR="0023432D" w:rsidRPr="006F4C60" w:rsidRDefault="009D1D27" w:rsidP="00B509EC">
      <w:pPr>
        <w:spacing w:line="480" w:lineRule="auto"/>
        <w:jc w:val="both"/>
        <w:rPr>
          <w:rFonts w:ascii="Arial" w:hAnsi="Arial" w:cs="Arial"/>
        </w:rPr>
      </w:pPr>
      <w:r>
        <w:rPr>
          <w:rFonts w:ascii="Arial" w:hAnsi="Arial" w:cs="Arial"/>
          <w:noProof/>
        </w:rPr>
        <w:drawing>
          <wp:anchor distT="0" distB="0" distL="114300" distR="114300" simplePos="0" relativeHeight="251691520" behindDoc="1" locked="0" layoutInCell="1" allowOverlap="1" wp14:anchorId="575B9F89" wp14:editId="05BEA9D5">
            <wp:simplePos x="0" y="0"/>
            <wp:positionH relativeFrom="column">
              <wp:posOffset>0</wp:posOffset>
            </wp:positionH>
            <wp:positionV relativeFrom="paragraph">
              <wp:posOffset>42545</wp:posOffset>
            </wp:positionV>
            <wp:extent cx="3649980" cy="2529840"/>
            <wp:effectExtent l="0" t="0" r="0" b="0"/>
            <wp:wrapTight wrapText="bothSides">
              <wp:wrapPolygon edited="0">
                <wp:start x="0" y="0"/>
                <wp:lineTo x="0" y="21470"/>
                <wp:lineTo x="21532" y="21470"/>
                <wp:lineTo x="21532" y="0"/>
                <wp:lineTo x="0" y="0"/>
              </wp:wrapPolygon>
            </wp:wrapTight>
            <wp:docPr id="776122280" name="Picture 15" descr="A graph of oil and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22280" name="Picture 15" descr="A graph of oil and sal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9980" cy="2529840"/>
                    </a:xfrm>
                    <a:prstGeom prst="rect">
                      <a:avLst/>
                    </a:prstGeom>
                  </pic:spPr>
                </pic:pic>
              </a:graphicData>
            </a:graphic>
            <wp14:sizeRelH relativeFrom="margin">
              <wp14:pctWidth>0</wp14:pctWidth>
            </wp14:sizeRelH>
            <wp14:sizeRelV relativeFrom="margin">
              <wp14:pctHeight>0</wp14:pctHeight>
            </wp14:sizeRelV>
          </wp:anchor>
        </w:drawing>
      </w:r>
    </w:p>
    <w:p w14:paraId="4DE185FB" w14:textId="77777777" w:rsidR="0023432D" w:rsidRDefault="0023432D" w:rsidP="00B509EC">
      <w:pPr>
        <w:spacing w:line="480" w:lineRule="auto"/>
        <w:jc w:val="both"/>
        <w:rPr>
          <w:rFonts w:ascii="Arial" w:hAnsi="Arial" w:cs="Arial"/>
          <w:b/>
          <w:bCs/>
          <w:sz w:val="22"/>
          <w:szCs w:val="22"/>
        </w:rPr>
      </w:pPr>
    </w:p>
    <w:p w14:paraId="02A81F68" w14:textId="77777777" w:rsidR="0023432D" w:rsidRDefault="0023432D" w:rsidP="00B509EC">
      <w:pPr>
        <w:spacing w:line="480" w:lineRule="auto"/>
        <w:jc w:val="both"/>
        <w:rPr>
          <w:rFonts w:ascii="Arial" w:hAnsi="Arial" w:cs="Arial"/>
          <w:b/>
          <w:bCs/>
          <w:sz w:val="22"/>
          <w:szCs w:val="22"/>
        </w:rPr>
      </w:pPr>
    </w:p>
    <w:p w14:paraId="23A9196D" w14:textId="77777777" w:rsidR="0023432D" w:rsidRDefault="0023432D" w:rsidP="00B509EC">
      <w:pPr>
        <w:spacing w:line="480" w:lineRule="auto"/>
        <w:jc w:val="both"/>
        <w:rPr>
          <w:rFonts w:ascii="Arial" w:hAnsi="Arial" w:cs="Arial"/>
          <w:b/>
          <w:bCs/>
          <w:sz w:val="22"/>
          <w:szCs w:val="22"/>
        </w:rPr>
      </w:pPr>
    </w:p>
    <w:p w14:paraId="2336E9AD" w14:textId="77777777" w:rsidR="0023432D" w:rsidRDefault="0023432D" w:rsidP="00B509EC">
      <w:pPr>
        <w:spacing w:line="480" w:lineRule="auto"/>
        <w:jc w:val="both"/>
        <w:rPr>
          <w:rFonts w:ascii="Arial" w:hAnsi="Arial" w:cs="Arial"/>
          <w:b/>
          <w:bCs/>
          <w:sz w:val="22"/>
          <w:szCs w:val="22"/>
        </w:rPr>
      </w:pPr>
    </w:p>
    <w:p w14:paraId="015E8DC9" w14:textId="0E49F240" w:rsidR="00122873" w:rsidRPr="00210F0F" w:rsidRDefault="00122873" w:rsidP="00210F0F">
      <w:pPr>
        <w:pStyle w:val="Caption"/>
        <w:rPr>
          <w:rFonts w:ascii="Arial" w:hAnsi="Arial" w:cs="Arial"/>
          <w:b/>
          <w:bCs/>
          <w:i w:val="0"/>
          <w:iCs w:val="0"/>
          <w:noProof/>
          <w:color w:val="auto"/>
          <w:sz w:val="20"/>
          <w:szCs w:val="20"/>
        </w:rPr>
      </w:pPr>
      <w:r w:rsidRPr="00210F0F">
        <w:rPr>
          <w:rFonts w:ascii="Arial" w:hAnsi="Arial" w:cs="Arial"/>
          <w:b/>
          <w:bCs/>
          <w:i w:val="0"/>
          <w:iCs w:val="0"/>
          <w:color w:val="auto"/>
          <w:sz w:val="20"/>
          <w:szCs w:val="20"/>
        </w:rPr>
        <w:t>Fig</w:t>
      </w:r>
      <w:r w:rsidR="004E5B93">
        <w:rPr>
          <w:rFonts w:ascii="Arial" w:hAnsi="Arial" w:cs="Arial"/>
          <w:b/>
          <w:bCs/>
          <w:i w:val="0"/>
          <w:iCs w:val="0"/>
          <w:color w:val="auto"/>
          <w:sz w:val="20"/>
          <w:szCs w:val="20"/>
        </w:rPr>
        <w:t>.</w:t>
      </w:r>
      <w:r w:rsidRPr="00210F0F">
        <w:rPr>
          <w:rFonts w:ascii="Arial" w:hAnsi="Arial" w:cs="Arial"/>
          <w:b/>
          <w:bCs/>
          <w:i w:val="0"/>
          <w:iCs w:val="0"/>
          <w:color w:val="auto"/>
          <w:sz w:val="20"/>
          <w:szCs w:val="20"/>
        </w:rPr>
        <w:t xml:space="preserve"> </w:t>
      </w:r>
      <w:r w:rsidR="00210F0F">
        <w:rPr>
          <w:rFonts w:ascii="Arial" w:hAnsi="Arial" w:cs="Arial"/>
          <w:b/>
          <w:bCs/>
          <w:i w:val="0"/>
          <w:iCs w:val="0"/>
          <w:color w:val="auto"/>
          <w:sz w:val="20"/>
          <w:szCs w:val="20"/>
        </w:rPr>
        <w:t>6</w:t>
      </w:r>
      <w:r w:rsidRPr="00210F0F">
        <w:rPr>
          <w:rFonts w:ascii="Arial" w:hAnsi="Arial" w:cs="Arial"/>
          <w:b/>
          <w:bCs/>
          <w:i w:val="0"/>
          <w:iCs w:val="0"/>
          <w:color w:val="auto"/>
          <w:sz w:val="20"/>
          <w:szCs w:val="20"/>
        </w:rPr>
        <w:t>. Effect of variation of salinity on adsorption capacity of oil types</w:t>
      </w:r>
    </w:p>
    <w:p w14:paraId="4A691872" w14:textId="77777777" w:rsidR="0023432D" w:rsidRDefault="0023432D" w:rsidP="00B509EC">
      <w:pPr>
        <w:spacing w:line="480" w:lineRule="auto"/>
        <w:jc w:val="both"/>
        <w:rPr>
          <w:rFonts w:ascii="Arial" w:hAnsi="Arial" w:cs="Arial"/>
          <w:b/>
          <w:bCs/>
          <w:sz w:val="22"/>
          <w:szCs w:val="22"/>
        </w:rPr>
      </w:pPr>
    </w:p>
    <w:p w14:paraId="1365BABA" w14:textId="46807DDB"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3.6 Investigation of the effect of weathering of oil on adsorption</w:t>
      </w:r>
    </w:p>
    <w:p w14:paraId="40B92618" w14:textId="550A44DB" w:rsidR="006F4C60" w:rsidRDefault="006F4C60" w:rsidP="00B509EC">
      <w:pPr>
        <w:spacing w:line="480" w:lineRule="auto"/>
        <w:jc w:val="both"/>
        <w:rPr>
          <w:rFonts w:ascii="Arial" w:hAnsi="Arial" w:cs="Arial"/>
        </w:rPr>
      </w:pPr>
      <w:r w:rsidRPr="006F4C60">
        <w:rPr>
          <w:rFonts w:ascii="Arial" w:hAnsi="Arial" w:cs="Arial"/>
        </w:rPr>
        <w:lastRenderedPageBreak/>
        <w:t>As observed in Fig</w:t>
      </w:r>
      <w:r w:rsidR="004E5B93">
        <w:rPr>
          <w:rFonts w:ascii="Arial" w:hAnsi="Arial" w:cs="Arial"/>
        </w:rPr>
        <w:t>. 7.</w:t>
      </w:r>
      <w:r w:rsidRPr="006F4C60">
        <w:rPr>
          <w:rFonts w:ascii="Arial" w:hAnsi="Arial" w:cs="Arial"/>
        </w:rPr>
        <w:t>, adsorption capacity decreases with increase in standing time of the adsorbate oil. This clearly indicates that, when oil is kept unused for a longer time in a water body, its properties diminish and the ability of adsorption by a sorbent material becomes less. The highest capacity of 6.71 g oil/g biochar is observed after 1 day of an oil spill and according to the experimental procedure, while the lowest capacity of 5.30 g oil/g biochar is observed after 9 days of an oil spill (Fig</w:t>
      </w:r>
      <w:r w:rsidR="004E5B93">
        <w:rPr>
          <w:rFonts w:ascii="Arial" w:hAnsi="Arial" w:cs="Arial"/>
        </w:rPr>
        <w:t>. 7.</w:t>
      </w:r>
      <w:r w:rsidRPr="006F4C60">
        <w:rPr>
          <w:rFonts w:ascii="Arial" w:hAnsi="Arial" w:cs="Arial"/>
        </w:rPr>
        <w:t xml:space="preserve">). These capacity values would probably further decrease with the increase in standing time. Initially, an oil layer was observed on the top of the water surface, and thereafter, a sticky nature was observed with time where the floating oil started to gradually sink. Sinking particles were observed as globules after one week. Such observations may be attributed to compositional changes of oil associated with weathering. Fresh oil is less viscous, more volatile and floats on water. It contains more water-soluble components and is easily dispersed from the source. With time, weathering takes place, and weathered oil initially </w:t>
      </w:r>
      <w:r w:rsidR="009D1D27" w:rsidRPr="006F4C60">
        <w:rPr>
          <w:rFonts w:ascii="Arial" w:hAnsi="Arial" w:cs="Arial"/>
        </w:rPr>
        <w:t>lo</w:t>
      </w:r>
      <w:r w:rsidR="009D1D27">
        <w:rPr>
          <w:rFonts w:ascii="Arial" w:hAnsi="Arial" w:cs="Arial"/>
        </w:rPr>
        <w:t>s</w:t>
      </w:r>
      <w:r w:rsidR="009D1D27" w:rsidRPr="006F4C60">
        <w:rPr>
          <w:rFonts w:ascii="Arial" w:hAnsi="Arial" w:cs="Arial"/>
        </w:rPr>
        <w:t>es</w:t>
      </w:r>
      <w:r w:rsidRPr="006F4C60">
        <w:rPr>
          <w:rFonts w:ascii="Arial" w:hAnsi="Arial" w:cs="Arial"/>
        </w:rPr>
        <w:t xml:space="preserve"> volatile components, and the oil becomes more viscous and more likely to coagulate giving a sticky nature. Over time, the ongoing process of weathering alters the composition of oil until it breaks down in the environment, eventually leaving behind minimal remnants such as tar balls</w:t>
      </w:r>
      <w:r w:rsidRPr="006F4C60">
        <w:rPr>
          <w:rFonts w:ascii="Arial" w:hAnsi="Arial" w:cs="Arial"/>
          <w:vertAlign w:val="superscript"/>
        </w:rPr>
        <w:fldChar w:fldCharType="begin" w:fldLock="1"/>
      </w:r>
      <w:r w:rsidR="00576422">
        <w:rPr>
          <w:rFonts w:ascii="Arial" w:hAnsi="Arial" w:cs="Arial"/>
          <w:vertAlign w:val="superscript"/>
        </w:rPr>
        <w:instrText>ADDIN CSL_CITATION {"citationItems":[{"id":"ITEM-1","itemData":{"author":[{"dropping-particle":"","family":"Zito","given":"P","non-dropping-particle":"","parse-names":false,"suffix":""},{"dropping-particle":"","family":"Overton","given":"E B","non-dropping-particle":"","parse-names":false,"suffix":""},{"dropping-particle":"","family":"Olson","given":"G M","non-dropping-particle":"","parse-names":false,"suffix":""},{"dropping-particle":"","family":"Adhikari","given":"P L","non-dropping-particle":"","parse-names":false,"suffix":""},{"dropping-particle":"","family":"Society","given":"The Oceanography","non-dropping-particle":"","parse-names":false,"suffix":""}],"id":"ITEM-1","issue":"3","issued":{"date-parts":[["2016"]]},"page":"126-135","title":"THE OFFICIAL MAGAZINE OF THE OCEANOGRAPHY SOCIETY CITATION Tarr, M.A., P. Zito, E.B. Overton, G.M. Olson, P.L. Adhikari, and C.M. Reddy. 2016. Weathering of oil spilled in the marine environment.","type":"article-journal","volume":"29"},"uris":["http://www.mendeley.com/documents/?uuid=166aa43b-6964-4793-9adb-d099cd129436"]}],"mendeley":{"formattedCitation":"[32]","plainTextFormattedCitation":"[32]","previouslyFormattedCitation":"(32)"},"properties":{"noteIndex":0},"schema":"https://github.com/citation-style-language/schema/raw/master/csl-citation.json"}</w:instrText>
      </w:r>
      <w:r w:rsidRPr="006F4C60">
        <w:rPr>
          <w:rFonts w:ascii="Arial" w:hAnsi="Arial" w:cs="Arial"/>
          <w:vertAlign w:val="superscript"/>
        </w:rPr>
        <w:fldChar w:fldCharType="separate"/>
      </w:r>
      <w:r w:rsidR="00576422" w:rsidRPr="00576422">
        <w:rPr>
          <w:rFonts w:ascii="Arial" w:hAnsi="Arial" w:cs="Arial"/>
          <w:noProof/>
        </w:rPr>
        <w:t>[32]</w:t>
      </w:r>
      <w:r w:rsidRPr="006F4C60">
        <w:rPr>
          <w:rFonts w:ascii="Arial" w:hAnsi="Arial" w:cs="Arial"/>
          <w:vertAlign w:val="superscript"/>
        </w:rPr>
        <w:fldChar w:fldCharType="end"/>
      </w:r>
      <w:r w:rsidRPr="006F4C60">
        <w:rPr>
          <w:rFonts w:ascii="Arial" w:hAnsi="Arial" w:cs="Arial"/>
        </w:rPr>
        <w:t>,</w:t>
      </w:r>
      <w:r w:rsidRPr="006F4C60">
        <w:rPr>
          <w:rFonts w:ascii="Arial" w:hAnsi="Arial" w:cs="Arial"/>
          <w:vertAlign w:val="superscript"/>
        </w:rPr>
        <w:fldChar w:fldCharType="begin" w:fldLock="1"/>
      </w:r>
      <w:r w:rsidR="00576422">
        <w:rPr>
          <w:rFonts w:ascii="Arial" w:hAnsi="Arial" w:cs="Arial"/>
          <w:vertAlign w:val="superscript"/>
        </w:rPr>
        <w:instrText>ADDIN CSL_CITATION {"citationItems":[{"id":"ITEM-1","itemData":{"DOI":"10.1525/bio.2012.62.6.7","ISSN":"00063568","abstract":"On 20 April 2010, the Deepwater Horizon explosion, which released a US governmentestimated 4.9 million barrels of crude oil into the Gulf of Mexico, was responsible for the death of 11 oil workers and, possibly, for an environmental disaster unparalleled in US history. For 87 consecutive days, the Macondo well continuously released crude oil into the Gulf of Mexico. Many kilometers of shoreline in the northern Gulf of Mexico were affected, including the fragile and ecologically important wetlands of Louisiana's Mississippi River Delta ecosystem. These wetlands are responsible for a third of the nation's fish production and, ironically, help to protect an energy infrastructure that provides a third of the nations oil and gas supply. Here, we provide a basic overview of the chemistry and biology of oil spills in coastal wetlands and an assessment of the potential and realized effects on the ecological condition of the Mississippi River Delta and its associated flora and fauna. © 2012 by American Institute of Biological Sciences.","author":[{"dropping-particle":"","family":"Mendelssohn","given":"Irving A.","non-dropping-particle":"","parse-names":false,"suffix":""},{"dropping-particle":"","family":"Andersen","given":"Gary L.","non-dropping-particle":"","parse-names":false,"suffix":""},{"dropping-particle":"","family":"Baltz","given":"Donald M.","non-dropping-particle":"","parse-names":false,"suffix":""},{"dropping-particle":"","family":"Caffey","given":"Rex H.","non-dropping-particle":"","parse-names":false,"suffix":""},{"dropping-particle":"","family":"Carman","given":"Kevin R.","non-dropping-particle":"","parse-names":false,"suffix":""},{"dropping-particle":"","family":"Fleeger","given":"John W.","non-dropping-particle":"","parse-names":false,"suffix":""},{"dropping-particle":"","family":"Joye","given":"Samantha B.","non-dropping-particle":"","parse-names":false,"suffix":""},{"dropping-particle":"","family":"Lin","given":"Qianxin","non-dropping-particle":"","parse-names":false,"suffix":""},{"dropping-particle":"","family":"Maltby","given":"Edward","non-dropping-particle":"","parse-names":false,"suffix":""},{"dropping-particle":"","family":"Overton","given":"Edward B.","non-dropping-particle":"","parse-names":false,"suffix":""},{"dropping-particle":"","family":"Rozas","given":"Lawrence P.","non-dropping-particle":"","parse-names":false,"suffix":""}],"container-title":"BioScience","id":"ITEM-1","issue":"6","issued":{"date-parts":[["2012"]]},"page":"562-574","title":"Oil impacts on coastal wetlands: Implications for the Mississippi River delta ecosystem after the deepwater horizon oil spill","type":"article-journal","volume":"62"},"uris":["http://www.mendeley.com/documents/?uuid=f9176556-8d0a-4c44-97dd-53a2bd283fe4","http://www.mendeley.com/documents/?uuid=450fc808-55c6-4d7f-86e2-04f7e7242f51"]}],"mendeley":{"formattedCitation":"[33]","plainTextFormattedCitation":"[33]","previouslyFormattedCitation":"(33)"},"properties":{"noteIndex":0},"schema":"https://github.com/citation-style-language/schema/raw/master/csl-citation.json"}</w:instrText>
      </w:r>
      <w:r w:rsidRPr="006F4C60">
        <w:rPr>
          <w:rFonts w:ascii="Arial" w:hAnsi="Arial" w:cs="Arial"/>
          <w:vertAlign w:val="superscript"/>
        </w:rPr>
        <w:fldChar w:fldCharType="separate"/>
      </w:r>
      <w:r w:rsidR="00576422" w:rsidRPr="00576422">
        <w:rPr>
          <w:rFonts w:ascii="Arial" w:hAnsi="Arial" w:cs="Arial"/>
          <w:noProof/>
        </w:rPr>
        <w:t>[33]</w:t>
      </w:r>
      <w:r w:rsidRPr="006F4C60">
        <w:rPr>
          <w:rFonts w:ascii="Arial" w:hAnsi="Arial" w:cs="Arial"/>
          <w:vertAlign w:val="superscript"/>
        </w:rPr>
        <w:fldChar w:fldCharType="end"/>
      </w:r>
      <w:r w:rsidRPr="006F4C60">
        <w:rPr>
          <w:rFonts w:ascii="Arial" w:hAnsi="Arial" w:cs="Arial"/>
        </w:rPr>
        <w:t>.</w:t>
      </w:r>
    </w:p>
    <w:p w14:paraId="4A4141EE" w14:textId="0AFDA8C9" w:rsidR="0023432D" w:rsidRPr="006F4C60" w:rsidRDefault="0023432D" w:rsidP="00B509EC">
      <w:pPr>
        <w:spacing w:line="480" w:lineRule="auto"/>
        <w:jc w:val="both"/>
        <w:rPr>
          <w:rFonts w:ascii="Arial" w:hAnsi="Arial" w:cs="Arial"/>
        </w:rPr>
      </w:pPr>
      <w:r>
        <w:rPr>
          <w:noProof/>
        </w:rPr>
        <w:drawing>
          <wp:anchor distT="0" distB="0" distL="114300" distR="114300" simplePos="0" relativeHeight="251665408" behindDoc="0" locked="0" layoutInCell="1" allowOverlap="1" wp14:anchorId="2F2E7B3C" wp14:editId="66A71629">
            <wp:simplePos x="0" y="0"/>
            <wp:positionH relativeFrom="column">
              <wp:posOffset>0</wp:posOffset>
            </wp:positionH>
            <wp:positionV relativeFrom="paragraph">
              <wp:posOffset>123190</wp:posOffset>
            </wp:positionV>
            <wp:extent cx="3776345" cy="2364740"/>
            <wp:effectExtent l="0" t="0" r="0" b="0"/>
            <wp:wrapSquare wrapText="bothSides"/>
            <wp:docPr id="1312975886" name="Picture 6" descr="A graph with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75886" name="Picture 6" descr="A graph with dots and lin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6345"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F74FB" w14:textId="77777777" w:rsidR="0023432D" w:rsidRDefault="0023432D" w:rsidP="00B509EC">
      <w:pPr>
        <w:spacing w:line="480" w:lineRule="auto"/>
        <w:jc w:val="both"/>
        <w:rPr>
          <w:rFonts w:ascii="Arial" w:hAnsi="Arial" w:cs="Arial"/>
        </w:rPr>
      </w:pPr>
    </w:p>
    <w:p w14:paraId="0061AFFA" w14:textId="77777777" w:rsidR="0023432D" w:rsidRDefault="0023432D" w:rsidP="00B509EC">
      <w:pPr>
        <w:spacing w:line="480" w:lineRule="auto"/>
        <w:jc w:val="both"/>
        <w:rPr>
          <w:rFonts w:ascii="Arial" w:hAnsi="Arial" w:cs="Arial"/>
        </w:rPr>
      </w:pPr>
    </w:p>
    <w:p w14:paraId="424E3443" w14:textId="77777777" w:rsidR="0023432D" w:rsidRDefault="0023432D" w:rsidP="00B509EC">
      <w:pPr>
        <w:spacing w:line="480" w:lineRule="auto"/>
        <w:jc w:val="both"/>
        <w:rPr>
          <w:rFonts w:ascii="Arial" w:hAnsi="Arial" w:cs="Arial"/>
        </w:rPr>
      </w:pPr>
    </w:p>
    <w:p w14:paraId="73D2FB0E" w14:textId="77777777" w:rsidR="0023432D" w:rsidRDefault="0023432D" w:rsidP="00B509EC">
      <w:pPr>
        <w:spacing w:line="480" w:lineRule="auto"/>
        <w:jc w:val="both"/>
        <w:rPr>
          <w:rFonts w:ascii="Arial" w:hAnsi="Arial" w:cs="Arial"/>
        </w:rPr>
      </w:pPr>
    </w:p>
    <w:p w14:paraId="4FF2EF4D" w14:textId="77777777" w:rsidR="0023432D" w:rsidRDefault="0023432D" w:rsidP="00B509EC">
      <w:pPr>
        <w:spacing w:line="480" w:lineRule="auto"/>
        <w:jc w:val="both"/>
        <w:rPr>
          <w:rFonts w:ascii="Arial" w:hAnsi="Arial" w:cs="Arial"/>
        </w:rPr>
      </w:pPr>
    </w:p>
    <w:p w14:paraId="7675D4B5" w14:textId="77777777" w:rsidR="0023432D" w:rsidRDefault="0023432D" w:rsidP="00B509EC">
      <w:pPr>
        <w:spacing w:line="480" w:lineRule="auto"/>
        <w:jc w:val="both"/>
        <w:rPr>
          <w:rFonts w:ascii="Arial" w:hAnsi="Arial" w:cs="Arial"/>
        </w:rPr>
      </w:pPr>
    </w:p>
    <w:p w14:paraId="651DDCE7" w14:textId="77777777" w:rsidR="0023432D" w:rsidRDefault="0023432D" w:rsidP="00B509EC">
      <w:pPr>
        <w:spacing w:line="480" w:lineRule="auto"/>
        <w:jc w:val="both"/>
        <w:rPr>
          <w:rFonts w:ascii="Arial" w:hAnsi="Arial" w:cs="Arial"/>
        </w:rPr>
      </w:pPr>
    </w:p>
    <w:p w14:paraId="34C8F1E3" w14:textId="77777777" w:rsidR="0023432D" w:rsidRDefault="0023432D" w:rsidP="00B509EC">
      <w:pPr>
        <w:spacing w:line="480" w:lineRule="auto"/>
        <w:jc w:val="both"/>
        <w:rPr>
          <w:rFonts w:ascii="Arial" w:hAnsi="Arial" w:cs="Arial"/>
        </w:rPr>
      </w:pPr>
    </w:p>
    <w:p w14:paraId="3B8948BA" w14:textId="7B499943" w:rsidR="00122873" w:rsidRPr="00210F0F" w:rsidRDefault="00122873" w:rsidP="00122873">
      <w:pPr>
        <w:rPr>
          <w:rFonts w:ascii="Arial" w:hAnsi="Arial" w:cs="Arial"/>
          <w:b/>
          <w:bCs/>
        </w:rPr>
      </w:pPr>
      <w:r w:rsidRPr="00210F0F">
        <w:rPr>
          <w:rFonts w:ascii="Arial" w:hAnsi="Arial" w:cs="Arial"/>
          <w:b/>
          <w:bCs/>
        </w:rPr>
        <w:t>Fig</w:t>
      </w:r>
      <w:r w:rsidR="00210F0F">
        <w:rPr>
          <w:rFonts w:ascii="Arial" w:hAnsi="Arial" w:cs="Arial"/>
          <w:b/>
          <w:bCs/>
        </w:rPr>
        <w:t>.</w:t>
      </w:r>
      <w:r w:rsidRPr="00210F0F">
        <w:rPr>
          <w:rFonts w:ascii="Arial" w:hAnsi="Arial" w:cs="Arial"/>
          <w:b/>
          <w:bCs/>
        </w:rPr>
        <w:t xml:space="preserve"> </w:t>
      </w:r>
      <w:r w:rsidR="00210F0F">
        <w:rPr>
          <w:rFonts w:ascii="Arial" w:hAnsi="Arial" w:cs="Arial"/>
          <w:b/>
          <w:bCs/>
        </w:rPr>
        <w:t>7</w:t>
      </w:r>
      <w:r w:rsidRPr="00210F0F">
        <w:rPr>
          <w:rFonts w:ascii="Arial" w:hAnsi="Arial" w:cs="Arial"/>
          <w:b/>
          <w:bCs/>
        </w:rPr>
        <w:t>. Impact of weathering time on adsorption capacity of crude oil</w:t>
      </w:r>
    </w:p>
    <w:p w14:paraId="6EADAC5F" w14:textId="77777777" w:rsidR="0023432D" w:rsidRDefault="0023432D" w:rsidP="00B509EC">
      <w:pPr>
        <w:spacing w:line="480" w:lineRule="auto"/>
        <w:jc w:val="both"/>
        <w:rPr>
          <w:rFonts w:ascii="Arial" w:hAnsi="Arial" w:cs="Arial"/>
        </w:rPr>
      </w:pPr>
    </w:p>
    <w:p w14:paraId="0DF64E18" w14:textId="2A51808B" w:rsidR="0023432D" w:rsidRPr="0023432D" w:rsidRDefault="006F4C60" w:rsidP="00B509EC">
      <w:pPr>
        <w:spacing w:line="480" w:lineRule="auto"/>
        <w:jc w:val="both"/>
        <w:rPr>
          <w:rFonts w:ascii="Arial" w:hAnsi="Arial" w:cs="Arial"/>
          <w:b/>
          <w:bCs/>
          <w:sz w:val="22"/>
          <w:szCs w:val="22"/>
        </w:rPr>
      </w:pPr>
      <w:r w:rsidRPr="0023432D">
        <w:rPr>
          <w:rFonts w:ascii="Arial" w:hAnsi="Arial" w:cs="Arial"/>
          <w:b/>
          <w:bCs/>
          <w:sz w:val="22"/>
          <w:szCs w:val="22"/>
        </w:rPr>
        <w:lastRenderedPageBreak/>
        <w:t>3.7 Energy production from oil adsorbed biochar</w:t>
      </w:r>
    </w:p>
    <w:p w14:paraId="3F5A49C4" w14:textId="495B2D6E" w:rsidR="006F4C60" w:rsidRPr="006F4C60" w:rsidRDefault="006F4C60" w:rsidP="00B509EC">
      <w:pPr>
        <w:spacing w:line="480" w:lineRule="auto"/>
        <w:jc w:val="both"/>
        <w:rPr>
          <w:rFonts w:ascii="Arial" w:hAnsi="Arial" w:cs="Arial"/>
        </w:rPr>
      </w:pPr>
      <w:r w:rsidRPr="006F4C60">
        <w:rPr>
          <w:rFonts w:ascii="Arial" w:hAnsi="Arial" w:cs="Arial"/>
        </w:rPr>
        <w:t>After the oil removal process, as an effective method to discard the oil adsorbed biochar, the possibility of energy production was examined. The heat energy produced is indicated by the temperature rise. As in Fig</w:t>
      </w:r>
      <w:r w:rsidR="004E5B93">
        <w:rPr>
          <w:rFonts w:ascii="Arial" w:hAnsi="Arial" w:cs="Arial"/>
        </w:rPr>
        <w:t>. 8.</w:t>
      </w:r>
      <w:r w:rsidRPr="006F4C60">
        <w:rPr>
          <w:rFonts w:ascii="Arial" w:hAnsi="Arial" w:cs="Arial"/>
        </w:rPr>
        <w:t xml:space="preserve">, oil adsorbed biochar and biochar without oil being adsorbed are compared, where in all cases a maximum temperature is reached followed by gradual decrease. Only a maximum temperature of 35 </w:t>
      </w:r>
      <w:r w:rsidRPr="006F4C60">
        <w:rPr>
          <w:rFonts w:ascii="Arial" w:hAnsi="Arial" w:cs="Arial"/>
        </w:rPr>
        <w:sym w:font="Symbol" w:char="F0B0"/>
      </w:r>
      <w:r w:rsidRPr="006F4C60">
        <w:rPr>
          <w:rFonts w:ascii="Arial" w:hAnsi="Arial" w:cs="Arial"/>
        </w:rPr>
        <w:t>C is obtained when raw biochar (</w:t>
      </w:r>
      <w:r w:rsidRPr="006F4C60">
        <w:rPr>
          <w:rFonts w:ascii="Arial" w:hAnsi="Arial" w:cs="Arial"/>
          <w:i/>
          <w:iCs/>
        </w:rPr>
        <w:t>i.e</w:t>
      </w:r>
      <w:r w:rsidRPr="006F4C60">
        <w:rPr>
          <w:rFonts w:ascii="Arial" w:hAnsi="Arial" w:cs="Arial"/>
        </w:rPr>
        <w:t xml:space="preserve">., without oil adsorption) is burnt, and higher maximum temperatures are obtained when oil adsorbed biochar is burnt. Among the three oil types, the highest temperature achieved is 54 </w:t>
      </w:r>
      <w:r w:rsidRPr="006F4C60">
        <w:rPr>
          <w:rFonts w:ascii="Arial" w:hAnsi="Arial" w:cs="Arial"/>
        </w:rPr>
        <w:sym w:font="Symbol" w:char="F0B0"/>
      </w:r>
      <w:r w:rsidRPr="006F4C60">
        <w:rPr>
          <w:rFonts w:ascii="Arial" w:hAnsi="Arial" w:cs="Arial"/>
        </w:rPr>
        <w:t xml:space="preserve">C for crude oil, and 50 </w:t>
      </w:r>
      <w:r w:rsidRPr="006F4C60">
        <w:rPr>
          <w:rFonts w:ascii="Arial" w:hAnsi="Arial" w:cs="Arial"/>
        </w:rPr>
        <w:sym w:font="Symbol" w:char="F0B0"/>
      </w:r>
      <w:r w:rsidRPr="006F4C60">
        <w:rPr>
          <w:rFonts w:ascii="Arial" w:hAnsi="Arial" w:cs="Arial"/>
        </w:rPr>
        <w:t xml:space="preserve">C for both engine and motor oil. This highlights the fact that oil adsorbed biochar can be effectively used to produce heat energy, and efficiency should be monitored for large scale applications. Though this process is advantageous since used biochar is </w:t>
      </w:r>
      <w:r w:rsidR="00646C58">
        <w:rPr>
          <w:rFonts w:ascii="Arial" w:hAnsi="Arial" w:cs="Arial"/>
        </w:rPr>
        <w:t>applied</w:t>
      </w:r>
      <w:r w:rsidRPr="006F4C60">
        <w:rPr>
          <w:rFonts w:ascii="Arial" w:hAnsi="Arial" w:cs="Arial"/>
        </w:rPr>
        <w:t xml:space="preserve"> in </w:t>
      </w:r>
      <w:r w:rsidR="00646C58">
        <w:rPr>
          <w:rFonts w:ascii="Arial" w:hAnsi="Arial" w:cs="Arial"/>
        </w:rPr>
        <w:t xml:space="preserve">an </w:t>
      </w:r>
      <w:r w:rsidRPr="006F4C60">
        <w:rPr>
          <w:rFonts w:ascii="Arial" w:hAnsi="Arial" w:cs="Arial"/>
        </w:rPr>
        <w:t>effective manner, a major drawback is the production of CO</w:t>
      </w:r>
      <w:r w:rsidRPr="006F4C60">
        <w:rPr>
          <w:rFonts w:ascii="Arial" w:hAnsi="Arial" w:cs="Arial"/>
          <w:vertAlign w:val="subscript"/>
        </w:rPr>
        <w:t>2</w:t>
      </w:r>
      <w:r w:rsidRPr="006F4C60">
        <w:rPr>
          <w:rFonts w:ascii="Arial" w:hAnsi="Arial" w:cs="Arial"/>
        </w:rPr>
        <w:t xml:space="preserve"> in the burning process. </w:t>
      </w:r>
    </w:p>
    <w:p w14:paraId="24D0284C" w14:textId="1CED6172" w:rsidR="0023432D" w:rsidRDefault="005A0889" w:rsidP="00B509EC">
      <w:pPr>
        <w:spacing w:line="480" w:lineRule="auto"/>
        <w:jc w:val="both"/>
        <w:rPr>
          <w:rFonts w:ascii="Arial" w:hAnsi="Arial" w:cs="Arial"/>
          <w:b/>
          <w:bCs/>
          <w:sz w:val="22"/>
          <w:szCs w:val="22"/>
        </w:rPr>
      </w:pPr>
      <w:r>
        <w:rPr>
          <w:noProof/>
        </w:rPr>
        <w:drawing>
          <wp:anchor distT="0" distB="0" distL="114300" distR="114300" simplePos="0" relativeHeight="251622400" behindDoc="0" locked="0" layoutInCell="1" allowOverlap="1" wp14:anchorId="5DC375D8" wp14:editId="51642681">
            <wp:simplePos x="0" y="0"/>
            <wp:positionH relativeFrom="column">
              <wp:posOffset>0</wp:posOffset>
            </wp:positionH>
            <wp:positionV relativeFrom="paragraph">
              <wp:posOffset>40640</wp:posOffset>
            </wp:positionV>
            <wp:extent cx="3984625" cy="2138680"/>
            <wp:effectExtent l="0" t="0" r="0" b="0"/>
            <wp:wrapSquare wrapText="bothSides"/>
            <wp:docPr id="96586317" name="Picture 7" descr="A graph of oil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6317" name="Picture 7" descr="A graph of oil pr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462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9A52B" w14:textId="2FC9D760" w:rsidR="0023432D" w:rsidRDefault="0023432D" w:rsidP="00B509EC">
      <w:pPr>
        <w:spacing w:line="480" w:lineRule="auto"/>
        <w:jc w:val="both"/>
        <w:rPr>
          <w:rFonts w:ascii="Arial" w:hAnsi="Arial" w:cs="Arial"/>
          <w:b/>
          <w:bCs/>
          <w:sz w:val="22"/>
          <w:szCs w:val="22"/>
        </w:rPr>
      </w:pPr>
    </w:p>
    <w:p w14:paraId="582F4BBC" w14:textId="5BEB0930" w:rsidR="0023432D" w:rsidRDefault="0023432D" w:rsidP="00B509EC">
      <w:pPr>
        <w:spacing w:line="480" w:lineRule="auto"/>
        <w:jc w:val="both"/>
        <w:rPr>
          <w:rFonts w:ascii="Arial" w:hAnsi="Arial" w:cs="Arial"/>
          <w:b/>
          <w:bCs/>
          <w:sz w:val="22"/>
          <w:szCs w:val="22"/>
        </w:rPr>
      </w:pPr>
    </w:p>
    <w:p w14:paraId="698640E9" w14:textId="77777777" w:rsidR="00122873" w:rsidRDefault="00122873" w:rsidP="00B509EC">
      <w:pPr>
        <w:spacing w:line="480" w:lineRule="auto"/>
        <w:jc w:val="both"/>
        <w:rPr>
          <w:rFonts w:ascii="Arial" w:hAnsi="Arial" w:cs="Arial"/>
          <w:b/>
          <w:bCs/>
          <w:sz w:val="22"/>
          <w:szCs w:val="22"/>
        </w:rPr>
      </w:pPr>
    </w:p>
    <w:p w14:paraId="6943C410" w14:textId="77777777" w:rsidR="00122873" w:rsidRPr="00210F0F" w:rsidRDefault="00122873" w:rsidP="00122873">
      <w:pPr>
        <w:spacing w:line="480" w:lineRule="auto"/>
        <w:jc w:val="both"/>
        <w:rPr>
          <w:rFonts w:ascii="Arial" w:hAnsi="Arial" w:cs="Arial"/>
          <w:b/>
          <w:bCs/>
          <w:sz w:val="18"/>
          <w:szCs w:val="18"/>
        </w:rPr>
      </w:pPr>
    </w:p>
    <w:p w14:paraId="0FAB2ED6" w14:textId="77777777" w:rsidR="004E5B93" w:rsidRDefault="004E5B93" w:rsidP="00122873">
      <w:pPr>
        <w:rPr>
          <w:rFonts w:ascii="Arial" w:hAnsi="Arial" w:cs="Arial"/>
          <w:b/>
          <w:bCs/>
        </w:rPr>
      </w:pPr>
    </w:p>
    <w:p w14:paraId="3C259303" w14:textId="77777777" w:rsidR="004E5B93" w:rsidRDefault="004E5B93" w:rsidP="00122873">
      <w:pPr>
        <w:rPr>
          <w:rFonts w:ascii="Arial" w:hAnsi="Arial" w:cs="Arial"/>
          <w:b/>
          <w:bCs/>
        </w:rPr>
      </w:pPr>
    </w:p>
    <w:p w14:paraId="05724075" w14:textId="77777777" w:rsidR="004E5B93" w:rsidRDefault="004E5B93" w:rsidP="00122873">
      <w:pPr>
        <w:rPr>
          <w:rFonts w:ascii="Arial" w:hAnsi="Arial" w:cs="Arial"/>
          <w:b/>
          <w:bCs/>
        </w:rPr>
      </w:pPr>
    </w:p>
    <w:p w14:paraId="5BA3A74E" w14:textId="77777777" w:rsidR="004E5B93" w:rsidRDefault="004E5B93" w:rsidP="00122873">
      <w:pPr>
        <w:rPr>
          <w:rFonts w:ascii="Arial" w:hAnsi="Arial" w:cs="Arial"/>
          <w:b/>
          <w:bCs/>
        </w:rPr>
      </w:pPr>
    </w:p>
    <w:p w14:paraId="04917FE1" w14:textId="77777777" w:rsidR="004E5B93" w:rsidRDefault="004E5B93" w:rsidP="00122873">
      <w:pPr>
        <w:rPr>
          <w:rFonts w:ascii="Arial" w:hAnsi="Arial" w:cs="Arial"/>
          <w:b/>
          <w:bCs/>
        </w:rPr>
      </w:pPr>
    </w:p>
    <w:p w14:paraId="67C58A5A" w14:textId="088AA697" w:rsidR="00122873" w:rsidRPr="00210F0F" w:rsidRDefault="00122873" w:rsidP="00122873">
      <w:pPr>
        <w:rPr>
          <w:rFonts w:ascii="Arial" w:hAnsi="Arial" w:cs="Arial"/>
          <w:b/>
          <w:bCs/>
        </w:rPr>
      </w:pPr>
      <w:r w:rsidRPr="00210F0F">
        <w:rPr>
          <w:rFonts w:ascii="Arial" w:hAnsi="Arial" w:cs="Arial"/>
          <w:b/>
          <w:bCs/>
        </w:rPr>
        <w:t>Fig</w:t>
      </w:r>
      <w:r w:rsidR="00210F0F" w:rsidRPr="00210F0F">
        <w:rPr>
          <w:rFonts w:ascii="Arial" w:hAnsi="Arial" w:cs="Arial"/>
          <w:b/>
          <w:bCs/>
        </w:rPr>
        <w:t>.</w:t>
      </w:r>
      <w:r w:rsidRPr="00210F0F">
        <w:rPr>
          <w:rFonts w:ascii="Arial" w:hAnsi="Arial" w:cs="Arial"/>
          <w:b/>
          <w:bCs/>
        </w:rPr>
        <w:t xml:space="preserve"> </w:t>
      </w:r>
      <w:r w:rsidR="00210F0F" w:rsidRPr="00210F0F">
        <w:rPr>
          <w:rFonts w:ascii="Arial" w:hAnsi="Arial" w:cs="Arial"/>
          <w:b/>
          <w:bCs/>
        </w:rPr>
        <w:t>8</w:t>
      </w:r>
      <w:r w:rsidRPr="00210F0F">
        <w:rPr>
          <w:rFonts w:ascii="Arial" w:hAnsi="Arial" w:cs="Arial"/>
          <w:b/>
          <w:bCs/>
        </w:rPr>
        <w:t>. Variation of temperature with time</w:t>
      </w:r>
    </w:p>
    <w:p w14:paraId="69853F66" w14:textId="77777777" w:rsidR="00122873" w:rsidRDefault="00122873" w:rsidP="00B509EC">
      <w:pPr>
        <w:spacing w:line="480" w:lineRule="auto"/>
        <w:jc w:val="both"/>
        <w:rPr>
          <w:rFonts w:ascii="Arial" w:hAnsi="Arial" w:cs="Arial"/>
          <w:b/>
          <w:bCs/>
          <w:sz w:val="22"/>
          <w:szCs w:val="22"/>
        </w:rPr>
      </w:pPr>
    </w:p>
    <w:p w14:paraId="05CCB7AD" w14:textId="443CBF57"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3.8 Isotherm studies</w:t>
      </w:r>
    </w:p>
    <w:p w14:paraId="19AF28AA" w14:textId="4131B825" w:rsidR="006F4C60" w:rsidRDefault="006F4C60" w:rsidP="00B509EC">
      <w:pPr>
        <w:spacing w:line="480" w:lineRule="auto"/>
        <w:jc w:val="both"/>
        <w:rPr>
          <w:rFonts w:ascii="Arial" w:hAnsi="Arial" w:cs="Arial"/>
          <w:lang w:bidi="si-LK"/>
        </w:rPr>
      </w:pPr>
      <w:r w:rsidRPr="006F4C60">
        <w:rPr>
          <w:rFonts w:ascii="Arial" w:hAnsi="Arial" w:cs="Arial"/>
        </w:rPr>
        <w:t xml:space="preserve">According to the results obtained, the adsorption process </w:t>
      </w:r>
      <w:r w:rsidRPr="006F4C60">
        <w:rPr>
          <w:rFonts w:ascii="Arial" w:hAnsi="Arial" w:cs="Arial"/>
          <w:lang w:bidi="si-LK"/>
        </w:rPr>
        <w:t>conforms to neither the Langmuir nor the Freundlich isotherm models (Fig</w:t>
      </w:r>
      <w:r w:rsidR="004E5B93">
        <w:rPr>
          <w:rFonts w:ascii="Arial" w:hAnsi="Arial" w:cs="Arial"/>
          <w:lang w:bidi="si-LK"/>
        </w:rPr>
        <w:t xml:space="preserve">. 9. </w:t>
      </w:r>
      <w:r w:rsidRPr="006F4C60">
        <w:rPr>
          <w:rFonts w:ascii="Arial" w:hAnsi="Arial" w:cs="Arial"/>
          <w:lang w:bidi="si-LK"/>
        </w:rPr>
        <w:t>[a</w:t>
      </w:r>
      <w:r w:rsidR="00D14D89" w:rsidRPr="006F4C60">
        <w:rPr>
          <w:rFonts w:ascii="Arial" w:hAnsi="Arial" w:cs="Arial"/>
          <w:lang w:bidi="si-LK"/>
        </w:rPr>
        <w:t>]</w:t>
      </w:r>
      <w:r w:rsidR="00D14D89">
        <w:rPr>
          <w:rFonts w:ascii="Arial" w:hAnsi="Arial" w:cs="Arial"/>
          <w:lang w:bidi="si-LK"/>
        </w:rPr>
        <w:t>,</w:t>
      </w:r>
      <w:r w:rsidR="00D14D89" w:rsidRPr="006F4C60">
        <w:rPr>
          <w:rFonts w:ascii="Arial" w:hAnsi="Arial" w:cs="Arial"/>
          <w:lang w:bidi="si-LK"/>
        </w:rPr>
        <w:t xml:space="preserve"> [</w:t>
      </w:r>
      <w:r w:rsidRPr="006F4C60">
        <w:rPr>
          <w:rFonts w:ascii="Arial" w:hAnsi="Arial" w:cs="Arial"/>
          <w:lang w:bidi="si-LK"/>
        </w:rPr>
        <w:t>b]</w:t>
      </w:r>
      <w:r w:rsidR="004E5B93">
        <w:rPr>
          <w:rFonts w:ascii="Arial" w:hAnsi="Arial" w:cs="Arial"/>
          <w:lang w:bidi="si-LK"/>
        </w:rPr>
        <w:t>)</w:t>
      </w:r>
      <w:r w:rsidRPr="006F4C60">
        <w:rPr>
          <w:rFonts w:ascii="Arial" w:hAnsi="Arial" w:cs="Arial"/>
          <w:lang w:bidi="si-LK"/>
        </w:rPr>
        <w:t xml:space="preserve"> Therefore, it can be argued that the interaction of oil with biochar is not a chemisorption process, and hence, monolayer </w:t>
      </w:r>
      <w:r w:rsidRPr="006F4C60">
        <w:rPr>
          <w:rFonts w:ascii="Arial" w:hAnsi="Arial" w:cs="Arial"/>
          <w:lang w:bidi="si-LK"/>
        </w:rPr>
        <w:lastRenderedPageBreak/>
        <w:t xml:space="preserve">adsorption is not possible. Therefore, adsorption of oil by biochar of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may take place via physisorption, indicating multilayer adsorption, where the entire process can be explained by adhesive and cohesive forces. </w:t>
      </w:r>
      <w:r w:rsidR="00577344">
        <w:rPr>
          <w:rFonts w:ascii="Arial" w:hAnsi="Arial" w:cs="Arial"/>
          <w:lang w:bidi="si-LK"/>
        </w:rPr>
        <w:t>Adhesive forces</w:t>
      </w:r>
      <w:r w:rsidRPr="006F4C60">
        <w:rPr>
          <w:rFonts w:ascii="Arial" w:hAnsi="Arial" w:cs="Arial"/>
          <w:lang w:bidi="si-LK"/>
        </w:rPr>
        <w:t xml:space="preserve"> take place between oil molecules while cohesive forces take place between oil molecules and the surface of the sorbent material. Initially, pores of the sorbent may get occupied by oil molecules by cohesive forces. Thereafter, the other adsorbing oil molecules may bind to the initially adsorbed oil molecules via adhesive forces forming another layer on top of the initial oil layer</w:t>
      </w:r>
      <w:r w:rsidRPr="006F4C60">
        <w:rPr>
          <w:rFonts w:ascii="Arial" w:hAnsi="Arial" w:cs="Arial"/>
          <w:lang w:bidi="si-LK"/>
        </w:rPr>
        <w:fldChar w:fldCharType="begin" w:fldLock="1"/>
      </w:r>
      <w:r w:rsidR="00576422">
        <w:rPr>
          <w:rFonts w:ascii="Arial" w:hAnsi="Arial" w:cs="Arial"/>
          <w:lang w:bidi="si-LK"/>
        </w:rPr>
        <w:instrText>ADDIN CSL_CITATION {"citationItems":[{"id":"ITEM-1","itemData":{"DOI":"10.1186/s44147-024-00398-7","ISSN":"25369512","abstract":"Diesel oil contamination is a threat to environment and human health. Many technologies have been developed to address this issue; however, they are costly to be deployed in real-world oil remediation. Adsorption remains to be one of the most economical methods to remove oil from water. Here, we used banana peel biochar (BPBC) immobilized in teabags as an adsorbent for the removal of diesel oil in water. We investigated the adsorption behavior of BPBC under different conditions, examining the influence of adsorbent loading, pH, salinity, and contact time on its efficiency for removing diesel oil in water. Our results show that the sorption capacity of BPBC is significantly affected by the amount of adsorbent used. Lower biochar loadings enhance the sorption capacity due to greater surface area accessibility, while higher loadings lead to decreased efficiency due to pore blockage and reduced surface exposure. Interestingly, the pH of the solution was found to have minimal impact on the sorption process. This is attributed to diesel oil’s hydrophobic and non-polar nature, which leads to its interaction with BPBC being predominantly governed by hydrophobic forces instead of pH-sensitive electrostatic interactions. Salinity emerged as a crucial factor in the adsorption process. An increase in salinity enhances the sorption capacity, likely due to the “salting-out” effect, where higher salt concentrations decrease the solubility of diesel oil, promoting its adsorption onto the biochar surface. Furthermore, the study highlights the importance of contact time, with longer exposure resulting in increased sorption capacity. This trend is explained by the adsorption kinetics, initially characterized by rapid adsorption, followed by a slower, progressive occupation of the biochar’s adsorption sites. The kinetic analysis of the process suggests that the pseudo-second-order model is more suitable, indicating a chemisorption mechanism. The Harkins–Jura isotherm model was identified as the best fit for explaining the isotherm behavior, owing to its capacity to account for the heterogeneous nature of the biochar surface and the formation of multiple adsorbate layers. The optimum conditions for maximum diesel oil removal are as follows: BPBC loading of 0.50 g, a solution pH of 5.00, a salinity concentration of 12,656.57 mg/L, and a contact time of 240 min. Under these conditions, BPBC exhibited an adsorption capacity of 19.04 g/g. In summary, our research establishes BP…","author":[{"dropping-particle":"","family":"Urgel","given":"Jefrick Jun Daniel T.","non-dropping-particle":"","parse-names":false,"suffix":""},{"dropping-particle":"","family":"Briones","given":"Justin Marwin A.","non-dropping-particle":"","parse-names":false,"suffix":""},{"dropping-particle":"","family":"Diaz","given":"Emmanuel B.","non-dropping-particle":"","parse-names":false,"suffix":""},{"dropping-particle":"","family":"Dimaculangan","given":"Kirstin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R.","non-dropping-particle":"","parse-names":false,"suffix":""}],"container-title":"Journal of Engineering and Applied Science","id":"ITEM-1","issue":"1","issued":{"date-parts":[["2024"]]},"page":"1-19","publisher":"Springer Berlin Heidelberg","title":"Batch adsorption of diesel oil in water using saba banana peel biochar immobilized in teabags","type":"article-journal","volume":"71"},"uris":["http://www.mendeley.com/documents/?uuid=2d0e0df5-8cad-4f06-8b41-a3121768de33","http://www.mendeley.com/documents/?uuid=68ced140-2c1c-49a2-8094-723f051f0208"]}],"mendeley":{"formattedCitation":"[34]","plainTextFormattedCitation":"[34]","previouslyFormattedCitation":"(34)"},"properties":{"noteIndex":0},"schema":"https://github.com/citation-style-language/schema/raw/master/csl-citation.json"}</w:instrText>
      </w:r>
      <w:r w:rsidRPr="006F4C60">
        <w:rPr>
          <w:rFonts w:ascii="Arial" w:hAnsi="Arial" w:cs="Arial"/>
          <w:lang w:bidi="si-LK"/>
        </w:rPr>
        <w:fldChar w:fldCharType="separate"/>
      </w:r>
      <w:r w:rsidR="00576422" w:rsidRPr="00576422">
        <w:rPr>
          <w:rFonts w:ascii="Arial" w:hAnsi="Arial" w:cs="Arial"/>
          <w:noProof/>
          <w:lang w:bidi="si-LK"/>
        </w:rPr>
        <w:t>[34]</w:t>
      </w:r>
      <w:r w:rsidRPr="006F4C60">
        <w:rPr>
          <w:rFonts w:ascii="Arial" w:hAnsi="Arial" w:cs="Arial"/>
          <w:lang w:bidi="si-LK"/>
        </w:rPr>
        <w:fldChar w:fldCharType="end"/>
      </w:r>
      <w:r w:rsidRPr="006F4C60">
        <w:rPr>
          <w:rFonts w:ascii="Arial" w:hAnsi="Arial" w:cs="Arial"/>
          <w:lang w:bidi="si-LK"/>
        </w:rPr>
        <w:t xml:space="preserve">. This process would continue until the maximum capacity is reached. During the dripping period, excess of oil is removed from the sorbent which can be clearly observed. Smooth oil layers may not form on top of another due to the heterogenous nature of the sorbent material. Since the fruit of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is a natural sorbent, the same conditions would not be possible in every fruit, and accordingly, the porosity and the efficiency of adsorption could differ. The oil adsorption process that occurs through adhesive</w:t>
      </w:r>
      <w:r w:rsidRPr="006F4C60">
        <w:rPr>
          <w:rFonts w:ascii="Arial" w:hAnsi="Arial" w:cs="Arial"/>
          <w:lang w:bidi="si-LK"/>
        </w:rPr>
        <w:sym w:font="Symbol" w:char="F02D"/>
      </w:r>
      <w:r w:rsidRPr="006F4C60">
        <w:rPr>
          <w:rFonts w:ascii="Arial" w:hAnsi="Arial" w:cs="Arial"/>
          <w:lang w:bidi="si-LK"/>
        </w:rPr>
        <w:t xml:space="preserve">cohesive forces highlight the hydrophobic nature of the adsorbent. This hydrophobicity will allow the sorbent to be more likely to oil molecules over water molecules, specifying the fact that it would be more efficient to remove oil spills from water bodies. The use of biochar prepared from </w:t>
      </w:r>
      <w:bookmarkStart w:id="3" w:name="_Hlk207489325"/>
      <w:r w:rsidRPr="006F4C60">
        <w:rPr>
          <w:rFonts w:ascii="Arial" w:hAnsi="Arial" w:cs="Arial"/>
          <w:lang w:bidi="si-LK"/>
        </w:rPr>
        <w:t xml:space="preserve">the fruit of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w:t>
      </w:r>
      <w:bookmarkEnd w:id="3"/>
      <w:r w:rsidRPr="006F4C60">
        <w:rPr>
          <w:rFonts w:ascii="Arial" w:hAnsi="Arial" w:cs="Arial"/>
          <w:lang w:bidi="si-LK"/>
        </w:rPr>
        <w:t xml:space="preserve">highlights the importance of extending these findings toward large scale applications.  The biochar of the fruit of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is extremely light, and hence, the ease of handling it is another advantage</w:t>
      </w:r>
      <w:r w:rsidRPr="006F4C60">
        <w:rPr>
          <w:rFonts w:ascii="Arial" w:hAnsi="Arial" w:cs="Arial"/>
          <w:lang w:bidi="si-LK"/>
        </w:rPr>
        <w:fldChar w:fldCharType="begin" w:fldLock="1"/>
      </w:r>
      <w:r w:rsidR="00576422">
        <w:rPr>
          <w:rFonts w:ascii="Arial" w:hAnsi="Arial" w:cs="Arial"/>
          <w:lang w:bidi="si-LK"/>
        </w:rPr>
        <w:instrText>ADDIN CSL_CITATION {"citationItems":[{"id":"ITEM-1","itemData":{"DOI":"10.1016/j.jtice.2021.07.009","ISSN":"18761070","abstract":"Background: Oil spills and leaks of organic pollutants have caused threats to the aquatic environment. Biomass sponges are potential absorbent materials to achieve oil–water separation due to their being low-cost and environmentally friendly. However, the ability to separate oil and water still mainly depends on preparing low-density sponges with high absorbability and motion controllability through mild and low-cost strategies. Methods: In this study, an ultralow-density biomass sponge was prepared via a facile hydrothermal method through a Fenton-like reaction using pears as raw material. Notably, a Fenton-like reaction was introduced for the fabrication of a hydrothermal process for performance optimization. In addition, a small amount of polydimethylsiloxane and magnetic nanoparticles were used to modify the surface of the pear sponge through a one-step method. Findings: The prepared biomass sponge exhibited a novel recyclability, hydrophobicity with water contact angle of 137°, stable magnetic properties and ultra-low density(0.03 g/cm3). The pear sponge also demonstrated excellent sorption capacity, achieving up to 10-20 times of its own weight for a wide range of organic solvents and oils. The prepared magnetic-driven sponges can be applied in emergencies for leakages of organic solvents, as well as leakages from tankers and offshore drilling platforms.","author":[{"dropping-particle":"","family":"Zhang","given":"Ze","non-dropping-particle":"","parse-names":false,"suffix":""},{"dropping-particle":"","family":"Yang","given":"Gang","non-dropping-particle":"","parse-names":false,"suffix":""},{"dropping-particle":"","family":"Wu","given":"Jun","non-dropping-particle":"","parse-names":false,"suffix":""},{"dropping-particle":"","family":"He","given":"Jin Song","non-dropping-particle":"","parse-names":false,"suffix":""},{"dropping-particle":"","family":"Zhang","given":"Yan Zong","non-dropping-particle":"","parse-names":false,"suffix":""},{"dropping-particle":"","family":"Tian","given":"Dong","non-dropping-particle":"","parse-names":false,"suffix":""},{"dropping-particle":"","family":"Chen","given":"Chao","non-dropping-particle":"","parse-names":false,"suffix":""},{"dropping-particle":"","family":"Deng","given":"Shi Huai","non-dropping-particle":"","parse-names":false,"suffix":""},{"dropping-particle":"","family":"Long","given":"Lu Lu","non-dropping-particle":"","parse-names":false,"suffix":""}],"container-title":"Journal of the Taiwan Institute of Chemical Engineers","id":"ITEM-1","issued":{"date-parts":[["2021"]]},"page":"332-340","publisher":"Elsevier B.V.","title":"Enhanced properties of magnetic ultralight pear sponge assisted by Fenton-like reaction for oil-water separation","type":"article-journal","volume":"126"},"uris":["http://www.mendeley.com/documents/?uuid=fdb8492c-2ee5-45a1-b76a-93c65da246cf"]}],"mendeley":{"formattedCitation":"[14]","plainTextFormattedCitation":"[14]","previouslyFormattedCitation":"(14)"},"properties":{"noteIndex":0},"schema":"https://github.com/citation-style-language/schema/raw/master/csl-citation.json"}</w:instrText>
      </w:r>
      <w:r w:rsidRPr="006F4C60">
        <w:rPr>
          <w:rFonts w:ascii="Arial" w:hAnsi="Arial" w:cs="Arial"/>
          <w:lang w:bidi="si-LK"/>
        </w:rPr>
        <w:fldChar w:fldCharType="separate"/>
      </w:r>
      <w:r w:rsidR="00576422" w:rsidRPr="00576422">
        <w:rPr>
          <w:rFonts w:ascii="Arial" w:hAnsi="Arial" w:cs="Arial"/>
          <w:noProof/>
          <w:lang w:bidi="si-LK"/>
        </w:rPr>
        <w:t>[14]</w:t>
      </w:r>
      <w:r w:rsidRPr="006F4C60">
        <w:rPr>
          <w:rFonts w:ascii="Arial" w:hAnsi="Arial" w:cs="Arial"/>
          <w:lang w:bidi="si-LK"/>
        </w:rPr>
        <w:fldChar w:fldCharType="end"/>
      </w:r>
      <w:r w:rsidRPr="006F4C60">
        <w:rPr>
          <w:rFonts w:ascii="Arial" w:hAnsi="Arial" w:cs="Arial"/>
          <w:lang w:bidi="si-LK"/>
        </w:rPr>
        <w:t>. This light nature can be understood using Fig.</w:t>
      </w:r>
      <w:r w:rsidR="004E5B93">
        <w:rPr>
          <w:rFonts w:ascii="Arial" w:hAnsi="Arial" w:cs="Arial"/>
          <w:lang w:bidi="si-LK"/>
        </w:rPr>
        <w:t xml:space="preserve"> 10.</w:t>
      </w:r>
    </w:p>
    <w:p w14:paraId="754744C7" w14:textId="162EB107" w:rsidR="00122873" w:rsidRPr="00A73D4E" w:rsidRDefault="00C639CB" w:rsidP="00B509EC">
      <w:pPr>
        <w:spacing w:line="480" w:lineRule="auto"/>
        <w:jc w:val="both"/>
        <w:rPr>
          <w:rFonts w:ascii="Arial" w:hAnsi="Arial" w:cs="Arial"/>
          <w:lang w:bidi="si-LK"/>
        </w:rPr>
      </w:pPr>
      <w:r>
        <w:rPr>
          <w:rFonts w:ascii="Arial" w:hAnsi="Arial" w:cs="Arial"/>
          <w:noProof/>
          <w:lang w:bidi="si-LK"/>
        </w:rPr>
        <w:drawing>
          <wp:anchor distT="0" distB="0" distL="114300" distR="114300" simplePos="0" relativeHeight="251692032" behindDoc="0" locked="0" layoutInCell="1" allowOverlap="1" wp14:anchorId="55CC45F3" wp14:editId="4D307851">
            <wp:simplePos x="0" y="0"/>
            <wp:positionH relativeFrom="column">
              <wp:posOffset>-635</wp:posOffset>
            </wp:positionH>
            <wp:positionV relativeFrom="paragraph">
              <wp:posOffset>6985</wp:posOffset>
            </wp:positionV>
            <wp:extent cx="2599690" cy="2850515"/>
            <wp:effectExtent l="0" t="0" r="0" b="0"/>
            <wp:wrapSquare wrapText="bothSides"/>
            <wp:docPr id="977837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37698" name="Picture 9778376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9690" cy="2850515"/>
                    </a:xfrm>
                    <a:prstGeom prst="rect">
                      <a:avLst/>
                    </a:prstGeom>
                  </pic:spPr>
                </pic:pic>
              </a:graphicData>
            </a:graphic>
            <wp14:sizeRelH relativeFrom="margin">
              <wp14:pctWidth>0</wp14:pctWidth>
            </wp14:sizeRelH>
            <wp14:sizeRelV relativeFrom="margin">
              <wp14:pctHeight>0</wp14:pctHeight>
            </wp14:sizeRelV>
          </wp:anchor>
        </w:drawing>
      </w:r>
    </w:p>
    <w:p w14:paraId="58FE86A5" w14:textId="2D486EBD" w:rsidR="00122873" w:rsidRDefault="00122873" w:rsidP="00B509EC">
      <w:pPr>
        <w:spacing w:line="480" w:lineRule="auto"/>
        <w:jc w:val="both"/>
        <w:rPr>
          <w:rFonts w:ascii="Arial" w:hAnsi="Arial" w:cs="Arial"/>
          <w:lang w:bidi="si-LK"/>
        </w:rPr>
      </w:pPr>
    </w:p>
    <w:p w14:paraId="3C94F266" w14:textId="1713C59E" w:rsidR="00122873" w:rsidRPr="006F4C60" w:rsidRDefault="00122873" w:rsidP="00B509EC">
      <w:pPr>
        <w:spacing w:line="480" w:lineRule="auto"/>
        <w:jc w:val="both"/>
        <w:rPr>
          <w:rFonts w:ascii="Arial" w:hAnsi="Arial" w:cs="Arial"/>
          <w:lang w:bidi="si-LK"/>
        </w:rPr>
      </w:pPr>
    </w:p>
    <w:p w14:paraId="7D3078D9" w14:textId="16E6887C" w:rsidR="00122873" w:rsidRDefault="00122873" w:rsidP="00B509EC">
      <w:pPr>
        <w:spacing w:line="480" w:lineRule="auto"/>
        <w:jc w:val="both"/>
        <w:rPr>
          <w:rFonts w:ascii="Arial" w:hAnsi="Arial" w:cs="Arial"/>
          <w:b/>
          <w:bCs/>
          <w:sz w:val="22"/>
          <w:szCs w:val="22"/>
        </w:rPr>
      </w:pPr>
    </w:p>
    <w:p w14:paraId="66357E11" w14:textId="720DCAEC" w:rsidR="00122873" w:rsidRDefault="00122873" w:rsidP="00B509EC">
      <w:pPr>
        <w:spacing w:line="480" w:lineRule="auto"/>
        <w:jc w:val="both"/>
        <w:rPr>
          <w:rFonts w:ascii="Arial" w:hAnsi="Arial" w:cs="Arial"/>
          <w:b/>
          <w:bCs/>
          <w:sz w:val="22"/>
          <w:szCs w:val="22"/>
        </w:rPr>
      </w:pPr>
    </w:p>
    <w:p w14:paraId="271FEBCD" w14:textId="77777777" w:rsidR="00122873" w:rsidRDefault="00122873" w:rsidP="00B509EC">
      <w:pPr>
        <w:spacing w:line="480" w:lineRule="auto"/>
        <w:jc w:val="both"/>
        <w:rPr>
          <w:rFonts w:ascii="Arial" w:hAnsi="Arial" w:cs="Arial"/>
          <w:b/>
          <w:bCs/>
          <w:sz w:val="22"/>
          <w:szCs w:val="22"/>
        </w:rPr>
      </w:pPr>
    </w:p>
    <w:p w14:paraId="74362B3B" w14:textId="24F1F04B" w:rsidR="00122873" w:rsidRDefault="00122873" w:rsidP="00B509EC">
      <w:pPr>
        <w:spacing w:line="480" w:lineRule="auto"/>
        <w:jc w:val="both"/>
        <w:rPr>
          <w:rFonts w:ascii="Arial" w:hAnsi="Arial" w:cs="Arial"/>
          <w:b/>
          <w:bCs/>
          <w:sz w:val="22"/>
          <w:szCs w:val="22"/>
        </w:rPr>
      </w:pPr>
    </w:p>
    <w:p w14:paraId="584CB33C" w14:textId="77777777" w:rsidR="00AE0619" w:rsidRDefault="00AE0619" w:rsidP="00E1758D">
      <w:pPr>
        <w:rPr>
          <w:rFonts w:ascii="Arial" w:hAnsi="Arial" w:cs="Arial"/>
          <w:b/>
          <w:bCs/>
        </w:rPr>
      </w:pPr>
    </w:p>
    <w:p w14:paraId="2CA1E902" w14:textId="77777777" w:rsidR="00AE0619" w:rsidRDefault="00AE0619" w:rsidP="00E1758D">
      <w:pPr>
        <w:rPr>
          <w:rFonts w:ascii="Arial" w:hAnsi="Arial" w:cs="Arial"/>
          <w:b/>
          <w:bCs/>
        </w:rPr>
      </w:pPr>
    </w:p>
    <w:p w14:paraId="339268E0" w14:textId="77777777" w:rsidR="00AE0619" w:rsidRDefault="00AE0619" w:rsidP="00E1758D">
      <w:pPr>
        <w:rPr>
          <w:rFonts w:ascii="Arial" w:hAnsi="Arial" w:cs="Arial"/>
          <w:b/>
          <w:bCs/>
        </w:rPr>
      </w:pPr>
    </w:p>
    <w:p w14:paraId="4E512D24" w14:textId="77777777" w:rsidR="00AE0619" w:rsidRDefault="00AE0619" w:rsidP="00E1758D">
      <w:pPr>
        <w:rPr>
          <w:rFonts w:ascii="Arial" w:hAnsi="Arial" w:cs="Arial"/>
          <w:b/>
          <w:bCs/>
        </w:rPr>
      </w:pPr>
    </w:p>
    <w:p w14:paraId="1B0E70A7" w14:textId="77777777" w:rsidR="00AE0619" w:rsidRDefault="00AE0619" w:rsidP="00E1758D">
      <w:pPr>
        <w:rPr>
          <w:rFonts w:ascii="Arial" w:hAnsi="Arial" w:cs="Arial"/>
          <w:b/>
          <w:bCs/>
        </w:rPr>
      </w:pPr>
    </w:p>
    <w:p w14:paraId="7C73F0EE" w14:textId="77777777" w:rsidR="00AE0619" w:rsidRDefault="00AE0619" w:rsidP="00E1758D">
      <w:pPr>
        <w:rPr>
          <w:rFonts w:ascii="Arial" w:hAnsi="Arial" w:cs="Arial"/>
          <w:b/>
          <w:bCs/>
        </w:rPr>
      </w:pPr>
    </w:p>
    <w:p w14:paraId="6814303F" w14:textId="2CF2DF79" w:rsidR="00E1758D" w:rsidRPr="00E7255C" w:rsidRDefault="00E1758D" w:rsidP="00E1758D">
      <w:pPr>
        <w:rPr>
          <w:rFonts w:ascii="Arial" w:hAnsi="Arial" w:cs="Arial"/>
          <w:sz w:val="24"/>
          <w:szCs w:val="24"/>
        </w:rPr>
      </w:pPr>
      <w:r w:rsidRPr="004B719E">
        <w:rPr>
          <w:rFonts w:ascii="Arial" w:hAnsi="Arial" w:cs="Arial"/>
          <w:b/>
          <w:bCs/>
        </w:rPr>
        <w:t>Fi</w:t>
      </w:r>
      <w:r w:rsidR="004B719E" w:rsidRPr="004B719E">
        <w:rPr>
          <w:rFonts w:ascii="Arial" w:hAnsi="Arial" w:cs="Arial"/>
          <w:b/>
          <w:bCs/>
        </w:rPr>
        <w:t>g.</w:t>
      </w:r>
      <w:r w:rsidRPr="004B719E">
        <w:rPr>
          <w:rFonts w:ascii="Arial" w:hAnsi="Arial" w:cs="Arial"/>
          <w:b/>
          <w:bCs/>
        </w:rPr>
        <w:t xml:space="preserve"> </w:t>
      </w:r>
      <w:r w:rsidR="004B719E" w:rsidRPr="004B719E">
        <w:rPr>
          <w:rFonts w:ascii="Arial" w:hAnsi="Arial" w:cs="Arial"/>
          <w:b/>
          <w:bCs/>
        </w:rPr>
        <w:t>9</w:t>
      </w:r>
      <w:r w:rsidRPr="004B719E">
        <w:rPr>
          <w:rFonts w:ascii="Arial" w:hAnsi="Arial" w:cs="Arial"/>
          <w:b/>
          <w:bCs/>
        </w:rPr>
        <w:t>. Linearized Langmuir [a] and Freundlich [b] adsorption isotherm models for motor oil on biochar</w:t>
      </w:r>
    </w:p>
    <w:p w14:paraId="3028DDC4" w14:textId="68CD4304" w:rsidR="00E1758D" w:rsidRDefault="00E1758D" w:rsidP="00B509EC">
      <w:pPr>
        <w:spacing w:line="480" w:lineRule="auto"/>
        <w:jc w:val="both"/>
        <w:rPr>
          <w:rFonts w:ascii="Arial" w:hAnsi="Arial" w:cs="Arial"/>
          <w:b/>
          <w:bCs/>
          <w:sz w:val="22"/>
          <w:szCs w:val="22"/>
        </w:rPr>
      </w:pPr>
      <w:r>
        <w:rPr>
          <w:noProof/>
        </w:rPr>
        <w:drawing>
          <wp:anchor distT="0" distB="0" distL="114300" distR="114300" simplePos="0" relativeHeight="251671552" behindDoc="0" locked="0" layoutInCell="1" allowOverlap="1" wp14:anchorId="5733C8E6" wp14:editId="1988C7A4">
            <wp:simplePos x="0" y="0"/>
            <wp:positionH relativeFrom="column">
              <wp:posOffset>0</wp:posOffset>
            </wp:positionH>
            <wp:positionV relativeFrom="paragraph">
              <wp:posOffset>245288</wp:posOffset>
            </wp:positionV>
            <wp:extent cx="3025775" cy="2215515"/>
            <wp:effectExtent l="0" t="0" r="0" b="0"/>
            <wp:wrapSquare wrapText="bothSides"/>
            <wp:docPr id="243443129" name="Picture 13" descr="A hand holding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3129" name="Picture 13" descr="A hand holding a lea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77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192D8" w14:textId="77777777" w:rsidR="00122873" w:rsidRDefault="00122873" w:rsidP="00B509EC">
      <w:pPr>
        <w:spacing w:line="480" w:lineRule="auto"/>
        <w:jc w:val="both"/>
        <w:rPr>
          <w:rFonts w:ascii="Arial" w:hAnsi="Arial" w:cs="Arial"/>
          <w:b/>
          <w:bCs/>
          <w:sz w:val="22"/>
          <w:szCs w:val="22"/>
        </w:rPr>
      </w:pPr>
    </w:p>
    <w:p w14:paraId="40A24EA0" w14:textId="77777777" w:rsidR="00122873" w:rsidRDefault="00122873" w:rsidP="00B509EC">
      <w:pPr>
        <w:spacing w:line="480" w:lineRule="auto"/>
        <w:jc w:val="both"/>
        <w:rPr>
          <w:rFonts w:ascii="Arial" w:hAnsi="Arial" w:cs="Arial"/>
          <w:b/>
          <w:bCs/>
          <w:sz w:val="22"/>
          <w:szCs w:val="22"/>
        </w:rPr>
      </w:pPr>
    </w:p>
    <w:p w14:paraId="7D14AE34" w14:textId="77777777" w:rsidR="00E1758D" w:rsidRDefault="00E1758D" w:rsidP="00B509EC">
      <w:pPr>
        <w:spacing w:line="480" w:lineRule="auto"/>
        <w:jc w:val="both"/>
        <w:rPr>
          <w:rFonts w:ascii="Arial" w:hAnsi="Arial" w:cs="Arial"/>
          <w:b/>
          <w:bCs/>
          <w:sz w:val="22"/>
          <w:szCs w:val="22"/>
        </w:rPr>
      </w:pPr>
    </w:p>
    <w:p w14:paraId="09ED901C" w14:textId="77777777" w:rsidR="00E1758D" w:rsidRDefault="00E1758D" w:rsidP="00B509EC">
      <w:pPr>
        <w:spacing w:line="480" w:lineRule="auto"/>
        <w:jc w:val="both"/>
        <w:rPr>
          <w:rFonts w:ascii="Arial" w:hAnsi="Arial" w:cs="Arial"/>
          <w:b/>
          <w:bCs/>
          <w:sz w:val="22"/>
          <w:szCs w:val="22"/>
        </w:rPr>
      </w:pPr>
    </w:p>
    <w:p w14:paraId="52693A17" w14:textId="77777777" w:rsidR="00E1758D" w:rsidRDefault="00E1758D" w:rsidP="00B509EC">
      <w:pPr>
        <w:spacing w:line="480" w:lineRule="auto"/>
        <w:jc w:val="both"/>
        <w:rPr>
          <w:rFonts w:ascii="Arial" w:hAnsi="Arial" w:cs="Arial"/>
          <w:b/>
          <w:bCs/>
          <w:sz w:val="22"/>
          <w:szCs w:val="22"/>
        </w:rPr>
      </w:pPr>
    </w:p>
    <w:p w14:paraId="7CFEC699" w14:textId="77777777" w:rsidR="00E1758D" w:rsidRDefault="00E1758D" w:rsidP="00B509EC">
      <w:pPr>
        <w:spacing w:line="480" w:lineRule="auto"/>
        <w:jc w:val="both"/>
        <w:rPr>
          <w:rFonts w:ascii="Arial" w:hAnsi="Arial" w:cs="Arial"/>
          <w:b/>
          <w:bCs/>
          <w:sz w:val="22"/>
          <w:szCs w:val="22"/>
        </w:rPr>
      </w:pPr>
    </w:p>
    <w:p w14:paraId="6FB6BECC" w14:textId="77777777" w:rsidR="00E1758D" w:rsidRDefault="00E1758D" w:rsidP="00B509EC">
      <w:pPr>
        <w:spacing w:line="480" w:lineRule="auto"/>
        <w:jc w:val="both"/>
        <w:rPr>
          <w:rFonts w:ascii="Arial" w:hAnsi="Arial" w:cs="Arial"/>
          <w:b/>
          <w:bCs/>
          <w:sz w:val="22"/>
          <w:szCs w:val="22"/>
        </w:rPr>
      </w:pPr>
    </w:p>
    <w:p w14:paraId="2888454E" w14:textId="1439FC32" w:rsidR="00E1758D" w:rsidRPr="004B719E" w:rsidRDefault="00E1758D" w:rsidP="00E1758D">
      <w:pPr>
        <w:spacing w:line="278" w:lineRule="auto"/>
        <w:rPr>
          <w:rFonts w:ascii="Arial" w:hAnsi="Arial" w:cs="Arial"/>
          <w:b/>
          <w:bCs/>
          <w:sz w:val="16"/>
          <w:szCs w:val="16"/>
        </w:rPr>
      </w:pPr>
      <w:r w:rsidRPr="004B719E">
        <w:rPr>
          <w:rFonts w:ascii="Arial" w:hAnsi="Arial" w:cs="Arial"/>
          <w:b/>
          <w:bCs/>
          <w:color w:val="000000" w:themeColor="text1"/>
        </w:rPr>
        <w:t>Fig</w:t>
      </w:r>
      <w:r w:rsidR="004B719E" w:rsidRPr="004B719E">
        <w:rPr>
          <w:rFonts w:ascii="Arial" w:hAnsi="Arial" w:cs="Arial"/>
          <w:b/>
          <w:bCs/>
          <w:color w:val="000000" w:themeColor="text1"/>
        </w:rPr>
        <w:t>.</w:t>
      </w:r>
      <w:r w:rsidRPr="004B719E">
        <w:rPr>
          <w:rFonts w:ascii="Arial" w:hAnsi="Arial" w:cs="Arial"/>
          <w:b/>
          <w:bCs/>
          <w:color w:val="000000" w:themeColor="text1"/>
        </w:rPr>
        <w:t xml:space="preserve"> </w:t>
      </w:r>
      <w:r w:rsidR="004B719E" w:rsidRPr="004B719E">
        <w:rPr>
          <w:rFonts w:ascii="Arial" w:hAnsi="Arial" w:cs="Arial"/>
          <w:b/>
          <w:bCs/>
          <w:color w:val="000000" w:themeColor="text1"/>
        </w:rPr>
        <w:t>10</w:t>
      </w:r>
      <w:r w:rsidRPr="004B719E">
        <w:rPr>
          <w:rFonts w:ascii="Arial" w:hAnsi="Arial" w:cs="Arial"/>
          <w:b/>
          <w:bCs/>
          <w:color w:val="000000" w:themeColor="text1"/>
        </w:rPr>
        <w:t xml:space="preserve">. Ultralight nature of </w:t>
      </w:r>
      <w:proofErr w:type="spellStart"/>
      <w:r w:rsidRPr="004B719E">
        <w:rPr>
          <w:rFonts w:ascii="Arial" w:hAnsi="Arial" w:cs="Arial"/>
          <w:b/>
          <w:bCs/>
          <w:i/>
          <w:iCs/>
          <w:color w:val="000000" w:themeColor="text1"/>
        </w:rPr>
        <w:t>Cerbera</w:t>
      </w:r>
      <w:proofErr w:type="spellEnd"/>
      <w:r w:rsidRPr="004B719E">
        <w:rPr>
          <w:rFonts w:ascii="Arial" w:hAnsi="Arial" w:cs="Arial"/>
          <w:b/>
          <w:bCs/>
          <w:i/>
          <w:iCs/>
          <w:color w:val="000000" w:themeColor="text1"/>
        </w:rPr>
        <w:t xml:space="preserve"> </w:t>
      </w:r>
      <w:proofErr w:type="spellStart"/>
      <w:r w:rsidRPr="004B719E">
        <w:rPr>
          <w:rFonts w:ascii="Arial" w:hAnsi="Arial" w:cs="Arial"/>
          <w:b/>
          <w:bCs/>
          <w:i/>
          <w:iCs/>
          <w:color w:val="000000" w:themeColor="text1"/>
        </w:rPr>
        <w:t>manghas</w:t>
      </w:r>
      <w:proofErr w:type="spellEnd"/>
      <w:r w:rsidRPr="004B719E">
        <w:rPr>
          <w:rFonts w:ascii="Arial" w:hAnsi="Arial" w:cs="Arial"/>
          <w:b/>
          <w:bCs/>
          <w:color w:val="000000" w:themeColor="text1"/>
        </w:rPr>
        <w:t xml:space="preserve"> biochar</w:t>
      </w:r>
    </w:p>
    <w:p w14:paraId="524DABF4" w14:textId="77777777" w:rsidR="00E1758D" w:rsidRDefault="00E1758D" w:rsidP="00B509EC">
      <w:pPr>
        <w:spacing w:line="480" w:lineRule="auto"/>
        <w:jc w:val="both"/>
        <w:rPr>
          <w:rFonts w:ascii="Arial" w:hAnsi="Arial" w:cs="Arial"/>
          <w:b/>
          <w:bCs/>
          <w:sz w:val="22"/>
          <w:szCs w:val="22"/>
        </w:rPr>
      </w:pPr>
    </w:p>
    <w:p w14:paraId="6FB7B9CD" w14:textId="2407978C" w:rsidR="006F4C60" w:rsidRPr="006F4C60" w:rsidRDefault="006F4C60" w:rsidP="00B509EC">
      <w:pPr>
        <w:spacing w:line="480" w:lineRule="auto"/>
        <w:jc w:val="both"/>
        <w:rPr>
          <w:rFonts w:ascii="Arial" w:hAnsi="Arial" w:cs="Arial"/>
          <w:b/>
          <w:bCs/>
          <w:sz w:val="22"/>
          <w:szCs w:val="22"/>
        </w:rPr>
      </w:pPr>
      <w:r w:rsidRPr="006F4C60">
        <w:rPr>
          <w:rFonts w:ascii="Arial" w:hAnsi="Arial" w:cs="Arial"/>
          <w:b/>
          <w:bCs/>
          <w:sz w:val="22"/>
          <w:szCs w:val="22"/>
        </w:rPr>
        <w:t xml:space="preserve">3.9 Characterization of biochar </w:t>
      </w:r>
    </w:p>
    <w:p w14:paraId="765FE894" w14:textId="2B3088DF" w:rsidR="006F4C60" w:rsidRDefault="006F4C60" w:rsidP="00B509EC">
      <w:pPr>
        <w:spacing w:line="480" w:lineRule="auto"/>
        <w:jc w:val="both"/>
        <w:rPr>
          <w:rFonts w:ascii="Arial" w:hAnsi="Arial" w:cs="Arial"/>
        </w:rPr>
      </w:pPr>
      <w:r w:rsidRPr="006F4C60">
        <w:rPr>
          <w:rFonts w:ascii="Arial" w:hAnsi="Arial" w:cs="Arial"/>
          <w:lang w:bidi="si-LK"/>
        </w:rPr>
        <w:t xml:space="preserve">XRF spectral data are useful to identify the metal constituents in each sample. It is </w:t>
      </w:r>
      <w:r w:rsidR="00576422" w:rsidRPr="006F4C60">
        <w:rPr>
          <w:rFonts w:ascii="Arial" w:hAnsi="Arial" w:cs="Arial"/>
          <w:lang w:bidi="si-LK"/>
        </w:rPr>
        <w:t>clear</w:t>
      </w:r>
      <w:r w:rsidRPr="006F4C60">
        <w:rPr>
          <w:rFonts w:ascii="Arial" w:hAnsi="Arial" w:cs="Arial"/>
          <w:lang w:bidi="si-LK"/>
        </w:rPr>
        <w:t xml:space="preserve"> that biochar</w:t>
      </w:r>
      <w:r w:rsidRPr="006F4C60">
        <w:rPr>
          <w:rFonts w:ascii="Arial" w:hAnsi="Arial" w:cs="Arial"/>
        </w:rPr>
        <w:t xml:space="preserve"> used in this study contains Ca, Fe and K metals (Fig</w:t>
      </w:r>
      <w:r w:rsidR="004E5B93">
        <w:rPr>
          <w:rFonts w:ascii="Arial" w:hAnsi="Arial" w:cs="Arial"/>
        </w:rPr>
        <w:t xml:space="preserve">. 11. </w:t>
      </w:r>
      <w:r w:rsidRPr="006F4C60">
        <w:rPr>
          <w:rFonts w:ascii="Arial" w:hAnsi="Arial" w:cs="Arial"/>
        </w:rPr>
        <w:t>[a]).</w:t>
      </w:r>
      <w:r w:rsidRPr="006F4C60">
        <w:rPr>
          <w:rFonts w:ascii="Arial" w:hAnsi="Arial" w:cs="Arial"/>
          <w:lang w:bidi="si-LK"/>
        </w:rPr>
        <w:t xml:space="preserve"> Higher Ca content and the presence of K and Fe could be attributed to the fact that </w:t>
      </w:r>
      <w:proofErr w:type="spellStart"/>
      <w:r w:rsidRPr="006F4C60">
        <w:rPr>
          <w:rFonts w:ascii="Arial" w:hAnsi="Arial" w:cs="Arial"/>
          <w:i/>
          <w:iCs/>
          <w:lang w:bidi="si-LK"/>
        </w:rPr>
        <w:t>Cerbera</w:t>
      </w:r>
      <w:proofErr w:type="spellEnd"/>
      <w:r w:rsidRPr="006F4C60">
        <w:rPr>
          <w:rFonts w:ascii="Arial" w:hAnsi="Arial" w:cs="Arial"/>
          <w:i/>
          <w:iCs/>
          <w:lang w:bidi="si-LK"/>
        </w:rPr>
        <w:t xml:space="preserve"> </w:t>
      </w:r>
      <w:proofErr w:type="spellStart"/>
      <w:r w:rsidRPr="006F4C60">
        <w:rPr>
          <w:rFonts w:ascii="Arial" w:hAnsi="Arial" w:cs="Arial"/>
          <w:i/>
          <w:iCs/>
          <w:lang w:bidi="si-LK"/>
        </w:rPr>
        <w:t>manghas</w:t>
      </w:r>
      <w:proofErr w:type="spellEnd"/>
      <w:r w:rsidRPr="006F4C60">
        <w:rPr>
          <w:rFonts w:ascii="Arial" w:hAnsi="Arial" w:cs="Arial"/>
          <w:lang w:bidi="si-LK"/>
        </w:rPr>
        <w:t xml:space="preserve"> grows near coastal areas. Adsorption of oil has led to the disappearance of </w:t>
      </w:r>
      <w:r w:rsidRPr="006F4C60">
        <w:rPr>
          <w:rFonts w:ascii="Arial" w:hAnsi="Arial" w:cs="Arial"/>
        </w:rPr>
        <w:t>K or decrease in levels below its detection limit (Fig</w:t>
      </w:r>
      <w:r w:rsidR="004E5B93">
        <w:rPr>
          <w:rFonts w:ascii="Arial" w:hAnsi="Arial" w:cs="Arial"/>
        </w:rPr>
        <w:t xml:space="preserve">. 11. </w:t>
      </w:r>
      <w:r w:rsidRPr="006F4C60">
        <w:rPr>
          <w:rFonts w:ascii="Arial" w:hAnsi="Arial" w:cs="Arial"/>
        </w:rPr>
        <w:t>[b]). Moreover, the Fe content has increased, while the Ca content has decreased during oil adsorption. Most K exists on biochar surfaces in water soluble forms, such as K</w:t>
      </w:r>
      <w:r w:rsidRPr="006F4C60">
        <w:rPr>
          <w:rFonts w:ascii="Arial" w:hAnsi="Arial" w:cs="Arial"/>
          <w:vertAlign w:val="subscript"/>
        </w:rPr>
        <w:t>2</w:t>
      </w:r>
      <w:r w:rsidRPr="006F4C60">
        <w:rPr>
          <w:rFonts w:ascii="Arial" w:hAnsi="Arial" w:cs="Arial"/>
        </w:rPr>
        <w:t>O or KOH, and hence, upon the addition of oil to water, some K</w:t>
      </w:r>
      <w:r w:rsidRPr="006F4C60">
        <w:rPr>
          <w:rFonts w:ascii="Arial" w:hAnsi="Arial" w:cs="Arial"/>
          <w:vertAlign w:val="superscript"/>
        </w:rPr>
        <w:t xml:space="preserve">+ </w:t>
      </w:r>
      <w:r w:rsidRPr="006F4C60">
        <w:rPr>
          <w:rFonts w:ascii="Arial" w:hAnsi="Arial" w:cs="Arial"/>
        </w:rPr>
        <w:t>ions would have transferred from the biochar pha</w:t>
      </w:r>
      <w:r w:rsidR="00A06EE2">
        <w:rPr>
          <w:rFonts w:ascii="Arial" w:hAnsi="Arial" w:cs="Arial"/>
        </w:rPr>
        <w:t>se</w:t>
      </w:r>
      <w:r w:rsidRPr="006F4C60">
        <w:rPr>
          <w:rFonts w:ascii="Arial" w:hAnsi="Arial" w:cs="Arial"/>
        </w:rPr>
        <w:t xml:space="preserve"> to water phase. The disappearance of K signals may also result from surface masking caused by the adsorbed oil layer. The reason </w:t>
      </w:r>
      <w:r w:rsidRPr="006F4C60">
        <w:rPr>
          <w:rFonts w:ascii="Arial" w:hAnsi="Arial" w:cs="Arial"/>
        </w:rPr>
        <w:lastRenderedPageBreak/>
        <w:t>for the increase in the Fe amount would probably be due to the presence of Fe in the oil sample, which would result in the concomitant decrease in the relative extent of Ca.</w:t>
      </w:r>
      <w:r w:rsidR="00576422">
        <w:rPr>
          <w:rFonts w:ascii="Arial" w:hAnsi="Arial" w:cs="Arial"/>
        </w:rPr>
        <w:fldChar w:fldCharType="begin" w:fldLock="1"/>
      </w:r>
      <w:r w:rsidR="00576422">
        <w:rPr>
          <w:rFonts w:ascii="Arial" w:hAnsi="Arial" w:cs="Arial"/>
        </w:rPr>
        <w:instrText>ADDIN CSL_CITATION {"citationItems":[{"id":"ITEM-1","itemData":{"DOI":"10.1016/j.wasman.2025.114773","ISSN":"18792456","PMID":"40184862","abstract":"Two biochars were prepared from pyrolysis of sugarcane bagasse (SC) at 550 and 750 °C for 3 h and named as BC550 and BC750, respectively. One hydrochar was prepared from Hydrothermal Carbonization (HTC) of SC solution at 200 °C for 2 h (HC200). Chars (BC550, BC750 and HC200) were mixed with thiourea (10 % in weight) and heated at 350 °C for 1 h leading to BC550-TU, BC750-TU, and HC200-TU, respectively. Pristine and thiourea-activated biochars were characterized by FTIR, N2 isotherms, XRD, XRF and ultimate analysis. Thiourea activation increased the H/C of biochar, indicating that the presence of N and S and their reaction with carbon structures of biochar hinders the formation of aromatic carbon. Thiourea activation increased the surface area of biochar prepared at 550 °C, while decreasing the surface area of biochar prepared at 750 °C or hydrochar. Finally, both pristine and activated biochars were used as catalysts in the oxidation of sulfide minerals for metal recovery. The addition of thiourea-activated biochars significantly enhanced the extraction of Cu and Zn from mining waste, from 47.4 % of Cu and 88.1 % of Zn to values of 99.4–100 %, while reducing As extraction. However, in leaching processes involving minerals with higher Cu and Zn content, the extraction percentages did not reach such high values (&lt;50 % for Cu and &lt; 90 % for Zn). It can be concluded that the use of thiourea-activated biochars enable the development of low cost and sustainable processes for the recovery of metals from wastes.","author":[{"dropping-particle":"","family":"Gascó","given":"G.","non-dropping-particle":"","parse-names":false,"suffix":""},{"dropping-particle":"","family":"Barragán-Mantilla","given":"S. P.","non-dropping-particle":"","parse-names":false,"suffix":""},{"dropping-particle":"","family":"Paz-Ferreiro","given":"J.","non-dropping-particle":"","parse-names":false,"suffix":""},{"dropping-particle":"","family":"Méndez","given":"A.","non-dropping-particle":"","parse-names":false,"suffix":""}],"container-title":"Waste Management","id":"ITEM-1","issue":"April","issued":{"date-parts":[["2025"]]},"title":"The effect of thiourea activation on physicochemical and catalytic properties of biochars and hydrochars from sugarcane bagasse: Application to metal recovery from wastes","type":"article-journal","volume":"200"},"uris":["http://www.mendeley.com/documents/?uuid=87d304b3-8ecc-4843-bcf7-f2a94604d3f5"]}],"mendeley":{"formattedCitation":"[35]","plainTextFormattedCitation":"[35]","previouslyFormattedCitation":"(35)"},"properties":{"noteIndex":0},"schema":"https://github.com/citation-style-language/schema/raw/master/csl-citation.json"}</w:instrText>
      </w:r>
      <w:r w:rsidR="00576422">
        <w:rPr>
          <w:rFonts w:ascii="Arial" w:hAnsi="Arial" w:cs="Arial"/>
        </w:rPr>
        <w:fldChar w:fldCharType="separate"/>
      </w:r>
      <w:r w:rsidR="00576422" w:rsidRPr="00576422">
        <w:rPr>
          <w:rFonts w:ascii="Arial" w:hAnsi="Arial" w:cs="Arial"/>
          <w:noProof/>
        </w:rPr>
        <w:t>[35]</w:t>
      </w:r>
      <w:r w:rsidR="00576422">
        <w:rPr>
          <w:rFonts w:ascii="Arial" w:hAnsi="Arial" w:cs="Arial"/>
        </w:rPr>
        <w:fldChar w:fldCharType="end"/>
      </w:r>
    </w:p>
    <w:p w14:paraId="7C9A8DD5" w14:textId="005E803D" w:rsidR="00122873" w:rsidRPr="006F4C60" w:rsidRDefault="00122873" w:rsidP="00B509EC">
      <w:pPr>
        <w:spacing w:line="480" w:lineRule="auto"/>
        <w:jc w:val="both"/>
        <w:rPr>
          <w:rFonts w:ascii="Arial" w:hAnsi="Arial" w:cs="Arial"/>
          <w:lang w:bidi="si-LK"/>
        </w:rPr>
      </w:pPr>
      <w:r>
        <w:rPr>
          <w:noProof/>
        </w:rPr>
        <w:drawing>
          <wp:anchor distT="0" distB="0" distL="114300" distR="114300" simplePos="0" relativeHeight="251668480" behindDoc="0" locked="0" layoutInCell="1" allowOverlap="1" wp14:anchorId="32058CB1" wp14:editId="5B955712">
            <wp:simplePos x="0" y="0"/>
            <wp:positionH relativeFrom="column">
              <wp:posOffset>0</wp:posOffset>
            </wp:positionH>
            <wp:positionV relativeFrom="paragraph">
              <wp:posOffset>0</wp:posOffset>
            </wp:positionV>
            <wp:extent cx="3462020" cy="3227705"/>
            <wp:effectExtent l="0" t="0" r="0" b="0"/>
            <wp:wrapSquare wrapText="bothSides"/>
            <wp:docPr id="730706657" name="Picture 9" descr="A graph of a graph of a graph of a graph of a graph of a graph of a graph of a graph of a graph of a graph of a graph of a graph of a graph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6657" name="Picture 9" descr="A graph of a graph of a graph of a graph of a graph of a graph of a graph of a graph of a graph of a graph of a graph of a graph of a graph o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202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E70DA" w14:textId="77777777" w:rsidR="00C639CB" w:rsidRDefault="00C639CB" w:rsidP="00B509EC">
      <w:pPr>
        <w:spacing w:line="480" w:lineRule="auto"/>
        <w:jc w:val="both"/>
        <w:rPr>
          <w:rFonts w:ascii="Arial" w:hAnsi="Arial" w:cs="Arial"/>
          <w:b/>
          <w:bCs/>
        </w:rPr>
      </w:pPr>
    </w:p>
    <w:p w14:paraId="01F9F959" w14:textId="77777777" w:rsidR="00C639CB" w:rsidRDefault="00C639CB" w:rsidP="00B509EC">
      <w:pPr>
        <w:spacing w:line="480" w:lineRule="auto"/>
        <w:jc w:val="both"/>
        <w:rPr>
          <w:rFonts w:ascii="Arial" w:hAnsi="Arial" w:cs="Arial"/>
          <w:b/>
          <w:bCs/>
        </w:rPr>
      </w:pPr>
    </w:p>
    <w:p w14:paraId="7E7D89BD" w14:textId="77777777" w:rsidR="00C639CB" w:rsidRDefault="00C639CB" w:rsidP="00B509EC">
      <w:pPr>
        <w:spacing w:line="480" w:lineRule="auto"/>
        <w:jc w:val="both"/>
        <w:rPr>
          <w:rFonts w:ascii="Arial" w:hAnsi="Arial" w:cs="Arial"/>
          <w:b/>
          <w:bCs/>
        </w:rPr>
      </w:pPr>
    </w:p>
    <w:p w14:paraId="1BB6B4ED" w14:textId="77777777" w:rsidR="00C639CB" w:rsidRDefault="00C639CB" w:rsidP="00B509EC">
      <w:pPr>
        <w:spacing w:line="480" w:lineRule="auto"/>
        <w:jc w:val="both"/>
        <w:rPr>
          <w:rFonts w:ascii="Arial" w:hAnsi="Arial" w:cs="Arial"/>
          <w:b/>
          <w:bCs/>
        </w:rPr>
      </w:pPr>
    </w:p>
    <w:p w14:paraId="35A64E96" w14:textId="77777777" w:rsidR="00C639CB" w:rsidRDefault="00C639CB" w:rsidP="00B509EC">
      <w:pPr>
        <w:spacing w:line="480" w:lineRule="auto"/>
        <w:jc w:val="both"/>
        <w:rPr>
          <w:rFonts w:ascii="Arial" w:hAnsi="Arial" w:cs="Arial"/>
          <w:b/>
          <w:bCs/>
        </w:rPr>
      </w:pPr>
    </w:p>
    <w:p w14:paraId="44139E4A" w14:textId="77777777" w:rsidR="00C639CB" w:rsidRDefault="00C639CB" w:rsidP="00B509EC">
      <w:pPr>
        <w:spacing w:line="480" w:lineRule="auto"/>
        <w:jc w:val="both"/>
        <w:rPr>
          <w:rFonts w:ascii="Arial" w:hAnsi="Arial" w:cs="Arial"/>
          <w:b/>
          <w:bCs/>
        </w:rPr>
      </w:pPr>
    </w:p>
    <w:p w14:paraId="0162CE2F" w14:textId="77777777" w:rsidR="00C639CB" w:rsidRDefault="00C639CB" w:rsidP="00B509EC">
      <w:pPr>
        <w:spacing w:line="480" w:lineRule="auto"/>
        <w:jc w:val="both"/>
        <w:rPr>
          <w:rFonts w:ascii="Arial" w:hAnsi="Arial" w:cs="Arial"/>
          <w:b/>
          <w:bCs/>
        </w:rPr>
      </w:pPr>
    </w:p>
    <w:p w14:paraId="20F21116" w14:textId="77777777" w:rsidR="00C639CB" w:rsidRDefault="00C639CB" w:rsidP="00B509EC">
      <w:pPr>
        <w:spacing w:line="480" w:lineRule="auto"/>
        <w:jc w:val="both"/>
        <w:rPr>
          <w:rFonts w:ascii="Arial" w:hAnsi="Arial" w:cs="Arial"/>
          <w:b/>
          <w:bCs/>
        </w:rPr>
      </w:pPr>
    </w:p>
    <w:p w14:paraId="4F022F03" w14:textId="77777777" w:rsidR="00C639CB" w:rsidRDefault="00C639CB" w:rsidP="00B509EC">
      <w:pPr>
        <w:spacing w:line="480" w:lineRule="auto"/>
        <w:jc w:val="both"/>
        <w:rPr>
          <w:rFonts w:ascii="Arial" w:hAnsi="Arial" w:cs="Arial"/>
          <w:b/>
          <w:bCs/>
        </w:rPr>
      </w:pPr>
    </w:p>
    <w:p w14:paraId="3F574692" w14:textId="77777777" w:rsidR="00C639CB" w:rsidRDefault="00C639CB" w:rsidP="00B509EC">
      <w:pPr>
        <w:spacing w:line="480" w:lineRule="auto"/>
        <w:jc w:val="both"/>
        <w:rPr>
          <w:rFonts w:ascii="Arial" w:hAnsi="Arial" w:cs="Arial"/>
          <w:b/>
          <w:bCs/>
        </w:rPr>
      </w:pPr>
    </w:p>
    <w:p w14:paraId="051E0287" w14:textId="77777777" w:rsidR="00C639CB" w:rsidRDefault="00C639CB" w:rsidP="00B509EC">
      <w:pPr>
        <w:spacing w:line="480" w:lineRule="auto"/>
        <w:jc w:val="both"/>
        <w:rPr>
          <w:rFonts w:ascii="Arial" w:hAnsi="Arial" w:cs="Arial"/>
          <w:b/>
          <w:bCs/>
        </w:rPr>
      </w:pPr>
    </w:p>
    <w:p w14:paraId="3779F83F" w14:textId="587684B7" w:rsidR="00122873" w:rsidRPr="004B719E" w:rsidRDefault="00E1758D" w:rsidP="00B509EC">
      <w:pPr>
        <w:spacing w:line="480" w:lineRule="auto"/>
        <w:jc w:val="both"/>
        <w:rPr>
          <w:rFonts w:ascii="Arial" w:hAnsi="Arial" w:cs="Arial"/>
          <w:b/>
          <w:bCs/>
          <w:sz w:val="16"/>
          <w:szCs w:val="16"/>
        </w:rPr>
      </w:pPr>
      <w:r w:rsidRPr="004B719E">
        <w:rPr>
          <w:rFonts w:ascii="Arial" w:hAnsi="Arial" w:cs="Arial"/>
          <w:b/>
          <w:bCs/>
        </w:rPr>
        <w:t>Fig</w:t>
      </w:r>
      <w:r w:rsidR="004B719E" w:rsidRPr="004B719E">
        <w:rPr>
          <w:rFonts w:ascii="Arial" w:hAnsi="Arial" w:cs="Arial"/>
          <w:b/>
          <w:bCs/>
        </w:rPr>
        <w:t>.</w:t>
      </w:r>
      <w:r w:rsidRPr="004B719E">
        <w:rPr>
          <w:rFonts w:ascii="Arial" w:hAnsi="Arial" w:cs="Arial"/>
          <w:b/>
          <w:bCs/>
        </w:rPr>
        <w:t xml:space="preserve"> </w:t>
      </w:r>
      <w:r w:rsidR="004B719E" w:rsidRPr="004B719E">
        <w:rPr>
          <w:rFonts w:ascii="Arial" w:hAnsi="Arial" w:cs="Arial"/>
          <w:b/>
          <w:bCs/>
        </w:rPr>
        <w:t>11</w:t>
      </w:r>
      <w:r w:rsidRPr="004B719E">
        <w:rPr>
          <w:rFonts w:ascii="Arial" w:hAnsi="Arial" w:cs="Arial"/>
          <w:b/>
          <w:bCs/>
        </w:rPr>
        <w:t>. XRF spectra of biochar without oil [a] and biochar with engine oil [b]</w:t>
      </w:r>
    </w:p>
    <w:p w14:paraId="285963FB" w14:textId="77777777" w:rsidR="00122873" w:rsidRDefault="00122873" w:rsidP="00B509EC">
      <w:pPr>
        <w:spacing w:line="480" w:lineRule="auto"/>
        <w:jc w:val="both"/>
        <w:rPr>
          <w:rFonts w:ascii="Arial" w:hAnsi="Arial" w:cs="Arial"/>
        </w:rPr>
      </w:pPr>
    </w:p>
    <w:p w14:paraId="03CFD523" w14:textId="3C29AD5F" w:rsidR="00E1758D" w:rsidRPr="005C6EB3" w:rsidRDefault="006F4C60" w:rsidP="005C6EB3">
      <w:pPr>
        <w:spacing w:line="480" w:lineRule="auto"/>
        <w:jc w:val="both"/>
        <w:rPr>
          <w:rFonts w:ascii="Arial" w:hAnsi="Arial" w:cs="Arial"/>
          <w:lang w:bidi="si-LK"/>
        </w:rPr>
      </w:pPr>
      <w:r w:rsidRPr="006F4C60">
        <w:rPr>
          <w:rFonts w:ascii="Arial" w:hAnsi="Arial" w:cs="Arial"/>
        </w:rPr>
        <w:t xml:space="preserve">SEM was used to analyze the surface morphologies of the prepared biochar of </w:t>
      </w:r>
      <w:proofErr w:type="spellStart"/>
      <w:r w:rsidRPr="006F4C60">
        <w:rPr>
          <w:rFonts w:ascii="Arial" w:hAnsi="Arial" w:cs="Arial"/>
          <w:i/>
          <w:iCs/>
        </w:rPr>
        <w:t>Cerbera</w:t>
      </w:r>
      <w:proofErr w:type="spellEnd"/>
      <w:r w:rsidRPr="006F4C60">
        <w:rPr>
          <w:rFonts w:ascii="Arial" w:hAnsi="Arial" w:cs="Arial"/>
          <w:i/>
          <w:iCs/>
        </w:rPr>
        <w:t xml:space="preserve"> </w:t>
      </w:r>
      <w:proofErr w:type="spellStart"/>
      <w:r w:rsidRPr="006F4C60">
        <w:rPr>
          <w:rFonts w:ascii="Arial" w:hAnsi="Arial" w:cs="Arial"/>
          <w:i/>
          <w:iCs/>
        </w:rPr>
        <w:t>manghas</w:t>
      </w:r>
      <w:proofErr w:type="spellEnd"/>
      <w:r w:rsidRPr="006F4C60">
        <w:rPr>
          <w:rFonts w:ascii="Arial" w:hAnsi="Arial" w:cs="Arial"/>
        </w:rPr>
        <w:t xml:space="preserve"> before oil adsorption (Fig</w:t>
      </w:r>
      <w:r w:rsidR="004E5B93">
        <w:rPr>
          <w:rFonts w:ascii="Arial" w:hAnsi="Arial" w:cs="Arial"/>
        </w:rPr>
        <w:t xml:space="preserve">. 12. </w:t>
      </w:r>
      <w:r w:rsidRPr="006F4C60">
        <w:rPr>
          <w:rFonts w:ascii="Arial" w:hAnsi="Arial" w:cs="Arial"/>
        </w:rPr>
        <w:t>[a</w:t>
      </w:r>
      <w:r w:rsidR="00D14D89" w:rsidRPr="006F4C60">
        <w:rPr>
          <w:rFonts w:ascii="Arial" w:hAnsi="Arial" w:cs="Arial"/>
        </w:rPr>
        <w:t>]</w:t>
      </w:r>
      <w:r w:rsidR="00D14D89">
        <w:rPr>
          <w:rFonts w:ascii="Arial" w:hAnsi="Arial" w:cs="Arial"/>
        </w:rPr>
        <w:t>,</w:t>
      </w:r>
      <w:r w:rsidR="00D14D89" w:rsidRPr="006F4C60">
        <w:rPr>
          <w:rFonts w:ascii="Arial" w:hAnsi="Arial" w:cs="Arial"/>
        </w:rPr>
        <w:t xml:space="preserve"> [</w:t>
      </w:r>
      <w:r w:rsidRPr="006F4C60">
        <w:rPr>
          <w:rFonts w:ascii="Arial" w:hAnsi="Arial" w:cs="Arial"/>
        </w:rPr>
        <w:t>b]</w:t>
      </w:r>
      <w:r w:rsidR="00D14D89">
        <w:rPr>
          <w:rFonts w:ascii="Arial" w:hAnsi="Arial" w:cs="Arial"/>
        </w:rPr>
        <w:t xml:space="preserve"> and </w:t>
      </w:r>
      <w:r w:rsidRPr="006F4C60">
        <w:rPr>
          <w:rFonts w:ascii="Arial" w:hAnsi="Arial" w:cs="Arial"/>
        </w:rPr>
        <w:t>[c]) and biochar with crude oil (Fig</w:t>
      </w:r>
      <w:r w:rsidR="004E5B93">
        <w:rPr>
          <w:rFonts w:ascii="Arial" w:hAnsi="Arial" w:cs="Arial"/>
        </w:rPr>
        <w:t xml:space="preserve">. 12. </w:t>
      </w:r>
      <w:r w:rsidRPr="006F4C60">
        <w:rPr>
          <w:rFonts w:ascii="Arial" w:hAnsi="Arial" w:cs="Arial"/>
        </w:rPr>
        <w:t>[d]</w:t>
      </w:r>
      <w:r w:rsidR="00D14D89">
        <w:rPr>
          <w:rFonts w:ascii="Arial" w:hAnsi="Arial" w:cs="Arial"/>
        </w:rPr>
        <w:t xml:space="preserve">, </w:t>
      </w:r>
      <w:r w:rsidRPr="006F4C60">
        <w:rPr>
          <w:rFonts w:ascii="Arial" w:hAnsi="Arial" w:cs="Arial"/>
        </w:rPr>
        <w:t>[e]</w:t>
      </w:r>
      <w:r w:rsidR="00D14D89">
        <w:rPr>
          <w:rFonts w:ascii="Arial" w:hAnsi="Arial" w:cs="Arial"/>
        </w:rPr>
        <w:t xml:space="preserve"> and </w:t>
      </w:r>
      <w:r w:rsidRPr="006F4C60">
        <w:rPr>
          <w:rFonts w:ascii="Arial" w:hAnsi="Arial" w:cs="Arial"/>
        </w:rPr>
        <w:t>[f]). SEM scans of biochar before oil adsorption revealed an irregular structure and a porous surface</w:t>
      </w:r>
      <w:r w:rsidRPr="006F4C60">
        <w:rPr>
          <w:rFonts w:ascii="Arial" w:hAnsi="Arial" w:cs="Arial"/>
        </w:rPr>
        <w:fldChar w:fldCharType="begin" w:fldLock="1"/>
      </w:r>
      <w:r w:rsidR="00576422">
        <w:rPr>
          <w:rFonts w:ascii="Arial" w:hAnsi="Arial" w:cs="Arial"/>
        </w:rPr>
        <w:instrText>ADDIN CSL_CITATION {"citationItems":[{"id":"ITEM-1","itemData":{"DOI":"10.1007/s44246-024-00100-9","ISBN":"4424602400","ISSN":"27316696","abstract":"Here, banana peel biochar (BPBC) generated from discarded saba banana peels powder (SBPP) was utilized as an adsorbent in this study to remove diesel oil from water. The BPBC was synthesized using a slow pyrolysis method and characterized using SEM, EDX, FTIR, DSC, TGA, BET, contact angle analyzer, and XRD. The results showed that BPBC exhibited high porosity, thermal stability, and hydrophobic character, making it a promising adsorbent for oil-water separation and environmental remediation. The adsorption capacity of BPBC for diesel oil removal was examined in terms of adsorbent dose, pH level, salinity, and contact time. Increasing the BPBC dosage, contact time, and salinity significantly enhanced the sorption capacity, however, pH variations had no significant effect on adsorption. Adsorption parameters were correlated using a reduced cubic model, and an adsorbent dose of 2.50 g, pH of 7.00, salinity of 44,999.95 mg/L, and contact duration of 240 minutes were found to be optimal, producing a sorption capacity of 5.3352 g diesel oil/g adsorbent. The adsorption process was characterized by the first-order kinetic model. The creation of multilayer adsorption on the BPBC surface was confirmed by the BET isotherm. Adsorption characterization revealed changes in the surface morphology, elemental analysis, and functional groups of BPBC after adsorption. SEM revealed occupied surface pores, and EDX analysis verified an increase in carbon content. The presence of adsorbed diesel oil molecules on the BPBC surface was detected by FTIR analysis, which exhibited changes in peak appearance and functional group shifts. Overall, this study presents an adsorbent derived from waste material for diesel oil adsorption, which is useful for remediating oil spills and for wastewater treatment. Graphical Abstract: (Figure presented.)","author":[{"dropping-particle":"","family":"Urgel","given":"Jefrick Jun Daniel T.","non-dropping-particle":"","parse-names":false,"suffix":""},{"dropping-particle":"","family":"Briones","given":"Justin Marwin A.","non-dropping-particle":"","parse-names":false,"suffix":""},{"dropping-particle":"","family":"Diaz","given":"Emmanuel B.","non-dropping-particle":"","parse-names":false,"suffix":""},{"dropping-particle":"","family":"Dimaculangan","given":"Kirstin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R.","non-dropping-particle":"","parse-names":false,"suffix":""}],"container-title":"Carbon Research","id":"ITEM-1","issue":"1","issued":{"date-parts":[["2024"]]},"publisher":"Springer Nature Singapore","title":"Removal of diesel oil from water using biochar derived from waste banana peels as adsorbent","type":"article-journal","volume":"3"},"uris":["http://www.mendeley.com/documents/?uuid=dcb30654-2d0d-451c-9fd6-1525c2e29e88"]}],"mendeley":{"formattedCitation":"[36]","plainTextFormattedCitation":"[36]","previouslyFormattedCitation":"(36)"},"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[36]</w:t>
      </w:r>
      <w:r w:rsidRPr="006F4C60">
        <w:rPr>
          <w:rFonts w:ascii="Arial" w:hAnsi="Arial" w:cs="Arial"/>
        </w:rPr>
        <w:fldChar w:fldCharType="end"/>
      </w:r>
      <w:r w:rsidRPr="006F4C60">
        <w:rPr>
          <w:rFonts w:ascii="Arial" w:hAnsi="Arial" w:cs="Arial"/>
        </w:rPr>
        <w:t>. This could be due to the amorphous nature of the organic raw materials used during pyrolysis. Pyrolysis carbonizes the carbonaceous raw materials used, which creates many adsorbent surfaces capable of adsorbing molecules. The pyrolysis temperature of 350</w:t>
      </w:r>
      <w:r w:rsidRPr="006F4C60">
        <w:rPr>
          <w:rFonts w:ascii="Arial" w:hAnsi="Arial" w:cs="Arial"/>
        </w:rPr>
        <w:sym w:font="Symbol" w:char="F02D"/>
      </w:r>
      <w:r w:rsidRPr="006F4C60">
        <w:rPr>
          <w:rFonts w:ascii="Arial" w:hAnsi="Arial" w:cs="Arial"/>
        </w:rPr>
        <w:t xml:space="preserve">400 </w:t>
      </w:r>
      <w:r w:rsidRPr="006F4C60">
        <w:rPr>
          <w:rFonts w:ascii="Cambria Math" w:hAnsi="Cambria Math" w:cs="Cambria Math"/>
        </w:rPr>
        <w:t>℃</w:t>
      </w:r>
      <w:r w:rsidRPr="006F4C60">
        <w:rPr>
          <w:rFonts w:ascii="Arial" w:hAnsi="Arial" w:cs="Arial"/>
        </w:rPr>
        <w:t xml:space="preserve"> used for a period of 20 min would be sufficient for the above-mentioned process</w:t>
      </w:r>
      <w:r w:rsidRPr="006F4C60">
        <w:rPr>
          <w:rFonts w:ascii="Arial" w:hAnsi="Arial" w:cs="Arial"/>
        </w:rPr>
        <w:fldChar w:fldCharType="begin" w:fldLock="1"/>
      </w:r>
      <w:r w:rsidR="00576422">
        <w:rPr>
          <w:rFonts w:ascii="Arial" w:hAnsi="Arial" w:cs="Arial"/>
        </w:rPr>
        <w:instrText>ADDIN CSL_CITATION {"citationItems":[{"id":"ITEM-1","itemData":{"DOI":"10.1007/s44246-024-00100-9","ISBN":"4424602400","ISSN":"27316696","abstract":"Here, banana peel biochar (BPBC) generated from discarded saba banana peels powder (SBPP) was utilized as an adsorbent in this study to remove diesel oil from water. The BPBC was synthesized using a slow pyrolysis method and characterized using SEM, EDX, FTIR, DSC, TGA, BET, contact angle analyzer, and XRD. The results showed that BPBC exhibited high porosity, thermal stability, and hydrophobic character, making it a promising adsorbent for oil-water separation and environmental remediation. The adsorption capacity of BPBC for diesel oil removal was examined in terms of adsorbent dose, pH level, salinity, and contact time. Increasing the BPBC dosage, contact time, and salinity significantly enhanced the sorption capacity, however, pH variations had no significant effect on adsorption. Adsorption parameters were correlated using a reduced cubic model, and an adsorbent dose of 2.50 g, pH of 7.00, salinity of 44,999.95 mg/L, and contact duration of 240 minutes were found to be optimal, producing a sorption capacity of 5.3352 g diesel oil/g adsorbent. The adsorption process was characterized by the first-order kinetic model. The creation of multilayer adsorption on the BPBC surface was confirmed by the BET isotherm. Adsorption characterization revealed changes in the surface morphology, elemental analysis, and functional groups of BPBC after adsorption. SEM revealed occupied surface pores, and EDX analysis verified an increase in carbon content. The presence of adsorbed diesel oil molecules on the BPBC surface was detected by FTIR analysis, which exhibited changes in peak appearance and functional group shifts. Overall, this study presents an adsorbent derived from waste material for diesel oil adsorption, which is useful for remediating oil spills and for wastewater treatment. Graphical Abstract: (Figure presented.)","author":[{"dropping-particle":"","family":"Urgel","given":"Jefrick Jun Daniel T.","non-dropping-particle":"","parse-names":false,"suffix":""},{"dropping-particle":"","family":"Briones","given":"Justin Marwin A.","non-dropping-particle":"","parse-names":false,"suffix":""},{"dropping-particle":"","family":"Diaz","given":"Emmanuel B.","non-dropping-particle":"","parse-names":false,"suffix":""},{"dropping-particle":"","family":"Dimaculangan","given":"Kirstin Margaux N.","non-dropping-particle":"","parse-names":false,"suffix":""},{"dropping-particle":"","family":"Rangel","given":"Kayla L.","non-dropping-particle":"","parse-names":false,"suffix":""},{"dropping-particle":"","family":"Lopez","given":"Edgar Clyde R.","non-dropping-particle":"","parse-names":false,"suffix":""}],"container-title":"Carbon Research","id":"ITEM-1","issue":"1","issued":{"date-parts":[["2024"]]},"publisher":"Springer Nature Singapore","title":"Removal of diesel oil from water using biochar derived from waste banana peels as adsorbent","type":"article-journal","volume":"3"},"uris":["http://www.mendeley.com/documents/?uuid=dcb30654-2d0d-451c-9fd6-1525c2e29e88"]}],"mendeley":{"formattedCitation":"[36]","plainTextFormattedCitation":"[36]","previouslyFormattedCitation":"(36)"},"properties":{"noteIndex":0},"schema":"https://github.com/citation-style-language/schema/raw/master/csl-citation.json"}</w:instrText>
      </w:r>
      <w:r w:rsidRPr="006F4C60">
        <w:rPr>
          <w:rFonts w:ascii="Arial" w:hAnsi="Arial" w:cs="Arial"/>
        </w:rPr>
        <w:fldChar w:fldCharType="separate"/>
      </w:r>
      <w:r w:rsidR="00576422" w:rsidRPr="00576422">
        <w:rPr>
          <w:rFonts w:ascii="Arial" w:hAnsi="Arial" w:cs="Arial"/>
          <w:noProof/>
        </w:rPr>
        <w:t>[36]</w:t>
      </w:r>
      <w:r w:rsidRPr="006F4C60">
        <w:rPr>
          <w:rFonts w:ascii="Arial" w:hAnsi="Arial" w:cs="Arial"/>
        </w:rPr>
        <w:fldChar w:fldCharType="end"/>
      </w:r>
      <w:r w:rsidRPr="006F4C60">
        <w:rPr>
          <w:rFonts w:ascii="Arial" w:hAnsi="Arial" w:cs="Arial"/>
        </w:rPr>
        <w:t xml:space="preserve">. </w:t>
      </w:r>
      <w:r w:rsidRPr="006F4C60">
        <w:rPr>
          <w:rFonts w:ascii="Arial" w:hAnsi="Arial" w:cs="Arial"/>
          <w:lang w:bidi="si-LK"/>
        </w:rPr>
        <w:t xml:space="preserve">After oil is adsorbed to biochar, pores get filled with oil and it gets compact as shown </w:t>
      </w:r>
      <w:r w:rsidR="005C6EB3" w:rsidRPr="006F4C60">
        <w:rPr>
          <w:rFonts w:ascii="Arial" w:hAnsi="Arial" w:cs="Arial"/>
          <w:lang w:bidi="si-LK"/>
        </w:rPr>
        <w:t>on</w:t>
      </w:r>
      <w:r w:rsidRPr="006F4C60">
        <w:rPr>
          <w:rFonts w:ascii="Arial" w:hAnsi="Arial" w:cs="Arial"/>
          <w:lang w:bidi="si-LK"/>
        </w:rPr>
        <w:t xml:space="preserve"> Fig</w:t>
      </w:r>
      <w:r w:rsidR="005C6EB3">
        <w:rPr>
          <w:rFonts w:ascii="Arial" w:hAnsi="Arial" w:cs="Arial"/>
          <w:lang w:bidi="si-LK"/>
        </w:rPr>
        <w:t xml:space="preserve">. 12. </w:t>
      </w:r>
      <w:r w:rsidRPr="006F4C60">
        <w:rPr>
          <w:rFonts w:ascii="Arial" w:hAnsi="Arial" w:cs="Arial"/>
          <w:lang w:bidi="si-LK"/>
        </w:rPr>
        <w:t>[d]</w:t>
      </w:r>
      <w:r w:rsidR="00D14D89">
        <w:rPr>
          <w:rFonts w:ascii="Arial" w:hAnsi="Arial" w:cs="Arial"/>
          <w:lang w:bidi="si-LK"/>
        </w:rPr>
        <w:t xml:space="preserve">, </w:t>
      </w:r>
      <w:r w:rsidRPr="006F4C60">
        <w:rPr>
          <w:rFonts w:ascii="Arial" w:hAnsi="Arial" w:cs="Arial"/>
          <w:lang w:bidi="si-LK"/>
        </w:rPr>
        <w:t>[e]</w:t>
      </w:r>
      <w:r w:rsidR="00D14D89">
        <w:rPr>
          <w:rFonts w:ascii="Arial" w:hAnsi="Arial" w:cs="Arial"/>
          <w:lang w:bidi="si-LK"/>
        </w:rPr>
        <w:t xml:space="preserve"> and </w:t>
      </w:r>
      <w:r w:rsidRPr="006F4C60">
        <w:rPr>
          <w:rFonts w:ascii="Arial" w:hAnsi="Arial" w:cs="Arial"/>
          <w:lang w:bidi="si-LK"/>
        </w:rPr>
        <w:t>[f].</w:t>
      </w:r>
    </w:p>
    <w:p w14:paraId="01D61C21" w14:textId="241A830E" w:rsidR="00C639CB" w:rsidRDefault="00C639CB" w:rsidP="00E1758D">
      <w:pPr>
        <w:rPr>
          <w:rFonts w:ascii="Arial" w:hAnsi="Arial" w:cs="Arial"/>
          <w:b/>
          <w:bCs/>
        </w:rPr>
      </w:pPr>
    </w:p>
    <w:p w14:paraId="6811E104" w14:textId="77EDA61F" w:rsidR="00C639CB" w:rsidRDefault="00C639CB" w:rsidP="00E1758D">
      <w:pPr>
        <w:rPr>
          <w:rFonts w:ascii="Arial" w:hAnsi="Arial" w:cs="Arial"/>
          <w:b/>
          <w:bCs/>
        </w:rPr>
      </w:pPr>
    </w:p>
    <w:p w14:paraId="50930459" w14:textId="77777777" w:rsidR="00C639CB" w:rsidRDefault="00C639CB" w:rsidP="00E1758D">
      <w:pPr>
        <w:rPr>
          <w:rFonts w:ascii="Arial" w:hAnsi="Arial" w:cs="Arial"/>
          <w:b/>
          <w:bCs/>
        </w:rPr>
      </w:pPr>
    </w:p>
    <w:p w14:paraId="0EBB0D0C" w14:textId="2C37A820" w:rsidR="00C639CB" w:rsidRDefault="00C639CB" w:rsidP="00E1758D">
      <w:pPr>
        <w:rPr>
          <w:rFonts w:ascii="Arial" w:hAnsi="Arial" w:cs="Arial"/>
          <w:b/>
          <w:bCs/>
        </w:rPr>
      </w:pPr>
    </w:p>
    <w:p w14:paraId="05D148B9" w14:textId="79BD5A26" w:rsidR="00C639CB" w:rsidRDefault="00C639CB" w:rsidP="00E1758D">
      <w:pPr>
        <w:rPr>
          <w:rFonts w:ascii="Arial" w:hAnsi="Arial" w:cs="Arial"/>
          <w:b/>
          <w:bCs/>
        </w:rPr>
      </w:pPr>
    </w:p>
    <w:p w14:paraId="5CBF4DE2" w14:textId="129E5F3D" w:rsidR="00C639CB" w:rsidRDefault="00C639CB" w:rsidP="00E1758D">
      <w:pPr>
        <w:rPr>
          <w:rFonts w:ascii="Arial" w:hAnsi="Arial" w:cs="Arial"/>
          <w:b/>
          <w:bCs/>
        </w:rPr>
      </w:pPr>
    </w:p>
    <w:p w14:paraId="6B042EB3" w14:textId="617E7354" w:rsidR="00C639CB" w:rsidRDefault="00C639CB" w:rsidP="00E1758D">
      <w:pPr>
        <w:rPr>
          <w:rFonts w:ascii="Arial" w:hAnsi="Arial" w:cs="Arial"/>
          <w:b/>
          <w:bCs/>
        </w:rPr>
      </w:pPr>
    </w:p>
    <w:p w14:paraId="561143F6" w14:textId="40D65816" w:rsidR="00C639CB" w:rsidRDefault="00C639CB" w:rsidP="00E1758D">
      <w:pPr>
        <w:rPr>
          <w:rFonts w:ascii="Arial" w:hAnsi="Arial" w:cs="Arial"/>
          <w:b/>
          <w:bCs/>
        </w:rPr>
      </w:pPr>
      <w:r>
        <w:rPr>
          <w:noProof/>
        </w:rPr>
        <w:drawing>
          <wp:anchor distT="0" distB="0" distL="114300" distR="114300" simplePos="0" relativeHeight="251679744" behindDoc="1" locked="0" layoutInCell="1" allowOverlap="1" wp14:anchorId="35AAE5C5" wp14:editId="1023EC64">
            <wp:simplePos x="0" y="0"/>
            <wp:positionH relativeFrom="column">
              <wp:posOffset>-635</wp:posOffset>
            </wp:positionH>
            <wp:positionV relativeFrom="paragraph">
              <wp:posOffset>0</wp:posOffset>
            </wp:positionV>
            <wp:extent cx="4256405" cy="2130425"/>
            <wp:effectExtent l="0" t="0" r="0" b="0"/>
            <wp:wrapTight wrapText="bothSides">
              <wp:wrapPolygon edited="0">
                <wp:start x="0" y="0"/>
                <wp:lineTo x="0" y="21439"/>
                <wp:lineTo x="21461" y="21439"/>
                <wp:lineTo x="21461" y="0"/>
                <wp:lineTo x="0" y="0"/>
              </wp:wrapPolygon>
            </wp:wrapTight>
            <wp:docPr id="821128338" name="Picture 10" descr="A collage of images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28338" name="Picture 10" descr="A collage of images of a structur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640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E0A6E" w14:textId="77777777" w:rsidR="00C639CB" w:rsidRDefault="00C639CB" w:rsidP="00E1758D">
      <w:pPr>
        <w:rPr>
          <w:rFonts w:ascii="Arial" w:hAnsi="Arial" w:cs="Arial"/>
          <w:b/>
          <w:bCs/>
        </w:rPr>
      </w:pPr>
    </w:p>
    <w:p w14:paraId="5D0AE4A8" w14:textId="77777777" w:rsidR="00C639CB" w:rsidRDefault="00C639CB" w:rsidP="00E1758D">
      <w:pPr>
        <w:rPr>
          <w:rFonts w:ascii="Arial" w:hAnsi="Arial" w:cs="Arial"/>
          <w:b/>
          <w:bCs/>
        </w:rPr>
      </w:pPr>
    </w:p>
    <w:p w14:paraId="526731C0" w14:textId="77777777" w:rsidR="00C639CB" w:rsidRDefault="00C639CB" w:rsidP="00E1758D">
      <w:pPr>
        <w:rPr>
          <w:rFonts w:ascii="Arial" w:hAnsi="Arial" w:cs="Arial"/>
          <w:b/>
          <w:bCs/>
        </w:rPr>
      </w:pPr>
    </w:p>
    <w:p w14:paraId="70563DFE" w14:textId="77777777" w:rsidR="00C639CB" w:rsidRDefault="00C639CB" w:rsidP="00E1758D">
      <w:pPr>
        <w:rPr>
          <w:rFonts w:ascii="Arial" w:hAnsi="Arial" w:cs="Arial"/>
          <w:b/>
          <w:bCs/>
        </w:rPr>
      </w:pPr>
    </w:p>
    <w:p w14:paraId="7FBDD581" w14:textId="77777777" w:rsidR="00C639CB" w:rsidRDefault="00C639CB" w:rsidP="00E1758D">
      <w:pPr>
        <w:rPr>
          <w:rFonts w:ascii="Arial" w:hAnsi="Arial" w:cs="Arial"/>
          <w:b/>
          <w:bCs/>
        </w:rPr>
      </w:pPr>
    </w:p>
    <w:p w14:paraId="5D2EEEF2" w14:textId="77777777" w:rsidR="00C639CB" w:rsidRDefault="00C639CB" w:rsidP="00E1758D">
      <w:pPr>
        <w:rPr>
          <w:rFonts w:ascii="Arial" w:hAnsi="Arial" w:cs="Arial"/>
          <w:b/>
          <w:bCs/>
        </w:rPr>
      </w:pPr>
    </w:p>
    <w:p w14:paraId="70735D12" w14:textId="77777777" w:rsidR="00C639CB" w:rsidRDefault="00C639CB" w:rsidP="00E1758D">
      <w:pPr>
        <w:rPr>
          <w:rFonts w:ascii="Arial" w:hAnsi="Arial" w:cs="Arial"/>
          <w:b/>
          <w:bCs/>
        </w:rPr>
      </w:pPr>
    </w:p>
    <w:p w14:paraId="613A1B72" w14:textId="77777777" w:rsidR="00C639CB" w:rsidRDefault="00C639CB" w:rsidP="00E1758D">
      <w:pPr>
        <w:rPr>
          <w:rFonts w:ascii="Arial" w:hAnsi="Arial" w:cs="Arial"/>
          <w:b/>
          <w:bCs/>
        </w:rPr>
      </w:pPr>
    </w:p>
    <w:p w14:paraId="0F6FB503" w14:textId="77777777" w:rsidR="00C639CB" w:rsidRDefault="00C639CB" w:rsidP="00E1758D">
      <w:pPr>
        <w:rPr>
          <w:rFonts w:ascii="Arial" w:hAnsi="Arial" w:cs="Arial"/>
          <w:b/>
          <w:bCs/>
        </w:rPr>
      </w:pPr>
    </w:p>
    <w:p w14:paraId="60929208" w14:textId="77777777" w:rsidR="00C639CB" w:rsidRDefault="00C639CB" w:rsidP="00E1758D">
      <w:pPr>
        <w:rPr>
          <w:rFonts w:ascii="Arial" w:hAnsi="Arial" w:cs="Arial"/>
          <w:b/>
          <w:bCs/>
        </w:rPr>
      </w:pPr>
    </w:p>
    <w:p w14:paraId="5BC77E54" w14:textId="77777777" w:rsidR="00C639CB" w:rsidRDefault="00C639CB" w:rsidP="00E1758D">
      <w:pPr>
        <w:rPr>
          <w:rFonts w:ascii="Arial" w:hAnsi="Arial" w:cs="Arial"/>
          <w:b/>
          <w:bCs/>
        </w:rPr>
      </w:pPr>
    </w:p>
    <w:p w14:paraId="07D589C7" w14:textId="77777777" w:rsidR="00C639CB" w:rsidRDefault="00C639CB" w:rsidP="00E1758D">
      <w:pPr>
        <w:rPr>
          <w:rFonts w:ascii="Arial" w:hAnsi="Arial" w:cs="Arial"/>
          <w:b/>
          <w:bCs/>
        </w:rPr>
      </w:pPr>
    </w:p>
    <w:p w14:paraId="0F65EDD2" w14:textId="77777777" w:rsidR="00C639CB" w:rsidRDefault="00C639CB" w:rsidP="00E1758D">
      <w:pPr>
        <w:rPr>
          <w:rFonts w:ascii="Arial" w:hAnsi="Arial" w:cs="Arial"/>
          <w:b/>
          <w:bCs/>
        </w:rPr>
      </w:pPr>
    </w:p>
    <w:p w14:paraId="68E40E19" w14:textId="77777777" w:rsidR="00C639CB" w:rsidRDefault="00C639CB" w:rsidP="00E1758D">
      <w:pPr>
        <w:rPr>
          <w:rFonts w:ascii="Arial" w:hAnsi="Arial" w:cs="Arial"/>
          <w:b/>
          <w:bCs/>
        </w:rPr>
      </w:pPr>
    </w:p>
    <w:p w14:paraId="573062C6" w14:textId="28FF6575" w:rsidR="00E1758D" w:rsidRPr="004B719E" w:rsidRDefault="00E1758D" w:rsidP="00E1758D">
      <w:pPr>
        <w:rPr>
          <w:rFonts w:ascii="Arial" w:hAnsi="Arial" w:cs="Arial"/>
          <w:b/>
          <w:bCs/>
        </w:rPr>
      </w:pPr>
      <w:r w:rsidRPr="004B719E">
        <w:rPr>
          <w:rFonts w:ascii="Arial" w:hAnsi="Arial" w:cs="Arial"/>
          <w:b/>
          <w:bCs/>
        </w:rPr>
        <w:t>Fig</w:t>
      </w:r>
      <w:r w:rsidR="004B719E" w:rsidRPr="004B719E">
        <w:rPr>
          <w:rFonts w:ascii="Arial" w:hAnsi="Arial" w:cs="Arial"/>
          <w:b/>
          <w:bCs/>
        </w:rPr>
        <w:t>.</w:t>
      </w:r>
      <w:r w:rsidRPr="004B719E">
        <w:rPr>
          <w:rFonts w:ascii="Arial" w:hAnsi="Arial" w:cs="Arial"/>
          <w:b/>
          <w:bCs/>
        </w:rPr>
        <w:t xml:space="preserve"> </w:t>
      </w:r>
      <w:r w:rsidR="004B719E" w:rsidRPr="004B719E">
        <w:rPr>
          <w:rFonts w:ascii="Arial" w:hAnsi="Arial" w:cs="Arial"/>
          <w:b/>
          <w:bCs/>
        </w:rPr>
        <w:t>12</w:t>
      </w:r>
      <w:r w:rsidRPr="004B719E">
        <w:rPr>
          <w:rFonts w:ascii="Arial" w:hAnsi="Arial" w:cs="Arial"/>
          <w:b/>
          <w:bCs/>
        </w:rPr>
        <w:t>. SEM images of biochar before adsorption [a][b][c] and biochar with crude oil [d][e][f]</w:t>
      </w:r>
    </w:p>
    <w:p w14:paraId="3589EA02" w14:textId="77777777" w:rsidR="00122873" w:rsidRDefault="00122873" w:rsidP="00CE27A2">
      <w:pPr>
        <w:spacing w:line="480" w:lineRule="auto"/>
        <w:jc w:val="both"/>
        <w:rPr>
          <w:rFonts w:ascii="Arial" w:hAnsi="Arial" w:cs="Arial"/>
          <w:lang w:bidi="si-LK"/>
        </w:rPr>
      </w:pPr>
    </w:p>
    <w:p w14:paraId="3948EE00" w14:textId="393B0307" w:rsidR="00B509EC" w:rsidRDefault="006F4C60" w:rsidP="00CE27A2">
      <w:pPr>
        <w:spacing w:line="480" w:lineRule="auto"/>
        <w:jc w:val="both"/>
        <w:rPr>
          <w:rFonts w:ascii="Arial" w:hAnsi="Arial" w:cs="Arial"/>
          <w:lang w:bidi="si-LK"/>
        </w:rPr>
      </w:pPr>
      <w:r w:rsidRPr="006F4C60">
        <w:rPr>
          <w:rFonts w:ascii="Arial" w:hAnsi="Arial" w:cs="Arial"/>
          <w:lang w:bidi="si-LK"/>
        </w:rPr>
        <w:t>The FTIR spectrum of the raw sorbent material consists of a band at 3336 cm</w:t>
      </w:r>
      <w:r w:rsidRPr="006F4C60">
        <w:rPr>
          <w:rFonts w:ascii="Arial" w:hAnsi="Arial" w:cs="Arial"/>
          <w:vertAlign w:val="superscript"/>
          <w:lang w:bidi="si-LK"/>
        </w:rPr>
        <w:t>-1</w:t>
      </w:r>
      <w:r w:rsidRPr="006F4C60">
        <w:rPr>
          <w:rFonts w:ascii="Arial" w:hAnsi="Arial" w:cs="Arial"/>
          <w:lang w:bidi="si-LK"/>
        </w:rPr>
        <w:t xml:space="preserve"> which is attributed to the O–H stretching vibration of hydroxyl groups (Fig</w:t>
      </w:r>
      <w:r w:rsidR="005C6EB3">
        <w:rPr>
          <w:rFonts w:ascii="Arial" w:hAnsi="Arial" w:cs="Arial"/>
          <w:lang w:bidi="si-LK"/>
        </w:rPr>
        <w:t xml:space="preserve">.13. </w:t>
      </w:r>
      <w:r w:rsidRPr="006F4C60">
        <w:rPr>
          <w:rFonts w:ascii="Arial" w:hAnsi="Arial" w:cs="Arial"/>
          <w:lang w:bidi="si-LK"/>
        </w:rPr>
        <w:t>[a] – black spectrum). The bands at 1590 cm</w:t>
      </w:r>
      <w:r w:rsidRPr="006F4C60">
        <w:rPr>
          <w:rFonts w:ascii="Arial" w:hAnsi="Arial" w:cs="Arial"/>
          <w:vertAlign w:val="superscript"/>
          <w:lang w:bidi="si-LK"/>
        </w:rPr>
        <w:t>-1</w:t>
      </w:r>
      <w:r w:rsidRPr="006F4C60">
        <w:rPr>
          <w:rFonts w:ascii="Arial" w:hAnsi="Arial" w:cs="Arial"/>
          <w:lang w:bidi="si-LK"/>
        </w:rPr>
        <w:t xml:space="preserve"> and 1642 cm</w:t>
      </w:r>
      <w:r w:rsidRPr="006F4C60">
        <w:rPr>
          <w:rFonts w:ascii="Arial" w:hAnsi="Arial" w:cs="Arial"/>
          <w:vertAlign w:val="superscript"/>
          <w:lang w:bidi="si-LK"/>
        </w:rPr>
        <w:t>-1</w:t>
      </w:r>
      <w:r w:rsidRPr="006F4C60">
        <w:rPr>
          <w:rFonts w:ascii="Arial" w:hAnsi="Arial" w:cs="Arial"/>
          <w:lang w:bidi="si-LK"/>
        </w:rPr>
        <w:t xml:space="preserve"> indicate strong stretching vibration of non-conjugated dienes (-C=C-) or aromatic hydrocarbons having benzene like rings, while the band at 1027 cm</w:t>
      </w:r>
      <w:r w:rsidRPr="006F4C60">
        <w:rPr>
          <w:rFonts w:ascii="Arial" w:hAnsi="Arial" w:cs="Arial"/>
          <w:vertAlign w:val="superscript"/>
          <w:lang w:bidi="si-LK"/>
        </w:rPr>
        <w:t>-1</w:t>
      </w:r>
      <w:r w:rsidRPr="006F4C60">
        <w:rPr>
          <w:rFonts w:ascii="Arial" w:hAnsi="Arial" w:cs="Arial"/>
          <w:lang w:bidi="si-LK"/>
        </w:rPr>
        <w:t xml:space="preserve"> is assigned to carbonyl components such as esters, ethers, alcohols and acids</w:t>
      </w:r>
      <w:r w:rsidRPr="006F4C60">
        <w:rPr>
          <w:rFonts w:ascii="Arial" w:hAnsi="Arial" w:cs="Arial"/>
          <w:lang w:bidi="si-LK"/>
        </w:rPr>
        <w:fldChar w:fldCharType="begin" w:fldLock="1"/>
      </w:r>
      <w:r w:rsidR="00576422">
        <w:rPr>
          <w:rFonts w:ascii="Arial" w:hAnsi="Arial" w:cs="Arial"/>
          <w:lang w:bidi="si-LK"/>
        </w:rPr>
        <w:instrText>ADDIN CSL_CITATION {"citationItems":[{"id":"ITEM-1","itemData":{"DOI":"10.1016/j.matpr.2017.09.205","ISBN":"0000000000","ISSN":"22147853","abstract":"This paper explains about the production of biochar from areca catechu tree dust and its various properties. The biochar was produced through pyrolysis using a fixed bed rector with the particle size of the biomass feedstock in the range of 0.5-1.0 mm. The temperature used for pyrolysis was about 450 °C along with a heating rate of 10°C/min. The heating value of the biochar was 22.93 MJ/kg, while for raw biomass it was only 13.2 MJ/kg. The biochar was alkaline in nature with high pH value. The FTIR (Fourier Transform Infrared) analysis identified the functional groups of some aromatic hydrocarbons along with few carbonyl and alkene groups. The morphology of the biochar indicated a microporous surface with the average pore size diameter of about 1.87 μm. The overall structure of the biochar was amorphous in nature with partial crystalline cellulose.","author":[{"dropping-particle":"","family":"Bardalai","given":"M.","non-dropping-particle":"","parse-names":false,"suffix":""},{"dropping-particle":"","family":"Mahanta","given":"D. K.","non-dropping-particle":"","parse-names":false,"suffix":""}],"container-title":"Materials Today: Proceedings","id":"ITEM-1","issue":"1","issued":{"date-parts":[["2018"]]},"page":"2089-2097","publisher":"Elsevier Ltd","title":"Characterisation of Biochar Produced by Pyrolysis from Areca Catechu Dust","type":"article-journal","volume":"5"},"uris":["http://www.mendeley.com/documents/?uuid=24734378-10b5-4109-bce5-0515e90c98e4","http://www.mendeley.com/documents/?uuid=66f633fb-8e11-4e86-a2f2-5b44d57faf85"]}],"mendeley":{"formattedCitation":"[37]","plainTextFormattedCitation":"[37]","previouslyFormattedCitation":"(37)"},"properties":{"noteIndex":0},"schema":"https://github.com/citation-style-language/schema/raw/master/csl-citation.json"}</w:instrText>
      </w:r>
      <w:r w:rsidRPr="006F4C60">
        <w:rPr>
          <w:rFonts w:ascii="Arial" w:hAnsi="Arial" w:cs="Arial"/>
          <w:lang w:bidi="si-LK"/>
        </w:rPr>
        <w:fldChar w:fldCharType="separate"/>
      </w:r>
      <w:r w:rsidR="00576422" w:rsidRPr="00576422">
        <w:rPr>
          <w:rFonts w:ascii="Arial" w:hAnsi="Arial" w:cs="Arial"/>
          <w:noProof/>
          <w:lang w:bidi="si-LK"/>
        </w:rPr>
        <w:t>[37]</w:t>
      </w:r>
      <w:r w:rsidRPr="006F4C60">
        <w:rPr>
          <w:rFonts w:ascii="Arial" w:hAnsi="Arial" w:cs="Arial"/>
          <w:lang w:bidi="si-LK"/>
        </w:rPr>
        <w:fldChar w:fldCharType="end"/>
      </w:r>
      <w:r w:rsidRPr="006F4C60">
        <w:rPr>
          <w:rFonts w:ascii="Arial" w:hAnsi="Arial" w:cs="Arial"/>
          <w:lang w:bidi="si-LK"/>
        </w:rPr>
        <w:t>.</w:t>
      </w:r>
      <w:r w:rsidRPr="006F4C60">
        <w:rPr>
          <w:rFonts w:ascii="Arial" w:hAnsi="Arial" w:cs="Arial"/>
        </w:rPr>
        <w:t xml:space="preserve"> </w:t>
      </w:r>
      <w:r w:rsidRPr="006F4C60">
        <w:rPr>
          <w:rFonts w:ascii="Arial" w:hAnsi="Arial" w:cs="Arial"/>
          <w:lang w:bidi="si-LK"/>
        </w:rPr>
        <w:t>The FTIR spectrum of biochar before oil adsorption (Fig</w:t>
      </w:r>
      <w:r w:rsidR="005C6EB3">
        <w:rPr>
          <w:rFonts w:ascii="Arial" w:hAnsi="Arial" w:cs="Arial"/>
          <w:lang w:bidi="si-LK"/>
        </w:rPr>
        <w:t xml:space="preserve">. 13. </w:t>
      </w:r>
      <w:r w:rsidRPr="006F4C60">
        <w:rPr>
          <w:rFonts w:ascii="Arial" w:hAnsi="Arial" w:cs="Arial"/>
          <w:lang w:bidi="si-LK"/>
        </w:rPr>
        <w:t>[a] – red spectrum) highlights major differences, where the peaks of O-H and carbonyl components have disappeared and sharp bands at 2850 cm</w:t>
      </w:r>
      <w:r w:rsidRPr="006F4C60">
        <w:rPr>
          <w:rFonts w:ascii="Arial" w:hAnsi="Arial" w:cs="Arial"/>
          <w:vertAlign w:val="superscript"/>
          <w:lang w:bidi="si-LK"/>
        </w:rPr>
        <w:t>-1</w:t>
      </w:r>
      <w:r w:rsidRPr="006F4C60">
        <w:rPr>
          <w:rFonts w:ascii="Arial" w:hAnsi="Arial" w:cs="Arial"/>
          <w:lang w:bidi="si-LK"/>
        </w:rPr>
        <w:t xml:space="preserve"> and 2923 cm</w:t>
      </w:r>
      <w:r w:rsidRPr="006F4C60">
        <w:rPr>
          <w:rFonts w:ascii="Arial" w:hAnsi="Arial" w:cs="Arial"/>
          <w:vertAlign w:val="superscript"/>
          <w:lang w:bidi="si-LK"/>
        </w:rPr>
        <w:t>-1</w:t>
      </w:r>
      <w:r w:rsidRPr="006F4C60">
        <w:rPr>
          <w:rFonts w:ascii="Arial" w:hAnsi="Arial" w:cs="Arial"/>
          <w:lang w:bidi="si-LK"/>
        </w:rPr>
        <w:t xml:space="preserve"> have appeared, and they can be attributed to C-H stretching vibration on aliphatic compounds </w:t>
      </w:r>
      <w:proofErr w:type="spellStart"/>
      <w:r w:rsidRPr="006F4C60">
        <w:rPr>
          <w:rFonts w:ascii="Arial" w:hAnsi="Arial" w:cs="Arial"/>
          <w:lang w:bidi="si-LK"/>
        </w:rPr>
        <w:t>CH</w:t>
      </w:r>
      <w:r w:rsidRPr="006F4C60">
        <w:rPr>
          <w:rFonts w:ascii="Arial" w:hAnsi="Arial" w:cs="Arial"/>
          <w:vertAlign w:val="subscript"/>
          <w:lang w:bidi="si-LK"/>
        </w:rPr>
        <w:t>n</w:t>
      </w:r>
      <w:proofErr w:type="spellEnd"/>
      <w:r w:rsidRPr="006F4C60">
        <w:rPr>
          <w:rFonts w:ascii="Arial" w:hAnsi="Arial" w:cs="Arial"/>
          <w:vertAlign w:val="subscript"/>
          <w:lang w:bidi="si-LK"/>
        </w:rPr>
        <w:fldChar w:fldCharType="begin" w:fldLock="1"/>
      </w:r>
      <w:r w:rsidR="00576422">
        <w:rPr>
          <w:rFonts w:ascii="Arial" w:hAnsi="Arial" w:cs="Arial"/>
          <w:vertAlign w:val="subscript"/>
          <w:lang w:bidi="si-LK"/>
        </w:rPr>
        <w:instrText>ADDIN CSL_CITATION {"citationItems":[{"id":"ITEM-1","itemData":{"DOI":"10.1016/j.matpr.2017.09.205","ISBN":"0000000000","ISSN":"22147853","abstract":"This paper explains about the production of biochar from areca catechu tree dust and its various properties. The biochar was produced through pyrolysis using a fixed bed rector with the particle size of the biomass feedstock in the range of 0.5-1.0 mm. The temperature used for pyrolysis was about 450 °C along with a heating rate of 10°C/min. The heating value of the biochar was 22.93 MJ/kg, while for raw biomass it was only 13.2 MJ/kg. The biochar was alkaline in nature with high pH value. The FTIR (Fourier Transform Infrared) analysis identified the functional groups of some aromatic hydrocarbons along with few carbonyl and alkene groups. The morphology of the biochar indicated a microporous surface with the average pore size diameter of about 1.87 μm. The overall structure of the biochar was amorphous in nature with partial crystalline cellulose.","author":[{"dropping-particle":"","family":"Bardalai","given":"M.","non-dropping-particle":"","parse-names":false,"suffix":""},{"dropping-particle":"","family":"Mahanta","given":"D. K.","non-dropping-particle":"","parse-names":false,"suffix":""}],"container-title":"Materials Today: Proceedings","id":"ITEM-1","issue":"1","issued":{"date-parts":[["2018"]]},"page":"2089-2097","publisher":"Elsevier Ltd","title":"Characterisation of Biochar Produced by Pyrolysis from Areca Catechu Dust","type":"article-journal","volume":"5"},"uris":["http://www.mendeley.com/documents/?uuid=66f633fb-8e11-4e86-a2f2-5b44d57faf85","http://www.mendeley.com/documents/?uuid=24734378-10b5-4109-bce5-0515e90c98e4"]}],"mendeley":{"formattedCitation":"[37]","plainTextFormattedCitation":"[37]","previouslyFormattedCitation":"(37)"},"properties":{"noteIndex":0},"schema":"https://github.com/citation-style-language/schema/raw/master/csl-citation.json"}</w:instrText>
      </w:r>
      <w:r w:rsidRPr="006F4C60">
        <w:rPr>
          <w:rFonts w:ascii="Arial" w:hAnsi="Arial" w:cs="Arial"/>
          <w:vertAlign w:val="subscript"/>
          <w:lang w:bidi="si-LK"/>
        </w:rPr>
        <w:fldChar w:fldCharType="separate"/>
      </w:r>
      <w:r w:rsidR="00576422" w:rsidRPr="00576422">
        <w:rPr>
          <w:rFonts w:ascii="Arial" w:hAnsi="Arial" w:cs="Arial"/>
          <w:noProof/>
          <w:lang w:bidi="si-LK"/>
        </w:rPr>
        <w:t>[37]</w:t>
      </w:r>
      <w:r w:rsidRPr="006F4C60">
        <w:rPr>
          <w:rFonts w:ascii="Arial" w:hAnsi="Arial" w:cs="Arial"/>
          <w:vertAlign w:val="subscript"/>
          <w:lang w:bidi="si-LK"/>
        </w:rPr>
        <w:fldChar w:fldCharType="end"/>
      </w:r>
      <w:r w:rsidRPr="006F4C60">
        <w:rPr>
          <w:rFonts w:ascii="Arial" w:hAnsi="Arial" w:cs="Arial"/>
          <w:lang w:bidi="si-LK"/>
        </w:rPr>
        <w:t>,</w:t>
      </w:r>
      <w:r w:rsidRPr="006F4C60">
        <w:rPr>
          <w:rFonts w:ascii="Arial" w:hAnsi="Arial" w:cs="Arial"/>
          <w:vertAlign w:val="subscript"/>
          <w:lang w:bidi="si-LK"/>
        </w:rPr>
        <w:fldChar w:fldCharType="begin" w:fldLock="1"/>
      </w:r>
      <w:r w:rsidR="00576422">
        <w:rPr>
          <w:rFonts w:ascii="Arial" w:hAnsi="Arial" w:cs="Arial"/>
          <w:vertAlign w:val="subscript"/>
          <w:lang w:bidi="si-LK"/>
        </w:rPr>
        <w:instrText>ADDIN CSL_CITATION {"citationItems":[{"id":"ITEM-1","itemData":{"DOI":"10.1186/s40643-023-00645-4","ISSN":"21974365","abstract":"Hydrothermal carbonization (HTC) reacts with biomass in water at a high temperature and pressure to produce hydrochar with a higher heating value (HHV) and lower ash content than dry torrefaction. The high potassium content in biomass can promote thermochemical conversion; however, it lowers the melting temperature of the ash, causing slugging and fouling. Therefore, this study, investigated the effect of potassium on the HTC of sorghum bagasse by comparing the removal of potassium by washing with the addition of K2CO3. Consequently, the ash content was the highest in the potassium-added hydrochar and was 3.81% at a reaction time of 2 h. Elemental analysis showed that the lower the potassium content, the higher the carbon content, and the hydrochar with potassium removed by water washing at a reaction time of 3 h had the highest carbon content at 68.3%. Fourier transform infrared spectrometer showed dehydration and decarboxylation reactions due to HTC, but no significant differences were observed between the potassium concentrations. The mass yield decreased with increasing potassium content, and was 27.2% for the potassium-added hydrochar after 3 h. This trend was more pronounced with increasing reaction temperature. On the other hand, HHV was not affected by the potassium content. Therefore, the energy yield was similar to the weight yield. Thermal gravimetry and derivative thermal gravimetry (TG-DTG) analysis showed that higher potassium tended to accelerate the decomposition of lignin and decrease the oxidation temperature. Graphical Abstract: [Figure not available: see fulltext.]","author":[{"dropping-particle":"","family":"Yoshimoto","given":"Shuhei","non-dropping-particle":"","parse-names":false,"suffix":""},{"dropping-particle":"","family":"Luthfi","given":"Numan","non-dropping-particle":"","parse-names":false,"suffix":""},{"dropping-particle":"","family":"Nakano","given":"Kanta","non-dropping-particle":"","parse-names":false,"suffix":""},{"dropping-particle":"","family":"Fukushima","given":"Takashi","non-dropping-particle":"","parse-names":false,"suffix":""},{"dropping-particle":"","family":"Takisawa","given":"Kenji","non-dropping-particle":"","parse-names":false,"suffix":""}],"container-title":"Bioresources and Bioprocessing","id":"ITEM-1","issue":"1","issued":{"date-parts":[["2023"]]},"page":"4-11","publisher":"Springer Nature Singapore","title":"Effects of potassium on hydrothermal carbonization of sorghum bagasse","type":"article-journal","volume":"10"},"uris":["http://www.mendeley.com/documents/?uuid=11e5e61a-464e-4b4d-8728-d31c58a24f7f"]}],"mendeley":{"formattedCitation":"[38]","plainTextFormattedCitation":"[38]","previouslyFormattedCitation":"(38)"},"properties":{"noteIndex":0},"schema":"https://github.com/citation-style-language/schema/raw/master/csl-citation.json"}</w:instrText>
      </w:r>
      <w:r w:rsidRPr="006F4C60">
        <w:rPr>
          <w:rFonts w:ascii="Arial" w:hAnsi="Arial" w:cs="Arial"/>
          <w:vertAlign w:val="subscript"/>
          <w:lang w:bidi="si-LK"/>
        </w:rPr>
        <w:fldChar w:fldCharType="separate"/>
      </w:r>
      <w:r w:rsidR="00576422" w:rsidRPr="00576422">
        <w:rPr>
          <w:rFonts w:ascii="Arial" w:hAnsi="Arial" w:cs="Arial"/>
          <w:noProof/>
          <w:lang w:bidi="si-LK"/>
        </w:rPr>
        <w:t>[38]</w:t>
      </w:r>
      <w:r w:rsidRPr="006F4C60">
        <w:rPr>
          <w:rFonts w:ascii="Arial" w:hAnsi="Arial" w:cs="Arial"/>
          <w:vertAlign w:val="subscript"/>
          <w:lang w:bidi="si-LK"/>
        </w:rPr>
        <w:fldChar w:fldCharType="end"/>
      </w:r>
      <w:r w:rsidRPr="006F4C60">
        <w:rPr>
          <w:rFonts w:ascii="Arial" w:hAnsi="Arial" w:cs="Arial"/>
          <w:vertAlign w:val="subscript"/>
          <w:lang w:bidi="si-LK"/>
        </w:rPr>
        <w:t>.</w:t>
      </w:r>
      <w:r w:rsidRPr="006F4C60">
        <w:rPr>
          <w:rFonts w:ascii="Arial" w:hAnsi="Arial" w:cs="Arial"/>
          <w:lang w:bidi="si-LK"/>
        </w:rPr>
        <w:t xml:space="preserve"> Furthermore, bands in the range of 1375 cm</w:t>
      </w:r>
      <w:r w:rsidRPr="006F4C60">
        <w:rPr>
          <w:rFonts w:ascii="Arial" w:hAnsi="Arial" w:cs="Arial"/>
          <w:vertAlign w:val="superscript"/>
          <w:lang w:bidi="si-LK"/>
        </w:rPr>
        <w:t>-1</w:t>
      </w:r>
      <w:r w:rsidRPr="006F4C60">
        <w:rPr>
          <w:rFonts w:ascii="Arial" w:hAnsi="Arial" w:cs="Arial"/>
          <w:lang w:bidi="si-LK"/>
        </w:rPr>
        <w:t xml:space="preserve"> and 1450 cm</w:t>
      </w:r>
      <w:r w:rsidRPr="006F4C60">
        <w:rPr>
          <w:rFonts w:ascii="Arial" w:hAnsi="Arial" w:cs="Arial"/>
          <w:vertAlign w:val="superscript"/>
          <w:lang w:bidi="si-LK"/>
        </w:rPr>
        <w:t>-1</w:t>
      </w:r>
      <w:r w:rsidRPr="006F4C60">
        <w:rPr>
          <w:rFonts w:ascii="Arial" w:hAnsi="Arial" w:cs="Arial"/>
          <w:lang w:bidi="si-LK"/>
        </w:rPr>
        <w:t xml:space="preserve"> indicate bending vibration of C-H bond. These results highlight the fact that after </w:t>
      </w:r>
      <w:r w:rsidR="00494B93">
        <w:rPr>
          <w:rFonts w:ascii="Arial" w:hAnsi="Arial" w:cs="Arial"/>
          <w:lang w:bidi="si-LK"/>
        </w:rPr>
        <w:t>c</w:t>
      </w:r>
      <w:r w:rsidR="00494B93" w:rsidRPr="006F4C60">
        <w:rPr>
          <w:rFonts w:ascii="Arial" w:hAnsi="Arial" w:cs="Arial"/>
          <w:lang w:bidi="si-LK"/>
        </w:rPr>
        <w:t>har</w:t>
      </w:r>
      <w:r w:rsidR="00494B93">
        <w:rPr>
          <w:rFonts w:ascii="Arial" w:hAnsi="Arial" w:cs="Arial"/>
          <w:lang w:bidi="si-LK"/>
        </w:rPr>
        <w:t>ring</w:t>
      </w:r>
      <w:r w:rsidRPr="006F4C60">
        <w:rPr>
          <w:rFonts w:ascii="Arial" w:hAnsi="Arial" w:cs="Arial"/>
          <w:lang w:bidi="si-LK"/>
        </w:rPr>
        <w:t>, surface water molecules have been replaced by H atoms. Comparison of the two FTIR spectra of biochar before and after crude oil adsorption indicates that there is no significant difference between the two spectra (Fig</w:t>
      </w:r>
      <w:r w:rsidR="005C6EB3">
        <w:rPr>
          <w:rFonts w:ascii="Arial" w:hAnsi="Arial" w:cs="Arial"/>
          <w:lang w:bidi="si-LK"/>
        </w:rPr>
        <w:t xml:space="preserve">. 13. </w:t>
      </w:r>
      <w:r w:rsidRPr="006F4C60">
        <w:rPr>
          <w:rFonts w:ascii="Arial" w:hAnsi="Arial" w:cs="Arial"/>
          <w:lang w:bidi="si-LK"/>
        </w:rPr>
        <w:t>[b]). This proves that there is no chemical bond formation or chemical bond cleavage during the oil adsorption process, further providing evidence for physical adsorption.</w:t>
      </w:r>
    </w:p>
    <w:p w14:paraId="2CFE448D" w14:textId="3C636703" w:rsidR="00122873" w:rsidRDefault="005C6EB3" w:rsidP="00CE27A2">
      <w:pPr>
        <w:spacing w:line="480" w:lineRule="auto"/>
        <w:jc w:val="both"/>
        <w:rPr>
          <w:rFonts w:ascii="Arial" w:hAnsi="Arial" w:cs="Arial"/>
          <w:lang w:bidi="si-LK"/>
        </w:rPr>
      </w:pPr>
      <w:r>
        <w:rPr>
          <w:noProof/>
        </w:rPr>
        <w:lastRenderedPageBreak/>
        <w:drawing>
          <wp:anchor distT="0" distB="0" distL="114300" distR="114300" simplePos="0" relativeHeight="251633664" behindDoc="1" locked="0" layoutInCell="1" allowOverlap="1" wp14:anchorId="02447208" wp14:editId="0A260EEA">
            <wp:simplePos x="0" y="0"/>
            <wp:positionH relativeFrom="column">
              <wp:posOffset>0</wp:posOffset>
            </wp:positionH>
            <wp:positionV relativeFrom="paragraph">
              <wp:posOffset>7620</wp:posOffset>
            </wp:positionV>
            <wp:extent cx="2694940" cy="3634740"/>
            <wp:effectExtent l="0" t="0" r="0" b="0"/>
            <wp:wrapTight wrapText="bothSides">
              <wp:wrapPolygon edited="0">
                <wp:start x="0" y="0"/>
                <wp:lineTo x="0" y="21509"/>
                <wp:lineTo x="21376" y="21509"/>
                <wp:lineTo x="21376" y="0"/>
                <wp:lineTo x="0" y="0"/>
              </wp:wrapPolygon>
            </wp:wrapTight>
            <wp:docPr id="1843967744" name="Picture 11" descr="A graph of a normalize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7744" name="Picture 11" descr="A graph of a normalized w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940"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F24F7" w14:textId="1C14D8CA" w:rsidR="00CE27A2" w:rsidRDefault="00CE27A2" w:rsidP="00CE27A2">
      <w:pPr>
        <w:spacing w:line="480" w:lineRule="auto"/>
        <w:jc w:val="both"/>
        <w:rPr>
          <w:rFonts w:ascii="Arial" w:hAnsi="Arial" w:cs="Arial"/>
          <w:lang w:bidi="si-LK"/>
        </w:rPr>
      </w:pPr>
    </w:p>
    <w:p w14:paraId="58D195C0" w14:textId="77777777" w:rsidR="00E1758D" w:rsidRDefault="00E1758D" w:rsidP="00E1758D">
      <w:pPr>
        <w:rPr>
          <w:rFonts w:ascii="Arial" w:hAnsi="Arial" w:cs="Arial"/>
          <w:sz w:val="24"/>
          <w:szCs w:val="24"/>
        </w:rPr>
      </w:pPr>
    </w:p>
    <w:p w14:paraId="646FB45A" w14:textId="77777777" w:rsidR="00E1758D" w:rsidRDefault="00E1758D" w:rsidP="00E1758D">
      <w:pPr>
        <w:rPr>
          <w:rFonts w:ascii="Arial" w:hAnsi="Arial" w:cs="Arial"/>
          <w:sz w:val="24"/>
          <w:szCs w:val="24"/>
        </w:rPr>
      </w:pPr>
    </w:p>
    <w:p w14:paraId="5D35C32C" w14:textId="77777777" w:rsidR="00E1758D" w:rsidRDefault="00E1758D" w:rsidP="00E1758D">
      <w:pPr>
        <w:rPr>
          <w:rFonts w:ascii="Arial" w:hAnsi="Arial" w:cs="Arial"/>
          <w:sz w:val="24"/>
          <w:szCs w:val="24"/>
        </w:rPr>
      </w:pPr>
    </w:p>
    <w:p w14:paraId="3865125C" w14:textId="77777777" w:rsidR="00E1758D" w:rsidRDefault="00E1758D" w:rsidP="00E1758D">
      <w:pPr>
        <w:rPr>
          <w:rFonts w:ascii="Arial" w:hAnsi="Arial" w:cs="Arial"/>
          <w:sz w:val="24"/>
          <w:szCs w:val="24"/>
        </w:rPr>
      </w:pPr>
    </w:p>
    <w:p w14:paraId="601E624A" w14:textId="77777777" w:rsidR="00E1758D" w:rsidRDefault="00E1758D" w:rsidP="00E1758D">
      <w:pPr>
        <w:rPr>
          <w:rFonts w:ascii="Arial" w:hAnsi="Arial" w:cs="Arial"/>
          <w:sz w:val="24"/>
          <w:szCs w:val="24"/>
        </w:rPr>
      </w:pPr>
    </w:p>
    <w:p w14:paraId="232D13A7" w14:textId="77777777" w:rsidR="00E1758D" w:rsidRDefault="00E1758D" w:rsidP="00E1758D">
      <w:pPr>
        <w:rPr>
          <w:rFonts w:ascii="Arial" w:hAnsi="Arial" w:cs="Arial"/>
          <w:sz w:val="24"/>
          <w:szCs w:val="24"/>
        </w:rPr>
      </w:pPr>
    </w:p>
    <w:p w14:paraId="64261820" w14:textId="77777777" w:rsidR="00E1758D" w:rsidRDefault="00E1758D" w:rsidP="00E1758D">
      <w:pPr>
        <w:rPr>
          <w:rFonts w:ascii="Arial" w:hAnsi="Arial" w:cs="Arial"/>
          <w:sz w:val="24"/>
          <w:szCs w:val="24"/>
        </w:rPr>
      </w:pPr>
    </w:p>
    <w:p w14:paraId="6D39312C" w14:textId="77777777" w:rsidR="00E1758D" w:rsidRDefault="00E1758D" w:rsidP="00E1758D">
      <w:pPr>
        <w:rPr>
          <w:rFonts w:ascii="Arial" w:hAnsi="Arial" w:cs="Arial"/>
          <w:sz w:val="24"/>
          <w:szCs w:val="24"/>
        </w:rPr>
      </w:pPr>
    </w:p>
    <w:p w14:paraId="4405F82A" w14:textId="77777777" w:rsidR="00E1758D" w:rsidRDefault="00E1758D" w:rsidP="00E1758D">
      <w:pPr>
        <w:rPr>
          <w:rFonts w:ascii="Arial" w:hAnsi="Arial" w:cs="Arial"/>
          <w:sz w:val="24"/>
          <w:szCs w:val="24"/>
        </w:rPr>
      </w:pPr>
    </w:p>
    <w:p w14:paraId="6FBC5F83" w14:textId="77777777" w:rsidR="00E1758D" w:rsidRDefault="00E1758D" w:rsidP="00E1758D">
      <w:pPr>
        <w:rPr>
          <w:rFonts w:ascii="Arial" w:hAnsi="Arial" w:cs="Arial"/>
          <w:sz w:val="24"/>
          <w:szCs w:val="24"/>
        </w:rPr>
      </w:pPr>
    </w:p>
    <w:p w14:paraId="7B8C96E9" w14:textId="77777777" w:rsidR="00E1758D" w:rsidRDefault="00E1758D" w:rsidP="00E1758D">
      <w:pPr>
        <w:rPr>
          <w:rFonts w:ascii="Arial" w:hAnsi="Arial" w:cs="Arial"/>
          <w:sz w:val="24"/>
          <w:szCs w:val="24"/>
        </w:rPr>
      </w:pPr>
    </w:p>
    <w:p w14:paraId="2B1BAA66" w14:textId="77777777" w:rsidR="00E1758D" w:rsidRDefault="00E1758D" w:rsidP="00E1758D">
      <w:pPr>
        <w:rPr>
          <w:rFonts w:ascii="Arial" w:hAnsi="Arial" w:cs="Arial"/>
          <w:sz w:val="24"/>
          <w:szCs w:val="24"/>
        </w:rPr>
      </w:pPr>
    </w:p>
    <w:p w14:paraId="1A26F461" w14:textId="77777777" w:rsidR="00E1758D" w:rsidRDefault="00E1758D" w:rsidP="00E1758D">
      <w:pPr>
        <w:rPr>
          <w:rFonts w:ascii="Arial" w:hAnsi="Arial" w:cs="Arial"/>
          <w:sz w:val="24"/>
          <w:szCs w:val="24"/>
        </w:rPr>
      </w:pPr>
    </w:p>
    <w:p w14:paraId="07D73CE6" w14:textId="77777777" w:rsidR="00E1758D" w:rsidRDefault="00E1758D" w:rsidP="00E1758D">
      <w:pPr>
        <w:rPr>
          <w:rFonts w:ascii="Arial" w:hAnsi="Arial" w:cs="Arial"/>
          <w:sz w:val="24"/>
          <w:szCs w:val="24"/>
        </w:rPr>
      </w:pPr>
    </w:p>
    <w:p w14:paraId="19EA1149" w14:textId="77777777" w:rsidR="00E1758D" w:rsidRDefault="00E1758D" w:rsidP="00E1758D">
      <w:pPr>
        <w:rPr>
          <w:rFonts w:ascii="Arial" w:hAnsi="Arial" w:cs="Arial"/>
          <w:sz w:val="24"/>
          <w:szCs w:val="24"/>
        </w:rPr>
      </w:pPr>
    </w:p>
    <w:p w14:paraId="0E923B11" w14:textId="77777777" w:rsidR="00E1758D" w:rsidRDefault="00E1758D" w:rsidP="00E1758D">
      <w:pPr>
        <w:rPr>
          <w:rFonts w:ascii="Arial" w:hAnsi="Arial" w:cs="Arial"/>
          <w:sz w:val="24"/>
          <w:szCs w:val="24"/>
        </w:rPr>
      </w:pPr>
    </w:p>
    <w:p w14:paraId="64C6D43E" w14:textId="77777777" w:rsidR="00E1758D" w:rsidRDefault="00E1758D" w:rsidP="00E1758D">
      <w:pPr>
        <w:rPr>
          <w:rFonts w:ascii="Arial" w:hAnsi="Arial" w:cs="Arial"/>
          <w:sz w:val="24"/>
          <w:szCs w:val="24"/>
        </w:rPr>
      </w:pPr>
    </w:p>
    <w:p w14:paraId="287F5465" w14:textId="77777777" w:rsidR="00E1758D" w:rsidRDefault="00E1758D" w:rsidP="00E1758D">
      <w:pPr>
        <w:rPr>
          <w:rFonts w:ascii="Arial" w:hAnsi="Arial" w:cs="Arial"/>
          <w:sz w:val="24"/>
          <w:szCs w:val="24"/>
        </w:rPr>
      </w:pPr>
    </w:p>
    <w:p w14:paraId="215697B5" w14:textId="2149C995" w:rsidR="00E1758D" w:rsidRPr="005C6EB3" w:rsidRDefault="00E1758D" w:rsidP="005C6EB3">
      <w:pPr>
        <w:rPr>
          <w:rFonts w:ascii="Arial" w:hAnsi="Arial" w:cs="Arial"/>
          <w:b/>
          <w:bCs/>
        </w:rPr>
      </w:pPr>
      <w:r w:rsidRPr="004B719E">
        <w:rPr>
          <w:rFonts w:ascii="Arial" w:hAnsi="Arial" w:cs="Arial"/>
          <w:b/>
          <w:bCs/>
        </w:rPr>
        <w:t>Fig</w:t>
      </w:r>
      <w:r w:rsidR="004B719E" w:rsidRPr="004B719E">
        <w:rPr>
          <w:rFonts w:ascii="Arial" w:hAnsi="Arial" w:cs="Arial"/>
          <w:b/>
          <w:bCs/>
        </w:rPr>
        <w:t>.</w:t>
      </w:r>
      <w:r w:rsidRPr="004B719E">
        <w:rPr>
          <w:rFonts w:ascii="Arial" w:hAnsi="Arial" w:cs="Arial"/>
          <w:b/>
          <w:bCs/>
        </w:rPr>
        <w:t xml:space="preserve"> </w:t>
      </w:r>
      <w:r w:rsidR="004B719E" w:rsidRPr="004B719E">
        <w:rPr>
          <w:rFonts w:ascii="Arial" w:hAnsi="Arial" w:cs="Arial"/>
          <w:b/>
          <w:bCs/>
        </w:rPr>
        <w:t>13</w:t>
      </w:r>
      <w:r w:rsidRPr="004B719E">
        <w:rPr>
          <w:rFonts w:ascii="Arial" w:hAnsi="Arial" w:cs="Arial"/>
          <w:b/>
          <w:bCs/>
        </w:rPr>
        <w:t>. FTIR spectrum of raw material ([a]-black), biochar without oil ([a], [b]-red) and biochar   after adsorption of crude oil ([b]-black)</w:t>
      </w:r>
    </w:p>
    <w:p w14:paraId="3CC2E0FA" w14:textId="77777777" w:rsidR="00C639CB" w:rsidRDefault="00C639CB" w:rsidP="00B509EC">
      <w:pPr>
        <w:pStyle w:val="ConcHead"/>
        <w:spacing w:after="0" w:line="480" w:lineRule="auto"/>
        <w:jc w:val="both"/>
        <w:rPr>
          <w:rFonts w:ascii="Arial" w:hAnsi="Arial" w:cs="Arial"/>
        </w:rPr>
      </w:pPr>
    </w:p>
    <w:p w14:paraId="0D31CAED" w14:textId="2904EB48" w:rsidR="00B01FCD" w:rsidRDefault="00000F8F" w:rsidP="00B509EC">
      <w:pPr>
        <w:pStyle w:val="ConcHead"/>
        <w:spacing w:after="0" w:line="48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0D5BD379" w14:textId="4EA25574" w:rsidR="00315186" w:rsidRPr="005C6EB3" w:rsidRDefault="00375712" w:rsidP="005C6EB3">
      <w:pPr>
        <w:spacing w:line="480" w:lineRule="auto"/>
        <w:jc w:val="both"/>
        <w:rPr>
          <w:rFonts w:ascii="Arial" w:hAnsi="Arial" w:cs="Arial"/>
        </w:rPr>
      </w:pPr>
      <w:r w:rsidRPr="00B509EC">
        <w:rPr>
          <w:rFonts w:ascii="Arial" w:hAnsi="Arial" w:cs="Arial"/>
        </w:rPr>
        <w:t xml:space="preserve">This study highlights the use of biochar of the fruit of </w:t>
      </w:r>
      <w:proofErr w:type="spellStart"/>
      <w:r w:rsidRPr="00B509EC">
        <w:rPr>
          <w:rFonts w:ascii="Arial" w:hAnsi="Arial" w:cs="Arial"/>
          <w:i/>
          <w:iCs/>
        </w:rPr>
        <w:t>Cerbera</w:t>
      </w:r>
      <w:proofErr w:type="spellEnd"/>
      <w:r w:rsidRPr="00B509EC">
        <w:rPr>
          <w:rFonts w:ascii="Arial" w:hAnsi="Arial" w:cs="Arial"/>
          <w:i/>
          <w:iCs/>
        </w:rPr>
        <w:t xml:space="preserve"> </w:t>
      </w:r>
      <w:proofErr w:type="spellStart"/>
      <w:r w:rsidRPr="00B509EC">
        <w:rPr>
          <w:rFonts w:ascii="Arial" w:hAnsi="Arial" w:cs="Arial"/>
          <w:i/>
          <w:iCs/>
        </w:rPr>
        <w:t>manghas</w:t>
      </w:r>
      <w:proofErr w:type="spellEnd"/>
      <w:r w:rsidRPr="00B509EC">
        <w:rPr>
          <w:rFonts w:ascii="Arial" w:hAnsi="Arial" w:cs="Arial"/>
        </w:rPr>
        <w:t xml:space="preserve"> as a natural sorbent material to clean up oil spills from water bodies. The efficiency of biochar produced by this natural sorbent is studied by varying experimental parameters, such as biochar dosage, size of biochar, contact time, oil type, oil volume, salinity, and the effect of weathering.</w:t>
      </w:r>
      <w:r w:rsidRPr="00B509EC">
        <w:rPr>
          <w:rFonts w:ascii="Arial" w:hAnsi="Arial" w:cs="Arial"/>
          <w:sz w:val="16"/>
          <w:szCs w:val="16"/>
        </w:rPr>
        <w:t xml:space="preserve"> </w:t>
      </w:r>
      <w:r w:rsidRPr="00B509EC">
        <w:rPr>
          <w:rFonts w:ascii="Arial" w:hAnsi="Arial" w:cs="Arial"/>
          <w:lang w:bidi="si-LK"/>
        </w:rPr>
        <w:t xml:space="preserve">The results suggest that the adsorption process does not conform to Langmuir or Freundlich isotherm models, indicating a multilayer adsorption process and highlighting the hydrophobic nature of the adsorbent. </w:t>
      </w:r>
      <w:r w:rsidRPr="00B509EC">
        <w:rPr>
          <w:rFonts w:ascii="Arial" w:hAnsi="Arial" w:cs="Arial"/>
        </w:rPr>
        <w:t xml:space="preserve">This can be extended by studying other types of oil as well. Efficiency of adsorption can be further studied by applying modifications to biochar prepared via different activation processes. </w:t>
      </w:r>
      <w:r w:rsidRPr="00B509EC">
        <w:rPr>
          <w:rFonts w:ascii="Arial" w:hAnsi="Arial" w:cs="Arial"/>
          <w:lang w:bidi="si-LK"/>
        </w:rPr>
        <w:t xml:space="preserve">The use of this natural sorbent presents a beneficial and effective approach for cleaning up oil spills in water sources in a practical and applicable manner. XRF data which were used to identify surface metals revealed that mainly Ca, K </w:t>
      </w:r>
      <w:r w:rsidRPr="00B509EC">
        <w:rPr>
          <w:rFonts w:ascii="Arial" w:hAnsi="Arial" w:cs="Arial"/>
          <w:lang w:bidi="si-LK"/>
        </w:rPr>
        <w:lastRenderedPageBreak/>
        <w:t>and Fe are present. According to SEM images it is confirmed that the biochar has high porosity and an irregular structure, and pores get filled with oil and get compacted after oil is adsorbed. FTIR data indicates that there is no significant difference between surface functional groups before and after oil adsorption, which highlights the fact that there is no chemical bond formation or chemical bond cleavage during adsorption.</w:t>
      </w:r>
    </w:p>
    <w:p w14:paraId="6DF06611" w14:textId="77777777" w:rsidR="005946BA" w:rsidRDefault="005946BA" w:rsidP="00B509EC">
      <w:pPr>
        <w:pStyle w:val="ReferHead"/>
        <w:spacing w:after="0" w:line="480" w:lineRule="auto"/>
        <w:jc w:val="both"/>
        <w:rPr>
          <w:rFonts w:ascii="Arial" w:hAnsi="Arial" w:cs="Arial"/>
          <w:bCs/>
        </w:rPr>
      </w:pPr>
    </w:p>
    <w:p w14:paraId="71C23602" w14:textId="77777777" w:rsidR="005C6EB3" w:rsidRDefault="005C6EB3" w:rsidP="00B509EC">
      <w:pPr>
        <w:pStyle w:val="ReferHead"/>
        <w:spacing w:after="0" w:line="480" w:lineRule="auto"/>
        <w:jc w:val="both"/>
        <w:rPr>
          <w:rFonts w:ascii="Arial" w:hAnsi="Arial" w:cs="Arial"/>
          <w:b w:val="0"/>
          <w:caps w:val="0"/>
          <w:sz w:val="20"/>
        </w:rPr>
      </w:pPr>
      <w:bookmarkStart w:id="4" w:name="_GoBack"/>
      <w:bookmarkEnd w:id="4"/>
    </w:p>
    <w:p w14:paraId="5A44509C" w14:textId="77777777" w:rsidR="002A1DD1" w:rsidRDefault="002A1DD1" w:rsidP="00B509EC">
      <w:pPr>
        <w:pStyle w:val="ReferHead"/>
        <w:spacing w:after="0" w:line="480" w:lineRule="auto"/>
        <w:jc w:val="both"/>
        <w:rPr>
          <w:rFonts w:ascii="Arial" w:hAnsi="Arial" w:cs="Arial"/>
        </w:rPr>
      </w:pPr>
      <w:r w:rsidRPr="00FB3A86">
        <w:rPr>
          <w:rFonts w:ascii="Arial" w:hAnsi="Arial" w:cs="Arial"/>
        </w:rPr>
        <w:t>References</w:t>
      </w:r>
    </w:p>
    <w:p w14:paraId="694BDC6A" w14:textId="2D86CBD6" w:rsidR="00576422" w:rsidRPr="00576422" w:rsidRDefault="00A074FA" w:rsidP="00576422">
      <w:pPr>
        <w:widowControl w:val="0"/>
        <w:autoSpaceDE w:val="0"/>
        <w:autoSpaceDN w:val="0"/>
        <w:adjustRightInd w:val="0"/>
        <w:spacing w:after="160" w:line="480" w:lineRule="auto"/>
        <w:ind w:left="640" w:hanging="640"/>
        <w:rPr>
          <w:rFonts w:ascii="Arial" w:hAnsi="Arial" w:cs="Arial"/>
          <w:noProof/>
        </w:rPr>
      </w:pPr>
      <w:r w:rsidRPr="0099579F">
        <w:rPr>
          <w:rFonts w:ascii="Arial" w:hAnsi="Arial" w:cs="Arial"/>
          <w:b/>
          <w:bCs/>
        </w:rPr>
        <w:fldChar w:fldCharType="begin" w:fldLock="1"/>
      </w:r>
      <w:r w:rsidRPr="0099579F">
        <w:rPr>
          <w:rFonts w:ascii="Arial" w:hAnsi="Arial" w:cs="Arial"/>
          <w:b/>
          <w:bCs/>
        </w:rPr>
        <w:instrText xml:space="preserve">ADDIN Mendeley Bibliography CSL_BIBLIOGRAPHY </w:instrText>
      </w:r>
      <w:r w:rsidRPr="0099579F">
        <w:rPr>
          <w:rFonts w:ascii="Arial" w:hAnsi="Arial" w:cs="Arial"/>
          <w:b/>
          <w:bCs/>
        </w:rPr>
        <w:fldChar w:fldCharType="separate"/>
      </w:r>
      <w:r w:rsidR="00576422" w:rsidRPr="00576422">
        <w:rPr>
          <w:rFonts w:ascii="Arial" w:hAnsi="Arial" w:cs="Arial"/>
          <w:noProof/>
        </w:rPr>
        <w:t>[1]</w:t>
      </w:r>
      <w:r w:rsidR="00576422" w:rsidRPr="00576422">
        <w:rPr>
          <w:rFonts w:ascii="Arial" w:hAnsi="Arial" w:cs="Arial"/>
          <w:noProof/>
        </w:rPr>
        <w:tab/>
        <w:t xml:space="preserve">E. Sociology </w:t>
      </w:r>
      <w:r w:rsidR="00576422" w:rsidRPr="00576422">
        <w:rPr>
          <w:rFonts w:ascii="Arial" w:hAnsi="Arial" w:cs="Arial"/>
          <w:i/>
          <w:iCs/>
          <w:noProof/>
        </w:rPr>
        <w:t>et al.</w:t>
      </w:r>
      <w:r w:rsidR="00576422" w:rsidRPr="00576422">
        <w:rPr>
          <w:rFonts w:ascii="Arial" w:hAnsi="Arial" w:cs="Arial"/>
          <w:noProof/>
        </w:rPr>
        <w:t xml:space="preserve">, </w:t>
      </w:r>
      <w:r w:rsidR="00576422" w:rsidRPr="00576422">
        <w:rPr>
          <w:rFonts w:ascii="Arial" w:hAnsi="Arial" w:cs="Arial"/>
          <w:i/>
          <w:iCs/>
          <w:noProof/>
        </w:rPr>
        <w:t>Environment and Society</w:t>
      </w:r>
      <w:r w:rsidR="00576422" w:rsidRPr="00576422">
        <w:rPr>
          <w:rFonts w:ascii="Arial" w:hAnsi="Arial" w:cs="Arial"/>
          <w:noProof/>
        </w:rPr>
        <w:t xml:space="preserve">. </w:t>
      </w:r>
    </w:p>
    <w:p w14:paraId="1E53AB0C"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w:t>
      </w:r>
      <w:r w:rsidRPr="00576422">
        <w:rPr>
          <w:rFonts w:ascii="Arial" w:hAnsi="Arial" w:cs="Arial"/>
          <w:noProof/>
        </w:rPr>
        <w:tab/>
        <w:t xml:space="preserve">J. W. Farrington, “Oil pollution in the marine environment II: Fates and effects of oil spills,” </w:t>
      </w:r>
      <w:r w:rsidRPr="00576422">
        <w:rPr>
          <w:rFonts w:ascii="Arial" w:hAnsi="Arial" w:cs="Arial"/>
          <w:i/>
          <w:iCs/>
          <w:noProof/>
        </w:rPr>
        <w:t>Environment</w:t>
      </w:r>
      <w:r w:rsidRPr="00576422">
        <w:rPr>
          <w:rFonts w:ascii="Arial" w:hAnsi="Arial" w:cs="Arial"/>
          <w:noProof/>
        </w:rPr>
        <w:t>, vol. 56, no. 4, pp. 16–31, 2014, doi: 10.1080/00139157.2014.922382.</w:t>
      </w:r>
    </w:p>
    <w:p w14:paraId="0AD5AB5A"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w:t>
      </w:r>
      <w:r w:rsidRPr="00576422">
        <w:rPr>
          <w:rFonts w:ascii="Arial" w:hAnsi="Arial" w:cs="Arial"/>
          <w:noProof/>
        </w:rPr>
        <w:tab/>
        <w:t xml:space="preserve">D. Dave and A. E. Ghaly, “Remediation technologies for marine oil spills: A critical review and comparative analysis,” </w:t>
      </w:r>
      <w:r w:rsidRPr="00576422">
        <w:rPr>
          <w:rFonts w:ascii="Arial" w:hAnsi="Arial" w:cs="Arial"/>
          <w:i/>
          <w:iCs/>
          <w:noProof/>
        </w:rPr>
        <w:t>Am. J. Environ. Sci.</w:t>
      </w:r>
      <w:r w:rsidRPr="00576422">
        <w:rPr>
          <w:rFonts w:ascii="Arial" w:hAnsi="Arial" w:cs="Arial"/>
          <w:noProof/>
        </w:rPr>
        <w:t>, vol. 7, no. 5, pp. 424–440, 2011, doi: 10.3844/ajessp.2011.424.440.</w:t>
      </w:r>
    </w:p>
    <w:p w14:paraId="421B53D1"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[4]</w:t>
      </w:r>
      <w:r w:rsidRPr="00576422">
        <w:rPr>
          <w:rFonts w:ascii="Arial" w:hAnsi="Arial" w:cs="Arial"/>
          <w:noProof/>
        </w:rPr>
        <w:tab/>
        <w:t xml:space="preserve">B. Zhang, E. J. Matchinski, B. Chen, X. Ye, L. Jing, and K. Lee, </w:t>
      </w:r>
      <w:r w:rsidRPr="00576422">
        <w:rPr>
          <w:rFonts w:ascii="Arial" w:hAnsi="Arial" w:cs="Arial"/>
          <w:i/>
          <w:iCs/>
          <w:noProof/>
        </w:rPr>
        <w:t>Marine oil spills-oil pollution, sources and effects</w:t>
      </w:r>
      <w:r w:rsidRPr="00576422">
        <w:rPr>
          <w:rFonts w:ascii="Arial" w:hAnsi="Arial" w:cs="Arial"/>
          <w:noProof/>
        </w:rPr>
        <w:t>, Second Edi. Elsevier Ltd., 2018. doi: 10.1016/B978-0-12-805052-1.00024-3.</w:t>
      </w:r>
    </w:p>
    <w:p w14:paraId="2D6B54A4"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[5]</w:t>
      </w:r>
      <w:r w:rsidRPr="00576422">
        <w:rPr>
          <w:rFonts w:ascii="Arial" w:hAnsi="Arial" w:cs="Arial"/>
          <w:noProof/>
        </w:rPr>
        <w:tab/>
        <w:t xml:space="preserve">I. Ali, M. Asim, and T. A. Khan, “Low cost adsorbents for the removal of organic pollutants from wastewater,” </w:t>
      </w:r>
      <w:r w:rsidRPr="00576422">
        <w:rPr>
          <w:rFonts w:ascii="Arial" w:hAnsi="Arial" w:cs="Arial"/>
          <w:i/>
          <w:iCs/>
          <w:noProof/>
        </w:rPr>
        <w:t>J. Environ. Manage.</w:t>
      </w:r>
      <w:r w:rsidRPr="00576422">
        <w:rPr>
          <w:rFonts w:ascii="Arial" w:hAnsi="Arial" w:cs="Arial"/>
          <w:noProof/>
        </w:rPr>
        <w:t>, vol. 113, pp. 170–183, 2012, doi: 10.1016/j.jenvman.2012.08.028.</w:t>
      </w:r>
    </w:p>
    <w:p w14:paraId="099AD7A5"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[6]</w:t>
      </w:r>
      <w:r w:rsidRPr="00576422">
        <w:rPr>
          <w:rFonts w:ascii="Arial" w:hAnsi="Arial" w:cs="Arial"/>
          <w:noProof/>
        </w:rPr>
        <w:tab/>
        <w:t xml:space="preserve">P. L. Yap, M. J. Nine, K. Hassan, T. T. Tung, D. N. H. Tran, and D. Losic, “Graphene-Based Sorbents for Multipollutants Removal in Water: A Review of Recent Progress,” </w:t>
      </w:r>
      <w:r w:rsidRPr="00576422">
        <w:rPr>
          <w:rFonts w:ascii="Arial" w:hAnsi="Arial" w:cs="Arial"/>
          <w:i/>
          <w:iCs/>
          <w:noProof/>
        </w:rPr>
        <w:t>Adv. Funct. Mater.</w:t>
      </w:r>
      <w:r w:rsidRPr="00576422">
        <w:rPr>
          <w:rFonts w:ascii="Arial" w:hAnsi="Arial" w:cs="Arial"/>
          <w:noProof/>
        </w:rPr>
        <w:t>, vol. 31, no. 9, pp. 1–25, 2021, doi: 10.1002/adfm.202007356.</w:t>
      </w:r>
    </w:p>
    <w:p w14:paraId="144F9409"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[7]</w:t>
      </w:r>
      <w:r w:rsidRPr="00576422">
        <w:rPr>
          <w:rFonts w:ascii="Arial" w:hAnsi="Arial" w:cs="Arial"/>
          <w:noProof/>
        </w:rPr>
        <w:tab/>
        <w:t xml:space="preserve">A. Upamali, P. B. T. Pradeep, K. S. Triantafyllidis, and M. Vithanage, “Propensity and </w:t>
      </w:r>
      <w:r w:rsidRPr="00576422">
        <w:rPr>
          <w:rFonts w:ascii="Arial" w:hAnsi="Arial" w:cs="Arial"/>
          <w:noProof/>
        </w:rPr>
        <w:lastRenderedPageBreak/>
        <w:t xml:space="preserve">appraisal of biochar performance in removal of oil spills : A comprehensive review,” </w:t>
      </w:r>
      <w:r w:rsidRPr="00576422">
        <w:rPr>
          <w:rFonts w:ascii="Arial" w:hAnsi="Arial" w:cs="Arial"/>
          <w:i/>
          <w:iCs/>
          <w:noProof/>
        </w:rPr>
        <w:t>Environ. Pollut.</w:t>
      </w:r>
      <w:r w:rsidRPr="00576422">
        <w:rPr>
          <w:rFonts w:ascii="Arial" w:hAnsi="Arial" w:cs="Arial"/>
          <w:noProof/>
        </w:rPr>
        <w:t>, vol. 288, no. June, p. 117676, 2021, doi: 10.1016/j.envpol.2021.117676.</w:t>
      </w:r>
    </w:p>
    <w:p w14:paraId="4BEECE7F"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[8]</w:t>
      </w:r>
      <w:r w:rsidRPr="00576422">
        <w:rPr>
          <w:rFonts w:ascii="Arial" w:hAnsi="Arial" w:cs="Arial"/>
          <w:noProof/>
        </w:rPr>
        <w:tab/>
        <w:t xml:space="preserve">O. D. Agboola and N. U. Benson, “Physisorption and Chemisorption Mechanisms Influencing Micro (Nano) Plastics-Organic Chemical Contaminants Interactions: A Review,” </w:t>
      </w:r>
      <w:r w:rsidRPr="00576422">
        <w:rPr>
          <w:rFonts w:ascii="Arial" w:hAnsi="Arial" w:cs="Arial"/>
          <w:i/>
          <w:iCs/>
          <w:noProof/>
        </w:rPr>
        <w:t>Front. Environ. Sci.</w:t>
      </w:r>
      <w:r w:rsidRPr="00576422">
        <w:rPr>
          <w:rFonts w:ascii="Arial" w:hAnsi="Arial" w:cs="Arial"/>
          <w:noProof/>
        </w:rPr>
        <w:t>, vol. 9, no. May, pp. 1–27, 2021, doi: 10.3389/fenvs.2021.678574.</w:t>
      </w:r>
    </w:p>
    <w:p w14:paraId="2374C4F1"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[9]</w:t>
      </w:r>
      <w:r w:rsidRPr="00576422">
        <w:rPr>
          <w:rFonts w:ascii="Arial" w:hAnsi="Arial" w:cs="Arial"/>
          <w:noProof/>
        </w:rPr>
        <w:tab/>
        <w:t>R. Behnood, B. Anvaripour, N. Jaafarzade, and H. Fard, “Application of Natural Sorbents in Crude Oil Adsorption,” vol. 2, no. 4, pp. 1–11, 2013.</w:t>
      </w:r>
    </w:p>
    <w:p w14:paraId="51B40D1E"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[10]</w:t>
      </w:r>
      <w:r w:rsidRPr="00576422">
        <w:rPr>
          <w:rFonts w:ascii="Arial" w:hAnsi="Arial" w:cs="Arial"/>
          <w:noProof/>
        </w:rPr>
        <w:tab/>
        <w:t xml:space="preserve">T. Dong, G. Xu, and F. Wang, “Oil spill cleanup by structured natural sorbents made from cattail fibers,” </w:t>
      </w:r>
      <w:r w:rsidRPr="00576422">
        <w:rPr>
          <w:rFonts w:ascii="Arial" w:hAnsi="Arial" w:cs="Arial"/>
          <w:i/>
          <w:iCs/>
          <w:noProof/>
        </w:rPr>
        <w:t>Ind. Crops Prod.</w:t>
      </w:r>
      <w:r w:rsidRPr="00576422">
        <w:rPr>
          <w:rFonts w:ascii="Arial" w:hAnsi="Arial" w:cs="Arial"/>
          <w:noProof/>
        </w:rPr>
        <w:t>, vol. 76, pp. 25–33, 2015, doi: 10.1016/j.indcrop.2015.06.034.</w:t>
      </w:r>
    </w:p>
    <w:p w14:paraId="03682140"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[11]</w:t>
      </w:r>
      <w:r w:rsidRPr="00576422">
        <w:rPr>
          <w:rFonts w:ascii="Arial" w:hAnsi="Arial" w:cs="Arial"/>
          <w:noProof/>
        </w:rPr>
        <w:tab/>
        <w:t>U. A. Abel, G. R. Habor, and O. I. Oseribho, “Adsorption Studies of Oil Spill Clean-up Using Coconut Coir Activated Carbon Adsorption Studies of Oil Spill Clean-up Using Coconut Coir Activated Carbon ( CCAC ),” no. April, 2020, doi: 10.11648/j.ajche.20200802.11.</w:t>
      </w:r>
    </w:p>
    <w:p w14:paraId="4CD05690"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[12]</w:t>
      </w:r>
      <w:r w:rsidRPr="00576422">
        <w:rPr>
          <w:rFonts w:ascii="Arial" w:hAnsi="Arial" w:cs="Arial"/>
          <w:noProof/>
        </w:rPr>
        <w:tab/>
        <w:t xml:space="preserve">D. Quigley and D. Fenwick, “Cerbera sp. (Apocynaceae) drift mesocarps: first record from British waters and a summary of previous records from north-western Europe,” </w:t>
      </w:r>
      <w:r w:rsidRPr="00576422">
        <w:rPr>
          <w:rFonts w:ascii="Arial" w:hAnsi="Arial" w:cs="Arial"/>
          <w:i/>
          <w:iCs/>
          <w:noProof/>
        </w:rPr>
        <w:t>Cah. Biol. Mar.</w:t>
      </w:r>
      <w:r w:rsidRPr="00576422">
        <w:rPr>
          <w:rFonts w:ascii="Arial" w:hAnsi="Arial" w:cs="Arial"/>
          <w:noProof/>
        </w:rPr>
        <w:t>, vol. 60, no. October, pp. 419–423, 2019, doi: 10.21411/CBM.A.A9AA3201.</w:t>
      </w:r>
    </w:p>
    <w:p w14:paraId="6F95A2A2"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[13]</w:t>
      </w:r>
      <w:r w:rsidRPr="00576422">
        <w:rPr>
          <w:rFonts w:ascii="Arial" w:hAnsi="Arial" w:cs="Arial"/>
          <w:noProof/>
        </w:rPr>
        <w:tab/>
        <w:t xml:space="preserve">M. Eddleston and S. Haggalla, “Fatal injury in Eastern Sri Lanka, with special reference to cardenolide self-poisoning with Cerbera manghas fruits,” </w:t>
      </w:r>
      <w:r w:rsidRPr="00576422">
        <w:rPr>
          <w:rFonts w:ascii="Arial" w:hAnsi="Arial" w:cs="Arial"/>
          <w:i/>
          <w:iCs/>
          <w:noProof/>
        </w:rPr>
        <w:t>Clin. Toxicol.</w:t>
      </w:r>
      <w:r w:rsidRPr="00576422">
        <w:rPr>
          <w:rFonts w:ascii="Arial" w:hAnsi="Arial" w:cs="Arial"/>
          <w:noProof/>
        </w:rPr>
        <w:t>, vol. 46, no. 8, pp. 745–748, 2008, doi: 10.1080/15563650701668617.</w:t>
      </w:r>
    </w:p>
    <w:p w14:paraId="5A8D1643"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[14]</w:t>
      </w:r>
      <w:r w:rsidRPr="00576422">
        <w:rPr>
          <w:rFonts w:ascii="Arial" w:hAnsi="Arial" w:cs="Arial"/>
          <w:noProof/>
        </w:rPr>
        <w:tab/>
        <w:t xml:space="preserve">Z. Zhang </w:t>
      </w:r>
      <w:r w:rsidRPr="00576422">
        <w:rPr>
          <w:rFonts w:ascii="Arial" w:hAnsi="Arial" w:cs="Arial"/>
          <w:i/>
          <w:iCs/>
          <w:noProof/>
        </w:rPr>
        <w:t>et al.</w:t>
      </w:r>
      <w:r w:rsidRPr="00576422">
        <w:rPr>
          <w:rFonts w:ascii="Arial" w:hAnsi="Arial" w:cs="Arial"/>
          <w:noProof/>
        </w:rPr>
        <w:t xml:space="preserve">, “Enhanced properties of magnetic ultralight pear sponge assisted by </w:t>
      </w:r>
      <w:r w:rsidRPr="00576422">
        <w:rPr>
          <w:rFonts w:ascii="Arial" w:hAnsi="Arial" w:cs="Arial"/>
          <w:noProof/>
        </w:rPr>
        <w:lastRenderedPageBreak/>
        <w:t xml:space="preserve">Fenton-like reaction for oil-water separation,” </w:t>
      </w:r>
      <w:r w:rsidRPr="00576422">
        <w:rPr>
          <w:rFonts w:ascii="Arial" w:hAnsi="Arial" w:cs="Arial"/>
          <w:i/>
          <w:iCs/>
          <w:noProof/>
        </w:rPr>
        <w:t>J. Taiwan Inst. Chem. Eng.</w:t>
      </w:r>
      <w:r w:rsidRPr="00576422">
        <w:rPr>
          <w:rFonts w:ascii="Arial" w:hAnsi="Arial" w:cs="Arial"/>
          <w:noProof/>
        </w:rPr>
        <w:t>, vol. 126, pp. 332–340, 2021, doi: 10.1016/j.jtice.2021.07.009.</w:t>
      </w:r>
    </w:p>
    <w:p w14:paraId="719BFA74"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[15]</w:t>
      </w:r>
      <w:r w:rsidRPr="00576422">
        <w:rPr>
          <w:rFonts w:ascii="Arial" w:hAnsi="Arial" w:cs="Arial"/>
          <w:noProof/>
        </w:rPr>
        <w:tab/>
        <w:t>M. Yang, J. Wang, Y. Chen, and J. Gao, “Biochar produced from cotton husks and its application for the adsorption of oil products Biochar produced from cotton husks and its application for the adsorption of oil products,” 2020, doi: 10.1088/1755-1315/545/1/012022.</w:t>
      </w:r>
    </w:p>
    <w:p w14:paraId="07E4267C"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[16]</w:t>
      </w:r>
      <w:r w:rsidRPr="00576422">
        <w:rPr>
          <w:rFonts w:ascii="Arial" w:hAnsi="Arial" w:cs="Arial"/>
          <w:noProof/>
        </w:rPr>
        <w:tab/>
        <w:t>J. Saj, K. George, R. Dewan, M. Mittal, and A. Irshad, “Oil Spill Removal Using Natural Sorbents,” vol. VII, no. 13, pp. 13–18, 2020.</w:t>
      </w:r>
    </w:p>
    <w:p w14:paraId="56A51DB7"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[17]</w:t>
      </w:r>
      <w:r w:rsidRPr="00576422">
        <w:rPr>
          <w:rFonts w:ascii="Arial" w:hAnsi="Arial" w:cs="Arial"/>
          <w:noProof/>
        </w:rPr>
        <w:tab/>
        <w:t>D. S. M. De Silva, “Surface modification of Trema orientalis wood biochar using natural coconut vinegar and its potential to remove aqueous calcium ions : column and batch studies,” vol. 28, no. 1, pp. 0–3, 2023.</w:t>
      </w:r>
    </w:p>
    <w:p w14:paraId="1771D7F0"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[18]</w:t>
      </w:r>
      <w:r w:rsidRPr="00576422">
        <w:rPr>
          <w:rFonts w:ascii="Arial" w:hAnsi="Arial" w:cs="Arial"/>
          <w:noProof/>
        </w:rPr>
        <w:tab/>
        <w:t xml:space="preserve">O. Abdelwahab, “Assessment of raw luffa as a natural hollow oleophilic fibrous sorbent for oil spill cleanup,” </w:t>
      </w:r>
      <w:r w:rsidRPr="00576422">
        <w:rPr>
          <w:rFonts w:ascii="Arial" w:hAnsi="Arial" w:cs="Arial"/>
          <w:i/>
          <w:iCs/>
          <w:noProof/>
        </w:rPr>
        <w:t>Alexandria Eng. J.</w:t>
      </w:r>
      <w:r w:rsidRPr="00576422">
        <w:rPr>
          <w:rFonts w:ascii="Arial" w:hAnsi="Arial" w:cs="Arial"/>
          <w:noProof/>
        </w:rPr>
        <w:t>, vol. 53, no. 1, pp. 213–218, 2014, doi: 10.1016/j.aej.2013.11.001.</w:t>
      </w:r>
    </w:p>
    <w:p w14:paraId="0575DF98"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[19]</w:t>
      </w:r>
      <w:r w:rsidRPr="00576422">
        <w:rPr>
          <w:rFonts w:ascii="Arial" w:hAnsi="Arial" w:cs="Arial"/>
          <w:noProof/>
        </w:rPr>
        <w:tab/>
        <w:t xml:space="preserve">A. O. Ifelebuegu, T. Vu, A. Nguyen, and P. Ukotije-ikwut, “Journal of Environmental Chemical Engineering Liquid-phase sorption characteristics of human hair as a natural oil spill sorbent,” </w:t>
      </w:r>
      <w:r w:rsidRPr="00576422">
        <w:rPr>
          <w:rFonts w:ascii="Arial" w:hAnsi="Arial" w:cs="Arial"/>
          <w:i/>
          <w:iCs/>
          <w:noProof/>
        </w:rPr>
        <w:t>Biochem. Pharmacol.</w:t>
      </w:r>
      <w:r w:rsidRPr="00576422">
        <w:rPr>
          <w:rFonts w:ascii="Arial" w:hAnsi="Arial" w:cs="Arial"/>
          <w:noProof/>
        </w:rPr>
        <w:t>, 2015, doi: 10.1016/j.jece.2015.02.015.</w:t>
      </w:r>
    </w:p>
    <w:p w14:paraId="160F6FB0"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[20]</w:t>
      </w:r>
      <w:r w:rsidRPr="00576422">
        <w:rPr>
          <w:rFonts w:ascii="Arial" w:hAnsi="Arial" w:cs="Arial"/>
          <w:noProof/>
        </w:rPr>
        <w:tab/>
        <w:t>A. T. Hoang and X. D. Pham, “An investigation of remediation and recovery of oil spill and toxic heavy metal from maritime pollution by a new absorbent material,” vol. 4177, 2018, doi: 10.1080/20464177.2018.1544401.</w:t>
      </w:r>
    </w:p>
    <w:p w14:paraId="693C5F85"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[21]</w:t>
      </w:r>
      <w:r w:rsidRPr="00576422">
        <w:rPr>
          <w:rFonts w:ascii="Arial" w:hAnsi="Arial" w:cs="Arial"/>
          <w:noProof/>
        </w:rPr>
        <w:tab/>
        <w:t xml:space="preserve">T. M. Tamer, A. M. Omer, R. E. Khalifa, A. A. Ali, Y. A. Ammar, and M. S. M. Eldin, “Aminated chitosan-g-poly ( butyl acrylate ) copolymer for heavy oil spills removal : kinetic , isotherm , and thermodynamic investigations,” vol. 226, pp. 319–327, 2021, </w:t>
      </w:r>
      <w:r w:rsidRPr="00576422">
        <w:rPr>
          <w:rFonts w:ascii="Arial" w:hAnsi="Arial" w:cs="Arial"/>
          <w:noProof/>
        </w:rPr>
        <w:lastRenderedPageBreak/>
        <w:t>doi: 10.5004/dwt.2021.27275.</w:t>
      </w:r>
    </w:p>
    <w:p w14:paraId="4C294E14"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[22]</w:t>
      </w:r>
      <w:r w:rsidRPr="00576422">
        <w:rPr>
          <w:rFonts w:ascii="Arial" w:hAnsi="Arial" w:cs="Arial"/>
          <w:noProof/>
        </w:rPr>
        <w:tab/>
        <w:t>S. E. Agarry, K. M. Oghenejoboh, E. O. Oghenejoboh, C. N. Owabor, and O. O. Ogunleye, “Adsorptive Remediation of Crude Oil Contaminated Marine Water Using Chemically and Thermally Modified Coconut ( Cocos nucifera ) Husks,” vol. 8, no. 2, pp. 694–707, 2020.</w:t>
      </w:r>
    </w:p>
    <w:p w14:paraId="67A52A28"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[23]</w:t>
      </w:r>
      <w:r w:rsidRPr="00576422">
        <w:rPr>
          <w:rFonts w:ascii="Arial" w:hAnsi="Arial" w:cs="Arial"/>
          <w:noProof/>
        </w:rPr>
        <w:tab/>
        <w:t xml:space="preserve">G. A. El-din, A. A. Amer, G. Malsh, and M. Hussein, “Study on the use of banana peels for oil spill removal,” </w:t>
      </w:r>
      <w:r w:rsidRPr="00576422">
        <w:rPr>
          <w:rFonts w:ascii="Arial" w:hAnsi="Arial" w:cs="Arial"/>
          <w:i/>
          <w:iCs/>
          <w:noProof/>
        </w:rPr>
        <w:t>Alexandria Eng. J.</w:t>
      </w:r>
      <w:r w:rsidRPr="00576422">
        <w:rPr>
          <w:rFonts w:ascii="Arial" w:hAnsi="Arial" w:cs="Arial"/>
          <w:noProof/>
        </w:rPr>
        <w:t>, 2017, doi: 10.1016/j.aej.2017.05.020.</w:t>
      </w:r>
    </w:p>
    <w:p w14:paraId="464F3904"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[24]</w:t>
      </w:r>
      <w:r w:rsidRPr="00576422">
        <w:rPr>
          <w:rFonts w:ascii="Arial" w:hAnsi="Arial" w:cs="Arial"/>
          <w:noProof/>
        </w:rPr>
        <w:tab/>
        <w:t>M. Husseien and A. A. Amer, “Availability of barley straw application on oil spill clean up,” vol. 6, no. 1, pp. 123–130, 2009.</w:t>
      </w:r>
    </w:p>
    <w:p w14:paraId="684B2B4A"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[25]</w:t>
      </w:r>
      <w:r w:rsidRPr="00576422">
        <w:rPr>
          <w:rFonts w:ascii="Arial" w:hAnsi="Arial" w:cs="Arial"/>
          <w:noProof/>
        </w:rPr>
        <w:tab/>
        <w:t xml:space="preserve">R. Wahi, L. C. Abdullah, T. Choong, S. Yaw, Z. Ngaini, and M. N. Mobarekeh, “Oil Removal from Aqueous State by Natural Fibrous Sorbent : An Overview Department of Chemistry , Universiti Malaysia Sarawak , 94300 Kota Samarahan , Sarawak ,” </w:t>
      </w:r>
      <w:r w:rsidRPr="00576422">
        <w:rPr>
          <w:rFonts w:ascii="Arial" w:hAnsi="Arial" w:cs="Arial"/>
          <w:i/>
          <w:iCs/>
          <w:noProof/>
        </w:rPr>
        <w:t>Sep. Purif. Technol.</w:t>
      </w:r>
      <w:r w:rsidRPr="00576422">
        <w:rPr>
          <w:rFonts w:ascii="Arial" w:hAnsi="Arial" w:cs="Arial"/>
          <w:noProof/>
        </w:rPr>
        <w:t>, 2013, doi: 10.1016/j.seppur.2013.04.015.</w:t>
      </w:r>
    </w:p>
    <w:p w14:paraId="26C891BF"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[26]</w:t>
      </w:r>
      <w:r w:rsidRPr="00576422">
        <w:rPr>
          <w:rFonts w:ascii="Arial" w:hAnsi="Arial" w:cs="Arial"/>
          <w:noProof/>
        </w:rPr>
        <w:tab/>
        <w:t>A. L. Ã. Ahmad, S. Sumathi, and B. H. Hameed, “Adsorption of residue oil from palm oil mill effluent using powder and flake chitosan : Equilibrium and kinetic studies,” vol. 39, pp. 2483–2494, 2005, doi: 10.1016/j.watres.2005.03.035.</w:t>
      </w:r>
    </w:p>
    <w:p w14:paraId="778C1A62"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[27]</w:t>
      </w:r>
      <w:r w:rsidRPr="00576422">
        <w:rPr>
          <w:rFonts w:ascii="Arial" w:hAnsi="Arial" w:cs="Arial"/>
          <w:noProof/>
        </w:rPr>
        <w:tab/>
        <w:t>R. Ghonim, C. Of, T. Applications, and Y. A. Ammar, “Efficient eco-friendly crude oil adsorptive chitosan derivatives : kinetics , equilibrium and thermodynamic studies Efficient eco-friendly crude oil adsorptive chitosan derivatives : kinetics , equilibrium and thermodynamic studies,” no. January, 2019, doi: 10.5004/dwt.2019.24166.</w:t>
      </w:r>
    </w:p>
    <w:p w14:paraId="54DD252D"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[28]</w:t>
      </w:r>
      <w:r w:rsidRPr="00576422">
        <w:rPr>
          <w:rFonts w:ascii="Arial" w:hAnsi="Arial" w:cs="Arial"/>
          <w:noProof/>
        </w:rPr>
        <w:tab/>
        <w:t xml:space="preserve">Y. G. Anusha, A. A. Machado, and L. Mulky, “A Comparative Study of Treatment Methods of Raw Sugarcane Bagasse for Adsorption of Oil and Diesel,” </w:t>
      </w:r>
      <w:r w:rsidRPr="00576422">
        <w:rPr>
          <w:rFonts w:ascii="Arial" w:hAnsi="Arial" w:cs="Arial"/>
          <w:i/>
          <w:iCs/>
          <w:noProof/>
        </w:rPr>
        <w:t>Water. Air. Soil Pollut.</w:t>
      </w:r>
      <w:r w:rsidRPr="00576422">
        <w:rPr>
          <w:rFonts w:ascii="Arial" w:hAnsi="Arial" w:cs="Arial"/>
          <w:noProof/>
        </w:rPr>
        <w:t>, vol. 234, no. 4, 2023, doi: 10.1007/s11270-023-06210-1.</w:t>
      </w:r>
    </w:p>
    <w:p w14:paraId="42E807B0"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[29]</w:t>
      </w:r>
      <w:r w:rsidRPr="00576422">
        <w:rPr>
          <w:rFonts w:ascii="Arial" w:hAnsi="Arial" w:cs="Arial"/>
          <w:noProof/>
        </w:rPr>
        <w:tab/>
        <w:t xml:space="preserve">P. R. Ukotije-ikwut, A. K. Idogun, C. T. Iriakuma, and A. Aseminaso, “A Novel Method </w:t>
      </w:r>
      <w:r w:rsidRPr="00576422">
        <w:rPr>
          <w:rFonts w:ascii="Arial" w:hAnsi="Arial" w:cs="Arial"/>
          <w:noProof/>
        </w:rPr>
        <w:lastRenderedPageBreak/>
        <w:t>for Adsorption using Human Hair as a Natural Oil Spill Sorbent,” vol. 7, no. 8, pp. 1754–1764, 2016.</w:t>
      </w:r>
    </w:p>
    <w:p w14:paraId="5A7BCAB2"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[30]</w:t>
      </w:r>
      <w:r w:rsidRPr="00576422">
        <w:rPr>
          <w:rFonts w:ascii="Arial" w:hAnsi="Arial" w:cs="Arial"/>
          <w:noProof/>
        </w:rPr>
        <w:tab/>
        <w:t>H. A. Arafat, M. Franz, and N. G. Pinto, “Effect of Salt on the Mechanism of Adsorption of Aromatics on Activated Carbon †,” no. 11, pp. 5997–6003, 1999.</w:t>
      </w:r>
    </w:p>
    <w:p w14:paraId="5A1BEDBF"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[31]</w:t>
      </w:r>
      <w:r w:rsidRPr="00576422">
        <w:rPr>
          <w:rFonts w:ascii="Arial" w:hAnsi="Arial" w:cs="Arial"/>
          <w:noProof/>
        </w:rPr>
        <w:tab/>
        <w:t xml:space="preserve">J. Jun </w:t>
      </w:r>
      <w:r w:rsidRPr="00576422">
        <w:rPr>
          <w:rFonts w:ascii="Arial" w:hAnsi="Arial" w:cs="Arial"/>
          <w:i/>
          <w:iCs/>
          <w:noProof/>
        </w:rPr>
        <w:t>et al.</w:t>
      </w:r>
      <w:r w:rsidRPr="00576422">
        <w:rPr>
          <w:rFonts w:ascii="Arial" w:hAnsi="Arial" w:cs="Arial"/>
          <w:noProof/>
        </w:rPr>
        <w:t xml:space="preserve">, “Removal of diesel oil from water using biochar derived from waste banana peels as adsorbent,” </w:t>
      </w:r>
      <w:r w:rsidRPr="00576422">
        <w:rPr>
          <w:rFonts w:ascii="Arial" w:hAnsi="Arial" w:cs="Arial"/>
          <w:i/>
          <w:iCs/>
          <w:noProof/>
        </w:rPr>
        <w:t>Carbon Res.</w:t>
      </w:r>
      <w:r w:rsidRPr="00576422">
        <w:rPr>
          <w:rFonts w:ascii="Arial" w:hAnsi="Arial" w:cs="Arial"/>
          <w:noProof/>
        </w:rPr>
        <w:t>, 2024, doi: 10.1007/s44246-024-00100-9.</w:t>
      </w:r>
    </w:p>
    <w:p w14:paraId="7C7CA57B"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[32]</w:t>
      </w:r>
      <w:r w:rsidRPr="00576422">
        <w:rPr>
          <w:rFonts w:ascii="Arial" w:hAnsi="Arial" w:cs="Arial"/>
          <w:noProof/>
        </w:rPr>
        <w:tab/>
        <w:t>P. Zito, E. B. Overton, G. M. Olson, P. L. Adhikari, and T. O. Society, “THE OFFICIAL MAGAZINE OF THE OCEANOGRAPHY SOCIETY CITATION Tarr, M.A., P. Zito, E.B. Overton, G.M. Olson, P.L. Adhikari, and C.M. Reddy. 2016. Weathering of oil spilled in the marine environment.,” vol. 29, no. 3, pp. 126–135, 2016.</w:t>
      </w:r>
    </w:p>
    <w:p w14:paraId="54E54B81"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[33]</w:t>
      </w:r>
      <w:r w:rsidRPr="00576422">
        <w:rPr>
          <w:rFonts w:ascii="Arial" w:hAnsi="Arial" w:cs="Arial"/>
          <w:noProof/>
        </w:rPr>
        <w:tab/>
        <w:t xml:space="preserve">I. A. Mendelssohn </w:t>
      </w:r>
      <w:r w:rsidRPr="00576422">
        <w:rPr>
          <w:rFonts w:ascii="Arial" w:hAnsi="Arial" w:cs="Arial"/>
          <w:i/>
          <w:iCs/>
          <w:noProof/>
        </w:rPr>
        <w:t>et al.</w:t>
      </w:r>
      <w:r w:rsidRPr="00576422">
        <w:rPr>
          <w:rFonts w:ascii="Arial" w:hAnsi="Arial" w:cs="Arial"/>
          <w:noProof/>
        </w:rPr>
        <w:t xml:space="preserve">, “Oil impacts on coastal wetlands: Implications for the Mississippi River delta ecosystem after the deepwater horizon oil spill,” </w:t>
      </w:r>
      <w:r w:rsidRPr="00576422">
        <w:rPr>
          <w:rFonts w:ascii="Arial" w:hAnsi="Arial" w:cs="Arial"/>
          <w:i/>
          <w:iCs/>
          <w:noProof/>
        </w:rPr>
        <w:t>Bioscience</w:t>
      </w:r>
      <w:r w:rsidRPr="00576422">
        <w:rPr>
          <w:rFonts w:ascii="Arial" w:hAnsi="Arial" w:cs="Arial"/>
          <w:noProof/>
        </w:rPr>
        <w:t>, vol. 62, no. 6, pp. 562–574, 2012, doi: 10.1525/bio.2012.62.6.7.</w:t>
      </w:r>
    </w:p>
    <w:p w14:paraId="7B8E7C63"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[34]</w:t>
      </w:r>
      <w:r w:rsidRPr="00576422">
        <w:rPr>
          <w:rFonts w:ascii="Arial" w:hAnsi="Arial" w:cs="Arial"/>
          <w:noProof/>
        </w:rPr>
        <w:tab/>
        <w:t xml:space="preserve">J. J. D. T. Urgel, J. M. A. Briones, E. B. Diaz, K. M. N. Dimaculangan, K. L. Rangel, and E. C. R. Lopez, “Batch adsorption of diesel oil in water using saba banana peel biochar immobilized in teabags,” </w:t>
      </w:r>
      <w:r w:rsidRPr="00576422">
        <w:rPr>
          <w:rFonts w:ascii="Arial" w:hAnsi="Arial" w:cs="Arial"/>
          <w:i/>
          <w:iCs/>
          <w:noProof/>
        </w:rPr>
        <w:t>J. Eng. Appl. Sci.</w:t>
      </w:r>
      <w:r w:rsidRPr="00576422">
        <w:rPr>
          <w:rFonts w:ascii="Arial" w:hAnsi="Arial" w:cs="Arial"/>
          <w:noProof/>
        </w:rPr>
        <w:t>, vol. 71, no. 1, pp. 1–19, 2024, doi: 10.1186/s44147-024-00398-7.</w:t>
      </w:r>
    </w:p>
    <w:p w14:paraId="2446CAB7"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[35]</w:t>
      </w:r>
      <w:r w:rsidRPr="00576422">
        <w:rPr>
          <w:rFonts w:ascii="Arial" w:hAnsi="Arial" w:cs="Arial"/>
          <w:noProof/>
        </w:rPr>
        <w:tab/>
        <w:t xml:space="preserve">G. Gascó, S. P. Barragán-Mantilla, J. Paz-Ferreiro, and A. Méndez, “The effect of thiourea activation on physicochemical and catalytic properties of biochars and hydrochars from sugarcane bagasse: Application to metal recovery from wastes,” </w:t>
      </w:r>
      <w:r w:rsidRPr="00576422">
        <w:rPr>
          <w:rFonts w:ascii="Arial" w:hAnsi="Arial" w:cs="Arial"/>
          <w:i/>
          <w:iCs/>
          <w:noProof/>
        </w:rPr>
        <w:t>Waste Manag.</w:t>
      </w:r>
      <w:r w:rsidRPr="00576422">
        <w:rPr>
          <w:rFonts w:ascii="Arial" w:hAnsi="Arial" w:cs="Arial"/>
          <w:noProof/>
        </w:rPr>
        <w:t>, vol. 200, no. April, 2025, doi: 10.1016/j.wasman.2025.114773.</w:t>
      </w:r>
    </w:p>
    <w:p w14:paraId="4ADBA5EC"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[36]</w:t>
      </w:r>
      <w:r w:rsidRPr="00576422">
        <w:rPr>
          <w:rFonts w:ascii="Arial" w:hAnsi="Arial" w:cs="Arial"/>
          <w:noProof/>
        </w:rPr>
        <w:tab/>
        <w:t xml:space="preserve">J. J. D. T. Urgel, J. M. A. Briones, E. B. Diaz, K. M. N. Dimaculangan, K. L. Rangel, and E. C. R. Lopez, “Removal of diesel oil from water using biochar derived from waste banana peels as adsorbent,” </w:t>
      </w:r>
      <w:r w:rsidRPr="00576422">
        <w:rPr>
          <w:rFonts w:ascii="Arial" w:hAnsi="Arial" w:cs="Arial"/>
          <w:i/>
          <w:iCs/>
          <w:noProof/>
        </w:rPr>
        <w:t>Carbon Res.</w:t>
      </w:r>
      <w:r w:rsidRPr="00576422">
        <w:rPr>
          <w:rFonts w:ascii="Arial" w:hAnsi="Arial" w:cs="Arial"/>
          <w:noProof/>
        </w:rPr>
        <w:t xml:space="preserve">, vol. 3, no. 1, 2024, doi: </w:t>
      </w:r>
      <w:r w:rsidRPr="00576422">
        <w:rPr>
          <w:rFonts w:ascii="Arial" w:hAnsi="Arial" w:cs="Arial"/>
          <w:noProof/>
        </w:rPr>
        <w:lastRenderedPageBreak/>
        <w:t>10.1007/s44246-024-00100-9.</w:t>
      </w:r>
    </w:p>
    <w:p w14:paraId="67792799"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[37]</w:t>
      </w:r>
      <w:r w:rsidRPr="00576422">
        <w:rPr>
          <w:rFonts w:ascii="Arial" w:hAnsi="Arial" w:cs="Arial"/>
          <w:noProof/>
        </w:rPr>
        <w:tab/>
        <w:t xml:space="preserve">M. Bardalai and D. K. Mahanta, “Characterisation of Biochar Produced by Pyrolysis from Areca Catechu Dust,” </w:t>
      </w:r>
      <w:r w:rsidRPr="00576422">
        <w:rPr>
          <w:rFonts w:ascii="Arial" w:hAnsi="Arial" w:cs="Arial"/>
          <w:i/>
          <w:iCs/>
          <w:noProof/>
        </w:rPr>
        <w:t>Mater. Today Proc.</w:t>
      </w:r>
      <w:r w:rsidRPr="00576422">
        <w:rPr>
          <w:rFonts w:ascii="Arial" w:hAnsi="Arial" w:cs="Arial"/>
          <w:noProof/>
        </w:rPr>
        <w:t>, vol. 5, no. 1, pp. 2089–2097, 2018, doi: 10.1016/j.matpr.2017.09.205.</w:t>
      </w:r>
    </w:p>
    <w:p w14:paraId="2DF102C2" w14:textId="77777777" w:rsidR="00576422" w:rsidRPr="00576422" w:rsidRDefault="00576422" w:rsidP="00576422">
      <w:pPr>
        <w:widowControl w:val="0"/>
        <w:autoSpaceDE w:val="0"/>
        <w:autoSpaceDN w:val="0"/>
        <w:adjustRightInd w:val="0"/>
        <w:spacing w:after="160" w:line="480" w:lineRule="auto"/>
        <w:ind w:left="640" w:hanging="640"/>
        <w:rPr>
          <w:rFonts w:ascii="Arial" w:hAnsi="Arial" w:cs="Arial"/>
          <w:noProof/>
        </w:rPr>
      </w:pPr>
      <w:r w:rsidRPr="00576422">
        <w:rPr>
          <w:rFonts w:ascii="Arial" w:hAnsi="Arial" w:cs="Arial"/>
          <w:noProof/>
        </w:rPr>
        <w:t>[38]</w:t>
      </w:r>
      <w:r w:rsidRPr="00576422">
        <w:rPr>
          <w:rFonts w:ascii="Arial" w:hAnsi="Arial" w:cs="Arial"/>
          <w:noProof/>
        </w:rPr>
        <w:tab/>
        <w:t xml:space="preserve">S. Yoshimoto, N. Luthfi, K. Nakano, T. Fukushima, and K. Takisawa, “Effects of potassium on hydrothermal carbonization of sorghum bagasse,” </w:t>
      </w:r>
      <w:r w:rsidRPr="00576422">
        <w:rPr>
          <w:rFonts w:ascii="Arial" w:hAnsi="Arial" w:cs="Arial"/>
          <w:i/>
          <w:iCs/>
          <w:noProof/>
        </w:rPr>
        <w:t>Bioresour. Bioprocess.</w:t>
      </w:r>
      <w:r w:rsidRPr="00576422">
        <w:rPr>
          <w:rFonts w:ascii="Arial" w:hAnsi="Arial" w:cs="Arial"/>
          <w:noProof/>
        </w:rPr>
        <w:t>, vol. 10, no. 1, pp. 4–11, 2023, doi: 10.1186/s40643-023-00645-4.</w:t>
      </w:r>
    </w:p>
    <w:p w14:paraId="7B7F2B07" w14:textId="4F28BEC8" w:rsidR="004D4277" w:rsidRPr="005946BA" w:rsidRDefault="00A074FA" w:rsidP="005946BA">
      <w:pPr>
        <w:pStyle w:val="ReferHead"/>
        <w:spacing w:after="0" w:line="480" w:lineRule="auto"/>
        <w:jc w:val="both"/>
        <w:rPr>
          <w:rFonts w:ascii="Arial" w:hAnsi="Arial" w:cs="Arial"/>
        </w:rPr>
        <w:sectPr w:rsidR="004D4277" w:rsidRPr="005946BA" w:rsidSect="00F3354E">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r w:rsidRPr="0099579F">
        <w:rPr>
          <w:rFonts w:ascii="Arial" w:hAnsi="Arial" w:cs="Arial"/>
          <w:b w:val="0"/>
          <w:bCs/>
          <w:sz w:val="20"/>
        </w:rPr>
        <w:fldChar w:fldCharType="end"/>
      </w:r>
    </w:p>
    <w:p w14:paraId="58A2A527" w14:textId="77777777" w:rsidR="00B01FCD" w:rsidRPr="00FB3A86" w:rsidRDefault="00B01FCD" w:rsidP="00B509EC">
      <w:pPr>
        <w:pStyle w:val="Appendix"/>
        <w:spacing w:after="0" w:line="480" w:lineRule="auto"/>
        <w:jc w:val="both"/>
        <w:rPr>
          <w:rFonts w:ascii="Arial" w:hAnsi="Arial" w:cs="Arial"/>
          <w:b w:val="0"/>
        </w:rPr>
      </w:pPr>
    </w:p>
    <w:sectPr w:rsidR="00B01FCD" w:rsidRPr="00FB3A86" w:rsidSect="00F3354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5C5DF" w14:textId="77777777" w:rsidR="004B7ADB" w:rsidRDefault="004B7ADB" w:rsidP="00C37E61">
      <w:r>
        <w:separator/>
      </w:r>
    </w:p>
  </w:endnote>
  <w:endnote w:type="continuationSeparator" w:id="0">
    <w:p w14:paraId="424DB585" w14:textId="77777777" w:rsidR="004B7ADB" w:rsidRDefault="004B7AD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2715" w14:textId="77777777" w:rsidR="00F3354E" w:rsidRDefault="00F33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C1C8" w14:textId="6B205294" w:rsidR="00C37E61" w:rsidRPr="00FD2728" w:rsidRDefault="00C37E61" w:rsidP="00FD27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E7088" w14:textId="1A1343AA" w:rsidR="00754C9A" w:rsidRPr="00770AC8" w:rsidRDefault="00754C9A" w:rsidP="00770A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522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C73BB" w14:textId="77777777" w:rsidR="004B7ADB" w:rsidRDefault="004B7ADB" w:rsidP="00C37E61">
      <w:r>
        <w:separator/>
      </w:r>
    </w:p>
  </w:footnote>
  <w:footnote w:type="continuationSeparator" w:id="0">
    <w:p w14:paraId="6A101337" w14:textId="77777777" w:rsidR="004B7ADB" w:rsidRDefault="004B7AD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AD397" w14:textId="333427AF" w:rsidR="00F3354E" w:rsidRDefault="00F3354E">
    <w:pPr>
      <w:pStyle w:val="Header"/>
    </w:pPr>
    <w:r>
      <w:rPr>
        <w:noProof/>
      </w:rPr>
      <w:pict w14:anchorId="4C09E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26DD4" w14:textId="379B955D" w:rsidR="00F3354E" w:rsidRDefault="00F3354E">
    <w:pPr>
      <w:pStyle w:val="Header"/>
    </w:pPr>
    <w:r>
      <w:rPr>
        <w:noProof/>
      </w:rPr>
      <w:pict w14:anchorId="594B4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9D3B" w14:textId="7EE99823" w:rsidR="00296529" w:rsidRPr="00296529" w:rsidRDefault="00F3354E" w:rsidP="00296529">
    <w:pPr>
      <w:ind w:left="2160"/>
      <w:jc w:val="center"/>
      <w:rPr>
        <w:rFonts w:ascii="Times New Roman" w:eastAsia="Calibri" w:hAnsi="Times New Roman"/>
        <w:i/>
        <w:sz w:val="18"/>
        <w:szCs w:val="22"/>
      </w:rPr>
    </w:pPr>
    <w:r>
      <w:rPr>
        <w:noProof/>
      </w:rPr>
      <w:pict w14:anchorId="29C4D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ACDD27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10575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F3168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B3C07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EB480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D373A9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8DDD2" w14:textId="3023D093" w:rsidR="00F3354E" w:rsidRDefault="00F3354E">
    <w:pPr>
      <w:pStyle w:val="Header"/>
    </w:pPr>
    <w:r>
      <w:rPr>
        <w:noProof/>
      </w:rPr>
      <w:pict w14:anchorId="3EC53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431F" w14:textId="6DC9A907" w:rsidR="00F3354E" w:rsidRDefault="00F3354E">
    <w:pPr>
      <w:pStyle w:val="Header"/>
    </w:pPr>
    <w:r>
      <w:rPr>
        <w:noProof/>
      </w:rPr>
      <w:pict w14:anchorId="72381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63457" w14:textId="0B2CDF35" w:rsidR="00F3354E" w:rsidRDefault="00F3354E">
    <w:pPr>
      <w:pStyle w:val="Header"/>
    </w:pPr>
    <w:r>
      <w:rPr>
        <w:noProof/>
      </w:rPr>
      <w:pict w14:anchorId="5EEED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762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134"/>
    <w:rsid w:val="00030174"/>
    <w:rsid w:val="00031BE0"/>
    <w:rsid w:val="00037590"/>
    <w:rsid w:val="0004579C"/>
    <w:rsid w:val="00075C11"/>
    <w:rsid w:val="000819F9"/>
    <w:rsid w:val="00081E7C"/>
    <w:rsid w:val="00084CF0"/>
    <w:rsid w:val="000A47FA"/>
    <w:rsid w:val="000A65D3"/>
    <w:rsid w:val="000B1E33"/>
    <w:rsid w:val="000B3179"/>
    <w:rsid w:val="000B4302"/>
    <w:rsid w:val="000C11AD"/>
    <w:rsid w:val="000C14F0"/>
    <w:rsid w:val="000D1599"/>
    <w:rsid w:val="000D689F"/>
    <w:rsid w:val="000E7B7B"/>
    <w:rsid w:val="000E7D62"/>
    <w:rsid w:val="000F7C19"/>
    <w:rsid w:val="00103357"/>
    <w:rsid w:val="00122873"/>
    <w:rsid w:val="00123C9F"/>
    <w:rsid w:val="00126190"/>
    <w:rsid w:val="00130F17"/>
    <w:rsid w:val="001320BF"/>
    <w:rsid w:val="00163BC4"/>
    <w:rsid w:val="001874AF"/>
    <w:rsid w:val="00191062"/>
    <w:rsid w:val="00192B72"/>
    <w:rsid w:val="001A29D8"/>
    <w:rsid w:val="001A5CAA"/>
    <w:rsid w:val="001B0427"/>
    <w:rsid w:val="001D3A51"/>
    <w:rsid w:val="001E10D2"/>
    <w:rsid w:val="001E25B4"/>
    <w:rsid w:val="001E44FE"/>
    <w:rsid w:val="00200595"/>
    <w:rsid w:val="00204835"/>
    <w:rsid w:val="00210F0F"/>
    <w:rsid w:val="00227145"/>
    <w:rsid w:val="00231920"/>
    <w:rsid w:val="0023195C"/>
    <w:rsid w:val="0023432D"/>
    <w:rsid w:val="0024282C"/>
    <w:rsid w:val="002460DC"/>
    <w:rsid w:val="00250985"/>
    <w:rsid w:val="002556F6"/>
    <w:rsid w:val="002778BF"/>
    <w:rsid w:val="00283105"/>
    <w:rsid w:val="00284C4C"/>
    <w:rsid w:val="00287E68"/>
    <w:rsid w:val="00296529"/>
    <w:rsid w:val="002A1DD1"/>
    <w:rsid w:val="002B27FB"/>
    <w:rsid w:val="002B685A"/>
    <w:rsid w:val="002C57D2"/>
    <w:rsid w:val="002E0D56"/>
    <w:rsid w:val="00315186"/>
    <w:rsid w:val="0033343E"/>
    <w:rsid w:val="003512C2"/>
    <w:rsid w:val="00371FB6"/>
    <w:rsid w:val="00375712"/>
    <w:rsid w:val="003763C1"/>
    <w:rsid w:val="00376BBE"/>
    <w:rsid w:val="0039224F"/>
    <w:rsid w:val="003A43A4"/>
    <w:rsid w:val="003A7E18"/>
    <w:rsid w:val="003C4C86"/>
    <w:rsid w:val="003C6258"/>
    <w:rsid w:val="003E0184"/>
    <w:rsid w:val="003E2904"/>
    <w:rsid w:val="00401927"/>
    <w:rsid w:val="0041027F"/>
    <w:rsid w:val="00412475"/>
    <w:rsid w:val="00423789"/>
    <w:rsid w:val="00437C3F"/>
    <w:rsid w:val="00440F43"/>
    <w:rsid w:val="00441B6F"/>
    <w:rsid w:val="00443E97"/>
    <w:rsid w:val="00446221"/>
    <w:rsid w:val="00450E62"/>
    <w:rsid w:val="004539DB"/>
    <w:rsid w:val="00453E00"/>
    <w:rsid w:val="00457B5A"/>
    <w:rsid w:val="00471A80"/>
    <w:rsid w:val="00494B93"/>
    <w:rsid w:val="004B719E"/>
    <w:rsid w:val="004B7ADB"/>
    <w:rsid w:val="004D305E"/>
    <w:rsid w:val="004D4277"/>
    <w:rsid w:val="004E5B93"/>
    <w:rsid w:val="00502516"/>
    <w:rsid w:val="00505F06"/>
    <w:rsid w:val="00506828"/>
    <w:rsid w:val="0053056E"/>
    <w:rsid w:val="00554FDA"/>
    <w:rsid w:val="00576422"/>
    <w:rsid w:val="00577344"/>
    <w:rsid w:val="005837A6"/>
    <w:rsid w:val="00593E41"/>
    <w:rsid w:val="005946BA"/>
    <w:rsid w:val="005A0889"/>
    <w:rsid w:val="005C6EB3"/>
    <w:rsid w:val="005C784C"/>
    <w:rsid w:val="005D17F6"/>
    <w:rsid w:val="005E5539"/>
    <w:rsid w:val="00602BF5"/>
    <w:rsid w:val="00617FDD"/>
    <w:rsid w:val="00633614"/>
    <w:rsid w:val="00633F68"/>
    <w:rsid w:val="00636EB2"/>
    <w:rsid w:val="006375B8"/>
    <w:rsid w:val="00646C58"/>
    <w:rsid w:val="0066510A"/>
    <w:rsid w:val="00673F9F"/>
    <w:rsid w:val="00686953"/>
    <w:rsid w:val="00687DEA"/>
    <w:rsid w:val="00687E67"/>
    <w:rsid w:val="006967F7"/>
    <w:rsid w:val="006A250C"/>
    <w:rsid w:val="006B21D3"/>
    <w:rsid w:val="006B57D0"/>
    <w:rsid w:val="006D30FF"/>
    <w:rsid w:val="006D6940"/>
    <w:rsid w:val="006F11EC"/>
    <w:rsid w:val="006F4C60"/>
    <w:rsid w:val="0070082C"/>
    <w:rsid w:val="007369E6"/>
    <w:rsid w:val="00746E59"/>
    <w:rsid w:val="00754C9A"/>
    <w:rsid w:val="0075599A"/>
    <w:rsid w:val="00761D52"/>
    <w:rsid w:val="00770AC8"/>
    <w:rsid w:val="007766C4"/>
    <w:rsid w:val="0077749E"/>
    <w:rsid w:val="00784FBA"/>
    <w:rsid w:val="00790ADA"/>
    <w:rsid w:val="007A2B2C"/>
    <w:rsid w:val="007D2288"/>
    <w:rsid w:val="007E088F"/>
    <w:rsid w:val="007F7B32"/>
    <w:rsid w:val="00804BC2"/>
    <w:rsid w:val="0081431A"/>
    <w:rsid w:val="0083216F"/>
    <w:rsid w:val="00847A2A"/>
    <w:rsid w:val="00853B0C"/>
    <w:rsid w:val="00860000"/>
    <w:rsid w:val="00863BD3"/>
    <w:rsid w:val="008641ED"/>
    <w:rsid w:val="00866D66"/>
    <w:rsid w:val="008671C6"/>
    <w:rsid w:val="00875803"/>
    <w:rsid w:val="008B459E"/>
    <w:rsid w:val="008D5DBC"/>
    <w:rsid w:val="008D6D23"/>
    <w:rsid w:val="008E13AE"/>
    <w:rsid w:val="008E1506"/>
    <w:rsid w:val="008E710C"/>
    <w:rsid w:val="008F69D6"/>
    <w:rsid w:val="00902823"/>
    <w:rsid w:val="00915CA6"/>
    <w:rsid w:val="00927834"/>
    <w:rsid w:val="009500A6"/>
    <w:rsid w:val="00957C18"/>
    <w:rsid w:val="009659BA"/>
    <w:rsid w:val="00983040"/>
    <w:rsid w:val="009919FA"/>
    <w:rsid w:val="0099579F"/>
    <w:rsid w:val="009B3FB9"/>
    <w:rsid w:val="009C2465"/>
    <w:rsid w:val="009C28C3"/>
    <w:rsid w:val="009D1D27"/>
    <w:rsid w:val="009D35A0"/>
    <w:rsid w:val="009D7EB7"/>
    <w:rsid w:val="009E048A"/>
    <w:rsid w:val="009E08E9"/>
    <w:rsid w:val="009E3DB9"/>
    <w:rsid w:val="009E6E35"/>
    <w:rsid w:val="009F0EDA"/>
    <w:rsid w:val="00A03B96"/>
    <w:rsid w:val="00A05B19"/>
    <w:rsid w:val="00A06EE2"/>
    <w:rsid w:val="00A074FA"/>
    <w:rsid w:val="00A1134E"/>
    <w:rsid w:val="00A24E7E"/>
    <w:rsid w:val="00A258C3"/>
    <w:rsid w:val="00A347C0"/>
    <w:rsid w:val="00A51431"/>
    <w:rsid w:val="00A539AD"/>
    <w:rsid w:val="00A62356"/>
    <w:rsid w:val="00A73D4E"/>
    <w:rsid w:val="00A94063"/>
    <w:rsid w:val="00AA6219"/>
    <w:rsid w:val="00AA6768"/>
    <w:rsid w:val="00AA74E0"/>
    <w:rsid w:val="00AB3DC3"/>
    <w:rsid w:val="00AB703F"/>
    <w:rsid w:val="00AB7E0B"/>
    <w:rsid w:val="00AC6BB8"/>
    <w:rsid w:val="00AE008F"/>
    <w:rsid w:val="00AE0619"/>
    <w:rsid w:val="00B01FCD"/>
    <w:rsid w:val="00B02E19"/>
    <w:rsid w:val="00B1776C"/>
    <w:rsid w:val="00B509E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39CB"/>
    <w:rsid w:val="00C70F1B"/>
    <w:rsid w:val="00C71A47"/>
    <w:rsid w:val="00C7464C"/>
    <w:rsid w:val="00C83046"/>
    <w:rsid w:val="00C85588"/>
    <w:rsid w:val="00CD6755"/>
    <w:rsid w:val="00CD6856"/>
    <w:rsid w:val="00CE0089"/>
    <w:rsid w:val="00CE27A2"/>
    <w:rsid w:val="00CE793C"/>
    <w:rsid w:val="00CF193C"/>
    <w:rsid w:val="00D14D89"/>
    <w:rsid w:val="00D173F1"/>
    <w:rsid w:val="00D31A73"/>
    <w:rsid w:val="00D74CB0"/>
    <w:rsid w:val="00D8295D"/>
    <w:rsid w:val="00DA6CBF"/>
    <w:rsid w:val="00DC2A65"/>
    <w:rsid w:val="00DE15F0"/>
    <w:rsid w:val="00DE2768"/>
    <w:rsid w:val="00DE5663"/>
    <w:rsid w:val="00DE5CC6"/>
    <w:rsid w:val="00DE78AA"/>
    <w:rsid w:val="00E053D0"/>
    <w:rsid w:val="00E15994"/>
    <w:rsid w:val="00E1758D"/>
    <w:rsid w:val="00E269AB"/>
    <w:rsid w:val="00E3114E"/>
    <w:rsid w:val="00E31A70"/>
    <w:rsid w:val="00E35B02"/>
    <w:rsid w:val="00E37CF8"/>
    <w:rsid w:val="00E66496"/>
    <w:rsid w:val="00E66B35"/>
    <w:rsid w:val="00E66E10"/>
    <w:rsid w:val="00E769F6"/>
    <w:rsid w:val="00E8407C"/>
    <w:rsid w:val="00E84F3C"/>
    <w:rsid w:val="00EA012C"/>
    <w:rsid w:val="00EC6A55"/>
    <w:rsid w:val="00ED0288"/>
    <w:rsid w:val="00EE52CB"/>
    <w:rsid w:val="00EF581D"/>
    <w:rsid w:val="00EF7FD8"/>
    <w:rsid w:val="00F01986"/>
    <w:rsid w:val="00F06F59"/>
    <w:rsid w:val="00F17988"/>
    <w:rsid w:val="00F3354E"/>
    <w:rsid w:val="00F469F0"/>
    <w:rsid w:val="00F53273"/>
    <w:rsid w:val="00F643BA"/>
    <w:rsid w:val="00F656B7"/>
    <w:rsid w:val="00F755E4"/>
    <w:rsid w:val="00F77D02"/>
    <w:rsid w:val="00F85E65"/>
    <w:rsid w:val="00F96CC6"/>
    <w:rsid w:val="00FB3A86"/>
    <w:rsid w:val="00FD2728"/>
    <w:rsid w:val="00FD36C8"/>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063F6C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E5C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semiHidden/>
    <w:unhideWhenUsed/>
    <w:qFormat/>
    <w:rsid w:val="00A074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47A2A"/>
    <w:rPr>
      <w:color w:val="666666"/>
    </w:rPr>
  </w:style>
  <w:style w:type="character" w:customStyle="1" w:styleId="Heading2Char">
    <w:name w:val="Heading 2 Char"/>
    <w:basedOn w:val="DefaultParagraphFont"/>
    <w:link w:val="Heading2"/>
    <w:semiHidden/>
    <w:rsid w:val="00DE5CC6"/>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122873"/>
    <w:pPr>
      <w:spacing w:after="200"/>
    </w:pPr>
    <w:rPr>
      <w:rFonts w:asciiTheme="minorHAnsi" w:eastAsiaTheme="minorHAnsi" w:hAnsiTheme="minorHAnsi" w:cstheme="minorBidi"/>
      <w:i/>
      <w:iCs/>
      <w:color w:val="1F497D" w:themeColor="text2"/>
      <w:kern w:val="2"/>
      <w:sz w:val="18"/>
      <w:szCs w:val="18"/>
    </w:rPr>
  </w:style>
  <w:style w:type="character" w:customStyle="1" w:styleId="Heading9Char">
    <w:name w:val="Heading 9 Char"/>
    <w:basedOn w:val="DefaultParagraphFont"/>
    <w:link w:val="Heading9"/>
    <w:uiPriority w:val="9"/>
    <w:semiHidden/>
    <w:rsid w:val="00A074F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EE093-8107-4E90-AD77-0A636271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871</TotalTime>
  <Pages>24</Pages>
  <Words>19530</Words>
  <Characters>111324</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130593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67</cp:revision>
  <cp:lastPrinted>1999-07-06T11:00:00Z</cp:lastPrinted>
  <dcterms:created xsi:type="dcterms:W3CDTF">2014-10-25T14:34:00Z</dcterms:created>
  <dcterms:modified xsi:type="dcterms:W3CDTF">2025-10-31T11:16:00Z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594d6bb7-b648-318c-89d6-560b91b73fc5</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 11th edition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http://www.zotero.org/styles/ieee</vt:lpwstr>
  </property>
</Properties>
</file>