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C84A6" w14:textId="77777777" w:rsidR="001D5D61" w:rsidRDefault="001D5D61" w:rsidP="001D5D61">
      <w:pPr>
        <w:bidi w:val="0"/>
        <w:spacing w:after="0" w:line="240" w:lineRule="auto"/>
        <w:jc w:val="center"/>
        <w:rPr>
          <w:rFonts w:asciiTheme="majorBidi" w:hAnsiTheme="majorBidi" w:cstheme="majorBidi"/>
          <w:b/>
          <w:bCs/>
          <w:sz w:val="20"/>
          <w:szCs w:val="20"/>
          <w:rtl/>
        </w:rPr>
      </w:pPr>
    </w:p>
    <w:p w14:paraId="73FA4C40" w14:textId="77777777" w:rsidR="008C1DB1" w:rsidRDefault="008C1DB1" w:rsidP="008C1DB1">
      <w:pPr>
        <w:bidi w:val="0"/>
        <w:spacing w:after="0" w:line="240" w:lineRule="auto"/>
        <w:jc w:val="center"/>
        <w:rPr>
          <w:rFonts w:asciiTheme="majorBidi" w:hAnsiTheme="majorBidi" w:cstheme="majorBidi"/>
          <w:b/>
          <w:bCs/>
          <w:sz w:val="20"/>
          <w:szCs w:val="20"/>
          <w:rtl/>
        </w:rPr>
      </w:pPr>
    </w:p>
    <w:p w14:paraId="77676F2E" w14:textId="7EA2093B" w:rsidR="002214D7" w:rsidRPr="008C1DB1" w:rsidRDefault="002214D7" w:rsidP="008C1DB1">
      <w:pPr>
        <w:bidi w:val="0"/>
        <w:spacing w:after="0" w:line="240" w:lineRule="auto"/>
        <w:jc w:val="center"/>
        <w:rPr>
          <w:rFonts w:asciiTheme="majorBidi" w:hAnsiTheme="majorBidi" w:cstheme="majorBidi"/>
          <w:b/>
          <w:bCs/>
        </w:rPr>
      </w:pPr>
      <w:r w:rsidRPr="008C1DB1">
        <w:rPr>
          <w:rFonts w:asciiTheme="majorBidi" w:hAnsiTheme="majorBidi" w:cstheme="majorBidi"/>
          <w:b/>
          <w:bCs/>
        </w:rPr>
        <w:t xml:space="preserve">Assessment of the Trend of Physical Development of Residential Areas </w:t>
      </w:r>
      <w:r w:rsidR="001B0138" w:rsidRPr="008C1DB1">
        <w:rPr>
          <w:rFonts w:asciiTheme="majorBidi" w:hAnsiTheme="majorBidi" w:cstheme="majorBidi"/>
          <w:b/>
          <w:bCs/>
        </w:rPr>
        <w:t>towards</w:t>
      </w:r>
      <w:r w:rsidRPr="008C1DB1">
        <w:rPr>
          <w:rFonts w:asciiTheme="majorBidi" w:hAnsiTheme="majorBidi" w:cstheme="majorBidi"/>
          <w:b/>
          <w:bCs/>
        </w:rPr>
        <w:t xml:space="preserve"> Regions Vulnerable to Natural Hazards </w:t>
      </w:r>
      <w:r w:rsidR="00B765EA">
        <w:rPr>
          <w:rFonts w:asciiTheme="majorBidi" w:hAnsiTheme="majorBidi" w:cstheme="majorBidi"/>
          <w:b/>
          <w:bCs/>
        </w:rPr>
        <w:t>-</w:t>
      </w:r>
      <w:r w:rsidRPr="008C1DB1">
        <w:rPr>
          <w:rFonts w:asciiTheme="majorBidi" w:hAnsiTheme="majorBidi" w:cstheme="majorBidi"/>
          <w:b/>
          <w:bCs/>
        </w:rPr>
        <w:t>Case Study: Cities of Kurdistan Province in Western Iran</w:t>
      </w:r>
    </w:p>
    <w:p w14:paraId="04CEE24B" w14:textId="77777777" w:rsidR="00CD19EE" w:rsidRDefault="00CD19EE" w:rsidP="008C1DB1">
      <w:pPr>
        <w:bidi w:val="0"/>
        <w:spacing w:after="0" w:line="240" w:lineRule="auto"/>
        <w:jc w:val="center"/>
        <w:rPr>
          <w:rFonts w:asciiTheme="majorBidi" w:hAnsiTheme="majorBidi" w:cstheme="majorBidi"/>
          <w:b/>
          <w:bCs/>
          <w:sz w:val="20"/>
          <w:szCs w:val="20"/>
        </w:rPr>
      </w:pPr>
    </w:p>
    <w:p w14:paraId="56551F21" w14:textId="77777777" w:rsidR="001D5D61" w:rsidRPr="00320F84" w:rsidRDefault="001D5D61" w:rsidP="001D5D61">
      <w:pPr>
        <w:bidi w:val="0"/>
        <w:spacing w:after="0" w:line="240" w:lineRule="auto"/>
        <w:rPr>
          <w:rFonts w:asciiTheme="majorBidi" w:hAnsiTheme="majorBidi" w:cstheme="majorBidi"/>
          <w:b/>
          <w:bCs/>
          <w:sz w:val="18"/>
          <w:szCs w:val="18"/>
        </w:rPr>
      </w:pPr>
    </w:p>
    <w:p w14:paraId="3262B7AB" w14:textId="3A5CA455" w:rsidR="001D5D61" w:rsidRDefault="001D5D61" w:rsidP="001D5D61">
      <w:pPr>
        <w:bidi w:val="0"/>
        <w:spacing w:after="0" w:line="240" w:lineRule="auto"/>
        <w:jc w:val="center"/>
        <w:rPr>
          <w:rFonts w:asciiTheme="majorBidi" w:hAnsiTheme="majorBidi" w:cstheme="majorBidi"/>
          <w:b/>
          <w:bCs/>
          <w:sz w:val="20"/>
          <w:szCs w:val="20"/>
        </w:rPr>
      </w:pPr>
    </w:p>
    <w:p w14:paraId="0F191165" w14:textId="77777777" w:rsidR="00C80819" w:rsidRPr="008C1DB1" w:rsidRDefault="00C80819" w:rsidP="00C80819">
      <w:pPr>
        <w:bidi w:val="0"/>
        <w:spacing w:after="0" w:line="240" w:lineRule="auto"/>
        <w:jc w:val="center"/>
        <w:rPr>
          <w:rFonts w:asciiTheme="majorBidi" w:hAnsiTheme="majorBidi" w:cstheme="majorBidi"/>
          <w:b/>
          <w:bCs/>
          <w:sz w:val="20"/>
          <w:szCs w:val="20"/>
        </w:rPr>
      </w:pPr>
    </w:p>
    <w:p w14:paraId="212EB39B" w14:textId="6484AEAB" w:rsidR="00CD19EE" w:rsidRPr="00636421" w:rsidRDefault="00CD19EE" w:rsidP="001D5D61">
      <w:pPr>
        <w:bidi w:val="0"/>
        <w:spacing w:after="0" w:line="240" w:lineRule="auto"/>
        <w:ind w:left="567" w:right="567"/>
        <w:rPr>
          <w:rFonts w:asciiTheme="majorBidi" w:hAnsiTheme="majorBidi" w:cstheme="majorBidi"/>
          <w:b/>
          <w:bCs/>
        </w:rPr>
      </w:pPr>
      <w:r w:rsidRPr="00636421">
        <w:rPr>
          <w:rFonts w:asciiTheme="majorBidi" w:hAnsiTheme="majorBidi" w:cstheme="majorBidi"/>
          <w:b/>
          <w:bCs/>
        </w:rPr>
        <w:t>Abstract</w:t>
      </w:r>
    </w:p>
    <w:p w14:paraId="631A2723" w14:textId="438F4370" w:rsidR="00CD19EE" w:rsidRPr="00636421" w:rsidRDefault="00B218B4" w:rsidP="001D5D61">
      <w:pPr>
        <w:bidi w:val="0"/>
        <w:spacing w:after="0" w:line="240" w:lineRule="auto"/>
        <w:ind w:left="567" w:right="567"/>
        <w:jc w:val="both"/>
        <w:rPr>
          <w:rFonts w:asciiTheme="majorBidi" w:hAnsiTheme="majorBidi" w:cstheme="majorBidi"/>
          <w:lang w:bidi="fa-IR"/>
        </w:rPr>
      </w:pPr>
      <w:r w:rsidRPr="00636421">
        <w:rPr>
          <w:rFonts w:asciiTheme="majorBidi" w:hAnsiTheme="majorBidi" w:cstheme="majorBidi"/>
        </w:rPr>
        <w:t>Cities in Kurdistan Province have a high potential for vulnerability to natural hazards.</w:t>
      </w:r>
      <w:r w:rsidRPr="00636421">
        <w:rPr>
          <w:rFonts w:asciiTheme="majorBidi" w:hAnsiTheme="majorBidi" w:cstheme="majorBidi" w:hint="cs"/>
          <w:rtl/>
        </w:rPr>
        <w:t xml:space="preserve"> </w:t>
      </w:r>
      <w:r w:rsidR="00E95A85" w:rsidRPr="00636421">
        <w:rPr>
          <w:rFonts w:asciiTheme="majorBidi" w:hAnsiTheme="majorBidi" w:cstheme="majorBidi"/>
        </w:rPr>
        <w:t xml:space="preserve">Given the importance of this issue, this </w:t>
      </w:r>
      <w:r w:rsidR="00B571DF" w:rsidRPr="00636421">
        <w:rPr>
          <w:rFonts w:asciiTheme="majorBidi" w:hAnsiTheme="majorBidi" w:cstheme="majorBidi"/>
        </w:rPr>
        <w:t>study</w:t>
      </w:r>
      <w:r w:rsidR="00E95A85" w:rsidRPr="00636421">
        <w:rPr>
          <w:rFonts w:asciiTheme="majorBidi" w:hAnsiTheme="majorBidi" w:cstheme="majorBidi"/>
        </w:rPr>
        <w:t xml:space="preserve"> evaluates the trend of physical development in the cities of Kurdistan Province towards areas </w:t>
      </w:r>
      <w:r w:rsidR="00B81DBD" w:rsidRPr="00636421">
        <w:rPr>
          <w:rFonts w:asciiTheme="majorBidi" w:hAnsiTheme="majorBidi" w:cstheme="majorBidi"/>
        </w:rPr>
        <w:t>that are susceptible to natural hazards</w:t>
      </w:r>
      <w:r w:rsidR="00E95A85" w:rsidRPr="00636421">
        <w:rPr>
          <w:rFonts w:asciiTheme="majorBidi" w:hAnsiTheme="majorBidi" w:cstheme="majorBidi"/>
        </w:rPr>
        <w:t xml:space="preserve">. The Landsat satellite images, </w:t>
      </w:r>
      <w:r w:rsidR="00B14FD9" w:rsidRPr="00636421">
        <w:rPr>
          <w:rFonts w:asciiTheme="majorBidi" w:hAnsiTheme="majorBidi" w:cstheme="majorBidi"/>
        </w:rPr>
        <w:t xml:space="preserve">ALOS PALSAR </w:t>
      </w:r>
      <w:r w:rsidR="00E95A85" w:rsidRPr="00636421">
        <w:rPr>
          <w:rFonts w:asciiTheme="majorBidi" w:hAnsiTheme="majorBidi" w:cstheme="majorBidi"/>
        </w:rPr>
        <w:t xml:space="preserve">12.5m </w:t>
      </w:r>
      <w:r w:rsidR="00B14FD9" w:rsidRPr="00636421">
        <w:rPr>
          <w:rFonts w:asciiTheme="majorBidi" w:hAnsiTheme="majorBidi" w:cstheme="majorBidi"/>
        </w:rPr>
        <w:t>DEM</w:t>
      </w:r>
      <w:r w:rsidR="00E95A85" w:rsidRPr="00636421">
        <w:rPr>
          <w:rFonts w:asciiTheme="majorBidi" w:hAnsiTheme="majorBidi" w:cstheme="majorBidi"/>
        </w:rPr>
        <w:t xml:space="preserve">, and digital information layers </w:t>
      </w:r>
      <w:r w:rsidR="00B81DBD" w:rsidRPr="00636421">
        <w:rPr>
          <w:rFonts w:asciiTheme="majorBidi" w:hAnsiTheme="majorBidi" w:cstheme="majorBidi"/>
        </w:rPr>
        <w:t xml:space="preserve">were used </w:t>
      </w:r>
      <w:r w:rsidR="00E95A85" w:rsidRPr="00636421">
        <w:rPr>
          <w:rFonts w:asciiTheme="majorBidi" w:hAnsiTheme="majorBidi" w:cstheme="majorBidi"/>
        </w:rPr>
        <w:t>as the main data sources.</w:t>
      </w:r>
      <w:r w:rsidR="00CB5586" w:rsidRPr="00636421">
        <w:t xml:space="preserve"> </w:t>
      </w:r>
      <w:r w:rsidR="00CB5586" w:rsidRPr="00636421">
        <w:rPr>
          <w:rFonts w:asciiTheme="majorBidi" w:hAnsiTheme="majorBidi" w:cstheme="majorBidi"/>
        </w:rPr>
        <w:t>The main analytical tools used in this study are ArcGIS and ENVI</w:t>
      </w:r>
      <w:r w:rsidR="00E95A85" w:rsidRPr="00636421">
        <w:rPr>
          <w:rFonts w:asciiTheme="majorBidi" w:hAnsiTheme="majorBidi" w:cstheme="majorBidi"/>
        </w:rPr>
        <w:t>.</w:t>
      </w:r>
      <w:r w:rsidR="00E95A85" w:rsidRPr="00636421">
        <w:rPr>
          <w:rFonts w:asciiTheme="majorBidi" w:hAnsiTheme="majorBidi" w:cstheme="majorBidi" w:hint="cs"/>
          <w:rtl/>
          <w:lang w:bidi="fa-IR"/>
        </w:rPr>
        <w:t xml:space="preserve"> </w:t>
      </w:r>
      <w:r w:rsidR="00F03C9C" w:rsidRPr="00636421">
        <w:rPr>
          <w:rFonts w:asciiTheme="majorBidi" w:hAnsiTheme="majorBidi" w:cstheme="majorBidi"/>
          <w:lang w:bidi="fa-IR"/>
        </w:rPr>
        <w:t>I</w:t>
      </w:r>
      <w:r w:rsidR="00E95A85" w:rsidRPr="00636421">
        <w:rPr>
          <w:rFonts w:asciiTheme="majorBidi" w:hAnsiTheme="majorBidi" w:cstheme="majorBidi"/>
          <w:lang w:bidi="fa-IR"/>
        </w:rPr>
        <w:t>nitially, the physical development trends of the cities in Kurdistan Province over the years 1992, 2002, 2012, and 2022 were assessed, followed by an evaluation of the cities’ development towards areas vulnerable to natural hazards. The results of the physical development assessment indicate that Sanandaj city has experienced the most significant physical development, with an increase of 12.35</w:t>
      </w:r>
      <w:r w:rsidR="00F03C9C" w:rsidRPr="00636421">
        <w:rPr>
          <w:rFonts w:asciiTheme="majorBidi" w:hAnsiTheme="majorBidi" w:cstheme="majorBidi"/>
          <w:lang w:bidi="fa-IR"/>
        </w:rPr>
        <w:t xml:space="preserve"> </w:t>
      </w:r>
      <w:r w:rsidR="00E95A85" w:rsidRPr="00636421">
        <w:rPr>
          <w:rFonts w:asciiTheme="majorBidi" w:hAnsiTheme="majorBidi" w:cstheme="majorBidi"/>
          <w:lang w:bidi="fa-IR"/>
        </w:rPr>
        <w:t>km</w:t>
      </w:r>
      <w:r w:rsidR="00F03C9C" w:rsidRPr="00636421">
        <w:rPr>
          <w:rFonts w:asciiTheme="majorBidi" w:hAnsiTheme="majorBidi" w:cstheme="majorBidi"/>
          <w:vertAlign w:val="superscript"/>
          <w:lang w:bidi="fa-IR"/>
        </w:rPr>
        <w:t>2</w:t>
      </w:r>
      <w:r w:rsidR="00E95A85" w:rsidRPr="00636421">
        <w:rPr>
          <w:rFonts w:asciiTheme="majorBidi" w:hAnsiTheme="majorBidi" w:cstheme="majorBidi"/>
          <w:lang w:bidi="fa-IR"/>
        </w:rPr>
        <w:t xml:space="preserve"> over 30 years. However, in terms of relative physical development (development relative to the area of the city), </w:t>
      </w:r>
      <w:proofErr w:type="spellStart"/>
      <w:r w:rsidR="00E95A85" w:rsidRPr="00636421">
        <w:rPr>
          <w:rFonts w:asciiTheme="majorBidi" w:hAnsiTheme="majorBidi" w:cstheme="majorBidi"/>
          <w:lang w:bidi="fa-IR"/>
        </w:rPr>
        <w:t>Sarvabad</w:t>
      </w:r>
      <w:proofErr w:type="spellEnd"/>
      <w:r w:rsidR="00E95A85" w:rsidRPr="00636421">
        <w:rPr>
          <w:rFonts w:asciiTheme="majorBidi" w:hAnsiTheme="majorBidi" w:cstheme="majorBidi"/>
          <w:lang w:bidi="fa-IR"/>
        </w:rPr>
        <w:t xml:space="preserve"> city has shown the highest relative physical development, with an increase of approximately 2.3 times over the same period. </w:t>
      </w:r>
      <w:r w:rsidR="00B14FD9" w:rsidRPr="00636421">
        <w:rPr>
          <w:rFonts w:asciiTheme="majorBidi" w:hAnsiTheme="majorBidi" w:cstheme="majorBidi"/>
          <w:lang w:bidi="fa-IR"/>
        </w:rPr>
        <w:t>Furthermore, the examination of physical development in relation to the geomorphological conditions of the cities indicates that geomorphological factors play a primary role in the trend and direction of physical development in Kurdistan Province. Geomorphological constraints have led many residential areas to encroach into hazardous regions in recent years. According to the results obtained from 1992 to 2022, the following areas have encroached into hazardous zones: 1.84</w:t>
      </w:r>
      <w:r w:rsidR="00F03C9C" w:rsidRPr="00636421">
        <w:rPr>
          <w:rFonts w:asciiTheme="majorBidi" w:hAnsiTheme="majorBidi" w:cstheme="majorBidi"/>
          <w:lang w:bidi="fa-IR"/>
        </w:rPr>
        <w:t xml:space="preserve"> km</w:t>
      </w:r>
      <w:r w:rsidR="00F03C9C" w:rsidRPr="00636421">
        <w:rPr>
          <w:rFonts w:asciiTheme="majorBidi" w:hAnsiTheme="majorBidi" w:cstheme="majorBidi"/>
          <w:vertAlign w:val="superscript"/>
          <w:lang w:bidi="fa-IR"/>
        </w:rPr>
        <w:t>2</w:t>
      </w:r>
      <w:r w:rsidR="00F03C9C" w:rsidRPr="00636421">
        <w:rPr>
          <w:rFonts w:asciiTheme="majorBidi" w:hAnsiTheme="majorBidi" w:cstheme="majorBidi"/>
          <w:lang w:bidi="fa-IR"/>
        </w:rPr>
        <w:t xml:space="preserve"> </w:t>
      </w:r>
      <w:r w:rsidR="00B14FD9" w:rsidRPr="00636421">
        <w:rPr>
          <w:rFonts w:asciiTheme="majorBidi" w:hAnsiTheme="majorBidi" w:cstheme="majorBidi"/>
          <w:lang w:bidi="fa-IR"/>
        </w:rPr>
        <w:t>from Baneh, 0.51</w:t>
      </w:r>
      <w:r w:rsidR="00F03C9C" w:rsidRPr="00636421">
        <w:rPr>
          <w:rFonts w:asciiTheme="majorBidi" w:hAnsiTheme="majorBidi" w:cstheme="majorBidi"/>
          <w:lang w:bidi="fa-IR"/>
        </w:rPr>
        <w:t xml:space="preserve"> km</w:t>
      </w:r>
      <w:r w:rsidR="00F03C9C" w:rsidRPr="00636421">
        <w:rPr>
          <w:rFonts w:asciiTheme="majorBidi" w:hAnsiTheme="majorBidi" w:cstheme="majorBidi"/>
          <w:vertAlign w:val="superscript"/>
          <w:lang w:bidi="fa-IR"/>
        </w:rPr>
        <w:t xml:space="preserve">2 </w:t>
      </w:r>
      <w:r w:rsidR="00B14FD9" w:rsidRPr="00636421">
        <w:rPr>
          <w:rFonts w:asciiTheme="majorBidi" w:hAnsiTheme="majorBidi" w:cstheme="majorBidi"/>
          <w:lang w:bidi="fa-IR"/>
        </w:rPr>
        <w:t>from Bijar, 0.29</w:t>
      </w:r>
      <w:r w:rsidR="00F03C9C" w:rsidRPr="00636421">
        <w:rPr>
          <w:rFonts w:asciiTheme="majorBidi" w:hAnsiTheme="majorBidi" w:cstheme="majorBidi"/>
          <w:lang w:bidi="fa-IR"/>
        </w:rPr>
        <w:t xml:space="preserve"> km</w:t>
      </w:r>
      <w:r w:rsidR="00F03C9C" w:rsidRPr="00636421">
        <w:rPr>
          <w:rFonts w:asciiTheme="majorBidi" w:hAnsiTheme="majorBidi" w:cstheme="majorBidi"/>
          <w:vertAlign w:val="superscript"/>
          <w:lang w:bidi="fa-IR"/>
        </w:rPr>
        <w:t>2</w:t>
      </w:r>
      <w:r w:rsidR="00F03C9C" w:rsidRPr="00636421">
        <w:rPr>
          <w:rFonts w:asciiTheme="majorBidi" w:hAnsiTheme="majorBidi" w:cstheme="majorBidi"/>
          <w:lang w:bidi="fa-IR"/>
        </w:rPr>
        <w:t xml:space="preserve"> </w:t>
      </w:r>
      <w:r w:rsidR="00B14FD9" w:rsidRPr="00636421">
        <w:rPr>
          <w:rFonts w:asciiTheme="majorBidi" w:hAnsiTheme="majorBidi" w:cstheme="majorBidi"/>
          <w:lang w:bidi="fa-IR"/>
        </w:rPr>
        <w:t xml:space="preserve">from </w:t>
      </w:r>
      <w:proofErr w:type="spellStart"/>
      <w:r w:rsidR="00B14FD9" w:rsidRPr="00636421">
        <w:rPr>
          <w:rFonts w:asciiTheme="majorBidi" w:hAnsiTheme="majorBidi" w:cstheme="majorBidi"/>
          <w:lang w:bidi="fa-IR"/>
        </w:rPr>
        <w:t>Dehgolan</w:t>
      </w:r>
      <w:proofErr w:type="spellEnd"/>
      <w:r w:rsidR="00B14FD9" w:rsidRPr="00636421">
        <w:rPr>
          <w:rFonts w:asciiTheme="majorBidi" w:hAnsiTheme="majorBidi" w:cstheme="majorBidi"/>
          <w:lang w:bidi="fa-IR"/>
        </w:rPr>
        <w:t>, 0.33</w:t>
      </w:r>
      <w:r w:rsidR="00F03C9C" w:rsidRPr="00636421">
        <w:rPr>
          <w:rFonts w:asciiTheme="majorBidi" w:hAnsiTheme="majorBidi" w:cstheme="majorBidi"/>
          <w:lang w:bidi="fa-IR"/>
        </w:rPr>
        <w:t xml:space="preserve"> km</w:t>
      </w:r>
      <w:r w:rsidR="00F03C9C" w:rsidRPr="00636421">
        <w:rPr>
          <w:rFonts w:asciiTheme="majorBidi" w:hAnsiTheme="majorBidi" w:cstheme="majorBidi"/>
          <w:vertAlign w:val="superscript"/>
          <w:lang w:bidi="fa-IR"/>
        </w:rPr>
        <w:t xml:space="preserve">2 </w:t>
      </w:r>
      <w:r w:rsidR="00B14FD9" w:rsidRPr="00636421">
        <w:rPr>
          <w:rFonts w:asciiTheme="majorBidi" w:hAnsiTheme="majorBidi" w:cstheme="majorBidi"/>
          <w:lang w:bidi="fa-IR"/>
        </w:rPr>
        <w:t xml:space="preserve">from </w:t>
      </w:r>
      <w:proofErr w:type="spellStart"/>
      <w:r w:rsidR="00B14FD9" w:rsidRPr="00636421">
        <w:rPr>
          <w:rFonts w:asciiTheme="majorBidi" w:hAnsiTheme="majorBidi" w:cstheme="majorBidi"/>
          <w:lang w:bidi="fa-IR"/>
        </w:rPr>
        <w:t>Divandareh</w:t>
      </w:r>
      <w:proofErr w:type="spellEnd"/>
      <w:r w:rsidR="00B14FD9" w:rsidRPr="00636421">
        <w:rPr>
          <w:rFonts w:asciiTheme="majorBidi" w:hAnsiTheme="majorBidi" w:cstheme="majorBidi"/>
          <w:lang w:bidi="fa-IR"/>
        </w:rPr>
        <w:t>, 0.14</w:t>
      </w:r>
      <w:r w:rsidR="00F03C9C" w:rsidRPr="00636421">
        <w:rPr>
          <w:rFonts w:asciiTheme="majorBidi" w:hAnsiTheme="majorBidi" w:cstheme="majorBidi"/>
          <w:lang w:bidi="fa-IR"/>
        </w:rPr>
        <w:t xml:space="preserve"> km</w:t>
      </w:r>
      <w:r w:rsidR="00F03C9C" w:rsidRPr="00636421">
        <w:rPr>
          <w:rFonts w:asciiTheme="majorBidi" w:hAnsiTheme="majorBidi" w:cstheme="majorBidi"/>
          <w:vertAlign w:val="superscript"/>
          <w:lang w:bidi="fa-IR"/>
        </w:rPr>
        <w:t xml:space="preserve">2 </w:t>
      </w:r>
      <w:r w:rsidR="00B14FD9" w:rsidRPr="00636421">
        <w:rPr>
          <w:rFonts w:asciiTheme="majorBidi" w:hAnsiTheme="majorBidi" w:cstheme="majorBidi"/>
          <w:lang w:bidi="fa-IR"/>
        </w:rPr>
        <w:t xml:space="preserve">from </w:t>
      </w:r>
      <w:proofErr w:type="spellStart"/>
      <w:r w:rsidR="00B14FD9" w:rsidRPr="00636421">
        <w:rPr>
          <w:rFonts w:asciiTheme="majorBidi" w:hAnsiTheme="majorBidi" w:cstheme="majorBidi"/>
          <w:lang w:bidi="fa-IR"/>
        </w:rPr>
        <w:t>Sarvabad</w:t>
      </w:r>
      <w:proofErr w:type="spellEnd"/>
      <w:r w:rsidR="00B14FD9" w:rsidRPr="00636421">
        <w:rPr>
          <w:rFonts w:asciiTheme="majorBidi" w:hAnsiTheme="majorBidi" w:cstheme="majorBidi"/>
          <w:lang w:bidi="fa-IR"/>
        </w:rPr>
        <w:t>, 1.49</w:t>
      </w:r>
      <w:r w:rsidR="00F03C9C" w:rsidRPr="00636421">
        <w:rPr>
          <w:rFonts w:asciiTheme="majorBidi" w:hAnsiTheme="majorBidi" w:cstheme="majorBidi"/>
          <w:lang w:bidi="fa-IR"/>
        </w:rPr>
        <w:t xml:space="preserve"> km</w:t>
      </w:r>
      <w:r w:rsidR="00F03C9C" w:rsidRPr="00636421">
        <w:rPr>
          <w:rFonts w:asciiTheme="majorBidi" w:hAnsiTheme="majorBidi" w:cstheme="majorBidi"/>
          <w:vertAlign w:val="superscript"/>
          <w:lang w:bidi="fa-IR"/>
        </w:rPr>
        <w:t xml:space="preserve">2 </w:t>
      </w:r>
      <w:r w:rsidR="00B14FD9" w:rsidRPr="00636421">
        <w:rPr>
          <w:rFonts w:asciiTheme="majorBidi" w:hAnsiTheme="majorBidi" w:cstheme="majorBidi"/>
          <w:lang w:bidi="fa-IR"/>
        </w:rPr>
        <w:t xml:space="preserve">from </w:t>
      </w:r>
      <w:proofErr w:type="spellStart"/>
      <w:r w:rsidR="00E72925" w:rsidRPr="00636421">
        <w:rPr>
          <w:rFonts w:asciiTheme="majorBidi" w:hAnsiTheme="majorBidi" w:cstheme="majorBidi"/>
          <w:lang w:bidi="fa-IR"/>
        </w:rPr>
        <w:t>Saghez</w:t>
      </w:r>
      <w:proofErr w:type="spellEnd"/>
      <w:r w:rsidR="00B14FD9" w:rsidRPr="00636421">
        <w:rPr>
          <w:rFonts w:asciiTheme="majorBidi" w:hAnsiTheme="majorBidi" w:cstheme="majorBidi"/>
          <w:lang w:bidi="fa-IR"/>
        </w:rPr>
        <w:t>, 2.72</w:t>
      </w:r>
      <w:r w:rsidR="00F03C9C" w:rsidRPr="00636421">
        <w:rPr>
          <w:rFonts w:asciiTheme="majorBidi" w:hAnsiTheme="majorBidi" w:cstheme="majorBidi"/>
          <w:lang w:bidi="fa-IR"/>
        </w:rPr>
        <w:t xml:space="preserve"> km</w:t>
      </w:r>
      <w:r w:rsidR="00F03C9C" w:rsidRPr="00636421">
        <w:rPr>
          <w:rFonts w:asciiTheme="majorBidi" w:hAnsiTheme="majorBidi" w:cstheme="majorBidi"/>
          <w:vertAlign w:val="superscript"/>
          <w:lang w:bidi="fa-IR"/>
        </w:rPr>
        <w:t xml:space="preserve">2 </w:t>
      </w:r>
      <w:r w:rsidR="00B14FD9" w:rsidRPr="00636421">
        <w:rPr>
          <w:rFonts w:asciiTheme="majorBidi" w:hAnsiTheme="majorBidi" w:cstheme="majorBidi"/>
          <w:lang w:bidi="fa-IR"/>
        </w:rPr>
        <w:t xml:space="preserve">from Sanandaj, 0.36 </w:t>
      </w:r>
      <w:r w:rsidR="00F03C9C" w:rsidRPr="00636421">
        <w:rPr>
          <w:rFonts w:asciiTheme="majorBidi" w:hAnsiTheme="majorBidi" w:cstheme="majorBidi"/>
          <w:lang w:bidi="fa-IR"/>
        </w:rPr>
        <w:t>km</w:t>
      </w:r>
      <w:r w:rsidR="00F03C9C" w:rsidRPr="00636421">
        <w:rPr>
          <w:rFonts w:asciiTheme="majorBidi" w:hAnsiTheme="majorBidi" w:cstheme="majorBidi"/>
          <w:vertAlign w:val="superscript"/>
          <w:lang w:bidi="fa-IR"/>
        </w:rPr>
        <w:t>2</w:t>
      </w:r>
      <w:r w:rsidR="00F03C9C" w:rsidRPr="00636421">
        <w:rPr>
          <w:rFonts w:asciiTheme="majorBidi" w:hAnsiTheme="majorBidi" w:cstheme="majorBidi"/>
          <w:lang w:bidi="fa-IR"/>
        </w:rPr>
        <w:t xml:space="preserve"> </w:t>
      </w:r>
      <w:r w:rsidR="00B14FD9" w:rsidRPr="00636421">
        <w:rPr>
          <w:rFonts w:asciiTheme="majorBidi" w:hAnsiTheme="majorBidi" w:cstheme="majorBidi"/>
          <w:lang w:bidi="fa-IR"/>
        </w:rPr>
        <w:t xml:space="preserve">from </w:t>
      </w:r>
      <w:proofErr w:type="spellStart"/>
      <w:r w:rsidR="00B14FD9" w:rsidRPr="00636421">
        <w:rPr>
          <w:rFonts w:asciiTheme="majorBidi" w:hAnsiTheme="majorBidi" w:cstheme="majorBidi"/>
          <w:lang w:bidi="fa-IR"/>
        </w:rPr>
        <w:t>Qorveh</w:t>
      </w:r>
      <w:proofErr w:type="spellEnd"/>
      <w:r w:rsidR="00B14FD9" w:rsidRPr="00636421">
        <w:rPr>
          <w:rFonts w:asciiTheme="majorBidi" w:hAnsiTheme="majorBidi" w:cstheme="majorBidi"/>
          <w:lang w:bidi="fa-IR"/>
        </w:rPr>
        <w:t xml:space="preserve">, 0.23 </w:t>
      </w:r>
      <w:r w:rsidR="00F03C9C" w:rsidRPr="00636421">
        <w:rPr>
          <w:rFonts w:asciiTheme="majorBidi" w:hAnsiTheme="majorBidi" w:cstheme="majorBidi"/>
          <w:lang w:bidi="fa-IR"/>
        </w:rPr>
        <w:t>km</w:t>
      </w:r>
      <w:r w:rsidR="00F03C9C" w:rsidRPr="00636421">
        <w:rPr>
          <w:rFonts w:asciiTheme="majorBidi" w:hAnsiTheme="majorBidi" w:cstheme="majorBidi"/>
          <w:vertAlign w:val="superscript"/>
          <w:lang w:bidi="fa-IR"/>
        </w:rPr>
        <w:t>2</w:t>
      </w:r>
      <w:r w:rsidR="00F03C9C" w:rsidRPr="00636421">
        <w:rPr>
          <w:rFonts w:asciiTheme="majorBidi" w:hAnsiTheme="majorBidi" w:cstheme="majorBidi"/>
          <w:lang w:bidi="fa-IR"/>
        </w:rPr>
        <w:t xml:space="preserve"> </w:t>
      </w:r>
      <w:r w:rsidR="00B14FD9" w:rsidRPr="00636421">
        <w:rPr>
          <w:rFonts w:asciiTheme="majorBidi" w:hAnsiTheme="majorBidi" w:cstheme="majorBidi"/>
          <w:lang w:bidi="fa-IR"/>
        </w:rPr>
        <w:t xml:space="preserve">from </w:t>
      </w:r>
      <w:proofErr w:type="spellStart"/>
      <w:r w:rsidR="00E72925" w:rsidRPr="00636421">
        <w:rPr>
          <w:rFonts w:asciiTheme="majorBidi" w:hAnsiTheme="majorBidi" w:cstheme="majorBidi"/>
          <w:lang w:bidi="fa-IR"/>
        </w:rPr>
        <w:t>Kamyaran</w:t>
      </w:r>
      <w:proofErr w:type="spellEnd"/>
      <w:r w:rsidR="00B14FD9" w:rsidRPr="00636421">
        <w:rPr>
          <w:rFonts w:asciiTheme="majorBidi" w:hAnsiTheme="majorBidi" w:cstheme="majorBidi"/>
          <w:lang w:bidi="fa-IR"/>
        </w:rPr>
        <w:t xml:space="preserve">, and 1.06 </w:t>
      </w:r>
      <w:r w:rsidR="00F03C9C" w:rsidRPr="00636421">
        <w:rPr>
          <w:rFonts w:asciiTheme="majorBidi" w:hAnsiTheme="majorBidi" w:cstheme="majorBidi"/>
          <w:lang w:bidi="fa-IR"/>
        </w:rPr>
        <w:t>km</w:t>
      </w:r>
      <w:r w:rsidR="00F03C9C" w:rsidRPr="00636421">
        <w:rPr>
          <w:rFonts w:asciiTheme="majorBidi" w:hAnsiTheme="majorBidi" w:cstheme="majorBidi"/>
          <w:vertAlign w:val="superscript"/>
          <w:lang w:bidi="fa-IR"/>
        </w:rPr>
        <w:t>2</w:t>
      </w:r>
      <w:r w:rsidR="00F03C9C" w:rsidRPr="00636421">
        <w:rPr>
          <w:rFonts w:asciiTheme="majorBidi" w:hAnsiTheme="majorBidi" w:cstheme="majorBidi"/>
          <w:lang w:bidi="fa-IR"/>
        </w:rPr>
        <w:t xml:space="preserve"> </w:t>
      </w:r>
      <w:r w:rsidR="00B14FD9" w:rsidRPr="00636421">
        <w:rPr>
          <w:rFonts w:asciiTheme="majorBidi" w:hAnsiTheme="majorBidi" w:cstheme="majorBidi"/>
          <w:lang w:bidi="fa-IR"/>
        </w:rPr>
        <w:t>from Marivan.</w:t>
      </w:r>
    </w:p>
    <w:p w14:paraId="45DEF96C" w14:textId="5BEAF2CE" w:rsidR="001D5D61" w:rsidRDefault="00202285" w:rsidP="00BC27F2">
      <w:pPr>
        <w:bidi w:val="0"/>
        <w:spacing w:after="0" w:line="240" w:lineRule="auto"/>
        <w:ind w:left="567" w:right="567"/>
        <w:jc w:val="both"/>
        <w:rPr>
          <w:rFonts w:asciiTheme="majorBidi" w:hAnsiTheme="majorBidi" w:cstheme="majorBidi"/>
          <w:lang w:bidi="fa-IR"/>
        </w:rPr>
      </w:pPr>
      <w:r w:rsidRPr="00636421">
        <w:rPr>
          <w:rFonts w:asciiTheme="majorBidi" w:hAnsiTheme="majorBidi" w:cstheme="majorBidi"/>
          <w:b/>
          <w:bCs/>
          <w:lang w:bidi="fa-IR"/>
        </w:rPr>
        <w:t>Keywords</w:t>
      </w:r>
      <w:r w:rsidRPr="00636421">
        <w:rPr>
          <w:rFonts w:asciiTheme="majorBidi" w:hAnsiTheme="majorBidi" w:cstheme="majorBidi"/>
          <w:lang w:bidi="fa-IR"/>
        </w:rPr>
        <w:t>: Geomorphology, Physical Development, Vulnerability to Natural Hazards, cities of Kurdistan Province.</w:t>
      </w:r>
    </w:p>
    <w:p w14:paraId="6B984007" w14:textId="77777777" w:rsidR="00320F84" w:rsidRPr="00BC27F2" w:rsidRDefault="00320F84" w:rsidP="00320F84">
      <w:pPr>
        <w:bidi w:val="0"/>
        <w:spacing w:after="0" w:line="240" w:lineRule="auto"/>
        <w:ind w:left="567" w:right="567"/>
        <w:jc w:val="both"/>
        <w:rPr>
          <w:rFonts w:asciiTheme="majorBidi" w:hAnsiTheme="majorBidi" w:cstheme="majorBidi"/>
          <w:lang w:bidi="fa-IR"/>
        </w:rPr>
      </w:pPr>
    </w:p>
    <w:p w14:paraId="161389C4" w14:textId="77777777" w:rsidR="001D5D61" w:rsidRDefault="001D5D61" w:rsidP="001D5D61">
      <w:pPr>
        <w:bidi w:val="0"/>
        <w:spacing w:after="0" w:line="240" w:lineRule="auto"/>
        <w:jc w:val="both"/>
        <w:rPr>
          <w:rFonts w:asciiTheme="majorBidi" w:hAnsiTheme="majorBidi" w:cstheme="majorBidi"/>
          <w:sz w:val="20"/>
          <w:szCs w:val="20"/>
          <w:lang w:bidi="fa-IR"/>
        </w:rPr>
      </w:pPr>
    </w:p>
    <w:p w14:paraId="5F3D1311" w14:textId="455E234D" w:rsidR="00202285" w:rsidRPr="00636421" w:rsidRDefault="00202285" w:rsidP="008C1DB1">
      <w:pPr>
        <w:bidi w:val="0"/>
        <w:spacing w:after="0" w:line="240" w:lineRule="auto"/>
        <w:jc w:val="both"/>
        <w:rPr>
          <w:rFonts w:asciiTheme="majorBidi" w:hAnsiTheme="majorBidi" w:cstheme="majorBidi"/>
          <w:b/>
          <w:bCs/>
          <w:lang w:bidi="fa-IR"/>
        </w:rPr>
      </w:pPr>
      <w:r w:rsidRPr="00636421">
        <w:rPr>
          <w:rFonts w:asciiTheme="majorBidi" w:hAnsiTheme="majorBidi" w:cstheme="majorBidi"/>
          <w:b/>
          <w:bCs/>
          <w:lang w:bidi="fa-IR"/>
        </w:rPr>
        <w:t>1. Introduction</w:t>
      </w:r>
    </w:p>
    <w:p w14:paraId="283D8F6C" w14:textId="6DCEE89D" w:rsidR="00202285" w:rsidRPr="00636421" w:rsidRDefault="00202285"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The increasing trend of population over recent years has led to cities </w:t>
      </w:r>
      <w:r w:rsidR="00430AED" w:rsidRPr="00636421">
        <w:rPr>
          <w:rFonts w:asciiTheme="majorBidi" w:hAnsiTheme="majorBidi" w:cstheme="majorBidi"/>
          <w:lang w:bidi="fa-IR"/>
        </w:rPr>
        <w:t>experiencing rapid growth</w:t>
      </w:r>
      <w:r w:rsidR="00165A98" w:rsidRPr="00636421">
        <w:rPr>
          <w:rFonts w:asciiTheme="majorBidi" w:hAnsiTheme="majorBidi" w:cstheme="majorBidi"/>
          <w:lang w:bidi="fa-IR"/>
        </w:rPr>
        <w:t xml:space="preserve"> </w:t>
      </w:r>
      <w:r w:rsidRPr="00636421">
        <w:rPr>
          <w:rFonts w:asciiTheme="majorBidi" w:hAnsiTheme="majorBidi" w:cstheme="majorBidi"/>
          <w:lang w:bidi="fa-IR"/>
        </w:rPr>
        <w:t xml:space="preserve">(Hassan et al., 2023). The rise in population and the physical development </w:t>
      </w:r>
      <w:r w:rsidR="001B5801" w:rsidRPr="00636421">
        <w:rPr>
          <w:rFonts w:asciiTheme="majorBidi" w:hAnsiTheme="majorBidi" w:cstheme="majorBidi"/>
          <w:lang w:bidi="fa-IR"/>
        </w:rPr>
        <w:t xml:space="preserve">cities </w:t>
      </w:r>
      <w:r w:rsidRPr="00636421">
        <w:rPr>
          <w:rFonts w:asciiTheme="majorBidi" w:hAnsiTheme="majorBidi" w:cstheme="majorBidi"/>
          <w:lang w:bidi="fa-IR"/>
        </w:rPr>
        <w:t>have created conditions conducive to human hazards and increased the likelihood of natural disasters (Lewis &amp; Jaana, 2005; Gibson et al., 2016; Aarthi et al., 2018; Bharath et al., 2018; Fekt et al., 2022). Given that many natural hazards also occur in urban areas (</w:t>
      </w:r>
      <w:proofErr w:type="spellStart"/>
      <w:r w:rsidRPr="00636421">
        <w:rPr>
          <w:rFonts w:asciiTheme="majorBidi" w:hAnsiTheme="majorBidi" w:cstheme="majorBidi"/>
          <w:lang w:bidi="fa-IR"/>
        </w:rPr>
        <w:t>Bakkensen</w:t>
      </w:r>
      <w:proofErr w:type="spellEnd"/>
      <w:r w:rsidRPr="00636421">
        <w:rPr>
          <w:rFonts w:asciiTheme="majorBidi" w:hAnsiTheme="majorBidi" w:cstheme="majorBidi"/>
          <w:lang w:bidi="fa-IR"/>
        </w:rPr>
        <w:t xml:space="preserve"> et al., 2016), these hazards impact the lives of millions of people each year (Jha, 2012). </w:t>
      </w:r>
      <w:r w:rsidR="0030726F" w:rsidRPr="00636421">
        <w:rPr>
          <w:rFonts w:asciiTheme="majorBidi" w:hAnsiTheme="majorBidi" w:cstheme="majorBidi"/>
          <w:lang w:bidi="fa-IR"/>
        </w:rPr>
        <w:t>Natural hazards have different types</w:t>
      </w:r>
      <w:r w:rsidRPr="00636421">
        <w:rPr>
          <w:rFonts w:asciiTheme="majorBidi" w:hAnsiTheme="majorBidi" w:cstheme="majorBidi"/>
          <w:lang w:bidi="fa-IR"/>
        </w:rPr>
        <w:t xml:space="preserve">, and the occurrence of each can </w:t>
      </w:r>
      <w:r w:rsidR="00BC0C82" w:rsidRPr="00636421">
        <w:rPr>
          <w:rFonts w:asciiTheme="majorBidi" w:hAnsiTheme="majorBidi" w:cstheme="majorBidi"/>
          <w:lang w:bidi="fa-IR"/>
        </w:rPr>
        <w:t>provide</w:t>
      </w:r>
      <w:r w:rsidRPr="00636421">
        <w:rPr>
          <w:rFonts w:asciiTheme="majorBidi" w:hAnsiTheme="majorBidi" w:cstheme="majorBidi"/>
          <w:lang w:bidi="fa-IR"/>
        </w:rPr>
        <w:t xml:space="preserve"> the</w:t>
      </w:r>
      <w:r w:rsidR="00BC0C82" w:rsidRPr="00636421">
        <w:rPr>
          <w:rFonts w:asciiTheme="majorBidi" w:hAnsiTheme="majorBidi" w:cstheme="majorBidi"/>
          <w:lang w:bidi="fa-IR"/>
        </w:rPr>
        <w:t xml:space="preserve"> basis for the</w:t>
      </w:r>
      <w:r w:rsidRPr="00636421">
        <w:rPr>
          <w:rFonts w:asciiTheme="majorBidi" w:hAnsiTheme="majorBidi" w:cstheme="majorBidi"/>
          <w:lang w:bidi="fa-IR"/>
        </w:rPr>
        <w:t xml:space="preserve"> </w:t>
      </w:r>
      <w:r w:rsidR="00BC0C82" w:rsidRPr="00636421">
        <w:rPr>
          <w:rFonts w:asciiTheme="majorBidi" w:hAnsiTheme="majorBidi" w:cstheme="majorBidi"/>
          <w:lang w:bidi="fa-IR"/>
        </w:rPr>
        <w:t xml:space="preserve">occurrence </w:t>
      </w:r>
      <w:r w:rsidRPr="00636421">
        <w:rPr>
          <w:rFonts w:asciiTheme="majorBidi" w:hAnsiTheme="majorBidi" w:cstheme="majorBidi"/>
          <w:lang w:bidi="fa-IR"/>
        </w:rPr>
        <w:t>of other hazards (</w:t>
      </w:r>
      <w:proofErr w:type="spellStart"/>
      <w:r w:rsidRPr="00636421">
        <w:rPr>
          <w:rFonts w:asciiTheme="majorBidi" w:hAnsiTheme="majorBidi" w:cstheme="majorBidi"/>
          <w:lang w:bidi="fa-IR"/>
        </w:rPr>
        <w:t>Malalgoda</w:t>
      </w:r>
      <w:proofErr w:type="spellEnd"/>
      <w:r w:rsidRPr="00636421">
        <w:rPr>
          <w:rFonts w:asciiTheme="majorBidi" w:hAnsiTheme="majorBidi" w:cstheme="majorBidi"/>
          <w:lang w:bidi="fa-IR"/>
        </w:rPr>
        <w:t xml:space="preserve"> et al., 2010; Mas et al., 2014; </w:t>
      </w:r>
      <w:proofErr w:type="spellStart"/>
      <w:r w:rsidRPr="00636421">
        <w:rPr>
          <w:rFonts w:asciiTheme="majorBidi" w:hAnsiTheme="majorBidi" w:cstheme="majorBidi"/>
          <w:lang w:bidi="fa-IR"/>
        </w:rPr>
        <w:t>Ganjaeian</w:t>
      </w:r>
      <w:proofErr w:type="spellEnd"/>
      <w:r w:rsidRPr="00636421">
        <w:rPr>
          <w:rFonts w:asciiTheme="majorBidi" w:hAnsiTheme="majorBidi" w:cstheme="majorBidi"/>
          <w:lang w:bidi="fa-IR"/>
        </w:rPr>
        <w:t>, 2024). For instance, the occurrence of an earthquake can lead to landslides, flooding, and even subsidence (Salari et al., 2017</w:t>
      </w:r>
      <w:r w:rsidRPr="00636421">
        <w:rPr>
          <w:rFonts w:asciiTheme="majorBidi" w:hAnsiTheme="majorBidi" w:cstheme="majorBidi"/>
          <w:color w:val="000000" w:themeColor="text1"/>
          <w:lang w:bidi="fa-IR"/>
        </w:rPr>
        <w:t xml:space="preserve">; </w:t>
      </w:r>
      <w:proofErr w:type="spellStart"/>
      <w:r w:rsidRPr="00636421">
        <w:rPr>
          <w:rFonts w:asciiTheme="majorBidi" w:hAnsiTheme="majorBidi" w:cstheme="majorBidi"/>
          <w:color w:val="000000" w:themeColor="text1"/>
          <w:lang w:bidi="fa-IR"/>
        </w:rPr>
        <w:t>Ganjaeian</w:t>
      </w:r>
      <w:proofErr w:type="spellEnd"/>
      <w:r w:rsidRPr="00636421">
        <w:rPr>
          <w:rFonts w:asciiTheme="majorBidi" w:hAnsiTheme="majorBidi" w:cstheme="majorBidi"/>
          <w:color w:val="000000" w:themeColor="text1"/>
          <w:lang w:bidi="fa-IR"/>
        </w:rPr>
        <w:t xml:space="preserve"> et al., 2022)</w:t>
      </w:r>
      <w:r w:rsidR="0073298B" w:rsidRPr="00636421">
        <w:rPr>
          <w:rFonts w:asciiTheme="majorBidi" w:hAnsiTheme="majorBidi" w:cstheme="majorBidi"/>
          <w:color w:val="000000" w:themeColor="text1"/>
          <w:lang w:bidi="fa-IR"/>
        </w:rPr>
        <w:t xml:space="preserve"> or active tectonics can affect the exploitation of river resources (</w:t>
      </w:r>
      <w:proofErr w:type="spellStart"/>
      <w:r w:rsidR="0073298B" w:rsidRPr="00636421">
        <w:rPr>
          <w:rFonts w:asciiTheme="majorBidi" w:hAnsiTheme="majorBidi" w:cstheme="majorBidi"/>
          <w:color w:val="000000" w:themeColor="text1"/>
          <w:lang w:bidi="fa-IR"/>
        </w:rPr>
        <w:t>Goorabi</w:t>
      </w:r>
      <w:proofErr w:type="spellEnd"/>
      <w:r w:rsidR="0073298B" w:rsidRPr="00636421">
        <w:rPr>
          <w:rFonts w:asciiTheme="majorBidi" w:hAnsiTheme="majorBidi" w:cstheme="majorBidi"/>
          <w:color w:val="000000" w:themeColor="text1"/>
          <w:lang w:bidi="fa-IR"/>
        </w:rPr>
        <w:t xml:space="preserve"> et al., 2022)</w:t>
      </w:r>
      <w:r w:rsidRPr="00636421">
        <w:rPr>
          <w:rFonts w:asciiTheme="majorBidi" w:hAnsiTheme="majorBidi" w:cstheme="majorBidi"/>
          <w:color w:val="000000" w:themeColor="text1"/>
          <w:lang w:bidi="fa-IR"/>
        </w:rPr>
        <w:t xml:space="preserve">. </w:t>
      </w:r>
      <w:r w:rsidR="00901101" w:rsidRPr="00636421">
        <w:rPr>
          <w:rFonts w:asciiTheme="majorBidi" w:hAnsiTheme="majorBidi" w:cstheme="majorBidi"/>
          <w:lang w:bidi="fa-IR"/>
        </w:rPr>
        <w:t xml:space="preserve">Natural hazards can also provide the basis for the occurrence of human hazards such as pollution, and therefore it can be said that each hazard can </w:t>
      </w:r>
      <w:r w:rsidR="005E38F5" w:rsidRPr="00636421">
        <w:rPr>
          <w:rFonts w:asciiTheme="majorBidi" w:hAnsiTheme="majorBidi" w:cstheme="majorBidi"/>
          <w:lang w:bidi="fa-IR"/>
        </w:rPr>
        <w:t>be</w:t>
      </w:r>
      <w:r w:rsidR="00901101" w:rsidRPr="00636421">
        <w:rPr>
          <w:rFonts w:asciiTheme="majorBidi" w:hAnsiTheme="majorBidi" w:cstheme="majorBidi"/>
          <w:lang w:bidi="fa-IR"/>
        </w:rPr>
        <w:t xml:space="preserve"> the basis for the </w:t>
      </w:r>
      <w:r w:rsidR="00901101" w:rsidRPr="00636421">
        <w:rPr>
          <w:rFonts w:asciiTheme="majorBidi" w:hAnsiTheme="majorBidi" w:cstheme="majorBidi"/>
          <w:lang w:bidi="fa-IR"/>
        </w:rPr>
        <w:lastRenderedPageBreak/>
        <w:t>occurrence of subsequent hazards</w:t>
      </w:r>
      <w:r w:rsidRPr="00636421">
        <w:rPr>
          <w:rFonts w:asciiTheme="majorBidi" w:hAnsiTheme="majorBidi" w:cstheme="majorBidi"/>
          <w:lang w:bidi="fa-IR"/>
        </w:rPr>
        <w:t>. Different regions, based on their geomorphological, geological, hydrological, and climatic conditions, are susceptible to one or multiple types of hazards (</w:t>
      </w:r>
      <w:proofErr w:type="spellStart"/>
      <w:r w:rsidRPr="00636421">
        <w:rPr>
          <w:rFonts w:asciiTheme="majorBidi" w:hAnsiTheme="majorBidi" w:cstheme="majorBidi"/>
          <w:lang w:bidi="fa-IR"/>
        </w:rPr>
        <w:t>Ganjaeian</w:t>
      </w:r>
      <w:proofErr w:type="spellEnd"/>
      <w:r w:rsidRPr="00636421">
        <w:rPr>
          <w:rFonts w:asciiTheme="majorBidi" w:hAnsiTheme="majorBidi" w:cstheme="majorBidi"/>
          <w:lang w:bidi="fa-IR"/>
        </w:rPr>
        <w:t xml:space="preserve"> et al., 2020; </w:t>
      </w:r>
      <w:proofErr w:type="spellStart"/>
      <w:r w:rsidRPr="00636421">
        <w:rPr>
          <w:rFonts w:asciiTheme="majorBidi" w:hAnsiTheme="majorBidi" w:cstheme="majorBidi"/>
          <w:lang w:bidi="fa-IR"/>
        </w:rPr>
        <w:t>Negahban</w:t>
      </w:r>
      <w:proofErr w:type="spellEnd"/>
      <w:r w:rsidRPr="00636421">
        <w:rPr>
          <w:rFonts w:asciiTheme="majorBidi" w:hAnsiTheme="majorBidi" w:cstheme="majorBidi"/>
          <w:lang w:bidi="fa-IR"/>
        </w:rPr>
        <w:t xml:space="preserve"> et al., 2019). Among these, urban areas exhibit greater sensitivity (</w:t>
      </w:r>
      <w:proofErr w:type="spellStart"/>
      <w:r w:rsidRPr="00636421">
        <w:rPr>
          <w:rFonts w:asciiTheme="majorBidi" w:hAnsiTheme="majorBidi" w:cstheme="majorBidi"/>
          <w:lang w:bidi="fa-IR"/>
        </w:rPr>
        <w:t>Mohammadkhan</w:t>
      </w:r>
      <w:proofErr w:type="spellEnd"/>
      <w:r w:rsidRPr="00636421">
        <w:rPr>
          <w:rFonts w:asciiTheme="majorBidi" w:hAnsiTheme="majorBidi" w:cstheme="majorBidi"/>
          <w:lang w:bidi="fa-IR"/>
        </w:rPr>
        <w:t xml:space="preserve"> et al., 2019; </w:t>
      </w:r>
      <w:proofErr w:type="spellStart"/>
      <w:r w:rsidRPr="00636421">
        <w:rPr>
          <w:rFonts w:asciiTheme="majorBidi" w:hAnsiTheme="majorBidi" w:cstheme="majorBidi"/>
          <w:lang w:bidi="fa-IR"/>
        </w:rPr>
        <w:t>Negahban</w:t>
      </w:r>
      <w:proofErr w:type="spellEnd"/>
      <w:r w:rsidRPr="00636421">
        <w:rPr>
          <w:rFonts w:asciiTheme="majorBidi" w:hAnsiTheme="majorBidi" w:cstheme="majorBidi"/>
          <w:lang w:bidi="fa-IR"/>
        </w:rPr>
        <w:t xml:space="preserve"> et al., 2021; </w:t>
      </w:r>
      <w:proofErr w:type="spellStart"/>
      <w:r w:rsidRPr="00636421">
        <w:rPr>
          <w:rFonts w:asciiTheme="majorBidi" w:hAnsiTheme="majorBidi" w:cstheme="majorBidi"/>
          <w:lang w:bidi="fa-IR"/>
        </w:rPr>
        <w:t>Ganjaeian</w:t>
      </w:r>
      <w:proofErr w:type="spellEnd"/>
      <w:r w:rsidRPr="00636421">
        <w:rPr>
          <w:rFonts w:asciiTheme="majorBidi" w:hAnsiTheme="majorBidi" w:cstheme="majorBidi"/>
          <w:lang w:bidi="fa-IR"/>
        </w:rPr>
        <w:t xml:space="preserve"> et al., 2023), as the occurrence of any hazard in urban settings can be associated with significant damage and losses.</w:t>
      </w:r>
    </w:p>
    <w:p w14:paraId="0CAC69E3" w14:textId="65A7DE5F" w:rsidR="00527135" w:rsidRPr="00636421" w:rsidRDefault="00701E43"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The analysis of natural hazards indicates that Iran is considered one of the most hazard-prone countries in the world (</w:t>
      </w:r>
      <w:proofErr w:type="spellStart"/>
      <w:r w:rsidRPr="00636421">
        <w:rPr>
          <w:rFonts w:asciiTheme="majorBidi" w:hAnsiTheme="majorBidi" w:cstheme="majorBidi"/>
          <w:lang w:bidi="fa-IR"/>
        </w:rPr>
        <w:t>Ganjaeian</w:t>
      </w:r>
      <w:proofErr w:type="spellEnd"/>
      <w:r w:rsidRPr="00636421">
        <w:rPr>
          <w:rFonts w:asciiTheme="majorBidi" w:hAnsiTheme="majorBidi" w:cstheme="majorBidi"/>
          <w:lang w:bidi="fa-IR"/>
        </w:rPr>
        <w:t xml:space="preserve"> et al., 2024). In recent years, we have repeatedly witnessed the occurrence of hazards such as floods, earthquakes, subsidence and </w:t>
      </w:r>
      <w:r w:rsidR="00C96C90" w:rsidRPr="00636421">
        <w:rPr>
          <w:rFonts w:asciiTheme="majorBidi" w:hAnsiTheme="majorBidi" w:cstheme="majorBidi"/>
          <w:lang w:bidi="fa-IR"/>
        </w:rPr>
        <w:t>mass</w:t>
      </w:r>
      <w:r w:rsidRPr="00636421">
        <w:rPr>
          <w:rFonts w:asciiTheme="majorBidi" w:hAnsiTheme="majorBidi" w:cstheme="majorBidi"/>
          <w:lang w:bidi="fa-IR"/>
        </w:rPr>
        <w:t xml:space="preserve"> movements. Given the significant geological, geomorphological, and hydroclimatic diversity in Iran, particularly in Kurdistan </w:t>
      </w:r>
      <w:r w:rsidR="009128DE" w:rsidRPr="00636421">
        <w:rPr>
          <w:rFonts w:asciiTheme="majorBidi" w:hAnsiTheme="majorBidi" w:cstheme="majorBidi"/>
          <w:lang w:bidi="fa-IR"/>
        </w:rPr>
        <w:t>p</w:t>
      </w:r>
      <w:r w:rsidRPr="00636421">
        <w:rPr>
          <w:rFonts w:asciiTheme="majorBidi" w:hAnsiTheme="majorBidi" w:cstheme="majorBidi"/>
          <w:lang w:bidi="fa-IR"/>
        </w:rPr>
        <w:t>rovince (</w:t>
      </w:r>
      <w:proofErr w:type="spellStart"/>
      <w:r w:rsidRPr="00636421">
        <w:rPr>
          <w:rFonts w:asciiTheme="majorBidi" w:hAnsiTheme="majorBidi" w:cstheme="majorBidi"/>
          <w:lang w:bidi="fa-IR"/>
        </w:rPr>
        <w:t>Ganjaeian</w:t>
      </w:r>
      <w:proofErr w:type="spellEnd"/>
      <w:r w:rsidRPr="00636421">
        <w:rPr>
          <w:rFonts w:asciiTheme="majorBidi" w:hAnsiTheme="majorBidi" w:cstheme="majorBidi"/>
          <w:lang w:bidi="fa-IR"/>
        </w:rPr>
        <w:t xml:space="preserve"> et al., 2021), different regions within Kurdistan exhibit varying potentials for the occurrence of each hazard. Consequently, many cities in Kurdistan possess a high potential for geomorphological hazards (</w:t>
      </w:r>
      <w:proofErr w:type="spellStart"/>
      <w:r w:rsidRPr="00636421">
        <w:rPr>
          <w:rFonts w:asciiTheme="majorBidi" w:hAnsiTheme="majorBidi" w:cstheme="majorBidi"/>
          <w:lang w:bidi="fa-IR"/>
        </w:rPr>
        <w:t>Nayyeri</w:t>
      </w:r>
      <w:proofErr w:type="spellEnd"/>
      <w:r w:rsidRPr="00636421">
        <w:rPr>
          <w:rFonts w:asciiTheme="majorBidi" w:hAnsiTheme="majorBidi" w:cstheme="majorBidi"/>
          <w:lang w:bidi="fa-IR"/>
        </w:rPr>
        <w:t xml:space="preserve"> et al., 2017). This high potential, coupled with managerial weaknesses and a lack of attention to the region’s vulnerability, has led to the </w:t>
      </w:r>
      <w:r w:rsidR="009117A2" w:rsidRPr="00636421">
        <w:rPr>
          <w:rFonts w:asciiTheme="majorBidi" w:hAnsiTheme="majorBidi" w:cstheme="majorBidi"/>
          <w:lang w:bidi="fa-IR"/>
        </w:rPr>
        <w:t xml:space="preserve">advancement </w:t>
      </w:r>
      <w:r w:rsidRPr="00636421">
        <w:rPr>
          <w:rFonts w:asciiTheme="majorBidi" w:hAnsiTheme="majorBidi" w:cstheme="majorBidi"/>
          <w:lang w:bidi="fa-IR"/>
        </w:rPr>
        <w:t>of urban settlement areas into hazardous zones, exacerbating the damages caused by geomorphological hazards.</w:t>
      </w:r>
      <w:r w:rsidR="0021541F" w:rsidRPr="00636421">
        <w:rPr>
          <w:rFonts w:asciiTheme="majorBidi" w:hAnsiTheme="majorBidi" w:cstheme="majorBidi"/>
          <w:lang w:bidi="fa-IR"/>
        </w:rPr>
        <w:t xml:space="preserve"> Considering the aforementioned factors, assessing and monitoring the vulnerability of cities in Kurdistan province to natural hazards is of most importance. Furthermore, one of the primary reasons for the increasing vulnerability of cities in Kurdistan has been the physical development of urban areas without regard to environmental capabilities. Therefore, in addition to </w:t>
      </w:r>
      <w:r w:rsidR="00D870F0" w:rsidRPr="00636421">
        <w:rPr>
          <w:rFonts w:asciiTheme="majorBidi" w:hAnsiTheme="majorBidi" w:cstheme="majorBidi"/>
          <w:lang w:bidi="fa-IR"/>
        </w:rPr>
        <w:t>determ</w:t>
      </w:r>
      <w:r w:rsidR="0021541F" w:rsidRPr="00636421">
        <w:rPr>
          <w:rFonts w:asciiTheme="majorBidi" w:hAnsiTheme="majorBidi" w:cstheme="majorBidi"/>
          <w:lang w:bidi="fa-IR"/>
        </w:rPr>
        <w:t>in</w:t>
      </w:r>
      <w:r w:rsidR="00D870F0" w:rsidRPr="00636421">
        <w:rPr>
          <w:rFonts w:asciiTheme="majorBidi" w:hAnsiTheme="majorBidi" w:cstheme="majorBidi"/>
          <w:lang w:bidi="fa-IR"/>
        </w:rPr>
        <w:t>in</w:t>
      </w:r>
      <w:r w:rsidR="0021541F" w:rsidRPr="00636421">
        <w:rPr>
          <w:rFonts w:asciiTheme="majorBidi" w:hAnsiTheme="majorBidi" w:cstheme="majorBidi"/>
          <w:lang w:bidi="fa-IR"/>
        </w:rPr>
        <w:t xml:space="preserve">g the vulnerability of cities in Kurdistan Province </w:t>
      </w:r>
      <w:r w:rsidR="00D870F0" w:rsidRPr="00636421">
        <w:rPr>
          <w:rFonts w:asciiTheme="majorBidi" w:hAnsiTheme="majorBidi" w:cstheme="majorBidi"/>
          <w:lang w:bidi="fa-IR"/>
        </w:rPr>
        <w:t>to</w:t>
      </w:r>
      <w:r w:rsidR="0021541F" w:rsidRPr="00636421">
        <w:rPr>
          <w:rFonts w:asciiTheme="majorBidi" w:hAnsiTheme="majorBidi" w:cstheme="majorBidi"/>
          <w:lang w:bidi="fa-IR"/>
        </w:rPr>
        <w:t xml:space="preserve"> environmental hazards, it is essential to evaluate and control the physical development of residential areas towards vulnerable zones. Given the significance of this issue, this study aims to assess the trends in the physical development of cities in Kurdistan Province, their vulnerability to natural hazards, and the patterns of urban expansion towards hazardous areas.</w:t>
      </w:r>
      <w:r w:rsidR="00527135" w:rsidRPr="00636421">
        <w:rPr>
          <w:rFonts w:asciiTheme="majorBidi" w:hAnsiTheme="majorBidi" w:cstheme="majorBidi"/>
          <w:lang w:bidi="fa-IR"/>
        </w:rPr>
        <w:t xml:space="preserve"> </w:t>
      </w:r>
      <w:r w:rsidR="00071BD5" w:rsidRPr="00636421">
        <w:rPr>
          <w:rFonts w:asciiTheme="majorBidi" w:hAnsiTheme="majorBidi" w:cstheme="majorBidi"/>
          <w:lang w:bidi="fa-IR"/>
        </w:rPr>
        <w:t>Considering</w:t>
      </w:r>
      <w:r w:rsidR="00527135" w:rsidRPr="00636421">
        <w:rPr>
          <w:rFonts w:asciiTheme="majorBidi" w:hAnsiTheme="majorBidi" w:cstheme="majorBidi"/>
          <w:lang w:bidi="fa-IR"/>
        </w:rPr>
        <w:t xml:space="preserve"> the aforementioned considerations, this research aims to address the following questions:</w:t>
      </w:r>
    </w:p>
    <w:p w14:paraId="4D66E841" w14:textId="77777777" w:rsidR="00527135" w:rsidRPr="00636421" w:rsidRDefault="00527135" w:rsidP="008C1DB1">
      <w:pPr>
        <w:numPr>
          <w:ilvl w:val="0"/>
          <w:numId w:val="1"/>
        </w:num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What has been the trend of physical development in the cities of Kurdistan Province from 1992 to 2022?</w:t>
      </w:r>
    </w:p>
    <w:p w14:paraId="7FE8E7B1" w14:textId="77777777" w:rsidR="00527135" w:rsidRPr="00636421" w:rsidRDefault="00527135" w:rsidP="008C1DB1">
      <w:pPr>
        <w:numPr>
          <w:ilvl w:val="0"/>
          <w:numId w:val="1"/>
        </w:num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Which areas within the cities of Kurdistan Province exhibit a high potential for vulnerability to natural hazards?</w:t>
      </w:r>
    </w:p>
    <w:p w14:paraId="250D6897" w14:textId="3721CA1C" w:rsidR="00527135" w:rsidRPr="00636421" w:rsidRDefault="000B3039" w:rsidP="008C1DB1">
      <w:pPr>
        <w:numPr>
          <w:ilvl w:val="0"/>
          <w:numId w:val="1"/>
        </w:num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What has been the trend of physical development and development towards vulnerable areas of cities in Kurdistan province in recent years?</w:t>
      </w:r>
    </w:p>
    <w:p w14:paraId="2D58DD3C" w14:textId="76A882AF" w:rsidR="009027BB" w:rsidRPr="00636421" w:rsidRDefault="001B3D34"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The significance of the </w:t>
      </w:r>
      <w:r w:rsidR="002325DF" w:rsidRPr="00636421">
        <w:rPr>
          <w:rFonts w:asciiTheme="majorBidi" w:hAnsiTheme="majorBidi" w:cstheme="majorBidi"/>
          <w:lang w:bidi="fa-IR"/>
        </w:rPr>
        <w:t xml:space="preserve">research </w:t>
      </w:r>
      <w:r w:rsidRPr="00636421">
        <w:rPr>
          <w:rFonts w:asciiTheme="majorBidi" w:hAnsiTheme="majorBidi" w:cstheme="majorBidi"/>
          <w:lang w:bidi="fa-IR"/>
        </w:rPr>
        <w:t xml:space="preserve">subject has led to various investigations related to this topic. In some previous studies, the trend of physical development in cities has been assessed using multi-temporal satellite imagery (Bagan &amp; Yamagata, 2012; Notti et al., 2018; Chini et al., 2019; </w:t>
      </w:r>
      <w:proofErr w:type="spellStart"/>
      <w:r w:rsidRPr="00636421">
        <w:rPr>
          <w:rFonts w:asciiTheme="majorBidi" w:hAnsiTheme="majorBidi" w:cstheme="majorBidi"/>
          <w:lang w:bidi="fa-IR"/>
        </w:rPr>
        <w:t>Negahban</w:t>
      </w:r>
      <w:proofErr w:type="spellEnd"/>
      <w:r w:rsidRPr="00636421">
        <w:rPr>
          <w:rFonts w:asciiTheme="majorBidi" w:hAnsiTheme="majorBidi" w:cstheme="majorBidi"/>
          <w:lang w:bidi="fa-IR"/>
        </w:rPr>
        <w:t xml:space="preserve"> et al., 2020; Hussain et al., 2022; Liang et al., 2024). Other research has focused on identifying vulnerable areas to natural hazards based on various natural and human parameters (</w:t>
      </w:r>
      <w:proofErr w:type="spellStart"/>
      <w:r w:rsidRPr="00636421">
        <w:rPr>
          <w:rFonts w:asciiTheme="majorBidi" w:hAnsiTheme="majorBidi" w:cstheme="majorBidi"/>
          <w:lang w:bidi="fa-IR"/>
        </w:rPr>
        <w:t>Herryal</w:t>
      </w:r>
      <w:proofErr w:type="spellEnd"/>
      <w:r w:rsidRPr="00636421">
        <w:rPr>
          <w:rFonts w:asciiTheme="majorBidi" w:hAnsiTheme="majorBidi" w:cstheme="majorBidi"/>
          <w:lang w:bidi="fa-IR"/>
        </w:rPr>
        <w:t xml:space="preserve"> et al., 2017; Bourenane et al., 2019; Saha &amp; Agrawal, 2020; Ghosh et al., 2022; </w:t>
      </w:r>
      <w:proofErr w:type="spellStart"/>
      <w:r w:rsidR="00BD56DB" w:rsidRPr="00636421">
        <w:rPr>
          <w:rFonts w:asciiTheme="majorBidi" w:hAnsiTheme="majorBidi" w:cstheme="majorBidi"/>
          <w:lang w:bidi="fa-IR"/>
        </w:rPr>
        <w:t>Ganjaeian</w:t>
      </w:r>
      <w:proofErr w:type="spellEnd"/>
      <w:r w:rsidR="00BD56DB" w:rsidRPr="00636421">
        <w:rPr>
          <w:rFonts w:asciiTheme="majorBidi" w:hAnsiTheme="majorBidi" w:cstheme="majorBidi"/>
          <w:lang w:bidi="fa-IR"/>
        </w:rPr>
        <w:t xml:space="preserve"> et al, 2022., </w:t>
      </w:r>
      <w:r w:rsidRPr="00636421">
        <w:rPr>
          <w:rFonts w:asciiTheme="majorBidi" w:hAnsiTheme="majorBidi" w:cstheme="majorBidi"/>
          <w:lang w:bidi="fa-IR"/>
        </w:rPr>
        <w:t xml:space="preserve">Vekaria et al., 2023; Sundaram et al., 2023; Osman &amp; Das, 2023; Qi et al., 2024). Additionally, some studies have identified areas prone to physical development of cities using natural and human parameters (Ramadan et al., 2021; Gao et al., 2023; Xiang et al., 2024). Furthermore, certain research has explored management strategies for monitoring and controlling urban physical development in relation to natural hazards (Ansah, 2016; </w:t>
      </w:r>
      <w:proofErr w:type="spellStart"/>
      <w:r w:rsidRPr="00636421">
        <w:rPr>
          <w:rFonts w:asciiTheme="majorBidi" w:hAnsiTheme="majorBidi" w:cstheme="majorBidi"/>
          <w:lang w:bidi="fa-IR"/>
        </w:rPr>
        <w:t>Parhi</w:t>
      </w:r>
      <w:proofErr w:type="spellEnd"/>
      <w:r w:rsidRPr="00636421">
        <w:rPr>
          <w:rFonts w:asciiTheme="majorBidi" w:hAnsiTheme="majorBidi" w:cstheme="majorBidi"/>
          <w:lang w:bidi="fa-IR"/>
        </w:rPr>
        <w:t xml:space="preserve"> et al., 2018; Munoz et al., 2022; Cao et al., 2024; Boateng).</w:t>
      </w:r>
    </w:p>
    <w:p w14:paraId="1E61A8D8" w14:textId="304D9B26" w:rsidR="00BD2A99" w:rsidRPr="00636421" w:rsidRDefault="00BD2A99" w:rsidP="008C1DB1">
      <w:pPr>
        <w:bidi w:val="0"/>
        <w:spacing w:after="0" w:line="240" w:lineRule="auto"/>
        <w:jc w:val="both"/>
        <w:rPr>
          <w:rFonts w:asciiTheme="majorBidi" w:hAnsiTheme="majorBidi" w:cstheme="majorBidi"/>
          <w:rtl/>
          <w:lang w:bidi="fa-IR"/>
        </w:rPr>
      </w:pPr>
      <w:r w:rsidRPr="00636421">
        <w:rPr>
          <w:rFonts w:asciiTheme="majorBidi" w:hAnsiTheme="majorBidi" w:cstheme="majorBidi"/>
          <w:lang w:bidi="fa-IR"/>
        </w:rPr>
        <w:t xml:space="preserve">A review of previous studies indicates that most of these investigations have either focused on the physical development of cities or areas prone to </w:t>
      </w:r>
      <w:r w:rsidR="00DB0C27" w:rsidRPr="00636421">
        <w:rPr>
          <w:rFonts w:asciiTheme="majorBidi" w:hAnsiTheme="majorBidi" w:cstheme="majorBidi"/>
          <w:lang w:bidi="fa-IR"/>
        </w:rPr>
        <w:t>physical development have been identified</w:t>
      </w:r>
      <w:r w:rsidRPr="00636421">
        <w:rPr>
          <w:rFonts w:asciiTheme="majorBidi" w:hAnsiTheme="majorBidi" w:cstheme="majorBidi"/>
          <w:lang w:bidi="fa-IR"/>
        </w:rPr>
        <w:t xml:space="preserve"> without adequately addressing the hazards faced by these cities. In contrast to many prior studies, this research not only evaluates the trends in the physical development of cities but also identifies vulnerable areas within the urban and peri-urban boundaries of cities in </w:t>
      </w:r>
      <w:r w:rsidRPr="00636421">
        <w:rPr>
          <w:rFonts w:asciiTheme="majorBidi" w:hAnsiTheme="majorBidi" w:cstheme="majorBidi"/>
          <w:lang w:bidi="fa-IR"/>
        </w:rPr>
        <w:lastRenderedPageBreak/>
        <w:t>Kurdistan Province. Additionally, it examines the trend of physical development of residential areas towards these vulnerable zones.</w:t>
      </w:r>
    </w:p>
    <w:p w14:paraId="0BDAF337" w14:textId="77777777" w:rsidR="00DE4D41" w:rsidRPr="008C1DB1" w:rsidRDefault="00DE4D41" w:rsidP="00DE4D41">
      <w:pPr>
        <w:bidi w:val="0"/>
        <w:spacing w:after="0" w:line="240" w:lineRule="auto"/>
        <w:jc w:val="both"/>
        <w:rPr>
          <w:rFonts w:asciiTheme="majorBidi" w:hAnsiTheme="majorBidi" w:cstheme="majorBidi"/>
          <w:sz w:val="20"/>
          <w:szCs w:val="20"/>
          <w:lang w:bidi="fa-IR"/>
        </w:rPr>
      </w:pPr>
    </w:p>
    <w:p w14:paraId="322CA2D0" w14:textId="51BDF06C" w:rsidR="002D2850" w:rsidRPr="00636421" w:rsidRDefault="00DE4D41" w:rsidP="008C1DB1">
      <w:pPr>
        <w:bidi w:val="0"/>
        <w:spacing w:after="0" w:line="240" w:lineRule="auto"/>
        <w:jc w:val="both"/>
        <w:rPr>
          <w:rFonts w:asciiTheme="majorBidi" w:hAnsiTheme="majorBidi" w:cstheme="majorBidi"/>
          <w:b/>
          <w:bCs/>
          <w:lang w:bidi="fa-IR"/>
        </w:rPr>
      </w:pPr>
      <w:r w:rsidRPr="00636421">
        <w:rPr>
          <w:rFonts w:asciiTheme="majorBidi" w:hAnsiTheme="majorBidi" w:cstheme="majorBidi"/>
          <w:b/>
          <w:bCs/>
          <w:lang w:bidi="fa-IR"/>
        </w:rPr>
        <w:t>2</w:t>
      </w:r>
      <w:r w:rsidR="002D2850" w:rsidRPr="00636421">
        <w:rPr>
          <w:rFonts w:asciiTheme="majorBidi" w:hAnsiTheme="majorBidi" w:cstheme="majorBidi"/>
          <w:b/>
          <w:bCs/>
          <w:lang w:bidi="fa-IR"/>
        </w:rPr>
        <w:t>. Study Area</w:t>
      </w:r>
    </w:p>
    <w:p w14:paraId="652FCC44" w14:textId="3F2DB75F" w:rsidR="001B3D34" w:rsidRPr="00636421" w:rsidRDefault="003C775E"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In this study, the urban areas (county centers) of Kurdistan Province in western Iran have been selected as the study area. Kurdistan Province consists of ten counties and is bordered to the south by Kermanshah Province, to the north by Zanjan and West Azerbaijan Provinces, to the east by Hamadan and Zanjan Provinces and to the west by Iraq (Fig. 1). Due to its location within various geological units, Kurdistan Province exhibits a high diversity of landforms</w:t>
      </w:r>
      <w:r w:rsidR="00013CB9" w:rsidRPr="00636421">
        <w:rPr>
          <w:rFonts w:asciiTheme="majorBidi" w:hAnsiTheme="majorBidi" w:cstheme="majorBidi"/>
          <w:lang w:bidi="fa-IR"/>
        </w:rPr>
        <w:t xml:space="preserve"> </w:t>
      </w:r>
      <w:r w:rsidRPr="00636421">
        <w:rPr>
          <w:rFonts w:asciiTheme="majorBidi" w:hAnsiTheme="majorBidi" w:cstheme="majorBidi"/>
          <w:lang w:bidi="fa-IR"/>
        </w:rPr>
        <w:t xml:space="preserve">including mountains, hills, alluvial fans, plains, and floodplains, among others (Yamani et al., 2020). Additionally, the province demonstrates significant climatic variability, with precipitation levels ranging from an average of 900 mm in Marivan to an average of 300 mm in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and </w:t>
      </w:r>
      <w:proofErr w:type="spellStart"/>
      <w:r w:rsidRPr="00636421">
        <w:rPr>
          <w:rFonts w:asciiTheme="majorBidi" w:hAnsiTheme="majorBidi" w:cstheme="majorBidi"/>
          <w:lang w:bidi="fa-IR"/>
        </w:rPr>
        <w:t>Bijar</w:t>
      </w:r>
      <w:proofErr w:type="spellEnd"/>
      <w:r w:rsidRPr="00636421">
        <w:rPr>
          <w:rFonts w:asciiTheme="majorBidi" w:hAnsiTheme="majorBidi" w:cstheme="majorBidi"/>
          <w:lang w:bidi="fa-IR"/>
        </w:rPr>
        <w:t>.</w:t>
      </w:r>
    </w:p>
    <w:p w14:paraId="7EBD3732" w14:textId="77777777" w:rsidR="00DE4D41" w:rsidRPr="008C1DB1" w:rsidRDefault="00DE4D41" w:rsidP="00DE4D41">
      <w:pPr>
        <w:bidi w:val="0"/>
        <w:spacing w:after="0" w:line="240" w:lineRule="auto"/>
        <w:jc w:val="both"/>
        <w:rPr>
          <w:rFonts w:asciiTheme="majorBidi" w:hAnsiTheme="majorBidi" w:cstheme="majorBidi"/>
          <w:sz w:val="20"/>
          <w:szCs w:val="20"/>
          <w:lang w:bidi="fa-IR"/>
        </w:rPr>
      </w:pPr>
    </w:p>
    <w:p w14:paraId="181E18A7" w14:textId="55A47DD5" w:rsidR="00013CB9" w:rsidRPr="008C1DB1" w:rsidRDefault="00013CB9" w:rsidP="008C1DB1">
      <w:pPr>
        <w:bidi w:val="0"/>
        <w:spacing w:after="0" w:line="240" w:lineRule="auto"/>
        <w:jc w:val="center"/>
        <w:rPr>
          <w:noProof/>
          <w:color w:val="000000" w:themeColor="text1"/>
          <w:sz w:val="20"/>
          <w:szCs w:val="20"/>
          <w:rtl/>
        </w:rPr>
      </w:pPr>
      <w:r w:rsidRPr="008C1DB1">
        <w:rPr>
          <w:noProof/>
          <w:color w:val="000000" w:themeColor="text1"/>
          <w:sz w:val="20"/>
          <w:szCs w:val="20"/>
          <w:rtl/>
        </w:rPr>
        <w:drawing>
          <wp:inline distT="0" distB="0" distL="0" distR="0" wp14:anchorId="227C32F1" wp14:editId="11BB03DF">
            <wp:extent cx="5404485" cy="3173825"/>
            <wp:effectExtent l="0" t="0" r="0" b="0"/>
            <wp:docPr id="5" name="Picture 5" descr="G:\GIS\hamid\lcm_kordestan\gis\khroji\ostan.jpg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IS\hamid\lcm_kordestan\gis\khroji\ostan.jpg۱.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404485" cy="3173825"/>
                    </a:xfrm>
                    <a:prstGeom prst="rect">
                      <a:avLst/>
                    </a:prstGeom>
                    <a:noFill/>
                    <a:ln>
                      <a:noFill/>
                    </a:ln>
                  </pic:spPr>
                </pic:pic>
              </a:graphicData>
            </a:graphic>
          </wp:inline>
        </w:drawing>
      </w:r>
    </w:p>
    <w:p w14:paraId="36F20A15" w14:textId="3B4FA157" w:rsidR="00013CB9" w:rsidRPr="008C1DB1" w:rsidRDefault="00013CB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1</w:t>
      </w:r>
      <w:r w:rsidRPr="008C1DB1">
        <w:rPr>
          <w:rFonts w:asciiTheme="majorBidi" w:hAnsiTheme="majorBidi" w:cstheme="majorBidi"/>
          <w:sz w:val="20"/>
          <w:szCs w:val="20"/>
          <w:lang w:bidi="fa-IR"/>
        </w:rPr>
        <w:t>. Location of the study area</w:t>
      </w:r>
    </w:p>
    <w:p w14:paraId="14D4CEAF" w14:textId="77777777" w:rsidR="0063266C" w:rsidRPr="008C1DB1" w:rsidRDefault="0063266C" w:rsidP="008C1DB1">
      <w:pPr>
        <w:bidi w:val="0"/>
        <w:spacing w:after="0" w:line="240" w:lineRule="auto"/>
        <w:jc w:val="center"/>
        <w:rPr>
          <w:rFonts w:asciiTheme="majorBidi" w:hAnsiTheme="majorBidi" w:cstheme="majorBidi"/>
          <w:sz w:val="20"/>
          <w:szCs w:val="20"/>
          <w:lang w:bidi="fa-IR"/>
        </w:rPr>
      </w:pPr>
    </w:p>
    <w:p w14:paraId="6A52C6F5" w14:textId="384EE13D" w:rsidR="0063266C" w:rsidRPr="00636421" w:rsidRDefault="0063266C" w:rsidP="008C1DB1">
      <w:pPr>
        <w:bidi w:val="0"/>
        <w:spacing w:after="0" w:line="240" w:lineRule="auto"/>
        <w:jc w:val="both"/>
        <w:rPr>
          <w:rFonts w:asciiTheme="majorBidi" w:hAnsiTheme="majorBidi" w:cstheme="majorBidi"/>
          <w:b/>
          <w:bCs/>
          <w:lang w:bidi="fa-IR"/>
        </w:rPr>
      </w:pPr>
      <w:r w:rsidRPr="00636421">
        <w:rPr>
          <w:rFonts w:asciiTheme="majorBidi" w:hAnsiTheme="majorBidi" w:cstheme="majorBidi"/>
          <w:b/>
          <w:bCs/>
          <w:lang w:bidi="fa-IR"/>
        </w:rPr>
        <w:t>3. Materials and methods</w:t>
      </w:r>
    </w:p>
    <w:p w14:paraId="476C83A5" w14:textId="2D07D5D9" w:rsidR="00FA0B8C" w:rsidRPr="00636421" w:rsidRDefault="00FA0B8C"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In this study, descriptive-analytical methods and software tools have been employed. The research data includes </w:t>
      </w:r>
      <w:r w:rsidR="00600393" w:rsidRPr="00636421">
        <w:rPr>
          <w:rFonts w:asciiTheme="majorBidi" w:hAnsiTheme="majorBidi" w:cstheme="majorBidi"/>
          <w:lang w:bidi="fa-IR"/>
        </w:rPr>
        <w:t xml:space="preserve">1:50000 </w:t>
      </w:r>
      <w:r w:rsidRPr="00636421">
        <w:rPr>
          <w:rFonts w:asciiTheme="majorBidi" w:hAnsiTheme="majorBidi" w:cstheme="majorBidi"/>
          <w:lang w:bidi="fa-IR"/>
        </w:rPr>
        <w:t xml:space="preserve">topographic maps for urban areas in Kurdistan Province (to assess the topographic conditions of urban </w:t>
      </w:r>
      <w:r w:rsidR="00600393" w:rsidRPr="00636421">
        <w:rPr>
          <w:rFonts w:asciiTheme="majorBidi" w:hAnsiTheme="majorBidi" w:cstheme="majorBidi"/>
          <w:lang w:bidi="fa-IR"/>
        </w:rPr>
        <w:t>areas</w:t>
      </w:r>
      <w:r w:rsidRPr="00636421">
        <w:rPr>
          <w:rFonts w:asciiTheme="majorBidi" w:hAnsiTheme="majorBidi" w:cstheme="majorBidi"/>
          <w:lang w:bidi="fa-IR"/>
        </w:rPr>
        <w:t xml:space="preserve">), </w:t>
      </w:r>
      <w:r w:rsidR="00600393" w:rsidRPr="00636421">
        <w:rPr>
          <w:rFonts w:asciiTheme="majorBidi" w:hAnsiTheme="majorBidi" w:cstheme="majorBidi"/>
          <w:lang w:bidi="fa-IR"/>
        </w:rPr>
        <w:t>12.5 m ALOS PALSAR digital elevation model</w:t>
      </w:r>
      <w:r w:rsidR="00B2487E" w:rsidRPr="00636421">
        <w:rPr>
          <w:rFonts w:asciiTheme="majorBidi" w:hAnsiTheme="majorBidi" w:cstheme="majorBidi"/>
          <w:lang w:bidi="fa-IR"/>
        </w:rPr>
        <w:t xml:space="preserve"> (DEM)</w:t>
      </w:r>
      <w:r w:rsidRPr="00636421">
        <w:rPr>
          <w:rFonts w:asciiTheme="majorBidi" w:hAnsiTheme="majorBidi" w:cstheme="majorBidi"/>
          <w:lang w:bidi="fa-IR"/>
        </w:rPr>
        <w:t xml:space="preserve"> (for </w:t>
      </w:r>
      <w:r w:rsidR="00B2487E" w:rsidRPr="00636421">
        <w:rPr>
          <w:rFonts w:asciiTheme="majorBidi" w:hAnsiTheme="majorBidi" w:cstheme="majorBidi"/>
          <w:lang w:bidi="fa-IR"/>
        </w:rPr>
        <w:t>prepar</w:t>
      </w:r>
      <w:r w:rsidRPr="00636421">
        <w:rPr>
          <w:rFonts w:asciiTheme="majorBidi" w:hAnsiTheme="majorBidi" w:cstheme="majorBidi"/>
          <w:lang w:bidi="fa-IR"/>
        </w:rPr>
        <w:t xml:space="preserve">ing elevation maps and drainage networks), as well as Landsat satellite images (Landsat 5, 7, and 8, sensors TM, ETM, and OLI) for preparing land use maps of urban areas over the years 1992, 2002, 2012, and 2022. The research tools also include ENVI (for </w:t>
      </w:r>
      <w:r w:rsidR="00AD7158" w:rsidRPr="00636421">
        <w:rPr>
          <w:rFonts w:asciiTheme="majorBidi" w:hAnsiTheme="majorBidi" w:cstheme="majorBidi"/>
          <w:lang w:bidi="fa-IR"/>
        </w:rPr>
        <w:t xml:space="preserve">preparing </w:t>
      </w:r>
      <w:r w:rsidRPr="00636421">
        <w:rPr>
          <w:rFonts w:asciiTheme="majorBidi" w:hAnsiTheme="majorBidi" w:cstheme="majorBidi"/>
          <w:lang w:bidi="fa-IR"/>
        </w:rPr>
        <w:t xml:space="preserve">land use maps of urban areas during the studied periods), ArcGIS (for </w:t>
      </w:r>
      <w:r w:rsidR="001C100F" w:rsidRPr="00636421">
        <w:rPr>
          <w:rFonts w:asciiTheme="majorBidi" w:hAnsiTheme="majorBidi" w:cstheme="majorBidi"/>
          <w:lang w:bidi="fa-IR"/>
        </w:rPr>
        <w:t xml:space="preserve">preparing </w:t>
      </w:r>
      <w:r w:rsidRPr="00636421">
        <w:rPr>
          <w:rFonts w:asciiTheme="majorBidi" w:hAnsiTheme="majorBidi" w:cstheme="majorBidi"/>
          <w:lang w:bidi="fa-IR"/>
        </w:rPr>
        <w:t>elevation and drainage maps and final outputs), and SPSS (for calculating changes in the physical development of cities).</w:t>
      </w:r>
    </w:p>
    <w:p w14:paraId="129DD89C" w14:textId="6778C7DB" w:rsidR="00A44AF1" w:rsidRPr="00636421" w:rsidRDefault="00A44AF1"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The research </w:t>
      </w:r>
      <w:r w:rsidR="001D56CF" w:rsidRPr="00636421">
        <w:rPr>
          <w:rFonts w:asciiTheme="majorBidi" w:hAnsiTheme="majorBidi" w:cstheme="majorBidi"/>
          <w:lang w:bidi="fa-IR"/>
        </w:rPr>
        <w:t>was</w:t>
      </w:r>
      <w:r w:rsidRPr="00636421">
        <w:rPr>
          <w:rFonts w:asciiTheme="majorBidi" w:hAnsiTheme="majorBidi" w:cstheme="majorBidi"/>
          <w:lang w:bidi="fa-IR"/>
        </w:rPr>
        <w:t xml:space="preserve"> carried out in four phases, which </w:t>
      </w:r>
      <w:r w:rsidR="001D56CF" w:rsidRPr="00636421">
        <w:rPr>
          <w:rFonts w:asciiTheme="majorBidi" w:hAnsiTheme="majorBidi" w:cstheme="majorBidi"/>
          <w:lang w:bidi="fa-IR"/>
        </w:rPr>
        <w:t>are</w:t>
      </w:r>
      <w:r w:rsidRPr="00636421">
        <w:rPr>
          <w:rFonts w:asciiTheme="majorBidi" w:hAnsiTheme="majorBidi" w:cstheme="majorBidi"/>
          <w:lang w:bidi="fa-IR"/>
        </w:rPr>
        <w:t xml:space="preserve"> as below:</w:t>
      </w:r>
    </w:p>
    <w:p w14:paraId="4C8BA59F" w14:textId="2F760FE4" w:rsidR="00A44AF1" w:rsidRPr="00636421" w:rsidRDefault="00A44AF1" w:rsidP="00DE4D41">
      <w:pPr>
        <w:numPr>
          <w:ilvl w:val="0"/>
          <w:numId w:val="3"/>
        </w:numPr>
        <w:bidi w:val="0"/>
        <w:spacing w:after="0" w:line="240" w:lineRule="auto"/>
        <w:jc w:val="both"/>
        <w:rPr>
          <w:rFonts w:asciiTheme="majorBidi" w:hAnsiTheme="majorBidi" w:cstheme="majorBidi"/>
          <w:lang w:bidi="fa-IR"/>
        </w:rPr>
      </w:pPr>
      <w:r w:rsidRPr="00636421">
        <w:rPr>
          <w:rFonts w:asciiTheme="majorBidi" w:hAnsiTheme="majorBidi" w:cstheme="majorBidi"/>
          <w:b/>
          <w:bCs/>
          <w:lang w:bidi="fa-IR"/>
        </w:rPr>
        <w:t>Assessment of the Geomorphological Conditions of the Area</w:t>
      </w:r>
      <w:r w:rsidRPr="00636421">
        <w:rPr>
          <w:rFonts w:asciiTheme="majorBidi" w:hAnsiTheme="majorBidi" w:cstheme="majorBidi"/>
          <w:lang w:bidi="fa-IR"/>
        </w:rPr>
        <w:t xml:space="preserve">: For this purpose, a Digital Elevation Model (DEM) with a resolution of 12.5 meters was utilized to generate elevation and drainage network maps for the urban areas. The objective of </w:t>
      </w:r>
      <w:r w:rsidR="001D56CF" w:rsidRPr="00636421">
        <w:rPr>
          <w:rFonts w:asciiTheme="majorBidi" w:hAnsiTheme="majorBidi" w:cstheme="majorBidi"/>
          <w:lang w:bidi="fa-IR"/>
        </w:rPr>
        <w:t>prepar</w:t>
      </w:r>
      <w:r w:rsidRPr="00636421">
        <w:rPr>
          <w:rFonts w:asciiTheme="majorBidi" w:hAnsiTheme="majorBidi" w:cstheme="majorBidi"/>
          <w:lang w:bidi="fa-IR"/>
        </w:rPr>
        <w:t>ing these maps is to examine the prevailing geomorphological conditions in the studied cities.</w:t>
      </w:r>
    </w:p>
    <w:p w14:paraId="245DB382" w14:textId="5D352461" w:rsidR="00A44AF1" w:rsidRPr="00636421" w:rsidRDefault="00A44AF1" w:rsidP="00DE4D41">
      <w:pPr>
        <w:numPr>
          <w:ilvl w:val="0"/>
          <w:numId w:val="3"/>
        </w:numPr>
        <w:bidi w:val="0"/>
        <w:spacing w:after="0" w:line="240" w:lineRule="auto"/>
        <w:jc w:val="both"/>
        <w:rPr>
          <w:rFonts w:asciiTheme="majorBidi" w:hAnsiTheme="majorBidi" w:cstheme="majorBidi"/>
          <w:lang w:bidi="fa-IR"/>
        </w:rPr>
      </w:pPr>
      <w:r w:rsidRPr="00636421">
        <w:rPr>
          <w:rFonts w:asciiTheme="majorBidi" w:hAnsiTheme="majorBidi" w:cstheme="majorBidi"/>
          <w:b/>
          <w:bCs/>
          <w:lang w:bidi="fa-IR"/>
        </w:rPr>
        <w:lastRenderedPageBreak/>
        <w:t>Evaluation of the Physical Development Trends of the Cities</w:t>
      </w:r>
      <w:r w:rsidRPr="00636421">
        <w:rPr>
          <w:rFonts w:asciiTheme="majorBidi" w:hAnsiTheme="majorBidi" w:cstheme="majorBidi"/>
          <w:lang w:bidi="fa-IR"/>
        </w:rPr>
        <w:t xml:space="preserve">: </w:t>
      </w:r>
      <w:r w:rsidR="0009330E" w:rsidRPr="00636421">
        <w:rPr>
          <w:rFonts w:asciiTheme="majorBidi" w:hAnsiTheme="majorBidi" w:cstheme="majorBidi"/>
          <w:lang w:bidi="fa-IR"/>
        </w:rPr>
        <w:t>Remote sensing methods are widely used in the study of land surface changes (</w:t>
      </w:r>
      <w:r w:rsidR="00327EB6" w:rsidRPr="00636421">
        <w:rPr>
          <w:rFonts w:asciiTheme="majorBidi" w:hAnsiTheme="majorBidi" w:cstheme="majorBidi"/>
          <w:lang w:bidi="fa-IR"/>
        </w:rPr>
        <w:t xml:space="preserve">Asadi et al, 2021., </w:t>
      </w:r>
      <w:proofErr w:type="spellStart"/>
      <w:r w:rsidR="00327EB6" w:rsidRPr="00636421">
        <w:rPr>
          <w:rFonts w:asciiTheme="majorBidi" w:hAnsiTheme="majorBidi" w:cstheme="majorBidi"/>
          <w:lang w:bidi="fa-IR"/>
        </w:rPr>
        <w:t>Ganjaeian</w:t>
      </w:r>
      <w:proofErr w:type="spellEnd"/>
      <w:r w:rsidR="00327EB6" w:rsidRPr="00636421">
        <w:rPr>
          <w:rFonts w:asciiTheme="majorBidi" w:hAnsiTheme="majorBidi" w:cstheme="majorBidi"/>
          <w:lang w:bidi="fa-IR"/>
        </w:rPr>
        <w:t xml:space="preserve"> et al, 2022., Safari </w:t>
      </w:r>
      <w:proofErr w:type="spellStart"/>
      <w:r w:rsidR="00327EB6" w:rsidRPr="00636421">
        <w:rPr>
          <w:rFonts w:asciiTheme="majorBidi" w:hAnsiTheme="majorBidi" w:cstheme="majorBidi"/>
          <w:lang w:bidi="fa-IR"/>
        </w:rPr>
        <w:t>Namivan</w:t>
      </w:r>
      <w:r w:rsidR="007C639E" w:rsidRPr="00636421">
        <w:rPr>
          <w:rFonts w:asciiTheme="majorBidi" w:hAnsiTheme="majorBidi" w:cstheme="majorBidi"/>
          <w:lang w:bidi="fa-IR"/>
        </w:rPr>
        <w:t>di</w:t>
      </w:r>
      <w:proofErr w:type="spellEnd"/>
      <w:r w:rsidR="007C639E" w:rsidRPr="00636421">
        <w:rPr>
          <w:rFonts w:asciiTheme="majorBidi" w:hAnsiTheme="majorBidi" w:cstheme="majorBidi"/>
          <w:lang w:bidi="fa-IR"/>
        </w:rPr>
        <w:t xml:space="preserve"> et al, 2024.,</w:t>
      </w:r>
      <w:r w:rsidR="00327EB6" w:rsidRPr="00636421">
        <w:rPr>
          <w:rFonts w:asciiTheme="majorBidi" w:hAnsiTheme="majorBidi" w:cstheme="majorBidi"/>
          <w:lang w:bidi="fa-IR"/>
        </w:rPr>
        <w:t xml:space="preserve"> </w:t>
      </w:r>
      <w:proofErr w:type="spellStart"/>
      <w:r w:rsidR="00327EB6" w:rsidRPr="00636421">
        <w:rPr>
          <w:rFonts w:asciiTheme="majorBidi" w:hAnsiTheme="majorBidi" w:cstheme="majorBidi"/>
          <w:lang w:bidi="fa-IR"/>
        </w:rPr>
        <w:t>Negahban</w:t>
      </w:r>
      <w:proofErr w:type="spellEnd"/>
      <w:r w:rsidR="00327EB6" w:rsidRPr="00636421">
        <w:rPr>
          <w:rFonts w:asciiTheme="majorBidi" w:hAnsiTheme="majorBidi" w:cstheme="majorBidi"/>
          <w:lang w:bidi="fa-IR"/>
        </w:rPr>
        <w:t xml:space="preserve"> et al, 2025</w:t>
      </w:r>
      <w:r w:rsidR="0009330E" w:rsidRPr="00636421">
        <w:rPr>
          <w:rFonts w:asciiTheme="majorBidi" w:hAnsiTheme="majorBidi" w:cstheme="majorBidi"/>
          <w:lang w:bidi="fa-IR"/>
        </w:rPr>
        <w:t>). In this study, this method was used to evaluate the physical development process of cities in Kurdistan Province.</w:t>
      </w:r>
      <w:r w:rsidRPr="00636421">
        <w:rPr>
          <w:rFonts w:asciiTheme="majorBidi" w:hAnsiTheme="majorBidi" w:cstheme="majorBidi"/>
          <w:lang w:bidi="fa-IR"/>
        </w:rPr>
        <w:t xml:space="preserve"> For this purpose, images corresponding to the years 1992, 2002, 2012, and 2022 (July) from the TM, ETM, and OLI sensors were obtained. After acquiring the images, the data were </w:t>
      </w:r>
      <w:r w:rsidR="00F648D8" w:rsidRPr="00636421">
        <w:rPr>
          <w:rFonts w:asciiTheme="majorBidi" w:hAnsiTheme="majorBidi" w:cstheme="majorBidi"/>
          <w:lang w:bidi="fa-IR"/>
        </w:rPr>
        <w:t xml:space="preserve">preprocessed and so </w:t>
      </w:r>
      <w:r w:rsidRPr="00636421">
        <w:rPr>
          <w:rFonts w:asciiTheme="majorBidi" w:hAnsiTheme="majorBidi" w:cstheme="majorBidi"/>
          <w:lang w:bidi="fa-IR"/>
        </w:rPr>
        <w:t xml:space="preserve">examined for geometric and radiometric errors before any analysis and processing. Subsequently, to prepare urban land use maps, training samples were defined in two classes: urban areas and non-urban areas. Finally, using the maximum likelihood method, urban land use maps for the years 1992, 2002, 2012, and 2022 were generated for the studied cities. To validate the results, the overall accuracy </w:t>
      </w:r>
      <w:r w:rsidR="007A5CC3" w:rsidRPr="00636421">
        <w:rPr>
          <w:rFonts w:asciiTheme="majorBidi" w:hAnsiTheme="majorBidi" w:cstheme="majorBidi"/>
          <w:lang w:bidi="fa-IR"/>
        </w:rPr>
        <w:t xml:space="preserve">coefficient </w:t>
      </w:r>
      <w:r w:rsidRPr="00636421">
        <w:rPr>
          <w:rFonts w:asciiTheme="majorBidi" w:hAnsiTheme="majorBidi" w:cstheme="majorBidi"/>
          <w:lang w:bidi="fa-IR"/>
        </w:rPr>
        <w:t>of these maps was calculated, as shown in Table 1.</w:t>
      </w:r>
    </w:p>
    <w:p w14:paraId="3BFB82CF" w14:textId="77777777" w:rsidR="00DE4D41" w:rsidRPr="008C1DB1" w:rsidRDefault="00DE4D41" w:rsidP="00DE4D41">
      <w:pPr>
        <w:bidi w:val="0"/>
        <w:spacing w:after="0" w:line="240" w:lineRule="auto"/>
        <w:ind w:left="720"/>
        <w:jc w:val="both"/>
        <w:rPr>
          <w:rFonts w:asciiTheme="majorBidi" w:hAnsiTheme="majorBidi" w:cstheme="majorBidi"/>
          <w:sz w:val="20"/>
          <w:szCs w:val="20"/>
          <w:lang w:bidi="fa-IR"/>
        </w:rPr>
      </w:pPr>
    </w:p>
    <w:p w14:paraId="09C0A221" w14:textId="08ED1550" w:rsidR="007A5CC3" w:rsidRPr="008C1DB1" w:rsidRDefault="007A5CC3"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Table 1</w:t>
      </w:r>
      <w:r w:rsidR="004C0F1E" w:rsidRPr="008C1DB1">
        <w:rPr>
          <w:rFonts w:asciiTheme="majorBidi" w:hAnsiTheme="majorBidi" w:cstheme="majorBidi"/>
          <w:sz w:val="20"/>
          <w:szCs w:val="20"/>
          <w:lang w:bidi="fa-IR"/>
        </w:rPr>
        <w:t>.</w:t>
      </w:r>
      <w:r w:rsidRPr="008C1DB1">
        <w:rPr>
          <w:rFonts w:asciiTheme="majorBidi" w:hAnsiTheme="majorBidi" w:cstheme="majorBidi"/>
          <w:sz w:val="20"/>
          <w:szCs w:val="20"/>
          <w:lang w:bidi="fa-IR"/>
        </w:rPr>
        <w:t xml:space="preserve"> Evaluation of overall accuracy of the prepared maps</w:t>
      </w:r>
    </w:p>
    <w:tbl>
      <w:tblPr>
        <w:bidiVisual/>
        <w:tblW w:w="0" w:type="auto"/>
        <w:jc w:val="center"/>
        <w:tblLook w:val="04A0" w:firstRow="1" w:lastRow="0" w:firstColumn="1" w:lastColumn="0" w:noHBand="0" w:noVBand="1"/>
      </w:tblPr>
      <w:tblGrid>
        <w:gridCol w:w="1385"/>
        <w:gridCol w:w="1385"/>
        <w:gridCol w:w="1385"/>
        <w:gridCol w:w="1385"/>
        <w:gridCol w:w="1385"/>
      </w:tblGrid>
      <w:tr w:rsidR="004C0F1E" w:rsidRPr="005F2950" w14:paraId="1226BC9F" w14:textId="77777777" w:rsidTr="00636421">
        <w:trPr>
          <w:trHeight w:val="20"/>
          <w:jc w:val="center"/>
        </w:trPr>
        <w:tc>
          <w:tcPr>
            <w:tcW w:w="1385" w:type="dxa"/>
            <w:tcBorders>
              <w:top w:val="single" w:sz="4" w:space="0" w:color="auto"/>
              <w:bottom w:val="single" w:sz="4" w:space="0" w:color="auto"/>
            </w:tcBorders>
            <w:vAlign w:val="center"/>
          </w:tcPr>
          <w:p w14:paraId="1E1FB350" w14:textId="23D03536" w:rsidR="004C0F1E" w:rsidRPr="005F2950" w:rsidRDefault="004C0F1E"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2022</w:t>
            </w:r>
          </w:p>
        </w:tc>
        <w:tc>
          <w:tcPr>
            <w:tcW w:w="1385" w:type="dxa"/>
            <w:tcBorders>
              <w:top w:val="single" w:sz="4" w:space="0" w:color="auto"/>
              <w:bottom w:val="single" w:sz="4" w:space="0" w:color="auto"/>
            </w:tcBorders>
            <w:vAlign w:val="center"/>
          </w:tcPr>
          <w:p w14:paraId="05FAF39F" w14:textId="6973409D" w:rsidR="004C0F1E" w:rsidRPr="005F2950" w:rsidRDefault="004C0F1E"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2012</w:t>
            </w:r>
          </w:p>
        </w:tc>
        <w:tc>
          <w:tcPr>
            <w:tcW w:w="1385" w:type="dxa"/>
            <w:tcBorders>
              <w:top w:val="single" w:sz="4" w:space="0" w:color="auto"/>
              <w:bottom w:val="single" w:sz="4" w:space="0" w:color="auto"/>
            </w:tcBorders>
            <w:vAlign w:val="center"/>
          </w:tcPr>
          <w:p w14:paraId="0760CEEA" w14:textId="0582BDA7" w:rsidR="004C0F1E" w:rsidRPr="005F2950" w:rsidRDefault="004C0F1E"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2002</w:t>
            </w:r>
          </w:p>
        </w:tc>
        <w:tc>
          <w:tcPr>
            <w:tcW w:w="1385" w:type="dxa"/>
            <w:tcBorders>
              <w:top w:val="single" w:sz="4" w:space="0" w:color="auto"/>
              <w:bottom w:val="single" w:sz="4" w:space="0" w:color="auto"/>
            </w:tcBorders>
            <w:vAlign w:val="center"/>
          </w:tcPr>
          <w:p w14:paraId="27EEAAAB" w14:textId="03B25164" w:rsidR="004C0F1E" w:rsidRPr="005F2950" w:rsidRDefault="004C0F1E"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1992</w:t>
            </w:r>
          </w:p>
        </w:tc>
        <w:tc>
          <w:tcPr>
            <w:tcW w:w="1385" w:type="dxa"/>
            <w:tcBorders>
              <w:top w:val="single" w:sz="4" w:space="0" w:color="auto"/>
              <w:bottom w:val="single" w:sz="4" w:space="0" w:color="auto"/>
              <w:tl2br w:val="single" w:sz="4" w:space="0" w:color="auto"/>
            </w:tcBorders>
            <w:vAlign w:val="center"/>
          </w:tcPr>
          <w:p w14:paraId="6A3781BF" w14:textId="354A1394" w:rsidR="004C0F1E" w:rsidRPr="005F2950" w:rsidRDefault="004C0F1E" w:rsidP="008C1DB1">
            <w:pPr>
              <w:bidi w:val="0"/>
              <w:spacing w:after="0" w:line="240" w:lineRule="auto"/>
              <w:rPr>
                <w:rFonts w:asciiTheme="majorBidi" w:hAnsiTheme="majorBidi" w:cstheme="majorBidi"/>
                <w:color w:val="000000" w:themeColor="text1"/>
                <w:sz w:val="20"/>
                <w:szCs w:val="20"/>
                <w:lang w:bidi="fa-IR"/>
              </w:rPr>
            </w:pPr>
            <w:r w:rsidRPr="005F2950">
              <w:rPr>
                <w:rFonts w:asciiTheme="majorBidi" w:hAnsiTheme="majorBidi" w:cstheme="majorBidi"/>
                <w:color w:val="000000" w:themeColor="text1"/>
                <w:sz w:val="20"/>
                <w:szCs w:val="20"/>
                <w:lang w:bidi="fa-IR"/>
              </w:rPr>
              <w:t xml:space="preserve">           Year</w:t>
            </w:r>
          </w:p>
          <w:p w14:paraId="0A163CCA" w14:textId="0A81ADD7" w:rsidR="004C0F1E" w:rsidRPr="005F2950" w:rsidRDefault="004C0F1E" w:rsidP="008C1DB1">
            <w:pPr>
              <w:bidi w:val="0"/>
              <w:spacing w:after="0" w:line="240" w:lineRule="auto"/>
              <w:rPr>
                <w:rFonts w:asciiTheme="majorBidi" w:hAnsiTheme="majorBidi" w:cstheme="majorBidi"/>
                <w:color w:val="000000" w:themeColor="text1"/>
                <w:sz w:val="20"/>
                <w:szCs w:val="20"/>
                <w:rtl/>
                <w:lang w:bidi="fa-IR"/>
              </w:rPr>
            </w:pPr>
            <w:r w:rsidRPr="005F2950">
              <w:rPr>
                <w:rFonts w:asciiTheme="majorBidi" w:hAnsiTheme="majorBidi" w:cstheme="majorBidi"/>
                <w:color w:val="000000" w:themeColor="text1"/>
                <w:sz w:val="20"/>
                <w:szCs w:val="20"/>
                <w:lang w:bidi="fa-IR"/>
              </w:rPr>
              <w:t>City</w:t>
            </w:r>
          </w:p>
        </w:tc>
      </w:tr>
      <w:tr w:rsidR="005539BF" w:rsidRPr="008C1DB1" w14:paraId="16832AD6" w14:textId="77777777" w:rsidTr="005B48B7">
        <w:trPr>
          <w:trHeight w:val="20"/>
          <w:jc w:val="center"/>
        </w:trPr>
        <w:tc>
          <w:tcPr>
            <w:tcW w:w="1385" w:type="dxa"/>
            <w:tcBorders>
              <w:top w:val="single" w:sz="4" w:space="0" w:color="auto"/>
            </w:tcBorders>
            <w:vAlign w:val="center"/>
          </w:tcPr>
          <w:p w14:paraId="3AF5DBC4" w14:textId="0F5DC926"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tcBorders>
              <w:top w:val="single" w:sz="4" w:space="0" w:color="auto"/>
            </w:tcBorders>
            <w:vAlign w:val="center"/>
          </w:tcPr>
          <w:p w14:paraId="7F7E09A2" w14:textId="32FCBD72"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0.92</w:t>
            </w:r>
          </w:p>
        </w:tc>
        <w:tc>
          <w:tcPr>
            <w:tcW w:w="1385" w:type="dxa"/>
            <w:tcBorders>
              <w:top w:val="single" w:sz="4" w:space="0" w:color="auto"/>
            </w:tcBorders>
            <w:vAlign w:val="center"/>
          </w:tcPr>
          <w:p w14:paraId="21447DAB" w14:textId="2CA3818A"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0.88</w:t>
            </w:r>
          </w:p>
        </w:tc>
        <w:tc>
          <w:tcPr>
            <w:tcW w:w="1385" w:type="dxa"/>
            <w:tcBorders>
              <w:top w:val="single" w:sz="4" w:space="0" w:color="auto"/>
            </w:tcBorders>
            <w:vAlign w:val="center"/>
          </w:tcPr>
          <w:p w14:paraId="5B95DFA9" w14:textId="3760071F"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0.84</w:t>
            </w:r>
          </w:p>
        </w:tc>
        <w:tc>
          <w:tcPr>
            <w:tcW w:w="1385" w:type="dxa"/>
            <w:tcBorders>
              <w:top w:val="single" w:sz="4" w:space="0" w:color="auto"/>
            </w:tcBorders>
            <w:vAlign w:val="center"/>
          </w:tcPr>
          <w:p w14:paraId="1FB24EBB" w14:textId="62CCCD08"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Baneh</w:t>
            </w:r>
          </w:p>
        </w:tc>
      </w:tr>
      <w:tr w:rsidR="005539BF" w:rsidRPr="008C1DB1" w14:paraId="5CE97150" w14:textId="77777777" w:rsidTr="005B48B7">
        <w:trPr>
          <w:trHeight w:val="20"/>
          <w:jc w:val="center"/>
        </w:trPr>
        <w:tc>
          <w:tcPr>
            <w:tcW w:w="1385" w:type="dxa"/>
            <w:vAlign w:val="center"/>
          </w:tcPr>
          <w:p w14:paraId="71C3D1F5" w14:textId="1BFA6736"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vAlign w:val="center"/>
          </w:tcPr>
          <w:p w14:paraId="7A1E8F4B" w14:textId="24FC8AC5"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0.90</w:t>
            </w:r>
          </w:p>
        </w:tc>
        <w:tc>
          <w:tcPr>
            <w:tcW w:w="1385" w:type="dxa"/>
            <w:vAlign w:val="center"/>
          </w:tcPr>
          <w:p w14:paraId="016C3ADE" w14:textId="17AD5CCF"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0.88</w:t>
            </w:r>
          </w:p>
        </w:tc>
        <w:tc>
          <w:tcPr>
            <w:tcW w:w="1385" w:type="dxa"/>
            <w:vAlign w:val="center"/>
          </w:tcPr>
          <w:p w14:paraId="301B0BA0" w14:textId="79FDFD82"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0.84</w:t>
            </w:r>
          </w:p>
        </w:tc>
        <w:tc>
          <w:tcPr>
            <w:tcW w:w="1385" w:type="dxa"/>
            <w:vAlign w:val="center"/>
          </w:tcPr>
          <w:p w14:paraId="1899BCB7" w14:textId="65E2AA75"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Bijar</w:t>
            </w:r>
          </w:p>
        </w:tc>
      </w:tr>
      <w:tr w:rsidR="005539BF" w:rsidRPr="008C1DB1" w14:paraId="540ADEF7" w14:textId="77777777" w:rsidTr="005B48B7">
        <w:trPr>
          <w:trHeight w:val="20"/>
          <w:jc w:val="center"/>
        </w:trPr>
        <w:tc>
          <w:tcPr>
            <w:tcW w:w="1385" w:type="dxa"/>
            <w:vAlign w:val="center"/>
          </w:tcPr>
          <w:p w14:paraId="2E0FF162" w14:textId="70564321"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vAlign w:val="center"/>
          </w:tcPr>
          <w:p w14:paraId="3F43C462" w14:textId="07645E91"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0.92</w:t>
            </w:r>
          </w:p>
        </w:tc>
        <w:tc>
          <w:tcPr>
            <w:tcW w:w="1385" w:type="dxa"/>
            <w:vAlign w:val="center"/>
          </w:tcPr>
          <w:p w14:paraId="25D1B5F4" w14:textId="70CE2439"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0.90</w:t>
            </w:r>
          </w:p>
        </w:tc>
        <w:tc>
          <w:tcPr>
            <w:tcW w:w="1385" w:type="dxa"/>
            <w:vAlign w:val="center"/>
          </w:tcPr>
          <w:p w14:paraId="793E0DA8" w14:textId="1FF36ED9"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0.88</w:t>
            </w:r>
          </w:p>
        </w:tc>
        <w:tc>
          <w:tcPr>
            <w:tcW w:w="1385" w:type="dxa"/>
            <w:vAlign w:val="center"/>
          </w:tcPr>
          <w:p w14:paraId="5C9ED2D3" w14:textId="43B242B0" w:rsidR="005539BF" w:rsidRPr="008C1DB1" w:rsidRDefault="005539BF"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Dehgolan</w:t>
            </w:r>
            <w:proofErr w:type="spellEnd"/>
          </w:p>
        </w:tc>
      </w:tr>
      <w:tr w:rsidR="005539BF" w:rsidRPr="008C1DB1" w14:paraId="452C811D" w14:textId="77777777" w:rsidTr="005B48B7">
        <w:trPr>
          <w:trHeight w:val="20"/>
          <w:jc w:val="center"/>
        </w:trPr>
        <w:tc>
          <w:tcPr>
            <w:tcW w:w="1385" w:type="dxa"/>
            <w:vAlign w:val="center"/>
          </w:tcPr>
          <w:p w14:paraId="4961678C" w14:textId="385A31E4"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0.92</w:t>
            </w:r>
          </w:p>
        </w:tc>
        <w:tc>
          <w:tcPr>
            <w:tcW w:w="1385" w:type="dxa"/>
            <w:vAlign w:val="center"/>
          </w:tcPr>
          <w:p w14:paraId="06657642" w14:textId="308CA097"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0.90</w:t>
            </w:r>
          </w:p>
        </w:tc>
        <w:tc>
          <w:tcPr>
            <w:tcW w:w="1385" w:type="dxa"/>
            <w:vAlign w:val="center"/>
          </w:tcPr>
          <w:p w14:paraId="7D76851C" w14:textId="2F50934C"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0.88</w:t>
            </w:r>
          </w:p>
        </w:tc>
        <w:tc>
          <w:tcPr>
            <w:tcW w:w="1385" w:type="dxa"/>
            <w:vAlign w:val="center"/>
          </w:tcPr>
          <w:p w14:paraId="46DD79C9" w14:textId="58F02FCE"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0.86</w:t>
            </w:r>
          </w:p>
        </w:tc>
        <w:tc>
          <w:tcPr>
            <w:tcW w:w="1385" w:type="dxa"/>
            <w:vAlign w:val="center"/>
          </w:tcPr>
          <w:p w14:paraId="3995DC2D" w14:textId="28B54144" w:rsidR="005539BF" w:rsidRPr="008C1DB1" w:rsidRDefault="005539BF"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Divandareh</w:t>
            </w:r>
            <w:proofErr w:type="spellEnd"/>
          </w:p>
        </w:tc>
      </w:tr>
      <w:tr w:rsidR="005539BF" w:rsidRPr="008C1DB1" w14:paraId="4F302A9A" w14:textId="77777777" w:rsidTr="005B48B7">
        <w:trPr>
          <w:trHeight w:val="20"/>
          <w:jc w:val="center"/>
        </w:trPr>
        <w:tc>
          <w:tcPr>
            <w:tcW w:w="1385" w:type="dxa"/>
            <w:vAlign w:val="center"/>
          </w:tcPr>
          <w:p w14:paraId="5CD5D788" w14:textId="7738B6B1"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vAlign w:val="center"/>
          </w:tcPr>
          <w:p w14:paraId="69E8D10B" w14:textId="1DF99860"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0.92</w:t>
            </w:r>
          </w:p>
        </w:tc>
        <w:tc>
          <w:tcPr>
            <w:tcW w:w="1385" w:type="dxa"/>
            <w:vAlign w:val="center"/>
          </w:tcPr>
          <w:p w14:paraId="23A8783A" w14:textId="412F965D"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0.88</w:t>
            </w:r>
          </w:p>
        </w:tc>
        <w:tc>
          <w:tcPr>
            <w:tcW w:w="1385" w:type="dxa"/>
            <w:vAlign w:val="center"/>
          </w:tcPr>
          <w:p w14:paraId="11190BC2" w14:textId="1166DBCA"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0.84</w:t>
            </w:r>
          </w:p>
        </w:tc>
        <w:tc>
          <w:tcPr>
            <w:tcW w:w="1385" w:type="dxa"/>
            <w:vAlign w:val="center"/>
          </w:tcPr>
          <w:p w14:paraId="08E4DE48" w14:textId="4C9593B0" w:rsidR="005539BF" w:rsidRPr="008C1DB1" w:rsidRDefault="005539BF"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Sarvabad</w:t>
            </w:r>
            <w:proofErr w:type="spellEnd"/>
          </w:p>
        </w:tc>
      </w:tr>
      <w:tr w:rsidR="005539BF" w:rsidRPr="008C1DB1" w14:paraId="562DF16F" w14:textId="77777777" w:rsidTr="005B48B7">
        <w:trPr>
          <w:trHeight w:val="20"/>
          <w:jc w:val="center"/>
        </w:trPr>
        <w:tc>
          <w:tcPr>
            <w:tcW w:w="1385" w:type="dxa"/>
            <w:vAlign w:val="center"/>
          </w:tcPr>
          <w:p w14:paraId="14C47B72" w14:textId="55C58D59"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vAlign w:val="center"/>
          </w:tcPr>
          <w:p w14:paraId="5C6198E6" w14:textId="0B575459"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vAlign w:val="center"/>
          </w:tcPr>
          <w:p w14:paraId="2733A0A0" w14:textId="59A839C3"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0.88</w:t>
            </w:r>
          </w:p>
        </w:tc>
        <w:tc>
          <w:tcPr>
            <w:tcW w:w="1385" w:type="dxa"/>
            <w:vAlign w:val="center"/>
          </w:tcPr>
          <w:p w14:paraId="02A5D147" w14:textId="320A81B7"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0.86</w:t>
            </w:r>
          </w:p>
        </w:tc>
        <w:tc>
          <w:tcPr>
            <w:tcW w:w="1385" w:type="dxa"/>
            <w:vAlign w:val="center"/>
          </w:tcPr>
          <w:p w14:paraId="2E5A3848" w14:textId="6362BF72" w:rsidR="005539BF" w:rsidRPr="008C1DB1" w:rsidRDefault="00E72925"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Saghez</w:t>
            </w:r>
            <w:proofErr w:type="spellEnd"/>
          </w:p>
        </w:tc>
      </w:tr>
      <w:tr w:rsidR="005539BF" w:rsidRPr="008C1DB1" w14:paraId="1ABF3AA6" w14:textId="77777777" w:rsidTr="005B48B7">
        <w:trPr>
          <w:trHeight w:val="20"/>
          <w:jc w:val="center"/>
        </w:trPr>
        <w:tc>
          <w:tcPr>
            <w:tcW w:w="1385" w:type="dxa"/>
            <w:vAlign w:val="center"/>
          </w:tcPr>
          <w:p w14:paraId="03AD0D07" w14:textId="16CC82A6"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0.96</w:t>
            </w:r>
          </w:p>
        </w:tc>
        <w:tc>
          <w:tcPr>
            <w:tcW w:w="1385" w:type="dxa"/>
            <w:vAlign w:val="center"/>
          </w:tcPr>
          <w:p w14:paraId="37E5D0CE" w14:textId="304B9A06"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0.92</w:t>
            </w:r>
          </w:p>
        </w:tc>
        <w:tc>
          <w:tcPr>
            <w:tcW w:w="1385" w:type="dxa"/>
            <w:vAlign w:val="center"/>
          </w:tcPr>
          <w:p w14:paraId="06882F6E" w14:textId="25BCCEB9"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0.88</w:t>
            </w:r>
          </w:p>
        </w:tc>
        <w:tc>
          <w:tcPr>
            <w:tcW w:w="1385" w:type="dxa"/>
            <w:vAlign w:val="center"/>
          </w:tcPr>
          <w:p w14:paraId="3190321B" w14:textId="581F1F33"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0.86</w:t>
            </w:r>
          </w:p>
        </w:tc>
        <w:tc>
          <w:tcPr>
            <w:tcW w:w="1385" w:type="dxa"/>
            <w:vAlign w:val="center"/>
          </w:tcPr>
          <w:p w14:paraId="03DEF08E" w14:textId="04D81AFD"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Sanandaj</w:t>
            </w:r>
          </w:p>
        </w:tc>
      </w:tr>
      <w:tr w:rsidR="005539BF" w:rsidRPr="008C1DB1" w14:paraId="3F19D53C" w14:textId="77777777" w:rsidTr="005B48B7">
        <w:trPr>
          <w:trHeight w:val="20"/>
          <w:jc w:val="center"/>
        </w:trPr>
        <w:tc>
          <w:tcPr>
            <w:tcW w:w="1385" w:type="dxa"/>
            <w:vAlign w:val="center"/>
          </w:tcPr>
          <w:p w14:paraId="53AB137A" w14:textId="3EBCE2B0"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vAlign w:val="center"/>
          </w:tcPr>
          <w:p w14:paraId="02DE35B3" w14:textId="5F609ACA"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0.92</w:t>
            </w:r>
          </w:p>
        </w:tc>
        <w:tc>
          <w:tcPr>
            <w:tcW w:w="1385" w:type="dxa"/>
            <w:vAlign w:val="center"/>
          </w:tcPr>
          <w:p w14:paraId="21BEBD17" w14:textId="575363BA"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0.88</w:t>
            </w:r>
          </w:p>
        </w:tc>
        <w:tc>
          <w:tcPr>
            <w:tcW w:w="1385" w:type="dxa"/>
            <w:vAlign w:val="center"/>
          </w:tcPr>
          <w:p w14:paraId="2D68E384" w14:textId="3CFCB993"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0.88</w:t>
            </w:r>
          </w:p>
        </w:tc>
        <w:tc>
          <w:tcPr>
            <w:tcW w:w="1385" w:type="dxa"/>
            <w:vAlign w:val="center"/>
          </w:tcPr>
          <w:p w14:paraId="2BED065D" w14:textId="71901394" w:rsidR="005539BF" w:rsidRPr="008C1DB1" w:rsidRDefault="005539BF"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Qorveh</w:t>
            </w:r>
            <w:proofErr w:type="spellEnd"/>
          </w:p>
        </w:tc>
      </w:tr>
      <w:tr w:rsidR="005539BF" w:rsidRPr="008C1DB1" w14:paraId="6679B00C" w14:textId="77777777" w:rsidTr="005B48B7">
        <w:trPr>
          <w:trHeight w:val="20"/>
          <w:jc w:val="center"/>
        </w:trPr>
        <w:tc>
          <w:tcPr>
            <w:tcW w:w="1385" w:type="dxa"/>
            <w:vAlign w:val="center"/>
          </w:tcPr>
          <w:p w14:paraId="40E98E81" w14:textId="6F513F3E"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vAlign w:val="center"/>
          </w:tcPr>
          <w:p w14:paraId="35293DAF" w14:textId="181F2395"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vAlign w:val="center"/>
          </w:tcPr>
          <w:p w14:paraId="0A3044A9" w14:textId="3525AC37"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0.90</w:t>
            </w:r>
          </w:p>
        </w:tc>
        <w:tc>
          <w:tcPr>
            <w:tcW w:w="1385" w:type="dxa"/>
            <w:vAlign w:val="center"/>
          </w:tcPr>
          <w:p w14:paraId="78C6B1F3" w14:textId="46681245"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0.86</w:t>
            </w:r>
          </w:p>
        </w:tc>
        <w:tc>
          <w:tcPr>
            <w:tcW w:w="1385" w:type="dxa"/>
            <w:vAlign w:val="center"/>
          </w:tcPr>
          <w:p w14:paraId="79A5BE12" w14:textId="29744042" w:rsidR="005539BF" w:rsidRPr="008C1DB1" w:rsidRDefault="00E72925"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Kamyaran</w:t>
            </w:r>
            <w:proofErr w:type="spellEnd"/>
          </w:p>
        </w:tc>
      </w:tr>
      <w:tr w:rsidR="005539BF" w:rsidRPr="008C1DB1" w14:paraId="7985A3C9" w14:textId="77777777" w:rsidTr="005B48B7">
        <w:trPr>
          <w:trHeight w:val="20"/>
          <w:jc w:val="center"/>
        </w:trPr>
        <w:tc>
          <w:tcPr>
            <w:tcW w:w="1385" w:type="dxa"/>
            <w:tcBorders>
              <w:bottom w:val="single" w:sz="4" w:space="0" w:color="auto"/>
            </w:tcBorders>
            <w:vAlign w:val="center"/>
          </w:tcPr>
          <w:p w14:paraId="14AF15E2" w14:textId="1AF42E67"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0.96</w:t>
            </w:r>
          </w:p>
        </w:tc>
        <w:tc>
          <w:tcPr>
            <w:tcW w:w="1385" w:type="dxa"/>
            <w:tcBorders>
              <w:bottom w:val="single" w:sz="4" w:space="0" w:color="auto"/>
            </w:tcBorders>
            <w:vAlign w:val="center"/>
          </w:tcPr>
          <w:p w14:paraId="3CA7C49C" w14:textId="7DA4C9B1"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tcBorders>
              <w:bottom w:val="single" w:sz="4" w:space="0" w:color="auto"/>
            </w:tcBorders>
            <w:vAlign w:val="center"/>
          </w:tcPr>
          <w:p w14:paraId="0B2E59AF" w14:textId="014C8510"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0.88</w:t>
            </w:r>
          </w:p>
        </w:tc>
        <w:tc>
          <w:tcPr>
            <w:tcW w:w="1385" w:type="dxa"/>
            <w:tcBorders>
              <w:bottom w:val="single" w:sz="4" w:space="0" w:color="auto"/>
            </w:tcBorders>
            <w:vAlign w:val="center"/>
          </w:tcPr>
          <w:p w14:paraId="0C334D38" w14:textId="2191C10D"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0.86</w:t>
            </w:r>
          </w:p>
        </w:tc>
        <w:tc>
          <w:tcPr>
            <w:tcW w:w="1385" w:type="dxa"/>
            <w:tcBorders>
              <w:bottom w:val="single" w:sz="4" w:space="0" w:color="auto"/>
            </w:tcBorders>
            <w:vAlign w:val="center"/>
          </w:tcPr>
          <w:p w14:paraId="27260B20" w14:textId="6490E2A1" w:rsidR="005539BF" w:rsidRPr="008C1DB1" w:rsidRDefault="005539BF"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Marivan</w:t>
            </w:r>
          </w:p>
        </w:tc>
      </w:tr>
    </w:tbl>
    <w:p w14:paraId="1D0AE76C" w14:textId="77777777" w:rsidR="00982A52" w:rsidRPr="008C1DB1" w:rsidRDefault="00982A52" w:rsidP="008C1DB1">
      <w:pPr>
        <w:bidi w:val="0"/>
        <w:spacing w:after="0" w:line="240" w:lineRule="auto"/>
        <w:jc w:val="both"/>
        <w:rPr>
          <w:rFonts w:asciiTheme="majorBidi" w:hAnsiTheme="majorBidi" w:cstheme="majorBidi"/>
          <w:sz w:val="20"/>
          <w:szCs w:val="20"/>
          <w:lang w:bidi="fa-IR"/>
        </w:rPr>
      </w:pPr>
    </w:p>
    <w:p w14:paraId="509DA083" w14:textId="3F258277" w:rsidR="005539BF" w:rsidRPr="00636421" w:rsidRDefault="00BF50DF" w:rsidP="00DE4D41">
      <w:pPr>
        <w:numPr>
          <w:ilvl w:val="0"/>
          <w:numId w:val="2"/>
        </w:numPr>
        <w:bidi w:val="0"/>
        <w:spacing w:after="0" w:line="240" w:lineRule="auto"/>
        <w:jc w:val="both"/>
        <w:rPr>
          <w:rFonts w:asciiTheme="majorBidi" w:hAnsiTheme="majorBidi" w:cstheme="majorBidi"/>
          <w:lang w:bidi="fa-IR"/>
        </w:rPr>
      </w:pPr>
      <w:r w:rsidRPr="00636421">
        <w:rPr>
          <w:rFonts w:asciiTheme="majorBidi" w:hAnsiTheme="majorBidi" w:cstheme="majorBidi"/>
          <w:b/>
          <w:bCs/>
          <w:lang w:bidi="fa-IR"/>
        </w:rPr>
        <w:t xml:space="preserve">Evaluation of the </w:t>
      </w:r>
      <w:r w:rsidR="00142495" w:rsidRPr="00636421">
        <w:rPr>
          <w:rFonts w:asciiTheme="majorBidi" w:hAnsiTheme="majorBidi" w:cstheme="majorBidi"/>
          <w:b/>
          <w:bCs/>
          <w:lang w:bidi="fa-IR"/>
        </w:rPr>
        <w:t>role of geomorpholog</w:t>
      </w:r>
      <w:r w:rsidR="00DD70BA" w:rsidRPr="00636421">
        <w:rPr>
          <w:rFonts w:asciiTheme="majorBidi" w:hAnsiTheme="majorBidi" w:cstheme="majorBidi"/>
          <w:b/>
          <w:bCs/>
          <w:lang w:bidi="fa-IR"/>
        </w:rPr>
        <w:t xml:space="preserve">y </w:t>
      </w:r>
      <w:r w:rsidR="00142495" w:rsidRPr="00636421">
        <w:rPr>
          <w:rFonts w:asciiTheme="majorBidi" w:hAnsiTheme="majorBidi" w:cstheme="majorBidi"/>
          <w:b/>
          <w:bCs/>
          <w:lang w:bidi="fa-IR"/>
        </w:rPr>
        <w:t>and urban expansion directions</w:t>
      </w:r>
      <w:r w:rsidRPr="00636421">
        <w:rPr>
          <w:rFonts w:asciiTheme="majorBidi" w:hAnsiTheme="majorBidi" w:cstheme="majorBidi"/>
          <w:b/>
          <w:bCs/>
          <w:lang w:bidi="fa-IR"/>
        </w:rPr>
        <w:t>:</w:t>
      </w:r>
      <w:r w:rsidRPr="00636421">
        <w:rPr>
          <w:rFonts w:asciiTheme="majorBidi" w:hAnsiTheme="majorBidi" w:cstheme="majorBidi"/>
          <w:lang w:bidi="fa-IR"/>
        </w:rPr>
        <w:t xml:space="preserve"> </w:t>
      </w:r>
      <w:r w:rsidR="003F2CD5" w:rsidRPr="00636421">
        <w:rPr>
          <w:rFonts w:asciiTheme="majorBidi" w:hAnsiTheme="majorBidi" w:cstheme="majorBidi"/>
          <w:caps/>
          <w:lang w:bidi="fa-IR"/>
        </w:rPr>
        <w:t>a</w:t>
      </w:r>
      <w:r w:rsidR="003F2CD5" w:rsidRPr="00636421">
        <w:rPr>
          <w:rFonts w:asciiTheme="majorBidi" w:hAnsiTheme="majorBidi" w:cstheme="majorBidi"/>
          <w:lang w:bidi="fa-IR"/>
        </w:rPr>
        <w:t>fter</w:t>
      </w:r>
      <w:r w:rsidRPr="00636421">
        <w:rPr>
          <w:rFonts w:asciiTheme="majorBidi" w:hAnsiTheme="majorBidi" w:cstheme="majorBidi"/>
          <w:lang w:bidi="fa-IR"/>
        </w:rPr>
        <w:t xml:space="preserve"> the preparation of urban land use maps over the studied time periods, the trends of physical development in the cities have been evaluated. The extent of physical development for each city, as well as the role of geomorphological factors in this development and the changing directions of urban expansion, have been analyzed.</w:t>
      </w:r>
    </w:p>
    <w:p w14:paraId="76A22A27" w14:textId="6E64F0A4" w:rsidR="00BF50DF" w:rsidRPr="00636421" w:rsidRDefault="003B5128" w:rsidP="00DE4D41">
      <w:pPr>
        <w:numPr>
          <w:ilvl w:val="0"/>
          <w:numId w:val="2"/>
        </w:numPr>
        <w:bidi w:val="0"/>
        <w:spacing w:after="0" w:line="240" w:lineRule="auto"/>
        <w:jc w:val="both"/>
        <w:rPr>
          <w:rFonts w:asciiTheme="majorBidi" w:hAnsiTheme="majorBidi" w:cstheme="majorBidi"/>
          <w:lang w:bidi="fa-IR"/>
        </w:rPr>
      </w:pPr>
      <w:r w:rsidRPr="00636421">
        <w:rPr>
          <w:rFonts w:asciiTheme="majorBidi" w:hAnsiTheme="majorBidi" w:cstheme="majorBidi"/>
          <w:b/>
          <w:bCs/>
          <w:lang w:bidi="fa-IR"/>
        </w:rPr>
        <w:t xml:space="preserve">Assessment of Urban Physical Development </w:t>
      </w:r>
      <w:r w:rsidR="001B744D" w:rsidRPr="00636421">
        <w:rPr>
          <w:rFonts w:asciiTheme="majorBidi" w:hAnsiTheme="majorBidi" w:cstheme="majorBidi"/>
          <w:b/>
          <w:bCs/>
          <w:lang w:bidi="fa-IR"/>
        </w:rPr>
        <w:t>towards</w:t>
      </w:r>
      <w:r w:rsidRPr="00636421">
        <w:rPr>
          <w:rFonts w:asciiTheme="majorBidi" w:hAnsiTheme="majorBidi" w:cstheme="majorBidi"/>
          <w:b/>
          <w:bCs/>
          <w:lang w:bidi="fa-IR"/>
        </w:rPr>
        <w:t xml:space="preserve"> Hazardous Areas:</w:t>
      </w:r>
      <w:r w:rsidRPr="00636421">
        <w:rPr>
          <w:rFonts w:asciiTheme="majorBidi" w:hAnsiTheme="majorBidi" w:cstheme="majorBidi"/>
          <w:lang w:bidi="fa-IR"/>
        </w:rPr>
        <w:t xml:space="preserve"> After preparing the maps of physical development of the cities, a </w:t>
      </w:r>
      <w:r w:rsidR="007C5315" w:rsidRPr="00636421">
        <w:rPr>
          <w:rFonts w:asciiTheme="majorBidi" w:hAnsiTheme="majorBidi" w:cstheme="majorBidi"/>
          <w:lang w:bidi="fa-IR"/>
        </w:rPr>
        <w:t xml:space="preserve">map of </w:t>
      </w:r>
      <w:r w:rsidRPr="00636421">
        <w:rPr>
          <w:rFonts w:asciiTheme="majorBidi" w:hAnsiTheme="majorBidi" w:cstheme="majorBidi"/>
          <w:lang w:bidi="fa-IR"/>
        </w:rPr>
        <w:t>hazard</w:t>
      </w:r>
      <w:r w:rsidR="007C5315" w:rsidRPr="00636421">
        <w:rPr>
          <w:rFonts w:asciiTheme="majorBidi" w:hAnsiTheme="majorBidi" w:cstheme="majorBidi"/>
          <w:lang w:bidi="fa-IR"/>
        </w:rPr>
        <w:t>ous</w:t>
      </w:r>
      <w:r w:rsidRPr="00636421">
        <w:rPr>
          <w:rFonts w:asciiTheme="majorBidi" w:hAnsiTheme="majorBidi" w:cstheme="majorBidi"/>
          <w:lang w:bidi="fa-IR"/>
        </w:rPr>
        <w:t xml:space="preserve"> area</w:t>
      </w:r>
      <w:r w:rsidR="007C5315" w:rsidRPr="00636421">
        <w:rPr>
          <w:rFonts w:asciiTheme="majorBidi" w:hAnsiTheme="majorBidi" w:cstheme="majorBidi"/>
          <w:lang w:bidi="fa-IR"/>
        </w:rPr>
        <w:t>s</w:t>
      </w:r>
      <w:r w:rsidRPr="00636421">
        <w:rPr>
          <w:rFonts w:asciiTheme="majorBidi" w:hAnsiTheme="majorBidi" w:cstheme="majorBidi"/>
          <w:lang w:bidi="fa-IR"/>
        </w:rPr>
        <w:t xml:space="preserve"> was </w:t>
      </w:r>
      <w:r w:rsidR="007C5315" w:rsidRPr="00636421">
        <w:rPr>
          <w:rFonts w:asciiTheme="majorBidi" w:hAnsiTheme="majorBidi" w:cstheme="majorBidi"/>
          <w:lang w:bidi="fa-IR"/>
        </w:rPr>
        <w:t>prepar</w:t>
      </w:r>
      <w:r w:rsidRPr="00636421">
        <w:rPr>
          <w:rFonts w:asciiTheme="majorBidi" w:hAnsiTheme="majorBidi" w:cstheme="majorBidi"/>
          <w:lang w:bidi="fa-IR"/>
        </w:rPr>
        <w:t>ed to evaluate the trends of physical development towards hazardous regions. For this purpose, parameters such as slope, slope direction, distance from rivers, and distance from faults were utilized</w:t>
      </w:r>
      <w:r w:rsidR="00C142E7" w:rsidRPr="00636421">
        <w:rPr>
          <w:rFonts w:asciiTheme="majorBidi" w:hAnsiTheme="majorBidi" w:cstheme="majorBidi"/>
          <w:lang w:bidi="fa-IR"/>
        </w:rPr>
        <w:t xml:space="preserve"> (</w:t>
      </w:r>
      <w:proofErr w:type="spellStart"/>
      <w:r w:rsidR="0032440F" w:rsidRPr="00636421">
        <w:rPr>
          <w:rFonts w:asciiTheme="majorBidi" w:hAnsiTheme="majorBidi" w:cstheme="majorBidi"/>
          <w:lang w:bidi="fa-IR"/>
        </w:rPr>
        <w:t>Nayyeri</w:t>
      </w:r>
      <w:proofErr w:type="spellEnd"/>
      <w:r w:rsidR="0032440F" w:rsidRPr="00636421">
        <w:rPr>
          <w:rFonts w:asciiTheme="majorBidi" w:hAnsiTheme="majorBidi" w:cstheme="majorBidi"/>
          <w:lang w:bidi="fa-IR"/>
        </w:rPr>
        <w:t xml:space="preserve"> </w:t>
      </w:r>
      <w:proofErr w:type="gramStart"/>
      <w:r w:rsidR="0032440F" w:rsidRPr="00636421">
        <w:rPr>
          <w:rFonts w:asciiTheme="majorBidi" w:hAnsiTheme="majorBidi" w:cstheme="majorBidi"/>
          <w:lang w:bidi="fa-IR"/>
        </w:rPr>
        <w:t>et  al</w:t>
      </w:r>
      <w:proofErr w:type="gramEnd"/>
      <w:r w:rsidR="0032440F" w:rsidRPr="00636421">
        <w:rPr>
          <w:rFonts w:asciiTheme="majorBidi" w:hAnsiTheme="majorBidi" w:cstheme="majorBidi"/>
          <w:lang w:bidi="fa-IR"/>
        </w:rPr>
        <w:t xml:space="preserve">, 2018., </w:t>
      </w:r>
      <w:proofErr w:type="spellStart"/>
      <w:r w:rsidR="00C142E7" w:rsidRPr="00636421">
        <w:rPr>
          <w:rFonts w:asciiTheme="majorBidi" w:hAnsiTheme="majorBidi" w:cstheme="majorBidi"/>
          <w:lang w:bidi="fa-IR"/>
        </w:rPr>
        <w:t>Negahban</w:t>
      </w:r>
      <w:proofErr w:type="spellEnd"/>
      <w:r w:rsidR="00C142E7" w:rsidRPr="00636421">
        <w:rPr>
          <w:rFonts w:asciiTheme="majorBidi" w:hAnsiTheme="majorBidi" w:cstheme="majorBidi"/>
          <w:lang w:bidi="fa-IR"/>
        </w:rPr>
        <w:t xml:space="preserve"> et al, 2019., Salari et al, 2020)</w:t>
      </w:r>
      <w:r w:rsidRPr="00636421">
        <w:rPr>
          <w:rFonts w:asciiTheme="majorBidi" w:hAnsiTheme="majorBidi" w:cstheme="majorBidi"/>
          <w:lang w:bidi="fa-IR"/>
        </w:rPr>
        <w:t xml:space="preserve">. Following the preparation of the </w:t>
      </w:r>
      <w:r w:rsidR="007C5315" w:rsidRPr="00636421">
        <w:rPr>
          <w:rFonts w:asciiTheme="majorBidi" w:hAnsiTheme="majorBidi" w:cstheme="majorBidi"/>
          <w:lang w:bidi="fa-IR"/>
        </w:rPr>
        <w:t xml:space="preserve">hazardous </w:t>
      </w:r>
      <w:r w:rsidRPr="00636421">
        <w:rPr>
          <w:rFonts w:asciiTheme="majorBidi" w:hAnsiTheme="majorBidi" w:cstheme="majorBidi"/>
          <w:lang w:bidi="fa-IR"/>
        </w:rPr>
        <w:t>area</w:t>
      </w:r>
      <w:r w:rsidR="007C5315" w:rsidRPr="00636421">
        <w:rPr>
          <w:rFonts w:asciiTheme="majorBidi" w:hAnsiTheme="majorBidi" w:cstheme="majorBidi"/>
          <w:lang w:bidi="fa-IR"/>
        </w:rPr>
        <w:t>s</w:t>
      </w:r>
      <w:r w:rsidRPr="00636421">
        <w:rPr>
          <w:rFonts w:asciiTheme="majorBidi" w:hAnsiTheme="majorBidi" w:cstheme="majorBidi"/>
          <w:lang w:bidi="fa-IR"/>
        </w:rPr>
        <w:t xml:space="preserve"> map, the trends of physical development in the studied cities within hazardous areas from 1992 to 2022 were evaluated. Fig</w:t>
      </w:r>
      <w:r w:rsidR="007C5315" w:rsidRPr="00636421">
        <w:rPr>
          <w:rFonts w:asciiTheme="majorBidi" w:hAnsiTheme="majorBidi" w:cstheme="majorBidi"/>
          <w:lang w:bidi="fa-IR"/>
        </w:rPr>
        <w:t>.</w:t>
      </w:r>
      <w:r w:rsidRPr="00636421">
        <w:rPr>
          <w:rFonts w:asciiTheme="majorBidi" w:hAnsiTheme="majorBidi" w:cstheme="majorBidi"/>
          <w:lang w:bidi="fa-IR"/>
        </w:rPr>
        <w:t xml:space="preserve">2 illustrates the </w:t>
      </w:r>
      <w:r w:rsidR="00576DF8" w:rsidRPr="00636421">
        <w:rPr>
          <w:rFonts w:asciiTheme="majorBidi" w:hAnsiTheme="majorBidi" w:cstheme="majorBidi"/>
          <w:lang w:bidi="fa-IR"/>
        </w:rPr>
        <w:t>flowchart</w:t>
      </w:r>
      <w:r w:rsidRPr="00636421">
        <w:rPr>
          <w:rFonts w:asciiTheme="majorBidi" w:hAnsiTheme="majorBidi" w:cstheme="majorBidi"/>
          <w:lang w:bidi="fa-IR"/>
        </w:rPr>
        <w:t xml:space="preserve"> of the research.</w:t>
      </w:r>
    </w:p>
    <w:p w14:paraId="43B4C90C" w14:textId="48676B7E" w:rsidR="00576DF8" w:rsidRPr="008C1DB1" w:rsidRDefault="00576DF8" w:rsidP="008C1DB1">
      <w:pPr>
        <w:bidi w:val="0"/>
        <w:spacing w:after="0" w:line="240" w:lineRule="auto"/>
        <w:jc w:val="both"/>
        <w:rPr>
          <w:rFonts w:asciiTheme="majorBidi" w:hAnsiTheme="majorBidi" w:cstheme="majorBidi"/>
          <w:b/>
          <w:bCs/>
          <w:sz w:val="20"/>
          <w:szCs w:val="20"/>
          <w:lang w:bidi="fa-IR"/>
        </w:rPr>
      </w:pPr>
    </w:p>
    <w:p w14:paraId="542FB891" w14:textId="038327C0" w:rsidR="00576DF8" w:rsidRPr="008C1DB1" w:rsidRDefault="00576DF8" w:rsidP="008C1DB1">
      <w:pPr>
        <w:bidi w:val="0"/>
        <w:spacing w:after="0" w:line="240" w:lineRule="auto"/>
        <w:jc w:val="center"/>
        <w:rPr>
          <w:noProof/>
          <w:sz w:val="20"/>
          <w:szCs w:val="20"/>
        </w:rPr>
      </w:pPr>
      <w:r w:rsidRPr="008C1DB1">
        <w:rPr>
          <w:noProof/>
          <w:sz w:val="20"/>
          <w:szCs w:val="20"/>
        </w:rPr>
        <w:lastRenderedPageBreak/>
        <w:drawing>
          <wp:inline distT="0" distB="0" distL="0" distR="0" wp14:anchorId="599891A4" wp14:editId="4D1836D1">
            <wp:extent cx="4686300" cy="3800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6300" cy="3800475"/>
                    </a:xfrm>
                    <a:prstGeom prst="rect">
                      <a:avLst/>
                    </a:prstGeom>
                  </pic:spPr>
                </pic:pic>
              </a:graphicData>
            </a:graphic>
          </wp:inline>
        </w:drawing>
      </w:r>
    </w:p>
    <w:p w14:paraId="3A6A6F9F" w14:textId="6063C443" w:rsidR="00576DF8" w:rsidRPr="008C1DB1" w:rsidRDefault="00576DF8"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2</w:t>
      </w:r>
      <w:r w:rsidRPr="008C1DB1">
        <w:rPr>
          <w:rFonts w:asciiTheme="majorBidi" w:hAnsiTheme="majorBidi" w:cstheme="majorBidi"/>
          <w:sz w:val="20"/>
          <w:szCs w:val="20"/>
          <w:lang w:bidi="fa-IR"/>
        </w:rPr>
        <w:t>. The Research Flowchart</w:t>
      </w:r>
    </w:p>
    <w:p w14:paraId="674E9CB7" w14:textId="77777777" w:rsidR="00C81E48" w:rsidRPr="008C1DB1" w:rsidRDefault="00C81E48" w:rsidP="008C1DB1">
      <w:pPr>
        <w:bidi w:val="0"/>
        <w:spacing w:after="0" w:line="240" w:lineRule="auto"/>
        <w:jc w:val="both"/>
        <w:rPr>
          <w:rFonts w:asciiTheme="majorBidi" w:hAnsiTheme="majorBidi" w:cstheme="majorBidi"/>
          <w:b/>
          <w:bCs/>
          <w:sz w:val="20"/>
          <w:szCs w:val="20"/>
          <w:lang w:bidi="fa-IR"/>
        </w:rPr>
      </w:pPr>
    </w:p>
    <w:p w14:paraId="65743CDD" w14:textId="4FC7D388" w:rsidR="00576DF8" w:rsidRPr="00636421" w:rsidRDefault="00576DF8" w:rsidP="008C1DB1">
      <w:pPr>
        <w:bidi w:val="0"/>
        <w:spacing w:after="0" w:line="240" w:lineRule="auto"/>
        <w:jc w:val="both"/>
        <w:rPr>
          <w:rFonts w:asciiTheme="majorBidi" w:hAnsiTheme="majorBidi" w:cstheme="majorBidi"/>
          <w:b/>
          <w:bCs/>
          <w:lang w:bidi="fa-IR"/>
        </w:rPr>
      </w:pPr>
      <w:r w:rsidRPr="00636421">
        <w:rPr>
          <w:rFonts w:asciiTheme="majorBidi" w:hAnsiTheme="majorBidi" w:cstheme="majorBidi"/>
          <w:b/>
          <w:bCs/>
          <w:lang w:bidi="fa-IR"/>
        </w:rPr>
        <w:t>4</w:t>
      </w:r>
      <w:r w:rsidR="00DA2F16" w:rsidRPr="00636421">
        <w:rPr>
          <w:rFonts w:asciiTheme="majorBidi" w:hAnsiTheme="majorBidi" w:cstheme="majorBidi"/>
          <w:b/>
          <w:bCs/>
          <w:lang w:bidi="fa-IR"/>
        </w:rPr>
        <w:t>.</w:t>
      </w:r>
      <w:r w:rsidRPr="00636421">
        <w:rPr>
          <w:rFonts w:asciiTheme="majorBidi" w:hAnsiTheme="majorBidi" w:cstheme="majorBidi"/>
          <w:b/>
          <w:bCs/>
          <w:lang w:bidi="fa-IR"/>
        </w:rPr>
        <w:t xml:space="preserve"> </w:t>
      </w:r>
      <w:r w:rsidR="00270504" w:rsidRPr="00636421">
        <w:rPr>
          <w:rFonts w:asciiTheme="majorBidi" w:hAnsiTheme="majorBidi" w:cstheme="majorBidi"/>
          <w:b/>
          <w:bCs/>
          <w:lang w:bidi="fa-IR"/>
        </w:rPr>
        <w:t>RESULTS</w:t>
      </w:r>
      <w:r w:rsidR="00270504" w:rsidRPr="00270504">
        <w:rPr>
          <w:rFonts w:asciiTheme="majorBidi" w:hAnsiTheme="majorBidi" w:cstheme="majorBidi"/>
          <w:b/>
          <w:bCs/>
          <w:lang w:bidi="fa-IR"/>
        </w:rPr>
        <w:t xml:space="preserve"> </w:t>
      </w:r>
      <w:r w:rsidR="00270504" w:rsidRPr="00636421">
        <w:rPr>
          <w:rFonts w:asciiTheme="majorBidi" w:hAnsiTheme="majorBidi" w:cstheme="majorBidi"/>
          <w:b/>
          <w:bCs/>
          <w:lang w:bidi="fa-IR"/>
        </w:rPr>
        <w:t>AND</w:t>
      </w:r>
      <w:r w:rsidR="00270504">
        <w:rPr>
          <w:rFonts w:asciiTheme="majorBidi" w:hAnsiTheme="majorBidi" w:cstheme="majorBidi"/>
          <w:b/>
          <w:bCs/>
          <w:lang w:bidi="fa-IR"/>
        </w:rPr>
        <w:t xml:space="preserve"> </w:t>
      </w:r>
      <w:r w:rsidR="00270504" w:rsidRPr="00636421">
        <w:rPr>
          <w:rFonts w:asciiTheme="majorBidi" w:hAnsiTheme="majorBidi" w:cstheme="majorBidi"/>
          <w:b/>
          <w:bCs/>
          <w:lang w:bidi="fa-IR"/>
        </w:rPr>
        <w:t>DISCUSSION</w:t>
      </w:r>
    </w:p>
    <w:p w14:paraId="62852C27" w14:textId="77777777" w:rsidR="00DA2F16" w:rsidRPr="00636421" w:rsidRDefault="00DA2F16"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In recent years, the physical development of cities in Kurdistan Province has experienced an increasing trend. Given the varying geomorphological conditions of the cities in this province, this upward trend has, in some cases, directed development towards hazardous areas. Accordingly, in the present study, the geomorphological status prevailing in the cities of Kurdistan Province has been examined first, followed by an evaluation of their physical development trends.</w:t>
      </w:r>
    </w:p>
    <w:p w14:paraId="6CBA6D73" w14:textId="77777777" w:rsidR="00DE4D41" w:rsidRPr="008C1DB1" w:rsidRDefault="00DE4D41" w:rsidP="00DE4D41">
      <w:pPr>
        <w:bidi w:val="0"/>
        <w:spacing w:after="0" w:line="240" w:lineRule="auto"/>
        <w:jc w:val="both"/>
        <w:rPr>
          <w:rFonts w:asciiTheme="majorBidi" w:hAnsiTheme="majorBidi" w:cstheme="majorBidi"/>
          <w:sz w:val="20"/>
          <w:szCs w:val="20"/>
          <w:lang w:bidi="fa-IR"/>
        </w:rPr>
      </w:pPr>
    </w:p>
    <w:p w14:paraId="02C6B69B" w14:textId="66814DB8" w:rsidR="0030732B" w:rsidRPr="00636421" w:rsidRDefault="0030732B" w:rsidP="008C1DB1">
      <w:pPr>
        <w:bidi w:val="0"/>
        <w:spacing w:after="0" w:line="240" w:lineRule="auto"/>
        <w:jc w:val="both"/>
        <w:rPr>
          <w:rFonts w:asciiTheme="majorBidi" w:hAnsiTheme="majorBidi" w:cstheme="majorBidi"/>
          <w:lang w:bidi="fa-IR"/>
        </w:rPr>
      </w:pPr>
      <w:r w:rsidRPr="00636421">
        <w:rPr>
          <w:rFonts w:asciiTheme="majorBidi" w:hAnsiTheme="majorBidi" w:cstheme="majorBidi"/>
          <w:b/>
          <w:bCs/>
          <w:lang w:bidi="fa-IR"/>
        </w:rPr>
        <w:t>4.1. Geomorphological Conditions of Cities in Kurdistan Province</w:t>
      </w:r>
    </w:p>
    <w:p w14:paraId="1C5816A7" w14:textId="62BEDE38" w:rsidR="0030732B" w:rsidRPr="00636421" w:rsidRDefault="0030732B"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In general, it can be stated that Kurdistan Province is divided into two geomorphological sections: the western and eastern parts. The western section is primarily characterized by mountainous units and intermountain plains with valleys, while the eastern part consists of </w:t>
      </w:r>
      <w:r w:rsidR="00E76CF8" w:rsidRPr="00636421">
        <w:rPr>
          <w:rFonts w:asciiTheme="majorBidi" w:hAnsiTheme="majorBidi" w:cstheme="majorBidi"/>
          <w:lang w:bidi="fa-IR"/>
        </w:rPr>
        <w:t>high</w:t>
      </w:r>
      <w:r w:rsidRPr="00636421">
        <w:rPr>
          <w:rFonts w:asciiTheme="majorBidi" w:hAnsiTheme="majorBidi" w:cstheme="majorBidi"/>
          <w:lang w:bidi="fa-IR"/>
        </w:rPr>
        <w:t xml:space="preserve"> plains, scattered hills, and mountainous units. Among the cities in the western part of the province is Baneh, which </w:t>
      </w:r>
      <w:r w:rsidR="00D00951" w:rsidRPr="00636421">
        <w:rPr>
          <w:rFonts w:asciiTheme="majorBidi" w:hAnsiTheme="majorBidi" w:cstheme="majorBidi"/>
          <w:lang w:bidi="fa-IR"/>
        </w:rPr>
        <w:t xml:space="preserve">with continuous increase in population in recent years </w:t>
      </w:r>
      <w:r w:rsidRPr="00636421">
        <w:rPr>
          <w:rFonts w:asciiTheme="majorBidi" w:hAnsiTheme="majorBidi" w:cstheme="majorBidi"/>
          <w:lang w:bidi="fa-IR"/>
        </w:rPr>
        <w:t xml:space="preserve">has faced limitations in its physical development. Baneh is surrounded by mountainous units, including Mount </w:t>
      </w:r>
      <w:proofErr w:type="spellStart"/>
      <w:r w:rsidRPr="00636421">
        <w:rPr>
          <w:rFonts w:asciiTheme="majorBidi" w:hAnsiTheme="majorBidi" w:cstheme="majorBidi"/>
          <w:lang w:bidi="fa-IR"/>
        </w:rPr>
        <w:t>Arbaba</w:t>
      </w:r>
      <w:proofErr w:type="spellEnd"/>
      <w:r w:rsidRPr="00636421">
        <w:rPr>
          <w:rFonts w:asciiTheme="majorBidi" w:hAnsiTheme="majorBidi" w:cstheme="majorBidi"/>
          <w:lang w:bidi="fa-IR"/>
        </w:rPr>
        <w:t xml:space="preserve"> and steep slopes, and the presence of a river terrace within the urban area also cons</w:t>
      </w:r>
      <w:r w:rsidR="008508AB" w:rsidRPr="00636421">
        <w:rPr>
          <w:rFonts w:asciiTheme="majorBidi" w:hAnsiTheme="majorBidi" w:cstheme="majorBidi"/>
          <w:lang w:bidi="fa-IR"/>
        </w:rPr>
        <w:t>idered</w:t>
      </w:r>
      <w:r w:rsidRPr="00636421">
        <w:rPr>
          <w:rFonts w:asciiTheme="majorBidi" w:hAnsiTheme="majorBidi" w:cstheme="majorBidi"/>
          <w:lang w:bidi="fa-IR"/>
        </w:rPr>
        <w:t xml:space="preserve"> another limitation for this city. Currently, given the prevailing geomorphological conditions, the western part of Baneh has greater potential for physical development.</w:t>
      </w:r>
    </w:p>
    <w:p w14:paraId="7A69BCF0" w14:textId="00C31A15" w:rsidR="0030732B" w:rsidRPr="00636421" w:rsidRDefault="00E72925" w:rsidP="008C1DB1">
      <w:pPr>
        <w:bidi w:val="0"/>
        <w:spacing w:after="0" w:line="240" w:lineRule="auto"/>
        <w:jc w:val="both"/>
        <w:rPr>
          <w:rFonts w:asciiTheme="majorBidi" w:hAnsiTheme="majorBidi" w:cstheme="majorBidi"/>
          <w:lang w:bidi="fa-IR"/>
        </w:rPr>
      </w:pPr>
      <w:proofErr w:type="spellStart"/>
      <w:r w:rsidRPr="00636421">
        <w:rPr>
          <w:rFonts w:asciiTheme="majorBidi" w:hAnsiTheme="majorBidi" w:cstheme="majorBidi"/>
          <w:lang w:bidi="fa-IR"/>
        </w:rPr>
        <w:t>Saghez</w:t>
      </w:r>
      <w:proofErr w:type="spellEnd"/>
      <w:r w:rsidR="0030732B" w:rsidRPr="00636421">
        <w:rPr>
          <w:rFonts w:asciiTheme="majorBidi" w:hAnsiTheme="majorBidi" w:cstheme="majorBidi"/>
          <w:lang w:bidi="fa-IR"/>
        </w:rPr>
        <w:t xml:space="preserve"> is another city in the west and the second most populous city in the province. This city faces limitations due to its rugged terrain, specifically the presence of hilly areas and mountainous units, as well as constraints from the </w:t>
      </w:r>
      <w:proofErr w:type="spellStart"/>
      <w:r w:rsidRPr="00636421">
        <w:rPr>
          <w:rFonts w:asciiTheme="majorBidi" w:hAnsiTheme="majorBidi" w:cstheme="majorBidi"/>
          <w:lang w:bidi="fa-IR"/>
        </w:rPr>
        <w:t>Saghez</w:t>
      </w:r>
      <w:proofErr w:type="spellEnd"/>
      <w:r w:rsidR="0030732B" w:rsidRPr="00636421">
        <w:rPr>
          <w:rFonts w:asciiTheme="majorBidi" w:hAnsiTheme="majorBidi" w:cstheme="majorBidi"/>
          <w:lang w:bidi="fa-IR"/>
        </w:rPr>
        <w:t xml:space="preserve"> River and its surrounding floodplain. While this river has its attractions and positive aspects, it is also considered a limitation for the physical development of the city. Due to its high flow and flood-prone nature, attention to its buffer zone is essential. In recent years, the trend of development in </w:t>
      </w:r>
      <w:proofErr w:type="spellStart"/>
      <w:r w:rsidRPr="00636421">
        <w:rPr>
          <w:rFonts w:asciiTheme="majorBidi" w:hAnsiTheme="majorBidi" w:cstheme="majorBidi"/>
          <w:lang w:bidi="fa-IR"/>
        </w:rPr>
        <w:t>Saghez</w:t>
      </w:r>
      <w:proofErr w:type="spellEnd"/>
      <w:r w:rsidR="0030732B" w:rsidRPr="00636421">
        <w:rPr>
          <w:rFonts w:asciiTheme="majorBidi" w:hAnsiTheme="majorBidi" w:cstheme="majorBidi"/>
          <w:lang w:bidi="fa-IR"/>
        </w:rPr>
        <w:t xml:space="preserve"> has been towards the northern and southern areas of the city.</w:t>
      </w:r>
    </w:p>
    <w:p w14:paraId="458243D7" w14:textId="5CD7869E" w:rsidR="0030732B" w:rsidRPr="00636421" w:rsidRDefault="0030732B"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Marivan is another city in the province that leads to Lake </w:t>
      </w:r>
      <w:proofErr w:type="spellStart"/>
      <w:r w:rsidRPr="00636421">
        <w:rPr>
          <w:rFonts w:asciiTheme="majorBidi" w:hAnsiTheme="majorBidi" w:cstheme="majorBidi"/>
          <w:lang w:bidi="fa-IR"/>
        </w:rPr>
        <w:t>Z</w:t>
      </w:r>
      <w:r w:rsidR="007C639E" w:rsidRPr="00636421">
        <w:rPr>
          <w:rFonts w:asciiTheme="majorBidi" w:hAnsiTheme="majorBidi" w:cstheme="majorBidi"/>
          <w:lang w:bidi="fa-IR"/>
        </w:rPr>
        <w:t>e</w:t>
      </w:r>
      <w:r w:rsidRPr="00636421">
        <w:rPr>
          <w:rFonts w:asciiTheme="majorBidi" w:hAnsiTheme="majorBidi" w:cstheme="majorBidi"/>
          <w:lang w:bidi="fa-IR"/>
        </w:rPr>
        <w:t>ribar</w:t>
      </w:r>
      <w:proofErr w:type="spellEnd"/>
      <w:r w:rsidRPr="00636421">
        <w:rPr>
          <w:rFonts w:asciiTheme="majorBidi" w:hAnsiTheme="majorBidi" w:cstheme="majorBidi"/>
          <w:lang w:bidi="fa-IR"/>
        </w:rPr>
        <w:t xml:space="preserve"> from the west. This city is also limited by mountainous units and steep slopes from the north and south. The </w:t>
      </w:r>
      <w:r w:rsidRPr="00636421">
        <w:rPr>
          <w:rFonts w:asciiTheme="majorBidi" w:hAnsiTheme="majorBidi" w:cstheme="majorBidi"/>
          <w:lang w:bidi="fa-IR"/>
        </w:rPr>
        <w:lastRenderedPageBreak/>
        <w:t xml:space="preserve">geomorphological limitations of Marivan have altered its physical development trend, causing it to expand eastward in recent years. </w:t>
      </w:r>
      <w:proofErr w:type="spellStart"/>
      <w:r w:rsidRPr="00636421">
        <w:rPr>
          <w:rFonts w:asciiTheme="majorBidi" w:hAnsiTheme="majorBidi" w:cstheme="majorBidi"/>
          <w:lang w:bidi="fa-IR"/>
        </w:rPr>
        <w:t>Sarvabad</w:t>
      </w:r>
      <w:proofErr w:type="spellEnd"/>
      <w:r w:rsidRPr="00636421">
        <w:rPr>
          <w:rFonts w:asciiTheme="majorBidi" w:hAnsiTheme="majorBidi" w:cstheme="majorBidi"/>
          <w:lang w:bidi="fa-IR"/>
        </w:rPr>
        <w:t xml:space="preserve"> is among the cities that face geomorphological constraints from various directions. This city is bordered by mountainous units to the north and east, and by river terraces to the west and southwest. Given the geomorphological conditions, its physical development has progressed towards the southeast in recent years.</w:t>
      </w:r>
    </w:p>
    <w:p w14:paraId="3171644D" w14:textId="4C8F92C9" w:rsidR="0030732B" w:rsidRPr="00636421" w:rsidRDefault="0030732B"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Sanandaj, as the provincial capital, faces numerous geomorphological limitations.</w:t>
      </w:r>
      <w:r w:rsidR="008508AB" w:rsidRPr="00636421">
        <w:rPr>
          <w:rFonts w:asciiTheme="majorBidi" w:hAnsiTheme="majorBidi" w:cstheme="majorBidi"/>
          <w:lang w:bidi="fa-IR"/>
        </w:rPr>
        <w:t xml:space="preserve"> </w:t>
      </w:r>
      <w:r w:rsidRPr="00636421">
        <w:rPr>
          <w:rFonts w:asciiTheme="majorBidi" w:hAnsiTheme="majorBidi" w:cstheme="majorBidi"/>
          <w:lang w:bidi="fa-IR"/>
        </w:rPr>
        <w:t xml:space="preserve">The presence of mountainous units in various directions (including Mount </w:t>
      </w:r>
      <w:proofErr w:type="spellStart"/>
      <w:r w:rsidRPr="00636421">
        <w:rPr>
          <w:rFonts w:asciiTheme="majorBidi" w:hAnsiTheme="majorBidi" w:cstheme="majorBidi"/>
          <w:lang w:bidi="fa-IR"/>
        </w:rPr>
        <w:t>Abidar</w:t>
      </w:r>
      <w:proofErr w:type="spellEnd"/>
      <w:r w:rsidRPr="00636421">
        <w:rPr>
          <w:rFonts w:asciiTheme="majorBidi" w:hAnsiTheme="majorBidi" w:cstheme="majorBidi"/>
          <w:lang w:bidi="fa-IR"/>
        </w:rPr>
        <w:t>) and numerous hill</w:t>
      </w:r>
      <w:r w:rsidR="00BC0E31" w:rsidRPr="00636421">
        <w:rPr>
          <w:rFonts w:asciiTheme="majorBidi" w:hAnsiTheme="majorBidi" w:cstheme="majorBidi"/>
          <w:lang w:bidi="fa-IR"/>
        </w:rPr>
        <w:t xml:space="preserve">s </w:t>
      </w:r>
      <w:r w:rsidRPr="00636421">
        <w:rPr>
          <w:rFonts w:asciiTheme="majorBidi" w:hAnsiTheme="majorBidi" w:cstheme="majorBidi"/>
          <w:lang w:bidi="fa-IR"/>
        </w:rPr>
        <w:t xml:space="preserve">within the urban limits have restricted the city’s physical development. Additionally, the terrace of </w:t>
      </w:r>
      <w:proofErr w:type="spellStart"/>
      <w:r w:rsidRPr="00636421">
        <w:rPr>
          <w:rFonts w:asciiTheme="majorBidi" w:hAnsiTheme="majorBidi" w:cstheme="majorBidi"/>
          <w:lang w:bidi="fa-IR"/>
        </w:rPr>
        <w:t>Qashlaq</w:t>
      </w:r>
      <w:proofErr w:type="spellEnd"/>
      <w:r w:rsidRPr="00636421">
        <w:rPr>
          <w:rFonts w:asciiTheme="majorBidi" w:hAnsiTheme="majorBidi" w:cstheme="majorBidi"/>
          <w:lang w:bidi="fa-IR"/>
        </w:rPr>
        <w:t xml:space="preserve"> </w:t>
      </w:r>
      <w:r w:rsidR="001B744D" w:rsidRPr="00636421">
        <w:rPr>
          <w:rFonts w:asciiTheme="majorBidi" w:hAnsiTheme="majorBidi" w:cstheme="majorBidi"/>
          <w:lang w:bidi="fa-IR"/>
        </w:rPr>
        <w:t>River</w:t>
      </w:r>
      <w:r w:rsidR="00BC0E31" w:rsidRPr="00636421">
        <w:rPr>
          <w:rFonts w:asciiTheme="majorBidi" w:hAnsiTheme="majorBidi" w:cstheme="majorBidi"/>
          <w:lang w:bidi="fa-IR"/>
        </w:rPr>
        <w:t xml:space="preserve"> </w:t>
      </w:r>
      <w:r w:rsidRPr="00636421">
        <w:rPr>
          <w:rFonts w:asciiTheme="majorBidi" w:hAnsiTheme="majorBidi" w:cstheme="majorBidi"/>
          <w:lang w:bidi="fa-IR"/>
        </w:rPr>
        <w:t>and its floodplain to the east of Sanandaj pose serious limitations for the city’s physical development due to high flow and flood-prone characteristics. In recent years, the trend of physical development in Sanandaj has been directed towards the southern areas of the urban limits.</w:t>
      </w:r>
    </w:p>
    <w:p w14:paraId="6621A59A" w14:textId="036EFA2B" w:rsidR="0030732B" w:rsidRPr="00636421" w:rsidRDefault="00E72925" w:rsidP="008C1DB1">
      <w:pPr>
        <w:bidi w:val="0"/>
        <w:spacing w:after="0" w:line="240" w:lineRule="auto"/>
        <w:jc w:val="both"/>
        <w:rPr>
          <w:rFonts w:asciiTheme="majorBidi" w:hAnsiTheme="majorBidi" w:cstheme="majorBidi"/>
          <w:lang w:bidi="fa-IR"/>
        </w:rPr>
      </w:pPr>
      <w:proofErr w:type="spellStart"/>
      <w:r w:rsidRPr="00636421">
        <w:rPr>
          <w:rFonts w:asciiTheme="majorBidi" w:hAnsiTheme="majorBidi" w:cstheme="majorBidi"/>
          <w:lang w:bidi="fa-IR"/>
        </w:rPr>
        <w:t>Kamyaran</w:t>
      </w:r>
      <w:proofErr w:type="spellEnd"/>
      <w:r w:rsidR="0030732B" w:rsidRPr="00636421">
        <w:rPr>
          <w:rFonts w:asciiTheme="majorBidi" w:hAnsiTheme="majorBidi" w:cstheme="majorBidi"/>
          <w:lang w:bidi="fa-IR"/>
        </w:rPr>
        <w:t xml:space="preserve">, the southernmost city in the province, also faces limitations due to river terraces, which not only restrict development within the urban area but also limit the southern part of </w:t>
      </w:r>
      <w:proofErr w:type="spellStart"/>
      <w:r w:rsidRPr="00636421">
        <w:rPr>
          <w:rFonts w:asciiTheme="majorBidi" w:hAnsiTheme="majorBidi" w:cstheme="majorBidi"/>
          <w:lang w:bidi="fa-IR"/>
        </w:rPr>
        <w:t>Kamyaran</w:t>
      </w:r>
      <w:proofErr w:type="spellEnd"/>
      <w:r w:rsidR="0030732B" w:rsidRPr="00636421">
        <w:rPr>
          <w:rFonts w:asciiTheme="majorBidi" w:hAnsiTheme="majorBidi" w:cstheme="majorBidi"/>
          <w:lang w:bidi="fa-IR"/>
        </w:rPr>
        <w:t xml:space="preserve">. Furthermore, mountainous units restrict parts of the northern areas of the city. Considering the geomorphological conditions of </w:t>
      </w:r>
      <w:proofErr w:type="spellStart"/>
      <w:r w:rsidRPr="00636421">
        <w:rPr>
          <w:rFonts w:asciiTheme="majorBidi" w:hAnsiTheme="majorBidi" w:cstheme="majorBidi"/>
          <w:lang w:bidi="fa-IR"/>
        </w:rPr>
        <w:t>Kamyaran</w:t>
      </w:r>
      <w:proofErr w:type="spellEnd"/>
      <w:r w:rsidR="0030732B" w:rsidRPr="00636421">
        <w:rPr>
          <w:rFonts w:asciiTheme="majorBidi" w:hAnsiTheme="majorBidi" w:cstheme="majorBidi"/>
          <w:lang w:bidi="fa-IR"/>
        </w:rPr>
        <w:t>, its development trend in recent years has been towards the eastern areas.</w:t>
      </w:r>
    </w:p>
    <w:p w14:paraId="33DAF7A9" w14:textId="77777777" w:rsidR="0030732B" w:rsidRPr="00636421" w:rsidRDefault="0030732B" w:rsidP="008C1DB1">
      <w:pPr>
        <w:bidi w:val="0"/>
        <w:spacing w:after="0" w:line="240" w:lineRule="auto"/>
        <w:jc w:val="both"/>
        <w:rPr>
          <w:rFonts w:asciiTheme="majorBidi" w:hAnsiTheme="majorBidi" w:cstheme="majorBidi"/>
          <w:lang w:bidi="fa-IR"/>
        </w:rPr>
      </w:pPr>
      <w:proofErr w:type="spellStart"/>
      <w:r w:rsidRPr="00636421">
        <w:rPr>
          <w:rFonts w:asciiTheme="majorBidi" w:hAnsiTheme="majorBidi" w:cstheme="majorBidi"/>
          <w:lang w:bidi="fa-IR"/>
        </w:rPr>
        <w:t>Bijar</w:t>
      </w:r>
      <w:proofErr w:type="spellEnd"/>
      <w:r w:rsidRPr="00636421">
        <w:rPr>
          <w:rFonts w:asciiTheme="majorBidi" w:hAnsiTheme="majorBidi" w:cstheme="majorBidi"/>
          <w:lang w:bidi="fa-IR"/>
        </w:rPr>
        <w:t xml:space="preserve"> and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are considered northern cities of the province. Bijar is the highest city in the province, bordered by mountainous units from the north, south, and east. The river terrace in the eastern part also constitutes a limitation for the city’s physical development. The geomorphological constraints from various directions have led to the physical development of Bijar trending towards the western areas of the urban limits in recent years. Similarly,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faces numerous limitations from various directions. The presence of hilly areas within the urban limits of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is one of the main constraints on its physical development. Additionally, the river terrace with a northwest-southeast trend encompasses the western part of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limiting physical development in that direction. Consequently, the physical development of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has occurred in the eastern part of the city, trending northwest-southeast in recent years.</w:t>
      </w:r>
    </w:p>
    <w:p w14:paraId="725BEBC1" w14:textId="1747FED8" w:rsidR="0030732B" w:rsidRPr="00636421" w:rsidRDefault="0030732B" w:rsidP="008C1DB1">
      <w:pPr>
        <w:bidi w:val="0"/>
        <w:spacing w:after="0" w:line="240" w:lineRule="auto"/>
        <w:jc w:val="both"/>
        <w:rPr>
          <w:rFonts w:asciiTheme="majorBidi" w:hAnsiTheme="majorBidi" w:cstheme="majorBidi"/>
          <w:lang w:bidi="fa-IR"/>
        </w:rPr>
      </w:pP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and </w:t>
      </w:r>
      <w:proofErr w:type="spellStart"/>
      <w:r w:rsidRPr="00636421">
        <w:rPr>
          <w:rFonts w:asciiTheme="majorBidi" w:hAnsiTheme="majorBidi" w:cstheme="majorBidi"/>
          <w:lang w:bidi="fa-IR"/>
        </w:rPr>
        <w:t>Dehgolan</w:t>
      </w:r>
      <w:proofErr w:type="spellEnd"/>
      <w:r w:rsidRPr="00636421">
        <w:rPr>
          <w:rFonts w:asciiTheme="majorBidi" w:hAnsiTheme="majorBidi" w:cstheme="majorBidi"/>
          <w:lang w:bidi="fa-IR"/>
        </w:rPr>
        <w:t xml:space="preserve"> are considered eastern cities of the province, situated on a plain.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is established on a plain from a geomorphological perspective</w:t>
      </w:r>
      <w:r w:rsidR="007C639E" w:rsidRPr="00636421">
        <w:rPr>
          <w:rFonts w:asciiTheme="majorBidi" w:hAnsiTheme="majorBidi" w:cstheme="majorBidi"/>
          <w:lang w:bidi="fa-IR"/>
        </w:rPr>
        <w:t xml:space="preserve"> (</w:t>
      </w:r>
      <w:proofErr w:type="spellStart"/>
      <w:r w:rsidR="007C639E" w:rsidRPr="00636421">
        <w:rPr>
          <w:rFonts w:asciiTheme="majorBidi" w:hAnsiTheme="majorBidi" w:cstheme="majorBidi"/>
          <w:lang w:bidi="fa-IR"/>
        </w:rPr>
        <w:t>Ganjaeian</w:t>
      </w:r>
      <w:proofErr w:type="spellEnd"/>
      <w:r w:rsidR="007C639E" w:rsidRPr="00636421">
        <w:rPr>
          <w:rFonts w:asciiTheme="majorBidi" w:hAnsiTheme="majorBidi" w:cstheme="majorBidi"/>
          <w:lang w:bidi="fa-IR"/>
        </w:rPr>
        <w:t>, 2024)</w:t>
      </w:r>
      <w:r w:rsidRPr="00636421">
        <w:rPr>
          <w:rFonts w:asciiTheme="majorBidi" w:hAnsiTheme="majorBidi" w:cstheme="majorBidi"/>
          <w:lang w:bidi="fa-IR"/>
        </w:rPr>
        <w:t xml:space="preserve">. The city extends towards the southwestern slopes of Mount </w:t>
      </w:r>
      <w:proofErr w:type="spellStart"/>
      <w:r w:rsidRPr="00636421">
        <w:rPr>
          <w:rFonts w:asciiTheme="majorBidi" w:hAnsiTheme="majorBidi" w:cstheme="majorBidi"/>
          <w:lang w:bidi="fa-IR"/>
        </w:rPr>
        <w:t>Kovala</w:t>
      </w:r>
      <w:r w:rsidR="00CC48DC" w:rsidRPr="00636421">
        <w:rPr>
          <w:rFonts w:asciiTheme="majorBidi" w:hAnsiTheme="majorBidi" w:cstheme="majorBidi"/>
          <w:lang w:bidi="fa-IR"/>
        </w:rPr>
        <w:t>u</w:t>
      </w:r>
      <w:proofErr w:type="spellEnd"/>
      <w:r w:rsidRPr="00636421">
        <w:rPr>
          <w:rFonts w:asciiTheme="majorBidi" w:hAnsiTheme="majorBidi" w:cstheme="majorBidi"/>
          <w:lang w:bidi="fa-IR"/>
        </w:rPr>
        <w:t xml:space="preserve">, which has led to some residential areas being located on steep slopes. Additionally, it is bordered to the east by a river terrace, which has created limitations for its physical development. However, despite these factors,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faces relatively few geomorphological constraints for the development of residential areas, allowing for physical development in various directions in recent years.</w:t>
      </w:r>
    </w:p>
    <w:p w14:paraId="4B703164" w14:textId="77777777" w:rsidR="0030732B" w:rsidRPr="00636421" w:rsidRDefault="0030732B" w:rsidP="008C1DB1">
      <w:pPr>
        <w:bidi w:val="0"/>
        <w:spacing w:after="0" w:line="240" w:lineRule="auto"/>
        <w:jc w:val="both"/>
        <w:rPr>
          <w:rFonts w:asciiTheme="majorBidi" w:hAnsiTheme="majorBidi" w:cstheme="majorBidi"/>
          <w:lang w:bidi="fa-IR"/>
        </w:rPr>
      </w:pPr>
      <w:proofErr w:type="spellStart"/>
      <w:r w:rsidRPr="00636421">
        <w:rPr>
          <w:rFonts w:asciiTheme="majorBidi" w:hAnsiTheme="majorBidi" w:cstheme="majorBidi"/>
          <w:lang w:bidi="fa-IR"/>
        </w:rPr>
        <w:t>Dehgolan</w:t>
      </w:r>
      <w:proofErr w:type="spellEnd"/>
      <w:r w:rsidRPr="00636421">
        <w:rPr>
          <w:rFonts w:asciiTheme="majorBidi" w:hAnsiTheme="majorBidi" w:cstheme="majorBidi"/>
          <w:lang w:bidi="fa-IR"/>
        </w:rPr>
        <w:t xml:space="preserve">, like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also faces few geomorphological constraints for physical development. This city is located on a plain and lacks steep areas due to the minimal elevation differences within its urban limits. Currently, the river terrace on the western side of this city is considered the most significant limiting factor for its physical development, which has resulted in the trend of development in recent years being directed towards the eastern areas of the urban limits.</w:t>
      </w:r>
    </w:p>
    <w:p w14:paraId="5C16BFFF" w14:textId="2A2CCEA1" w:rsidR="00CC48DC" w:rsidRPr="00636421" w:rsidRDefault="00CC48DC" w:rsidP="008C1DB1">
      <w:pPr>
        <w:bidi w:val="0"/>
        <w:spacing w:after="0" w:line="240" w:lineRule="auto"/>
        <w:jc w:val="both"/>
        <w:rPr>
          <w:rFonts w:asciiTheme="majorBidi" w:hAnsiTheme="majorBidi" w:cstheme="majorBidi"/>
          <w:lang w:bidi="fa-IR"/>
        </w:rPr>
      </w:pP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like the </w:t>
      </w:r>
      <w:proofErr w:type="spellStart"/>
      <w:r w:rsidRPr="00636421">
        <w:rPr>
          <w:rFonts w:asciiTheme="majorBidi" w:hAnsiTheme="majorBidi" w:cstheme="majorBidi"/>
          <w:lang w:bidi="fa-IR"/>
        </w:rPr>
        <w:t>Bijar</w:t>
      </w:r>
      <w:proofErr w:type="spellEnd"/>
      <w:r w:rsidRPr="00636421">
        <w:rPr>
          <w:rFonts w:asciiTheme="majorBidi" w:hAnsiTheme="majorBidi" w:cstheme="majorBidi"/>
          <w:lang w:bidi="fa-IR"/>
        </w:rPr>
        <w:t xml:space="preserve">, faces numerous limitations from various aspects. The presence of hills within the urban boundaries of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is considered one of the most significant constraints on the physical development of this city. Additionally, the river terrace unit, with a northwest-southeast trend, encompasses the western part of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restricting physical development in that direction. These factors have led to the physical development of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occurring primarily in the eastern section of the city, following a northwest-southeast trend.</w:t>
      </w:r>
    </w:p>
    <w:p w14:paraId="6FD07DF7" w14:textId="21BCE1D9" w:rsidR="00CC48DC" w:rsidRPr="00636421" w:rsidRDefault="00CC48DC"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The cities of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and </w:t>
      </w:r>
      <w:proofErr w:type="spellStart"/>
      <w:r w:rsidRPr="00636421">
        <w:rPr>
          <w:rFonts w:asciiTheme="majorBidi" w:hAnsiTheme="majorBidi" w:cstheme="majorBidi"/>
          <w:lang w:bidi="fa-IR"/>
        </w:rPr>
        <w:t>Dehgolan</w:t>
      </w:r>
      <w:proofErr w:type="spellEnd"/>
      <w:r w:rsidRPr="00636421">
        <w:rPr>
          <w:rFonts w:asciiTheme="majorBidi" w:hAnsiTheme="majorBidi" w:cstheme="majorBidi"/>
          <w:lang w:bidi="fa-IR"/>
        </w:rPr>
        <w:t xml:space="preserve"> are regarded as eastern cities of the province, situated within the plain unit. </w:t>
      </w:r>
      <w:r w:rsidR="00287030" w:rsidRPr="00636421">
        <w:rPr>
          <w:rFonts w:asciiTheme="majorBidi" w:hAnsiTheme="majorBidi" w:cstheme="majorBidi"/>
          <w:lang w:bidi="fa-IR"/>
        </w:rPr>
        <w:t xml:space="preserve">In terms of </w:t>
      </w:r>
      <w:r w:rsidRPr="00636421">
        <w:rPr>
          <w:rFonts w:asciiTheme="majorBidi" w:hAnsiTheme="majorBidi" w:cstheme="majorBidi"/>
          <w:lang w:bidi="fa-IR"/>
        </w:rPr>
        <w:t xml:space="preserve">Geomorphology,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is established on a plain unit. This city extends southwestward to the slopes of Mount </w:t>
      </w:r>
      <w:proofErr w:type="spellStart"/>
      <w:r w:rsidR="00287030" w:rsidRPr="00636421">
        <w:rPr>
          <w:rFonts w:asciiTheme="majorBidi" w:hAnsiTheme="majorBidi" w:cstheme="majorBidi"/>
          <w:lang w:bidi="fa-IR"/>
        </w:rPr>
        <w:t>Kovalau</w:t>
      </w:r>
      <w:proofErr w:type="spellEnd"/>
      <w:r w:rsidRPr="00636421">
        <w:rPr>
          <w:rFonts w:asciiTheme="majorBidi" w:hAnsiTheme="majorBidi" w:cstheme="majorBidi"/>
          <w:lang w:bidi="fa-IR"/>
        </w:rPr>
        <w:t xml:space="preserve">, which has resulted in part of its </w:t>
      </w:r>
      <w:r w:rsidRPr="00636421">
        <w:rPr>
          <w:rFonts w:asciiTheme="majorBidi" w:hAnsiTheme="majorBidi" w:cstheme="majorBidi"/>
          <w:lang w:bidi="fa-IR"/>
        </w:rPr>
        <w:lastRenderedPageBreak/>
        <w:t xml:space="preserve">residential areas being located on steep slopes. Furthermore, it also terminates to the east at the river terrace unit, which has created limitations for the physical development of this city. However, despite these factors,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faces relatively few geomorphological constraints for the development of residential areas, allowing for physical expansion in various directions in recent years.</w:t>
      </w:r>
    </w:p>
    <w:p w14:paraId="68952B8A" w14:textId="7F7EC1F7" w:rsidR="00287030" w:rsidRPr="00636421" w:rsidRDefault="00CC48DC" w:rsidP="001D5D6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Similarly, </w:t>
      </w:r>
      <w:proofErr w:type="spellStart"/>
      <w:r w:rsidRPr="00636421">
        <w:rPr>
          <w:rFonts w:asciiTheme="majorBidi" w:hAnsiTheme="majorBidi" w:cstheme="majorBidi"/>
          <w:lang w:bidi="fa-IR"/>
        </w:rPr>
        <w:t>Dehgolan</w:t>
      </w:r>
      <w:proofErr w:type="spellEnd"/>
      <w:r w:rsidRPr="00636421">
        <w:rPr>
          <w:rFonts w:asciiTheme="majorBidi" w:hAnsiTheme="majorBidi" w:cstheme="majorBidi"/>
          <w:lang w:bidi="fa-IR"/>
        </w:rPr>
        <w:t xml:space="preserve">, like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encounters minimal geomorphological limitations for physical development. This city is established on a plain unit and, due to the slight elevation differences within its urban area, lacks steep regions. Currently, the river terrace unit on the western side of this city is considered the most significant limiting factor for its physical development, resulting in the trend of physical expansion in recent years being directed toward the eastern areas of the urban boundary. Fig</w:t>
      </w:r>
      <w:r w:rsidR="00287030" w:rsidRPr="00636421">
        <w:rPr>
          <w:rFonts w:asciiTheme="majorBidi" w:hAnsiTheme="majorBidi" w:cstheme="majorBidi"/>
          <w:lang w:bidi="fa-IR"/>
        </w:rPr>
        <w:t>.</w:t>
      </w:r>
      <w:r w:rsidRPr="00636421">
        <w:rPr>
          <w:rFonts w:asciiTheme="majorBidi" w:hAnsiTheme="majorBidi" w:cstheme="majorBidi"/>
          <w:lang w:bidi="fa-IR"/>
        </w:rPr>
        <w:t xml:space="preserve"> 3 illustrates the topographic status of the cities in Kurdistan Province.</w:t>
      </w:r>
    </w:p>
    <w:p w14:paraId="4422664D" w14:textId="77777777" w:rsidR="00287030" w:rsidRPr="008C1DB1" w:rsidRDefault="00287030" w:rsidP="008C1DB1">
      <w:pPr>
        <w:bidi w:val="0"/>
        <w:spacing w:after="0" w:line="240" w:lineRule="auto"/>
        <w:jc w:val="both"/>
        <w:rPr>
          <w:rFonts w:asciiTheme="majorBidi" w:hAnsiTheme="majorBidi" w:cstheme="majorBidi"/>
          <w:sz w:val="20"/>
          <w:szCs w:val="20"/>
          <w:lang w:bidi="fa-IR"/>
        </w:rPr>
      </w:pPr>
    </w:p>
    <w:p w14:paraId="0F0755E1" w14:textId="27763F07" w:rsidR="00287030" w:rsidRPr="008C1DB1" w:rsidRDefault="00287030" w:rsidP="008C1DB1">
      <w:pPr>
        <w:bidi w:val="0"/>
        <w:spacing w:after="0" w:line="240" w:lineRule="auto"/>
        <w:jc w:val="center"/>
        <w:rPr>
          <w:rFonts w:asciiTheme="majorBidi" w:hAnsiTheme="majorBidi" w:cstheme="majorBidi"/>
          <w:sz w:val="20"/>
          <w:szCs w:val="20"/>
          <w:lang w:bidi="fa-IR"/>
        </w:rPr>
      </w:pPr>
      <w:r w:rsidRPr="008C1DB1">
        <w:rPr>
          <w:noProof/>
          <w:color w:val="000000" w:themeColor="text1"/>
          <w:sz w:val="20"/>
          <w:szCs w:val="20"/>
          <w:rtl/>
        </w:rPr>
        <w:drawing>
          <wp:inline distT="0" distB="0" distL="0" distR="0" wp14:anchorId="7E5CC269" wp14:editId="3AFF15AB">
            <wp:extent cx="4365262" cy="3962400"/>
            <wp:effectExtent l="0" t="0" r="0" b="0"/>
            <wp:docPr id="1" name="Picture 1" descr="E:\GIS\hamid\lcm_kordestan\gis\khroji\ostan.jpg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S\hamid\lcm_kordestan\gis\khroji\ostan.jpg - Copy.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4368681" cy="3965504"/>
                    </a:xfrm>
                    <a:prstGeom prst="rect">
                      <a:avLst/>
                    </a:prstGeom>
                    <a:noFill/>
                    <a:ln>
                      <a:noFill/>
                    </a:ln>
                  </pic:spPr>
                </pic:pic>
              </a:graphicData>
            </a:graphic>
          </wp:inline>
        </w:drawing>
      </w:r>
    </w:p>
    <w:p w14:paraId="7ACE44D0" w14:textId="2AE346EA" w:rsidR="0030732B" w:rsidRPr="008C1DB1" w:rsidRDefault="00287030"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3.</w:t>
      </w:r>
      <w:r w:rsidRPr="008C1DB1">
        <w:rPr>
          <w:rFonts w:asciiTheme="majorBidi" w:hAnsiTheme="majorBidi" w:cstheme="majorBidi"/>
          <w:sz w:val="20"/>
          <w:szCs w:val="20"/>
          <w:lang w:bidi="fa-IR"/>
        </w:rPr>
        <w:t xml:space="preserve"> Elevation map of cities in Kurdistan province</w:t>
      </w:r>
    </w:p>
    <w:p w14:paraId="6997C6F9" w14:textId="77777777" w:rsidR="00287030" w:rsidRPr="008C1DB1" w:rsidRDefault="00287030" w:rsidP="008C1DB1">
      <w:pPr>
        <w:bidi w:val="0"/>
        <w:spacing w:after="0" w:line="240" w:lineRule="auto"/>
        <w:jc w:val="both"/>
        <w:rPr>
          <w:rFonts w:asciiTheme="majorBidi" w:hAnsiTheme="majorBidi" w:cstheme="majorBidi"/>
          <w:sz w:val="20"/>
          <w:szCs w:val="20"/>
          <w:lang w:bidi="fa-IR"/>
        </w:rPr>
      </w:pPr>
    </w:p>
    <w:p w14:paraId="7B93C6C0" w14:textId="598A9CF1" w:rsidR="00C81E48" w:rsidRPr="00636421" w:rsidRDefault="00C81E48" w:rsidP="008C1DB1">
      <w:pPr>
        <w:bidi w:val="0"/>
        <w:spacing w:after="0" w:line="240" w:lineRule="auto"/>
        <w:jc w:val="both"/>
        <w:rPr>
          <w:rFonts w:asciiTheme="majorBidi" w:hAnsiTheme="majorBidi" w:cstheme="majorBidi"/>
          <w:b/>
          <w:bCs/>
          <w:lang w:bidi="fa-IR"/>
        </w:rPr>
      </w:pPr>
      <w:r w:rsidRPr="00636421">
        <w:rPr>
          <w:rFonts w:asciiTheme="majorBidi" w:hAnsiTheme="majorBidi" w:cstheme="majorBidi"/>
          <w:b/>
          <w:bCs/>
          <w:lang w:bidi="fa-IR"/>
        </w:rPr>
        <w:t>4.2. The Trend of Physical Development of Cities in Kurdistan Province</w:t>
      </w:r>
    </w:p>
    <w:p w14:paraId="1E7886B0" w14:textId="23EBA910" w:rsidR="00287030" w:rsidRPr="00636421" w:rsidRDefault="003A4B17"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Due to the population growth and migration from rural areas to urban regions, urban settlements in Kurdistan Province have experienced significant growth in recent years. In this study, Landsat images of the years 1992, 2002, 2012, and 2022 have been utilized to assess the trend of physical development of the cities in Kurdistan Province. The results obtained are presented in Table 2.</w:t>
      </w:r>
    </w:p>
    <w:p w14:paraId="079D1171" w14:textId="77777777" w:rsidR="003A4B17" w:rsidRPr="008C1DB1" w:rsidRDefault="003A4B17" w:rsidP="008C1DB1">
      <w:pPr>
        <w:bidi w:val="0"/>
        <w:spacing w:after="0" w:line="240" w:lineRule="auto"/>
        <w:jc w:val="both"/>
        <w:rPr>
          <w:rFonts w:asciiTheme="majorBidi" w:hAnsiTheme="majorBidi" w:cstheme="majorBidi"/>
          <w:sz w:val="20"/>
          <w:szCs w:val="20"/>
          <w:lang w:bidi="fa-IR"/>
        </w:rPr>
      </w:pPr>
    </w:p>
    <w:p w14:paraId="6A0901FD" w14:textId="4BA08F57" w:rsidR="003A4B17" w:rsidRPr="008C1DB1" w:rsidRDefault="003A4B17"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Table 2</w:t>
      </w:r>
      <w:r w:rsidRPr="008C1DB1">
        <w:rPr>
          <w:rFonts w:asciiTheme="majorBidi" w:hAnsiTheme="majorBidi" w:cstheme="majorBidi"/>
          <w:sz w:val="20"/>
          <w:szCs w:val="20"/>
          <w:lang w:bidi="fa-IR"/>
        </w:rPr>
        <w:t>. Urban area of ​​cities in Kurdistan Province (km</w:t>
      </w:r>
      <w:r w:rsidRPr="008C1DB1">
        <w:rPr>
          <w:rFonts w:asciiTheme="majorBidi" w:hAnsiTheme="majorBidi" w:cstheme="majorBidi"/>
          <w:sz w:val="20"/>
          <w:szCs w:val="20"/>
          <w:vertAlign w:val="superscript"/>
          <w:lang w:bidi="fa-IR"/>
        </w:rPr>
        <w:t>2</w:t>
      </w:r>
      <w:r w:rsidRPr="008C1DB1">
        <w:rPr>
          <w:rFonts w:asciiTheme="majorBidi" w:hAnsiTheme="majorBidi" w:cstheme="majorBidi"/>
          <w:sz w:val="20"/>
          <w:szCs w:val="20"/>
          <w:lang w:bidi="fa-IR"/>
        </w:rPr>
        <w:t>)</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1385"/>
        <w:gridCol w:w="1385"/>
        <w:gridCol w:w="1385"/>
        <w:gridCol w:w="1385"/>
        <w:gridCol w:w="1385"/>
      </w:tblGrid>
      <w:tr w:rsidR="003A4B17" w:rsidRPr="005F2950" w14:paraId="056A15A9" w14:textId="77777777" w:rsidTr="005F2950">
        <w:trPr>
          <w:trHeight w:val="20"/>
          <w:jc w:val="center"/>
        </w:trPr>
        <w:tc>
          <w:tcPr>
            <w:tcW w:w="1385" w:type="dxa"/>
            <w:tcBorders>
              <w:bottom w:val="single" w:sz="4" w:space="0" w:color="auto"/>
            </w:tcBorders>
            <w:vAlign w:val="center"/>
          </w:tcPr>
          <w:p w14:paraId="6BFFDA3D" w14:textId="77777777" w:rsidR="003A4B17" w:rsidRPr="005F2950" w:rsidRDefault="003A4B17"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2022</w:t>
            </w:r>
          </w:p>
        </w:tc>
        <w:tc>
          <w:tcPr>
            <w:tcW w:w="1385" w:type="dxa"/>
            <w:tcBorders>
              <w:bottom w:val="single" w:sz="4" w:space="0" w:color="auto"/>
            </w:tcBorders>
            <w:vAlign w:val="center"/>
          </w:tcPr>
          <w:p w14:paraId="51644C19" w14:textId="77777777" w:rsidR="003A4B17" w:rsidRPr="005F2950" w:rsidRDefault="003A4B17"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2012</w:t>
            </w:r>
          </w:p>
        </w:tc>
        <w:tc>
          <w:tcPr>
            <w:tcW w:w="1385" w:type="dxa"/>
            <w:tcBorders>
              <w:bottom w:val="single" w:sz="4" w:space="0" w:color="auto"/>
            </w:tcBorders>
            <w:vAlign w:val="center"/>
          </w:tcPr>
          <w:p w14:paraId="0FC83154" w14:textId="77777777" w:rsidR="003A4B17" w:rsidRPr="005F2950" w:rsidRDefault="003A4B17"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2002</w:t>
            </w:r>
          </w:p>
        </w:tc>
        <w:tc>
          <w:tcPr>
            <w:tcW w:w="1385" w:type="dxa"/>
            <w:tcBorders>
              <w:bottom w:val="single" w:sz="4" w:space="0" w:color="auto"/>
            </w:tcBorders>
            <w:vAlign w:val="center"/>
          </w:tcPr>
          <w:p w14:paraId="0E19199E" w14:textId="77777777" w:rsidR="003A4B17" w:rsidRPr="005F2950" w:rsidRDefault="003A4B17"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1992</w:t>
            </w:r>
          </w:p>
        </w:tc>
        <w:tc>
          <w:tcPr>
            <w:tcW w:w="1385" w:type="dxa"/>
            <w:tcBorders>
              <w:top w:val="single" w:sz="4" w:space="0" w:color="auto"/>
              <w:bottom w:val="single" w:sz="4" w:space="0" w:color="auto"/>
              <w:tl2br w:val="single" w:sz="4" w:space="0" w:color="auto"/>
            </w:tcBorders>
            <w:vAlign w:val="center"/>
          </w:tcPr>
          <w:p w14:paraId="73F87B6B" w14:textId="77777777" w:rsidR="003A4B17" w:rsidRPr="005F2950" w:rsidRDefault="003A4B17" w:rsidP="008C1DB1">
            <w:pPr>
              <w:bidi w:val="0"/>
              <w:spacing w:after="0" w:line="240" w:lineRule="auto"/>
              <w:rPr>
                <w:rFonts w:asciiTheme="majorBidi" w:hAnsiTheme="majorBidi" w:cstheme="majorBidi"/>
                <w:color w:val="000000" w:themeColor="text1"/>
                <w:sz w:val="20"/>
                <w:szCs w:val="20"/>
                <w:lang w:bidi="fa-IR"/>
              </w:rPr>
            </w:pPr>
            <w:r w:rsidRPr="005F2950">
              <w:rPr>
                <w:rFonts w:asciiTheme="majorBidi" w:hAnsiTheme="majorBidi" w:cstheme="majorBidi"/>
                <w:color w:val="000000" w:themeColor="text1"/>
                <w:sz w:val="20"/>
                <w:szCs w:val="20"/>
                <w:lang w:bidi="fa-IR"/>
              </w:rPr>
              <w:t xml:space="preserve">           Year</w:t>
            </w:r>
          </w:p>
          <w:p w14:paraId="1EA39A7B" w14:textId="77777777" w:rsidR="003A4B17" w:rsidRPr="005F2950" w:rsidRDefault="003A4B17" w:rsidP="008C1DB1">
            <w:pPr>
              <w:bidi w:val="0"/>
              <w:spacing w:after="0" w:line="240" w:lineRule="auto"/>
              <w:rPr>
                <w:rFonts w:asciiTheme="majorBidi" w:hAnsiTheme="majorBidi" w:cstheme="majorBidi"/>
                <w:color w:val="000000" w:themeColor="text1"/>
                <w:sz w:val="20"/>
                <w:szCs w:val="20"/>
                <w:rtl/>
                <w:lang w:bidi="fa-IR"/>
              </w:rPr>
            </w:pPr>
            <w:r w:rsidRPr="005F2950">
              <w:rPr>
                <w:rFonts w:asciiTheme="majorBidi" w:hAnsiTheme="majorBidi" w:cstheme="majorBidi"/>
                <w:color w:val="000000" w:themeColor="text1"/>
                <w:sz w:val="20"/>
                <w:szCs w:val="20"/>
                <w:lang w:bidi="fa-IR"/>
              </w:rPr>
              <w:t>City</w:t>
            </w:r>
          </w:p>
        </w:tc>
      </w:tr>
      <w:tr w:rsidR="003A4B17" w:rsidRPr="008C1DB1" w14:paraId="267C5357" w14:textId="77777777" w:rsidTr="005B48B7">
        <w:trPr>
          <w:trHeight w:val="20"/>
          <w:jc w:val="center"/>
        </w:trPr>
        <w:tc>
          <w:tcPr>
            <w:tcW w:w="1385" w:type="dxa"/>
            <w:tcBorders>
              <w:top w:val="single" w:sz="4" w:space="0" w:color="auto"/>
            </w:tcBorders>
          </w:tcPr>
          <w:p w14:paraId="51CDB7FB" w14:textId="2DE0A9C4"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12.48</w:t>
            </w:r>
          </w:p>
        </w:tc>
        <w:tc>
          <w:tcPr>
            <w:tcW w:w="1385" w:type="dxa"/>
            <w:tcBorders>
              <w:top w:val="single" w:sz="4" w:space="0" w:color="auto"/>
            </w:tcBorders>
          </w:tcPr>
          <w:p w14:paraId="5C17EBE1" w14:textId="6202FBAD"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10.44</w:t>
            </w:r>
          </w:p>
        </w:tc>
        <w:tc>
          <w:tcPr>
            <w:tcW w:w="1385" w:type="dxa"/>
            <w:tcBorders>
              <w:top w:val="single" w:sz="4" w:space="0" w:color="auto"/>
            </w:tcBorders>
          </w:tcPr>
          <w:p w14:paraId="1CC0EC75" w14:textId="33B86797"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6.13</w:t>
            </w:r>
          </w:p>
        </w:tc>
        <w:tc>
          <w:tcPr>
            <w:tcW w:w="1385" w:type="dxa"/>
            <w:tcBorders>
              <w:top w:val="single" w:sz="4" w:space="0" w:color="auto"/>
            </w:tcBorders>
          </w:tcPr>
          <w:p w14:paraId="303C168D" w14:textId="61DE69FD"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3.9</w:t>
            </w:r>
          </w:p>
        </w:tc>
        <w:tc>
          <w:tcPr>
            <w:tcW w:w="1385" w:type="dxa"/>
            <w:tcBorders>
              <w:top w:val="single" w:sz="4" w:space="0" w:color="auto"/>
            </w:tcBorders>
            <w:vAlign w:val="center"/>
          </w:tcPr>
          <w:p w14:paraId="0C39F518" w14:textId="77777777"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Baneh</w:t>
            </w:r>
          </w:p>
        </w:tc>
      </w:tr>
      <w:tr w:rsidR="003A4B17" w:rsidRPr="008C1DB1" w14:paraId="4C4EBECB" w14:textId="77777777" w:rsidTr="005B48B7">
        <w:trPr>
          <w:trHeight w:val="20"/>
          <w:jc w:val="center"/>
        </w:trPr>
        <w:tc>
          <w:tcPr>
            <w:tcW w:w="1385" w:type="dxa"/>
          </w:tcPr>
          <w:p w14:paraId="0A95FE3C" w14:textId="1EDD9DE5"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5.9</w:t>
            </w:r>
          </w:p>
        </w:tc>
        <w:tc>
          <w:tcPr>
            <w:tcW w:w="1385" w:type="dxa"/>
          </w:tcPr>
          <w:p w14:paraId="3746FE2B" w14:textId="277DF730"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5.22</w:t>
            </w:r>
          </w:p>
        </w:tc>
        <w:tc>
          <w:tcPr>
            <w:tcW w:w="1385" w:type="dxa"/>
          </w:tcPr>
          <w:p w14:paraId="39917E34" w14:textId="446ACDB8"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4.24</w:t>
            </w:r>
          </w:p>
        </w:tc>
        <w:tc>
          <w:tcPr>
            <w:tcW w:w="1385" w:type="dxa"/>
          </w:tcPr>
          <w:p w14:paraId="1DA36EC7" w14:textId="2C950406"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3.61</w:t>
            </w:r>
          </w:p>
        </w:tc>
        <w:tc>
          <w:tcPr>
            <w:tcW w:w="1385" w:type="dxa"/>
            <w:vAlign w:val="center"/>
          </w:tcPr>
          <w:p w14:paraId="21DD92A0" w14:textId="77777777"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Bijar</w:t>
            </w:r>
          </w:p>
        </w:tc>
      </w:tr>
      <w:tr w:rsidR="003A4B17" w:rsidRPr="008C1DB1" w14:paraId="577A251D" w14:textId="77777777" w:rsidTr="005B48B7">
        <w:trPr>
          <w:trHeight w:val="20"/>
          <w:jc w:val="center"/>
        </w:trPr>
        <w:tc>
          <w:tcPr>
            <w:tcW w:w="1385" w:type="dxa"/>
          </w:tcPr>
          <w:p w14:paraId="03FA5435" w14:textId="36FF1DED"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2.53</w:t>
            </w:r>
          </w:p>
        </w:tc>
        <w:tc>
          <w:tcPr>
            <w:tcW w:w="1385" w:type="dxa"/>
          </w:tcPr>
          <w:p w14:paraId="357D1C4B" w14:textId="2680B006"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2.13</w:t>
            </w:r>
          </w:p>
        </w:tc>
        <w:tc>
          <w:tcPr>
            <w:tcW w:w="1385" w:type="dxa"/>
          </w:tcPr>
          <w:p w14:paraId="1BB33513" w14:textId="5062D8B8"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1.51</w:t>
            </w:r>
          </w:p>
        </w:tc>
        <w:tc>
          <w:tcPr>
            <w:tcW w:w="1385" w:type="dxa"/>
          </w:tcPr>
          <w:p w14:paraId="4507ECD9" w14:textId="6BC83058"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1.03</w:t>
            </w:r>
          </w:p>
        </w:tc>
        <w:tc>
          <w:tcPr>
            <w:tcW w:w="1385" w:type="dxa"/>
            <w:vAlign w:val="center"/>
          </w:tcPr>
          <w:p w14:paraId="5C161D98" w14:textId="77777777" w:rsidR="003A4B17" w:rsidRPr="008C1DB1" w:rsidRDefault="003A4B17"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Dehgolan</w:t>
            </w:r>
            <w:proofErr w:type="spellEnd"/>
          </w:p>
        </w:tc>
      </w:tr>
      <w:tr w:rsidR="003A4B17" w:rsidRPr="008C1DB1" w14:paraId="67EBA8CC" w14:textId="77777777" w:rsidTr="005B48B7">
        <w:trPr>
          <w:trHeight w:val="20"/>
          <w:jc w:val="center"/>
        </w:trPr>
        <w:tc>
          <w:tcPr>
            <w:tcW w:w="1385" w:type="dxa"/>
          </w:tcPr>
          <w:p w14:paraId="03EE9BA9" w14:textId="742BEEBA"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3.15</w:t>
            </w:r>
          </w:p>
        </w:tc>
        <w:tc>
          <w:tcPr>
            <w:tcW w:w="1385" w:type="dxa"/>
          </w:tcPr>
          <w:p w14:paraId="73D658DD" w14:textId="31EDA9E0"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2.49</w:t>
            </w:r>
          </w:p>
        </w:tc>
        <w:tc>
          <w:tcPr>
            <w:tcW w:w="1385" w:type="dxa"/>
          </w:tcPr>
          <w:p w14:paraId="011C1884" w14:textId="7B20F29E"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1.75</w:t>
            </w:r>
          </w:p>
        </w:tc>
        <w:tc>
          <w:tcPr>
            <w:tcW w:w="1385" w:type="dxa"/>
          </w:tcPr>
          <w:p w14:paraId="2DE527BE" w14:textId="79F39BD2"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1.12</w:t>
            </w:r>
          </w:p>
        </w:tc>
        <w:tc>
          <w:tcPr>
            <w:tcW w:w="1385" w:type="dxa"/>
            <w:vAlign w:val="center"/>
          </w:tcPr>
          <w:p w14:paraId="4B3268CF" w14:textId="77777777" w:rsidR="003A4B17" w:rsidRPr="008C1DB1" w:rsidRDefault="003A4B17"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Divandareh</w:t>
            </w:r>
            <w:proofErr w:type="spellEnd"/>
          </w:p>
        </w:tc>
      </w:tr>
      <w:tr w:rsidR="003A4B17" w:rsidRPr="008C1DB1" w14:paraId="7A5B3D4D" w14:textId="77777777" w:rsidTr="005B48B7">
        <w:trPr>
          <w:trHeight w:val="20"/>
          <w:jc w:val="center"/>
        </w:trPr>
        <w:tc>
          <w:tcPr>
            <w:tcW w:w="1385" w:type="dxa"/>
          </w:tcPr>
          <w:p w14:paraId="56B7894D" w14:textId="54724969"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lastRenderedPageBreak/>
              <w:t>0.56</w:t>
            </w:r>
          </w:p>
        </w:tc>
        <w:tc>
          <w:tcPr>
            <w:tcW w:w="1385" w:type="dxa"/>
          </w:tcPr>
          <w:p w14:paraId="5A1B3E17" w14:textId="059ACC19"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0.41</w:t>
            </w:r>
          </w:p>
        </w:tc>
        <w:tc>
          <w:tcPr>
            <w:tcW w:w="1385" w:type="dxa"/>
          </w:tcPr>
          <w:p w14:paraId="6229E081" w14:textId="3A088731"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0.33</w:t>
            </w:r>
          </w:p>
        </w:tc>
        <w:tc>
          <w:tcPr>
            <w:tcW w:w="1385" w:type="dxa"/>
          </w:tcPr>
          <w:p w14:paraId="7B96A122" w14:textId="11ADD13C"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0.24</w:t>
            </w:r>
          </w:p>
        </w:tc>
        <w:tc>
          <w:tcPr>
            <w:tcW w:w="1385" w:type="dxa"/>
            <w:vAlign w:val="center"/>
          </w:tcPr>
          <w:p w14:paraId="5CB0813F" w14:textId="77777777" w:rsidR="003A4B17" w:rsidRPr="008C1DB1" w:rsidRDefault="003A4B17"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Sarvabad</w:t>
            </w:r>
            <w:proofErr w:type="spellEnd"/>
          </w:p>
        </w:tc>
      </w:tr>
      <w:tr w:rsidR="003A4B17" w:rsidRPr="008C1DB1" w14:paraId="0F3CE4A2" w14:textId="77777777" w:rsidTr="005B48B7">
        <w:trPr>
          <w:trHeight w:val="20"/>
          <w:jc w:val="center"/>
        </w:trPr>
        <w:tc>
          <w:tcPr>
            <w:tcW w:w="1385" w:type="dxa"/>
          </w:tcPr>
          <w:p w14:paraId="194BB700" w14:textId="3F771417"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12.04</w:t>
            </w:r>
          </w:p>
        </w:tc>
        <w:tc>
          <w:tcPr>
            <w:tcW w:w="1385" w:type="dxa"/>
          </w:tcPr>
          <w:p w14:paraId="08B83094" w14:textId="1E9486C5"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10.21</w:t>
            </w:r>
          </w:p>
        </w:tc>
        <w:tc>
          <w:tcPr>
            <w:tcW w:w="1385" w:type="dxa"/>
          </w:tcPr>
          <w:p w14:paraId="1D2C4C60" w14:textId="74373CF0"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7.63</w:t>
            </w:r>
          </w:p>
        </w:tc>
        <w:tc>
          <w:tcPr>
            <w:tcW w:w="1385" w:type="dxa"/>
          </w:tcPr>
          <w:p w14:paraId="477AB19A" w14:textId="5440ADB5"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6.1</w:t>
            </w:r>
          </w:p>
        </w:tc>
        <w:tc>
          <w:tcPr>
            <w:tcW w:w="1385" w:type="dxa"/>
            <w:vAlign w:val="center"/>
          </w:tcPr>
          <w:p w14:paraId="48FC39A9" w14:textId="451DDDC6" w:rsidR="003A4B17" w:rsidRPr="008C1DB1" w:rsidRDefault="00E72925"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Saghez</w:t>
            </w:r>
            <w:proofErr w:type="spellEnd"/>
          </w:p>
        </w:tc>
      </w:tr>
      <w:tr w:rsidR="003A4B17" w:rsidRPr="008C1DB1" w14:paraId="5C59E50C" w14:textId="77777777" w:rsidTr="005B48B7">
        <w:trPr>
          <w:trHeight w:val="20"/>
          <w:jc w:val="center"/>
        </w:trPr>
        <w:tc>
          <w:tcPr>
            <w:tcW w:w="1385" w:type="dxa"/>
          </w:tcPr>
          <w:p w14:paraId="2E1BE555" w14:textId="564A931E"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27.11</w:t>
            </w:r>
          </w:p>
        </w:tc>
        <w:tc>
          <w:tcPr>
            <w:tcW w:w="1385" w:type="dxa"/>
          </w:tcPr>
          <w:p w14:paraId="7F39B67B" w14:textId="4302E312"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25.24</w:t>
            </w:r>
          </w:p>
        </w:tc>
        <w:tc>
          <w:tcPr>
            <w:tcW w:w="1385" w:type="dxa"/>
          </w:tcPr>
          <w:p w14:paraId="641A8D42" w14:textId="0629B0BD"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19.78</w:t>
            </w:r>
          </w:p>
        </w:tc>
        <w:tc>
          <w:tcPr>
            <w:tcW w:w="1385" w:type="dxa"/>
          </w:tcPr>
          <w:p w14:paraId="69AA117D" w14:textId="5054DA76"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14.76</w:t>
            </w:r>
          </w:p>
        </w:tc>
        <w:tc>
          <w:tcPr>
            <w:tcW w:w="1385" w:type="dxa"/>
            <w:vAlign w:val="center"/>
          </w:tcPr>
          <w:p w14:paraId="3C6DD38F" w14:textId="77777777"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Sanandaj</w:t>
            </w:r>
          </w:p>
        </w:tc>
      </w:tr>
      <w:tr w:rsidR="003A4B17" w:rsidRPr="008C1DB1" w14:paraId="4C544D17" w14:textId="77777777" w:rsidTr="005B48B7">
        <w:trPr>
          <w:trHeight w:val="20"/>
          <w:jc w:val="center"/>
        </w:trPr>
        <w:tc>
          <w:tcPr>
            <w:tcW w:w="1385" w:type="dxa"/>
          </w:tcPr>
          <w:p w14:paraId="7FB4DDDD" w14:textId="05FABACC"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7.33</w:t>
            </w:r>
          </w:p>
        </w:tc>
        <w:tc>
          <w:tcPr>
            <w:tcW w:w="1385" w:type="dxa"/>
          </w:tcPr>
          <w:p w14:paraId="58B065B0" w14:textId="60CE0985"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5.34</w:t>
            </w:r>
          </w:p>
        </w:tc>
        <w:tc>
          <w:tcPr>
            <w:tcW w:w="1385" w:type="dxa"/>
          </w:tcPr>
          <w:p w14:paraId="0239FB44" w14:textId="086DE55B"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4.19</w:t>
            </w:r>
          </w:p>
        </w:tc>
        <w:tc>
          <w:tcPr>
            <w:tcW w:w="1385" w:type="dxa"/>
          </w:tcPr>
          <w:p w14:paraId="05690984" w14:textId="624DB54F"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3.31</w:t>
            </w:r>
          </w:p>
        </w:tc>
        <w:tc>
          <w:tcPr>
            <w:tcW w:w="1385" w:type="dxa"/>
            <w:vAlign w:val="center"/>
          </w:tcPr>
          <w:p w14:paraId="299ECE12" w14:textId="77777777" w:rsidR="003A4B17" w:rsidRPr="008C1DB1" w:rsidRDefault="003A4B17"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Qorveh</w:t>
            </w:r>
            <w:proofErr w:type="spellEnd"/>
          </w:p>
        </w:tc>
      </w:tr>
      <w:tr w:rsidR="003A4B17" w:rsidRPr="008C1DB1" w14:paraId="58A32DA4" w14:textId="77777777" w:rsidTr="005B48B7">
        <w:trPr>
          <w:trHeight w:val="20"/>
          <w:jc w:val="center"/>
        </w:trPr>
        <w:tc>
          <w:tcPr>
            <w:tcW w:w="1385" w:type="dxa"/>
          </w:tcPr>
          <w:p w14:paraId="591E3DAA" w14:textId="7EDCCFDD"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2.9</w:t>
            </w:r>
          </w:p>
        </w:tc>
        <w:tc>
          <w:tcPr>
            <w:tcW w:w="1385" w:type="dxa"/>
          </w:tcPr>
          <w:p w14:paraId="78307DDE" w14:textId="5B50274E"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2.4</w:t>
            </w:r>
          </w:p>
        </w:tc>
        <w:tc>
          <w:tcPr>
            <w:tcW w:w="1385" w:type="dxa"/>
          </w:tcPr>
          <w:p w14:paraId="7759A90D" w14:textId="7B048B5A"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1.77</w:t>
            </w:r>
          </w:p>
        </w:tc>
        <w:tc>
          <w:tcPr>
            <w:tcW w:w="1385" w:type="dxa"/>
          </w:tcPr>
          <w:p w14:paraId="45B75E38" w14:textId="5A318CBC"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1.44</w:t>
            </w:r>
          </w:p>
        </w:tc>
        <w:tc>
          <w:tcPr>
            <w:tcW w:w="1385" w:type="dxa"/>
            <w:vAlign w:val="center"/>
          </w:tcPr>
          <w:p w14:paraId="26A665FC" w14:textId="700EE20D" w:rsidR="003A4B17" w:rsidRPr="008C1DB1" w:rsidRDefault="00E72925"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Kamyaran</w:t>
            </w:r>
            <w:proofErr w:type="spellEnd"/>
          </w:p>
        </w:tc>
      </w:tr>
      <w:tr w:rsidR="003A4B17" w:rsidRPr="008C1DB1" w14:paraId="06791C6B" w14:textId="77777777" w:rsidTr="005B48B7">
        <w:trPr>
          <w:trHeight w:val="20"/>
          <w:jc w:val="center"/>
        </w:trPr>
        <w:tc>
          <w:tcPr>
            <w:tcW w:w="1385" w:type="dxa"/>
          </w:tcPr>
          <w:p w14:paraId="071AD628" w14:textId="781F547B"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9.09</w:t>
            </w:r>
          </w:p>
        </w:tc>
        <w:tc>
          <w:tcPr>
            <w:tcW w:w="1385" w:type="dxa"/>
          </w:tcPr>
          <w:p w14:paraId="2B966D63" w14:textId="2D00BC12"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8.18</w:t>
            </w:r>
          </w:p>
        </w:tc>
        <w:tc>
          <w:tcPr>
            <w:tcW w:w="1385" w:type="dxa"/>
          </w:tcPr>
          <w:p w14:paraId="44EF32ED" w14:textId="7862FDD8"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5.38</w:t>
            </w:r>
          </w:p>
        </w:tc>
        <w:tc>
          <w:tcPr>
            <w:tcW w:w="1385" w:type="dxa"/>
          </w:tcPr>
          <w:p w14:paraId="27817E46" w14:textId="39F0FDDC"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3.9</w:t>
            </w:r>
          </w:p>
        </w:tc>
        <w:tc>
          <w:tcPr>
            <w:tcW w:w="1385" w:type="dxa"/>
            <w:vAlign w:val="center"/>
          </w:tcPr>
          <w:p w14:paraId="2DD6048B" w14:textId="77777777" w:rsidR="003A4B17" w:rsidRPr="008C1DB1" w:rsidRDefault="003A4B17"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Marivan</w:t>
            </w:r>
          </w:p>
        </w:tc>
      </w:tr>
    </w:tbl>
    <w:p w14:paraId="26D8F370" w14:textId="77777777" w:rsidR="003A4B17" w:rsidRPr="008C1DB1" w:rsidRDefault="003A4B17" w:rsidP="008C1DB1">
      <w:pPr>
        <w:bidi w:val="0"/>
        <w:spacing w:after="0" w:line="240" w:lineRule="auto"/>
        <w:jc w:val="both"/>
        <w:rPr>
          <w:rFonts w:asciiTheme="majorBidi" w:hAnsiTheme="majorBidi" w:cstheme="majorBidi"/>
          <w:sz w:val="20"/>
          <w:szCs w:val="20"/>
          <w:lang w:bidi="fa-IR"/>
        </w:rPr>
      </w:pPr>
    </w:p>
    <w:p w14:paraId="45587638" w14:textId="0DA296C8" w:rsidR="00603AA7" w:rsidRPr="00636421" w:rsidRDefault="00603AA7"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Based on the above table, the cities in Kurdistan Province have experienced significant physical development. Baneh, due to its commercial position, has </w:t>
      </w:r>
      <w:r w:rsidR="006073A1" w:rsidRPr="00636421">
        <w:rPr>
          <w:rFonts w:asciiTheme="majorBidi" w:hAnsiTheme="majorBidi" w:cstheme="majorBidi"/>
          <w:lang w:bidi="fa-IR"/>
        </w:rPr>
        <w:t xml:space="preserve">experienced </w:t>
      </w:r>
      <w:r w:rsidRPr="00636421">
        <w:rPr>
          <w:rFonts w:asciiTheme="majorBidi" w:hAnsiTheme="majorBidi" w:cstheme="majorBidi"/>
          <w:lang w:bidi="fa-IR"/>
        </w:rPr>
        <w:t>s</w:t>
      </w:r>
      <w:r w:rsidR="006073A1" w:rsidRPr="00636421">
        <w:rPr>
          <w:rFonts w:asciiTheme="majorBidi" w:hAnsiTheme="majorBidi" w:cstheme="majorBidi"/>
          <w:lang w:bidi="fa-IR"/>
        </w:rPr>
        <w:t>ignificant</w:t>
      </w:r>
      <w:r w:rsidRPr="00636421">
        <w:rPr>
          <w:rFonts w:asciiTheme="majorBidi" w:hAnsiTheme="majorBidi" w:cstheme="majorBidi"/>
          <w:lang w:bidi="fa-IR"/>
        </w:rPr>
        <w:t xml:space="preserve"> physical growth in recent years, with the total area of urban settlements and infrastructure in Baneh being approximately 3.9 km</w:t>
      </w:r>
      <w:r w:rsidR="006073A1" w:rsidRPr="00636421">
        <w:rPr>
          <w:rFonts w:asciiTheme="majorBidi" w:hAnsiTheme="majorBidi" w:cstheme="majorBidi"/>
          <w:vertAlign w:val="superscript"/>
          <w:lang w:bidi="fa-IR"/>
        </w:rPr>
        <w:t>2</w:t>
      </w:r>
      <w:r w:rsidRPr="00636421">
        <w:rPr>
          <w:rFonts w:asciiTheme="majorBidi" w:hAnsiTheme="majorBidi" w:cstheme="majorBidi"/>
          <w:lang w:bidi="fa-IR"/>
        </w:rPr>
        <w:t xml:space="preserve"> in 1992. This figure increased to 6.13, 10.44, and 12.48 </w:t>
      </w:r>
      <w:r w:rsidR="006073A1" w:rsidRPr="00636421">
        <w:rPr>
          <w:rFonts w:asciiTheme="majorBidi" w:hAnsiTheme="majorBidi" w:cstheme="majorBidi"/>
          <w:lang w:bidi="fa-IR"/>
        </w:rPr>
        <w:t>km</w:t>
      </w:r>
      <w:r w:rsidR="006073A1" w:rsidRPr="00636421">
        <w:rPr>
          <w:rFonts w:asciiTheme="majorBidi" w:hAnsiTheme="majorBidi" w:cstheme="majorBidi"/>
          <w:vertAlign w:val="superscript"/>
          <w:lang w:bidi="fa-IR"/>
        </w:rPr>
        <w:t>2</w:t>
      </w:r>
      <w:r w:rsidR="006073A1" w:rsidRPr="00636421">
        <w:rPr>
          <w:rFonts w:asciiTheme="majorBidi" w:hAnsiTheme="majorBidi" w:cstheme="majorBidi"/>
          <w:lang w:bidi="fa-IR"/>
        </w:rPr>
        <w:t xml:space="preserve"> </w:t>
      </w:r>
      <w:r w:rsidRPr="00636421">
        <w:rPr>
          <w:rFonts w:asciiTheme="majorBidi" w:hAnsiTheme="majorBidi" w:cstheme="majorBidi"/>
          <w:lang w:bidi="fa-IR"/>
        </w:rPr>
        <w:t>in 2002, 2012, and 2022, respectively, indicating a multiple physical growth of this city over a 30-year period (Fig</w:t>
      </w:r>
      <w:r w:rsidR="006073A1" w:rsidRPr="00636421">
        <w:rPr>
          <w:rFonts w:asciiTheme="majorBidi" w:hAnsiTheme="majorBidi" w:cstheme="majorBidi"/>
          <w:lang w:bidi="fa-IR"/>
        </w:rPr>
        <w:t>.</w:t>
      </w:r>
      <w:r w:rsidRPr="00636421">
        <w:rPr>
          <w:rFonts w:asciiTheme="majorBidi" w:hAnsiTheme="majorBidi" w:cstheme="majorBidi"/>
          <w:lang w:bidi="fa-IR"/>
        </w:rPr>
        <w:t xml:space="preserve"> 4).</w:t>
      </w:r>
      <w:r w:rsidR="00931537" w:rsidRPr="00636421">
        <w:rPr>
          <w:rFonts w:asciiTheme="majorBidi" w:hAnsiTheme="majorBidi" w:cstheme="majorBidi"/>
          <w:lang w:bidi="fa-IR"/>
        </w:rPr>
        <w:t xml:space="preserve"> </w:t>
      </w:r>
      <w:r w:rsidRPr="00636421">
        <w:rPr>
          <w:rFonts w:asciiTheme="majorBidi" w:hAnsiTheme="majorBidi" w:cstheme="majorBidi"/>
          <w:lang w:bidi="fa-IR"/>
        </w:rPr>
        <w:t xml:space="preserve">Additionally, Bijar had an area of approximately 3.61 </w:t>
      </w:r>
      <w:r w:rsidR="00523EC9" w:rsidRPr="00636421">
        <w:rPr>
          <w:rFonts w:asciiTheme="majorBidi" w:hAnsiTheme="majorBidi" w:cstheme="majorBidi"/>
          <w:lang w:bidi="fa-IR"/>
        </w:rPr>
        <w:t>km</w:t>
      </w:r>
      <w:r w:rsidR="00523EC9" w:rsidRPr="00636421">
        <w:rPr>
          <w:rFonts w:asciiTheme="majorBidi" w:hAnsiTheme="majorBidi" w:cstheme="majorBidi"/>
          <w:vertAlign w:val="superscript"/>
          <w:lang w:bidi="fa-IR"/>
        </w:rPr>
        <w:t>2</w:t>
      </w:r>
      <w:r w:rsidR="00523EC9" w:rsidRPr="00636421">
        <w:rPr>
          <w:rFonts w:asciiTheme="majorBidi" w:hAnsiTheme="majorBidi" w:cstheme="majorBidi"/>
          <w:lang w:bidi="fa-IR"/>
        </w:rPr>
        <w:t xml:space="preserve"> </w:t>
      </w:r>
      <w:r w:rsidRPr="00636421">
        <w:rPr>
          <w:rFonts w:asciiTheme="majorBidi" w:hAnsiTheme="majorBidi" w:cstheme="majorBidi"/>
          <w:lang w:bidi="fa-IR"/>
        </w:rPr>
        <w:t xml:space="preserve">in 1992, which increased to 4.24, 5.22, and 5.9 </w:t>
      </w:r>
      <w:r w:rsidR="00523EC9" w:rsidRPr="00636421">
        <w:rPr>
          <w:rFonts w:asciiTheme="majorBidi" w:hAnsiTheme="majorBidi" w:cstheme="majorBidi"/>
          <w:lang w:bidi="fa-IR"/>
        </w:rPr>
        <w:t>km</w:t>
      </w:r>
      <w:r w:rsidR="00523EC9" w:rsidRPr="00636421">
        <w:rPr>
          <w:rFonts w:asciiTheme="majorBidi" w:hAnsiTheme="majorBidi" w:cstheme="majorBidi"/>
          <w:vertAlign w:val="superscript"/>
          <w:lang w:bidi="fa-IR"/>
        </w:rPr>
        <w:t>2</w:t>
      </w:r>
      <w:r w:rsidR="00523EC9" w:rsidRPr="00636421">
        <w:rPr>
          <w:rFonts w:asciiTheme="majorBidi" w:hAnsiTheme="majorBidi" w:cstheme="majorBidi"/>
          <w:lang w:bidi="fa-IR"/>
        </w:rPr>
        <w:t xml:space="preserve"> </w:t>
      </w:r>
      <w:r w:rsidRPr="00636421">
        <w:rPr>
          <w:rFonts w:asciiTheme="majorBidi" w:hAnsiTheme="majorBidi" w:cstheme="majorBidi"/>
          <w:lang w:bidi="fa-IR"/>
        </w:rPr>
        <w:t xml:space="preserve">in 2002, 2012, and 2022, respectively, indicating that Bijar experienced about 2.3 </w:t>
      </w:r>
      <w:r w:rsidR="00523EC9" w:rsidRPr="00636421">
        <w:rPr>
          <w:rFonts w:asciiTheme="majorBidi" w:hAnsiTheme="majorBidi" w:cstheme="majorBidi"/>
          <w:lang w:bidi="fa-IR"/>
        </w:rPr>
        <w:t>km</w:t>
      </w:r>
      <w:r w:rsidR="00523EC9" w:rsidRPr="00636421">
        <w:rPr>
          <w:rFonts w:asciiTheme="majorBidi" w:hAnsiTheme="majorBidi" w:cstheme="majorBidi"/>
          <w:vertAlign w:val="superscript"/>
          <w:lang w:bidi="fa-IR"/>
        </w:rPr>
        <w:t>2</w:t>
      </w:r>
      <w:r w:rsidR="00523EC9" w:rsidRPr="00636421">
        <w:rPr>
          <w:rFonts w:asciiTheme="majorBidi" w:hAnsiTheme="majorBidi" w:cstheme="majorBidi"/>
          <w:lang w:bidi="fa-IR"/>
        </w:rPr>
        <w:t xml:space="preserve"> </w:t>
      </w:r>
      <w:r w:rsidRPr="00636421">
        <w:rPr>
          <w:rFonts w:asciiTheme="majorBidi" w:hAnsiTheme="majorBidi" w:cstheme="majorBidi"/>
          <w:lang w:bidi="fa-IR"/>
        </w:rPr>
        <w:t>of physical development over the 30-year period (Fig</w:t>
      </w:r>
      <w:r w:rsidR="00523EC9" w:rsidRPr="00636421">
        <w:rPr>
          <w:rFonts w:asciiTheme="majorBidi" w:hAnsiTheme="majorBidi" w:cstheme="majorBidi"/>
          <w:lang w:bidi="fa-IR"/>
        </w:rPr>
        <w:t xml:space="preserve">. </w:t>
      </w:r>
      <w:r w:rsidRPr="00636421">
        <w:rPr>
          <w:rFonts w:asciiTheme="majorBidi" w:hAnsiTheme="majorBidi" w:cstheme="majorBidi"/>
          <w:lang w:bidi="fa-IR"/>
        </w:rPr>
        <w:t>5).</w:t>
      </w:r>
    </w:p>
    <w:p w14:paraId="62A67EDC" w14:textId="769FCA99" w:rsidR="00603AA7" w:rsidRPr="00636421" w:rsidRDefault="00603AA7" w:rsidP="008C1DB1">
      <w:pPr>
        <w:bidi w:val="0"/>
        <w:spacing w:after="0" w:line="240" w:lineRule="auto"/>
        <w:jc w:val="both"/>
        <w:rPr>
          <w:rFonts w:asciiTheme="majorBidi" w:hAnsiTheme="majorBidi" w:cstheme="majorBidi"/>
          <w:lang w:bidi="fa-IR"/>
        </w:rPr>
      </w:pPr>
      <w:proofErr w:type="spellStart"/>
      <w:r w:rsidRPr="00636421">
        <w:rPr>
          <w:rFonts w:asciiTheme="majorBidi" w:hAnsiTheme="majorBidi" w:cstheme="majorBidi"/>
          <w:lang w:bidi="fa-IR"/>
        </w:rPr>
        <w:t>Dehgolan</w:t>
      </w:r>
      <w:proofErr w:type="spellEnd"/>
      <w:r w:rsidRPr="00636421">
        <w:rPr>
          <w:rFonts w:asciiTheme="majorBidi" w:hAnsiTheme="majorBidi" w:cstheme="majorBidi"/>
          <w:lang w:bidi="fa-IR"/>
        </w:rPr>
        <w:t xml:space="preserve"> also </w:t>
      </w:r>
      <w:r w:rsidR="00523EC9" w:rsidRPr="00636421">
        <w:rPr>
          <w:rFonts w:asciiTheme="majorBidi" w:hAnsiTheme="majorBidi" w:cstheme="majorBidi"/>
          <w:lang w:bidi="fa-IR"/>
        </w:rPr>
        <w:t>had</w:t>
      </w:r>
      <w:r w:rsidRPr="00636421">
        <w:rPr>
          <w:rFonts w:asciiTheme="majorBidi" w:hAnsiTheme="majorBidi" w:cstheme="majorBidi"/>
          <w:lang w:bidi="fa-IR"/>
        </w:rPr>
        <w:t xml:space="preserve"> more than double its physical development over the 30-year period, with an area of approximately 1.03 </w:t>
      </w:r>
      <w:r w:rsidR="00523EC9" w:rsidRPr="00636421">
        <w:rPr>
          <w:rFonts w:asciiTheme="majorBidi" w:hAnsiTheme="majorBidi" w:cstheme="majorBidi"/>
          <w:lang w:bidi="fa-IR"/>
        </w:rPr>
        <w:t>km</w:t>
      </w:r>
      <w:r w:rsidR="00523EC9" w:rsidRPr="00636421">
        <w:rPr>
          <w:rFonts w:asciiTheme="majorBidi" w:hAnsiTheme="majorBidi" w:cstheme="majorBidi"/>
          <w:vertAlign w:val="superscript"/>
          <w:lang w:bidi="fa-IR"/>
        </w:rPr>
        <w:t>2</w:t>
      </w:r>
      <w:r w:rsidR="00523EC9" w:rsidRPr="00636421">
        <w:rPr>
          <w:rFonts w:asciiTheme="majorBidi" w:hAnsiTheme="majorBidi" w:cstheme="majorBidi"/>
          <w:lang w:bidi="fa-IR"/>
        </w:rPr>
        <w:t xml:space="preserve"> </w:t>
      </w:r>
      <w:r w:rsidRPr="00636421">
        <w:rPr>
          <w:rFonts w:asciiTheme="majorBidi" w:hAnsiTheme="majorBidi" w:cstheme="majorBidi"/>
          <w:lang w:bidi="fa-IR"/>
        </w:rPr>
        <w:t xml:space="preserve">in 1992, which increased to 1.51, 2.13, and 2.53 </w:t>
      </w:r>
      <w:r w:rsidR="00523EC9" w:rsidRPr="00636421">
        <w:rPr>
          <w:rFonts w:asciiTheme="majorBidi" w:hAnsiTheme="majorBidi" w:cstheme="majorBidi"/>
          <w:lang w:bidi="fa-IR"/>
        </w:rPr>
        <w:t>km</w:t>
      </w:r>
      <w:r w:rsidR="00523EC9" w:rsidRPr="00636421">
        <w:rPr>
          <w:rFonts w:asciiTheme="majorBidi" w:hAnsiTheme="majorBidi" w:cstheme="majorBidi"/>
          <w:vertAlign w:val="superscript"/>
          <w:lang w:bidi="fa-IR"/>
        </w:rPr>
        <w:t>2</w:t>
      </w:r>
      <w:r w:rsidR="00523EC9" w:rsidRPr="00636421">
        <w:rPr>
          <w:rFonts w:asciiTheme="majorBidi" w:hAnsiTheme="majorBidi" w:cstheme="majorBidi"/>
          <w:lang w:bidi="fa-IR"/>
        </w:rPr>
        <w:t xml:space="preserve"> </w:t>
      </w:r>
      <w:r w:rsidRPr="00636421">
        <w:rPr>
          <w:rFonts w:asciiTheme="majorBidi" w:hAnsiTheme="majorBidi" w:cstheme="majorBidi"/>
          <w:lang w:bidi="fa-IR"/>
        </w:rPr>
        <w:t>in 2002, 2012, and 2022, respectively (Fig</w:t>
      </w:r>
      <w:r w:rsidR="00523EC9" w:rsidRPr="00636421">
        <w:rPr>
          <w:rFonts w:asciiTheme="majorBidi" w:hAnsiTheme="majorBidi" w:cstheme="majorBidi"/>
          <w:lang w:bidi="fa-IR"/>
        </w:rPr>
        <w:t>.</w:t>
      </w:r>
      <w:r w:rsidRPr="00636421">
        <w:rPr>
          <w:rFonts w:asciiTheme="majorBidi" w:hAnsiTheme="majorBidi" w:cstheme="majorBidi"/>
          <w:lang w:bidi="fa-IR"/>
        </w:rPr>
        <w:t xml:space="preserve"> 6).</w:t>
      </w:r>
      <w:r w:rsidR="00931537" w:rsidRPr="00636421">
        <w:rPr>
          <w:rFonts w:asciiTheme="majorBidi" w:hAnsiTheme="majorBidi" w:cstheme="majorBidi"/>
          <w:lang w:bidi="fa-IR"/>
        </w:rPr>
        <w:t xml:space="preserve">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experienced even more growth compared to </w:t>
      </w:r>
      <w:proofErr w:type="spellStart"/>
      <w:r w:rsidRPr="00636421">
        <w:rPr>
          <w:rFonts w:asciiTheme="majorBidi" w:hAnsiTheme="majorBidi" w:cstheme="majorBidi"/>
          <w:lang w:bidi="fa-IR"/>
        </w:rPr>
        <w:t>Dehgolan</w:t>
      </w:r>
      <w:proofErr w:type="spellEnd"/>
      <w:r w:rsidRPr="00636421">
        <w:rPr>
          <w:rFonts w:asciiTheme="majorBidi" w:hAnsiTheme="majorBidi" w:cstheme="majorBidi"/>
          <w:lang w:bidi="fa-IR"/>
        </w:rPr>
        <w:t xml:space="preserve">, starting with an area of approximately 1.12 </w:t>
      </w:r>
      <w:r w:rsidR="00931537" w:rsidRPr="00636421">
        <w:rPr>
          <w:rFonts w:asciiTheme="majorBidi" w:hAnsiTheme="majorBidi" w:cstheme="majorBidi"/>
          <w:lang w:bidi="fa-IR"/>
        </w:rPr>
        <w:t>km</w:t>
      </w:r>
      <w:r w:rsidR="00931537" w:rsidRPr="00636421">
        <w:rPr>
          <w:rFonts w:asciiTheme="majorBidi" w:hAnsiTheme="majorBidi" w:cstheme="majorBidi"/>
          <w:vertAlign w:val="superscript"/>
          <w:lang w:bidi="fa-IR"/>
        </w:rPr>
        <w:t>2</w:t>
      </w:r>
      <w:r w:rsidR="00931537" w:rsidRPr="00636421">
        <w:rPr>
          <w:rFonts w:asciiTheme="majorBidi" w:hAnsiTheme="majorBidi" w:cstheme="majorBidi"/>
          <w:lang w:bidi="fa-IR"/>
        </w:rPr>
        <w:t xml:space="preserve"> </w:t>
      </w:r>
      <w:r w:rsidRPr="00636421">
        <w:rPr>
          <w:rFonts w:asciiTheme="majorBidi" w:hAnsiTheme="majorBidi" w:cstheme="majorBidi"/>
          <w:lang w:bidi="fa-IR"/>
        </w:rPr>
        <w:t xml:space="preserve">in 1992, which increased to 1.75, 2.49, and 3.15 </w:t>
      </w:r>
      <w:r w:rsidR="00931537" w:rsidRPr="00636421">
        <w:rPr>
          <w:rFonts w:asciiTheme="majorBidi" w:hAnsiTheme="majorBidi" w:cstheme="majorBidi"/>
          <w:lang w:bidi="fa-IR"/>
        </w:rPr>
        <w:t>km</w:t>
      </w:r>
      <w:r w:rsidR="00931537" w:rsidRPr="00636421">
        <w:rPr>
          <w:rFonts w:asciiTheme="majorBidi" w:hAnsiTheme="majorBidi" w:cstheme="majorBidi"/>
          <w:vertAlign w:val="superscript"/>
          <w:lang w:bidi="fa-IR"/>
        </w:rPr>
        <w:t>2</w:t>
      </w:r>
      <w:r w:rsidR="00931537" w:rsidRPr="00636421">
        <w:rPr>
          <w:rFonts w:asciiTheme="majorBidi" w:hAnsiTheme="majorBidi" w:cstheme="majorBidi"/>
          <w:lang w:bidi="fa-IR"/>
        </w:rPr>
        <w:t xml:space="preserve"> </w:t>
      </w:r>
      <w:r w:rsidRPr="00636421">
        <w:rPr>
          <w:rFonts w:asciiTheme="majorBidi" w:hAnsiTheme="majorBidi" w:cstheme="majorBidi"/>
          <w:lang w:bidi="fa-IR"/>
        </w:rPr>
        <w:t>in 2002, 2012, and 2022, respectively (Fig</w:t>
      </w:r>
      <w:r w:rsidR="00931537" w:rsidRPr="00636421">
        <w:rPr>
          <w:rFonts w:asciiTheme="majorBidi" w:hAnsiTheme="majorBidi" w:cstheme="majorBidi"/>
          <w:lang w:bidi="fa-IR"/>
        </w:rPr>
        <w:t>.</w:t>
      </w:r>
      <w:r w:rsidRPr="00636421">
        <w:rPr>
          <w:rFonts w:asciiTheme="majorBidi" w:hAnsiTheme="majorBidi" w:cstheme="majorBidi"/>
          <w:lang w:bidi="fa-IR"/>
        </w:rPr>
        <w:t xml:space="preserve"> 7).</w:t>
      </w:r>
    </w:p>
    <w:p w14:paraId="2BA4CDB8" w14:textId="66103A6C" w:rsidR="00603AA7" w:rsidRPr="00636421" w:rsidRDefault="00603AA7" w:rsidP="008C1DB1">
      <w:pPr>
        <w:bidi w:val="0"/>
        <w:spacing w:after="0" w:line="240" w:lineRule="auto"/>
        <w:jc w:val="both"/>
        <w:rPr>
          <w:rFonts w:asciiTheme="majorBidi" w:hAnsiTheme="majorBidi" w:cstheme="majorBidi"/>
          <w:lang w:bidi="fa-IR"/>
        </w:rPr>
      </w:pPr>
      <w:proofErr w:type="spellStart"/>
      <w:r w:rsidRPr="00636421">
        <w:rPr>
          <w:rFonts w:asciiTheme="majorBidi" w:hAnsiTheme="majorBidi" w:cstheme="majorBidi"/>
          <w:lang w:bidi="fa-IR"/>
        </w:rPr>
        <w:t>Sarvabad</w:t>
      </w:r>
      <w:proofErr w:type="spellEnd"/>
      <w:r w:rsidRPr="00636421">
        <w:rPr>
          <w:rFonts w:asciiTheme="majorBidi" w:hAnsiTheme="majorBidi" w:cstheme="majorBidi"/>
          <w:lang w:bidi="fa-IR"/>
        </w:rPr>
        <w:t xml:space="preserve">, as the smallest county center in Kurdistan Province, had an area of approximately 0.24 </w:t>
      </w:r>
      <w:r w:rsidR="00931537" w:rsidRPr="00636421">
        <w:rPr>
          <w:rFonts w:asciiTheme="majorBidi" w:hAnsiTheme="majorBidi" w:cstheme="majorBidi"/>
          <w:lang w:bidi="fa-IR"/>
        </w:rPr>
        <w:t>km</w:t>
      </w:r>
      <w:r w:rsidR="00931537" w:rsidRPr="00636421">
        <w:rPr>
          <w:rFonts w:asciiTheme="majorBidi" w:hAnsiTheme="majorBidi" w:cstheme="majorBidi"/>
          <w:vertAlign w:val="superscript"/>
          <w:lang w:bidi="fa-IR"/>
        </w:rPr>
        <w:t>2</w:t>
      </w:r>
      <w:r w:rsidR="00931537" w:rsidRPr="00636421">
        <w:rPr>
          <w:rFonts w:asciiTheme="majorBidi" w:hAnsiTheme="majorBidi" w:cstheme="majorBidi"/>
          <w:lang w:bidi="fa-IR"/>
        </w:rPr>
        <w:t xml:space="preserve"> </w:t>
      </w:r>
      <w:r w:rsidRPr="00636421">
        <w:rPr>
          <w:rFonts w:asciiTheme="majorBidi" w:hAnsiTheme="majorBidi" w:cstheme="majorBidi"/>
          <w:lang w:bidi="fa-IR"/>
        </w:rPr>
        <w:t xml:space="preserve">in 1992, which increased to 0.33, 0.41, and 0.56 </w:t>
      </w:r>
      <w:r w:rsidR="00931537" w:rsidRPr="00636421">
        <w:rPr>
          <w:rFonts w:asciiTheme="majorBidi" w:hAnsiTheme="majorBidi" w:cstheme="majorBidi"/>
          <w:lang w:bidi="fa-IR"/>
        </w:rPr>
        <w:t>km</w:t>
      </w:r>
      <w:r w:rsidR="00931537" w:rsidRPr="00636421">
        <w:rPr>
          <w:rFonts w:asciiTheme="majorBidi" w:hAnsiTheme="majorBidi" w:cstheme="majorBidi"/>
          <w:vertAlign w:val="superscript"/>
          <w:lang w:bidi="fa-IR"/>
        </w:rPr>
        <w:t>2</w:t>
      </w:r>
      <w:r w:rsidR="00931537" w:rsidRPr="00636421">
        <w:rPr>
          <w:rFonts w:asciiTheme="majorBidi" w:hAnsiTheme="majorBidi" w:cstheme="majorBidi"/>
          <w:lang w:bidi="fa-IR"/>
        </w:rPr>
        <w:t xml:space="preserve"> </w:t>
      </w:r>
      <w:r w:rsidRPr="00636421">
        <w:rPr>
          <w:rFonts w:asciiTheme="majorBidi" w:hAnsiTheme="majorBidi" w:cstheme="majorBidi"/>
          <w:lang w:bidi="fa-IR"/>
        </w:rPr>
        <w:t>in 2002, 2012, and 2022, respectively (Fig</w:t>
      </w:r>
      <w:r w:rsidR="00931537" w:rsidRPr="00636421">
        <w:rPr>
          <w:rFonts w:asciiTheme="majorBidi" w:hAnsiTheme="majorBidi" w:cstheme="majorBidi"/>
          <w:lang w:bidi="fa-IR"/>
        </w:rPr>
        <w:t>.</w:t>
      </w:r>
      <w:r w:rsidRPr="00636421">
        <w:rPr>
          <w:rFonts w:asciiTheme="majorBidi" w:hAnsiTheme="majorBidi" w:cstheme="majorBidi"/>
          <w:lang w:bidi="fa-IR"/>
        </w:rPr>
        <w:t xml:space="preserve"> 8).</w:t>
      </w:r>
      <w:r w:rsidR="00931537" w:rsidRPr="00636421">
        <w:rPr>
          <w:rFonts w:asciiTheme="majorBidi" w:hAnsiTheme="majorBidi" w:cstheme="majorBidi"/>
          <w:lang w:bidi="fa-IR"/>
        </w:rPr>
        <w:t xml:space="preserve"> </w:t>
      </w:r>
      <w:proofErr w:type="spellStart"/>
      <w:r w:rsidR="00E72925" w:rsidRPr="00636421">
        <w:rPr>
          <w:rFonts w:asciiTheme="majorBidi" w:hAnsiTheme="majorBidi" w:cstheme="majorBidi"/>
          <w:lang w:bidi="fa-IR"/>
        </w:rPr>
        <w:t>Saghez</w:t>
      </w:r>
      <w:proofErr w:type="spellEnd"/>
      <w:r w:rsidRPr="00636421">
        <w:rPr>
          <w:rFonts w:asciiTheme="majorBidi" w:hAnsiTheme="majorBidi" w:cstheme="majorBidi"/>
          <w:lang w:bidi="fa-IR"/>
        </w:rPr>
        <w:t xml:space="preserve">, which is considered the second most populous city in the province after Sanandaj, has also experienced significant physical growth. The area of </w:t>
      </w:r>
      <w:proofErr w:type="spellStart"/>
      <w:r w:rsidR="00E72925" w:rsidRPr="00636421">
        <w:rPr>
          <w:rFonts w:asciiTheme="majorBidi" w:hAnsiTheme="majorBidi" w:cstheme="majorBidi"/>
          <w:lang w:bidi="fa-IR"/>
        </w:rPr>
        <w:t>Saghez</w:t>
      </w:r>
      <w:proofErr w:type="spellEnd"/>
      <w:r w:rsidRPr="00636421">
        <w:rPr>
          <w:rFonts w:asciiTheme="majorBidi" w:hAnsiTheme="majorBidi" w:cstheme="majorBidi"/>
          <w:lang w:bidi="fa-IR"/>
        </w:rPr>
        <w:t xml:space="preserve"> was approximately 6.1 </w:t>
      </w:r>
      <w:r w:rsidR="00931537" w:rsidRPr="00636421">
        <w:rPr>
          <w:rFonts w:asciiTheme="majorBidi" w:hAnsiTheme="majorBidi" w:cstheme="majorBidi"/>
          <w:lang w:bidi="fa-IR"/>
        </w:rPr>
        <w:t>km</w:t>
      </w:r>
      <w:r w:rsidR="00931537" w:rsidRPr="00636421">
        <w:rPr>
          <w:rFonts w:asciiTheme="majorBidi" w:hAnsiTheme="majorBidi" w:cstheme="majorBidi"/>
          <w:vertAlign w:val="superscript"/>
          <w:lang w:bidi="fa-IR"/>
        </w:rPr>
        <w:t>2</w:t>
      </w:r>
      <w:r w:rsidR="00931537" w:rsidRPr="00636421">
        <w:rPr>
          <w:rFonts w:asciiTheme="majorBidi" w:hAnsiTheme="majorBidi" w:cstheme="majorBidi"/>
          <w:lang w:bidi="fa-IR"/>
        </w:rPr>
        <w:t xml:space="preserve"> </w:t>
      </w:r>
      <w:r w:rsidRPr="00636421">
        <w:rPr>
          <w:rFonts w:asciiTheme="majorBidi" w:hAnsiTheme="majorBidi" w:cstheme="majorBidi"/>
          <w:lang w:bidi="fa-IR"/>
        </w:rPr>
        <w:t xml:space="preserve">in 1992, increasing to 7.63, 10.21, and 12.04 </w:t>
      </w:r>
      <w:r w:rsidR="00931537" w:rsidRPr="00636421">
        <w:rPr>
          <w:rFonts w:asciiTheme="majorBidi" w:hAnsiTheme="majorBidi" w:cstheme="majorBidi"/>
          <w:lang w:bidi="fa-IR"/>
        </w:rPr>
        <w:t>km</w:t>
      </w:r>
      <w:r w:rsidR="00931537" w:rsidRPr="00636421">
        <w:rPr>
          <w:rFonts w:asciiTheme="majorBidi" w:hAnsiTheme="majorBidi" w:cstheme="majorBidi"/>
          <w:vertAlign w:val="superscript"/>
          <w:lang w:bidi="fa-IR"/>
        </w:rPr>
        <w:t>2</w:t>
      </w:r>
      <w:r w:rsidR="00931537" w:rsidRPr="00636421">
        <w:rPr>
          <w:rFonts w:asciiTheme="majorBidi" w:hAnsiTheme="majorBidi" w:cstheme="majorBidi"/>
          <w:lang w:bidi="fa-IR"/>
        </w:rPr>
        <w:t xml:space="preserve"> </w:t>
      </w:r>
      <w:r w:rsidRPr="00636421">
        <w:rPr>
          <w:rFonts w:asciiTheme="majorBidi" w:hAnsiTheme="majorBidi" w:cstheme="majorBidi"/>
          <w:lang w:bidi="fa-IR"/>
        </w:rPr>
        <w:t>in 2002, 2012, and 2022, respectively (Fig</w:t>
      </w:r>
      <w:r w:rsidR="00931537" w:rsidRPr="00636421">
        <w:rPr>
          <w:rFonts w:asciiTheme="majorBidi" w:hAnsiTheme="majorBidi" w:cstheme="majorBidi"/>
          <w:lang w:bidi="fa-IR"/>
        </w:rPr>
        <w:t>.</w:t>
      </w:r>
      <w:r w:rsidRPr="00636421">
        <w:rPr>
          <w:rFonts w:asciiTheme="majorBidi" w:hAnsiTheme="majorBidi" w:cstheme="majorBidi"/>
          <w:lang w:bidi="fa-IR"/>
        </w:rPr>
        <w:t xml:space="preserve"> 9).</w:t>
      </w:r>
    </w:p>
    <w:p w14:paraId="57242FB7" w14:textId="2F3E82B0" w:rsidR="00603AA7" w:rsidRPr="00636421" w:rsidRDefault="00603AA7"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Sanandaj, as the most populous and largest city in the province, has also </w:t>
      </w:r>
      <w:r w:rsidR="00931537" w:rsidRPr="00636421">
        <w:rPr>
          <w:rFonts w:asciiTheme="majorBidi" w:hAnsiTheme="majorBidi" w:cstheme="majorBidi"/>
          <w:lang w:bidi="fa-IR"/>
        </w:rPr>
        <w:t>experienced</w:t>
      </w:r>
      <w:r w:rsidRPr="00636421">
        <w:rPr>
          <w:rFonts w:asciiTheme="majorBidi" w:hAnsiTheme="majorBidi" w:cstheme="majorBidi"/>
          <w:lang w:bidi="fa-IR"/>
        </w:rPr>
        <w:t xml:space="preserve"> considerable growth, with its area approximately doubling over the 30-year period. In 1992, Sanandaj had an area of approximately 14.76 </w:t>
      </w:r>
      <w:r w:rsidR="00931537" w:rsidRPr="00636421">
        <w:rPr>
          <w:rFonts w:asciiTheme="majorBidi" w:hAnsiTheme="majorBidi" w:cstheme="majorBidi"/>
          <w:lang w:bidi="fa-IR"/>
        </w:rPr>
        <w:t>km</w:t>
      </w:r>
      <w:r w:rsidR="00931537" w:rsidRPr="00636421">
        <w:rPr>
          <w:rFonts w:asciiTheme="majorBidi" w:hAnsiTheme="majorBidi" w:cstheme="majorBidi"/>
          <w:vertAlign w:val="superscript"/>
          <w:lang w:bidi="fa-IR"/>
        </w:rPr>
        <w:t>2</w:t>
      </w:r>
      <w:r w:rsidRPr="00636421">
        <w:rPr>
          <w:rFonts w:asciiTheme="majorBidi" w:hAnsiTheme="majorBidi" w:cstheme="majorBidi"/>
          <w:lang w:bidi="fa-IR"/>
        </w:rPr>
        <w:t xml:space="preserve">, which increased to 19.78, 25.24, and 27.11 </w:t>
      </w:r>
      <w:r w:rsidR="00931537" w:rsidRPr="00636421">
        <w:rPr>
          <w:rFonts w:asciiTheme="majorBidi" w:hAnsiTheme="majorBidi" w:cstheme="majorBidi"/>
          <w:lang w:bidi="fa-IR"/>
        </w:rPr>
        <w:t>km</w:t>
      </w:r>
      <w:r w:rsidR="00931537" w:rsidRPr="00636421">
        <w:rPr>
          <w:rFonts w:asciiTheme="majorBidi" w:hAnsiTheme="majorBidi" w:cstheme="majorBidi"/>
          <w:vertAlign w:val="superscript"/>
          <w:lang w:bidi="fa-IR"/>
        </w:rPr>
        <w:t>2</w:t>
      </w:r>
      <w:r w:rsidR="00931537" w:rsidRPr="00636421">
        <w:rPr>
          <w:rFonts w:asciiTheme="majorBidi" w:hAnsiTheme="majorBidi" w:cstheme="majorBidi"/>
          <w:lang w:bidi="fa-IR"/>
        </w:rPr>
        <w:t xml:space="preserve"> </w:t>
      </w:r>
      <w:r w:rsidRPr="00636421">
        <w:rPr>
          <w:rFonts w:asciiTheme="majorBidi" w:hAnsiTheme="majorBidi" w:cstheme="majorBidi"/>
          <w:lang w:bidi="fa-IR"/>
        </w:rPr>
        <w:t>in 2002, 2012, and 2022, respectively (Fig</w:t>
      </w:r>
      <w:r w:rsidR="00931537" w:rsidRPr="00636421">
        <w:rPr>
          <w:rFonts w:asciiTheme="majorBidi" w:hAnsiTheme="majorBidi" w:cstheme="majorBidi"/>
          <w:lang w:bidi="fa-IR"/>
        </w:rPr>
        <w:t>.</w:t>
      </w:r>
      <w:r w:rsidRPr="00636421">
        <w:rPr>
          <w:rFonts w:asciiTheme="majorBidi" w:hAnsiTheme="majorBidi" w:cstheme="majorBidi"/>
          <w:lang w:bidi="fa-IR"/>
        </w:rPr>
        <w:t xml:space="preserve"> 10).</w:t>
      </w:r>
      <w:r w:rsidR="00931537" w:rsidRPr="00636421">
        <w:rPr>
          <w:rFonts w:asciiTheme="majorBidi" w:hAnsiTheme="majorBidi" w:cstheme="majorBidi"/>
          <w:lang w:bidi="fa-IR"/>
        </w:rPr>
        <w:t xml:space="preserve">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like other cities in the province, has also experienced physical development. The area of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was approximately 3.31 </w:t>
      </w:r>
      <w:r w:rsidR="00F45C17" w:rsidRPr="00636421">
        <w:rPr>
          <w:rFonts w:asciiTheme="majorBidi" w:hAnsiTheme="majorBidi" w:cstheme="majorBidi"/>
          <w:lang w:bidi="fa-IR"/>
        </w:rPr>
        <w:t>km</w:t>
      </w:r>
      <w:r w:rsidR="00F45C17" w:rsidRPr="00636421">
        <w:rPr>
          <w:rFonts w:asciiTheme="majorBidi" w:hAnsiTheme="majorBidi" w:cstheme="majorBidi"/>
          <w:vertAlign w:val="superscript"/>
          <w:lang w:bidi="fa-IR"/>
        </w:rPr>
        <w:t>2</w:t>
      </w:r>
      <w:r w:rsidR="00F45C17" w:rsidRPr="00636421">
        <w:rPr>
          <w:rFonts w:asciiTheme="majorBidi" w:hAnsiTheme="majorBidi" w:cstheme="majorBidi"/>
          <w:lang w:bidi="fa-IR"/>
        </w:rPr>
        <w:t xml:space="preserve"> </w:t>
      </w:r>
      <w:r w:rsidRPr="00636421">
        <w:rPr>
          <w:rFonts w:asciiTheme="majorBidi" w:hAnsiTheme="majorBidi" w:cstheme="majorBidi"/>
          <w:lang w:bidi="fa-IR"/>
        </w:rPr>
        <w:t xml:space="preserve">in 1992, which increased to 4.19, 5.34, and 7.33 </w:t>
      </w:r>
      <w:r w:rsidR="00F45C17" w:rsidRPr="00636421">
        <w:rPr>
          <w:rFonts w:asciiTheme="majorBidi" w:hAnsiTheme="majorBidi" w:cstheme="majorBidi"/>
          <w:lang w:bidi="fa-IR"/>
        </w:rPr>
        <w:t>km</w:t>
      </w:r>
      <w:r w:rsidR="00F45C17" w:rsidRPr="00636421">
        <w:rPr>
          <w:rFonts w:asciiTheme="majorBidi" w:hAnsiTheme="majorBidi" w:cstheme="majorBidi"/>
          <w:vertAlign w:val="superscript"/>
          <w:lang w:bidi="fa-IR"/>
        </w:rPr>
        <w:t>2</w:t>
      </w:r>
      <w:r w:rsidR="00F45C17" w:rsidRPr="00636421">
        <w:rPr>
          <w:rFonts w:asciiTheme="majorBidi" w:hAnsiTheme="majorBidi" w:cstheme="majorBidi"/>
          <w:lang w:bidi="fa-IR"/>
        </w:rPr>
        <w:t xml:space="preserve"> </w:t>
      </w:r>
      <w:r w:rsidRPr="00636421">
        <w:rPr>
          <w:rFonts w:asciiTheme="majorBidi" w:hAnsiTheme="majorBidi" w:cstheme="majorBidi"/>
          <w:lang w:bidi="fa-IR"/>
        </w:rPr>
        <w:t>in 2002, 2012, and 2022, respectively (Fig</w:t>
      </w:r>
      <w:r w:rsidR="00F45C17" w:rsidRPr="00636421">
        <w:rPr>
          <w:rFonts w:asciiTheme="majorBidi" w:hAnsiTheme="majorBidi" w:cstheme="majorBidi"/>
          <w:lang w:bidi="fa-IR"/>
        </w:rPr>
        <w:t>.</w:t>
      </w:r>
      <w:r w:rsidRPr="00636421">
        <w:rPr>
          <w:rFonts w:asciiTheme="majorBidi" w:hAnsiTheme="majorBidi" w:cstheme="majorBidi"/>
          <w:lang w:bidi="fa-IR"/>
        </w:rPr>
        <w:t xml:space="preserve"> 11).</w:t>
      </w:r>
    </w:p>
    <w:p w14:paraId="2A7EBF52" w14:textId="0D21B9C2" w:rsidR="00603AA7" w:rsidRPr="00636421" w:rsidRDefault="00603AA7" w:rsidP="008C1DB1">
      <w:pPr>
        <w:bidi w:val="0"/>
        <w:spacing w:after="0" w:line="240" w:lineRule="auto"/>
        <w:jc w:val="both"/>
        <w:rPr>
          <w:rFonts w:asciiTheme="majorBidi" w:hAnsiTheme="majorBidi" w:cstheme="majorBidi"/>
          <w:lang w:bidi="fa-IR"/>
        </w:rPr>
      </w:pPr>
      <w:proofErr w:type="spellStart"/>
      <w:r w:rsidRPr="00636421">
        <w:rPr>
          <w:rFonts w:asciiTheme="majorBidi" w:hAnsiTheme="majorBidi" w:cstheme="majorBidi"/>
          <w:lang w:bidi="fa-IR"/>
        </w:rPr>
        <w:t>Kamyaran</w:t>
      </w:r>
      <w:proofErr w:type="spellEnd"/>
      <w:r w:rsidRPr="00636421">
        <w:rPr>
          <w:rFonts w:asciiTheme="majorBidi" w:hAnsiTheme="majorBidi" w:cstheme="majorBidi"/>
          <w:lang w:bidi="fa-IR"/>
        </w:rPr>
        <w:t xml:space="preserve"> has also shown significant growth, with an area of approximately 1.44 </w:t>
      </w:r>
      <w:r w:rsidR="00F45C17" w:rsidRPr="00636421">
        <w:rPr>
          <w:rFonts w:asciiTheme="majorBidi" w:hAnsiTheme="majorBidi" w:cstheme="majorBidi"/>
          <w:lang w:bidi="fa-IR"/>
        </w:rPr>
        <w:t>km</w:t>
      </w:r>
      <w:r w:rsidR="00F45C17" w:rsidRPr="00636421">
        <w:rPr>
          <w:rFonts w:asciiTheme="majorBidi" w:hAnsiTheme="majorBidi" w:cstheme="majorBidi"/>
          <w:vertAlign w:val="superscript"/>
          <w:lang w:bidi="fa-IR"/>
        </w:rPr>
        <w:t>2</w:t>
      </w:r>
      <w:r w:rsidR="00F45C17" w:rsidRPr="00636421">
        <w:rPr>
          <w:rFonts w:asciiTheme="majorBidi" w:hAnsiTheme="majorBidi" w:cstheme="majorBidi"/>
          <w:lang w:bidi="fa-IR"/>
        </w:rPr>
        <w:t xml:space="preserve"> </w:t>
      </w:r>
      <w:r w:rsidRPr="00636421">
        <w:rPr>
          <w:rFonts w:asciiTheme="majorBidi" w:hAnsiTheme="majorBidi" w:cstheme="majorBidi"/>
          <w:lang w:bidi="fa-IR"/>
        </w:rPr>
        <w:t xml:space="preserve">in 1992, which increased to 1.77, 2.4, and 2.9 </w:t>
      </w:r>
      <w:r w:rsidR="00F45C17" w:rsidRPr="00636421">
        <w:rPr>
          <w:rFonts w:asciiTheme="majorBidi" w:hAnsiTheme="majorBidi" w:cstheme="majorBidi"/>
          <w:lang w:bidi="fa-IR"/>
        </w:rPr>
        <w:t>km</w:t>
      </w:r>
      <w:r w:rsidR="00F45C17" w:rsidRPr="00636421">
        <w:rPr>
          <w:rFonts w:asciiTheme="majorBidi" w:hAnsiTheme="majorBidi" w:cstheme="majorBidi"/>
          <w:vertAlign w:val="superscript"/>
          <w:lang w:bidi="fa-IR"/>
        </w:rPr>
        <w:t>2</w:t>
      </w:r>
      <w:r w:rsidR="00F45C17" w:rsidRPr="00636421">
        <w:rPr>
          <w:rFonts w:asciiTheme="majorBidi" w:hAnsiTheme="majorBidi" w:cstheme="majorBidi"/>
          <w:lang w:bidi="fa-IR"/>
        </w:rPr>
        <w:t xml:space="preserve"> </w:t>
      </w:r>
      <w:r w:rsidRPr="00636421">
        <w:rPr>
          <w:rFonts w:asciiTheme="majorBidi" w:hAnsiTheme="majorBidi" w:cstheme="majorBidi"/>
          <w:lang w:bidi="fa-IR"/>
        </w:rPr>
        <w:t>in 2002, 2012, and 2022, respectively (Fig</w:t>
      </w:r>
      <w:r w:rsidR="00931537" w:rsidRPr="00636421">
        <w:rPr>
          <w:rFonts w:asciiTheme="majorBidi" w:hAnsiTheme="majorBidi" w:cstheme="majorBidi"/>
          <w:lang w:bidi="fa-IR"/>
        </w:rPr>
        <w:t>.</w:t>
      </w:r>
      <w:r w:rsidRPr="00636421">
        <w:rPr>
          <w:rFonts w:asciiTheme="majorBidi" w:hAnsiTheme="majorBidi" w:cstheme="majorBidi"/>
          <w:lang w:bidi="fa-IR"/>
        </w:rPr>
        <w:t xml:space="preserve"> 12).</w:t>
      </w:r>
      <w:r w:rsidR="00931537" w:rsidRPr="00636421">
        <w:rPr>
          <w:rFonts w:asciiTheme="majorBidi" w:hAnsiTheme="majorBidi" w:cstheme="majorBidi"/>
          <w:lang w:bidi="fa-IR"/>
        </w:rPr>
        <w:t xml:space="preserve"> </w:t>
      </w:r>
      <w:r w:rsidRPr="00636421">
        <w:rPr>
          <w:rFonts w:asciiTheme="majorBidi" w:hAnsiTheme="majorBidi" w:cstheme="majorBidi"/>
          <w:lang w:bidi="fa-IR"/>
        </w:rPr>
        <w:t xml:space="preserve">Finally, Marivan is one of the cities that </w:t>
      </w:r>
      <w:r w:rsidR="00F45C17" w:rsidRPr="00636421">
        <w:rPr>
          <w:rFonts w:asciiTheme="majorBidi" w:hAnsiTheme="majorBidi" w:cstheme="majorBidi"/>
          <w:lang w:bidi="fa-IR"/>
        </w:rPr>
        <w:t xml:space="preserve">has </w:t>
      </w:r>
      <w:r w:rsidRPr="00636421">
        <w:rPr>
          <w:rFonts w:asciiTheme="majorBidi" w:hAnsiTheme="majorBidi" w:cstheme="majorBidi"/>
          <w:lang w:bidi="fa-IR"/>
        </w:rPr>
        <w:t>ha</w:t>
      </w:r>
      <w:r w:rsidR="00F45C17" w:rsidRPr="00636421">
        <w:rPr>
          <w:rFonts w:asciiTheme="majorBidi" w:hAnsiTheme="majorBidi" w:cstheme="majorBidi"/>
          <w:lang w:bidi="fa-IR"/>
        </w:rPr>
        <w:t xml:space="preserve">d </w:t>
      </w:r>
      <w:r w:rsidRPr="00636421">
        <w:rPr>
          <w:rFonts w:asciiTheme="majorBidi" w:hAnsiTheme="majorBidi" w:cstheme="majorBidi"/>
          <w:lang w:bidi="fa-IR"/>
        </w:rPr>
        <w:t xml:space="preserve">the most significant physical development, starting with an area of approximately 3.9 </w:t>
      </w:r>
      <w:r w:rsidR="00F45C17" w:rsidRPr="00636421">
        <w:rPr>
          <w:rFonts w:asciiTheme="majorBidi" w:hAnsiTheme="majorBidi" w:cstheme="majorBidi"/>
          <w:lang w:bidi="fa-IR"/>
        </w:rPr>
        <w:t>km</w:t>
      </w:r>
      <w:r w:rsidR="00F45C17" w:rsidRPr="00636421">
        <w:rPr>
          <w:rFonts w:asciiTheme="majorBidi" w:hAnsiTheme="majorBidi" w:cstheme="majorBidi"/>
          <w:vertAlign w:val="superscript"/>
          <w:lang w:bidi="fa-IR"/>
        </w:rPr>
        <w:t>2</w:t>
      </w:r>
      <w:r w:rsidR="00F45C17" w:rsidRPr="00636421">
        <w:rPr>
          <w:rFonts w:asciiTheme="majorBidi" w:hAnsiTheme="majorBidi" w:cstheme="majorBidi"/>
          <w:lang w:bidi="fa-IR"/>
        </w:rPr>
        <w:t xml:space="preserve"> </w:t>
      </w:r>
      <w:r w:rsidRPr="00636421">
        <w:rPr>
          <w:rFonts w:asciiTheme="majorBidi" w:hAnsiTheme="majorBidi" w:cstheme="majorBidi"/>
          <w:lang w:bidi="fa-IR"/>
        </w:rPr>
        <w:t xml:space="preserve">in 1992, which increased to 5.38, 8.18, and 9.09 </w:t>
      </w:r>
      <w:r w:rsidR="00F45C17" w:rsidRPr="00636421">
        <w:rPr>
          <w:rFonts w:asciiTheme="majorBidi" w:hAnsiTheme="majorBidi" w:cstheme="majorBidi"/>
          <w:lang w:bidi="fa-IR"/>
        </w:rPr>
        <w:t>km</w:t>
      </w:r>
      <w:r w:rsidR="00F45C17" w:rsidRPr="00636421">
        <w:rPr>
          <w:rFonts w:asciiTheme="majorBidi" w:hAnsiTheme="majorBidi" w:cstheme="majorBidi"/>
          <w:vertAlign w:val="superscript"/>
          <w:lang w:bidi="fa-IR"/>
        </w:rPr>
        <w:t>2</w:t>
      </w:r>
      <w:r w:rsidR="00F45C17" w:rsidRPr="00636421">
        <w:rPr>
          <w:rFonts w:asciiTheme="majorBidi" w:hAnsiTheme="majorBidi" w:cstheme="majorBidi"/>
          <w:lang w:bidi="fa-IR"/>
        </w:rPr>
        <w:t xml:space="preserve"> </w:t>
      </w:r>
      <w:r w:rsidRPr="00636421">
        <w:rPr>
          <w:rFonts w:asciiTheme="majorBidi" w:hAnsiTheme="majorBidi" w:cstheme="majorBidi"/>
          <w:lang w:bidi="fa-IR"/>
        </w:rPr>
        <w:t>in 2002, 2012, and 2022, respectively (Fig</w:t>
      </w:r>
      <w:r w:rsidR="00931537" w:rsidRPr="00636421">
        <w:rPr>
          <w:rFonts w:asciiTheme="majorBidi" w:hAnsiTheme="majorBidi" w:cstheme="majorBidi"/>
          <w:lang w:bidi="fa-IR"/>
        </w:rPr>
        <w:t>.</w:t>
      </w:r>
      <w:r w:rsidRPr="00636421">
        <w:rPr>
          <w:rFonts w:asciiTheme="majorBidi" w:hAnsiTheme="majorBidi" w:cstheme="majorBidi"/>
          <w:lang w:bidi="fa-IR"/>
        </w:rPr>
        <w:t xml:space="preserve"> 13).</w:t>
      </w:r>
    </w:p>
    <w:p w14:paraId="4AFE3DDC" w14:textId="77777777" w:rsidR="00DE3929" w:rsidRPr="008C1DB1" w:rsidRDefault="00DE3929" w:rsidP="008C1DB1">
      <w:pPr>
        <w:bidi w:val="0"/>
        <w:spacing w:after="0" w:line="240" w:lineRule="auto"/>
        <w:jc w:val="both"/>
        <w:rPr>
          <w:rFonts w:asciiTheme="majorBidi" w:hAnsiTheme="majorBidi" w:cstheme="majorBidi"/>
          <w:sz w:val="20"/>
          <w:szCs w:val="20"/>
          <w:lang w:bidi="fa-IR"/>
        </w:rPr>
      </w:pPr>
    </w:p>
    <w:p w14:paraId="1FBA7F47" w14:textId="50B18B5A" w:rsidR="00DE3929" w:rsidRPr="008C1DB1" w:rsidRDefault="00DE3929" w:rsidP="008C1DB1">
      <w:pPr>
        <w:bidi w:val="0"/>
        <w:spacing w:after="0" w:line="240" w:lineRule="auto"/>
        <w:jc w:val="center"/>
        <w:rPr>
          <w:rFonts w:asciiTheme="majorBidi" w:hAnsiTheme="majorBidi" w:cstheme="majorBidi"/>
          <w:sz w:val="20"/>
          <w:szCs w:val="20"/>
          <w:lang w:bidi="fa-IR"/>
        </w:rPr>
      </w:pPr>
      <w:r w:rsidRPr="008C1DB1">
        <w:rPr>
          <w:noProof/>
          <w:color w:val="000000" w:themeColor="text1"/>
          <w:sz w:val="20"/>
          <w:szCs w:val="20"/>
          <w:rtl/>
        </w:rPr>
        <w:drawing>
          <wp:inline distT="0" distB="0" distL="0" distR="0" wp14:anchorId="463BDD40" wp14:editId="01A3CD20">
            <wp:extent cx="5404485" cy="1014560"/>
            <wp:effectExtent l="0" t="0" r="0" b="0"/>
            <wp:docPr id="12" name="Picture 12" descr="G:\GIS\hamid\lcm_kordestan\gis\khroji\bane\bane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GIS\hamid\lcm_kordestan\gis\khroji\bane\bane1990.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404485" cy="1014560"/>
                    </a:xfrm>
                    <a:prstGeom prst="rect">
                      <a:avLst/>
                    </a:prstGeom>
                    <a:noFill/>
                    <a:ln>
                      <a:noFill/>
                    </a:ln>
                  </pic:spPr>
                </pic:pic>
              </a:graphicData>
            </a:graphic>
          </wp:inline>
        </w:drawing>
      </w:r>
    </w:p>
    <w:p w14:paraId="0C987626" w14:textId="6D0EDEDD" w:rsidR="00DE3929" w:rsidRDefault="00DE392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4.</w:t>
      </w:r>
      <w:r w:rsidRPr="008C1DB1">
        <w:rPr>
          <w:rFonts w:asciiTheme="majorBidi" w:hAnsiTheme="majorBidi" w:cstheme="majorBidi"/>
          <w:sz w:val="20"/>
          <w:szCs w:val="20"/>
          <w:lang w:bidi="fa-IR"/>
        </w:rPr>
        <w:t xml:space="preserve"> Trend of Physical Development of Baneh City over the Years 1992, 2002, 2012, and 2022.</w:t>
      </w:r>
    </w:p>
    <w:p w14:paraId="4705D73A" w14:textId="77777777" w:rsidR="00DE4D41" w:rsidRPr="008C1DB1" w:rsidRDefault="00DE4D41" w:rsidP="00DE4D41">
      <w:pPr>
        <w:bidi w:val="0"/>
        <w:spacing w:after="0" w:line="240" w:lineRule="auto"/>
        <w:jc w:val="center"/>
        <w:rPr>
          <w:rFonts w:asciiTheme="majorBidi" w:hAnsiTheme="majorBidi" w:cstheme="majorBidi"/>
          <w:sz w:val="20"/>
          <w:szCs w:val="20"/>
          <w:lang w:bidi="fa-IR"/>
        </w:rPr>
      </w:pPr>
    </w:p>
    <w:p w14:paraId="0C3DAB52" w14:textId="688D921D" w:rsidR="00DE3929" w:rsidRPr="008C1DB1" w:rsidRDefault="00DE3929" w:rsidP="008C1DB1">
      <w:pPr>
        <w:bidi w:val="0"/>
        <w:spacing w:after="0" w:line="240" w:lineRule="auto"/>
        <w:jc w:val="center"/>
        <w:rPr>
          <w:rFonts w:asciiTheme="majorBidi" w:hAnsiTheme="majorBidi" w:cstheme="majorBidi"/>
          <w:sz w:val="20"/>
          <w:szCs w:val="20"/>
          <w:lang w:bidi="fa-IR"/>
        </w:rPr>
      </w:pPr>
      <w:r w:rsidRPr="008C1DB1">
        <w:rPr>
          <w:noProof/>
          <w:color w:val="000000" w:themeColor="text1"/>
          <w:sz w:val="20"/>
          <w:szCs w:val="20"/>
          <w:rtl/>
        </w:rPr>
        <w:lastRenderedPageBreak/>
        <w:drawing>
          <wp:inline distT="0" distB="0" distL="0" distR="0" wp14:anchorId="1A2B4E49" wp14:editId="702E5CEA">
            <wp:extent cx="5404485" cy="1277720"/>
            <wp:effectExtent l="0" t="0" r="0" b="0"/>
            <wp:docPr id="13" name="Picture 13" descr="G:\GIS\hamid\lcm_kordestan\gis\khroji\bijar\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GIS\hamid\lcm_kordestan\gis\khroji\bijar\1990.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404485" cy="1277720"/>
                    </a:xfrm>
                    <a:prstGeom prst="rect">
                      <a:avLst/>
                    </a:prstGeom>
                    <a:noFill/>
                    <a:ln>
                      <a:noFill/>
                    </a:ln>
                  </pic:spPr>
                </pic:pic>
              </a:graphicData>
            </a:graphic>
          </wp:inline>
        </w:drawing>
      </w:r>
    </w:p>
    <w:p w14:paraId="06667A7F" w14:textId="0C94B615" w:rsidR="00DE3929" w:rsidRDefault="00DE392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5.</w:t>
      </w:r>
      <w:r w:rsidRPr="008C1DB1">
        <w:rPr>
          <w:rFonts w:asciiTheme="majorBidi" w:hAnsiTheme="majorBidi" w:cstheme="majorBidi"/>
          <w:sz w:val="20"/>
          <w:szCs w:val="20"/>
          <w:lang w:bidi="fa-IR"/>
        </w:rPr>
        <w:t xml:space="preserve"> Trend of Physical Development of Bijar City over the Years 1992, 2002, 2012, and 2022.</w:t>
      </w:r>
    </w:p>
    <w:p w14:paraId="461EAF0D" w14:textId="77777777" w:rsidR="00DE4D41" w:rsidRPr="008C1DB1" w:rsidRDefault="00DE4D41" w:rsidP="00DE4D41">
      <w:pPr>
        <w:bidi w:val="0"/>
        <w:spacing w:after="0" w:line="240" w:lineRule="auto"/>
        <w:jc w:val="center"/>
        <w:rPr>
          <w:rFonts w:asciiTheme="majorBidi" w:hAnsiTheme="majorBidi" w:cstheme="majorBidi"/>
          <w:sz w:val="20"/>
          <w:szCs w:val="20"/>
          <w:lang w:bidi="fa-IR"/>
        </w:rPr>
      </w:pPr>
    </w:p>
    <w:p w14:paraId="57D4C848" w14:textId="4650307D" w:rsidR="00DE3929" w:rsidRPr="008C1DB1" w:rsidRDefault="00DE3929" w:rsidP="008C1DB1">
      <w:pPr>
        <w:bidi w:val="0"/>
        <w:spacing w:after="0" w:line="240" w:lineRule="auto"/>
        <w:jc w:val="center"/>
        <w:rPr>
          <w:rFonts w:asciiTheme="majorBidi" w:hAnsiTheme="majorBidi" w:cstheme="majorBidi"/>
          <w:b/>
          <w:bCs/>
          <w:sz w:val="20"/>
          <w:szCs w:val="20"/>
          <w:lang w:bidi="fa-IR"/>
        </w:rPr>
      </w:pPr>
      <w:r w:rsidRPr="008C1DB1">
        <w:rPr>
          <w:noProof/>
          <w:color w:val="000000" w:themeColor="text1"/>
          <w:sz w:val="20"/>
          <w:szCs w:val="20"/>
          <w:rtl/>
        </w:rPr>
        <w:drawing>
          <wp:inline distT="0" distB="0" distL="0" distR="0" wp14:anchorId="0D61015B" wp14:editId="3AF8A713">
            <wp:extent cx="5404485" cy="1505648"/>
            <wp:effectExtent l="0" t="0" r="0" b="0"/>
            <wp:docPr id="14" name="Picture 14" descr="G:\GIS\hamid\lcm_kordestan\gis\khroji\dehgolan\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GIS\hamid\lcm_kordestan\gis\khroji\dehgolan\1990.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5404485" cy="1505648"/>
                    </a:xfrm>
                    <a:prstGeom prst="rect">
                      <a:avLst/>
                    </a:prstGeom>
                    <a:noFill/>
                    <a:ln>
                      <a:noFill/>
                    </a:ln>
                  </pic:spPr>
                </pic:pic>
              </a:graphicData>
            </a:graphic>
          </wp:inline>
        </w:drawing>
      </w:r>
    </w:p>
    <w:p w14:paraId="4D6EEAC1" w14:textId="513DDD63" w:rsidR="00DE3929" w:rsidRDefault="00DE392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6.</w:t>
      </w:r>
      <w:r w:rsidRPr="008C1DB1">
        <w:rPr>
          <w:rFonts w:asciiTheme="majorBidi" w:hAnsiTheme="majorBidi" w:cstheme="majorBidi"/>
          <w:sz w:val="20"/>
          <w:szCs w:val="20"/>
          <w:lang w:bidi="fa-IR"/>
        </w:rPr>
        <w:t xml:space="preserve"> Trend of Physical Development of </w:t>
      </w:r>
      <w:proofErr w:type="spellStart"/>
      <w:r w:rsidRPr="008C1DB1">
        <w:rPr>
          <w:rFonts w:asciiTheme="majorBidi" w:hAnsiTheme="majorBidi" w:cstheme="majorBidi"/>
          <w:sz w:val="20"/>
          <w:szCs w:val="20"/>
          <w:lang w:bidi="fa-IR"/>
        </w:rPr>
        <w:t>Dehgolan</w:t>
      </w:r>
      <w:proofErr w:type="spellEnd"/>
      <w:r w:rsidRPr="008C1DB1">
        <w:rPr>
          <w:rFonts w:asciiTheme="majorBidi" w:hAnsiTheme="majorBidi" w:cstheme="majorBidi"/>
          <w:sz w:val="20"/>
          <w:szCs w:val="20"/>
          <w:lang w:bidi="fa-IR"/>
        </w:rPr>
        <w:t xml:space="preserve"> City over the Years 1992, 2002, 2012, and 2022.</w:t>
      </w:r>
    </w:p>
    <w:p w14:paraId="0F2CE056" w14:textId="77777777" w:rsidR="0080213F" w:rsidRPr="008C1DB1" w:rsidRDefault="0080213F" w:rsidP="0080213F">
      <w:pPr>
        <w:bidi w:val="0"/>
        <w:spacing w:after="0" w:line="240" w:lineRule="auto"/>
        <w:jc w:val="center"/>
        <w:rPr>
          <w:rFonts w:asciiTheme="majorBidi" w:hAnsiTheme="majorBidi" w:cstheme="majorBidi"/>
          <w:sz w:val="20"/>
          <w:szCs w:val="20"/>
          <w:lang w:bidi="fa-IR"/>
        </w:rPr>
      </w:pPr>
    </w:p>
    <w:p w14:paraId="713D1736" w14:textId="3863B1BD" w:rsidR="00DE3929" w:rsidRPr="008C1DB1" w:rsidRDefault="00DE3929" w:rsidP="008C1DB1">
      <w:pPr>
        <w:bidi w:val="0"/>
        <w:spacing w:after="0" w:line="240" w:lineRule="auto"/>
        <w:jc w:val="center"/>
        <w:rPr>
          <w:rFonts w:asciiTheme="majorBidi" w:hAnsiTheme="majorBidi" w:cstheme="majorBidi"/>
          <w:b/>
          <w:bCs/>
          <w:sz w:val="20"/>
          <w:szCs w:val="20"/>
          <w:lang w:bidi="fa-IR"/>
        </w:rPr>
      </w:pPr>
      <w:r w:rsidRPr="008C1DB1">
        <w:rPr>
          <w:noProof/>
          <w:color w:val="000000" w:themeColor="text1"/>
          <w:sz w:val="20"/>
          <w:szCs w:val="20"/>
          <w:rtl/>
        </w:rPr>
        <w:drawing>
          <wp:inline distT="0" distB="0" distL="0" distR="0" wp14:anchorId="63A663EB" wp14:editId="3DAF751E">
            <wp:extent cx="5404485" cy="1590902"/>
            <wp:effectExtent l="0" t="0" r="0" b="0"/>
            <wp:docPr id="15" name="Picture 15" descr="G:\GIS\hamid\lcm_kordestan\gis\khroji\divandareh\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GIS\hamid\lcm_kordestan\gis\khroji\divandareh\1990.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404485" cy="1590902"/>
                    </a:xfrm>
                    <a:prstGeom prst="rect">
                      <a:avLst/>
                    </a:prstGeom>
                    <a:noFill/>
                    <a:ln>
                      <a:noFill/>
                    </a:ln>
                  </pic:spPr>
                </pic:pic>
              </a:graphicData>
            </a:graphic>
          </wp:inline>
        </w:drawing>
      </w:r>
    </w:p>
    <w:p w14:paraId="1ACF6EAA" w14:textId="4FC4FACB" w:rsidR="00DE3929" w:rsidRDefault="00DE392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7.</w:t>
      </w:r>
      <w:r w:rsidRPr="008C1DB1">
        <w:rPr>
          <w:rFonts w:asciiTheme="majorBidi" w:hAnsiTheme="majorBidi" w:cstheme="majorBidi"/>
          <w:sz w:val="20"/>
          <w:szCs w:val="20"/>
          <w:lang w:bidi="fa-IR"/>
        </w:rPr>
        <w:t xml:space="preserve"> Trend of Physical Development of </w:t>
      </w:r>
      <w:proofErr w:type="spellStart"/>
      <w:r w:rsidRPr="008C1DB1">
        <w:rPr>
          <w:rFonts w:asciiTheme="majorBidi" w:hAnsiTheme="majorBidi" w:cstheme="majorBidi"/>
          <w:sz w:val="20"/>
          <w:szCs w:val="20"/>
          <w:lang w:bidi="fa-IR"/>
        </w:rPr>
        <w:t>Divandareh</w:t>
      </w:r>
      <w:proofErr w:type="spellEnd"/>
      <w:r w:rsidRPr="008C1DB1">
        <w:rPr>
          <w:rFonts w:asciiTheme="majorBidi" w:hAnsiTheme="majorBidi" w:cstheme="majorBidi"/>
          <w:sz w:val="20"/>
          <w:szCs w:val="20"/>
          <w:lang w:bidi="fa-IR"/>
        </w:rPr>
        <w:t xml:space="preserve"> City over the Years 1992, 2002, 2012, and 2022.</w:t>
      </w:r>
    </w:p>
    <w:p w14:paraId="222E5D8A" w14:textId="77777777" w:rsidR="00DE4D41" w:rsidRPr="008C1DB1" w:rsidRDefault="00DE4D41" w:rsidP="00DE4D41">
      <w:pPr>
        <w:bidi w:val="0"/>
        <w:spacing w:after="0" w:line="240" w:lineRule="auto"/>
        <w:jc w:val="center"/>
        <w:rPr>
          <w:rFonts w:asciiTheme="majorBidi" w:hAnsiTheme="majorBidi" w:cstheme="majorBidi"/>
          <w:sz w:val="20"/>
          <w:szCs w:val="20"/>
          <w:lang w:bidi="fa-IR"/>
        </w:rPr>
      </w:pPr>
    </w:p>
    <w:p w14:paraId="74E34DCF" w14:textId="4F2CF629" w:rsidR="00DE3929" w:rsidRPr="008C1DB1" w:rsidRDefault="00DE3929" w:rsidP="008C1DB1">
      <w:pPr>
        <w:bidi w:val="0"/>
        <w:spacing w:after="0" w:line="240" w:lineRule="auto"/>
        <w:jc w:val="center"/>
        <w:rPr>
          <w:rFonts w:asciiTheme="majorBidi" w:hAnsiTheme="majorBidi" w:cstheme="majorBidi"/>
          <w:b/>
          <w:bCs/>
          <w:sz w:val="20"/>
          <w:szCs w:val="20"/>
          <w:lang w:bidi="fa-IR"/>
        </w:rPr>
      </w:pPr>
      <w:r w:rsidRPr="008C1DB1">
        <w:rPr>
          <w:noProof/>
          <w:color w:val="000000" w:themeColor="text1"/>
          <w:sz w:val="20"/>
          <w:szCs w:val="20"/>
          <w:rtl/>
        </w:rPr>
        <w:drawing>
          <wp:inline distT="0" distB="0" distL="0" distR="0" wp14:anchorId="0AEC5565" wp14:editId="2794B6A5">
            <wp:extent cx="5404485" cy="1590902"/>
            <wp:effectExtent l="0" t="0" r="0" b="0"/>
            <wp:docPr id="567936917" name="Picture 567936917" descr="G:\GIS\hamid\lcm_kordestan\gis\khroji\divandareh\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GIS\hamid\lcm_kordestan\gis\khroji\divandareh\1990.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404485" cy="1590902"/>
                    </a:xfrm>
                    <a:prstGeom prst="rect">
                      <a:avLst/>
                    </a:prstGeom>
                    <a:noFill/>
                    <a:ln>
                      <a:noFill/>
                    </a:ln>
                  </pic:spPr>
                </pic:pic>
              </a:graphicData>
            </a:graphic>
          </wp:inline>
        </w:drawing>
      </w:r>
    </w:p>
    <w:p w14:paraId="1A2955C6" w14:textId="7579149C" w:rsidR="00DE3929" w:rsidRDefault="00DE392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8.</w:t>
      </w:r>
      <w:r w:rsidRPr="008C1DB1">
        <w:rPr>
          <w:rFonts w:asciiTheme="majorBidi" w:hAnsiTheme="majorBidi" w:cstheme="majorBidi"/>
          <w:sz w:val="20"/>
          <w:szCs w:val="20"/>
          <w:lang w:bidi="fa-IR"/>
        </w:rPr>
        <w:t xml:space="preserve"> Trend of Physical Development of </w:t>
      </w:r>
      <w:proofErr w:type="spellStart"/>
      <w:r w:rsidRPr="008C1DB1">
        <w:rPr>
          <w:rFonts w:asciiTheme="majorBidi" w:hAnsiTheme="majorBidi" w:cstheme="majorBidi"/>
          <w:sz w:val="20"/>
          <w:szCs w:val="20"/>
          <w:lang w:bidi="fa-IR"/>
        </w:rPr>
        <w:t>Sarvabad</w:t>
      </w:r>
      <w:proofErr w:type="spellEnd"/>
      <w:r w:rsidRPr="008C1DB1">
        <w:rPr>
          <w:rFonts w:asciiTheme="majorBidi" w:hAnsiTheme="majorBidi" w:cstheme="majorBidi"/>
          <w:sz w:val="20"/>
          <w:szCs w:val="20"/>
          <w:lang w:bidi="fa-IR"/>
        </w:rPr>
        <w:t xml:space="preserve"> City over the Years 1992, 2002, 2012, and 2022.</w:t>
      </w:r>
    </w:p>
    <w:p w14:paraId="67C74C79" w14:textId="77777777" w:rsidR="00DE4D41" w:rsidRPr="008C1DB1" w:rsidRDefault="00DE4D41" w:rsidP="00DE4D41">
      <w:pPr>
        <w:bidi w:val="0"/>
        <w:spacing w:after="0" w:line="240" w:lineRule="auto"/>
        <w:jc w:val="center"/>
        <w:rPr>
          <w:rFonts w:asciiTheme="majorBidi" w:hAnsiTheme="majorBidi" w:cstheme="majorBidi"/>
          <w:sz w:val="20"/>
          <w:szCs w:val="20"/>
          <w:lang w:bidi="fa-IR"/>
        </w:rPr>
      </w:pPr>
    </w:p>
    <w:p w14:paraId="6FA83CA2" w14:textId="3B25505C" w:rsidR="00DE3929" w:rsidRPr="008C1DB1" w:rsidRDefault="00DE3929" w:rsidP="008C1DB1">
      <w:pPr>
        <w:bidi w:val="0"/>
        <w:spacing w:after="0" w:line="240" w:lineRule="auto"/>
        <w:jc w:val="center"/>
        <w:rPr>
          <w:rFonts w:asciiTheme="majorBidi" w:hAnsiTheme="majorBidi" w:cstheme="majorBidi"/>
          <w:b/>
          <w:bCs/>
          <w:sz w:val="20"/>
          <w:szCs w:val="20"/>
          <w:lang w:bidi="fa-IR"/>
        </w:rPr>
      </w:pPr>
      <w:r w:rsidRPr="008C1DB1">
        <w:rPr>
          <w:noProof/>
          <w:color w:val="000000" w:themeColor="text1"/>
          <w:sz w:val="20"/>
          <w:szCs w:val="20"/>
          <w:rtl/>
        </w:rPr>
        <w:drawing>
          <wp:inline distT="0" distB="0" distL="0" distR="0" wp14:anchorId="2188B776" wp14:editId="47A6EDF4">
            <wp:extent cx="5404485" cy="1310740"/>
            <wp:effectExtent l="0" t="0" r="0" b="0"/>
            <wp:docPr id="18" name="Picture 18" descr="G:\GIS\hamid\lcm_kordestan\gis\khroji\saghez\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GIS\hamid\lcm_kordestan\gis\khroji\saghez\1990.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5404485" cy="1310740"/>
                    </a:xfrm>
                    <a:prstGeom prst="rect">
                      <a:avLst/>
                    </a:prstGeom>
                    <a:noFill/>
                    <a:ln>
                      <a:noFill/>
                    </a:ln>
                  </pic:spPr>
                </pic:pic>
              </a:graphicData>
            </a:graphic>
          </wp:inline>
        </w:drawing>
      </w:r>
    </w:p>
    <w:p w14:paraId="330CAA4F" w14:textId="666123F0" w:rsidR="00DE3929" w:rsidRDefault="00DE392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9.</w:t>
      </w:r>
      <w:r w:rsidRPr="008C1DB1">
        <w:rPr>
          <w:rFonts w:asciiTheme="majorBidi" w:hAnsiTheme="majorBidi" w:cstheme="majorBidi"/>
          <w:sz w:val="20"/>
          <w:szCs w:val="20"/>
          <w:lang w:bidi="fa-IR"/>
        </w:rPr>
        <w:t xml:space="preserve"> Trend of Physical Development of </w:t>
      </w:r>
      <w:proofErr w:type="spellStart"/>
      <w:r w:rsidR="00E72925" w:rsidRPr="008C1DB1">
        <w:rPr>
          <w:rFonts w:asciiTheme="majorBidi" w:hAnsiTheme="majorBidi" w:cstheme="majorBidi"/>
          <w:sz w:val="20"/>
          <w:szCs w:val="20"/>
          <w:lang w:bidi="fa-IR"/>
        </w:rPr>
        <w:t>Saghez</w:t>
      </w:r>
      <w:proofErr w:type="spellEnd"/>
      <w:r w:rsidRPr="008C1DB1">
        <w:rPr>
          <w:rFonts w:asciiTheme="majorBidi" w:hAnsiTheme="majorBidi" w:cstheme="majorBidi"/>
          <w:sz w:val="20"/>
          <w:szCs w:val="20"/>
          <w:lang w:bidi="fa-IR"/>
        </w:rPr>
        <w:t xml:space="preserve"> City over the Years 1992, 2002, 2012, and 2022</w:t>
      </w:r>
      <w:r w:rsidR="00DE4D41">
        <w:rPr>
          <w:rFonts w:asciiTheme="majorBidi" w:hAnsiTheme="majorBidi" w:cstheme="majorBidi"/>
          <w:sz w:val="20"/>
          <w:szCs w:val="20"/>
          <w:lang w:bidi="fa-IR"/>
        </w:rPr>
        <w:t>.</w:t>
      </w:r>
    </w:p>
    <w:p w14:paraId="37AC8C4C" w14:textId="77777777" w:rsidR="00DE4D41" w:rsidRPr="008C1DB1" w:rsidRDefault="00DE4D41" w:rsidP="00DE4D41">
      <w:pPr>
        <w:bidi w:val="0"/>
        <w:spacing w:after="0" w:line="240" w:lineRule="auto"/>
        <w:jc w:val="center"/>
        <w:rPr>
          <w:rFonts w:asciiTheme="majorBidi" w:hAnsiTheme="majorBidi" w:cstheme="majorBidi"/>
          <w:sz w:val="20"/>
          <w:szCs w:val="20"/>
          <w:lang w:bidi="fa-IR"/>
        </w:rPr>
      </w:pPr>
    </w:p>
    <w:p w14:paraId="3C65ACE3" w14:textId="6D547E8B" w:rsidR="00DE3929" w:rsidRPr="008C1DB1" w:rsidRDefault="00DE3929" w:rsidP="008C1DB1">
      <w:pPr>
        <w:bidi w:val="0"/>
        <w:spacing w:after="0" w:line="240" w:lineRule="auto"/>
        <w:jc w:val="center"/>
        <w:rPr>
          <w:rFonts w:asciiTheme="majorBidi" w:hAnsiTheme="majorBidi" w:cstheme="majorBidi"/>
          <w:sz w:val="20"/>
          <w:szCs w:val="20"/>
          <w:lang w:bidi="fa-IR"/>
        </w:rPr>
      </w:pPr>
      <w:r w:rsidRPr="008C1DB1">
        <w:rPr>
          <w:noProof/>
          <w:color w:val="000000" w:themeColor="text1"/>
          <w:sz w:val="20"/>
          <w:szCs w:val="20"/>
          <w:rtl/>
        </w:rPr>
        <w:lastRenderedPageBreak/>
        <w:drawing>
          <wp:inline distT="0" distB="0" distL="0" distR="0" wp14:anchorId="5D877D06" wp14:editId="51D7EBCC">
            <wp:extent cx="5181600" cy="1879864"/>
            <wp:effectExtent l="0" t="0" r="0" b="6350"/>
            <wp:docPr id="29" name="Picture 29" descr="G:\GIS\hamid\lcm_kordestan\gis\khroji\sanandaj\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GIS\hamid\lcm_kordestan\gis\khroji\sanandaj\1990.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185721" cy="1881359"/>
                    </a:xfrm>
                    <a:prstGeom prst="rect">
                      <a:avLst/>
                    </a:prstGeom>
                    <a:noFill/>
                    <a:ln>
                      <a:noFill/>
                    </a:ln>
                  </pic:spPr>
                </pic:pic>
              </a:graphicData>
            </a:graphic>
          </wp:inline>
        </w:drawing>
      </w:r>
    </w:p>
    <w:p w14:paraId="108DB52C" w14:textId="64580140" w:rsidR="00DE3929" w:rsidRDefault="00DE392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10.</w:t>
      </w:r>
      <w:r w:rsidRPr="008C1DB1">
        <w:rPr>
          <w:rFonts w:asciiTheme="majorBidi" w:hAnsiTheme="majorBidi" w:cstheme="majorBidi"/>
          <w:sz w:val="20"/>
          <w:szCs w:val="20"/>
          <w:lang w:bidi="fa-IR"/>
        </w:rPr>
        <w:t xml:space="preserve"> Trend of Physical Development of Sanandaj City over the Years 1992, 2002, 2012, and 2022.</w:t>
      </w:r>
    </w:p>
    <w:p w14:paraId="718F1ED7" w14:textId="77777777" w:rsidR="00DE4D41" w:rsidRPr="008C1DB1" w:rsidRDefault="00DE4D41" w:rsidP="00DE4D41">
      <w:pPr>
        <w:bidi w:val="0"/>
        <w:spacing w:after="0" w:line="240" w:lineRule="auto"/>
        <w:jc w:val="center"/>
        <w:rPr>
          <w:rFonts w:asciiTheme="majorBidi" w:hAnsiTheme="majorBidi" w:cstheme="majorBidi"/>
          <w:sz w:val="20"/>
          <w:szCs w:val="20"/>
          <w:lang w:bidi="fa-IR"/>
        </w:rPr>
      </w:pPr>
    </w:p>
    <w:p w14:paraId="5F3BB4A3" w14:textId="40A143C1" w:rsidR="00DE3929" w:rsidRPr="008C1DB1" w:rsidRDefault="00DE3929" w:rsidP="008C1DB1">
      <w:pPr>
        <w:bidi w:val="0"/>
        <w:spacing w:after="0" w:line="240" w:lineRule="auto"/>
        <w:jc w:val="center"/>
        <w:rPr>
          <w:rFonts w:asciiTheme="majorBidi" w:hAnsiTheme="majorBidi" w:cstheme="majorBidi"/>
          <w:sz w:val="20"/>
          <w:szCs w:val="20"/>
          <w:lang w:bidi="fa-IR"/>
        </w:rPr>
      </w:pPr>
      <w:r w:rsidRPr="008C1DB1">
        <w:rPr>
          <w:noProof/>
          <w:color w:val="000000" w:themeColor="text1"/>
          <w:sz w:val="20"/>
          <w:szCs w:val="20"/>
          <w:rtl/>
        </w:rPr>
        <w:drawing>
          <wp:inline distT="0" distB="0" distL="0" distR="0" wp14:anchorId="05B11863" wp14:editId="76013633">
            <wp:extent cx="5404485" cy="1134739"/>
            <wp:effectExtent l="0" t="0" r="0" b="0"/>
            <wp:docPr id="30" name="Picture 30" descr="G:\GIS\hamid\lcm_kordestan\gis\khroji\Qorve\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GIS\hamid\lcm_kordestan\gis\khroji\Qorve\1990.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5404485" cy="1134739"/>
                    </a:xfrm>
                    <a:prstGeom prst="rect">
                      <a:avLst/>
                    </a:prstGeom>
                    <a:noFill/>
                    <a:ln>
                      <a:noFill/>
                    </a:ln>
                  </pic:spPr>
                </pic:pic>
              </a:graphicData>
            </a:graphic>
          </wp:inline>
        </w:drawing>
      </w:r>
    </w:p>
    <w:p w14:paraId="308D1F93" w14:textId="4B846020" w:rsidR="00DE3929" w:rsidRDefault="00DE392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11.</w:t>
      </w:r>
      <w:r w:rsidRPr="008C1DB1">
        <w:rPr>
          <w:rFonts w:asciiTheme="majorBidi" w:hAnsiTheme="majorBidi" w:cstheme="majorBidi"/>
          <w:sz w:val="20"/>
          <w:szCs w:val="20"/>
          <w:lang w:bidi="fa-IR"/>
        </w:rPr>
        <w:t xml:space="preserve"> Trend of Physical Development of </w:t>
      </w:r>
      <w:proofErr w:type="spellStart"/>
      <w:r w:rsidRPr="008C1DB1">
        <w:rPr>
          <w:rFonts w:asciiTheme="majorBidi" w:hAnsiTheme="majorBidi" w:cstheme="majorBidi"/>
          <w:sz w:val="20"/>
          <w:szCs w:val="20"/>
          <w:lang w:bidi="fa-IR"/>
        </w:rPr>
        <w:t>Qorveh</w:t>
      </w:r>
      <w:proofErr w:type="spellEnd"/>
      <w:r w:rsidRPr="008C1DB1">
        <w:rPr>
          <w:rFonts w:asciiTheme="majorBidi" w:hAnsiTheme="majorBidi" w:cstheme="majorBidi"/>
          <w:sz w:val="20"/>
          <w:szCs w:val="20"/>
          <w:lang w:bidi="fa-IR"/>
        </w:rPr>
        <w:t xml:space="preserve"> City over the Years 1992, 2002, 2012, and 2022.</w:t>
      </w:r>
    </w:p>
    <w:p w14:paraId="637DC0E8" w14:textId="77777777" w:rsidR="00DE4D41" w:rsidRPr="008C1DB1" w:rsidRDefault="00DE4D41" w:rsidP="00DE4D41">
      <w:pPr>
        <w:bidi w:val="0"/>
        <w:spacing w:after="0" w:line="240" w:lineRule="auto"/>
        <w:rPr>
          <w:rFonts w:asciiTheme="majorBidi" w:hAnsiTheme="majorBidi" w:cstheme="majorBidi"/>
          <w:sz w:val="20"/>
          <w:szCs w:val="20"/>
          <w:lang w:bidi="fa-IR"/>
        </w:rPr>
      </w:pPr>
    </w:p>
    <w:p w14:paraId="6AD961E3" w14:textId="2EBFBE3D" w:rsidR="00DE3929" w:rsidRPr="008C1DB1" w:rsidRDefault="00DE3929" w:rsidP="008C1DB1">
      <w:pPr>
        <w:bidi w:val="0"/>
        <w:spacing w:after="0" w:line="240" w:lineRule="auto"/>
        <w:jc w:val="center"/>
        <w:rPr>
          <w:rFonts w:asciiTheme="majorBidi" w:hAnsiTheme="majorBidi" w:cstheme="majorBidi"/>
          <w:sz w:val="20"/>
          <w:szCs w:val="20"/>
          <w:lang w:bidi="fa-IR"/>
        </w:rPr>
      </w:pPr>
      <w:r w:rsidRPr="008C1DB1">
        <w:rPr>
          <w:noProof/>
          <w:color w:val="000000" w:themeColor="text1"/>
          <w:sz w:val="20"/>
          <w:szCs w:val="20"/>
          <w:rtl/>
        </w:rPr>
        <w:drawing>
          <wp:inline distT="0" distB="0" distL="0" distR="0" wp14:anchorId="0CF1EAAD" wp14:editId="37C4B163">
            <wp:extent cx="5404485" cy="1351824"/>
            <wp:effectExtent l="0" t="0" r="0" b="0"/>
            <wp:docPr id="31" name="Picture 31" descr="G:\GIS\hamid\lcm_kordestan\gis\khroji\kamyaran\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GIS\hamid\lcm_kordestan\gis\khroji\kamyaran\1990.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5404485" cy="1351824"/>
                    </a:xfrm>
                    <a:prstGeom prst="rect">
                      <a:avLst/>
                    </a:prstGeom>
                    <a:noFill/>
                    <a:ln>
                      <a:noFill/>
                    </a:ln>
                  </pic:spPr>
                </pic:pic>
              </a:graphicData>
            </a:graphic>
          </wp:inline>
        </w:drawing>
      </w:r>
    </w:p>
    <w:p w14:paraId="28BE3FF6" w14:textId="6CC7BDFC" w:rsidR="00DE3929" w:rsidRDefault="00DE392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12.</w:t>
      </w:r>
      <w:r w:rsidRPr="008C1DB1">
        <w:rPr>
          <w:rFonts w:asciiTheme="majorBidi" w:hAnsiTheme="majorBidi" w:cstheme="majorBidi"/>
          <w:sz w:val="20"/>
          <w:szCs w:val="20"/>
          <w:lang w:bidi="fa-IR"/>
        </w:rPr>
        <w:t xml:space="preserve"> Trend of Physical Development of </w:t>
      </w:r>
      <w:proofErr w:type="spellStart"/>
      <w:r w:rsidRPr="008C1DB1">
        <w:rPr>
          <w:rFonts w:asciiTheme="majorBidi" w:hAnsiTheme="majorBidi" w:cstheme="majorBidi"/>
          <w:sz w:val="20"/>
          <w:szCs w:val="20"/>
          <w:lang w:bidi="fa-IR"/>
        </w:rPr>
        <w:t>Kamyaran</w:t>
      </w:r>
      <w:proofErr w:type="spellEnd"/>
      <w:r w:rsidRPr="008C1DB1">
        <w:rPr>
          <w:rFonts w:asciiTheme="majorBidi" w:hAnsiTheme="majorBidi" w:cstheme="majorBidi"/>
          <w:sz w:val="20"/>
          <w:szCs w:val="20"/>
          <w:lang w:bidi="fa-IR"/>
        </w:rPr>
        <w:t xml:space="preserve"> City over the Years 1992, 2002, 2012, and 2022.</w:t>
      </w:r>
    </w:p>
    <w:p w14:paraId="64943771" w14:textId="77777777" w:rsidR="00DE4D41" w:rsidRPr="008C1DB1" w:rsidRDefault="00DE4D41" w:rsidP="00DE4D41">
      <w:pPr>
        <w:bidi w:val="0"/>
        <w:spacing w:after="0" w:line="240" w:lineRule="auto"/>
        <w:jc w:val="center"/>
        <w:rPr>
          <w:rFonts w:asciiTheme="majorBidi" w:hAnsiTheme="majorBidi" w:cstheme="majorBidi"/>
          <w:sz w:val="20"/>
          <w:szCs w:val="20"/>
          <w:lang w:bidi="fa-IR"/>
        </w:rPr>
      </w:pPr>
    </w:p>
    <w:p w14:paraId="01B5710A" w14:textId="3C5E239F" w:rsidR="00DE3929" w:rsidRPr="008C1DB1" w:rsidRDefault="00DE3929" w:rsidP="008C1DB1">
      <w:pPr>
        <w:bidi w:val="0"/>
        <w:spacing w:after="0" w:line="240" w:lineRule="auto"/>
        <w:jc w:val="center"/>
        <w:rPr>
          <w:rFonts w:asciiTheme="majorBidi" w:hAnsiTheme="majorBidi" w:cstheme="majorBidi"/>
          <w:sz w:val="20"/>
          <w:szCs w:val="20"/>
          <w:lang w:bidi="fa-IR"/>
        </w:rPr>
      </w:pPr>
      <w:r w:rsidRPr="008C1DB1">
        <w:rPr>
          <w:noProof/>
          <w:color w:val="000000" w:themeColor="text1"/>
          <w:sz w:val="20"/>
          <w:szCs w:val="20"/>
          <w:rtl/>
        </w:rPr>
        <w:drawing>
          <wp:inline distT="0" distB="0" distL="0" distR="0" wp14:anchorId="02896F05" wp14:editId="6D74C7A3">
            <wp:extent cx="5404485" cy="1009885"/>
            <wp:effectExtent l="0" t="0" r="0" b="0"/>
            <wp:docPr id="32" name="Picture 32" descr="G:\GIS\hamid\lcm_kordestan\gis\khroji\marivan\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GIS\hamid\lcm_kordestan\gis\khroji\marivan\199.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5404485" cy="1009885"/>
                    </a:xfrm>
                    <a:prstGeom prst="rect">
                      <a:avLst/>
                    </a:prstGeom>
                    <a:noFill/>
                    <a:ln>
                      <a:noFill/>
                    </a:ln>
                  </pic:spPr>
                </pic:pic>
              </a:graphicData>
            </a:graphic>
          </wp:inline>
        </w:drawing>
      </w:r>
    </w:p>
    <w:p w14:paraId="1A4D0382" w14:textId="288ACBF7" w:rsidR="00DE3929" w:rsidRPr="008C1DB1" w:rsidRDefault="00DE392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13.</w:t>
      </w:r>
      <w:r w:rsidRPr="008C1DB1">
        <w:rPr>
          <w:rFonts w:asciiTheme="majorBidi" w:hAnsiTheme="majorBidi" w:cstheme="majorBidi"/>
          <w:sz w:val="20"/>
          <w:szCs w:val="20"/>
          <w:lang w:bidi="fa-IR"/>
        </w:rPr>
        <w:t xml:space="preserve"> Trend of Physical Development of Marivan City over the Years 1992, 2002, 2012, and 2022.</w:t>
      </w:r>
    </w:p>
    <w:p w14:paraId="62D180F4" w14:textId="77777777" w:rsidR="00DE3929" w:rsidRPr="008C1DB1" w:rsidRDefault="00DE3929" w:rsidP="008C1DB1">
      <w:pPr>
        <w:bidi w:val="0"/>
        <w:spacing w:after="0" w:line="240" w:lineRule="auto"/>
        <w:jc w:val="center"/>
        <w:rPr>
          <w:rFonts w:asciiTheme="majorBidi" w:hAnsiTheme="majorBidi" w:cstheme="majorBidi"/>
          <w:sz w:val="20"/>
          <w:szCs w:val="20"/>
          <w:lang w:bidi="fa-IR"/>
        </w:rPr>
      </w:pPr>
    </w:p>
    <w:p w14:paraId="4326968D" w14:textId="0EE36ABF" w:rsidR="00576DF8" w:rsidRPr="00636421" w:rsidRDefault="000E793F" w:rsidP="008C1DB1">
      <w:pPr>
        <w:bidi w:val="0"/>
        <w:spacing w:after="0" w:line="240" w:lineRule="auto"/>
        <w:rPr>
          <w:rFonts w:asciiTheme="majorBidi" w:hAnsiTheme="majorBidi" w:cstheme="majorBidi"/>
          <w:lang w:bidi="fa-IR"/>
        </w:rPr>
      </w:pPr>
      <w:r w:rsidRPr="00636421">
        <w:rPr>
          <w:rFonts w:asciiTheme="majorBidi" w:hAnsiTheme="majorBidi" w:cstheme="majorBidi"/>
          <w:b/>
          <w:bCs/>
          <w:lang w:bidi="fa-IR"/>
        </w:rPr>
        <w:t>4.3. Evaluation of Physical Changes in the Cities of Kurdistan Province</w:t>
      </w:r>
    </w:p>
    <w:p w14:paraId="23BAAF4C" w14:textId="48F3DD84" w:rsidR="000E793F" w:rsidRPr="00636421" w:rsidRDefault="000E793F"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The assessment of the physical development trends in the cities of Kurdistan Province indicates that, in terms of the extent of physical development, Sanandaj, as the provincial capital, has experienced the most significant growth with an area of 12.35 </w:t>
      </w:r>
      <w:r w:rsidR="00D47212" w:rsidRPr="00636421">
        <w:rPr>
          <w:rFonts w:asciiTheme="majorBidi" w:hAnsiTheme="majorBidi" w:cstheme="majorBidi"/>
          <w:lang w:bidi="fa-IR"/>
        </w:rPr>
        <w:t>km</w:t>
      </w:r>
      <w:r w:rsidR="00D47212" w:rsidRPr="00636421">
        <w:rPr>
          <w:rFonts w:asciiTheme="majorBidi" w:hAnsiTheme="majorBidi" w:cstheme="majorBidi"/>
          <w:vertAlign w:val="superscript"/>
          <w:lang w:bidi="fa-IR"/>
        </w:rPr>
        <w:t>2</w:t>
      </w:r>
      <w:r w:rsidRPr="00636421">
        <w:rPr>
          <w:rFonts w:asciiTheme="majorBidi" w:hAnsiTheme="majorBidi" w:cstheme="majorBidi"/>
          <w:lang w:bidi="fa-IR"/>
        </w:rPr>
        <w:t xml:space="preserve"> over the 30-year period. Additionally, the cities of </w:t>
      </w:r>
      <w:proofErr w:type="spellStart"/>
      <w:r w:rsidRPr="00636421">
        <w:rPr>
          <w:rFonts w:asciiTheme="majorBidi" w:hAnsiTheme="majorBidi" w:cstheme="majorBidi"/>
          <w:lang w:bidi="fa-IR"/>
        </w:rPr>
        <w:t>Baneh</w:t>
      </w:r>
      <w:proofErr w:type="spellEnd"/>
      <w:r w:rsidRPr="00636421">
        <w:rPr>
          <w:rFonts w:asciiTheme="majorBidi" w:hAnsiTheme="majorBidi" w:cstheme="majorBidi"/>
          <w:lang w:bidi="fa-IR"/>
        </w:rPr>
        <w:t xml:space="preserve"> and </w:t>
      </w:r>
      <w:proofErr w:type="spellStart"/>
      <w:r w:rsidR="00E72925" w:rsidRPr="00636421">
        <w:rPr>
          <w:rFonts w:asciiTheme="majorBidi" w:hAnsiTheme="majorBidi" w:cstheme="majorBidi"/>
          <w:lang w:bidi="fa-IR"/>
        </w:rPr>
        <w:t>Saghez</w:t>
      </w:r>
      <w:proofErr w:type="spellEnd"/>
      <w:r w:rsidRPr="00636421">
        <w:rPr>
          <w:rFonts w:asciiTheme="majorBidi" w:hAnsiTheme="majorBidi" w:cstheme="majorBidi"/>
          <w:lang w:bidi="fa-IR"/>
        </w:rPr>
        <w:t xml:space="preserve"> with 8.58 and 5.94 </w:t>
      </w:r>
      <w:r w:rsidR="00D47212" w:rsidRPr="00636421">
        <w:rPr>
          <w:rFonts w:asciiTheme="majorBidi" w:hAnsiTheme="majorBidi" w:cstheme="majorBidi"/>
          <w:lang w:bidi="fa-IR"/>
        </w:rPr>
        <w:t>km</w:t>
      </w:r>
      <w:r w:rsidR="00D47212" w:rsidRPr="00636421">
        <w:rPr>
          <w:rFonts w:asciiTheme="majorBidi" w:hAnsiTheme="majorBidi" w:cstheme="majorBidi"/>
          <w:vertAlign w:val="superscript"/>
          <w:lang w:bidi="fa-IR"/>
        </w:rPr>
        <w:t>2</w:t>
      </w:r>
      <w:r w:rsidRPr="00636421">
        <w:rPr>
          <w:rFonts w:asciiTheme="majorBidi" w:hAnsiTheme="majorBidi" w:cstheme="majorBidi"/>
          <w:lang w:bidi="fa-IR"/>
        </w:rPr>
        <w:t>, respectively</w:t>
      </w:r>
      <w:r w:rsidR="0072633E" w:rsidRPr="00636421">
        <w:rPr>
          <w:rFonts w:asciiTheme="majorBidi" w:hAnsiTheme="majorBidi" w:cstheme="majorBidi"/>
          <w:lang w:bidi="fa-IR"/>
        </w:rPr>
        <w:t>, are ranked next</w:t>
      </w:r>
      <w:r w:rsidRPr="00636421">
        <w:rPr>
          <w:rFonts w:asciiTheme="majorBidi" w:hAnsiTheme="majorBidi" w:cstheme="majorBidi"/>
          <w:lang w:bidi="fa-IR"/>
        </w:rPr>
        <w:t xml:space="preserve">. However, in terms of relative physical development (development relative to the city area), </w:t>
      </w:r>
      <w:proofErr w:type="spellStart"/>
      <w:r w:rsidRPr="00636421">
        <w:rPr>
          <w:rFonts w:asciiTheme="majorBidi" w:hAnsiTheme="majorBidi" w:cstheme="majorBidi"/>
          <w:lang w:bidi="fa-IR"/>
        </w:rPr>
        <w:t>Sarvabad</w:t>
      </w:r>
      <w:proofErr w:type="spellEnd"/>
      <w:r w:rsidRPr="00636421">
        <w:rPr>
          <w:rFonts w:asciiTheme="majorBidi" w:hAnsiTheme="majorBidi" w:cstheme="majorBidi"/>
          <w:lang w:bidi="fa-IR"/>
        </w:rPr>
        <w:t xml:space="preserve"> has shown the highest </w:t>
      </w:r>
      <w:r w:rsidR="0072633E" w:rsidRPr="00636421">
        <w:rPr>
          <w:rFonts w:asciiTheme="majorBidi" w:hAnsiTheme="majorBidi" w:cstheme="majorBidi"/>
          <w:lang w:bidi="fa-IR"/>
        </w:rPr>
        <w:t>rate</w:t>
      </w:r>
      <w:r w:rsidRPr="00636421">
        <w:rPr>
          <w:rFonts w:asciiTheme="majorBidi" w:hAnsiTheme="majorBidi" w:cstheme="majorBidi"/>
          <w:lang w:bidi="fa-IR"/>
        </w:rPr>
        <w:t xml:space="preserve"> over the 30-year period, with an increase of approximately 2.3 times its area. Furthermore, the cities of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and </w:t>
      </w:r>
      <w:proofErr w:type="spellStart"/>
      <w:r w:rsidRPr="00636421">
        <w:rPr>
          <w:rFonts w:asciiTheme="majorBidi" w:hAnsiTheme="majorBidi" w:cstheme="majorBidi"/>
          <w:lang w:bidi="fa-IR"/>
        </w:rPr>
        <w:t>Dehgolan</w:t>
      </w:r>
      <w:proofErr w:type="spellEnd"/>
      <w:r w:rsidRPr="00636421">
        <w:rPr>
          <w:rFonts w:asciiTheme="majorBidi" w:hAnsiTheme="majorBidi" w:cstheme="majorBidi"/>
          <w:lang w:bidi="fa-IR"/>
        </w:rPr>
        <w:t xml:space="preserve"> have also exhibited significant relative physical development, with increases of 2.8 and 2.5 times, respectively.</w:t>
      </w:r>
    </w:p>
    <w:p w14:paraId="4BE3AAFC" w14:textId="6C68AC38" w:rsidR="000E793F" w:rsidRPr="00636421" w:rsidRDefault="000E793F"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The assessment of the trends and directions of physical development in the cities of Kurdistan Province indicates that their level of development is directly influenced by the geomorphological factors prevailing in the areas. Table 3 and Fig</w:t>
      </w:r>
      <w:r w:rsidR="0072633E" w:rsidRPr="00636421">
        <w:rPr>
          <w:rFonts w:asciiTheme="majorBidi" w:hAnsiTheme="majorBidi" w:cstheme="majorBidi"/>
          <w:lang w:bidi="fa-IR"/>
        </w:rPr>
        <w:t>.</w:t>
      </w:r>
      <w:r w:rsidRPr="00636421">
        <w:rPr>
          <w:rFonts w:asciiTheme="majorBidi" w:hAnsiTheme="majorBidi" w:cstheme="majorBidi"/>
          <w:lang w:bidi="fa-IR"/>
        </w:rPr>
        <w:t xml:space="preserve"> 14 illustrate the status of </w:t>
      </w:r>
      <w:r w:rsidRPr="00636421">
        <w:rPr>
          <w:rFonts w:asciiTheme="majorBidi" w:hAnsiTheme="majorBidi" w:cstheme="majorBidi"/>
          <w:lang w:bidi="fa-IR"/>
        </w:rPr>
        <w:lastRenderedPageBreak/>
        <w:t>physical and relative development of the cities in the province (from 1992 to 2022), as well as the geomorphological constraints for each city.</w:t>
      </w:r>
    </w:p>
    <w:p w14:paraId="78235E1C" w14:textId="02A9FE21" w:rsidR="000E793F" w:rsidRPr="00636421" w:rsidRDefault="000E793F"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According to the table</w:t>
      </w:r>
      <w:r w:rsidR="0072633E" w:rsidRPr="00636421">
        <w:rPr>
          <w:rFonts w:asciiTheme="majorBidi" w:hAnsiTheme="majorBidi" w:cstheme="majorBidi"/>
          <w:lang w:bidi="fa-IR"/>
        </w:rPr>
        <w:t xml:space="preserve"> 3</w:t>
      </w:r>
      <w:r w:rsidRPr="00636421">
        <w:rPr>
          <w:rFonts w:asciiTheme="majorBidi" w:hAnsiTheme="majorBidi" w:cstheme="majorBidi"/>
          <w:lang w:bidi="fa-IR"/>
        </w:rPr>
        <w:t xml:space="preserve">, the most significant geomorphological constraints for the physical development of the cities of </w:t>
      </w:r>
      <w:proofErr w:type="spellStart"/>
      <w:r w:rsidRPr="00636421">
        <w:rPr>
          <w:rFonts w:asciiTheme="majorBidi" w:hAnsiTheme="majorBidi" w:cstheme="majorBidi"/>
          <w:lang w:bidi="fa-IR"/>
        </w:rPr>
        <w:t>Baneh</w:t>
      </w:r>
      <w:proofErr w:type="spellEnd"/>
      <w:r w:rsidRPr="00636421">
        <w:rPr>
          <w:rFonts w:asciiTheme="majorBidi" w:hAnsiTheme="majorBidi" w:cstheme="majorBidi"/>
          <w:lang w:bidi="fa-IR"/>
        </w:rPr>
        <w:t xml:space="preserve">, </w:t>
      </w:r>
      <w:proofErr w:type="spellStart"/>
      <w:r w:rsidRPr="00636421">
        <w:rPr>
          <w:rFonts w:asciiTheme="majorBidi" w:hAnsiTheme="majorBidi" w:cstheme="majorBidi"/>
          <w:lang w:bidi="fa-IR"/>
        </w:rPr>
        <w:t>Bijar</w:t>
      </w:r>
      <w:proofErr w:type="spellEnd"/>
      <w:r w:rsidRPr="00636421">
        <w:rPr>
          <w:rFonts w:asciiTheme="majorBidi" w:hAnsiTheme="majorBidi" w:cstheme="majorBidi"/>
          <w:lang w:bidi="fa-IR"/>
        </w:rPr>
        <w:t xml:space="preserve">,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and </w:t>
      </w:r>
      <w:proofErr w:type="spellStart"/>
      <w:r w:rsidRPr="00636421">
        <w:rPr>
          <w:rFonts w:asciiTheme="majorBidi" w:hAnsiTheme="majorBidi" w:cstheme="majorBidi"/>
          <w:lang w:bidi="fa-IR"/>
        </w:rPr>
        <w:t>Kamyaran</w:t>
      </w:r>
      <w:proofErr w:type="spellEnd"/>
      <w:r w:rsidRPr="00636421">
        <w:rPr>
          <w:rFonts w:asciiTheme="majorBidi" w:hAnsiTheme="majorBidi" w:cstheme="majorBidi"/>
          <w:lang w:bidi="fa-IR"/>
        </w:rPr>
        <w:t xml:space="preserve"> are the mountainous unit and river terrace. For the cities of </w:t>
      </w:r>
      <w:proofErr w:type="spellStart"/>
      <w:r w:rsidRPr="00636421">
        <w:rPr>
          <w:rFonts w:asciiTheme="majorBidi" w:hAnsiTheme="majorBidi" w:cstheme="majorBidi"/>
          <w:lang w:bidi="fa-IR"/>
        </w:rPr>
        <w:t>Sanandaj</w:t>
      </w:r>
      <w:proofErr w:type="spellEnd"/>
      <w:r w:rsidRPr="00636421">
        <w:rPr>
          <w:rFonts w:asciiTheme="majorBidi" w:hAnsiTheme="majorBidi" w:cstheme="majorBidi"/>
          <w:lang w:bidi="fa-IR"/>
        </w:rPr>
        <w:t xml:space="preserve"> and </w:t>
      </w:r>
      <w:proofErr w:type="spellStart"/>
      <w:r w:rsidR="00E72925" w:rsidRPr="00636421">
        <w:rPr>
          <w:rFonts w:asciiTheme="majorBidi" w:hAnsiTheme="majorBidi" w:cstheme="majorBidi"/>
          <w:lang w:bidi="fa-IR"/>
        </w:rPr>
        <w:t>Saghez</w:t>
      </w:r>
      <w:proofErr w:type="spellEnd"/>
      <w:r w:rsidRPr="00636421">
        <w:rPr>
          <w:rFonts w:asciiTheme="majorBidi" w:hAnsiTheme="majorBidi" w:cstheme="majorBidi"/>
          <w:lang w:bidi="fa-IR"/>
        </w:rPr>
        <w:t xml:space="preserve">, the mountainous and hilly unit, terrace, and floodplain are considered as limiting geomorphological barriers. In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the hilly unit and terrace </w:t>
      </w:r>
      <w:r w:rsidR="0072633E" w:rsidRPr="00636421">
        <w:rPr>
          <w:rFonts w:asciiTheme="majorBidi" w:hAnsiTheme="majorBidi" w:cstheme="majorBidi"/>
          <w:lang w:bidi="fa-IR"/>
        </w:rPr>
        <w:t>act</w:t>
      </w:r>
      <w:r w:rsidRPr="00636421">
        <w:rPr>
          <w:rFonts w:asciiTheme="majorBidi" w:hAnsiTheme="majorBidi" w:cstheme="majorBidi"/>
          <w:lang w:bidi="fa-IR"/>
        </w:rPr>
        <w:t xml:space="preserve"> as important barriers to physical development. For </w:t>
      </w:r>
      <w:proofErr w:type="spellStart"/>
      <w:r w:rsidRPr="00636421">
        <w:rPr>
          <w:rFonts w:asciiTheme="majorBidi" w:hAnsiTheme="majorBidi" w:cstheme="majorBidi"/>
          <w:lang w:bidi="fa-IR"/>
        </w:rPr>
        <w:t>Dehgolan</w:t>
      </w:r>
      <w:proofErr w:type="spellEnd"/>
      <w:r w:rsidRPr="00636421">
        <w:rPr>
          <w:rFonts w:asciiTheme="majorBidi" w:hAnsiTheme="majorBidi" w:cstheme="majorBidi"/>
          <w:lang w:bidi="fa-IR"/>
        </w:rPr>
        <w:t xml:space="preserve">, the terrace and floodplain to the west of the city are significant barriers to physical development. In </w:t>
      </w:r>
      <w:proofErr w:type="spellStart"/>
      <w:r w:rsidRPr="00636421">
        <w:rPr>
          <w:rFonts w:asciiTheme="majorBidi" w:hAnsiTheme="majorBidi" w:cstheme="majorBidi"/>
          <w:lang w:bidi="fa-IR"/>
        </w:rPr>
        <w:t>Sarvabad</w:t>
      </w:r>
      <w:proofErr w:type="spellEnd"/>
      <w:r w:rsidRPr="00636421">
        <w:rPr>
          <w:rFonts w:asciiTheme="majorBidi" w:hAnsiTheme="majorBidi" w:cstheme="majorBidi"/>
          <w:lang w:bidi="fa-IR"/>
        </w:rPr>
        <w:t xml:space="preserve">, the mountainous unit, terrace, and valley are considered limiting geomorphological factors, while in Marivan, the mountainous unit, terrace, and lake are </w:t>
      </w:r>
      <w:r w:rsidR="0072633E" w:rsidRPr="00636421">
        <w:rPr>
          <w:rFonts w:asciiTheme="majorBidi" w:hAnsiTheme="majorBidi" w:cstheme="majorBidi"/>
          <w:lang w:bidi="fa-IR"/>
        </w:rPr>
        <w:t>considered</w:t>
      </w:r>
      <w:r w:rsidRPr="00636421">
        <w:rPr>
          <w:rFonts w:asciiTheme="majorBidi" w:hAnsiTheme="majorBidi" w:cstheme="majorBidi"/>
          <w:lang w:bidi="fa-IR"/>
        </w:rPr>
        <w:t xml:space="preserve"> as constraints.</w:t>
      </w:r>
    </w:p>
    <w:p w14:paraId="6A5E6F47" w14:textId="77777777" w:rsidR="00DE4D41" w:rsidRPr="008C1DB1" w:rsidRDefault="00DE4D41" w:rsidP="00DE4D41">
      <w:pPr>
        <w:bidi w:val="0"/>
        <w:spacing w:after="0" w:line="240" w:lineRule="auto"/>
        <w:jc w:val="both"/>
        <w:rPr>
          <w:rFonts w:asciiTheme="majorBidi" w:hAnsiTheme="majorBidi" w:cstheme="majorBidi"/>
          <w:sz w:val="20"/>
          <w:szCs w:val="20"/>
          <w:lang w:bidi="fa-IR"/>
        </w:rPr>
      </w:pPr>
    </w:p>
    <w:p w14:paraId="340ACCC5" w14:textId="59035932" w:rsidR="0072633E" w:rsidRPr="008C1DB1" w:rsidRDefault="001A0464" w:rsidP="008C1DB1">
      <w:pPr>
        <w:bidi w:val="0"/>
        <w:spacing w:after="0" w:line="240" w:lineRule="auto"/>
        <w:jc w:val="both"/>
        <w:rPr>
          <w:rFonts w:asciiTheme="majorBidi" w:hAnsiTheme="majorBidi" w:cstheme="majorBidi"/>
          <w:sz w:val="20"/>
          <w:szCs w:val="20"/>
          <w:lang w:bidi="fa-IR"/>
        </w:rPr>
      </w:pPr>
      <w:r w:rsidRPr="008C1DB1">
        <w:rPr>
          <w:rFonts w:asciiTheme="majorBidi" w:hAnsiTheme="majorBidi" w:cstheme="majorBidi"/>
          <w:b/>
          <w:bCs/>
          <w:sz w:val="20"/>
          <w:szCs w:val="20"/>
          <w:lang w:bidi="fa-IR"/>
        </w:rPr>
        <w:t xml:space="preserve">Table 3. </w:t>
      </w:r>
      <w:r w:rsidRPr="008C1DB1">
        <w:rPr>
          <w:rFonts w:asciiTheme="majorBidi" w:hAnsiTheme="majorBidi" w:cstheme="majorBidi"/>
          <w:sz w:val="20"/>
          <w:szCs w:val="20"/>
          <w:lang w:bidi="fa-IR"/>
        </w:rPr>
        <w:t>Status of Physical and Relative Development of the Cities in the Province and Limiting Geomorphological Constraints</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4274"/>
        <w:gridCol w:w="1294"/>
        <w:gridCol w:w="2111"/>
        <w:gridCol w:w="1149"/>
      </w:tblGrid>
      <w:tr w:rsidR="001A0464" w:rsidRPr="008C1DB1" w14:paraId="7B8508ED" w14:textId="77777777" w:rsidTr="005F2950">
        <w:trPr>
          <w:trHeight w:val="359"/>
          <w:jc w:val="center"/>
        </w:trPr>
        <w:tc>
          <w:tcPr>
            <w:tcW w:w="4274" w:type="dxa"/>
            <w:tcBorders>
              <w:bottom w:val="single" w:sz="4" w:space="0" w:color="auto"/>
            </w:tcBorders>
            <w:vAlign w:val="center"/>
          </w:tcPr>
          <w:p w14:paraId="0B02D2D1" w14:textId="77861B01" w:rsidR="001A0464" w:rsidRPr="005F2950"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color w:val="000000" w:themeColor="text1"/>
                <w:sz w:val="20"/>
                <w:szCs w:val="20"/>
                <w:lang w:bidi="fa-IR"/>
              </w:rPr>
              <w:t>Limiting Geomorphological Constraints</w:t>
            </w:r>
          </w:p>
        </w:tc>
        <w:tc>
          <w:tcPr>
            <w:tcW w:w="1275" w:type="dxa"/>
            <w:tcBorders>
              <w:bottom w:val="single" w:sz="4" w:space="0" w:color="auto"/>
            </w:tcBorders>
            <w:vAlign w:val="center"/>
          </w:tcPr>
          <w:p w14:paraId="065E6429" w14:textId="7C5E386C" w:rsidR="001A0464" w:rsidRPr="005F2950"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color w:val="000000" w:themeColor="text1"/>
                <w:sz w:val="20"/>
                <w:szCs w:val="20"/>
                <w:lang w:bidi="fa-IR"/>
              </w:rPr>
              <w:t>Relative Development</w:t>
            </w:r>
          </w:p>
        </w:tc>
        <w:tc>
          <w:tcPr>
            <w:tcW w:w="2111" w:type="dxa"/>
            <w:tcBorders>
              <w:bottom w:val="single" w:sz="4" w:space="0" w:color="auto"/>
            </w:tcBorders>
            <w:vAlign w:val="center"/>
          </w:tcPr>
          <w:p w14:paraId="6E353044" w14:textId="09F95FBB" w:rsidR="001A0464" w:rsidRPr="005F2950"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color w:val="000000" w:themeColor="text1"/>
                <w:sz w:val="20"/>
                <w:szCs w:val="20"/>
                <w:lang w:bidi="fa-IR"/>
              </w:rPr>
              <w:t>Physical Development (Km</w:t>
            </w:r>
            <w:r w:rsidRPr="005F2950">
              <w:rPr>
                <w:rFonts w:asciiTheme="majorBidi" w:hAnsiTheme="majorBidi" w:cstheme="majorBidi"/>
                <w:color w:val="000000" w:themeColor="text1"/>
                <w:sz w:val="20"/>
                <w:szCs w:val="20"/>
                <w:vertAlign w:val="superscript"/>
                <w:lang w:bidi="fa-IR"/>
              </w:rPr>
              <w:t>2</w:t>
            </w:r>
            <w:r w:rsidRPr="005F2950">
              <w:rPr>
                <w:rFonts w:asciiTheme="majorBidi" w:hAnsiTheme="majorBidi" w:cstheme="majorBidi"/>
                <w:color w:val="000000" w:themeColor="text1"/>
                <w:sz w:val="20"/>
                <w:szCs w:val="20"/>
                <w:lang w:bidi="fa-IR"/>
              </w:rPr>
              <w:t>)</w:t>
            </w:r>
          </w:p>
        </w:tc>
        <w:tc>
          <w:tcPr>
            <w:tcW w:w="1149" w:type="dxa"/>
            <w:tcBorders>
              <w:bottom w:val="single" w:sz="4" w:space="0" w:color="auto"/>
            </w:tcBorders>
            <w:vAlign w:val="center"/>
          </w:tcPr>
          <w:p w14:paraId="09898376" w14:textId="71502E47" w:rsidR="001A0464" w:rsidRPr="005F2950"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color w:val="000000" w:themeColor="text1"/>
                <w:sz w:val="20"/>
                <w:szCs w:val="20"/>
                <w:lang w:bidi="fa-IR"/>
              </w:rPr>
              <w:t>City</w:t>
            </w:r>
          </w:p>
        </w:tc>
      </w:tr>
      <w:tr w:rsidR="001A0464" w:rsidRPr="008C1DB1" w14:paraId="0A12687F" w14:textId="77777777" w:rsidTr="005B48B7">
        <w:trPr>
          <w:trHeight w:val="449"/>
          <w:jc w:val="center"/>
        </w:trPr>
        <w:tc>
          <w:tcPr>
            <w:tcW w:w="4274" w:type="dxa"/>
            <w:tcBorders>
              <w:top w:val="single" w:sz="4" w:space="0" w:color="auto"/>
            </w:tcBorders>
            <w:vAlign w:val="center"/>
          </w:tcPr>
          <w:p w14:paraId="39B45BBE" w14:textId="556BC602"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Mountainous unit and river terrace</w:t>
            </w:r>
          </w:p>
        </w:tc>
        <w:tc>
          <w:tcPr>
            <w:tcW w:w="1275" w:type="dxa"/>
            <w:tcBorders>
              <w:top w:val="single" w:sz="4" w:space="0" w:color="auto"/>
            </w:tcBorders>
            <w:vAlign w:val="center"/>
          </w:tcPr>
          <w:p w14:paraId="57305460" w14:textId="2AFFA1A9"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3.2</w:t>
            </w:r>
          </w:p>
        </w:tc>
        <w:tc>
          <w:tcPr>
            <w:tcW w:w="2111" w:type="dxa"/>
            <w:tcBorders>
              <w:top w:val="single" w:sz="4" w:space="0" w:color="auto"/>
            </w:tcBorders>
            <w:vAlign w:val="center"/>
          </w:tcPr>
          <w:p w14:paraId="7421C43C" w14:textId="28542DE9"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8.58</w:t>
            </w:r>
          </w:p>
        </w:tc>
        <w:tc>
          <w:tcPr>
            <w:tcW w:w="1149" w:type="dxa"/>
            <w:tcBorders>
              <w:top w:val="single" w:sz="4" w:space="0" w:color="auto"/>
            </w:tcBorders>
            <w:vAlign w:val="center"/>
          </w:tcPr>
          <w:p w14:paraId="4E721813" w14:textId="6B0D0707"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Baneh</w:t>
            </w:r>
          </w:p>
        </w:tc>
      </w:tr>
      <w:tr w:rsidR="001A0464" w:rsidRPr="008C1DB1" w14:paraId="743AE1BF" w14:textId="77777777" w:rsidTr="005B48B7">
        <w:trPr>
          <w:trHeight w:val="431"/>
          <w:jc w:val="center"/>
        </w:trPr>
        <w:tc>
          <w:tcPr>
            <w:tcW w:w="4274" w:type="dxa"/>
            <w:vAlign w:val="center"/>
          </w:tcPr>
          <w:p w14:paraId="7F3F9092" w14:textId="2298274D"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Mountainous unit and river terrace</w:t>
            </w:r>
          </w:p>
        </w:tc>
        <w:tc>
          <w:tcPr>
            <w:tcW w:w="1275" w:type="dxa"/>
            <w:vAlign w:val="center"/>
          </w:tcPr>
          <w:p w14:paraId="449A3955" w14:textId="2BE990AF"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1.6</w:t>
            </w:r>
          </w:p>
        </w:tc>
        <w:tc>
          <w:tcPr>
            <w:tcW w:w="2111" w:type="dxa"/>
            <w:vAlign w:val="center"/>
          </w:tcPr>
          <w:p w14:paraId="6B965B4D" w14:textId="407200A3"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2.29</w:t>
            </w:r>
          </w:p>
        </w:tc>
        <w:tc>
          <w:tcPr>
            <w:tcW w:w="1149" w:type="dxa"/>
            <w:vAlign w:val="center"/>
          </w:tcPr>
          <w:p w14:paraId="0239889F" w14:textId="6DD3762D"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Bijar</w:t>
            </w:r>
          </w:p>
        </w:tc>
      </w:tr>
      <w:tr w:rsidR="001A0464" w:rsidRPr="008C1DB1" w14:paraId="67FBAFC5" w14:textId="77777777" w:rsidTr="005B48B7">
        <w:trPr>
          <w:trHeight w:val="494"/>
          <w:jc w:val="center"/>
        </w:trPr>
        <w:tc>
          <w:tcPr>
            <w:tcW w:w="4274" w:type="dxa"/>
            <w:vAlign w:val="center"/>
          </w:tcPr>
          <w:p w14:paraId="11F3601E" w14:textId="42287004"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River terrace and floodplain</w:t>
            </w:r>
          </w:p>
        </w:tc>
        <w:tc>
          <w:tcPr>
            <w:tcW w:w="1275" w:type="dxa"/>
            <w:vAlign w:val="center"/>
          </w:tcPr>
          <w:p w14:paraId="40BB0F87" w14:textId="3A605D92"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2.5</w:t>
            </w:r>
          </w:p>
        </w:tc>
        <w:tc>
          <w:tcPr>
            <w:tcW w:w="2111" w:type="dxa"/>
            <w:vAlign w:val="center"/>
          </w:tcPr>
          <w:p w14:paraId="634F8376" w14:textId="708F4182"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1.5</w:t>
            </w:r>
          </w:p>
        </w:tc>
        <w:tc>
          <w:tcPr>
            <w:tcW w:w="1149" w:type="dxa"/>
            <w:vAlign w:val="center"/>
          </w:tcPr>
          <w:p w14:paraId="7C732266" w14:textId="64698612"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proofErr w:type="spellStart"/>
            <w:r w:rsidRPr="008C1DB1">
              <w:rPr>
                <w:rFonts w:asciiTheme="majorBidi" w:hAnsiTheme="majorBidi" w:cstheme="majorBidi"/>
                <w:sz w:val="20"/>
                <w:szCs w:val="20"/>
              </w:rPr>
              <w:t>Dehgolan</w:t>
            </w:r>
            <w:proofErr w:type="spellEnd"/>
          </w:p>
        </w:tc>
      </w:tr>
      <w:tr w:rsidR="001A0464" w:rsidRPr="008C1DB1" w14:paraId="6E09E538" w14:textId="77777777" w:rsidTr="005B48B7">
        <w:trPr>
          <w:trHeight w:val="413"/>
          <w:jc w:val="center"/>
        </w:trPr>
        <w:tc>
          <w:tcPr>
            <w:tcW w:w="4274" w:type="dxa"/>
            <w:vAlign w:val="center"/>
          </w:tcPr>
          <w:p w14:paraId="3D92F734" w14:textId="245E2864"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Hilly unit and river terrace</w:t>
            </w:r>
          </w:p>
        </w:tc>
        <w:tc>
          <w:tcPr>
            <w:tcW w:w="1275" w:type="dxa"/>
            <w:vAlign w:val="center"/>
          </w:tcPr>
          <w:p w14:paraId="4A22492D" w14:textId="1DF27545"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2.8</w:t>
            </w:r>
          </w:p>
        </w:tc>
        <w:tc>
          <w:tcPr>
            <w:tcW w:w="2111" w:type="dxa"/>
            <w:vAlign w:val="center"/>
          </w:tcPr>
          <w:p w14:paraId="205E2189" w14:textId="42D0FF54"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2.03</w:t>
            </w:r>
          </w:p>
        </w:tc>
        <w:tc>
          <w:tcPr>
            <w:tcW w:w="1149" w:type="dxa"/>
            <w:vAlign w:val="center"/>
          </w:tcPr>
          <w:p w14:paraId="5639449B" w14:textId="3F4945C4"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proofErr w:type="spellStart"/>
            <w:r w:rsidRPr="008C1DB1">
              <w:rPr>
                <w:rFonts w:asciiTheme="majorBidi" w:hAnsiTheme="majorBidi" w:cstheme="majorBidi"/>
                <w:sz w:val="20"/>
                <w:szCs w:val="20"/>
              </w:rPr>
              <w:t>Divandareh</w:t>
            </w:r>
            <w:proofErr w:type="spellEnd"/>
          </w:p>
        </w:tc>
      </w:tr>
      <w:tr w:rsidR="001A0464" w:rsidRPr="008C1DB1" w14:paraId="5CD0304A" w14:textId="77777777" w:rsidTr="005B48B7">
        <w:trPr>
          <w:trHeight w:val="431"/>
          <w:jc w:val="center"/>
        </w:trPr>
        <w:tc>
          <w:tcPr>
            <w:tcW w:w="4274" w:type="dxa"/>
            <w:vAlign w:val="center"/>
          </w:tcPr>
          <w:p w14:paraId="0CAB794D" w14:textId="4B403D20"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Mountainous unit, river terrace, and valley</w:t>
            </w:r>
          </w:p>
        </w:tc>
        <w:tc>
          <w:tcPr>
            <w:tcW w:w="1275" w:type="dxa"/>
            <w:vAlign w:val="center"/>
          </w:tcPr>
          <w:p w14:paraId="29593E70" w14:textId="798999A0"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2.3</w:t>
            </w:r>
          </w:p>
        </w:tc>
        <w:tc>
          <w:tcPr>
            <w:tcW w:w="2111" w:type="dxa"/>
            <w:vAlign w:val="center"/>
          </w:tcPr>
          <w:p w14:paraId="5FBD22C1" w14:textId="66E010F4"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0.32</w:t>
            </w:r>
          </w:p>
        </w:tc>
        <w:tc>
          <w:tcPr>
            <w:tcW w:w="1149" w:type="dxa"/>
            <w:vAlign w:val="center"/>
          </w:tcPr>
          <w:p w14:paraId="75EB3EAC" w14:textId="79065940"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proofErr w:type="spellStart"/>
            <w:r w:rsidRPr="008C1DB1">
              <w:rPr>
                <w:rFonts w:asciiTheme="majorBidi" w:hAnsiTheme="majorBidi" w:cstheme="majorBidi"/>
                <w:sz w:val="20"/>
                <w:szCs w:val="20"/>
              </w:rPr>
              <w:t>Sarvabad</w:t>
            </w:r>
            <w:proofErr w:type="spellEnd"/>
          </w:p>
        </w:tc>
      </w:tr>
      <w:tr w:rsidR="001A0464" w:rsidRPr="008C1DB1" w14:paraId="62BF2666" w14:textId="77777777" w:rsidTr="005B48B7">
        <w:trPr>
          <w:trHeight w:val="413"/>
          <w:jc w:val="center"/>
        </w:trPr>
        <w:tc>
          <w:tcPr>
            <w:tcW w:w="4274" w:type="dxa"/>
            <w:vAlign w:val="center"/>
          </w:tcPr>
          <w:p w14:paraId="39D95EA0" w14:textId="7A75C253"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Mountainous and hilly unit, river terrace, and floodplain</w:t>
            </w:r>
          </w:p>
        </w:tc>
        <w:tc>
          <w:tcPr>
            <w:tcW w:w="1275" w:type="dxa"/>
            <w:vAlign w:val="center"/>
          </w:tcPr>
          <w:p w14:paraId="630FEE80" w14:textId="2ED78CDB"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2.0</w:t>
            </w:r>
          </w:p>
        </w:tc>
        <w:tc>
          <w:tcPr>
            <w:tcW w:w="2111" w:type="dxa"/>
            <w:vAlign w:val="center"/>
          </w:tcPr>
          <w:p w14:paraId="753D7E30" w14:textId="3CF75FDF"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5.94</w:t>
            </w:r>
          </w:p>
        </w:tc>
        <w:tc>
          <w:tcPr>
            <w:tcW w:w="1149" w:type="dxa"/>
            <w:vAlign w:val="center"/>
          </w:tcPr>
          <w:p w14:paraId="531EE189" w14:textId="28858B99" w:rsidR="001A0464" w:rsidRPr="008C1DB1" w:rsidRDefault="00E72925" w:rsidP="008C1DB1">
            <w:pPr>
              <w:bidi w:val="0"/>
              <w:spacing w:after="0" w:line="240" w:lineRule="auto"/>
              <w:jc w:val="center"/>
              <w:rPr>
                <w:rFonts w:asciiTheme="majorBidi" w:hAnsiTheme="majorBidi" w:cstheme="majorBidi"/>
                <w:color w:val="000000" w:themeColor="text1"/>
                <w:sz w:val="20"/>
                <w:szCs w:val="20"/>
                <w:rtl/>
                <w:lang w:bidi="fa-IR"/>
              </w:rPr>
            </w:pPr>
            <w:proofErr w:type="spellStart"/>
            <w:r w:rsidRPr="008C1DB1">
              <w:rPr>
                <w:rFonts w:asciiTheme="majorBidi" w:hAnsiTheme="majorBidi" w:cstheme="majorBidi"/>
                <w:sz w:val="20"/>
                <w:szCs w:val="20"/>
              </w:rPr>
              <w:t>Saghez</w:t>
            </w:r>
            <w:proofErr w:type="spellEnd"/>
          </w:p>
        </w:tc>
      </w:tr>
      <w:tr w:rsidR="001A0464" w:rsidRPr="008C1DB1" w14:paraId="765909C5" w14:textId="77777777" w:rsidTr="005B48B7">
        <w:trPr>
          <w:trHeight w:val="413"/>
          <w:jc w:val="center"/>
        </w:trPr>
        <w:tc>
          <w:tcPr>
            <w:tcW w:w="4274" w:type="dxa"/>
            <w:vAlign w:val="center"/>
          </w:tcPr>
          <w:p w14:paraId="5A310AE4" w14:textId="12ACD1DB"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Mountainous and hilly unit, river terrace, and floodplain</w:t>
            </w:r>
          </w:p>
        </w:tc>
        <w:tc>
          <w:tcPr>
            <w:tcW w:w="1275" w:type="dxa"/>
            <w:vAlign w:val="center"/>
          </w:tcPr>
          <w:p w14:paraId="267BC5FD" w14:textId="1E437F9C"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1.8</w:t>
            </w:r>
          </w:p>
        </w:tc>
        <w:tc>
          <w:tcPr>
            <w:tcW w:w="2111" w:type="dxa"/>
            <w:vAlign w:val="center"/>
          </w:tcPr>
          <w:p w14:paraId="756749BB" w14:textId="7925B1D2"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12.35</w:t>
            </w:r>
          </w:p>
        </w:tc>
        <w:tc>
          <w:tcPr>
            <w:tcW w:w="1149" w:type="dxa"/>
            <w:vAlign w:val="center"/>
          </w:tcPr>
          <w:p w14:paraId="16848E70" w14:textId="6779C663"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Sanandaj</w:t>
            </w:r>
          </w:p>
        </w:tc>
      </w:tr>
      <w:tr w:rsidR="001A0464" w:rsidRPr="008C1DB1" w14:paraId="338FF8C6" w14:textId="77777777" w:rsidTr="005B48B7">
        <w:trPr>
          <w:trHeight w:val="431"/>
          <w:jc w:val="center"/>
        </w:trPr>
        <w:tc>
          <w:tcPr>
            <w:tcW w:w="4274" w:type="dxa"/>
            <w:vAlign w:val="center"/>
          </w:tcPr>
          <w:p w14:paraId="50D8B56A" w14:textId="0AFB8106"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Mountainous unit and river terrace</w:t>
            </w:r>
          </w:p>
        </w:tc>
        <w:tc>
          <w:tcPr>
            <w:tcW w:w="1275" w:type="dxa"/>
            <w:vAlign w:val="center"/>
          </w:tcPr>
          <w:p w14:paraId="24B47E3F" w14:textId="1E83332E"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2.2</w:t>
            </w:r>
          </w:p>
        </w:tc>
        <w:tc>
          <w:tcPr>
            <w:tcW w:w="2111" w:type="dxa"/>
            <w:vAlign w:val="center"/>
          </w:tcPr>
          <w:p w14:paraId="3B5C0F74" w14:textId="3623ADE4"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4.02</w:t>
            </w:r>
          </w:p>
        </w:tc>
        <w:tc>
          <w:tcPr>
            <w:tcW w:w="1149" w:type="dxa"/>
            <w:vAlign w:val="center"/>
          </w:tcPr>
          <w:p w14:paraId="55C9A371" w14:textId="45BCBED9"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proofErr w:type="spellStart"/>
            <w:r w:rsidRPr="008C1DB1">
              <w:rPr>
                <w:rFonts w:asciiTheme="majorBidi" w:hAnsiTheme="majorBidi" w:cstheme="majorBidi"/>
                <w:sz w:val="20"/>
                <w:szCs w:val="20"/>
              </w:rPr>
              <w:t>Qorveh</w:t>
            </w:r>
            <w:proofErr w:type="spellEnd"/>
          </w:p>
        </w:tc>
      </w:tr>
      <w:tr w:rsidR="001A0464" w:rsidRPr="008C1DB1" w14:paraId="4C9C76F8" w14:textId="77777777" w:rsidTr="005B48B7">
        <w:trPr>
          <w:trHeight w:val="70"/>
          <w:jc w:val="center"/>
        </w:trPr>
        <w:tc>
          <w:tcPr>
            <w:tcW w:w="4274" w:type="dxa"/>
            <w:vAlign w:val="center"/>
          </w:tcPr>
          <w:p w14:paraId="35478BC9" w14:textId="6D917B13"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Mountainous unit and river terrace</w:t>
            </w:r>
          </w:p>
        </w:tc>
        <w:tc>
          <w:tcPr>
            <w:tcW w:w="1275" w:type="dxa"/>
            <w:vAlign w:val="center"/>
          </w:tcPr>
          <w:p w14:paraId="14CA7F48" w14:textId="2A4F2555"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2.0</w:t>
            </w:r>
          </w:p>
        </w:tc>
        <w:tc>
          <w:tcPr>
            <w:tcW w:w="2111" w:type="dxa"/>
            <w:vAlign w:val="center"/>
          </w:tcPr>
          <w:p w14:paraId="378197CB" w14:textId="11D2CD30"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1.46</w:t>
            </w:r>
          </w:p>
        </w:tc>
        <w:tc>
          <w:tcPr>
            <w:tcW w:w="1149" w:type="dxa"/>
            <w:vAlign w:val="center"/>
          </w:tcPr>
          <w:p w14:paraId="01A907CA" w14:textId="74F26079"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proofErr w:type="spellStart"/>
            <w:r w:rsidRPr="008C1DB1">
              <w:rPr>
                <w:rFonts w:asciiTheme="majorBidi" w:hAnsiTheme="majorBidi" w:cstheme="majorBidi"/>
                <w:sz w:val="20"/>
                <w:szCs w:val="20"/>
              </w:rPr>
              <w:t>Kamyaran</w:t>
            </w:r>
            <w:proofErr w:type="spellEnd"/>
          </w:p>
        </w:tc>
      </w:tr>
      <w:tr w:rsidR="001A0464" w:rsidRPr="008C1DB1" w14:paraId="0A8692CC" w14:textId="77777777" w:rsidTr="005B48B7">
        <w:trPr>
          <w:trHeight w:val="431"/>
          <w:jc w:val="center"/>
        </w:trPr>
        <w:tc>
          <w:tcPr>
            <w:tcW w:w="4274" w:type="dxa"/>
            <w:vAlign w:val="center"/>
          </w:tcPr>
          <w:p w14:paraId="298CF6D7" w14:textId="012B7514"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Mountainous unit, river terrace, and lake</w:t>
            </w:r>
          </w:p>
        </w:tc>
        <w:tc>
          <w:tcPr>
            <w:tcW w:w="1275" w:type="dxa"/>
            <w:vAlign w:val="center"/>
          </w:tcPr>
          <w:p w14:paraId="1FE666E1" w14:textId="3957FB81"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2.3</w:t>
            </w:r>
          </w:p>
        </w:tc>
        <w:tc>
          <w:tcPr>
            <w:tcW w:w="2111" w:type="dxa"/>
            <w:vAlign w:val="center"/>
          </w:tcPr>
          <w:p w14:paraId="6505983B" w14:textId="5F16573E"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color w:val="000000"/>
                <w:sz w:val="20"/>
                <w:szCs w:val="20"/>
              </w:rPr>
              <w:t>5.19</w:t>
            </w:r>
          </w:p>
        </w:tc>
        <w:tc>
          <w:tcPr>
            <w:tcW w:w="1149" w:type="dxa"/>
            <w:vAlign w:val="center"/>
          </w:tcPr>
          <w:p w14:paraId="22AE0F1D" w14:textId="116BF367" w:rsidR="001A0464" w:rsidRPr="008C1DB1" w:rsidRDefault="001A0464"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Marivan</w:t>
            </w:r>
          </w:p>
        </w:tc>
      </w:tr>
    </w:tbl>
    <w:p w14:paraId="3005DFC2" w14:textId="77777777" w:rsidR="001A0464" w:rsidRPr="008C1DB1" w:rsidRDefault="001A0464" w:rsidP="008C1DB1">
      <w:pPr>
        <w:bidi w:val="0"/>
        <w:spacing w:after="0" w:line="240" w:lineRule="auto"/>
        <w:jc w:val="both"/>
        <w:rPr>
          <w:rFonts w:asciiTheme="majorBidi" w:hAnsiTheme="majorBidi" w:cstheme="majorBidi"/>
          <w:sz w:val="20"/>
          <w:szCs w:val="20"/>
          <w:lang w:bidi="fa-IR"/>
        </w:rPr>
      </w:pPr>
    </w:p>
    <w:p w14:paraId="19FD31BE" w14:textId="216A0FAE" w:rsidR="001A0464" w:rsidRPr="008C1DB1" w:rsidRDefault="001A0464" w:rsidP="008C1DB1">
      <w:pPr>
        <w:bidi w:val="0"/>
        <w:spacing w:after="0" w:line="240" w:lineRule="auto"/>
        <w:jc w:val="both"/>
        <w:rPr>
          <w:rFonts w:asciiTheme="majorBidi" w:hAnsiTheme="majorBidi" w:cstheme="majorBidi"/>
          <w:sz w:val="20"/>
          <w:szCs w:val="20"/>
          <w:lang w:bidi="fa-IR"/>
        </w:rPr>
      </w:pPr>
      <w:r w:rsidRPr="008C1DB1">
        <w:rPr>
          <w:noProof/>
          <w:color w:val="000000" w:themeColor="text1"/>
          <w:sz w:val="20"/>
          <w:szCs w:val="20"/>
        </w:rPr>
        <w:drawing>
          <wp:inline distT="0" distB="0" distL="0" distR="0" wp14:anchorId="7CE84EE3" wp14:editId="77276202">
            <wp:extent cx="5448300" cy="2792701"/>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5451442" cy="2794311"/>
                    </a:xfrm>
                    <a:prstGeom prst="rect">
                      <a:avLst/>
                    </a:prstGeom>
                    <a:noFill/>
                  </pic:spPr>
                </pic:pic>
              </a:graphicData>
            </a:graphic>
          </wp:inline>
        </w:drawing>
      </w:r>
    </w:p>
    <w:p w14:paraId="78353AD9" w14:textId="04A7AD73" w:rsidR="001A0464" w:rsidRPr="008C1DB1" w:rsidRDefault="001A0464" w:rsidP="008C1DB1">
      <w:pPr>
        <w:bidi w:val="0"/>
        <w:spacing w:after="0" w:line="240" w:lineRule="auto"/>
        <w:jc w:val="both"/>
        <w:rPr>
          <w:rFonts w:asciiTheme="majorBidi" w:hAnsiTheme="majorBidi" w:cstheme="majorBidi"/>
          <w:sz w:val="20"/>
          <w:szCs w:val="20"/>
          <w:lang w:bidi="fa-IR"/>
        </w:rPr>
      </w:pPr>
      <w:r w:rsidRPr="008C1DB1">
        <w:rPr>
          <w:rFonts w:asciiTheme="majorBidi" w:hAnsiTheme="majorBidi" w:cstheme="majorBidi"/>
          <w:b/>
          <w:bCs/>
          <w:sz w:val="20"/>
          <w:szCs w:val="20"/>
          <w:lang w:bidi="fa-IR"/>
        </w:rPr>
        <w:t>Fig. 14.</w:t>
      </w:r>
      <w:r w:rsidRPr="008C1DB1">
        <w:rPr>
          <w:rFonts w:asciiTheme="majorBidi" w:hAnsiTheme="majorBidi" w:cstheme="majorBidi"/>
          <w:sz w:val="20"/>
          <w:szCs w:val="20"/>
          <w:lang w:bidi="fa-IR"/>
        </w:rPr>
        <w:t xml:space="preserve"> Status of Physical (Km</w:t>
      </w:r>
      <w:r w:rsidRPr="008C1DB1">
        <w:rPr>
          <w:rFonts w:asciiTheme="majorBidi" w:hAnsiTheme="majorBidi" w:cstheme="majorBidi"/>
          <w:sz w:val="20"/>
          <w:szCs w:val="20"/>
          <w:vertAlign w:val="superscript"/>
          <w:lang w:bidi="fa-IR"/>
        </w:rPr>
        <w:t>2</w:t>
      </w:r>
      <w:r w:rsidRPr="008C1DB1">
        <w:rPr>
          <w:rFonts w:asciiTheme="majorBidi" w:hAnsiTheme="majorBidi" w:cstheme="majorBidi"/>
          <w:sz w:val="20"/>
          <w:szCs w:val="20"/>
          <w:lang w:bidi="fa-IR"/>
        </w:rPr>
        <w:t>) and Relative Development of the Cities in the Province from 1992 to 2022</w:t>
      </w:r>
    </w:p>
    <w:p w14:paraId="5E7FD4A8" w14:textId="77777777" w:rsidR="00DB4544" w:rsidRPr="008C1DB1" w:rsidRDefault="00DB4544" w:rsidP="008C1DB1">
      <w:pPr>
        <w:bidi w:val="0"/>
        <w:spacing w:after="0" w:line="240" w:lineRule="auto"/>
        <w:jc w:val="both"/>
        <w:rPr>
          <w:rFonts w:asciiTheme="majorBidi" w:hAnsiTheme="majorBidi" w:cstheme="majorBidi"/>
          <w:sz w:val="20"/>
          <w:szCs w:val="20"/>
          <w:lang w:bidi="fa-IR"/>
        </w:rPr>
      </w:pPr>
    </w:p>
    <w:p w14:paraId="776DCE42" w14:textId="784CCDEC" w:rsidR="00E40E81" w:rsidRPr="00636421" w:rsidRDefault="00E40E81" w:rsidP="008C1DB1">
      <w:pPr>
        <w:bidi w:val="0"/>
        <w:spacing w:after="0" w:line="240" w:lineRule="auto"/>
        <w:jc w:val="both"/>
        <w:rPr>
          <w:rFonts w:asciiTheme="majorBidi" w:hAnsiTheme="majorBidi" w:cstheme="majorBidi"/>
          <w:lang w:bidi="fa-IR"/>
        </w:rPr>
      </w:pPr>
      <w:r w:rsidRPr="00636421">
        <w:rPr>
          <w:rFonts w:asciiTheme="majorBidi" w:hAnsiTheme="majorBidi" w:cstheme="majorBidi"/>
          <w:b/>
          <w:bCs/>
          <w:lang w:bidi="fa-IR"/>
        </w:rPr>
        <w:t xml:space="preserve">4.4. </w:t>
      </w:r>
      <w:r w:rsidR="003066BC" w:rsidRPr="00636421">
        <w:rPr>
          <w:rFonts w:asciiTheme="majorBidi" w:hAnsiTheme="majorBidi" w:cstheme="majorBidi"/>
          <w:b/>
          <w:bCs/>
          <w:lang w:bidi="fa-IR"/>
        </w:rPr>
        <w:t xml:space="preserve">Evaluating </w:t>
      </w:r>
      <w:r w:rsidR="005E2AF0" w:rsidRPr="00636421">
        <w:rPr>
          <w:rFonts w:asciiTheme="majorBidi" w:hAnsiTheme="majorBidi" w:cstheme="majorBidi"/>
          <w:b/>
          <w:bCs/>
          <w:lang w:bidi="fa-IR"/>
        </w:rPr>
        <w:t>The Trend of Physical Development of Cities Towards Hazardous Areas</w:t>
      </w:r>
    </w:p>
    <w:p w14:paraId="7EC371E7" w14:textId="632809AD" w:rsidR="001A0464" w:rsidRPr="00636421" w:rsidRDefault="005E2AF0"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lastRenderedPageBreak/>
        <w:t xml:space="preserve">Urban hazards are influenced by the geomorphological position of the region. In fact, many cities are prone to hazards due to their geomorphological location. </w:t>
      </w:r>
      <w:r w:rsidR="005B48B7" w:rsidRPr="00636421">
        <w:rPr>
          <w:rFonts w:asciiTheme="majorBidi" w:hAnsiTheme="majorBidi" w:cstheme="majorBidi"/>
          <w:lang w:bidi="fa-IR"/>
        </w:rPr>
        <w:t>Meanwhile</w:t>
      </w:r>
      <w:r w:rsidRPr="00636421">
        <w:rPr>
          <w:rFonts w:asciiTheme="majorBidi" w:hAnsiTheme="majorBidi" w:cstheme="majorBidi"/>
          <w:lang w:bidi="fa-IR"/>
        </w:rPr>
        <w:t xml:space="preserve">, population growth and the trend of physical development of cities have </w:t>
      </w:r>
      <w:r w:rsidR="005B48B7" w:rsidRPr="00636421">
        <w:rPr>
          <w:rFonts w:asciiTheme="majorBidi" w:hAnsiTheme="majorBidi" w:cstheme="majorBidi"/>
          <w:lang w:bidi="fa-IR"/>
        </w:rPr>
        <w:t>caused</w:t>
      </w:r>
      <w:r w:rsidRPr="00636421">
        <w:rPr>
          <w:rFonts w:asciiTheme="majorBidi" w:hAnsiTheme="majorBidi" w:cstheme="majorBidi"/>
          <w:lang w:bidi="fa-IR"/>
        </w:rPr>
        <w:t xml:space="preserve"> many residential areas to move towards hazardous regions. The geomorphological position of the cities in Kurdistan Province has made many of these cities susceptible to hazards. In this study, to </w:t>
      </w:r>
      <w:proofErr w:type="spellStart"/>
      <w:r w:rsidR="005B48B7" w:rsidRPr="00636421">
        <w:rPr>
          <w:rFonts w:asciiTheme="majorBidi" w:hAnsiTheme="majorBidi" w:cstheme="majorBidi"/>
          <w:lang w:bidi="fa-IR"/>
        </w:rPr>
        <w:t>asses</w:t>
      </w:r>
      <w:proofErr w:type="spellEnd"/>
      <w:r w:rsidRPr="00636421">
        <w:rPr>
          <w:rFonts w:asciiTheme="majorBidi" w:hAnsiTheme="majorBidi" w:cstheme="majorBidi"/>
          <w:lang w:bidi="fa-IR"/>
        </w:rPr>
        <w:t xml:space="preserve"> the hazard susceptibility of the cities in Kurdistan Province, hazard-prone areas within the cities of the province have been identified based on parameters such as distance from rivers, distance from fault lines, slope, and slope direction (Table 4). The map of hazard-prone areas in the cities of Kurdistan Province has been i</w:t>
      </w:r>
      <w:r w:rsidR="005B48B7" w:rsidRPr="00636421">
        <w:rPr>
          <w:rFonts w:asciiTheme="majorBidi" w:hAnsiTheme="majorBidi" w:cstheme="majorBidi"/>
          <w:lang w:bidi="fa-IR"/>
        </w:rPr>
        <w:t>dentifi</w:t>
      </w:r>
      <w:r w:rsidRPr="00636421">
        <w:rPr>
          <w:rFonts w:asciiTheme="majorBidi" w:hAnsiTheme="majorBidi" w:cstheme="majorBidi"/>
          <w:lang w:bidi="fa-IR"/>
        </w:rPr>
        <w:t>ed (Fig</w:t>
      </w:r>
      <w:r w:rsidR="005B48B7" w:rsidRPr="00636421">
        <w:rPr>
          <w:rFonts w:asciiTheme="majorBidi" w:hAnsiTheme="majorBidi" w:cstheme="majorBidi"/>
          <w:lang w:bidi="fa-IR"/>
        </w:rPr>
        <w:t>.</w:t>
      </w:r>
      <w:r w:rsidRPr="00636421">
        <w:rPr>
          <w:rFonts w:asciiTheme="majorBidi" w:hAnsiTheme="majorBidi" w:cstheme="majorBidi"/>
          <w:lang w:bidi="fa-IR"/>
        </w:rPr>
        <w:t xml:space="preserve"> 15).</w:t>
      </w:r>
    </w:p>
    <w:p w14:paraId="23EB2F75" w14:textId="77777777" w:rsidR="005B48B7" w:rsidRPr="008C1DB1" w:rsidRDefault="005B48B7" w:rsidP="008C1DB1">
      <w:pPr>
        <w:bidi w:val="0"/>
        <w:spacing w:after="0" w:line="240" w:lineRule="auto"/>
        <w:jc w:val="both"/>
        <w:rPr>
          <w:rFonts w:asciiTheme="majorBidi" w:hAnsiTheme="majorBidi" w:cstheme="majorBidi"/>
          <w:sz w:val="20"/>
          <w:szCs w:val="20"/>
          <w:lang w:bidi="fa-IR"/>
        </w:rPr>
      </w:pPr>
    </w:p>
    <w:p w14:paraId="1D552CBD" w14:textId="522C3486" w:rsidR="005B48B7" w:rsidRPr="008C1DB1" w:rsidRDefault="005B48B7"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 xml:space="preserve">Table 4. </w:t>
      </w:r>
      <w:r w:rsidRPr="008C1DB1">
        <w:rPr>
          <w:rFonts w:asciiTheme="majorBidi" w:hAnsiTheme="majorBidi" w:cstheme="majorBidi"/>
          <w:sz w:val="20"/>
          <w:szCs w:val="20"/>
          <w:lang w:bidi="fa-IR"/>
        </w:rPr>
        <w:t>Prohibited Areas for Urban Development</w:t>
      </w:r>
    </w:p>
    <w:tbl>
      <w:tblPr>
        <w:bidiVisual/>
        <w:tblW w:w="0" w:type="auto"/>
        <w:jc w:val="center"/>
        <w:tblLook w:val="04A0" w:firstRow="1" w:lastRow="0" w:firstColumn="1" w:lastColumn="0" w:noHBand="0" w:noVBand="1"/>
      </w:tblPr>
      <w:tblGrid>
        <w:gridCol w:w="3621"/>
        <w:gridCol w:w="1563"/>
        <w:gridCol w:w="704"/>
      </w:tblGrid>
      <w:tr w:rsidR="005B48B7" w:rsidRPr="008C1DB1" w14:paraId="1B7D7CE4" w14:textId="77777777" w:rsidTr="005F2950">
        <w:trPr>
          <w:trHeight w:val="472"/>
          <w:jc w:val="center"/>
        </w:trPr>
        <w:tc>
          <w:tcPr>
            <w:tcW w:w="3621" w:type="dxa"/>
            <w:tcBorders>
              <w:top w:val="single" w:sz="4" w:space="0" w:color="auto"/>
              <w:bottom w:val="single" w:sz="4" w:space="0" w:color="auto"/>
            </w:tcBorders>
            <w:vAlign w:val="center"/>
          </w:tcPr>
          <w:p w14:paraId="232EAE7E" w14:textId="33A6648B" w:rsidR="005B48B7" w:rsidRPr="008C1DB1" w:rsidRDefault="005B48B7" w:rsidP="008C1DB1">
            <w:pPr>
              <w:bidi w:val="0"/>
              <w:spacing w:after="0" w:line="240" w:lineRule="auto"/>
              <w:jc w:val="center"/>
              <w:rPr>
                <w:rFonts w:asciiTheme="majorBidi" w:hAnsiTheme="majorBidi" w:cstheme="majorBidi"/>
                <w:b/>
                <w:bCs/>
                <w:color w:val="000000" w:themeColor="text1"/>
                <w:sz w:val="20"/>
                <w:szCs w:val="20"/>
                <w:rtl/>
                <w:lang w:bidi="fa-IR"/>
              </w:rPr>
            </w:pPr>
            <w:r w:rsidRPr="008C1DB1">
              <w:rPr>
                <w:rFonts w:asciiTheme="majorBidi" w:hAnsiTheme="majorBidi" w:cstheme="majorBidi"/>
                <w:b/>
                <w:bCs/>
                <w:sz w:val="20"/>
                <w:szCs w:val="20"/>
              </w:rPr>
              <w:t>Hazardous Areas</w:t>
            </w:r>
          </w:p>
        </w:tc>
        <w:tc>
          <w:tcPr>
            <w:tcW w:w="1563" w:type="dxa"/>
            <w:tcBorders>
              <w:top w:val="single" w:sz="4" w:space="0" w:color="auto"/>
              <w:bottom w:val="single" w:sz="4" w:space="0" w:color="auto"/>
            </w:tcBorders>
            <w:vAlign w:val="center"/>
          </w:tcPr>
          <w:p w14:paraId="50E8CAB9" w14:textId="2CE0F012" w:rsidR="005B48B7" w:rsidRPr="008C1DB1" w:rsidRDefault="005B48B7" w:rsidP="008C1DB1">
            <w:pPr>
              <w:bidi w:val="0"/>
              <w:spacing w:after="0" w:line="240" w:lineRule="auto"/>
              <w:jc w:val="center"/>
              <w:rPr>
                <w:rFonts w:asciiTheme="majorBidi" w:hAnsiTheme="majorBidi" w:cstheme="majorBidi"/>
                <w:b/>
                <w:bCs/>
                <w:color w:val="000000" w:themeColor="text1"/>
                <w:sz w:val="20"/>
                <w:szCs w:val="20"/>
                <w:rtl/>
                <w:lang w:bidi="fa-IR"/>
              </w:rPr>
            </w:pPr>
            <w:r w:rsidRPr="008C1DB1">
              <w:rPr>
                <w:rFonts w:asciiTheme="majorBidi" w:hAnsiTheme="majorBidi" w:cstheme="majorBidi"/>
                <w:b/>
                <w:bCs/>
                <w:sz w:val="20"/>
                <w:szCs w:val="20"/>
              </w:rPr>
              <w:t>Criterion</w:t>
            </w:r>
          </w:p>
        </w:tc>
        <w:tc>
          <w:tcPr>
            <w:tcW w:w="704" w:type="dxa"/>
            <w:tcBorders>
              <w:top w:val="single" w:sz="4" w:space="0" w:color="auto"/>
              <w:bottom w:val="single" w:sz="4" w:space="0" w:color="auto"/>
            </w:tcBorders>
            <w:vAlign w:val="center"/>
          </w:tcPr>
          <w:p w14:paraId="0DB608D5" w14:textId="404CAB85" w:rsidR="005B48B7" w:rsidRPr="008C1DB1" w:rsidRDefault="005B48B7" w:rsidP="008C1DB1">
            <w:pPr>
              <w:bidi w:val="0"/>
              <w:spacing w:after="0" w:line="240" w:lineRule="auto"/>
              <w:jc w:val="center"/>
              <w:rPr>
                <w:rFonts w:asciiTheme="majorBidi" w:hAnsiTheme="majorBidi" w:cstheme="majorBidi"/>
                <w:b/>
                <w:bCs/>
                <w:color w:val="000000" w:themeColor="text1"/>
                <w:sz w:val="20"/>
                <w:szCs w:val="20"/>
                <w:rtl/>
                <w:lang w:bidi="fa-IR"/>
              </w:rPr>
            </w:pPr>
            <w:r w:rsidRPr="008C1DB1">
              <w:rPr>
                <w:rFonts w:asciiTheme="majorBidi" w:hAnsiTheme="majorBidi" w:cstheme="majorBidi"/>
                <w:b/>
                <w:bCs/>
                <w:sz w:val="20"/>
                <w:szCs w:val="20"/>
              </w:rPr>
              <w:t>Row</w:t>
            </w:r>
          </w:p>
        </w:tc>
      </w:tr>
      <w:tr w:rsidR="005B48B7" w:rsidRPr="008C1DB1" w14:paraId="7261A069" w14:textId="77777777" w:rsidTr="005B48B7">
        <w:trPr>
          <w:trHeight w:val="451"/>
          <w:jc w:val="center"/>
        </w:trPr>
        <w:tc>
          <w:tcPr>
            <w:tcW w:w="3621" w:type="dxa"/>
            <w:tcBorders>
              <w:top w:val="single" w:sz="4" w:space="0" w:color="auto"/>
            </w:tcBorders>
            <w:vAlign w:val="center"/>
          </w:tcPr>
          <w:p w14:paraId="382D026E" w14:textId="116BEF3B"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Areas with a slope greater than 15 degrees</w:t>
            </w:r>
          </w:p>
        </w:tc>
        <w:tc>
          <w:tcPr>
            <w:tcW w:w="1563" w:type="dxa"/>
            <w:tcBorders>
              <w:top w:val="single" w:sz="4" w:space="0" w:color="auto"/>
            </w:tcBorders>
            <w:vAlign w:val="center"/>
          </w:tcPr>
          <w:p w14:paraId="31C31A5E" w14:textId="4C66B45C"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Slope</w:t>
            </w:r>
          </w:p>
        </w:tc>
        <w:tc>
          <w:tcPr>
            <w:tcW w:w="704" w:type="dxa"/>
            <w:tcBorders>
              <w:top w:val="single" w:sz="4" w:space="0" w:color="auto"/>
            </w:tcBorders>
            <w:vAlign w:val="center"/>
          </w:tcPr>
          <w:p w14:paraId="24D74AE9" w14:textId="585CE9DA"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1</w:t>
            </w:r>
          </w:p>
        </w:tc>
      </w:tr>
      <w:tr w:rsidR="005B48B7" w:rsidRPr="008C1DB1" w14:paraId="4EEB62EF" w14:textId="77777777" w:rsidTr="005B48B7">
        <w:trPr>
          <w:trHeight w:val="472"/>
          <w:jc w:val="center"/>
        </w:trPr>
        <w:tc>
          <w:tcPr>
            <w:tcW w:w="3621" w:type="dxa"/>
            <w:vAlign w:val="center"/>
          </w:tcPr>
          <w:p w14:paraId="2653DF32" w14:textId="74C56FE4"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North-facing slopes</w:t>
            </w:r>
          </w:p>
        </w:tc>
        <w:tc>
          <w:tcPr>
            <w:tcW w:w="1563" w:type="dxa"/>
            <w:vAlign w:val="center"/>
          </w:tcPr>
          <w:p w14:paraId="7AA64F29" w14:textId="1B2214C0"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Slope Direction</w:t>
            </w:r>
          </w:p>
        </w:tc>
        <w:tc>
          <w:tcPr>
            <w:tcW w:w="704" w:type="dxa"/>
            <w:vAlign w:val="center"/>
          </w:tcPr>
          <w:p w14:paraId="5937DB78" w14:textId="7F84368B"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2</w:t>
            </w:r>
          </w:p>
        </w:tc>
      </w:tr>
      <w:tr w:rsidR="005B48B7" w:rsidRPr="008C1DB1" w14:paraId="6CB922F0" w14:textId="77777777" w:rsidTr="005B48B7">
        <w:trPr>
          <w:trHeight w:val="472"/>
          <w:jc w:val="center"/>
        </w:trPr>
        <w:tc>
          <w:tcPr>
            <w:tcW w:w="3621" w:type="dxa"/>
            <w:vAlign w:val="center"/>
          </w:tcPr>
          <w:p w14:paraId="373F4A95" w14:textId="55626647"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500-meter buffer zone</w:t>
            </w:r>
          </w:p>
        </w:tc>
        <w:tc>
          <w:tcPr>
            <w:tcW w:w="1563" w:type="dxa"/>
            <w:vAlign w:val="center"/>
          </w:tcPr>
          <w:p w14:paraId="121D1537" w14:textId="0582CFBD"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Fault</w:t>
            </w:r>
          </w:p>
        </w:tc>
        <w:tc>
          <w:tcPr>
            <w:tcW w:w="704" w:type="dxa"/>
            <w:vAlign w:val="center"/>
          </w:tcPr>
          <w:p w14:paraId="00C3A5B8" w14:textId="0E2D7759"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3</w:t>
            </w:r>
          </w:p>
        </w:tc>
      </w:tr>
      <w:tr w:rsidR="005B48B7" w:rsidRPr="008C1DB1" w14:paraId="7783556F" w14:textId="77777777" w:rsidTr="005B48B7">
        <w:trPr>
          <w:trHeight w:val="472"/>
          <w:jc w:val="center"/>
        </w:trPr>
        <w:tc>
          <w:tcPr>
            <w:tcW w:w="3621" w:type="dxa"/>
            <w:tcBorders>
              <w:bottom w:val="single" w:sz="4" w:space="0" w:color="auto"/>
            </w:tcBorders>
            <w:vAlign w:val="center"/>
          </w:tcPr>
          <w:p w14:paraId="157E39A4" w14:textId="3AFA93BA"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100-meter buffer zone</w:t>
            </w:r>
          </w:p>
        </w:tc>
        <w:tc>
          <w:tcPr>
            <w:tcW w:w="1563" w:type="dxa"/>
            <w:tcBorders>
              <w:bottom w:val="single" w:sz="4" w:space="0" w:color="auto"/>
            </w:tcBorders>
            <w:vAlign w:val="center"/>
          </w:tcPr>
          <w:p w14:paraId="26760F89" w14:textId="06682BCD"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River</w:t>
            </w:r>
          </w:p>
        </w:tc>
        <w:tc>
          <w:tcPr>
            <w:tcW w:w="704" w:type="dxa"/>
            <w:tcBorders>
              <w:bottom w:val="single" w:sz="4" w:space="0" w:color="auto"/>
            </w:tcBorders>
            <w:vAlign w:val="center"/>
          </w:tcPr>
          <w:p w14:paraId="1A3ED523" w14:textId="014846C3" w:rsidR="005B48B7" w:rsidRPr="008C1DB1" w:rsidRDefault="005B48B7" w:rsidP="008C1DB1">
            <w:pPr>
              <w:bidi w:val="0"/>
              <w:spacing w:after="0" w:line="240" w:lineRule="auto"/>
              <w:jc w:val="center"/>
              <w:rPr>
                <w:rFonts w:asciiTheme="majorBidi" w:hAnsiTheme="majorBidi" w:cstheme="majorBidi"/>
                <w:color w:val="000000" w:themeColor="text1"/>
                <w:sz w:val="20"/>
                <w:szCs w:val="20"/>
                <w:rtl/>
                <w:lang w:bidi="fa-IR"/>
              </w:rPr>
            </w:pPr>
            <w:r w:rsidRPr="008C1DB1">
              <w:rPr>
                <w:rFonts w:asciiTheme="majorBidi" w:hAnsiTheme="majorBidi" w:cstheme="majorBidi"/>
                <w:sz w:val="20"/>
                <w:szCs w:val="20"/>
              </w:rPr>
              <w:t>4</w:t>
            </w:r>
          </w:p>
        </w:tc>
      </w:tr>
    </w:tbl>
    <w:p w14:paraId="372C963B" w14:textId="77777777" w:rsidR="005B48B7" w:rsidRPr="008C1DB1" w:rsidRDefault="005B48B7" w:rsidP="008C1DB1">
      <w:pPr>
        <w:bidi w:val="0"/>
        <w:spacing w:after="0" w:line="240" w:lineRule="auto"/>
        <w:jc w:val="both"/>
        <w:rPr>
          <w:rFonts w:asciiTheme="majorBidi" w:hAnsiTheme="majorBidi" w:cstheme="majorBidi"/>
          <w:sz w:val="20"/>
          <w:szCs w:val="20"/>
          <w:lang w:bidi="fa-IR"/>
        </w:rPr>
      </w:pPr>
    </w:p>
    <w:p w14:paraId="2603C5D2" w14:textId="79C8D364" w:rsidR="00982A52" w:rsidRPr="008C1DB1" w:rsidRDefault="00982A52" w:rsidP="008C1DB1">
      <w:pPr>
        <w:bidi w:val="0"/>
        <w:spacing w:after="0" w:line="240" w:lineRule="auto"/>
        <w:jc w:val="center"/>
        <w:rPr>
          <w:rFonts w:asciiTheme="majorBidi" w:hAnsiTheme="majorBidi" w:cstheme="majorBidi"/>
          <w:sz w:val="20"/>
          <w:szCs w:val="20"/>
          <w:lang w:bidi="fa-IR"/>
        </w:rPr>
      </w:pPr>
      <w:r w:rsidRPr="008C1DB1">
        <w:rPr>
          <w:noProof/>
          <w:color w:val="000000" w:themeColor="text1"/>
          <w:sz w:val="20"/>
          <w:szCs w:val="20"/>
          <w:rtl/>
        </w:rPr>
        <w:drawing>
          <wp:inline distT="0" distB="0" distL="0" distR="0" wp14:anchorId="286295D2" wp14:editId="66EF0322">
            <wp:extent cx="4824214" cy="4362450"/>
            <wp:effectExtent l="0" t="0" r="0" b="0"/>
            <wp:docPr id="4" name="Picture 4" descr="E:\GIS\hamid\lcm_kordestan\gis\khroji\ostanmm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GIS\hamid\lcm_kordestan\gis\khroji\ostanmm - Copy.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825159" cy="4363305"/>
                    </a:xfrm>
                    <a:prstGeom prst="rect">
                      <a:avLst/>
                    </a:prstGeom>
                    <a:noFill/>
                    <a:ln>
                      <a:noFill/>
                    </a:ln>
                  </pic:spPr>
                </pic:pic>
              </a:graphicData>
            </a:graphic>
          </wp:inline>
        </w:drawing>
      </w:r>
    </w:p>
    <w:p w14:paraId="0ED46D68" w14:textId="101F59E4" w:rsidR="00982A52" w:rsidRDefault="00982A52"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15.</w:t>
      </w:r>
      <w:r w:rsidRPr="008C1DB1">
        <w:rPr>
          <w:rFonts w:asciiTheme="majorBidi" w:hAnsiTheme="majorBidi" w:cstheme="majorBidi"/>
          <w:sz w:val="20"/>
          <w:szCs w:val="20"/>
          <w:lang w:bidi="fa-IR"/>
        </w:rPr>
        <w:t xml:space="preserve"> Map of Hazard-Prone Areas within the Cities of Kurdistan Province</w:t>
      </w:r>
    </w:p>
    <w:p w14:paraId="43DFDF51" w14:textId="77777777" w:rsidR="00DE4D41" w:rsidRPr="008C1DB1" w:rsidRDefault="00DE4D41" w:rsidP="00DE4D41">
      <w:pPr>
        <w:bidi w:val="0"/>
        <w:spacing w:after="0" w:line="240" w:lineRule="auto"/>
        <w:jc w:val="center"/>
        <w:rPr>
          <w:rFonts w:asciiTheme="majorBidi" w:hAnsiTheme="majorBidi" w:cstheme="majorBidi"/>
          <w:sz w:val="20"/>
          <w:szCs w:val="20"/>
          <w:lang w:bidi="fa-IR"/>
        </w:rPr>
      </w:pPr>
    </w:p>
    <w:p w14:paraId="7200FAC0" w14:textId="602E7C4C" w:rsidR="005561A8" w:rsidRPr="00636421" w:rsidRDefault="005561A8" w:rsidP="008C1DB1">
      <w:pPr>
        <w:bidi w:val="0"/>
        <w:spacing w:after="0" w:line="240" w:lineRule="auto"/>
        <w:jc w:val="both"/>
        <w:rPr>
          <w:rFonts w:asciiTheme="majorBidi" w:hAnsiTheme="majorBidi" w:cstheme="majorBidi"/>
          <w:lang w:bidi="fa-IR"/>
        </w:rPr>
      </w:pPr>
      <w:r w:rsidRPr="00636421">
        <w:rPr>
          <w:rFonts w:asciiTheme="majorBidi" w:hAnsiTheme="majorBidi" w:cstheme="majorBidi"/>
          <w:lang w:bidi="fa-IR"/>
        </w:rPr>
        <w:t xml:space="preserve">After preparing the hazard-prone areas map, the trend of urban development towards hazardous areas has been </w:t>
      </w:r>
      <w:proofErr w:type="spellStart"/>
      <w:r w:rsidRPr="00636421">
        <w:rPr>
          <w:rFonts w:asciiTheme="majorBidi" w:hAnsiTheme="majorBidi" w:cstheme="majorBidi"/>
          <w:lang w:bidi="fa-IR"/>
        </w:rPr>
        <w:t>assesd</w:t>
      </w:r>
      <w:proofErr w:type="spellEnd"/>
      <w:r w:rsidRPr="00636421">
        <w:rPr>
          <w:rFonts w:asciiTheme="majorBidi" w:hAnsiTheme="majorBidi" w:cstheme="majorBidi"/>
          <w:lang w:bidi="fa-IR"/>
        </w:rPr>
        <w:t xml:space="preserve"> from 1992 to 2022 (Table 5 and Fig. 16). The results indicate that alongside the physical development of cities, residential areas have progressed towards </w:t>
      </w:r>
      <w:r w:rsidRPr="00636421">
        <w:rPr>
          <w:rFonts w:asciiTheme="majorBidi" w:hAnsiTheme="majorBidi" w:cstheme="majorBidi"/>
          <w:lang w:bidi="fa-IR"/>
        </w:rPr>
        <w:lastRenderedPageBreak/>
        <w:t>hazardous regions. Based on the obtained results, in 1992, approximately 1.18 km</w:t>
      </w:r>
      <w:r w:rsidRPr="00636421">
        <w:rPr>
          <w:rFonts w:asciiTheme="majorBidi" w:hAnsiTheme="majorBidi" w:cstheme="majorBidi"/>
          <w:vertAlign w:val="superscript"/>
          <w:lang w:bidi="fa-IR"/>
        </w:rPr>
        <w:t>2</w:t>
      </w:r>
      <w:r w:rsidRPr="00636421">
        <w:rPr>
          <w:rFonts w:asciiTheme="majorBidi" w:hAnsiTheme="majorBidi" w:cstheme="majorBidi"/>
          <w:lang w:bidi="fa-IR"/>
        </w:rPr>
        <w:t xml:space="preserve"> of the city of Baneh was located in hazardous areas, which increased to 1.45, 1.59 and 3.02 km</w:t>
      </w:r>
      <w:r w:rsidRPr="00636421">
        <w:rPr>
          <w:rFonts w:asciiTheme="majorBidi" w:hAnsiTheme="majorBidi" w:cstheme="majorBidi"/>
          <w:vertAlign w:val="superscript"/>
          <w:lang w:bidi="fa-IR"/>
        </w:rPr>
        <w:t>2</w:t>
      </w:r>
      <w:r w:rsidRPr="00636421">
        <w:rPr>
          <w:rFonts w:asciiTheme="majorBidi" w:hAnsiTheme="majorBidi" w:cstheme="majorBidi"/>
          <w:lang w:bidi="fa-IR"/>
        </w:rPr>
        <w:t xml:space="preserve"> in</w:t>
      </w:r>
      <w:r w:rsidR="00CB1AA3" w:rsidRPr="00636421">
        <w:rPr>
          <w:rFonts w:asciiTheme="majorBidi" w:hAnsiTheme="majorBidi" w:cstheme="majorBidi"/>
          <w:lang w:bidi="fa-IR"/>
        </w:rPr>
        <w:t xml:space="preserve"> 2002, 2012 and 2022, respectively</w:t>
      </w:r>
      <w:r w:rsidRPr="00636421">
        <w:rPr>
          <w:rFonts w:asciiTheme="majorBidi" w:hAnsiTheme="majorBidi" w:cstheme="majorBidi"/>
          <w:lang w:bidi="fa-IR"/>
        </w:rPr>
        <w:t xml:space="preserve"> 2022. In 1992, about 0.08 </w:t>
      </w:r>
      <w:r w:rsidR="004F47D9" w:rsidRPr="00636421">
        <w:rPr>
          <w:rFonts w:asciiTheme="majorBidi" w:hAnsiTheme="majorBidi" w:cstheme="majorBidi"/>
          <w:lang w:bidi="fa-IR"/>
        </w:rPr>
        <w:t>km</w:t>
      </w:r>
      <w:r w:rsidR="004F47D9" w:rsidRPr="00636421">
        <w:rPr>
          <w:rFonts w:asciiTheme="majorBidi" w:hAnsiTheme="majorBidi" w:cstheme="majorBidi"/>
          <w:vertAlign w:val="superscript"/>
          <w:lang w:bidi="fa-IR"/>
        </w:rPr>
        <w:t>2</w:t>
      </w:r>
      <w:r w:rsidR="004F47D9" w:rsidRPr="00636421">
        <w:rPr>
          <w:rFonts w:asciiTheme="majorBidi" w:hAnsiTheme="majorBidi" w:cstheme="majorBidi"/>
          <w:lang w:bidi="fa-IR"/>
        </w:rPr>
        <w:t xml:space="preserve"> </w:t>
      </w:r>
      <w:r w:rsidRPr="00636421">
        <w:rPr>
          <w:rFonts w:asciiTheme="majorBidi" w:hAnsiTheme="majorBidi" w:cstheme="majorBidi"/>
          <w:lang w:bidi="fa-IR"/>
        </w:rPr>
        <w:t xml:space="preserve">of the city of Bijar was in hazardous areas, which increased to 0.94, 1.2 and 1.31 </w:t>
      </w:r>
      <w:r w:rsidR="001252EE" w:rsidRPr="00636421">
        <w:rPr>
          <w:rFonts w:asciiTheme="majorBidi" w:hAnsiTheme="majorBidi" w:cstheme="majorBidi"/>
          <w:lang w:bidi="fa-IR"/>
        </w:rPr>
        <w:t>km</w:t>
      </w:r>
      <w:r w:rsidR="001252EE" w:rsidRPr="00636421">
        <w:rPr>
          <w:rFonts w:asciiTheme="majorBidi" w:hAnsiTheme="majorBidi" w:cstheme="majorBidi"/>
          <w:vertAlign w:val="superscript"/>
          <w:lang w:bidi="fa-IR"/>
        </w:rPr>
        <w:t>2</w:t>
      </w:r>
      <w:r w:rsidR="001252EE" w:rsidRPr="00636421">
        <w:rPr>
          <w:rFonts w:asciiTheme="majorBidi" w:hAnsiTheme="majorBidi" w:cstheme="majorBidi"/>
          <w:lang w:bidi="fa-IR"/>
        </w:rPr>
        <w:t xml:space="preserve"> </w:t>
      </w:r>
      <w:r w:rsidRPr="00636421">
        <w:rPr>
          <w:rFonts w:asciiTheme="majorBidi" w:hAnsiTheme="majorBidi" w:cstheme="majorBidi"/>
          <w:lang w:bidi="fa-IR"/>
        </w:rPr>
        <w:t xml:space="preserve">in </w:t>
      </w:r>
      <w:r w:rsidR="004F47D9" w:rsidRPr="00636421">
        <w:rPr>
          <w:rFonts w:asciiTheme="majorBidi" w:hAnsiTheme="majorBidi" w:cstheme="majorBidi"/>
          <w:lang w:bidi="fa-IR"/>
        </w:rPr>
        <w:t xml:space="preserve">2002, 2012 and </w:t>
      </w:r>
      <w:r w:rsidRPr="00636421">
        <w:rPr>
          <w:rFonts w:asciiTheme="majorBidi" w:hAnsiTheme="majorBidi" w:cstheme="majorBidi"/>
          <w:lang w:bidi="fa-IR"/>
        </w:rPr>
        <w:t>2022</w:t>
      </w:r>
      <w:r w:rsidR="00864C70" w:rsidRPr="00636421">
        <w:rPr>
          <w:rFonts w:asciiTheme="majorBidi" w:hAnsiTheme="majorBidi" w:cstheme="majorBidi"/>
          <w:lang w:bidi="fa-IR"/>
        </w:rPr>
        <w:t>,</w:t>
      </w:r>
      <w:r w:rsidR="004F47D9" w:rsidRPr="00636421">
        <w:rPr>
          <w:rFonts w:asciiTheme="majorBidi" w:hAnsiTheme="majorBidi" w:cstheme="majorBidi"/>
          <w:lang w:bidi="fa-IR"/>
        </w:rPr>
        <w:t xml:space="preserve"> respectively</w:t>
      </w:r>
      <w:r w:rsidRPr="00636421">
        <w:rPr>
          <w:rFonts w:asciiTheme="majorBidi" w:hAnsiTheme="majorBidi" w:cstheme="majorBidi"/>
          <w:lang w:bidi="fa-IR"/>
        </w:rPr>
        <w:t xml:space="preserve">. In 1992, around 0.14 </w:t>
      </w:r>
      <w:r w:rsidR="00864C70" w:rsidRPr="00636421">
        <w:rPr>
          <w:rFonts w:asciiTheme="majorBidi" w:hAnsiTheme="majorBidi" w:cstheme="majorBidi"/>
          <w:lang w:bidi="fa-IR"/>
        </w:rPr>
        <w:t>km</w:t>
      </w:r>
      <w:r w:rsidR="00864C70" w:rsidRPr="00636421">
        <w:rPr>
          <w:rFonts w:asciiTheme="majorBidi" w:hAnsiTheme="majorBidi" w:cstheme="majorBidi"/>
          <w:vertAlign w:val="superscript"/>
          <w:lang w:bidi="fa-IR"/>
        </w:rPr>
        <w:t>2</w:t>
      </w:r>
      <w:r w:rsidRPr="00636421">
        <w:rPr>
          <w:rFonts w:asciiTheme="majorBidi" w:hAnsiTheme="majorBidi" w:cstheme="majorBidi"/>
          <w:lang w:bidi="fa-IR"/>
        </w:rPr>
        <w:t xml:space="preserve">of the city of </w:t>
      </w:r>
      <w:proofErr w:type="spellStart"/>
      <w:r w:rsidRPr="00636421">
        <w:rPr>
          <w:rFonts w:asciiTheme="majorBidi" w:hAnsiTheme="majorBidi" w:cstheme="majorBidi"/>
          <w:lang w:bidi="fa-IR"/>
        </w:rPr>
        <w:t>Dehgolan</w:t>
      </w:r>
      <w:proofErr w:type="spellEnd"/>
      <w:r w:rsidRPr="00636421">
        <w:rPr>
          <w:rFonts w:asciiTheme="majorBidi" w:hAnsiTheme="majorBidi" w:cstheme="majorBidi"/>
          <w:lang w:bidi="fa-IR"/>
        </w:rPr>
        <w:t xml:space="preserve"> was in hazardous areas, which increased to 0.15, 0.37, and 0.43 </w:t>
      </w:r>
      <w:r w:rsidR="00864C70" w:rsidRPr="00636421">
        <w:rPr>
          <w:rFonts w:asciiTheme="majorBidi" w:hAnsiTheme="majorBidi" w:cstheme="majorBidi"/>
          <w:lang w:bidi="fa-IR"/>
        </w:rPr>
        <w:t>km</w:t>
      </w:r>
      <w:r w:rsidR="00864C70" w:rsidRPr="00636421">
        <w:rPr>
          <w:rFonts w:asciiTheme="majorBidi" w:hAnsiTheme="majorBidi" w:cstheme="majorBidi"/>
          <w:vertAlign w:val="superscript"/>
          <w:lang w:bidi="fa-IR"/>
        </w:rPr>
        <w:t>2</w:t>
      </w:r>
      <w:r w:rsidR="00864C70" w:rsidRPr="00636421">
        <w:rPr>
          <w:rFonts w:asciiTheme="majorBidi" w:hAnsiTheme="majorBidi" w:cstheme="majorBidi"/>
          <w:lang w:bidi="fa-IR"/>
        </w:rPr>
        <w:t xml:space="preserve"> </w:t>
      </w:r>
      <w:r w:rsidRPr="00636421">
        <w:rPr>
          <w:rFonts w:asciiTheme="majorBidi" w:hAnsiTheme="majorBidi" w:cstheme="majorBidi"/>
          <w:lang w:bidi="fa-IR"/>
        </w:rPr>
        <w:t>in</w:t>
      </w:r>
      <w:r w:rsidR="00864C70" w:rsidRPr="00636421">
        <w:rPr>
          <w:rFonts w:asciiTheme="majorBidi" w:hAnsiTheme="majorBidi" w:cstheme="majorBidi"/>
          <w:lang w:bidi="fa-IR"/>
        </w:rPr>
        <w:t xml:space="preserve"> 2002</w:t>
      </w:r>
      <w:r w:rsidR="003068CC" w:rsidRPr="00636421">
        <w:rPr>
          <w:rFonts w:asciiTheme="majorBidi" w:hAnsiTheme="majorBidi" w:cstheme="majorBidi"/>
          <w:lang w:bidi="fa-IR"/>
        </w:rPr>
        <w:t>,</w:t>
      </w:r>
      <w:r w:rsidR="00864C70" w:rsidRPr="00636421">
        <w:rPr>
          <w:rFonts w:asciiTheme="majorBidi" w:hAnsiTheme="majorBidi" w:cstheme="majorBidi"/>
          <w:lang w:bidi="fa-IR"/>
        </w:rPr>
        <w:t xml:space="preserve"> 2012</w:t>
      </w:r>
      <w:r w:rsidR="000F18ED" w:rsidRPr="00636421">
        <w:rPr>
          <w:rFonts w:asciiTheme="majorBidi" w:hAnsiTheme="majorBidi" w:cstheme="majorBidi"/>
          <w:lang w:bidi="fa-IR"/>
        </w:rPr>
        <w:t xml:space="preserve"> </w:t>
      </w:r>
      <w:r w:rsidR="003068CC" w:rsidRPr="00636421">
        <w:rPr>
          <w:rFonts w:asciiTheme="majorBidi" w:hAnsiTheme="majorBidi" w:cstheme="majorBidi"/>
          <w:lang w:bidi="fa-IR"/>
        </w:rPr>
        <w:t xml:space="preserve">and </w:t>
      </w:r>
      <w:r w:rsidR="000F18ED" w:rsidRPr="00636421">
        <w:rPr>
          <w:rFonts w:asciiTheme="majorBidi" w:hAnsiTheme="majorBidi" w:cstheme="majorBidi"/>
          <w:lang w:bidi="fa-IR"/>
        </w:rPr>
        <w:t>2022,</w:t>
      </w:r>
      <w:r w:rsidR="00864C70" w:rsidRPr="00636421">
        <w:rPr>
          <w:rFonts w:asciiTheme="majorBidi" w:hAnsiTheme="majorBidi" w:cstheme="majorBidi"/>
          <w:lang w:bidi="fa-IR"/>
        </w:rPr>
        <w:t xml:space="preserve"> respectively</w:t>
      </w:r>
      <w:r w:rsidRPr="00636421">
        <w:rPr>
          <w:rFonts w:asciiTheme="majorBidi" w:hAnsiTheme="majorBidi" w:cstheme="majorBidi"/>
          <w:lang w:bidi="fa-IR"/>
        </w:rPr>
        <w:t xml:space="preserve">. In 1992, approximately 0.18 </w:t>
      </w:r>
      <w:r w:rsidR="00864C70" w:rsidRPr="00636421">
        <w:rPr>
          <w:rFonts w:asciiTheme="majorBidi" w:hAnsiTheme="majorBidi" w:cstheme="majorBidi"/>
          <w:lang w:bidi="fa-IR"/>
        </w:rPr>
        <w:t>km</w:t>
      </w:r>
      <w:r w:rsidR="00864C70" w:rsidRPr="00636421">
        <w:rPr>
          <w:rFonts w:asciiTheme="majorBidi" w:hAnsiTheme="majorBidi" w:cstheme="majorBidi"/>
          <w:vertAlign w:val="superscript"/>
          <w:lang w:bidi="fa-IR"/>
        </w:rPr>
        <w:t>2</w:t>
      </w:r>
      <w:r w:rsidR="00864C70" w:rsidRPr="00636421">
        <w:rPr>
          <w:rFonts w:asciiTheme="majorBidi" w:hAnsiTheme="majorBidi" w:cstheme="majorBidi"/>
          <w:lang w:bidi="fa-IR"/>
        </w:rPr>
        <w:t xml:space="preserve"> </w:t>
      </w:r>
      <w:r w:rsidRPr="00636421">
        <w:rPr>
          <w:rFonts w:asciiTheme="majorBidi" w:hAnsiTheme="majorBidi" w:cstheme="majorBidi"/>
          <w:lang w:bidi="fa-IR"/>
        </w:rPr>
        <w:t xml:space="preserve">of the city of </w:t>
      </w:r>
      <w:proofErr w:type="spellStart"/>
      <w:r w:rsidRPr="00636421">
        <w:rPr>
          <w:rFonts w:asciiTheme="majorBidi" w:hAnsiTheme="majorBidi" w:cstheme="majorBidi"/>
          <w:lang w:bidi="fa-IR"/>
        </w:rPr>
        <w:t>Divandareh</w:t>
      </w:r>
      <w:proofErr w:type="spellEnd"/>
      <w:r w:rsidRPr="00636421">
        <w:rPr>
          <w:rFonts w:asciiTheme="majorBidi" w:hAnsiTheme="majorBidi" w:cstheme="majorBidi"/>
          <w:lang w:bidi="fa-IR"/>
        </w:rPr>
        <w:t xml:space="preserve"> was in hazardous areas, increasing to 0.25, 0.40, and 0.51 </w:t>
      </w:r>
      <w:r w:rsidR="006B18A1" w:rsidRPr="00636421">
        <w:rPr>
          <w:rFonts w:asciiTheme="majorBidi" w:hAnsiTheme="majorBidi" w:cstheme="majorBidi"/>
          <w:lang w:bidi="fa-IR"/>
        </w:rPr>
        <w:t>km</w:t>
      </w:r>
      <w:r w:rsidR="006B18A1" w:rsidRPr="00636421">
        <w:rPr>
          <w:rFonts w:asciiTheme="majorBidi" w:hAnsiTheme="majorBidi" w:cstheme="majorBidi"/>
          <w:vertAlign w:val="superscript"/>
          <w:lang w:bidi="fa-IR"/>
        </w:rPr>
        <w:t>2</w:t>
      </w:r>
      <w:r w:rsidR="006B18A1" w:rsidRPr="00636421">
        <w:rPr>
          <w:rFonts w:asciiTheme="majorBidi" w:hAnsiTheme="majorBidi" w:cstheme="majorBidi"/>
          <w:lang w:bidi="fa-IR"/>
        </w:rPr>
        <w:t xml:space="preserve"> </w:t>
      </w:r>
      <w:r w:rsidR="00864C70" w:rsidRPr="00636421">
        <w:rPr>
          <w:rFonts w:asciiTheme="majorBidi" w:hAnsiTheme="majorBidi" w:cstheme="majorBidi"/>
          <w:lang w:bidi="fa-IR"/>
        </w:rPr>
        <w:t>in 2002, 2012 and</w:t>
      </w:r>
      <w:r w:rsidRPr="00636421">
        <w:rPr>
          <w:rFonts w:asciiTheme="majorBidi" w:hAnsiTheme="majorBidi" w:cstheme="majorBidi"/>
          <w:lang w:bidi="fa-IR"/>
        </w:rPr>
        <w:t xml:space="preserve"> 2022</w:t>
      </w:r>
      <w:r w:rsidR="00864C70" w:rsidRPr="00636421">
        <w:rPr>
          <w:rFonts w:asciiTheme="majorBidi" w:hAnsiTheme="majorBidi" w:cstheme="majorBidi"/>
          <w:lang w:bidi="fa-IR"/>
        </w:rPr>
        <w:t>, respectively</w:t>
      </w:r>
      <w:r w:rsidRPr="00636421">
        <w:rPr>
          <w:rFonts w:asciiTheme="majorBidi" w:hAnsiTheme="majorBidi" w:cstheme="majorBidi"/>
          <w:lang w:bidi="fa-IR"/>
        </w:rPr>
        <w:t xml:space="preserve">. In 1992, about 0.04 </w:t>
      </w:r>
      <w:r w:rsidR="000F18ED" w:rsidRPr="00636421">
        <w:rPr>
          <w:rFonts w:asciiTheme="majorBidi" w:hAnsiTheme="majorBidi" w:cstheme="majorBidi"/>
          <w:lang w:bidi="fa-IR"/>
        </w:rPr>
        <w:t>km</w:t>
      </w:r>
      <w:r w:rsidR="000F18ED" w:rsidRPr="00636421">
        <w:rPr>
          <w:rFonts w:asciiTheme="majorBidi" w:hAnsiTheme="majorBidi" w:cstheme="majorBidi"/>
          <w:vertAlign w:val="superscript"/>
          <w:lang w:bidi="fa-IR"/>
        </w:rPr>
        <w:t>2</w:t>
      </w:r>
      <w:r w:rsidR="000F18ED" w:rsidRPr="00636421">
        <w:rPr>
          <w:rFonts w:asciiTheme="majorBidi" w:hAnsiTheme="majorBidi" w:cstheme="majorBidi"/>
          <w:lang w:bidi="fa-IR"/>
        </w:rPr>
        <w:t xml:space="preserve"> </w:t>
      </w:r>
      <w:r w:rsidRPr="00636421">
        <w:rPr>
          <w:rFonts w:asciiTheme="majorBidi" w:hAnsiTheme="majorBidi" w:cstheme="majorBidi"/>
          <w:lang w:bidi="fa-IR"/>
        </w:rPr>
        <w:t xml:space="preserve">of the city of </w:t>
      </w:r>
      <w:proofErr w:type="spellStart"/>
      <w:r w:rsidRPr="00636421">
        <w:rPr>
          <w:rFonts w:asciiTheme="majorBidi" w:hAnsiTheme="majorBidi" w:cstheme="majorBidi"/>
          <w:lang w:bidi="fa-IR"/>
        </w:rPr>
        <w:t>Sarvabad</w:t>
      </w:r>
      <w:proofErr w:type="spellEnd"/>
      <w:r w:rsidRPr="00636421">
        <w:rPr>
          <w:rFonts w:asciiTheme="majorBidi" w:hAnsiTheme="majorBidi" w:cstheme="majorBidi"/>
          <w:lang w:bidi="fa-IR"/>
        </w:rPr>
        <w:t xml:space="preserve"> was in hazardous areas, which increased to 0.06, 0.1 and 0.18 </w:t>
      </w:r>
      <w:r w:rsidR="000F18ED" w:rsidRPr="00636421">
        <w:rPr>
          <w:rFonts w:asciiTheme="majorBidi" w:hAnsiTheme="majorBidi" w:cstheme="majorBidi"/>
          <w:lang w:bidi="fa-IR"/>
        </w:rPr>
        <w:t>km</w:t>
      </w:r>
      <w:r w:rsidR="000F18ED" w:rsidRPr="00636421">
        <w:rPr>
          <w:rFonts w:asciiTheme="majorBidi" w:hAnsiTheme="majorBidi" w:cstheme="majorBidi"/>
          <w:vertAlign w:val="superscript"/>
          <w:lang w:bidi="fa-IR"/>
        </w:rPr>
        <w:t>2</w:t>
      </w:r>
      <w:r w:rsidR="000F18ED" w:rsidRPr="00636421">
        <w:rPr>
          <w:rFonts w:asciiTheme="majorBidi" w:hAnsiTheme="majorBidi" w:cstheme="majorBidi"/>
          <w:lang w:bidi="fa-IR"/>
        </w:rPr>
        <w:t xml:space="preserve"> in 2002</w:t>
      </w:r>
      <w:r w:rsidR="00D738E2" w:rsidRPr="00636421">
        <w:rPr>
          <w:rFonts w:asciiTheme="majorBidi" w:hAnsiTheme="majorBidi" w:cstheme="majorBidi"/>
          <w:lang w:bidi="fa-IR"/>
        </w:rPr>
        <w:t xml:space="preserve">, </w:t>
      </w:r>
      <w:r w:rsidR="000F18ED" w:rsidRPr="00636421">
        <w:rPr>
          <w:rFonts w:asciiTheme="majorBidi" w:hAnsiTheme="majorBidi" w:cstheme="majorBidi"/>
          <w:lang w:bidi="fa-IR"/>
        </w:rPr>
        <w:t xml:space="preserve">2012 </w:t>
      </w:r>
      <w:r w:rsidR="00D738E2" w:rsidRPr="00636421">
        <w:rPr>
          <w:rFonts w:asciiTheme="majorBidi" w:hAnsiTheme="majorBidi" w:cstheme="majorBidi"/>
          <w:lang w:bidi="fa-IR"/>
        </w:rPr>
        <w:t xml:space="preserve">and </w:t>
      </w:r>
      <w:r w:rsidR="000F18ED" w:rsidRPr="00636421">
        <w:rPr>
          <w:rFonts w:asciiTheme="majorBidi" w:hAnsiTheme="majorBidi" w:cstheme="majorBidi"/>
          <w:lang w:bidi="fa-IR"/>
        </w:rPr>
        <w:t>2022, respectively</w:t>
      </w:r>
      <w:r w:rsidRPr="00636421">
        <w:rPr>
          <w:rFonts w:asciiTheme="majorBidi" w:hAnsiTheme="majorBidi" w:cstheme="majorBidi"/>
          <w:lang w:bidi="fa-IR"/>
        </w:rPr>
        <w:t xml:space="preserve">. In 1992, approximately 1.4 </w:t>
      </w:r>
      <w:r w:rsidR="003068CC" w:rsidRPr="00636421">
        <w:rPr>
          <w:rFonts w:asciiTheme="majorBidi" w:hAnsiTheme="majorBidi" w:cstheme="majorBidi"/>
          <w:lang w:bidi="fa-IR"/>
        </w:rPr>
        <w:t>km</w:t>
      </w:r>
      <w:r w:rsidR="003068CC" w:rsidRPr="00636421">
        <w:rPr>
          <w:rFonts w:asciiTheme="majorBidi" w:hAnsiTheme="majorBidi" w:cstheme="majorBidi"/>
          <w:vertAlign w:val="superscript"/>
          <w:lang w:bidi="fa-IR"/>
        </w:rPr>
        <w:t>2</w:t>
      </w:r>
      <w:r w:rsidR="003068CC" w:rsidRPr="00636421">
        <w:rPr>
          <w:rFonts w:asciiTheme="majorBidi" w:hAnsiTheme="majorBidi" w:cstheme="majorBidi"/>
          <w:lang w:bidi="fa-IR"/>
        </w:rPr>
        <w:t xml:space="preserve"> </w:t>
      </w:r>
      <w:r w:rsidRPr="00636421">
        <w:rPr>
          <w:rFonts w:asciiTheme="majorBidi" w:hAnsiTheme="majorBidi" w:cstheme="majorBidi"/>
          <w:lang w:bidi="fa-IR"/>
        </w:rPr>
        <w:t xml:space="preserve">of the city of </w:t>
      </w:r>
      <w:proofErr w:type="spellStart"/>
      <w:r w:rsidR="00E72925" w:rsidRPr="00636421">
        <w:rPr>
          <w:rFonts w:asciiTheme="majorBidi" w:hAnsiTheme="majorBidi" w:cstheme="majorBidi"/>
          <w:lang w:bidi="fa-IR"/>
        </w:rPr>
        <w:t>Saghez</w:t>
      </w:r>
      <w:proofErr w:type="spellEnd"/>
      <w:r w:rsidRPr="00636421">
        <w:rPr>
          <w:rFonts w:asciiTheme="majorBidi" w:hAnsiTheme="majorBidi" w:cstheme="majorBidi"/>
          <w:lang w:bidi="fa-IR"/>
        </w:rPr>
        <w:t xml:space="preserve"> was in hazardous areas, which increased to 1.62, 2.32, and 2.8902 </w:t>
      </w:r>
      <w:r w:rsidR="003068CC" w:rsidRPr="00636421">
        <w:rPr>
          <w:rFonts w:asciiTheme="majorBidi" w:hAnsiTheme="majorBidi" w:cstheme="majorBidi"/>
          <w:lang w:bidi="fa-IR"/>
        </w:rPr>
        <w:t>km</w:t>
      </w:r>
      <w:r w:rsidR="003068CC" w:rsidRPr="00636421">
        <w:rPr>
          <w:rFonts w:asciiTheme="majorBidi" w:hAnsiTheme="majorBidi" w:cstheme="majorBidi"/>
          <w:vertAlign w:val="superscript"/>
          <w:lang w:bidi="fa-IR"/>
        </w:rPr>
        <w:t>2</w:t>
      </w:r>
      <w:r w:rsidR="003068CC" w:rsidRPr="00636421">
        <w:rPr>
          <w:rFonts w:asciiTheme="majorBidi" w:hAnsiTheme="majorBidi" w:cstheme="majorBidi"/>
          <w:lang w:bidi="fa-IR"/>
        </w:rPr>
        <w:t xml:space="preserve"> </w:t>
      </w:r>
      <w:r w:rsidRPr="00636421">
        <w:rPr>
          <w:rFonts w:asciiTheme="majorBidi" w:hAnsiTheme="majorBidi" w:cstheme="majorBidi"/>
          <w:lang w:bidi="fa-IR"/>
        </w:rPr>
        <w:t xml:space="preserve">in </w:t>
      </w:r>
      <w:r w:rsidR="003068CC" w:rsidRPr="00636421">
        <w:rPr>
          <w:rFonts w:asciiTheme="majorBidi" w:hAnsiTheme="majorBidi" w:cstheme="majorBidi"/>
          <w:lang w:bidi="fa-IR"/>
        </w:rPr>
        <w:t>2002, 2012 and 2022, respectively</w:t>
      </w:r>
      <w:r w:rsidRPr="00636421">
        <w:rPr>
          <w:rFonts w:asciiTheme="majorBidi" w:hAnsiTheme="majorBidi" w:cstheme="majorBidi"/>
          <w:lang w:bidi="fa-IR"/>
        </w:rPr>
        <w:t xml:space="preserve">. In 1992, about 2.98 </w:t>
      </w:r>
      <w:r w:rsidR="001851BC" w:rsidRPr="00636421">
        <w:rPr>
          <w:rFonts w:asciiTheme="majorBidi" w:hAnsiTheme="majorBidi" w:cstheme="majorBidi"/>
          <w:lang w:bidi="fa-IR"/>
        </w:rPr>
        <w:t>km</w:t>
      </w:r>
      <w:r w:rsidR="001851BC" w:rsidRPr="00636421">
        <w:rPr>
          <w:rFonts w:asciiTheme="majorBidi" w:hAnsiTheme="majorBidi" w:cstheme="majorBidi"/>
          <w:vertAlign w:val="superscript"/>
          <w:lang w:bidi="fa-IR"/>
        </w:rPr>
        <w:t>2</w:t>
      </w:r>
      <w:r w:rsidR="001851BC" w:rsidRPr="00636421">
        <w:rPr>
          <w:rFonts w:asciiTheme="majorBidi" w:hAnsiTheme="majorBidi" w:cstheme="majorBidi"/>
          <w:lang w:bidi="fa-IR"/>
        </w:rPr>
        <w:t xml:space="preserve"> </w:t>
      </w:r>
      <w:r w:rsidRPr="00636421">
        <w:rPr>
          <w:rFonts w:asciiTheme="majorBidi" w:hAnsiTheme="majorBidi" w:cstheme="majorBidi"/>
          <w:lang w:bidi="fa-IR"/>
        </w:rPr>
        <w:t xml:space="preserve">of the city of Sanandaj was in hazardous areas, which increased to 3.95, 4.97, and 5.7 </w:t>
      </w:r>
      <w:r w:rsidR="001851BC" w:rsidRPr="00636421">
        <w:rPr>
          <w:rFonts w:asciiTheme="majorBidi" w:hAnsiTheme="majorBidi" w:cstheme="majorBidi"/>
          <w:lang w:bidi="fa-IR"/>
        </w:rPr>
        <w:t>km</w:t>
      </w:r>
      <w:r w:rsidR="001851BC" w:rsidRPr="00636421">
        <w:rPr>
          <w:rFonts w:asciiTheme="majorBidi" w:hAnsiTheme="majorBidi" w:cstheme="majorBidi"/>
          <w:vertAlign w:val="superscript"/>
          <w:lang w:bidi="fa-IR"/>
        </w:rPr>
        <w:t>2</w:t>
      </w:r>
      <w:r w:rsidR="001851BC" w:rsidRPr="00636421">
        <w:rPr>
          <w:rFonts w:asciiTheme="majorBidi" w:hAnsiTheme="majorBidi" w:cstheme="majorBidi"/>
          <w:lang w:bidi="fa-IR"/>
        </w:rPr>
        <w:t xml:space="preserve"> in 2002, 2012 and 2022, respectively</w:t>
      </w:r>
      <w:r w:rsidRPr="00636421">
        <w:rPr>
          <w:rFonts w:asciiTheme="majorBidi" w:hAnsiTheme="majorBidi" w:cstheme="majorBidi"/>
          <w:lang w:bidi="fa-IR"/>
        </w:rPr>
        <w:t xml:space="preserve">. In 1992, approximately 0.12 </w:t>
      </w:r>
      <w:r w:rsidR="001851BC" w:rsidRPr="00636421">
        <w:rPr>
          <w:rFonts w:asciiTheme="majorBidi" w:hAnsiTheme="majorBidi" w:cstheme="majorBidi"/>
          <w:lang w:bidi="fa-IR"/>
        </w:rPr>
        <w:t>km</w:t>
      </w:r>
      <w:r w:rsidR="001851BC" w:rsidRPr="00636421">
        <w:rPr>
          <w:rFonts w:asciiTheme="majorBidi" w:hAnsiTheme="majorBidi" w:cstheme="majorBidi"/>
          <w:vertAlign w:val="superscript"/>
          <w:lang w:bidi="fa-IR"/>
        </w:rPr>
        <w:t>2</w:t>
      </w:r>
      <w:r w:rsidR="001851BC" w:rsidRPr="00636421">
        <w:rPr>
          <w:rFonts w:asciiTheme="majorBidi" w:hAnsiTheme="majorBidi" w:cstheme="majorBidi"/>
          <w:lang w:bidi="fa-IR"/>
        </w:rPr>
        <w:t xml:space="preserve"> </w:t>
      </w:r>
      <w:r w:rsidRPr="00636421">
        <w:rPr>
          <w:rFonts w:asciiTheme="majorBidi" w:hAnsiTheme="majorBidi" w:cstheme="majorBidi"/>
          <w:lang w:bidi="fa-IR"/>
        </w:rPr>
        <w:t xml:space="preserve">of the city of </w:t>
      </w:r>
      <w:proofErr w:type="spellStart"/>
      <w:r w:rsidRPr="00636421">
        <w:rPr>
          <w:rFonts w:asciiTheme="majorBidi" w:hAnsiTheme="majorBidi" w:cstheme="majorBidi"/>
          <w:lang w:bidi="fa-IR"/>
        </w:rPr>
        <w:t>Qorveh</w:t>
      </w:r>
      <w:proofErr w:type="spellEnd"/>
      <w:r w:rsidRPr="00636421">
        <w:rPr>
          <w:rFonts w:asciiTheme="majorBidi" w:hAnsiTheme="majorBidi" w:cstheme="majorBidi"/>
          <w:lang w:bidi="fa-IR"/>
        </w:rPr>
        <w:t xml:space="preserve"> was in hazardous areas, which increased to 0.19, 0.34, and 0.48 </w:t>
      </w:r>
      <w:r w:rsidR="001851BC" w:rsidRPr="00636421">
        <w:rPr>
          <w:rFonts w:asciiTheme="majorBidi" w:hAnsiTheme="majorBidi" w:cstheme="majorBidi"/>
          <w:lang w:bidi="fa-IR"/>
        </w:rPr>
        <w:t>km</w:t>
      </w:r>
      <w:r w:rsidR="001851BC" w:rsidRPr="00636421">
        <w:rPr>
          <w:rFonts w:asciiTheme="majorBidi" w:hAnsiTheme="majorBidi" w:cstheme="majorBidi"/>
          <w:vertAlign w:val="superscript"/>
          <w:lang w:bidi="fa-IR"/>
        </w:rPr>
        <w:t>2</w:t>
      </w:r>
      <w:r w:rsidR="001851BC" w:rsidRPr="00636421">
        <w:rPr>
          <w:rFonts w:asciiTheme="majorBidi" w:hAnsiTheme="majorBidi" w:cstheme="majorBidi"/>
          <w:lang w:bidi="fa-IR"/>
        </w:rPr>
        <w:t xml:space="preserve"> in 2002, 2012 and 2022, respectively</w:t>
      </w:r>
      <w:r w:rsidRPr="00636421">
        <w:rPr>
          <w:rFonts w:asciiTheme="majorBidi" w:hAnsiTheme="majorBidi" w:cstheme="majorBidi"/>
          <w:lang w:bidi="fa-IR"/>
        </w:rPr>
        <w:t xml:space="preserve">. In 1992, about 0.16 </w:t>
      </w:r>
      <w:r w:rsidR="000C5C06" w:rsidRPr="00636421">
        <w:rPr>
          <w:rFonts w:asciiTheme="majorBidi" w:hAnsiTheme="majorBidi" w:cstheme="majorBidi"/>
          <w:lang w:bidi="fa-IR"/>
        </w:rPr>
        <w:t>km</w:t>
      </w:r>
      <w:r w:rsidR="000C5C06" w:rsidRPr="00636421">
        <w:rPr>
          <w:rFonts w:asciiTheme="majorBidi" w:hAnsiTheme="majorBidi" w:cstheme="majorBidi"/>
          <w:vertAlign w:val="superscript"/>
          <w:lang w:bidi="fa-IR"/>
        </w:rPr>
        <w:t>2</w:t>
      </w:r>
      <w:r w:rsidR="000C5C06" w:rsidRPr="00636421">
        <w:rPr>
          <w:rFonts w:asciiTheme="majorBidi" w:hAnsiTheme="majorBidi" w:cstheme="majorBidi"/>
          <w:lang w:bidi="fa-IR"/>
        </w:rPr>
        <w:t xml:space="preserve"> </w:t>
      </w:r>
      <w:r w:rsidRPr="00636421">
        <w:rPr>
          <w:rFonts w:asciiTheme="majorBidi" w:hAnsiTheme="majorBidi" w:cstheme="majorBidi"/>
          <w:lang w:bidi="fa-IR"/>
        </w:rPr>
        <w:t xml:space="preserve">of the city of </w:t>
      </w:r>
      <w:proofErr w:type="spellStart"/>
      <w:r w:rsidRPr="00636421">
        <w:rPr>
          <w:rFonts w:asciiTheme="majorBidi" w:hAnsiTheme="majorBidi" w:cstheme="majorBidi"/>
          <w:lang w:bidi="fa-IR"/>
        </w:rPr>
        <w:t>Kamyaran</w:t>
      </w:r>
      <w:proofErr w:type="spellEnd"/>
      <w:r w:rsidRPr="00636421">
        <w:rPr>
          <w:rFonts w:asciiTheme="majorBidi" w:hAnsiTheme="majorBidi" w:cstheme="majorBidi"/>
          <w:lang w:bidi="fa-IR"/>
        </w:rPr>
        <w:t xml:space="preserve"> was in hazardous areas, which increased to 0.23, 0.32, and 0.39 </w:t>
      </w:r>
      <w:r w:rsidR="000C5C06" w:rsidRPr="00636421">
        <w:rPr>
          <w:rFonts w:asciiTheme="majorBidi" w:hAnsiTheme="majorBidi" w:cstheme="majorBidi"/>
          <w:lang w:bidi="fa-IR"/>
        </w:rPr>
        <w:t>km</w:t>
      </w:r>
      <w:r w:rsidR="000C5C06" w:rsidRPr="00636421">
        <w:rPr>
          <w:rFonts w:asciiTheme="majorBidi" w:hAnsiTheme="majorBidi" w:cstheme="majorBidi"/>
          <w:vertAlign w:val="superscript"/>
          <w:lang w:bidi="fa-IR"/>
        </w:rPr>
        <w:t>2</w:t>
      </w:r>
      <w:r w:rsidR="000C5C06" w:rsidRPr="00636421">
        <w:rPr>
          <w:rFonts w:asciiTheme="majorBidi" w:hAnsiTheme="majorBidi" w:cstheme="majorBidi"/>
          <w:lang w:bidi="fa-IR"/>
        </w:rPr>
        <w:t xml:space="preserve"> 2002, 2012 and 2022, respectively</w:t>
      </w:r>
      <w:r w:rsidRPr="00636421">
        <w:rPr>
          <w:rFonts w:asciiTheme="majorBidi" w:hAnsiTheme="majorBidi" w:cstheme="majorBidi"/>
          <w:lang w:bidi="fa-IR"/>
        </w:rPr>
        <w:t xml:space="preserve">. In 1992, approximately 1.17 </w:t>
      </w:r>
      <w:r w:rsidR="000C5C06" w:rsidRPr="00636421">
        <w:rPr>
          <w:rFonts w:asciiTheme="majorBidi" w:hAnsiTheme="majorBidi" w:cstheme="majorBidi"/>
          <w:lang w:bidi="fa-IR"/>
        </w:rPr>
        <w:t>km</w:t>
      </w:r>
      <w:r w:rsidR="000C5C06" w:rsidRPr="00636421">
        <w:rPr>
          <w:rFonts w:asciiTheme="majorBidi" w:hAnsiTheme="majorBidi" w:cstheme="majorBidi"/>
          <w:vertAlign w:val="superscript"/>
          <w:lang w:bidi="fa-IR"/>
        </w:rPr>
        <w:t>2</w:t>
      </w:r>
      <w:r w:rsidR="000C5C06" w:rsidRPr="00636421">
        <w:rPr>
          <w:rFonts w:asciiTheme="majorBidi" w:hAnsiTheme="majorBidi" w:cstheme="majorBidi"/>
          <w:lang w:bidi="fa-IR"/>
        </w:rPr>
        <w:t xml:space="preserve"> </w:t>
      </w:r>
      <w:r w:rsidRPr="00636421">
        <w:rPr>
          <w:rFonts w:asciiTheme="majorBidi" w:hAnsiTheme="majorBidi" w:cstheme="majorBidi"/>
          <w:lang w:bidi="fa-IR"/>
        </w:rPr>
        <w:t xml:space="preserve">of the city of Marivan was in hazardous areas, which increased to 1.25, 2.16, and 2.23 </w:t>
      </w:r>
      <w:r w:rsidR="000C5C06" w:rsidRPr="00636421">
        <w:rPr>
          <w:rFonts w:asciiTheme="majorBidi" w:hAnsiTheme="majorBidi" w:cstheme="majorBidi"/>
          <w:lang w:bidi="fa-IR"/>
        </w:rPr>
        <w:t>km</w:t>
      </w:r>
      <w:r w:rsidR="000C5C06" w:rsidRPr="00636421">
        <w:rPr>
          <w:rFonts w:asciiTheme="majorBidi" w:hAnsiTheme="majorBidi" w:cstheme="majorBidi"/>
          <w:vertAlign w:val="superscript"/>
          <w:lang w:bidi="fa-IR"/>
        </w:rPr>
        <w:t>2</w:t>
      </w:r>
      <w:r w:rsidR="000C5C06" w:rsidRPr="00636421">
        <w:rPr>
          <w:rFonts w:asciiTheme="majorBidi" w:hAnsiTheme="majorBidi" w:cstheme="majorBidi"/>
          <w:lang w:bidi="fa-IR"/>
        </w:rPr>
        <w:t xml:space="preserve"> in 2002, 2012 and 2022, respectively</w:t>
      </w:r>
      <w:r w:rsidRPr="00636421">
        <w:rPr>
          <w:rFonts w:asciiTheme="majorBidi" w:hAnsiTheme="majorBidi" w:cstheme="majorBidi"/>
          <w:lang w:bidi="fa-IR"/>
        </w:rPr>
        <w:t>.</w:t>
      </w:r>
    </w:p>
    <w:p w14:paraId="1E9CB259" w14:textId="77777777" w:rsidR="0031218D" w:rsidRPr="008C1DB1" w:rsidRDefault="0031218D" w:rsidP="008C1DB1">
      <w:pPr>
        <w:bidi w:val="0"/>
        <w:spacing w:after="0" w:line="240" w:lineRule="auto"/>
        <w:jc w:val="both"/>
        <w:rPr>
          <w:rFonts w:asciiTheme="majorBidi" w:hAnsiTheme="majorBidi" w:cstheme="majorBidi"/>
          <w:sz w:val="20"/>
          <w:szCs w:val="20"/>
          <w:lang w:bidi="fa-IR"/>
        </w:rPr>
      </w:pPr>
    </w:p>
    <w:p w14:paraId="0D84339A" w14:textId="0CCE3538" w:rsidR="0031218D" w:rsidRPr="008C1DB1" w:rsidRDefault="0031218D" w:rsidP="001915F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 xml:space="preserve">Table </w:t>
      </w:r>
      <w:r w:rsidR="001915F1">
        <w:rPr>
          <w:rFonts w:asciiTheme="majorBidi" w:hAnsiTheme="majorBidi" w:cstheme="majorBidi"/>
          <w:b/>
          <w:bCs/>
          <w:sz w:val="20"/>
          <w:szCs w:val="20"/>
          <w:lang w:bidi="fa-IR"/>
        </w:rPr>
        <w:t>5</w:t>
      </w:r>
      <w:r w:rsidRPr="008C1DB1">
        <w:rPr>
          <w:rFonts w:asciiTheme="majorBidi" w:hAnsiTheme="majorBidi" w:cstheme="majorBidi"/>
          <w:b/>
          <w:bCs/>
          <w:sz w:val="20"/>
          <w:szCs w:val="20"/>
          <w:lang w:bidi="fa-IR"/>
        </w:rPr>
        <w:t xml:space="preserve">. </w:t>
      </w:r>
      <w:r w:rsidRPr="008C1DB1">
        <w:rPr>
          <w:rFonts w:asciiTheme="majorBidi" w:hAnsiTheme="majorBidi" w:cstheme="majorBidi"/>
          <w:sz w:val="20"/>
          <w:szCs w:val="20"/>
          <w:lang w:bidi="fa-IR"/>
        </w:rPr>
        <w:t>Area of Hazardous Urban Zones in the Cities of Kurdistan Province (Km</w:t>
      </w:r>
      <w:r w:rsidRPr="008C1DB1">
        <w:rPr>
          <w:rFonts w:asciiTheme="majorBidi" w:hAnsiTheme="majorBidi" w:cstheme="majorBidi"/>
          <w:sz w:val="20"/>
          <w:szCs w:val="20"/>
          <w:vertAlign w:val="superscript"/>
          <w:lang w:bidi="fa-IR"/>
        </w:rPr>
        <w:t>2</w:t>
      </w:r>
      <w:r w:rsidRPr="008C1DB1">
        <w:rPr>
          <w:rFonts w:asciiTheme="majorBidi" w:hAnsiTheme="majorBidi" w:cstheme="majorBidi"/>
          <w:sz w:val="20"/>
          <w:szCs w:val="20"/>
          <w:lang w:bidi="fa-IR"/>
        </w:rPr>
        <w:t>)</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1385"/>
        <w:gridCol w:w="1385"/>
        <w:gridCol w:w="1385"/>
        <w:gridCol w:w="1385"/>
        <w:gridCol w:w="1385"/>
      </w:tblGrid>
      <w:tr w:rsidR="0031218D" w:rsidRPr="008C1DB1" w14:paraId="70316D8C" w14:textId="77777777" w:rsidTr="005F2950">
        <w:trPr>
          <w:trHeight w:val="20"/>
          <w:jc w:val="center"/>
        </w:trPr>
        <w:tc>
          <w:tcPr>
            <w:tcW w:w="1385" w:type="dxa"/>
            <w:tcBorders>
              <w:bottom w:val="single" w:sz="4" w:space="0" w:color="auto"/>
            </w:tcBorders>
            <w:vAlign w:val="center"/>
          </w:tcPr>
          <w:p w14:paraId="11A75ECC" w14:textId="77777777" w:rsidR="0031218D" w:rsidRPr="005F2950" w:rsidRDefault="0031218D"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2022</w:t>
            </w:r>
          </w:p>
        </w:tc>
        <w:tc>
          <w:tcPr>
            <w:tcW w:w="1385" w:type="dxa"/>
            <w:tcBorders>
              <w:bottom w:val="single" w:sz="4" w:space="0" w:color="auto"/>
            </w:tcBorders>
            <w:vAlign w:val="center"/>
          </w:tcPr>
          <w:p w14:paraId="5CEC64F4" w14:textId="77777777" w:rsidR="0031218D" w:rsidRPr="005F2950" w:rsidRDefault="0031218D"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2012</w:t>
            </w:r>
          </w:p>
        </w:tc>
        <w:tc>
          <w:tcPr>
            <w:tcW w:w="1385" w:type="dxa"/>
            <w:tcBorders>
              <w:bottom w:val="single" w:sz="4" w:space="0" w:color="auto"/>
            </w:tcBorders>
            <w:vAlign w:val="center"/>
          </w:tcPr>
          <w:p w14:paraId="73E9C69B" w14:textId="77777777" w:rsidR="0031218D" w:rsidRPr="005F2950" w:rsidRDefault="0031218D"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2002</w:t>
            </w:r>
          </w:p>
        </w:tc>
        <w:tc>
          <w:tcPr>
            <w:tcW w:w="1385" w:type="dxa"/>
            <w:tcBorders>
              <w:bottom w:val="single" w:sz="4" w:space="0" w:color="auto"/>
            </w:tcBorders>
            <w:vAlign w:val="center"/>
          </w:tcPr>
          <w:p w14:paraId="6A752849" w14:textId="77777777" w:rsidR="0031218D" w:rsidRPr="005F2950" w:rsidRDefault="0031218D" w:rsidP="008C1DB1">
            <w:pPr>
              <w:spacing w:after="0" w:line="240" w:lineRule="auto"/>
              <w:jc w:val="center"/>
              <w:rPr>
                <w:rFonts w:asciiTheme="majorBidi" w:hAnsiTheme="majorBidi" w:cstheme="majorBidi"/>
                <w:color w:val="000000" w:themeColor="text1"/>
                <w:sz w:val="20"/>
                <w:szCs w:val="20"/>
                <w:rtl/>
                <w:lang w:bidi="fa-IR"/>
              </w:rPr>
            </w:pPr>
            <w:r w:rsidRPr="005F2950">
              <w:rPr>
                <w:rFonts w:asciiTheme="majorBidi" w:hAnsiTheme="majorBidi" w:cstheme="majorBidi"/>
                <w:sz w:val="20"/>
                <w:szCs w:val="20"/>
              </w:rPr>
              <w:t>1992</w:t>
            </w:r>
          </w:p>
        </w:tc>
        <w:tc>
          <w:tcPr>
            <w:tcW w:w="1385" w:type="dxa"/>
            <w:tcBorders>
              <w:top w:val="single" w:sz="4" w:space="0" w:color="auto"/>
              <w:bottom w:val="single" w:sz="4" w:space="0" w:color="auto"/>
              <w:tl2br w:val="single" w:sz="4" w:space="0" w:color="auto"/>
            </w:tcBorders>
            <w:vAlign w:val="center"/>
          </w:tcPr>
          <w:p w14:paraId="2B975BA7" w14:textId="77777777" w:rsidR="0031218D" w:rsidRPr="005F2950" w:rsidRDefault="0031218D" w:rsidP="008C1DB1">
            <w:pPr>
              <w:bidi w:val="0"/>
              <w:spacing w:after="0" w:line="240" w:lineRule="auto"/>
              <w:rPr>
                <w:rFonts w:asciiTheme="majorBidi" w:hAnsiTheme="majorBidi" w:cstheme="majorBidi"/>
                <w:color w:val="000000" w:themeColor="text1"/>
                <w:sz w:val="20"/>
                <w:szCs w:val="20"/>
                <w:lang w:bidi="fa-IR"/>
              </w:rPr>
            </w:pPr>
            <w:r w:rsidRPr="005F2950">
              <w:rPr>
                <w:rFonts w:asciiTheme="majorBidi" w:hAnsiTheme="majorBidi" w:cstheme="majorBidi"/>
                <w:color w:val="000000" w:themeColor="text1"/>
                <w:sz w:val="20"/>
                <w:szCs w:val="20"/>
                <w:lang w:bidi="fa-IR"/>
              </w:rPr>
              <w:t xml:space="preserve">           Year</w:t>
            </w:r>
          </w:p>
          <w:p w14:paraId="68A3D50E" w14:textId="77777777" w:rsidR="0031218D" w:rsidRPr="005F2950" w:rsidRDefault="0031218D" w:rsidP="008C1DB1">
            <w:pPr>
              <w:bidi w:val="0"/>
              <w:spacing w:after="0" w:line="240" w:lineRule="auto"/>
              <w:rPr>
                <w:rFonts w:asciiTheme="majorBidi" w:hAnsiTheme="majorBidi" w:cstheme="majorBidi"/>
                <w:color w:val="000000" w:themeColor="text1"/>
                <w:sz w:val="20"/>
                <w:szCs w:val="20"/>
                <w:rtl/>
                <w:lang w:bidi="fa-IR"/>
              </w:rPr>
            </w:pPr>
            <w:r w:rsidRPr="005F2950">
              <w:rPr>
                <w:rFonts w:asciiTheme="majorBidi" w:hAnsiTheme="majorBidi" w:cstheme="majorBidi"/>
                <w:color w:val="000000" w:themeColor="text1"/>
                <w:sz w:val="20"/>
                <w:szCs w:val="20"/>
                <w:lang w:bidi="fa-IR"/>
              </w:rPr>
              <w:t>City</w:t>
            </w:r>
          </w:p>
        </w:tc>
      </w:tr>
      <w:tr w:rsidR="0031218D" w:rsidRPr="008C1DB1" w14:paraId="18AE7F38" w14:textId="77777777" w:rsidTr="00DA1210">
        <w:trPr>
          <w:trHeight w:val="20"/>
          <w:jc w:val="center"/>
        </w:trPr>
        <w:tc>
          <w:tcPr>
            <w:tcW w:w="1385" w:type="dxa"/>
            <w:tcBorders>
              <w:top w:val="single" w:sz="4" w:space="0" w:color="auto"/>
            </w:tcBorders>
          </w:tcPr>
          <w:p w14:paraId="3344908B" w14:textId="6E71B9A5"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3.02</w:t>
            </w:r>
          </w:p>
        </w:tc>
        <w:tc>
          <w:tcPr>
            <w:tcW w:w="1385" w:type="dxa"/>
            <w:tcBorders>
              <w:top w:val="single" w:sz="4" w:space="0" w:color="auto"/>
            </w:tcBorders>
          </w:tcPr>
          <w:p w14:paraId="6869E18F" w14:textId="36DAF2B6"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2.59</w:t>
            </w:r>
          </w:p>
        </w:tc>
        <w:tc>
          <w:tcPr>
            <w:tcW w:w="1385" w:type="dxa"/>
            <w:tcBorders>
              <w:top w:val="single" w:sz="4" w:space="0" w:color="auto"/>
            </w:tcBorders>
          </w:tcPr>
          <w:p w14:paraId="40FF2C93" w14:textId="2013143F"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1.45</w:t>
            </w:r>
          </w:p>
        </w:tc>
        <w:tc>
          <w:tcPr>
            <w:tcW w:w="1385" w:type="dxa"/>
            <w:tcBorders>
              <w:top w:val="single" w:sz="4" w:space="0" w:color="auto"/>
            </w:tcBorders>
          </w:tcPr>
          <w:p w14:paraId="185DE663" w14:textId="4875A3EA"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1.18</w:t>
            </w:r>
          </w:p>
        </w:tc>
        <w:tc>
          <w:tcPr>
            <w:tcW w:w="1385" w:type="dxa"/>
            <w:tcBorders>
              <w:top w:val="single" w:sz="4" w:space="0" w:color="auto"/>
            </w:tcBorders>
            <w:vAlign w:val="center"/>
          </w:tcPr>
          <w:p w14:paraId="655C156A" w14:textId="77777777"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Baneh</w:t>
            </w:r>
          </w:p>
        </w:tc>
      </w:tr>
      <w:tr w:rsidR="0031218D" w:rsidRPr="008C1DB1" w14:paraId="7FDF0BF3" w14:textId="77777777" w:rsidTr="00DA1210">
        <w:trPr>
          <w:trHeight w:val="20"/>
          <w:jc w:val="center"/>
        </w:trPr>
        <w:tc>
          <w:tcPr>
            <w:tcW w:w="1385" w:type="dxa"/>
          </w:tcPr>
          <w:p w14:paraId="7953368C" w14:textId="446A99D0"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1.31</w:t>
            </w:r>
          </w:p>
        </w:tc>
        <w:tc>
          <w:tcPr>
            <w:tcW w:w="1385" w:type="dxa"/>
          </w:tcPr>
          <w:p w14:paraId="08608356" w14:textId="2DDD5C9F"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1.20</w:t>
            </w:r>
          </w:p>
        </w:tc>
        <w:tc>
          <w:tcPr>
            <w:tcW w:w="1385" w:type="dxa"/>
          </w:tcPr>
          <w:p w14:paraId="799B3210" w14:textId="6CDD8236"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0.94</w:t>
            </w:r>
          </w:p>
        </w:tc>
        <w:tc>
          <w:tcPr>
            <w:tcW w:w="1385" w:type="dxa"/>
          </w:tcPr>
          <w:p w14:paraId="51DC7604" w14:textId="718FA450"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0.08</w:t>
            </w:r>
          </w:p>
        </w:tc>
        <w:tc>
          <w:tcPr>
            <w:tcW w:w="1385" w:type="dxa"/>
            <w:vAlign w:val="center"/>
          </w:tcPr>
          <w:p w14:paraId="11A84801" w14:textId="77777777"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Bijar</w:t>
            </w:r>
          </w:p>
        </w:tc>
      </w:tr>
      <w:tr w:rsidR="0031218D" w:rsidRPr="008C1DB1" w14:paraId="115E129E" w14:textId="77777777" w:rsidTr="00DA1210">
        <w:trPr>
          <w:trHeight w:val="20"/>
          <w:jc w:val="center"/>
        </w:trPr>
        <w:tc>
          <w:tcPr>
            <w:tcW w:w="1385" w:type="dxa"/>
          </w:tcPr>
          <w:p w14:paraId="2ADA7552" w14:textId="14C1501E"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0.43</w:t>
            </w:r>
          </w:p>
        </w:tc>
        <w:tc>
          <w:tcPr>
            <w:tcW w:w="1385" w:type="dxa"/>
          </w:tcPr>
          <w:p w14:paraId="19D39100" w14:textId="7CC41BC7"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0.37</w:t>
            </w:r>
          </w:p>
        </w:tc>
        <w:tc>
          <w:tcPr>
            <w:tcW w:w="1385" w:type="dxa"/>
          </w:tcPr>
          <w:p w14:paraId="646E680B" w14:textId="13FC78D9"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0.15</w:t>
            </w:r>
          </w:p>
        </w:tc>
        <w:tc>
          <w:tcPr>
            <w:tcW w:w="1385" w:type="dxa"/>
          </w:tcPr>
          <w:p w14:paraId="7A9A4CED" w14:textId="3A4FB28E"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0.14</w:t>
            </w:r>
          </w:p>
        </w:tc>
        <w:tc>
          <w:tcPr>
            <w:tcW w:w="1385" w:type="dxa"/>
            <w:vAlign w:val="center"/>
          </w:tcPr>
          <w:p w14:paraId="0C8625A0" w14:textId="77777777" w:rsidR="0031218D" w:rsidRPr="008C1DB1" w:rsidRDefault="0031218D"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Dehgolan</w:t>
            </w:r>
            <w:proofErr w:type="spellEnd"/>
          </w:p>
        </w:tc>
      </w:tr>
      <w:tr w:rsidR="0031218D" w:rsidRPr="008C1DB1" w14:paraId="07EB0C93" w14:textId="77777777" w:rsidTr="00DA1210">
        <w:trPr>
          <w:trHeight w:val="20"/>
          <w:jc w:val="center"/>
        </w:trPr>
        <w:tc>
          <w:tcPr>
            <w:tcW w:w="1385" w:type="dxa"/>
          </w:tcPr>
          <w:p w14:paraId="60FCE04F" w14:textId="3497EC47"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0.51</w:t>
            </w:r>
          </w:p>
        </w:tc>
        <w:tc>
          <w:tcPr>
            <w:tcW w:w="1385" w:type="dxa"/>
          </w:tcPr>
          <w:p w14:paraId="60361748" w14:textId="378039C9"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0.40</w:t>
            </w:r>
          </w:p>
        </w:tc>
        <w:tc>
          <w:tcPr>
            <w:tcW w:w="1385" w:type="dxa"/>
          </w:tcPr>
          <w:p w14:paraId="1628042B" w14:textId="5287EBC1"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0.25</w:t>
            </w:r>
          </w:p>
        </w:tc>
        <w:tc>
          <w:tcPr>
            <w:tcW w:w="1385" w:type="dxa"/>
          </w:tcPr>
          <w:p w14:paraId="1834A563" w14:textId="72F316F3"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0.18</w:t>
            </w:r>
          </w:p>
        </w:tc>
        <w:tc>
          <w:tcPr>
            <w:tcW w:w="1385" w:type="dxa"/>
            <w:vAlign w:val="center"/>
          </w:tcPr>
          <w:p w14:paraId="36B9908C" w14:textId="77777777" w:rsidR="0031218D" w:rsidRPr="008C1DB1" w:rsidRDefault="0031218D"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Divandareh</w:t>
            </w:r>
            <w:proofErr w:type="spellEnd"/>
          </w:p>
        </w:tc>
      </w:tr>
      <w:tr w:rsidR="0031218D" w:rsidRPr="008C1DB1" w14:paraId="64805BFD" w14:textId="77777777" w:rsidTr="00DA1210">
        <w:trPr>
          <w:trHeight w:val="20"/>
          <w:jc w:val="center"/>
        </w:trPr>
        <w:tc>
          <w:tcPr>
            <w:tcW w:w="1385" w:type="dxa"/>
          </w:tcPr>
          <w:p w14:paraId="5F4E2257" w14:textId="74FF8D35"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0.18</w:t>
            </w:r>
          </w:p>
        </w:tc>
        <w:tc>
          <w:tcPr>
            <w:tcW w:w="1385" w:type="dxa"/>
          </w:tcPr>
          <w:p w14:paraId="5388539F" w14:textId="1C3F666B"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0.10</w:t>
            </w:r>
          </w:p>
        </w:tc>
        <w:tc>
          <w:tcPr>
            <w:tcW w:w="1385" w:type="dxa"/>
          </w:tcPr>
          <w:p w14:paraId="2FFCE9CF" w14:textId="26681B19"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0.06</w:t>
            </w:r>
          </w:p>
        </w:tc>
        <w:tc>
          <w:tcPr>
            <w:tcW w:w="1385" w:type="dxa"/>
          </w:tcPr>
          <w:p w14:paraId="14A26505" w14:textId="7305F292"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0.04</w:t>
            </w:r>
          </w:p>
        </w:tc>
        <w:tc>
          <w:tcPr>
            <w:tcW w:w="1385" w:type="dxa"/>
            <w:vAlign w:val="center"/>
          </w:tcPr>
          <w:p w14:paraId="350A3AD9" w14:textId="77777777" w:rsidR="0031218D" w:rsidRPr="008C1DB1" w:rsidRDefault="0031218D"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Sarvabad</w:t>
            </w:r>
            <w:proofErr w:type="spellEnd"/>
          </w:p>
        </w:tc>
      </w:tr>
      <w:tr w:rsidR="0031218D" w:rsidRPr="008C1DB1" w14:paraId="3EE69E6A" w14:textId="77777777" w:rsidTr="00DA1210">
        <w:trPr>
          <w:trHeight w:val="20"/>
          <w:jc w:val="center"/>
        </w:trPr>
        <w:tc>
          <w:tcPr>
            <w:tcW w:w="1385" w:type="dxa"/>
          </w:tcPr>
          <w:p w14:paraId="2B55EBDA" w14:textId="44422A16"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2.89</w:t>
            </w:r>
          </w:p>
        </w:tc>
        <w:tc>
          <w:tcPr>
            <w:tcW w:w="1385" w:type="dxa"/>
          </w:tcPr>
          <w:p w14:paraId="1A45D61A" w14:textId="52CEB8BB"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2.32</w:t>
            </w:r>
          </w:p>
        </w:tc>
        <w:tc>
          <w:tcPr>
            <w:tcW w:w="1385" w:type="dxa"/>
          </w:tcPr>
          <w:p w14:paraId="04335700" w14:textId="0F3CFCDE"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1.62</w:t>
            </w:r>
          </w:p>
        </w:tc>
        <w:tc>
          <w:tcPr>
            <w:tcW w:w="1385" w:type="dxa"/>
          </w:tcPr>
          <w:p w14:paraId="409D4D47" w14:textId="627A7DEE"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1.40</w:t>
            </w:r>
          </w:p>
        </w:tc>
        <w:tc>
          <w:tcPr>
            <w:tcW w:w="1385" w:type="dxa"/>
            <w:vAlign w:val="center"/>
          </w:tcPr>
          <w:p w14:paraId="6DAA720F" w14:textId="6A020489" w:rsidR="0031218D" w:rsidRPr="008C1DB1" w:rsidRDefault="00E72925"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Saghez</w:t>
            </w:r>
            <w:proofErr w:type="spellEnd"/>
          </w:p>
        </w:tc>
      </w:tr>
      <w:tr w:rsidR="0031218D" w:rsidRPr="008C1DB1" w14:paraId="1C37B509" w14:textId="77777777" w:rsidTr="00DA1210">
        <w:trPr>
          <w:trHeight w:val="20"/>
          <w:jc w:val="center"/>
        </w:trPr>
        <w:tc>
          <w:tcPr>
            <w:tcW w:w="1385" w:type="dxa"/>
          </w:tcPr>
          <w:p w14:paraId="305810D1" w14:textId="1D323FE8"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5.70</w:t>
            </w:r>
          </w:p>
        </w:tc>
        <w:tc>
          <w:tcPr>
            <w:tcW w:w="1385" w:type="dxa"/>
          </w:tcPr>
          <w:p w14:paraId="3D89E044" w14:textId="749D1497"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4.97</w:t>
            </w:r>
          </w:p>
        </w:tc>
        <w:tc>
          <w:tcPr>
            <w:tcW w:w="1385" w:type="dxa"/>
          </w:tcPr>
          <w:p w14:paraId="6D6D6F56" w14:textId="4EADC65C"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3.95</w:t>
            </w:r>
          </w:p>
        </w:tc>
        <w:tc>
          <w:tcPr>
            <w:tcW w:w="1385" w:type="dxa"/>
          </w:tcPr>
          <w:p w14:paraId="1A551FE5" w14:textId="3289175D"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2.98</w:t>
            </w:r>
          </w:p>
        </w:tc>
        <w:tc>
          <w:tcPr>
            <w:tcW w:w="1385" w:type="dxa"/>
            <w:vAlign w:val="center"/>
          </w:tcPr>
          <w:p w14:paraId="4EB54C2A" w14:textId="77777777"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Sanandaj</w:t>
            </w:r>
          </w:p>
        </w:tc>
      </w:tr>
      <w:tr w:rsidR="0031218D" w:rsidRPr="008C1DB1" w14:paraId="10195AE6" w14:textId="77777777" w:rsidTr="00DA1210">
        <w:trPr>
          <w:trHeight w:val="20"/>
          <w:jc w:val="center"/>
        </w:trPr>
        <w:tc>
          <w:tcPr>
            <w:tcW w:w="1385" w:type="dxa"/>
          </w:tcPr>
          <w:p w14:paraId="2028E294" w14:textId="0E4D678A"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0.48</w:t>
            </w:r>
          </w:p>
        </w:tc>
        <w:tc>
          <w:tcPr>
            <w:tcW w:w="1385" w:type="dxa"/>
          </w:tcPr>
          <w:p w14:paraId="5B89061B" w14:textId="320838C1"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0.34</w:t>
            </w:r>
          </w:p>
        </w:tc>
        <w:tc>
          <w:tcPr>
            <w:tcW w:w="1385" w:type="dxa"/>
          </w:tcPr>
          <w:p w14:paraId="32BC1872" w14:textId="34637FB4"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0.19</w:t>
            </w:r>
          </w:p>
        </w:tc>
        <w:tc>
          <w:tcPr>
            <w:tcW w:w="1385" w:type="dxa"/>
          </w:tcPr>
          <w:p w14:paraId="750290B2" w14:textId="75FB71D8"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0.12</w:t>
            </w:r>
          </w:p>
        </w:tc>
        <w:tc>
          <w:tcPr>
            <w:tcW w:w="1385" w:type="dxa"/>
            <w:vAlign w:val="center"/>
          </w:tcPr>
          <w:p w14:paraId="7E760135" w14:textId="77777777" w:rsidR="0031218D" w:rsidRPr="008C1DB1" w:rsidRDefault="0031218D"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Qorveh</w:t>
            </w:r>
            <w:proofErr w:type="spellEnd"/>
          </w:p>
        </w:tc>
      </w:tr>
      <w:tr w:rsidR="0031218D" w:rsidRPr="008C1DB1" w14:paraId="52F5081C" w14:textId="77777777" w:rsidTr="00DA1210">
        <w:trPr>
          <w:trHeight w:val="20"/>
          <w:jc w:val="center"/>
        </w:trPr>
        <w:tc>
          <w:tcPr>
            <w:tcW w:w="1385" w:type="dxa"/>
          </w:tcPr>
          <w:p w14:paraId="37C0DAC9" w14:textId="229DF84E"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0.39</w:t>
            </w:r>
          </w:p>
        </w:tc>
        <w:tc>
          <w:tcPr>
            <w:tcW w:w="1385" w:type="dxa"/>
          </w:tcPr>
          <w:p w14:paraId="7C961174" w14:textId="4D2E9969"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0.32</w:t>
            </w:r>
          </w:p>
        </w:tc>
        <w:tc>
          <w:tcPr>
            <w:tcW w:w="1385" w:type="dxa"/>
          </w:tcPr>
          <w:p w14:paraId="24289770" w14:textId="357CB840"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0.23</w:t>
            </w:r>
          </w:p>
        </w:tc>
        <w:tc>
          <w:tcPr>
            <w:tcW w:w="1385" w:type="dxa"/>
          </w:tcPr>
          <w:p w14:paraId="444666C0" w14:textId="47E7B467"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0.16</w:t>
            </w:r>
          </w:p>
        </w:tc>
        <w:tc>
          <w:tcPr>
            <w:tcW w:w="1385" w:type="dxa"/>
            <w:vAlign w:val="center"/>
          </w:tcPr>
          <w:p w14:paraId="5BE09D07" w14:textId="526D27DD" w:rsidR="0031218D" w:rsidRPr="008C1DB1" w:rsidRDefault="00E72925" w:rsidP="008C1DB1">
            <w:pPr>
              <w:spacing w:after="0" w:line="240" w:lineRule="auto"/>
              <w:jc w:val="center"/>
              <w:rPr>
                <w:rFonts w:asciiTheme="majorBidi" w:hAnsiTheme="majorBidi" w:cstheme="majorBidi"/>
                <w:sz w:val="20"/>
                <w:szCs w:val="20"/>
                <w:rtl/>
              </w:rPr>
            </w:pPr>
            <w:proofErr w:type="spellStart"/>
            <w:r w:rsidRPr="008C1DB1">
              <w:rPr>
                <w:rFonts w:asciiTheme="majorBidi" w:hAnsiTheme="majorBidi" w:cstheme="majorBidi"/>
                <w:sz w:val="20"/>
                <w:szCs w:val="20"/>
              </w:rPr>
              <w:t>Kamyaran</w:t>
            </w:r>
            <w:proofErr w:type="spellEnd"/>
          </w:p>
        </w:tc>
      </w:tr>
      <w:tr w:rsidR="0031218D" w:rsidRPr="008C1DB1" w14:paraId="43776F70" w14:textId="77777777" w:rsidTr="00DA1210">
        <w:trPr>
          <w:trHeight w:val="20"/>
          <w:jc w:val="center"/>
        </w:trPr>
        <w:tc>
          <w:tcPr>
            <w:tcW w:w="1385" w:type="dxa"/>
          </w:tcPr>
          <w:p w14:paraId="1D44E999" w14:textId="6957FB08"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2.23</w:t>
            </w:r>
          </w:p>
        </w:tc>
        <w:tc>
          <w:tcPr>
            <w:tcW w:w="1385" w:type="dxa"/>
          </w:tcPr>
          <w:p w14:paraId="77C25ABC" w14:textId="588056BA"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2.16</w:t>
            </w:r>
          </w:p>
        </w:tc>
        <w:tc>
          <w:tcPr>
            <w:tcW w:w="1385" w:type="dxa"/>
          </w:tcPr>
          <w:p w14:paraId="761FDB6D" w14:textId="20A815B4"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1.25</w:t>
            </w:r>
          </w:p>
        </w:tc>
        <w:tc>
          <w:tcPr>
            <w:tcW w:w="1385" w:type="dxa"/>
          </w:tcPr>
          <w:p w14:paraId="3F31CBA0" w14:textId="7B030C1D"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1.17</w:t>
            </w:r>
          </w:p>
        </w:tc>
        <w:tc>
          <w:tcPr>
            <w:tcW w:w="1385" w:type="dxa"/>
            <w:vAlign w:val="center"/>
          </w:tcPr>
          <w:p w14:paraId="745D89AC" w14:textId="77777777" w:rsidR="0031218D" w:rsidRPr="008C1DB1" w:rsidRDefault="0031218D" w:rsidP="008C1DB1">
            <w:pPr>
              <w:spacing w:after="0" w:line="240" w:lineRule="auto"/>
              <w:jc w:val="center"/>
              <w:rPr>
                <w:rFonts w:asciiTheme="majorBidi" w:hAnsiTheme="majorBidi" w:cstheme="majorBidi"/>
                <w:sz w:val="20"/>
                <w:szCs w:val="20"/>
                <w:rtl/>
              </w:rPr>
            </w:pPr>
            <w:r w:rsidRPr="008C1DB1">
              <w:rPr>
                <w:rFonts w:asciiTheme="majorBidi" w:hAnsiTheme="majorBidi" w:cstheme="majorBidi"/>
                <w:sz w:val="20"/>
                <w:szCs w:val="20"/>
              </w:rPr>
              <w:t>Marivan</w:t>
            </w:r>
          </w:p>
        </w:tc>
      </w:tr>
    </w:tbl>
    <w:p w14:paraId="7E870F2C" w14:textId="77777777" w:rsidR="00DE4D41" w:rsidRPr="008C1DB1" w:rsidRDefault="00DE4D41" w:rsidP="00636421">
      <w:pPr>
        <w:rPr>
          <w:lang w:bidi="fa-IR"/>
        </w:rPr>
      </w:pPr>
    </w:p>
    <w:p w14:paraId="6992A1ED" w14:textId="395AEDE5" w:rsidR="00C2014F" w:rsidRPr="008C1DB1" w:rsidRDefault="00C2014F" w:rsidP="008C1DB1">
      <w:pPr>
        <w:bidi w:val="0"/>
        <w:spacing w:after="0" w:line="240" w:lineRule="auto"/>
        <w:jc w:val="center"/>
        <w:rPr>
          <w:rFonts w:asciiTheme="majorBidi" w:hAnsiTheme="majorBidi" w:cstheme="majorBidi"/>
          <w:sz w:val="20"/>
          <w:szCs w:val="20"/>
          <w:lang w:bidi="fa-IR"/>
        </w:rPr>
      </w:pPr>
      <w:r w:rsidRPr="008C1DB1">
        <w:rPr>
          <w:noProof/>
          <w:color w:val="000000" w:themeColor="text1"/>
          <w:sz w:val="20"/>
          <w:szCs w:val="20"/>
        </w:rPr>
        <w:drawing>
          <wp:inline distT="0" distB="0" distL="0" distR="0" wp14:anchorId="70653A23" wp14:editId="767449A5">
            <wp:extent cx="5121275" cy="275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5121275" cy="2755900"/>
                    </a:xfrm>
                    <a:prstGeom prst="rect">
                      <a:avLst/>
                    </a:prstGeom>
                    <a:noFill/>
                  </pic:spPr>
                </pic:pic>
              </a:graphicData>
            </a:graphic>
          </wp:inline>
        </w:drawing>
      </w:r>
    </w:p>
    <w:p w14:paraId="76A660F0" w14:textId="53C4B892" w:rsidR="00C2014F" w:rsidRPr="008C1DB1" w:rsidRDefault="00190F89" w:rsidP="008C1DB1">
      <w:pPr>
        <w:bidi w:val="0"/>
        <w:spacing w:after="0" w:line="240" w:lineRule="auto"/>
        <w:jc w:val="center"/>
        <w:rPr>
          <w:rFonts w:asciiTheme="majorBidi" w:hAnsiTheme="majorBidi" w:cstheme="majorBidi"/>
          <w:sz w:val="20"/>
          <w:szCs w:val="20"/>
          <w:lang w:bidi="fa-IR"/>
        </w:rPr>
      </w:pPr>
      <w:r w:rsidRPr="008C1DB1">
        <w:rPr>
          <w:rFonts w:asciiTheme="majorBidi" w:hAnsiTheme="majorBidi" w:cstheme="majorBidi"/>
          <w:b/>
          <w:bCs/>
          <w:sz w:val="20"/>
          <w:szCs w:val="20"/>
          <w:lang w:bidi="fa-IR"/>
        </w:rPr>
        <w:t>Fig. 16.</w:t>
      </w:r>
      <w:r w:rsidRPr="008C1DB1">
        <w:rPr>
          <w:rFonts w:asciiTheme="majorBidi" w:hAnsiTheme="majorBidi" w:cstheme="majorBidi"/>
          <w:sz w:val="20"/>
          <w:szCs w:val="20"/>
          <w:lang w:bidi="fa-IR"/>
        </w:rPr>
        <w:t xml:space="preserve"> Diagram of the area of hazardous urban areas in cities of Kurdistan province</w:t>
      </w:r>
    </w:p>
    <w:p w14:paraId="5BE6221C" w14:textId="77777777" w:rsidR="00C2014F" w:rsidRPr="008C1DB1" w:rsidRDefault="00C2014F" w:rsidP="008C1DB1">
      <w:pPr>
        <w:bidi w:val="0"/>
        <w:spacing w:after="0" w:line="240" w:lineRule="auto"/>
        <w:jc w:val="both"/>
        <w:rPr>
          <w:rFonts w:asciiTheme="majorBidi" w:hAnsiTheme="majorBidi" w:cstheme="majorBidi"/>
          <w:sz w:val="20"/>
          <w:szCs w:val="20"/>
          <w:lang w:bidi="fa-IR"/>
        </w:rPr>
      </w:pPr>
    </w:p>
    <w:p w14:paraId="256DD4E5" w14:textId="427BAE3E" w:rsidR="0031218D" w:rsidRPr="00636421" w:rsidRDefault="00FE7E25" w:rsidP="00636421">
      <w:pPr>
        <w:bidi w:val="0"/>
        <w:spacing w:after="0" w:line="240" w:lineRule="auto"/>
        <w:jc w:val="both"/>
        <w:rPr>
          <w:rFonts w:asciiTheme="majorBidi" w:hAnsiTheme="majorBidi" w:cstheme="majorBidi"/>
          <w:b/>
          <w:bCs/>
          <w:lang w:bidi="fa-IR"/>
        </w:rPr>
      </w:pPr>
      <w:r w:rsidRPr="00636421">
        <w:rPr>
          <w:rFonts w:asciiTheme="majorBidi" w:hAnsiTheme="majorBidi" w:cstheme="majorBidi"/>
          <w:b/>
          <w:bCs/>
          <w:lang w:bidi="fa-IR"/>
        </w:rPr>
        <w:t>5. Conclusion</w:t>
      </w:r>
    </w:p>
    <w:p w14:paraId="0A91E7C9" w14:textId="7754E20D" w:rsidR="00636421" w:rsidRPr="00636421" w:rsidRDefault="00636421" w:rsidP="00636421">
      <w:pPr>
        <w:bidi w:val="0"/>
        <w:spacing w:after="0" w:line="240" w:lineRule="auto"/>
        <w:jc w:val="both"/>
        <w:rPr>
          <w:rFonts w:eastAsia="Times New Roman" w:cs="Times New Roman"/>
          <w14:ligatures w14:val="none"/>
        </w:rPr>
      </w:pPr>
      <w:r w:rsidRPr="00636421">
        <w:rPr>
          <w:rFonts w:eastAsia="Times New Roman" w:cs="Times New Roman"/>
          <w14:ligatures w14:val="none"/>
        </w:rPr>
        <w:lastRenderedPageBreak/>
        <w:t xml:space="preserve">The findings of this study demonstrate that the cities of Kurdistan Province have undergone substantial physical expansion in recent decades, primarily driven by a growing population. However, much of this development has occurred in an unplanned manner, resulting in the expansion of residential areas into geomorphologically hazardous zones. </w:t>
      </w:r>
      <w:r w:rsidR="00465B13" w:rsidRPr="00636421">
        <w:rPr>
          <w:rFonts w:eastAsia="Times New Roman" w:cs="Times New Roman"/>
          <w14:ligatures w14:val="none"/>
        </w:rPr>
        <w:t>Highest</w:t>
      </w:r>
      <w:r w:rsidRPr="00636421">
        <w:rPr>
          <w:rFonts w:eastAsia="Times New Roman" w:cs="Times New Roman"/>
          <w14:ligatures w14:val="none"/>
        </w:rPr>
        <w:t xml:space="preserve"> absolute growth occurred in Sanandaj (12.35 km²), followed by </w:t>
      </w:r>
      <w:proofErr w:type="spellStart"/>
      <w:r w:rsidRPr="00636421">
        <w:rPr>
          <w:rFonts w:eastAsia="Times New Roman" w:cs="Times New Roman"/>
          <w14:ligatures w14:val="none"/>
        </w:rPr>
        <w:t>Baneh</w:t>
      </w:r>
      <w:proofErr w:type="spellEnd"/>
      <w:r w:rsidRPr="00636421">
        <w:rPr>
          <w:rFonts w:eastAsia="Times New Roman" w:cs="Times New Roman"/>
          <w14:ligatures w14:val="none"/>
        </w:rPr>
        <w:t xml:space="preserve"> (8.58 km²), </w:t>
      </w:r>
      <w:proofErr w:type="spellStart"/>
      <w:r w:rsidRPr="00636421">
        <w:rPr>
          <w:rFonts w:eastAsia="Times New Roman" w:cs="Times New Roman"/>
          <w14:ligatures w14:val="none"/>
        </w:rPr>
        <w:t>Saqez</w:t>
      </w:r>
      <w:proofErr w:type="spellEnd"/>
      <w:r w:rsidRPr="00636421">
        <w:rPr>
          <w:rFonts w:eastAsia="Times New Roman" w:cs="Times New Roman"/>
          <w14:ligatures w14:val="none"/>
        </w:rPr>
        <w:t xml:space="preserve"> (5.94 km²), and Marivan (5.19 km²). In contrast, cities like </w:t>
      </w:r>
      <w:proofErr w:type="spellStart"/>
      <w:r w:rsidRPr="00636421">
        <w:rPr>
          <w:rFonts w:eastAsia="Times New Roman" w:cs="Times New Roman"/>
          <w14:ligatures w14:val="none"/>
        </w:rPr>
        <w:t>Sarvabad</w:t>
      </w:r>
      <w:proofErr w:type="spellEnd"/>
      <w:r w:rsidRPr="00636421">
        <w:rPr>
          <w:rFonts w:eastAsia="Times New Roman" w:cs="Times New Roman"/>
          <w14:ligatures w14:val="none"/>
        </w:rPr>
        <w:t xml:space="preserve"> (0.32 km²) and </w:t>
      </w:r>
      <w:proofErr w:type="spellStart"/>
      <w:r w:rsidRPr="00636421">
        <w:rPr>
          <w:rFonts w:eastAsia="Times New Roman" w:cs="Times New Roman"/>
          <w14:ligatures w14:val="none"/>
        </w:rPr>
        <w:t>Dehgolan</w:t>
      </w:r>
      <w:proofErr w:type="spellEnd"/>
      <w:r w:rsidRPr="00636421">
        <w:rPr>
          <w:rFonts w:eastAsia="Times New Roman" w:cs="Times New Roman"/>
          <w14:ligatures w14:val="none"/>
        </w:rPr>
        <w:t xml:space="preserve"> (1.5 km²) saw relatively limited growth. Notably, when considering relative physical development (i.e., growth in proportion to the original area), </w:t>
      </w:r>
      <w:proofErr w:type="spellStart"/>
      <w:r w:rsidRPr="00636421">
        <w:rPr>
          <w:rFonts w:eastAsia="Times New Roman" w:cs="Times New Roman"/>
          <w14:ligatures w14:val="none"/>
        </w:rPr>
        <w:t>Sarvabad</w:t>
      </w:r>
      <w:proofErr w:type="spellEnd"/>
      <w:r w:rsidRPr="00636421">
        <w:rPr>
          <w:rFonts w:eastAsia="Times New Roman" w:cs="Times New Roman"/>
          <w14:ligatures w14:val="none"/>
        </w:rPr>
        <w:t xml:space="preserve"> exhibited the most significant expansion—approximately 2.3 times its original size. The spatial analysis also revealed that geomorphological factors have played a critical role in shaping urban growth patterns. Many cities have expanded into areas classified as hazardous. Specifically, from 1992 to 2022, encroachments into such areas totaled 2.72 km² in Sanandaj, 1.84 km² in Baneh, and over 1 km² in both </w:t>
      </w:r>
      <w:proofErr w:type="spellStart"/>
      <w:r w:rsidRPr="00636421">
        <w:rPr>
          <w:rFonts w:eastAsia="Times New Roman" w:cs="Times New Roman"/>
          <w14:ligatures w14:val="none"/>
        </w:rPr>
        <w:t>Saqez</w:t>
      </w:r>
      <w:proofErr w:type="spellEnd"/>
      <w:r w:rsidRPr="00636421">
        <w:rPr>
          <w:rFonts w:eastAsia="Times New Roman" w:cs="Times New Roman"/>
          <w14:ligatures w14:val="none"/>
        </w:rPr>
        <w:t xml:space="preserve"> and </w:t>
      </w:r>
      <w:proofErr w:type="spellStart"/>
      <w:r w:rsidRPr="00636421">
        <w:rPr>
          <w:rFonts w:eastAsia="Times New Roman" w:cs="Times New Roman"/>
          <w14:ligatures w14:val="none"/>
        </w:rPr>
        <w:t>Marivan</w:t>
      </w:r>
      <w:proofErr w:type="spellEnd"/>
      <w:r w:rsidRPr="00636421">
        <w:rPr>
          <w:rFonts w:eastAsia="Times New Roman" w:cs="Times New Roman"/>
          <w14:ligatures w14:val="none"/>
        </w:rPr>
        <w:t>. Although the absolute figures vary, all cities experienced some degree of unsafe expansion. These patterns suggest that insufficient planning and inadequate regulation of urban growth have exacerbated exposure to environmental risks. To mitigate future hazards, it is crucial to enhance regulatory oversight and integrate geomorphological assessments into urban planning frameworks across Kurdistan Province.</w:t>
      </w:r>
    </w:p>
    <w:p w14:paraId="259A0A69" w14:textId="315849CB" w:rsidR="00636421" w:rsidRPr="008C1DB1" w:rsidRDefault="00636421" w:rsidP="00636421">
      <w:pPr>
        <w:bidi w:val="0"/>
        <w:spacing w:after="0" w:line="240" w:lineRule="auto"/>
        <w:jc w:val="both"/>
        <w:rPr>
          <w:rFonts w:asciiTheme="majorBidi" w:hAnsiTheme="majorBidi" w:cstheme="majorBidi"/>
          <w:sz w:val="20"/>
          <w:szCs w:val="20"/>
          <w:lang w:bidi="fa-IR"/>
        </w:rPr>
      </w:pPr>
    </w:p>
    <w:p w14:paraId="321E8AD4" w14:textId="77777777" w:rsidR="00636421" w:rsidRPr="00636421" w:rsidRDefault="00636421" w:rsidP="00636421">
      <w:pPr>
        <w:bidi w:val="0"/>
        <w:spacing w:after="0" w:line="240" w:lineRule="auto"/>
        <w:jc w:val="both"/>
        <w:rPr>
          <w:rFonts w:eastAsia="Times New Roman" w:cs="Times New Roman"/>
          <w14:ligatures w14:val="none"/>
        </w:rPr>
      </w:pPr>
    </w:p>
    <w:p w14:paraId="38FA7793" w14:textId="77777777" w:rsidR="00A22A77" w:rsidRDefault="00A22A77" w:rsidP="008C1DB1">
      <w:pPr>
        <w:bidi w:val="0"/>
        <w:spacing w:after="0" w:line="240" w:lineRule="auto"/>
        <w:jc w:val="both"/>
        <w:rPr>
          <w:rFonts w:asciiTheme="majorBidi" w:hAnsiTheme="majorBidi" w:cstheme="majorBidi"/>
          <w:sz w:val="20"/>
          <w:szCs w:val="20"/>
          <w:lang w:bidi="fa-IR"/>
        </w:rPr>
      </w:pPr>
    </w:p>
    <w:p w14:paraId="5DDC55BF" w14:textId="77777777" w:rsidR="001915F1" w:rsidRDefault="001915F1" w:rsidP="001915F1">
      <w:pPr>
        <w:bidi w:val="0"/>
        <w:spacing w:after="0" w:line="240" w:lineRule="auto"/>
        <w:jc w:val="both"/>
        <w:rPr>
          <w:rFonts w:asciiTheme="majorBidi" w:hAnsiTheme="majorBidi" w:cstheme="majorBidi"/>
          <w:sz w:val="20"/>
          <w:szCs w:val="20"/>
          <w:lang w:bidi="fa-IR"/>
        </w:rPr>
      </w:pPr>
    </w:p>
    <w:p w14:paraId="53C8C46C" w14:textId="77777777" w:rsidR="00C80362" w:rsidRDefault="00C80362" w:rsidP="00C80362">
      <w:pPr>
        <w:bidi w:val="0"/>
        <w:spacing w:after="0" w:line="240" w:lineRule="auto"/>
        <w:jc w:val="both"/>
        <w:rPr>
          <w:rFonts w:asciiTheme="majorBidi" w:hAnsiTheme="majorBidi" w:cstheme="majorBidi"/>
          <w:sz w:val="20"/>
          <w:szCs w:val="20"/>
          <w:lang w:bidi="fa-IR"/>
        </w:rPr>
      </w:pPr>
      <w:bookmarkStart w:id="0" w:name="_GoBack"/>
      <w:bookmarkEnd w:id="0"/>
    </w:p>
    <w:p w14:paraId="4A296136" w14:textId="403C8F21" w:rsidR="00C80362" w:rsidRPr="00C80362" w:rsidRDefault="00C80362" w:rsidP="00C80362">
      <w:pPr>
        <w:bidi w:val="0"/>
        <w:spacing w:after="0" w:line="240" w:lineRule="auto"/>
        <w:rPr>
          <w:rFonts w:eastAsia="Times New Roman" w:cs="Times New Roman"/>
          <w14:ligatures w14:val="none"/>
        </w:rPr>
      </w:pPr>
      <w:r w:rsidRPr="00C80362">
        <w:rPr>
          <w:rFonts w:eastAsia="Times New Roman" w:cs="Times New Roman"/>
          <w:b/>
          <w:bCs/>
          <w14:ligatures w14:val="none"/>
        </w:rPr>
        <w:t>8-Declarations</w:t>
      </w:r>
    </w:p>
    <w:p w14:paraId="30832FA8" w14:textId="77777777" w:rsidR="00C80362" w:rsidRPr="00C80362" w:rsidRDefault="00C80362" w:rsidP="00C80362">
      <w:pPr>
        <w:numPr>
          <w:ilvl w:val="0"/>
          <w:numId w:val="6"/>
        </w:numPr>
        <w:bidi w:val="0"/>
        <w:spacing w:after="0" w:line="240" w:lineRule="auto"/>
        <w:rPr>
          <w:rFonts w:eastAsia="Times New Roman" w:cs="Times New Roman"/>
          <w14:ligatures w14:val="none"/>
        </w:rPr>
      </w:pPr>
      <w:r w:rsidRPr="00C80362">
        <w:rPr>
          <w:rFonts w:eastAsia="Times New Roman" w:cs="Times New Roman"/>
          <w14:ligatures w14:val="none"/>
        </w:rPr>
        <w:t>Consent to Publish declaration: Not applicable.</w:t>
      </w:r>
    </w:p>
    <w:p w14:paraId="33C80E1C" w14:textId="77777777" w:rsidR="00C80362" w:rsidRPr="00C80362" w:rsidRDefault="00C80362" w:rsidP="00C80362">
      <w:pPr>
        <w:numPr>
          <w:ilvl w:val="0"/>
          <w:numId w:val="6"/>
        </w:numPr>
        <w:bidi w:val="0"/>
        <w:spacing w:after="0" w:line="240" w:lineRule="auto"/>
        <w:rPr>
          <w:rFonts w:eastAsia="Times New Roman" w:cs="Times New Roman"/>
          <w14:ligatures w14:val="none"/>
        </w:rPr>
      </w:pPr>
      <w:r w:rsidRPr="00C80362">
        <w:rPr>
          <w:rFonts w:eastAsia="Times New Roman" w:cs="Times New Roman"/>
          <w14:ligatures w14:val="none"/>
        </w:rPr>
        <w:t>Consent to Participate declaration: Not applicable.</w:t>
      </w:r>
    </w:p>
    <w:p w14:paraId="1CD205FD" w14:textId="77777777" w:rsidR="00C80362" w:rsidRPr="00C80362" w:rsidRDefault="00C80362" w:rsidP="00C80362">
      <w:pPr>
        <w:numPr>
          <w:ilvl w:val="0"/>
          <w:numId w:val="6"/>
        </w:numPr>
        <w:bidi w:val="0"/>
        <w:spacing w:after="0" w:line="240" w:lineRule="auto"/>
        <w:rPr>
          <w:rFonts w:eastAsia="Times New Roman" w:cs="Times New Roman"/>
          <w14:ligatures w14:val="none"/>
        </w:rPr>
      </w:pPr>
      <w:r w:rsidRPr="00C80362">
        <w:rPr>
          <w:rFonts w:eastAsia="Times New Roman" w:cs="Times New Roman"/>
          <w14:ligatures w14:val="none"/>
        </w:rPr>
        <w:t>Ethics declaration: Not applicable.</w:t>
      </w:r>
    </w:p>
    <w:p w14:paraId="216DBF0D" w14:textId="77777777" w:rsidR="00FC18F7" w:rsidRDefault="00FC18F7" w:rsidP="00FC18F7">
      <w:pPr>
        <w:bidi w:val="0"/>
        <w:spacing w:after="0" w:line="240" w:lineRule="auto"/>
        <w:jc w:val="both"/>
        <w:rPr>
          <w:rFonts w:asciiTheme="majorBidi" w:hAnsiTheme="majorBidi" w:cstheme="majorBidi"/>
          <w:sz w:val="20"/>
          <w:szCs w:val="20"/>
          <w:lang w:bidi="fa-IR"/>
        </w:rPr>
      </w:pPr>
    </w:p>
    <w:p w14:paraId="58244DDB" w14:textId="77777777" w:rsidR="00C80362" w:rsidRDefault="00C80362" w:rsidP="00C80362">
      <w:pPr>
        <w:bidi w:val="0"/>
        <w:spacing w:after="0" w:line="240" w:lineRule="auto"/>
        <w:jc w:val="both"/>
        <w:rPr>
          <w:rFonts w:asciiTheme="majorBidi" w:hAnsiTheme="majorBidi" w:cstheme="majorBidi"/>
          <w:sz w:val="20"/>
          <w:szCs w:val="20"/>
          <w:lang w:bidi="fa-IR"/>
        </w:rPr>
      </w:pPr>
    </w:p>
    <w:p w14:paraId="079D075E" w14:textId="77777777" w:rsidR="008D07A9" w:rsidRPr="00636421" w:rsidRDefault="008D07A9" w:rsidP="008D07A9">
      <w:pPr>
        <w:spacing w:after="0" w:line="240" w:lineRule="auto"/>
        <w:jc w:val="right"/>
        <w:rPr>
          <w:rFonts w:eastAsia="Calibri" w:cs="B Nazanin"/>
          <w:b/>
          <w:bCs/>
          <w:rtl/>
          <w:lang w:bidi="fa-IR"/>
          <w14:ligatures w14:val="none"/>
        </w:rPr>
      </w:pPr>
      <w:r w:rsidRPr="00636421">
        <w:rPr>
          <w:rFonts w:eastAsia="Calibri" w:cs="B Nazanin"/>
          <w:b/>
          <w:bCs/>
          <w:lang w:bidi="fa-IR"/>
          <w14:ligatures w14:val="none"/>
        </w:rPr>
        <w:t>References</w:t>
      </w:r>
    </w:p>
    <w:p w14:paraId="2E305693" w14:textId="77777777" w:rsidR="008D07A9" w:rsidRPr="00636421" w:rsidRDefault="008D07A9" w:rsidP="008D07A9">
      <w:pPr>
        <w:numPr>
          <w:ilvl w:val="0"/>
          <w:numId w:val="4"/>
        </w:numPr>
        <w:tabs>
          <w:tab w:val="left" w:pos="3225"/>
        </w:tabs>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Aarthi, A. D., &amp; </w:t>
      </w:r>
      <w:proofErr w:type="spellStart"/>
      <w:r w:rsidRPr="00636421">
        <w:rPr>
          <w:rFonts w:eastAsia="Times New Roman" w:cs="Times New Roman"/>
          <w14:ligatures w14:val="none"/>
        </w:rPr>
        <w:t>Gnanappazham</w:t>
      </w:r>
      <w:proofErr w:type="spellEnd"/>
      <w:r w:rsidRPr="00636421">
        <w:rPr>
          <w:rFonts w:eastAsia="Times New Roman" w:cs="Times New Roman"/>
          <w14:ligatures w14:val="none"/>
        </w:rPr>
        <w:t xml:space="preserve">, L., 2018. Urban growth prediction using neural network coupled agents-based Cellular Automata model for Sriperumbudur Taluk, Tamil Nadu, India. Egyptian </w:t>
      </w:r>
      <w:r w:rsidRPr="00636421">
        <w:rPr>
          <w:rFonts w:eastAsia="Times New Roman" w:cs="Times New Roman"/>
          <w:i/>
          <w:iCs/>
          <w14:ligatures w14:val="none"/>
        </w:rPr>
        <w:t>Remote Sensing and Space Science</w:t>
      </w:r>
      <w:r w:rsidRPr="00636421">
        <w:rPr>
          <w:rFonts w:eastAsia="Times New Roman" w:cs="Times New Roman"/>
          <w14:ligatures w14:val="none"/>
        </w:rPr>
        <w:t xml:space="preserve">, 21(3), 353-362. </w:t>
      </w:r>
      <w:hyperlink r:id="rId23" w:history="1">
        <w:r w:rsidRPr="00636421">
          <w:rPr>
            <w:rFonts w:eastAsia="Times New Roman" w:cs="Times New Roman"/>
            <w:color w:val="0000FF"/>
            <w:u w:val="single"/>
            <w14:ligatures w14:val="none"/>
          </w:rPr>
          <w:t>https://doi.org/10.1016/j.ejrs.2017.12.004</w:t>
        </w:r>
      </w:hyperlink>
    </w:p>
    <w:p w14:paraId="0F760C70"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Ansah, J.K.O., &amp; Boateng, F.A., 2016. The spatial expression of physical development controls in a </w:t>
      </w:r>
      <w:proofErr w:type="gramStart"/>
      <w:r w:rsidRPr="00636421">
        <w:rPr>
          <w:rFonts w:eastAsia="Times New Roman" w:cs="Times New Roman"/>
          <w14:ligatures w14:val="none"/>
        </w:rPr>
        <w:t>fast growing</w:t>
      </w:r>
      <w:proofErr w:type="gramEnd"/>
      <w:r w:rsidRPr="00636421">
        <w:rPr>
          <w:rFonts w:eastAsia="Times New Roman" w:cs="Times New Roman"/>
          <w14:ligatures w14:val="none"/>
        </w:rPr>
        <w:t xml:space="preserve"> Ghanaian city. </w:t>
      </w:r>
      <w:r w:rsidRPr="00636421">
        <w:rPr>
          <w:rFonts w:eastAsia="Times New Roman" w:cs="Times New Roman"/>
          <w:i/>
          <w:iCs/>
          <w14:ligatures w14:val="none"/>
        </w:rPr>
        <w:t>Land Use Policy</w:t>
      </w:r>
      <w:r w:rsidRPr="00636421">
        <w:rPr>
          <w:rFonts w:eastAsia="Times New Roman" w:cs="Times New Roman"/>
          <w14:ligatures w14:val="none"/>
        </w:rPr>
        <w:t xml:space="preserve">, 54, 147-157. </w:t>
      </w:r>
      <w:hyperlink r:id="rId24" w:history="1">
        <w:r w:rsidRPr="00636421">
          <w:rPr>
            <w:rFonts w:eastAsia="Times New Roman" w:cs="Times New Roman"/>
            <w:color w:val="0000FF"/>
            <w:u w:val="single"/>
            <w14:ligatures w14:val="none"/>
          </w:rPr>
          <w:t>https://doi.org/10.1016/j.landusepol.2016.02.012</w:t>
        </w:r>
      </w:hyperlink>
    </w:p>
    <w:p w14:paraId="3EC7DFA8" w14:textId="77777777" w:rsidR="008D07A9" w:rsidRPr="00636421" w:rsidRDefault="008D07A9" w:rsidP="008D07A9">
      <w:pPr>
        <w:numPr>
          <w:ilvl w:val="0"/>
          <w:numId w:val="4"/>
        </w:numPr>
        <w:tabs>
          <w:tab w:val="left" w:pos="5478"/>
          <w:tab w:val="right" w:pos="9048"/>
        </w:tabs>
        <w:bidi w:val="0"/>
        <w:spacing w:after="0" w:line="240" w:lineRule="auto"/>
        <w:ind w:left="284" w:right="95" w:hanging="284"/>
        <w:contextualSpacing/>
        <w:jc w:val="both"/>
        <w:rPr>
          <w:rFonts w:eastAsia="Times New Roman" w:cs="Times New Roman"/>
          <w:lang w:bidi="fa-IR"/>
          <w14:ligatures w14:val="none"/>
        </w:rPr>
      </w:pPr>
      <w:r w:rsidRPr="00636421">
        <w:rPr>
          <w:rFonts w:eastAsia="Times New Roman" w:cs="Times New Roman"/>
          <w:lang w:bidi="fa-IR"/>
          <w14:ligatures w14:val="none"/>
        </w:rPr>
        <w:t xml:space="preserve">Asadi, M., </w:t>
      </w:r>
      <w:proofErr w:type="spellStart"/>
      <w:r w:rsidRPr="00636421">
        <w:rPr>
          <w:rFonts w:eastAsia="Times New Roman" w:cs="Times New Roman"/>
          <w:lang w:bidi="fa-IR"/>
          <w14:ligatures w14:val="none"/>
        </w:rPr>
        <w:t>Ganjaeian</w:t>
      </w:r>
      <w:proofErr w:type="spellEnd"/>
      <w:r w:rsidRPr="00636421">
        <w:rPr>
          <w:rFonts w:eastAsia="Times New Roman" w:cs="Times New Roman"/>
          <w:lang w:bidi="fa-IR"/>
          <w14:ligatures w14:val="none"/>
        </w:rPr>
        <w:t>, H., </w:t>
      </w:r>
      <w:proofErr w:type="spellStart"/>
      <w:r w:rsidRPr="00636421">
        <w:rPr>
          <w:rFonts w:eastAsia="Times New Roman" w:cs="Times New Roman"/>
          <w:lang w:bidi="fa-IR"/>
          <w14:ligatures w14:val="none"/>
        </w:rPr>
        <w:t>Javedani</w:t>
      </w:r>
      <w:proofErr w:type="spellEnd"/>
      <w:r w:rsidRPr="00636421">
        <w:rPr>
          <w:rFonts w:eastAsia="Times New Roman" w:cs="Times New Roman"/>
          <w:lang w:bidi="fa-IR"/>
          <w14:ligatures w14:val="none"/>
        </w:rPr>
        <w:t xml:space="preserve">, M., Ghaderi Hasab, M., 2021. Evaluation of the Relationship between Natural Factors and Subsidence in </w:t>
      </w:r>
      <w:proofErr w:type="spellStart"/>
      <w:r w:rsidRPr="00636421">
        <w:rPr>
          <w:rFonts w:eastAsia="Times New Roman" w:cs="Times New Roman"/>
          <w:lang w:bidi="fa-IR"/>
          <w14:ligatures w14:val="none"/>
        </w:rPr>
        <w:t>Ivanaki</w:t>
      </w:r>
      <w:proofErr w:type="spellEnd"/>
      <w:r w:rsidRPr="00636421">
        <w:rPr>
          <w:rFonts w:eastAsia="Times New Roman" w:cs="Times New Roman"/>
          <w:lang w:bidi="fa-IR"/>
          <w14:ligatures w14:val="none"/>
        </w:rPr>
        <w:t xml:space="preserve"> Plain Using Radar Imaging. Hydrogeology, 6(1), 22-13.</w:t>
      </w:r>
      <w:r w:rsidRPr="00636421">
        <w:rPr>
          <w:rFonts w:eastAsia="Times New Roman" w:cs="Times New Roman"/>
          <w14:ligatures w14:val="none"/>
        </w:rPr>
        <w:t xml:space="preserve"> </w:t>
      </w:r>
      <w:r w:rsidRPr="00636421">
        <w:rPr>
          <w:rFonts w:eastAsia="Times New Roman" w:cs="Times New Roman"/>
          <w:lang w:bidi="fa-IR"/>
          <w14:ligatures w14:val="none"/>
        </w:rPr>
        <w:t xml:space="preserve">[In Persian]  </w:t>
      </w:r>
      <w:hyperlink r:id="rId25" w:history="1">
        <w:r w:rsidRPr="00636421">
          <w:rPr>
            <w:rFonts w:eastAsia="Times New Roman" w:cs="Times New Roman"/>
            <w:color w:val="0000FF"/>
            <w:u w:val="single"/>
            <w:lang w:bidi="fa-IR"/>
            <w14:ligatures w14:val="none"/>
          </w:rPr>
          <w:t>https://doi.org/10.22034/hydro.2021.13016</w:t>
        </w:r>
      </w:hyperlink>
    </w:p>
    <w:p w14:paraId="14DC0800"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r w:rsidRPr="00636421">
        <w:rPr>
          <w:rFonts w:eastAsia="Times New Roman" w:cs="Times New Roman"/>
          <w:lang w:bidi="fa-IR"/>
          <w14:ligatures w14:val="none"/>
        </w:rPr>
        <w:t xml:space="preserve">Bagan. H., &amp; Yamagata. Y., 2012. Landsat Analysis of Urban Growth: How Tokyo became the world's largest megacity during the last 40 years. </w:t>
      </w:r>
      <w:r w:rsidRPr="00636421">
        <w:rPr>
          <w:rFonts w:eastAsia="Times New Roman" w:cs="Times New Roman"/>
          <w:i/>
          <w:iCs/>
          <w:lang w:bidi="fa-IR"/>
          <w14:ligatures w14:val="none"/>
        </w:rPr>
        <w:t>Remote Sensing of Environment</w:t>
      </w:r>
      <w:r w:rsidRPr="00636421">
        <w:rPr>
          <w:rFonts w:eastAsia="Times New Roman" w:cs="Times New Roman"/>
          <w:lang w:bidi="fa-IR"/>
          <w14:ligatures w14:val="none"/>
        </w:rPr>
        <w:t>, 127, 210 –222.</w:t>
      </w:r>
      <w:r w:rsidRPr="00636421">
        <w:rPr>
          <w:rFonts w:eastAsia="Times New Roman" w:cs="Times New Roman"/>
          <w:rtl/>
          <w:lang w:bidi="fa-IR"/>
          <w14:ligatures w14:val="none"/>
        </w:rPr>
        <w:t xml:space="preserve"> </w:t>
      </w:r>
      <w:r w:rsidRPr="00636421">
        <w:rPr>
          <w:rFonts w:eastAsia="Times New Roman" w:cs="Times New Roman"/>
          <w:color w:val="0000FF"/>
          <w:u w:val="single"/>
          <w14:ligatures w14:val="none"/>
        </w:rPr>
        <w:t>http://dx.doi.org/10.1016/j.rse.2012.09.011</w:t>
      </w:r>
    </w:p>
    <w:p w14:paraId="582BA4EA" w14:textId="77777777" w:rsidR="008D07A9" w:rsidRPr="00636421" w:rsidRDefault="008D07A9" w:rsidP="008D07A9">
      <w:pPr>
        <w:widowControl w:val="0"/>
        <w:numPr>
          <w:ilvl w:val="0"/>
          <w:numId w:val="4"/>
        </w:numPr>
        <w:bidi w:val="0"/>
        <w:spacing w:after="0" w:line="240" w:lineRule="auto"/>
        <w:ind w:left="284" w:right="95" w:hanging="284"/>
        <w:contextualSpacing/>
        <w:jc w:val="both"/>
        <w:rPr>
          <w:rFonts w:eastAsia="Times New Roman" w:cs="Times New Roman"/>
          <w:lang w:bidi="fa-IR"/>
          <w14:ligatures w14:val="none"/>
        </w:rPr>
      </w:pPr>
      <w:proofErr w:type="spellStart"/>
      <w:r w:rsidRPr="00636421">
        <w:rPr>
          <w:rFonts w:eastAsia="Times New Roman" w:cs="Times New Roman"/>
          <w:lang w:bidi="fa-IR"/>
          <w14:ligatures w14:val="none"/>
        </w:rPr>
        <w:t>Bakkensen</w:t>
      </w:r>
      <w:proofErr w:type="spellEnd"/>
      <w:r w:rsidRPr="00636421">
        <w:rPr>
          <w:rFonts w:eastAsia="Times New Roman" w:cs="Times New Roman"/>
          <w:lang w:bidi="fa-IR"/>
          <w14:ligatures w14:val="none"/>
        </w:rPr>
        <w:t xml:space="preserve">, L. A., Lent, C., Laura, K., Read, L.K., &amp; Linkov, I., 2016. Validating Resilience and Vulnerability Indices in the Context of Natural Disasters. </w:t>
      </w:r>
      <w:r w:rsidRPr="00636421">
        <w:rPr>
          <w:rFonts w:eastAsia="Times New Roman" w:cs="Times New Roman"/>
          <w:i/>
          <w:iCs/>
          <w:lang w:bidi="fa-IR"/>
          <w14:ligatures w14:val="none"/>
        </w:rPr>
        <w:t>Risk Analysis</w:t>
      </w:r>
      <w:r w:rsidRPr="00636421">
        <w:rPr>
          <w:rFonts w:eastAsia="Times New Roman" w:cs="Times New Roman"/>
          <w:lang w:bidi="fa-IR"/>
          <w14:ligatures w14:val="none"/>
        </w:rPr>
        <w:t>, 37 (5), 982-1004.</w:t>
      </w:r>
      <w:r w:rsidRPr="00636421">
        <w:rPr>
          <w:rFonts w:eastAsia="Times New Roman" w:cs="Times New Roman"/>
          <w:rtl/>
          <w:lang w:bidi="fa-IR"/>
          <w14:ligatures w14:val="none"/>
        </w:rPr>
        <w:t xml:space="preserve"> </w:t>
      </w:r>
      <w:hyperlink r:id="rId26" w:history="1">
        <w:r w:rsidRPr="00636421">
          <w:rPr>
            <w:rFonts w:eastAsia="Times New Roman" w:cs="Times New Roman"/>
            <w:color w:val="0000FF"/>
            <w:u w:val="single"/>
            <w14:ligatures w14:val="none"/>
          </w:rPr>
          <w:t>http://dx.doi.org/10.1111/risa.12677</w:t>
        </w:r>
      </w:hyperlink>
    </w:p>
    <w:p w14:paraId="1D6298B3"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Bharath, H. A., Chandan, M. C., Vinay, S., &amp; Ramachandra, T. V., 2018. Modelling urban dynamics in rapidly </w:t>
      </w:r>
      <w:proofErr w:type="spellStart"/>
      <w:r w:rsidRPr="00636421">
        <w:rPr>
          <w:rFonts w:eastAsia="Times New Roman" w:cs="Times New Roman"/>
          <w14:ligatures w14:val="none"/>
        </w:rPr>
        <w:t>urbanising</w:t>
      </w:r>
      <w:proofErr w:type="spellEnd"/>
      <w:r w:rsidRPr="00636421">
        <w:rPr>
          <w:rFonts w:eastAsia="Times New Roman" w:cs="Times New Roman"/>
          <w14:ligatures w14:val="none"/>
        </w:rPr>
        <w:t xml:space="preserve"> Indian cities. Egyptian </w:t>
      </w:r>
      <w:r w:rsidRPr="00636421">
        <w:rPr>
          <w:rFonts w:eastAsia="Times New Roman" w:cs="Times New Roman"/>
          <w:i/>
          <w:iCs/>
          <w14:ligatures w14:val="none"/>
        </w:rPr>
        <w:t>Remote Sensing and Space Science</w:t>
      </w:r>
      <w:r w:rsidRPr="00636421">
        <w:rPr>
          <w:rFonts w:eastAsia="Times New Roman" w:cs="Times New Roman"/>
          <w14:ligatures w14:val="none"/>
        </w:rPr>
        <w:t>, 21(3), 201–210. </w:t>
      </w:r>
      <w:hyperlink r:id="rId27" w:history="1">
        <w:r w:rsidRPr="00636421">
          <w:rPr>
            <w:rFonts w:eastAsia="Times New Roman" w:cs="Times New Roman"/>
            <w:color w:val="0000FF"/>
            <w:u w:val="single"/>
            <w14:ligatures w14:val="none"/>
          </w:rPr>
          <w:t>https://doi.org/10.1016/j.ejrs.2017.08.002</w:t>
        </w:r>
      </w:hyperlink>
    </w:p>
    <w:p w14:paraId="6A88CFE2" w14:textId="77777777" w:rsidR="008D07A9" w:rsidRPr="00636421" w:rsidRDefault="008D07A9" w:rsidP="008D07A9">
      <w:pPr>
        <w:widowControl w:val="0"/>
        <w:numPr>
          <w:ilvl w:val="0"/>
          <w:numId w:val="4"/>
        </w:numPr>
        <w:bidi w:val="0"/>
        <w:spacing w:after="0" w:line="240" w:lineRule="auto"/>
        <w:ind w:left="284" w:right="95" w:hanging="284"/>
        <w:contextualSpacing/>
        <w:jc w:val="both"/>
        <w:rPr>
          <w:rFonts w:eastAsia="Times New Roman" w:cs="Times New Roman"/>
          <w:color w:val="000000"/>
          <w14:ligatures w14:val="none"/>
        </w:rPr>
      </w:pPr>
      <w:r w:rsidRPr="00636421">
        <w:rPr>
          <w:rFonts w:eastAsia="Times New Roman" w:cs="Times New Roman"/>
          <w:color w:val="000000"/>
          <w14:ligatures w14:val="none"/>
        </w:rPr>
        <w:t xml:space="preserve">Bourenane, H., </w:t>
      </w:r>
      <w:proofErr w:type="spellStart"/>
      <w:r w:rsidRPr="00636421">
        <w:rPr>
          <w:rFonts w:eastAsia="Times New Roman" w:cs="Times New Roman"/>
          <w:color w:val="000000"/>
          <w14:ligatures w14:val="none"/>
        </w:rPr>
        <w:t>Bouhadad</w:t>
      </w:r>
      <w:proofErr w:type="spellEnd"/>
      <w:r w:rsidRPr="00636421">
        <w:rPr>
          <w:rFonts w:eastAsia="Times New Roman" w:cs="Times New Roman"/>
          <w:color w:val="000000"/>
          <w14:ligatures w14:val="none"/>
        </w:rPr>
        <w:t xml:space="preserve">, Y., &amp; </w:t>
      </w:r>
      <w:proofErr w:type="spellStart"/>
      <w:r w:rsidRPr="00636421">
        <w:rPr>
          <w:rFonts w:eastAsia="Times New Roman" w:cs="Times New Roman"/>
          <w:color w:val="000000"/>
          <w14:ligatures w14:val="none"/>
        </w:rPr>
        <w:t>Guettouche</w:t>
      </w:r>
      <w:proofErr w:type="spellEnd"/>
      <w:r w:rsidRPr="00636421">
        <w:rPr>
          <w:rFonts w:eastAsia="Times New Roman" w:cs="Times New Roman"/>
          <w:color w:val="000000"/>
          <w14:ligatures w14:val="none"/>
        </w:rPr>
        <w:t xml:space="preserve">, M.S. 2019. Flood hazard mapping in urban area using the </w:t>
      </w:r>
      <w:proofErr w:type="spellStart"/>
      <w:r w:rsidRPr="00636421">
        <w:rPr>
          <w:rFonts w:eastAsia="Times New Roman" w:cs="Times New Roman"/>
          <w:color w:val="000000"/>
          <w14:ligatures w14:val="none"/>
        </w:rPr>
        <w:t>hydrogeomorphological</w:t>
      </w:r>
      <w:proofErr w:type="spellEnd"/>
      <w:r w:rsidRPr="00636421">
        <w:rPr>
          <w:rFonts w:eastAsia="Times New Roman" w:cs="Times New Roman"/>
          <w:color w:val="000000"/>
          <w14:ligatures w14:val="none"/>
        </w:rPr>
        <w:t xml:space="preserve"> approach: case study of the </w:t>
      </w:r>
      <w:proofErr w:type="spellStart"/>
      <w:r w:rsidRPr="00636421">
        <w:rPr>
          <w:rFonts w:eastAsia="Times New Roman" w:cs="Times New Roman"/>
          <w:color w:val="000000"/>
          <w14:ligatures w14:val="none"/>
        </w:rPr>
        <w:t>Boumerzoug</w:t>
      </w:r>
      <w:proofErr w:type="spellEnd"/>
      <w:r w:rsidRPr="00636421">
        <w:rPr>
          <w:rFonts w:eastAsia="Times New Roman" w:cs="Times New Roman"/>
          <w:color w:val="000000"/>
          <w14:ligatures w14:val="none"/>
        </w:rPr>
        <w:t xml:space="preserve"> and [11] </w:t>
      </w:r>
      <w:proofErr w:type="spellStart"/>
      <w:r w:rsidRPr="00636421">
        <w:rPr>
          <w:rFonts w:eastAsia="Times New Roman" w:cs="Times New Roman"/>
          <w:color w:val="000000"/>
          <w14:ligatures w14:val="none"/>
        </w:rPr>
        <w:lastRenderedPageBreak/>
        <w:t>Rhumel</w:t>
      </w:r>
      <w:proofErr w:type="spellEnd"/>
      <w:r w:rsidRPr="00636421">
        <w:rPr>
          <w:rFonts w:eastAsia="Times New Roman" w:cs="Times New Roman"/>
          <w:color w:val="000000"/>
          <w14:ligatures w14:val="none"/>
        </w:rPr>
        <w:t xml:space="preserve"> alluvial plains (Constantine city, NE Algeria), </w:t>
      </w:r>
      <w:r w:rsidRPr="00636421">
        <w:rPr>
          <w:rFonts w:eastAsia="Times New Roman" w:cs="Times New Roman"/>
          <w:i/>
          <w:iCs/>
          <w:color w:val="000000"/>
          <w14:ligatures w14:val="none"/>
        </w:rPr>
        <w:t xml:space="preserve">African Earth Sciences, </w:t>
      </w:r>
      <w:r w:rsidRPr="00636421">
        <w:rPr>
          <w:rFonts w:eastAsia="Times New Roman" w:cs="Times New Roman"/>
          <w:color w:val="000000"/>
          <w14:ligatures w14:val="none"/>
        </w:rPr>
        <w:t>160 (1).</w:t>
      </w:r>
      <w:r w:rsidRPr="00636421">
        <w:rPr>
          <w:rFonts w:eastAsia="Times New Roman" w:cs="Times New Roman"/>
          <w14:ligatures w14:val="none"/>
        </w:rPr>
        <w:t xml:space="preserve"> </w:t>
      </w:r>
      <w:hyperlink r:id="rId28" w:history="1">
        <w:r w:rsidRPr="00636421">
          <w:rPr>
            <w:rFonts w:eastAsia="Times New Roman" w:cs="Times New Roman"/>
            <w:color w:val="0000FF"/>
            <w:u w:val="single"/>
            <w14:ligatures w14:val="none"/>
          </w:rPr>
          <w:t>https://doi.org/</w:t>
        </w:r>
      </w:hyperlink>
      <w:hyperlink r:id="rId29" w:tgtFrame="_blank" w:history="1">
        <w:r w:rsidRPr="00636421">
          <w:rPr>
            <w:rFonts w:eastAsia="Times New Roman" w:cs="Times New Roman"/>
            <w:color w:val="0000FF"/>
            <w:u w:val="single"/>
            <w14:ligatures w14:val="none"/>
          </w:rPr>
          <w:t>10.1016/j.jafrearsci.2019.103602</w:t>
        </w:r>
      </w:hyperlink>
    </w:p>
    <w:p w14:paraId="1D9C0E89"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Cao, N., Wen, Y., Wang, J., Gao, X., &amp; Sun, P., 2024. Identifying shrinking cities from a physical city perspective and influencing factors: A case study of the Chengdu-Chongqing economic circle in China. </w:t>
      </w:r>
      <w:r w:rsidRPr="00636421">
        <w:rPr>
          <w:rFonts w:eastAsia="Times New Roman" w:cs="Times New Roman"/>
          <w:i/>
          <w:iCs/>
          <w14:ligatures w14:val="none"/>
        </w:rPr>
        <w:t>Applied Geography</w:t>
      </w:r>
      <w:r w:rsidRPr="00636421">
        <w:rPr>
          <w:rFonts w:eastAsia="Times New Roman" w:cs="Times New Roman"/>
          <w14:ligatures w14:val="none"/>
        </w:rPr>
        <w:t xml:space="preserve">, 168. </w:t>
      </w:r>
      <w:hyperlink r:id="rId30" w:history="1">
        <w:r w:rsidRPr="00636421">
          <w:rPr>
            <w:rFonts w:eastAsia="Times New Roman" w:cs="Times New Roman"/>
            <w:color w:val="0000FF"/>
            <w:u w:val="single"/>
            <w14:ligatures w14:val="none"/>
          </w:rPr>
          <w:t>https://doi.org/10.1016/j.apgeog.2024.103314</w:t>
        </w:r>
      </w:hyperlink>
    </w:p>
    <w:p w14:paraId="06E653CC"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r w:rsidRPr="00636421">
        <w:rPr>
          <w:rFonts w:eastAsia="Times New Roman" w:cs="Times New Roman"/>
          <w:lang w:bidi="fa-IR"/>
          <w14:ligatures w14:val="none"/>
        </w:rPr>
        <w:t xml:space="preserve">Chini, M., Pelich, R., Pulvirenti, L., </w:t>
      </w:r>
      <w:proofErr w:type="spellStart"/>
      <w:r w:rsidRPr="00636421">
        <w:rPr>
          <w:rFonts w:eastAsia="Times New Roman" w:cs="Times New Roman"/>
          <w:lang w:bidi="fa-IR"/>
          <w14:ligatures w14:val="none"/>
        </w:rPr>
        <w:t>Pierdicca</w:t>
      </w:r>
      <w:proofErr w:type="spellEnd"/>
      <w:r w:rsidRPr="00636421">
        <w:rPr>
          <w:rFonts w:eastAsia="Times New Roman" w:cs="Times New Roman"/>
          <w:lang w:bidi="fa-IR"/>
          <w14:ligatures w14:val="none"/>
        </w:rPr>
        <w:t xml:space="preserve">, N., </w:t>
      </w:r>
      <w:proofErr w:type="spellStart"/>
      <w:r w:rsidRPr="00636421">
        <w:rPr>
          <w:rFonts w:eastAsia="Times New Roman" w:cs="Times New Roman"/>
          <w:lang w:bidi="fa-IR"/>
          <w14:ligatures w14:val="none"/>
        </w:rPr>
        <w:t>Hostache</w:t>
      </w:r>
      <w:proofErr w:type="spellEnd"/>
      <w:r w:rsidRPr="00636421">
        <w:rPr>
          <w:rFonts w:eastAsia="Times New Roman" w:cs="Times New Roman"/>
          <w:lang w:bidi="fa-IR"/>
          <w14:ligatures w14:val="none"/>
        </w:rPr>
        <w:t xml:space="preserve">, R., &amp; Matgen, P., 2019. Sentinel-1 InSAR Coherence to Detect Floodwater in Urban Areas: Houston and Hurricane Harvey as a Test Case, </w:t>
      </w:r>
      <w:r w:rsidRPr="00636421">
        <w:rPr>
          <w:rFonts w:eastAsia="Times New Roman" w:cs="Times New Roman"/>
          <w:i/>
          <w:iCs/>
          <w:lang w:bidi="fa-IR"/>
          <w14:ligatures w14:val="none"/>
        </w:rPr>
        <w:t>Remote Sensing</w:t>
      </w:r>
      <w:r w:rsidRPr="00636421">
        <w:rPr>
          <w:rFonts w:eastAsia="Times New Roman" w:cs="Times New Roman"/>
          <w:lang w:bidi="fa-IR"/>
          <w14:ligatures w14:val="none"/>
        </w:rPr>
        <w:t xml:space="preserve">, 11, 107. </w:t>
      </w:r>
      <w:hyperlink r:id="rId31" w:history="1">
        <w:r w:rsidRPr="00636421">
          <w:rPr>
            <w:rFonts w:eastAsia="Times New Roman" w:cs="Times New Roman"/>
            <w:color w:val="0000FF"/>
            <w:u w:val="single"/>
            <w14:ligatures w14:val="none"/>
          </w:rPr>
          <w:t>http://dx.doi.org/10.3390/rs11020107</w:t>
        </w:r>
      </w:hyperlink>
    </w:p>
    <w:p w14:paraId="4D296B29"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r w:rsidRPr="00636421">
        <w:rPr>
          <w:rFonts w:eastAsia="Times New Roman" w:cs="Times New Roman"/>
          <w:lang w:bidi="fa-IR"/>
          <w14:ligatures w14:val="none"/>
        </w:rPr>
        <w:t xml:space="preserve">Fekete, A., 2022. Peri-urban growth into natural hazard-prone areas: mapping exposure transformation of the built environment in Nairobi and Nyeri, Kenya, from 1948 to today. </w:t>
      </w:r>
      <w:hyperlink r:id="rId32" w:history="1">
        <w:r w:rsidRPr="00636421">
          <w:rPr>
            <w:rFonts w:eastAsia="Times New Roman" w:cs="Times New Roman"/>
            <w:i/>
            <w:iCs/>
            <w:lang w:bidi="fa-IR"/>
            <w14:ligatures w14:val="none"/>
          </w:rPr>
          <w:t>Natural Hazards</w:t>
        </w:r>
      </w:hyperlink>
      <w:r w:rsidRPr="00636421">
        <w:rPr>
          <w:rFonts w:eastAsia="Times New Roman" w:cs="Times New Roman"/>
          <w:lang w:bidi="fa-IR"/>
          <w14:ligatures w14:val="none"/>
        </w:rPr>
        <w:t xml:space="preserve">, 119, 859-882. </w:t>
      </w:r>
      <w:hyperlink r:id="rId33" w:history="1">
        <w:r w:rsidRPr="00636421">
          <w:rPr>
            <w:rFonts w:eastAsia="Times New Roman" w:cs="Times New Roman"/>
            <w:color w:val="0000FF"/>
            <w:u w:val="single"/>
            <w:lang w:bidi="fa-IR"/>
            <w14:ligatures w14:val="none"/>
          </w:rPr>
          <w:t>https://doi.org/</w:t>
        </w:r>
      </w:hyperlink>
      <w:r w:rsidRPr="00636421">
        <w:rPr>
          <w:rFonts w:eastAsia="Times New Roman" w:cs="Times New Roman"/>
          <w:color w:val="0000FF"/>
          <w:u w:val="single"/>
          <w:lang w:bidi="fa-IR"/>
          <w14:ligatures w14:val="none"/>
        </w:rPr>
        <w:t>10.1007/s11069-022-05515-4</w:t>
      </w:r>
    </w:p>
    <w:p w14:paraId="4900EA9F"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w:t>
      </w:r>
      <w:proofErr w:type="gramStart"/>
      <w:r w:rsidRPr="00636421">
        <w:rPr>
          <w:rFonts w:eastAsia="Times New Roman" w:cs="Times New Roman"/>
          <w14:ligatures w14:val="none"/>
        </w:rPr>
        <w:t>H. ,</w:t>
      </w:r>
      <w:proofErr w:type="gramEnd"/>
      <w:r w:rsidRPr="00636421">
        <w:rPr>
          <w:rFonts w:eastAsia="Times New Roman" w:cs="Times New Roman"/>
          <w14:ligatures w14:val="none"/>
        </w:rPr>
        <w:t xml:space="preserve"> Rezaei Arefi, M. , </w:t>
      </w:r>
      <w:proofErr w:type="spellStart"/>
      <w:r w:rsidRPr="00636421">
        <w:rPr>
          <w:rFonts w:eastAsia="Times New Roman" w:cs="Times New Roman"/>
          <w14:ligatures w14:val="none"/>
        </w:rPr>
        <w:t>Peysoozi</w:t>
      </w:r>
      <w:proofErr w:type="spellEnd"/>
      <w:r w:rsidRPr="00636421">
        <w:rPr>
          <w:rFonts w:eastAsia="Times New Roman" w:cs="Times New Roman"/>
          <w14:ligatures w14:val="none"/>
        </w:rPr>
        <w:t xml:space="preserve">, T., &amp; Emami, K. 2021. </w:t>
      </w:r>
      <w:proofErr w:type="spellStart"/>
      <w:r w:rsidRPr="00636421">
        <w:rPr>
          <w:rFonts w:eastAsia="Times New Roman" w:cs="Times New Roman"/>
          <w14:ligatures w14:val="none"/>
        </w:rPr>
        <w:t>Zonning</w:t>
      </w:r>
      <w:proofErr w:type="spellEnd"/>
      <w:r w:rsidRPr="00636421">
        <w:rPr>
          <w:rFonts w:eastAsia="Times New Roman" w:cs="Times New Roman"/>
          <w14:ligatures w14:val="none"/>
        </w:rPr>
        <w:t xml:space="preserve"> susceptible areas of landslide using WLC and OWA methods -A case study in Mountain cliff Khan, Iran. </w:t>
      </w:r>
      <w:r w:rsidRPr="00636421">
        <w:rPr>
          <w:rFonts w:eastAsia="Times New Roman" w:cs="Times New Roman"/>
          <w:i/>
          <w:iCs/>
          <w14:ligatures w14:val="none"/>
        </w:rPr>
        <w:t>Sustainable Earth Trends</w:t>
      </w:r>
      <w:r w:rsidRPr="00636421">
        <w:rPr>
          <w:rFonts w:eastAsia="Times New Roman" w:cs="Times New Roman"/>
          <w14:ligatures w14:val="none"/>
        </w:rPr>
        <w:t>, </w:t>
      </w:r>
      <w:r w:rsidRPr="00636421">
        <w:rPr>
          <w:rFonts w:eastAsia="Times New Roman" w:cs="Times New Roman"/>
          <w:i/>
          <w:iCs/>
          <w14:ligatures w14:val="none"/>
        </w:rPr>
        <w:t>1</w:t>
      </w:r>
      <w:r w:rsidRPr="00636421">
        <w:rPr>
          <w:rFonts w:eastAsia="Times New Roman" w:cs="Times New Roman"/>
          <w14:ligatures w14:val="none"/>
        </w:rPr>
        <w:t xml:space="preserve">(2), 35-43. </w:t>
      </w:r>
      <w:hyperlink r:id="rId34" w:history="1">
        <w:r w:rsidRPr="00636421">
          <w:rPr>
            <w:rFonts w:eastAsia="Times New Roman" w:cs="Times New Roman"/>
            <w:color w:val="0000FF"/>
            <w:u w:val="single"/>
            <w14:ligatures w14:val="none"/>
          </w:rPr>
          <w:t>https://doi.org/10.52547/sustainearth.1.2.43</w:t>
        </w:r>
      </w:hyperlink>
    </w:p>
    <w:p w14:paraId="4335B0BA"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2024. Identification of sinkhole prone areas using radar images (case study: </w:t>
      </w:r>
      <w:proofErr w:type="spellStart"/>
      <w:r w:rsidRPr="00636421">
        <w:rPr>
          <w:rFonts w:eastAsia="Times New Roman" w:cs="Times New Roman"/>
          <w14:ligatures w14:val="none"/>
        </w:rPr>
        <w:t>Qorveh</w:t>
      </w:r>
      <w:proofErr w:type="spellEnd"/>
      <w:r w:rsidRPr="00636421">
        <w:rPr>
          <w:rFonts w:eastAsia="Times New Roman" w:cs="Times New Roman"/>
          <w14:ligatures w14:val="none"/>
        </w:rPr>
        <w:t xml:space="preserve"> Plain). </w:t>
      </w:r>
      <w:r w:rsidRPr="00636421">
        <w:rPr>
          <w:rFonts w:eastAsia="Times New Roman" w:cs="Times New Roman"/>
          <w:i/>
          <w:iCs/>
          <w14:ligatures w14:val="none"/>
        </w:rPr>
        <w:t>Environmental Erosion Research</w:t>
      </w:r>
      <w:r w:rsidRPr="00636421">
        <w:rPr>
          <w:rFonts w:eastAsia="Times New Roman" w:cs="Times New Roman"/>
          <w14:ligatures w14:val="none"/>
        </w:rPr>
        <w:t xml:space="preserve">, 14 (2), 87-105. [In Persian] </w:t>
      </w:r>
      <w:hyperlink r:id="rId35" w:history="1">
        <w:r w:rsidRPr="00636421">
          <w:rPr>
            <w:rFonts w:eastAsia="Times New Roman" w:cs="Times New Roman"/>
            <w:color w:val="0000FF"/>
            <w:u w:val="single"/>
            <w14:ligatures w14:val="none"/>
          </w:rPr>
          <w:t>http://dx.doi.org/10.61186/jeer.14.2.6</w:t>
        </w:r>
      </w:hyperlink>
    </w:p>
    <w:p w14:paraId="7DC996AC"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proofErr w:type="spellStart"/>
      <w:r w:rsidRPr="00636421">
        <w:rPr>
          <w:rFonts w:eastAsia="Times New Roman" w:cs="Times New Roman"/>
          <w:lang w:bidi="fa-IR"/>
          <w14:ligatures w14:val="none"/>
        </w:rPr>
        <w:t>Ganjaeian</w:t>
      </w:r>
      <w:proofErr w:type="spellEnd"/>
      <w:r w:rsidRPr="00636421">
        <w:rPr>
          <w:rFonts w:eastAsia="Times New Roman" w:cs="Times New Roman"/>
          <w:lang w:bidi="fa-IR"/>
          <w14:ligatures w14:val="none"/>
        </w:rPr>
        <w:t xml:space="preserve">, H., 2024. Identification of sinkhole-prone areas using radar images (Case study: </w:t>
      </w:r>
      <w:proofErr w:type="spellStart"/>
      <w:r w:rsidRPr="00636421">
        <w:rPr>
          <w:rFonts w:eastAsia="Times New Roman" w:cs="Times New Roman"/>
          <w:lang w:bidi="fa-IR"/>
          <w14:ligatures w14:val="none"/>
        </w:rPr>
        <w:t>Qorveh</w:t>
      </w:r>
      <w:proofErr w:type="spellEnd"/>
      <w:r w:rsidRPr="00636421">
        <w:rPr>
          <w:rFonts w:eastAsia="Times New Roman" w:cs="Times New Roman"/>
          <w:lang w:bidi="fa-IR"/>
          <w14:ligatures w14:val="none"/>
        </w:rPr>
        <w:t xml:space="preserve"> Plain). Environmental erosion research, 14(2), 87-105. [In Persian] </w:t>
      </w:r>
      <w:hyperlink r:id="rId36" w:history="1">
        <w:r w:rsidRPr="00636421">
          <w:rPr>
            <w:rFonts w:eastAsia="Times New Roman" w:cs="Times New Roman"/>
            <w:color w:val="0000FF"/>
            <w:u w:val="single"/>
            <w:lang w:bidi="fa-IR"/>
            <w14:ligatures w14:val="none"/>
          </w:rPr>
          <w:t>http://dx.doi.org/10.61186/jeer.14.2.6</w:t>
        </w:r>
      </w:hyperlink>
    </w:p>
    <w:p w14:paraId="39A65326"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Asadi, M., Menbari, F., &amp; Ebrahimi, A., 2023. Analysis of the subsidence status of Hamedan urban area using radar and satellite images. </w:t>
      </w:r>
      <w:r w:rsidRPr="00636421">
        <w:rPr>
          <w:rFonts w:eastAsia="Times New Roman" w:cs="Times New Roman"/>
          <w:i/>
          <w:iCs/>
          <w14:ligatures w14:val="none"/>
        </w:rPr>
        <w:t>Geography and environmental hazards</w:t>
      </w:r>
      <w:r w:rsidRPr="00636421">
        <w:rPr>
          <w:rFonts w:eastAsia="Times New Roman" w:cs="Times New Roman"/>
          <w14:ligatures w14:val="none"/>
        </w:rPr>
        <w:t xml:space="preserve">, 11 (44), 221-236. [In Persian] </w:t>
      </w:r>
      <w:hyperlink r:id="rId37" w:history="1">
        <w:r w:rsidRPr="00636421">
          <w:rPr>
            <w:rFonts w:eastAsia="Times New Roman" w:cs="Times New Roman"/>
            <w:color w:val="0000FF"/>
            <w:u w:val="single"/>
            <w14:ligatures w14:val="none"/>
          </w:rPr>
          <w:t>https://doi.org/10.22067/geoeh.2022.76383.1217</w:t>
        </w:r>
      </w:hyperlink>
    </w:p>
    <w:p w14:paraId="3CD0ACA6"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w:t>
      </w:r>
      <w:proofErr w:type="spellStart"/>
      <w:r w:rsidRPr="00636421">
        <w:rPr>
          <w:rFonts w:eastAsia="Times New Roman" w:cs="Times New Roman"/>
          <w14:ligatures w14:val="none"/>
        </w:rPr>
        <w:t>Menbari</w:t>
      </w:r>
      <w:proofErr w:type="spellEnd"/>
      <w:r w:rsidRPr="00636421">
        <w:rPr>
          <w:rFonts w:eastAsia="Times New Roman" w:cs="Times New Roman"/>
          <w14:ligatures w14:val="none"/>
        </w:rPr>
        <w:t xml:space="preserve">, F., Ghasemi, A., &amp; Nosrati, M., 2022. Assessment and analysis of subsidence risk in </w:t>
      </w:r>
      <w:proofErr w:type="spellStart"/>
      <w:r w:rsidRPr="00636421">
        <w:rPr>
          <w:rFonts w:eastAsia="Times New Roman" w:cs="Times New Roman"/>
          <w14:ligatures w14:val="none"/>
        </w:rPr>
        <w:t>Kaboudar</w:t>
      </w:r>
      <w:proofErr w:type="spellEnd"/>
      <w:r w:rsidRPr="00636421">
        <w:rPr>
          <w:rFonts w:eastAsia="Times New Roman" w:cs="Times New Roman"/>
          <w14:ligatures w14:val="none"/>
        </w:rPr>
        <w:t xml:space="preserve"> </w:t>
      </w:r>
      <w:proofErr w:type="spellStart"/>
      <w:r w:rsidRPr="00636421">
        <w:rPr>
          <w:rFonts w:eastAsia="Times New Roman" w:cs="Times New Roman"/>
          <w14:ligatures w14:val="none"/>
        </w:rPr>
        <w:t>Ahang-Famenin</w:t>
      </w:r>
      <w:proofErr w:type="spellEnd"/>
      <w:r w:rsidRPr="00636421">
        <w:rPr>
          <w:rFonts w:eastAsia="Times New Roman" w:cs="Times New Roman"/>
          <w14:ligatures w14:val="none"/>
        </w:rPr>
        <w:t xml:space="preserve"> plain, </w:t>
      </w:r>
      <w:proofErr w:type="spellStart"/>
      <w:r w:rsidRPr="00636421">
        <w:rPr>
          <w:rFonts w:eastAsia="Times New Roman" w:cs="Times New Roman"/>
          <w:i/>
          <w:iCs/>
          <w14:ligatures w14:val="none"/>
        </w:rPr>
        <w:t>Sepehr</w:t>
      </w:r>
      <w:proofErr w:type="spellEnd"/>
      <w:r w:rsidRPr="00636421">
        <w:rPr>
          <w:rFonts w:eastAsia="Times New Roman" w:cs="Times New Roman"/>
          <w14:ligatures w14:val="none"/>
        </w:rPr>
        <w:t xml:space="preserve">, 31 (124), 86-75. [In Persian] </w:t>
      </w:r>
      <w:hyperlink r:id="rId38" w:history="1">
        <w:r w:rsidRPr="00636421">
          <w:rPr>
            <w:rFonts w:eastAsia="Times New Roman" w:cs="Times New Roman"/>
            <w:color w:val="0000FF"/>
            <w:u w:val="single"/>
            <w14:ligatures w14:val="none"/>
          </w:rPr>
          <w:t>https://doi.org/10.22131/sepehr.2023.553000.2871</w:t>
        </w:r>
      </w:hyperlink>
    </w:p>
    <w:p w14:paraId="2C7C3FF6"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color w:val="0000FF"/>
          <w:u w:val="single"/>
          <w14:ligatures w14:val="none"/>
        </w:rPr>
      </w:pP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w:t>
      </w:r>
      <w:proofErr w:type="spellStart"/>
      <w:r w:rsidRPr="00636421">
        <w:rPr>
          <w:rFonts w:eastAsia="Times New Roman" w:cs="Times New Roman"/>
          <w14:ligatures w14:val="none"/>
        </w:rPr>
        <w:t>Menbari</w:t>
      </w:r>
      <w:proofErr w:type="spellEnd"/>
      <w:r w:rsidRPr="00636421">
        <w:rPr>
          <w:rFonts w:eastAsia="Times New Roman" w:cs="Times New Roman"/>
          <w14:ligatures w14:val="none"/>
        </w:rPr>
        <w:t xml:space="preserve">, F., Ghasemi, A., Nosrati, M., 2022, Assessment and analysis of subsidence risk in </w:t>
      </w:r>
      <w:proofErr w:type="spellStart"/>
      <w:r w:rsidRPr="00636421">
        <w:rPr>
          <w:rFonts w:eastAsia="Times New Roman" w:cs="Times New Roman"/>
          <w14:ligatures w14:val="none"/>
        </w:rPr>
        <w:t>Kaboudar</w:t>
      </w:r>
      <w:proofErr w:type="spellEnd"/>
      <w:r w:rsidRPr="00636421">
        <w:rPr>
          <w:rFonts w:eastAsia="Times New Roman" w:cs="Times New Roman"/>
          <w14:ligatures w14:val="none"/>
        </w:rPr>
        <w:t xml:space="preserve"> </w:t>
      </w:r>
      <w:proofErr w:type="spellStart"/>
      <w:r w:rsidRPr="00636421">
        <w:rPr>
          <w:rFonts w:eastAsia="Times New Roman" w:cs="Times New Roman"/>
          <w14:ligatures w14:val="none"/>
        </w:rPr>
        <w:t>Ahang-Famenin</w:t>
      </w:r>
      <w:proofErr w:type="spellEnd"/>
      <w:r w:rsidRPr="00636421">
        <w:rPr>
          <w:rFonts w:eastAsia="Times New Roman" w:cs="Times New Roman"/>
          <w14:ligatures w14:val="none"/>
        </w:rPr>
        <w:t xml:space="preserve"> plain. Sepehr, 31(124), 75-86. [In Persian] </w:t>
      </w:r>
      <w:hyperlink r:id="rId39" w:history="1">
        <w:r w:rsidRPr="00636421">
          <w:rPr>
            <w:rFonts w:eastAsia="Times New Roman" w:cs="Times New Roman"/>
            <w:color w:val="0000FF"/>
            <w:u w:val="single"/>
            <w14:ligatures w14:val="none"/>
          </w:rPr>
          <w:t>https://doi.org/10.22131/sepehr.2023.553000.2871</w:t>
        </w:r>
      </w:hyperlink>
    </w:p>
    <w:p w14:paraId="35AE8A2C"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rtl/>
          <w14:ligatures w14:val="none"/>
        </w:rPr>
      </w:pP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Yamani, M., Goorabi, M., &amp; Maghsoudi, M., </w:t>
      </w:r>
      <w:r w:rsidRPr="00636421">
        <w:rPr>
          <w:rFonts w:eastAsia="Times New Roman" w:cs="Times New Roman"/>
          <w:lang w:bidi="fa-IR"/>
          <w14:ligatures w14:val="none"/>
        </w:rPr>
        <w:t xml:space="preserve">2020. Analysis of the tangible and intangible effects of the earthquake in the </w:t>
      </w:r>
      <w:proofErr w:type="spellStart"/>
      <w:r w:rsidRPr="00636421">
        <w:rPr>
          <w:rFonts w:eastAsia="Times New Roman" w:cs="Times New Roman"/>
          <w:lang w:bidi="fa-IR"/>
          <w14:ligatures w14:val="none"/>
        </w:rPr>
        <w:t>Ezgele</w:t>
      </w:r>
      <w:proofErr w:type="spellEnd"/>
      <w:r w:rsidRPr="00636421">
        <w:rPr>
          <w:rFonts w:eastAsia="Times New Roman" w:cs="Times New Roman"/>
          <w:lang w:bidi="fa-IR"/>
          <w14:ligatures w14:val="none"/>
        </w:rPr>
        <w:t xml:space="preserve"> region of Kermanshah on landforms. </w:t>
      </w:r>
      <w:r w:rsidRPr="00636421">
        <w:rPr>
          <w:rFonts w:eastAsia="Times New Roman" w:cs="Times New Roman"/>
          <w:i/>
          <w:iCs/>
          <w:lang w:bidi="fa-IR"/>
          <w14:ligatures w14:val="none"/>
        </w:rPr>
        <w:t>Geography and Environmental Sustainability</w:t>
      </w:r>
      <w:r w:rsidRPr="00636421">
        <w:rPr>
          <w:rFonts w:eastAsia="Times New Roman" w:cs="Times New Roman"/>
          <w:lang w:bidi="fa-IR"/>
          <w14:ligatures w14:val="none"/>
        </w:rPr>
        <w:t xml:space="preserve">, 10 (35), 89-103. [In Persian] </w:t>
      </w:r>
      <w:hyperlink r:id="rId40" w:history="1">
        <w:r w:rsidRPr="00636421">
          <w:rPr>
            <w:rFonts w:eastAsia="Times New Roman" w:cs="Times New Roman"/>
            <w:color w:val="0000FF"/>
            <w:u w:val="single"/>
            <w:lang w:bidi="fa-IR"/>
            <w14:ligatures w14:val="none"/>
          </w:rPr>
          <w:t>https://doi.org/10.22126/ges.2020.5571.2274</w:t>
        </w:r>
      </w:hyperlink>
    </w:p>
    <w:p w14:paraId="03F7909B"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proofErr w:type="spellStart"/>
      <w:r w:rsidRPr="00636421">
        <w:rPr>
          <w:rFonts w:eastAsia="Times New Roman" w:cs="Times New Roman"/>
          <w:lang w:bidi="fa-IR"/>
          <w14:ligatures w14:val="none"/>
        </w:rPr>
        <w:t>Ganjaeian</w:t>
      </w:r>
      <w:proofErr w:type="spellEnd"/>
      <w:r w:rsidRPr="00636421">
        <w:rPr>
          <w:rFonts w:eastAsia="Times New Roman" w:cs="Times New Roman"/>
          <w:lang w:bidi="fa-IR"/>
          <w14:ligatures w14:val="none"/>
        </w:rPr>
        <w:t xml:space="preserve">, H., Yamani, M., Goorabi, M., &amp; Maghsoudi, M., 2024. Evaluating the Impacts of Earthquake in </w:t>
      </w:r>
      <w:proofErr w:type="spellStart"/>
      <w:r w:rsidRPr="00636421">
        <w:rPr>
          <w:rFonts w:eastAsia="Times New Roman" w:cs="Times New Roman"/>
          <w:lang w:bidi="fa-IR"/>
          <w14:ligatures w14:val="none"/>
        </w:rPr>
        <w:t>Ezgele</w:t>
      </w:r>
      <w:proofErr w:type="spellEnd"/>
      <w:r w:rsidRPr="00636421">
        <w:rPr>
          <w:rFonts w:eastAsia="Times New Roman" w:cs="Times New Roman"/>
          <w:lang w:bidi="fa-IR"/>
          <w14:ligatures w14:val="none"/>
        </w:rPr>
        <w:t xml:space="preserve">, Kermanshah (Iran) (Occurred on 2017/11/12). </w:t>
      </w:r>
      <w:r w:rsidRPr="00636421">
        <w:rPr>
          <w:rFonts w:eastAsia="Times New Roman" w:cs="Times New Roman"/>
          <w:i/>
          <w:iCs/>
          <w:lang w:bidi="fa-IR"/>
          <w14:ligatures w14:val="none"/>
        </w:rPr>
        <w:t>Current Research in Environmental Science and Ecology Letters</w:t>
      </w:r>
      <w:r w:rsidRPr="00636421">
        <w:rPr>
          <w:rFonts w:eastAsia="Times New Roman" w:cs="Times New Roman"/>
          <w:lang w:bidi="fa-IR"/>
          <w14:ligatures w14:val="none"/>
        </w:rPr>
        <w:t>, 1(1), 1-10.</w:t>
      </w:r>
      <w:r w:rsidRPr="00636421">
        <w:rPr>
          <w:rFonts w:eastAsia="Times New Roman" w:cs="Times New Roman"/>
          <w:rtl/>
          <w:lang w:bidi="fa-IR"/>
          <w14:ligatures w14:val="none"/>
        </w:rPr>
        <w:cr/>
      </w:r>
      <w:r w:rsidRPr="00636421">
        <w:rPr>
          <w:rFonts w:eastAsia="Times New Roman" w:cs="Times New Roman"/>
          <w:color w:val="0000FF"/>
          <w:u w:val="single"/>
          <w14:ligatures w14:val="none"/>
        </w:rPr>
        <w:t>http://dx.doi.org/10.33140/CRESEL.01.01.06</w:t>
      </w:r>
    </w:p>
    <w:p w14:paraId="4B733CE3"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color w:val="0000FF"/>
          <w:u w:val="single"/>
          <w14:ligatures w14:val="none"/>
        </w:rPr>
      </w:pP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H., </w:t>
      </w:r>
      <w:proofErr w:type="spellStart"/>
      <w:r w:rsidRPr="00636421">
        <w:rPr>
          <w:rFonts w:eastAsia="Times New Roman" w:cs="Times New Roman"/>
          <w14:ligatures w14:val="none"/>
        </w:rPr>
        <w:t>Asadi</w:t>
      </w:r>
      <w:proofErr w:type="spellEnd"/>
      <w:r w:rsidRPr="00636421">
        <w:rPr>
          <w:rFonts w:eastAsia="Times New Roman" w:cs="Times New Roman"/>
          <w14:ligatures w14:val="none"/>
        </w:rPr>
        <w:t xml:space="preserve">, M., Menbari, F., Ebrahimi, A., 2022. Analysis of the subsidence status of Hamedan urban area using radar and satellite images. Geography and Environmental Hazards, 11(4), 236-221. [In Persian]  </w:t>
      </w:r>
      <w:hyperlink r:id="rId41" w:history="1">
        <w:r w:rsidRPr="00636421">
          <w:rPr>
            <w:rFonts w:eastAsia="Times New Roman" w:cs="Times New Roman"/>
            <w:color w:val="0000FF"/>
            <w:u w:val="single"/>
            <w14:ligatures w14:val="none"/>
          </w:rPr>
          <w:t>https://doi.org/10.22067/geoeh.2022.76383.1217</w:t>
        </w:r>
      </w:hyperlink>
    </w:p>
    <w:p w14:paraId="1EF39B3F"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Gao, C., Zhang, B., Shao, S., Hao, M., Zhang, Y., Xu, Y., Kuang, Y., Dong, L., &amp; Wang, Z., 2023. Risk assessment and zoning of flood disaster in </w:t>
      </w:r>
      <w:proofErr w:type="spellStart"/>
      <w:r w:rsidRPr="00636421">
        <w:rPr>
          <w:rFonts w:eastAsia="Times New Roman" w:cs="Times New Roman"/>
          <w14:ligatures w14:val="none"/>
        </w:rPr>
        <w:t>Wuchengxiyu</w:t>
      </w:r>
      <w:proofErr w:type="spellEnd"/>
      <w:r w:rsidRPr="00636421">
        <w:rPr>
          <w:rFonts w:eastAsia="Times New Roman" w:cs="Times New Roman"/>
          <w14:ligatures w14:val="none"/>
        </w:rPr>
        <w:t xml:space="preserve"> Region, </w:t>
      </w:r>
      <w:r w:rsidRPr="00636421">
        <w:rPr>
          <w:rFonts w:eastAsia="Times New Roman" w:cs="Times New Roman"/>
          <w:i/>
          <w:iCs/>
          <w14:ligatures w14:val="none"/>
        </w:rPr>
        <w:t xml:space="preserve">China. </w:t>
      </w:r>
      <w:hyperlink r:id="rId42" w:tooltip="Go to Urban Climate on ScienceDirect" w:history="1">
        <w:r w:rsidRPr="00636421">
          <w:rPr>
            <w:rFonts w:eastAsia="Times New Roman" w:cs="Times New Roman"/>
            <w:i/>
            <w:iCs/>
            <w14:ligatures w14:val="none"/>
          </w:rPr>
          <w:t>Urban Climate</w:t>
        </w:r>
      </w:hyperlink>
      <w:r w:rsidRPr="00636421">
        <w:rPr>
          <w:rFonts w:eastAsia="Times New Roman" w:cs="Times New Roman"/>
          <w14:ligatures w14:val="none"/>
        </w:rPr>
        <w:t xml:space="preserve">, 49. </w:t>
      </w:r>
      <w:hyperlink r:id="rId43" w:history="1">
        <w:r w:rsidRPr="00636421">
          <w:rPr>
            <w:rFonts w:eastAsia="Times New Roman" w:cs="Times New Roman"/>
            <w:color w:val="0000FF"/>
            <w:u w:val="single"/>
            <w14:ligatures w14:val="none"/>
          </w:rPr>
          <w:t>https://doi.org/10.1016/j.uclim.2023.101562</w:t>
        </w:r>
      </w:hyperlink>
    </w:p>
    <w:p w14:paraId="02977E02" w14:textId="77777777" w:rsidR="008D07A9" w:rsidRPr="00636421" w:rsidRDefault="008D07A9" w:rsidP="008D07A9">
      <w:pPr>
        <w:widowControl w:val="0"/>
        <w:numPr>
          <w:ilvl w:val="0"/>
          <w:numId w:val="4"/>
        </w:numPr>
        <w:bidi w:val="0"/>
        <w:spacing w:after="0" w:line="240" w:lineRule="auto"/>
        <w:ind w:left="284" w:right="95" w:hanging="284"/>
        <w:contextualSpacing/>
        <w:jc w:val="both"/>
        <w:rPr>
          <w:rFonts w:eastAsia="Times New Roman" w:cs="Times New Roman"/>
          <w:color w:val="0000FF"/>
          <w:u w:val="single"/>
          <w14:ligatures w14:val="none"/>
        </w:rPr>
      </w:pPr>
      <w:r w:rsidRPr="00636421">
        <w:rPr>
          <w:rFonts w:eastAsia="Times New Roman" w:cs="Times New Roman"/>
          <w:color w:val="000000"/>
          <w14:ligatures w14:val="none"/>
        </w:rPr>
        <w:t xml:space="preserve">Ghosh, A., Dey, P., &amp; Ghosh, T., 2022. Integration of RS-GIS with Frequency Ratio, Fuzzy Logic, Logistic Regression and Decision Tree Models for Flood Susceptibility Prediction in Lower Gangetic Plain: A Study on Malda District of West Bengal, India. </w:t>
      </w:r>
      <w:hyperlink r:id="rId44" w:history="1">
        <w:r w:rsidRPr="00636421">
          <w:rPr>
            <w:rFonts w:eastAsia="Times New Roman" w:cs="Times New Roman"/>
            <w:color w:val="000000"/>
            <w14:ligatures w14:val="none"/>
          </w:rPr>
          <w:t xml:space="preserve"> </w:t>
        </w:r>
        <w:r w:rsidRPr="00636421">
          <w:rPr>
            <w:rFonts w:eastAsia="Times New Roman" w:cs="Times New Roman"/>
            <w:i/>
            <w:iCs/>
            <w:color w:val="000000"/>
            <w14:ligatures w14:val="none"/>
          </w:rPr>
          <w:t>Indian Society of Remote Sensing</w:t>
        </w:r>
      </w:hyperlink>
      <w:r w:rsidRPr="00636421">
        <w:rPr>
          <w:rFonts w:eastAsia="Times New Roman" w:cs="Times New Roman"/>
          <w:color w:val="000000"/>
          <w14:ligatures w14:val="none"/>
        </w:rPr>
        <w:t>, 50: 1725-1745.</w:t>
      </w:r>
      <w:r w:rsidRPr="00636421">
        <w:rPr>
          <w:rFonts w:eastAsia="Times New Roman" w:cs="Times New Roman"/>
          <w14:ligatures w14:val="none"/>
        </w:rPr>
        <w:t xml:space="preserve"> </w:t>
      </w:r>
      <w:hyperlink r:id="rId45" w:history="1">
        <w:r w:rsidRPr="00636421">
          <w:rPr>
            <w:rFonts w:eastAsia="Times New Roman" w:cs="Times New Roman"/>
            <w:color w:val="0000FF"/>
            <w:u w:val="single"/>
            <w14:ligatures w14:val="none"/>
          </w:rPr>
          <w:t>https://doi.org/</w:t>
        </w:r>
      </w:hyperlink>
      <w:r w:rsidRPr="00636421">
        <w:rPr>
          <w:rFonts w:eastAsia="Times New Roman" w:cs="Times New Roman"/>
          <w:color w:val="0000FF"/>
          <w:u w:val="single"/>
          <w14:ligatures w14:val="none"/>
        </w:rPr>
        <w:t>10.1007/s12524-022-01560-5</w:t>
      </w:r>
    </w:p>
    <w:p w14:paraId="08C9B619"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r w:rsidRPr="00636421">
        <w:rPr>
          <w:rFonts w:eastAsia="Times New Roman" w:cs="Times New Roman"/>
          <w:lang w:bidi="fa-IR"/>
          <w14:ligatures w14:val="none"/>
        </w:rPr>
        <w:lastRenderedPageBreak/>
        <w:t>Gibson, T. Pelling, M., Ghosh, A., Matyas, D., Siddiqi, A., Solecki, W., Johnson, L., Kenney, C., Johnston, D., &amp; Du Plessis, R., 2016. Pathways for transformation: disaster risk management to enhance resilience to extreme events</w:t>
      </w:r>
      <w:r w:rsidRPr="00636421">
        <w:rPr>
          <w:rFonts w:eastAsia="Times New Roman" w:cs="Times New Roman"/>
          <w:i/>
          <w:iCs/>
          <w:lang w:bidi="fa-IR"/>
          <w14:ligatures w14:val="none"/>
        </w:rPr>
        <w:t>. J Extreme Events</w:t>
      </w:r>
      <w:r w:rsidRPr="00636421">
        <w:rPr>
          <w:rFonts w:eastAsia="Times New Roman" w:cs="Times New Roman"/>
          <w:lang w:bidi="fa-IR"/>
          <w14:ligatures w14:val="none"/>
        </w:rPr>
        <w:t xml:space="preserve">, 3(1). </w:t>
      </w:r>
      <w:hyperlink r:id="rId46" w:history="1">
        <w:r w:rsidRPr="00636421">
          <w:rPr>
            <w:rFonts w:eastAsia="Times New Roman" w:cs="Times New Roman"/>
            <w:color w:val="0000FF"/>
            <w:u w:val="single"/>
            <w:lang w:bidi="fa-IR"/>
            <w14:ligatures w14:val="none"/>
          </w:rPr>
          <w:t>https://doi.org/</w:t>
        </w:r>
      </w:hyperlink>
      <w:hyperlink r:id="rId47" w:tgtFrame="_blank" w:history="1">
        <w:r w:rsidRPr="00636421">
          <w:rPr>
            <w:rFonts w:eastAsia="Times New Roman" w:cs="Times New Roman"/>
            <w:color w:val="0000FF"/>
            <w:u w:val="single"/>
            <w:lang w:bidi="fa-IR"/>
            <w14:ligatures w14:val="none"/>
          </w:rPr>
          <w:t>10.1142/S2345737616710020</w:t>
        </w:r>
      </w:hyperlink>
    </w:p>
    <w:p w14:paraId="3D5B865F"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proofErr w:type="spellStart"/>
      <w:r w:rsidRPr="00636421">
        <w:rPr>
          <w:rFonts w:eastAsia="Times New Roman" w:cs="Times New Roman"/>
          <w:lang w:bidi="fa-IR"/>
          <w14:ligatures w14:val="none"/>
        </w:rPr>
        <w:t>Goorabi</w:t>
      </w:r>
      <w:proofErr w:type="spellEnd"/>
      <w:r w:rsidRPr="00636421">
        <w:rPr>
          <w:rFonts w:eastAsia="Times New Roman" w:cs="Times New Roman"/>
          <w:lang w:bidi="fa-IR"/>
          <w14:ligatures w14:val="none"/>
        </w:rPr>
        <w:t xml:space="preserve">, A., Yamani, M., </w:t>
      </w:r>
      <w:proofErr w:type="spellStart"/>
      <w:r w:rsidRPr="00636421">
        <w:rPr>
          <w:rFonts w:eastAsia="Times New Roman" w:cs="Times New Roman"/>
          <w:lang w:bidi="fa-IR"/>
          <w14:ligatures w14:val="none"/>
        </w:rPr>
        <w:t>Mohammadkhan</w:t>
      </w:r>
      <w:proofErr w:type="spellEnd"/>
      <w:r w:rsidRPr="00636421">
        <w:rPr>
          <w:rFonts w:eastAsia="Times New Roman" w:cs="Times New Roman"/>
          <w:lang w:bidi="fa-IR"/>
          <w14:ligatures w14:val="none"/>
        </w:rPr>
        <w:t xml:space="preserve">, Sh., &amp; Hosseini, S. J. (2023). Evaluating the effects of fault tectonics on the geomorphology of </w:t>
      </w:r>
      <w:proofErr w:type="spellStart"/>
      <w:r w:rsidRPr="00636421">
        <w:rPr>
          <w:rFonts w:eastAsia="Times New Roman" w:cs="Times New Roman"/>
          <w:lang w:bidi="fa-IR"/>
          <w14:ligatures w14:val="none"/>
        </w:rPr>
        <w:t>Zanjanrud</w:t>
      </w:r>
      <w:proofErr w:type="spellEnd"/>
      <w:r w:rsidRPr="00636421">
        <w:rPr>
          <w:rFonts w:eastAsia="Times New Roman" w:cs="Times New Roman"/>
          <w:lang w:bidi="fa-IR"/>
          <w14:ligatures w14:val="none"/>
        </w:rPr>
        <w:t xml:space="preserve"> basin using remote-sensing and geomorphometry techniques. Physical Geography Research Quarterly, 55 (2), 89-110. </w:t>
      </w:r>
      <w:r w:rsidRPr="00636421">
        <w:rPr>
          <w:rFonts w:eastAsia="Times New Roman" w:cs="Times New Roman"/>
          <w:color w:val="0000FF"/>
          <w:u w:val="single"/>
          <w:lang w:bidi="fa-IR"/>
          <w14:ligatures w14:val="none"/>
        </w:rPr>
        <w:t>http://doi.org/ 10.22059/JPHGR.2023.354037.1007741</w:t>
      </w:r>
    </w:p>
    <w:p w14:paraId="7B3EB833"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r w:rsidRPr="00636421">
        <w:rPr>
          <w:rFonts w:eastAsia="Times New Roman" w:cs="Times New Roman"/>
          <w:lang w:bidi="fa-IR"/>
          <w14:ligatures w14:val="none"/>
        </w:rPr>
        <w:t xml:space="preserve">Hassan, M.D., Anzum, N., </w:t>
      </w:r>
      <w:proofErr w:type="spellStart"/>
      <w:r w:rsidRPr="00636421">
        <w:rPr>
          <w:rFonts w:eastAsia="Times New Roman" w:cs="Times New Roman"/>
          <w:lang w:bidi="fa-IR"/>
          <w14:ligatures w14:val="none"/>
        </w:rPr>
        <w:t>Shaibur</w:t>
      </w:r>
      <w:proofErr w:type="spellEnd"/>
      <w:r w:rsidRPr="00636421">
        <w:rPr>
          <w:rFonts w:eastAsia="Times New Roman" w:cs="Times New Roman"/>
          <w:lang w:bidi="fa-IR"/>
          <w14:ligatures w14:val="none"/>
        </w:rPr>
        <w:t xml:space="preserve">, M.R., Nahar, N., Akber, A., Sabbir Hossain, M.D., &amp; Al Mamun, S., 2023. Changing dynamics of river ecosystem from aquatic to terrestrial: A case of </w:t>
      </w:r>
      <w:proofErr w:type="spellStart"/>
      <w:r w:rsidRPr="00636421">
        <w:rPr>
          <w:rFonts w:eastAsia="Times New Roman" w:cs="Times New Roman"/>
          <w:lang w:bidi="fa-IR"/>
          <w14:ligatures w14:val="none"/>
        </w:rPr>
        <w:t>Bhairab</w:t>
      </w:r>
      <w:proofErr w:type="spellEnd"/>
      <w:r w:rsidRPr="00636421">
        <w:rPr>
          <w:rFonts w:eastAsia="Times New Roman" w:cs="Times New Roman"/>
          <w:lang w:bidi="fa-IR"/>
          <w14:ligatures w14:val="none"/>
        </w:rPr>
        <w:t xml:space="preserve"> River, </w:t>
      </w:r>
      <w:proofErr w:type="spellStart"/>
      <w:r w:rsidRPr="00636421">
        <w:rPr>
          <w:rFonts w:eastAsia="Times New Roman" w:cs="Times New Roman"/>
          <w:lang w:bidi="fa-IR"/>
          <w14:ligatures w14:val="none"/>
        </w:rPr>
        <w:t>Jashore</w:t>
      </w:r>
      <w:proofErr w:type="spellEnd"/>
      <w:r w:rsidRPr="00636421">
        <w:rPr>
          <w:rFonts w:eastAsia="Times New Roman" w:cs="Times New Roman"/>
          <w:lang w:bidi="fa-IR"/>
          <w14:ligatures w14:val="none"/>
        </w:rPr>
        <w:t xml:space="preserve">, Bangladesh.  </w:t>
      </w:r>
      <w:hyperlink r:id="rId48" w:tooltip="Go to Watershed Ecology and the Environment on ScienceDirect" w:history="1">
        <w:r w:rsidRPr="00636421">
          <w:rPr>
            <w:rFonts w:eastAsia="Times New Roman" w:cs="Times New Roman"/>
            <w:i/>
            <w:iCs/>
            <w:lang w:bidi="fa-IR"/>
            <w14:ligatures w14:val="none"/>
          </w:rPr>
          <w:t>Watershed Ecology and the Environment</w:t>
        </w:r>
      </w:hyperlink>
      <w:r w:rsidRPr="00636421">
        <w:rPr>
          <w:rFonts w:eastAsia="Times New Roman" w:cs="Times New Roman"/>
          <w:lang w:bidi="fa-IR"/>
          <w14:ligatures w14:val="none"/>
        </w:rPr>
        <w:t xml:space="preserve"> 5 (1), 1-27. </w:t>
      </w:r>
      <w:hyperlink r:id="rId49" w:tgtFrame="_blank" w:tooltip="Persistent link using digital object identifier" w:history="1">
        <w:r w:rsidRPr="00636421">
          <w:rPr>
            <w:rFonts w:eastAsia="Times New Roman" w:cs="Times New Roman"/>
            <w:color w:val="0000FF"/>
            <w:u w:val="single"/>
            <w:lang w:bidi="fa-IR"/>
            <w14:ligatures w14:val="none"/>
          </w:rPr>
          <w:t>https://doi.org/10.1016/j.wsee.2023.05.001</w:t>
        </w:r>
      </w:hyperlink>
    </w:p>
    <w:p w14:paraId="302D7B4F"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color w:val="0000FF"/>
          <w:u w:val="single"/>
          <w14:ligatures w14:val="none"/>
        </w:rPr>
      </w:pPr>
      <w:proofErr w:type="spellStart"/>
      <w:r w:rsidRPr="00636421">
        <w:rPr>
          <w:rFonts w:eastAsia="Times New Roman" w:cs="Times New Roman"/>
          <w:lang w:bidi="fa-IR"/>
          <w14:ligatures w14:val="none"/>
        </w:rPr>
        <w:t>Herryal</w:t>
      </w:r>
      <w:proofErr w:type="spellEnd"/>
      <w:r w:rsidRPr="00636421">
        <w:rPr>
          <w:rFonts w:eastAsia="Times New Roman" w:cs="Times New Roman"/>
          <w:lang w:bidi="fa-IR"/>
          <w14:ligatures w14:val="none"/>
        </w:rPr>
        <w:t xml:space="preserve">, Z. A., </w:t>
      </w:r>
      <w:proofErr w:type="spellStart"/>
      <w:r w:rsidRPr="00636421">
        <w:rPr>
          <w:rFonts w:eastAsia="Times New Roman" w:cs="Times New Roman"/>
          <w:lang w:bidi="fa-IR"/>
          <w14:ligatures w14:val="none"/>
        </w:rPr>
        <w:t>Yustiningrum</w:t>
      </w:r>
      <w:proofErr w:type="spellEnd"/>
      <w:r w:rsidRPr="00636421">
        <w:rPr>
          <w:rFonts w:eastAsia="Times New Roman" w:cs="Times New Roman"/>
          <w:lang w:bidi="fa-IR"/>
          <w14:ligatures w14:val="none"/>
        </w:rPr>
        <w:t xml:space="preserve">, E., Andriana, N., Sagala, A., Anggun, M. S. 2017. Measuring Community Resilience to Natural Hazards: Case Study of Yogyakarta Province, </w:t>
      </w:r>
      <w:r w:rsidRPr="00636421">
        <w:rPr>
          <w:rFonts w:eastAsia="Times New Roman" w:cs="Times New Roman"/>
          <w:i/>
          <w:iCs/>
          <w:lang w:bidi="fa-IR"/>
          <w14:ligatures w14:val="none"/>
        </w:rPr>
        <w:t>Disaster Risk Reduction in Indonesia</w:t>
      </w:r>
      <w:r w:rsidRPr="00636421">
        <w:rPr>
          <w:rFonts w:eastAsia="Times New Roman" w:cs="Times New Roman"/>
          <w:lang w:bidi="fa-IR"/>
          <w14:ligatures w14:val="none"/>
        </w:rPr>
        <w:t>, 609-633.</w:t>
      </w:r>
      <w:r w:rsidRPr="00636421">
        <w:rPr>
          <w:rFonts w:eastAsia="Times New Roman" w:cs="Times New Roman"/>
          <w:rtl/>
          <w:lang w:bidi="fa-IR"/>
          <w14:ligatures w14:val="none"/>
        </w:rPr>
        <w:t xml:space="preserve"> </w:t>
      </w:r>
      <w:hyperlink r:id="rId50" w:history="1">
        <w:r w:rsidRPr="00636421">
          <w:rPr>
            <w:rFonts w:eastAsia="Times New Roman" w:cs="Times New Roman"/>
            <w:color w:val="0000FF"/>
            <w:u w:val="single"/>
            <w14:ligatures w14:val="none"/>
          </w:rPr>
          <w:t>http://dx.doi.org/10.1007/978-3-319-54466-3_25</w:t>
        </w:r>
      </w:hyperlink>
    </w:p>
    <w:p w14:paraId="5BE04610"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Hussain, S., Mubeen, M., &amp; </w:t>
      </w:r>
      <w:proofErr w:type="spellStart"/>
      <w:r w:rsidRPr="00636421">
        <w:rPr>
          <w:rFonts w:eastAsia="Times New Roman" w:cs="Times New Roman"/>
          <w14:ligatures w14:val="none"/>
        </w:rPr>
        <w:t>Karuppannan</w:t>
      </w:r>
      <w:proofErr w:type="spellEnd"/>
      <w:r w:rsidRPr="00636421">
        <w:rPr>
          <w:rFonts w:eastAsia="Times New Roman" w:cs="Times New Roman"/>
          <w14:ligatures w14:val="none"/>
        </w:rPr>
        <w:t xml:space="preserve">, S., 2022. Land use and land cover (LULC) change analysis using TM, ETM+ and OLI Landsat images in district of Okara, Punjab, Pakistan. </w:t>
      </w:r>
      <w:r w:rsidRPr="00636421">
        <w:rPr>
          <w:rFonts w:eastAsia="Times New Roman" w:cs="Times New Roman"/>
          <w:i/>
          <w:iCs/>
          <w14:ligatures w14:val="none"/>
        </w:rPr>
        <w:t xml:space="preserve">Physics and Chemistry of the Earth, Parts A/B/C, </w:t>
      </w:r>
      <w:r w:rsidRPr="00636421">
        <w:rPr>
          <w:rFonts w:eastAsia="Times New Roman" w:cs="Times New Roman"/>
          <w14:ligatures w14:val="none"/>
        </w:rPr>
        <w:t xml:space="preserve">126. </w:t>
      </w:r>
      <w:hyperlink r:id="rId51" w:history="1">
        <w:r w:rsidRPr="00636421">
          <w:rPr>
            <w:rFonts w:eastAsia="Times New Roman" w:cs="Times New Roman"/>
            <w:color w:val="0000FF"/>
            <w:u w:val="single"/>
            <w14:ligatures w14:val="none"/>
          </w:rPr>
          <w:t>https://doi.org/10.1016/j.pce.2022.103117</w:t>
        </w:r>
      </w:hyperlink>
    </w:p>
    <w:p w14:paraId="45ECAEC7"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r w:rsidRPr="00636421">
        <w:rPr>
          <w:rFonts w:eastAsia="Times New Roman" w:cs="Times New Roman"/>
          <w:lang w:bidi="fa-IR"/>
          <w14:ligatures w14:val="none"/>
        </w:rPr>
        <w:t xml:space="preserve">Jha, K.‚ Miner‚ W &amp; Geddes‚ S., 2012. Building urban resilience: principles, tools, and practice. </w:t>
      </w:r>
      <w:r w:rsidRPr="00636421">
        <w:rPr>
          <w:rFonts w:eastAsia="Times New Roman" w:cs="Times New Roman"/>
          <w:i/>
          <w:iCs/>
          <w:lang w:bidi="fa-IR"/>
          <w14:ligatures w14:val="none"/>
        </w:rPr>
        <w:t>The World Bank</w:t>
      </w:r>
      <w:r w:rsidRPr="00636421">
        <w:rPr>
          <w:rFonts w:eastAsia="Times New Roman" w:cs="Times New Roman"/>
          <w:lang w:bidi="fa-IR"/>
          <w14:ligatures w14:val="none"/>
        </w:rPr>
        <w:t xml:space="preserve">, 155. </w:t>
      </w:r>
      <w:r w:rsidRPr="00636421">
        <w:rPr>
          <w:rFonts w:eastAsia="Times New Roman" w:cs="Times New Roman"/>
          <w:color w:val="0000FF"/>
          <w:u w:val="single"/>
          <w14:ligatures w14:val="none"/>
        </w:rPr>
        <w:t>https://ideas.repec.org/b/wbk/wbpubs/13109.html</w:t>
      </w:r>
    </w:p>
    <w:p w14:paraId="23F9CF67"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r w:rsidRPr="00636421">
        <w:rPr>
          <w:rFonts w:eastAsia="Times New Roman" w:cs="Times New Roman"/>
          <w:lang w:bidi="fa-IR"/>
          <w14:ligatures w14:val="none"/>
        </w:rPr>
        <w:t xml:space="preserve">Lewis, D., &amp; Jaana, M. 2005. Urban vulnerability and good </w:t>
      </w:r>
      <w:proofErr w:type="spellStart"/>
      <w:proofErr w:type="gramStart"/>
      <w:r w:rsidRPr="00636421">
        <w:rPr>
          <w:rFonts w:eastAsia="Times New Roman" w:cs="Times New Roman"/>
          <w:lang w:bidi="fa-IR"/>
          <w14:ligatures w14:val="none"/>
        </w:rPr>
        <w:t>government.Journal</w:t>
      </w:r>
      <w:proofErr w:type="spellEnd"/>
      <w:proofErr w:type="gramEnd"/>
      <w:r w:rsidRPr="00636421">
        <w:rPr>
          <w:rFonts w:eastAsia="Times New Roman" w:cs="Times New Roman"/>
          <w:lang w:bidi="fa-IR"/>
          <w14:ligatures w14:val="none"/>
        </w:rPr>
        <w:t xml:space="preserve"> of contingencies and crisis management, </w:t>
      </w:r>
      <w:r w:rsidRPr="00636421">
        <w:rPr>
          <w:rFonts w:eastAsia="Times New Roman" w:cs="Times New Roman"/>
          <w:i/>
          <w:iCs/>
          <w:lang w:bidi="fa-IR"/>
          <w14:ligatures w14:val="none"/>
        </w:rPr>
        <w:t>Contingencies and Crisis Management</w:t>
      </w:r>
      <w:r w:rsidRPr="00636421">
        <w:rPr>
          <w:rFonts w:eastAsia="Times New Roman" w:cs="Times New Roman"/>
          <w:lang w:bidi="fa-IR"/>
          <w14:ligatures w14:val="none"/>
        </w:rPr>
        <w:t>, (13)2, 50–53.</w:t>
      </w:r>
      <w:r w:rsidRPr="00636421">
        <w:rPr>
          <w:rFonts w:eastAsia="Times New Roman" w:cs="Times New Roman"/>
          <w:rtl/>
          <w:lang w:bidi="fa-IR"/>
          <w14:ligatures w14:val="none"/>
        </w:rPr>
        <w:t xml:space="preserve"> </w:t>
      </w:r>
      <w:hyperlink r:id="rId52" w:history="1">
        <w:r w:rsidRPr="00636421">
          <w:rPr>
            <w:rFonts w:eastAsia="Times New Roman" w:cs="Times New Roman"/>
            <w:color w:val="0000FF"/>
            <w:u w:val="single"/>
            <w14:ligatures w14:val="none"/>
          </w:rPr>
          <w:t>http://dx.doi.org/10.1111/j.1468-5973.2005.00456.x</w:t>
        </w:r>
      </w:hyperlink>
    </w:p>
    <w:p w14:paraId="4196645B"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Liang, J., Chen, C., Song, Y., Sun, W., &amp; Yang, G., 2024. Long-term mapping of land use and cover changes using Landsat images on the Google Earth Engine Cloud Platform in bay area - A case study of Hangzhou Bay, China. </w:t>
      </w:r>
      <w:r w:rsidRPr="00636421">
        <w:rPr>
          <w:rFonts w:eastAsia="Times New Roman" w:cs="Times New Roman"/>
          <w:i/>
          <w:iCs/>
          <w14:ligatures w14:val="none"/>
        </w:rPr>
        <w:t>Sustainable Horizons</w:t>
      </w:r>
      <w:r w:rsidRPr="00636421">
        <w:rPr>
          <w:rFonts w:eastAsia="Times New Roman" w:cs="Times New Roman"/>
          <w14:ligatures w14:val="none"/>
        </w:rPr>
        <w:t xml:space="preserve">, 7. </w:t>
      </w:r>
      <w:hyperlink r:id="rId53" w:history="1">
        <w:r w:rsidRPr="00636421">
          <w:rPr>
            <w:rFonts w:eastAsia="Times New Roman" w:cs="Times New Roman"/>
            <w:color w:val="0000FF"/>
            <w:u w:val="single"/>
            <w14:ligatures w14:val="none"/>
          </w:rPr>
          <w:t>https://doi.org/10.1016/j.horiz.2023.100061</w:t>
        </w:r>
      </w:hyperlink>
    </w:p>
    <w:p w14:paraId="4194CAE7"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color w:val="0070C0"/>
          <w:u w:val="single"/>
          <w14:ligatures w14:val="none"/>
        </w:rPr>
      </w:pPr>
      <w:proofErr w:type="spellStart"/>
      <w:r w:rsidRPr="00636421">
        <w:rPr>
          <w:rFonts w:eastAsia="Times New Roman" w:cs="Times New Roman"/>
          <w:lang w:bidi="fa-IR"/>
          <w14:ligatures w14:val="none"/>
        </w:rPr>
        <w:t>Malalgoda</w:t>
      </w:r>
      <w:proofErr w:type="spellEnd"/>
      <w:r w:rsidRPr="00636421">
        <w:rPr>
          <w:rFonts w:eastAsia="Times New Roman" w:cs="Times New Roman"/>
          <w:lang w:bidi="fa-IR"/>
          <w14:ligatures w14:val="none"/>
        </w:rPr>
        <w:t xml:space="preserve">, C., </w:t>
      </w:r>
      <w:proofErr w:type="spellStart"/>
      <w:r w:rsidRPr="00636421">
        <w:rPr>
          <w:rFonts w:eastAsia="Times New Roman" w:cs="Times New Roman"/>
          <w:lang w:bidi="fa-IR"/>
          <w14:ligatures w14:val="none"/>
        </w:rPr>
        <w:t>Amaratunga</w:t>
      </w:r>
      <w:proofErr w:type="spellEnd"/>
      <w:r w:rsidRPr="00636421">
        <w:rPr>
          <w:rFonts w:eastAsia="Times New Roman" w:cs="Times New Roman"/>
          <w:lang w:bidi="fa-IR"/>
          <w14:ligatures w14:val="none"/>
        </w:rPr>
        <w:t xml:space="preserve">, R.D.G., &amp; </w:t>
      </w:r>
      <w:proofErr w:type="spellStart"/>
      <w:r w:rsidRPr="00636421">
        <w:rPr>
          <w:rFonts w:eastAsia="Times New Roman" w:cs="Times New Roman"/>
          <w:lang w:bidi="fa-IR"/>
          <w14:ligatures w14:val="none"/>
        </w:rPr>
        <w:t>Pathirage</w:t>
      </w:r>
      <w:proofErr w:type="spellEnd"/>
      <w:r w:rsidRPr="00636421">
        <w:rPr>
          <w:rFonts w:eastAsia="Times New Roman" w:cs="Times New Roman"/>
          <w:lang w:bidi="fa-IR"/>
          <w14:ligatures w14:val="none"/>
        </w:rPr>
        <w:t xml:space="preserve">, C.P., 2010. Exploring disaster risk reduction in the built environment. School of the Built Environment, </w:t>
      </w:r>
      <w:r w:rsidRPr="00636421">
        <w:rPr>
          <w:rFonts w:eastAsia="Times New Roman" w:cs="Times New Roman"/>
          <w:i/>
          <w:iCs/>
          <w:lang w:bidi="fa-IR"/>
          <w14:ligatures w14:val="none"/>
        </w:rPr>
        <w:t xml:space="preserve">University of </w:t>
      </w:r>
      <w:proofErr w:type="spellStart"/>
      <w:r w:rsidRPr="00636421">
        <w:rPr>
          <w:rFonts w:eastAsia="Times New Roman" w:cs="Times New Roman"/>
          <w:i/>
          <w:iCs/>
          <w:lang w:bidi="fa-IR"/>
          <w14:ligatures w14:val="none"/>
        </w:rPr>
        <w:t>Salford</w:t>
      </w:r>
      <w:proofErr w:type="spellEnd"/>
      <w:r w:rsidRPr="00636421">
        <w:rPr>
          <w:rFonts w:eastAsia="Times New Roman" w:cs="Times New Roman"/>
          <w:i/>
          <w:iCs/>
          <w:lang w:bidi="fa-IR"/>
          <w14:ligatures w14:val="none"/>
        </w:rPr>
        <w:t xml:space="preserve">, </w:t>
      </w:r>
      <w:proofErr w:type="spellStart"/>
      <w:r w:rsidRPr="00636421">
        <w:rPr>
          <w:rFonts w:eastAsia="Times New Roman" w:cs="Times New Roman"/>
          <w:i/>
          <w:iCs/>
          <w:lang w:bidi="fa-IR"/>
          <w14:ligatures w14:val="none"/>
        </w:rPr>
        <w:t>uk</w:t>
      </w:r>
      <w:proofErr w:type="spellEnd"/>
      <w:r w:rsidRPr="00636421">
        <w:rPr>
          <w:rFonts w:eastAsia="Times New Roman" w:cs="Times New Roman"/>
          <w:i/>
          <w:iCs/>
          <w:lang w:bidi="fa-IR"/>
          <w14:ligatures w14:val="none"/>
        </w:rPr>
        <w:t>.</w:t>
      </w:r>
      <w:r w:rsidRPr="00636421">
        <w:rPr>
          <w:rFonts w:eastAsia="Times New Roman" w:cs="Times New Roman"/>
          <w:lang w:bidi="fa-IR"/>
          <w14:ligatures w14:val="none"/>
        </w:rPr>
        <w:t xml:space="preserve"> </w:t>
      </w:r>
      <w:hyperlink r:id="rId54" w:history="1">
        <w:r w:rsidRPr="00636421">
          <w:rPr>
            <w:rFonts w:eastAsia="Times New Roman" w:cs="Times New Roman"/>
            <w:color w:val="0000FF"/>
            <w:u w:val="single"/>
            <w14:ligatures w14:val="none"/>
          </w:rPr>
          <w:t>https://www.preventionweb.net/files/15204_16141</w:t>
        </w:r>
      </w:hyperlink>
      <w:r w:rsidRPr="00636421">
        <w:rPr>
          <w:rFonts w:eastAsia="Times New Roman" w:cs="Times New Roman"/>
          <w:color w:val="0070C0"/>
          <w:u w:val="single"/>
          <w14:ligatures w14:val="none"/>
        </w:rPr>
        <w:t>.</w:t>
      </w:r>
    </w:p>
    <w:p w14:paraId="0438E394"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r w:rsidRPr="00636421">
        <w:rPr>
          <w:rFonts w:eastAsia="Times New Roman" w:cs="Times New Roman"/>
          <w:lang w:bidi="fa-IR"/>
          <w14:ligatures w14:val="none"/>
        </w:rPr>
        <w:t xml:space="preserve">Mas, J.F., Kolb, M., </w:t>
      </w:r>
      <w:proofErr w:type="spellStart"/>
      <w:r w:rsidRPr="00636421">
        <w:rPr>
          <w:rFonts w:eastAsia="Times New Roman" w:cs="Times New Roman"/>
          <w:lang w:bidi="fa-IR"/>
          <w14:ligatures w14:val="none"/>
        </w:rPr>
        <w:t>Paegelow</w:t>
      </w:r>
      <w:proofErr w:type="spellEnd"/>
      <w:r w:rsidRPr="00636421">
        <w:rPr>
          <w:rFonts w:eastAsia="Times New Roman" w:cs="Times New Roman"/>
          <w:lang w:bidi="fa-IR"/>
          <w14:ligatures w14:val="none"/>
        </w:rPr>
        <w:t xml:space="preserve">, M., &amp; Camacho Olmedo, M.T., 2014. Inductive pattern-based land use/cover change models: A comparison of four software packages. </w:t>
      </w:r>
      <w:r w:rsidRPr="00636421">
        <w:rPr>
          <w:rFonts w:eastAsia="Times New Roman" w:cs="Times New Roman"/>
          <w:i/>
          <w:iCs/>
          <w:lang w:bidi="fa-IR"/>
          <w14:ligatures w14:val="none"/>
        </w:rPr>
        <w:t>Environmental Modelling &amp; software</w:t>
      </w:r>
      <w:r w:rsidRPr="00636421">
        <w:rPr>
          <w:rFonts w:eastAsia="Times New Roman" w:cs="Times New Roman"/>
          <w:lang w:bidi="fa-IR"/>
          <w14:ligatures w14:val="none"/>
        </w:rPr>
        <w:t xml:space="preserve">, 51, 94-111. </w:t>
      </w:r>
      <w:r w:rsidRPr="00636421">
        <w:rPr>
          <w:rFonts w:eastAsia="Times New Roman" w:cs="Times New Roman"/>
          <w:color w:val="0000FF"/>
          <w:u w:val="single"/>
          <w14:ligatures w14:val="none"/>
        </w:rPr>
        <w:t>https://doi.org/10.1016/j.envsoft.2013.09.010</w:t>
      </w:r>
    </w:p>
    <w:p w14:paraId="157F4836"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proofErr w:type="spellStart"/>
      <w:r w:rsidRPr="00636421">
        <w:rPr>
          <w:rFonts w:eastAsia="Times New Roman" w:cs="Times New Roman"/>
          <w14:ligatures w14:val="none"/>
        </w:rPr>
        <w:t>Mohammadkhan</w:t>
      </w:r>
      <w:proofErr w:type="spellEnd"/>
      <w:r w:rsidRPr="00636421">
        <w:rPr>
          <w:rFonts w:eastAsia="Times New Roman" w:cs="Times New Roman"/>
          <w14:ligatures w14:val="none"/>
        </w:rPr>
        <w:t xml:space="preserve">, S., </w:t>
      </w: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w:t>
      </w:r>
      <w:proofErr w:type="spellStart"/>
      <w:r w:rsidRPr="00636421">
        <w:rPr>
          <w:rFonts w:eastAsia="Times New Roman" w:cs="Times New Roman"/>
          <w14:ligatures w14:val="none"/>
        </w:rPr>
        <w:t>Shahri</w:t>
      </w:r>
      <w:proofErr w:type="spellEnd"/>
      <w:r w:rsidRPr="00636421">
        <w:rPr>
          <w:rFonts w:eastAsia="Times New Roman" w:cs="Times New Roman"/>
          <w14:ligatures w14:val="none"/>
        </w:rPr>
        <w:t xml:space="preserve">, S., &amp; Abbaszadeh, A., 2019. Predicting the trend of urban development towards hazardous areas using multi-temporal images (case study: Marivan city). </w:t>
      </w:r>
      <w:r w:rsidRPr="00636421">
        <w:rPr>
          <w:rFonts w:eastAsia="Times New Roman" w:cs="Times New Roman"/>
          <w:i/>
          <w:iCs/>
          <w14:ligatures w14:val="none"/>
        </w:rPr>
        <w:t>Sepehr,</w:t>
      </w:r>
      <w:r w:rsidRPr="00636421">
        <w:rPr>
          <w:rFonts w:eastAsia="Times New Roman" w:cs="Times New Roman"/>
          <w14:ligatures w14:val="none"/>
        </w:rPr>
        <w:t xml:space="preserve"> 28 (110), 107-117. [In Persian] </w:t>
      </w:r>
      <w:hyperlink r:id="rId55" w:history="1">
        <w:r w:rsidRPr="00636421">
          <w:rPr>
            <w:rFonts w:eastAsia="Times New Roman" w:cs="Times New Roman"/>
            <w:color w:val="0000FF"/>
            <w:u w:val="single"/>
            <w14:ligatures w14:val="none"/>
          </w:rPr>
          <w:t>https://doi.org/10.22131/sepehr.2019.36615</w:t>
        </w:r>
      </w:hyperlink>
    </w:p>
    <w:p w14:paraId="4F01EFDF"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Munoz, G.A., Gil-Costa, V., &amp; Marin, M., 2022. Efficient simulation of natural hazard evacuation for seacoast cities. </w:t>
      </w:r>
      <w:r w:rsidRPr="00636421">
        <w:rPr>
          <w:rFonts w:eastAsia="Times New Roman" w:cs="Times New Roman"/>
          <w:i/>
          <w:iCs/>
          <w14:ligatures w14:val="none"/>
        </w:rPr>
        <w:t>International Journal of Disaster Risk Reduction</w:t>
      </w:r>
      <w:r w:rsidRPr="00636421">
        <w:rPr>
          <w:rFonts w:eastAsia="Times New Roman" w:cs="Times New Roman"/>
          <w14:ligatures w14:val="none"/>
        </w:rPr>
        <w:t xml:space="preserve">, 81. </w:t>
      </w:r>
      <w:hyperlink r:id="rId56" w:history="1">
        <w:r w:rsidRPr="00636421">
          <w:rPr>
            <w:rFonts w:eastAsia="Times New Roman" w:cs="Times New Roman"/>
            <w:color w:val="0000FF"/>
            <w:u w:val="single"/>
            <w14:ligatures w14:val="none"/>
          </w:rPr>
          <w:t>https://doi.org/10.1016/j.ijdrr.2022.103300</w:t>
        </w:r>
      </w:hyperlink>
    </w:p>
    <w:p w14:paraId="185C16F4"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proofErr w:type="spellStart"/>
      <w:r w:rsidRPr="00636421">
        <w:rPr>
          <w:rFonts w:eastAsia="Times New Roman" w:cs="Times New Roman"/>
          <w:lang w:bidi="fa-IR"/>
          <w14:ligatures w14:val="none"/>
        </w:rPr>
        <w:t>Nayyeri</w:t>
      </w:r>
      <w:proofErr w:type="spellEnd"/>
      <w:r w:rsidRPr="00636421">
        <w:rPr>
          <w:rFonts w:eastAsia="Times New Roman" w:cs="Times New Roman"/>
          <w:lang w:bidi="fa-IR"/>
          <w14:ligatures w14:val="none"/>
        </w:rPr>
        <w:t xml:space="preserve">, H., </w:t>
      </w:r>
      <w:proofErr w:type="spellStart"/>
      <w:r w:rsidRPr="00636421">
        <w:rPr>
          <w:rFonts w:eastAsia="Times New Roman" w:cs="Times New Roman"/>
          <w:lang w:bidi="fa-IR"/>
          <w14:ligatures w14:val="none"/>
        </w:rPr>
        <w:t>Ganjaeian</w:t>
      </w:r>
      <w:proofErr w:type="spellEnd"/>
      <w:r w:rsidRPr="00636421">
        <w:rPr>
          <w:rFonts w:eastAsia="Times New Roman" w:cs="Times New Roman"/>
          <w:lang w:bidi="fa-IR"/>
          <w14:ligatures w14:val="none"/>
        </w:rPr>
        <w:t xml:space="preserve">, H., Amani, K., 2018. Environmental parameters assessment of land suitability for Physical expansion of the city of </w:t>
      </w:r>
      <w:proofErr w:type="spellStart"/>
      <w:r w:rsidRPr="00636421">
        <w:rPr>
          <w:rFonts w:eastAsia="Times New Roman" w:cs="Times New Roman"/>
          <w:lang w:bidi="fa-IR"/>
          <w14:ligatures w14:val="none"/>
        </w:rPr>
        <w:t>Sarvabad</w:t>
      </w:r>
      <w:proofErr w:type="spellEnd"/>
      <w:r w:rsidRPr="00636421">
        <w:rPr>
          <w:rFonts w:eastAsia="Times New Roman" w:cs="Times New Roman"/>
          <w:lang w:bidi="fa-IR"/>
          <w14:ligatures w14:val="none"/>
        </w:rPr>
        <w:t xml:space="preserve"> by combination two models ANP and Fuzzy. Urban Social Geography, 5(1), 62-49. [In Persian] </w:t>
      </w:r>
      <w:hyperlink r:id="rId57" w:history="1">
        <w:r w:rsidRPr="00636421">
          <w:rPr>
            <w:rFonts w:eastAsia="Times New Roman" w:cs="Times New Roman"/>
            <w:color w:val="0000FF"/>
            <w:u w:val="single"/>
            <w:lang w:bidi="fa-IR"/>
            <w14:ligatures w14:val="none"/>
          </w:rPr>
          <w:t>https://doi.org/10.22103/JUSG.2018.1961</w:t>
        </w:r>
      </w:hyperlink>
    </w:p>
    <w:p w14:paraId="1FE9596C"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proofErr w:type="spellStart"/>
      <w:r w:rsidRPr="00636421">
        <w:rPr>
          <w:rFonts w:eastAsia="Times New Roman" w:cs="Times New Roman"/>
          <w14:ligatures w14:val="none"/>
        </w:rPr>
        <w:t>Nayyeri</w:t>
      </w:r>
      <w:proofErr w:type="spellEnd"/>
      <w:r w:rsidRPr="00636421">
        <w:rPr>
          <w:rFonts w:eastAsia="Times New Roman" w:cs="Times New Roman"/>
          <w14:ligatures w14:val="none"/>
        </w:rPr>
        <w:t xml:space="preserve">, H., Salari, M., </w:t>
      </w: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&amp; Amani, K., 2017. Geomorphological Assessment of Land Suitability for the Physical Expansion of Sanandaj City Applying Restricted Areas. </w:t>
      </w:r>
      <w:r w:rsidRPr="00636421">
        <w:rPr>
          <w:rFonts w:eastAsia="Times New Roman" w:cs="Times New Roman"/>
          <w:i/>
          <w:iCs/>
          <w14:ligatures w14:val="none"/>
        </w:rPr>
        <w:t>Research in the geography of urban planning</w:t>
      </w:r>
      <w:r w:rsidRPr="00636421">
        <w:rPr>
          <w:rFonts w:eastAsia="Times New Roman" w:cs="Times New Roman"/>
          <w14:ligatures w14:val="none"/>
        </w:rPr>
        <w:t xml:space="preserve">. 5 (1). 127-145. [In Persian] </w:t>
      </w:r>
      <w:hyperlink r:id="rId58" w:history="1">
        <w:r w:rsidRPr="00636421">
          <w:rPr>
            <w:rFonts w:eastAsia="Times New Roman" w:cs="Times New Roman"/>
            <w:color w:val="0000FF"/>
            <w:u w:val="single"/>
            <w14:ligatures w14:val="none"/>
          </w:rPr>
          <w:t>https://doi.org/10.22059/jurbangeo.2017.63213</w:t>
        </w:r>
      </w:hyperlink>
    </w:p>
    <w:p w14:paraId="56184259" w14:textId="77777777" w:rsidR="008D07A9" w:rsidRPr="00636421" w:rsidRDefault="008D07A9" w:rsidP="008D07A9">
      <w:pPr>
        <w:widowControl w:val="0"/>
        <w:numPr>
          <w:ilvl w:val="0"/>
          <w:numId w:val="4"/>
        </w:numPr>
        <w:bidi w:val="0"/>
        <w:spacing w:after="0" w:line="240" w:lineRule="auto"/>
        <w:ind w:left="284" w:right="95" w:hanging="284"/>
        <w:contextualSpacing/>
        <w:jc w:val="both"/>
        <w:rPr>
          <w:rFonts w:eastAsia="Times New Roman" w:cs="Times New Roman"/>
          <w:lang w:bidi="fa-IR"/>
          <w14:ligatures w14:val="none"/>
        </w:rPr>
      </w:pPr>
      <w:proofErr w:type="spellStart"/>
      <w:r w:rsidRPr="00636421">
        <w:rPr>
          <w:rFonts w:eastAsia="Times New Roman" w:cs="Times New Roman"/>
          <w:lang w:bidi="fa-IR"/>
          <w14:ligatures w14:val="none"/>
        </w:rPr>
        <w:lastRenderedPageBreak/>
        <w:t>Negahban</w:t>
      </w:r>
      <w:proofErr w:type="spellEnd"/>
      <w:r w:rsidRPr="00636421">
        <w:rPr>
          <w:rFonts w:eastAsia="Times New Roman" w:cs="Times New Roman"/>
          <w:lang w:bidi="fa-IR"/>
          <w14:ligatures w14:val="none"/>
        </w:rPr>
        <w:t xml:space="preserve">, S., </w:t>
      </w:r>
      <w:proofErr w:type="spellStart"/>
      <w:r w:rsidRPr="00636421">
        <w:rPr>
          <w:rFonts w:eastAsia="Times New Roman" w:cs="Times New Roman"/>
          <w:lang w:bidi="fa-IR"/>
          <w14:ligatures w14:val="none"/>
        </w:rPr>
        <w:t>Ganjaeian</w:t>
      </w:r>
      <w:proofErr w:type="spellEnd"/>
      <w:r w:rsidRPr="00636421">
        <w:rPr>
          <w:rFonts w:eastAsia="Times New Roman" w:cs="Times New Roman"/>
          <w:lang w:bidi="fa-IR"/>
          <w14:ligatures w14:val="none"/>
        </w:rPr>
        <w:t xml:space="preserve">, H, Ebrahimi, A., Emami, K., 2019. Monitoring and predicting the trend of changes in residential areas using multi-temporal images (case study: </w:t>
      </w:r>
      <w:proofErr w:type="spellStart"/>
      <w:r w:rsidRPr="00636421">
        <w:rPr>
          <w:rFonts w:eastAsia="Times New Roman" w:cs="Times New Roman"/>
          <w:lang w:bidi="fa-IR"/>
          <w14:ligatures w14:val="none"/>
        </w:rPr>
        <w:t>Sonqor</w:t>
      </w:r>
      <w:proofErr w:type="spellEnd"/>
      <w:r w:rsidRPr="00636421">
        <w:rPr>
          <w:rFonts w:eastAsia="Times New Roman" w:cs="Times New Roman"/>
          <w:lang w:bidi="fa-IR"/>
          <w14:ligatures w14:val="none"/>
        </w:rPr>
        <w:t xml:space="preserve"> city). Physics of Earth and Space, 45(2), 354-343. [In Persian] </w:t>
      </w:r>
      <w:hyperlink r:id="rId59" w:history="1">
        <w:r w:rsidRPr="00636421">
          <w:rPr>
            <w:rFonts w:eastAsia="Times New Roman" w:cs="Times New Roman"/>
            <w:color w:val="0000FF"/>
            <w:u w:val="single"/>
            <w:lang w:bidi="fa-IR"/>
            <w14:ligatures w14:val="none"/>
          </w:rPr>
          <w:t>https://doi.org/10.22059/jesphys.2019.275076.1007084</w:t>
        </w:r>
      </w:hyperlink>
    </w:p>
    <w:p w14:paraId="7BB6406C"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proofErr w:type="spellStart"/>
      <w:r w:rsidRPr="00636421">
        <w:rPr>
          <w:rFonts w:eastAsia="Times New Roman" w:cs="Times New Roman"/>
          <w:lang w:bidi="fa-IR"/>
          <w14:ligatures w14:val="none"/>
        </w:rPr>
        <w:t>Negahban</w:t>
      </w:r>
      <w:proofErr w:type="spellEnd"/>
      <w:r w:rsidRPr="00636421">
        <w:rPr>
          <w:rFonts w:eastAsia="Times New Roman" w:cs="Times New Roman"/>
          <w:lang w:bidi="fa-IR"/>
          <w14:ligatures w14:val="none"/>
        </w:rPr>
        <w:t xml:space="preserve">, S., </w:t>
      </w:r>
      <w:proofErr w:type="spellStart"/>
      <w:r w:rsidRPr="00636421">
        <w:rPr>
          <w:rFonts w:eastAsia="Times New Roman" w:cs="Times New Roman"/>
          <w:lang w:bidi="fa-IR"/>
          <w14:ligatures w14:val="none"/>
        </w:rPr>
        <w:t>Ganjaeian</w:t>
      </w:r>
      <w:proofErr w:type="spellEnd"/>
      <w:r w:rsidRPr="00636421">
        <w:rPr>
          <w:rFonts w:eastAsia="Times New Roman" w:cs="Times New Roman"/>
          <w:lang w:bidi="fa-IR"/>
          <w14:ligatures w14:val="none"/>
        </w:rPr>
        <w:t xml:space="preserve">, H., Ebrahimi, A., </w:t>
      </w:r>
      <w:proofErr w:type="spellStart"/>
      <w:r w:rsidRPr="00636421">
        <w:rPr>
          <w:rFonts w:eastAsia="Times New Roman" w:cs="Times New Roman"/>
          <w:lang w:bidi="fa-IR"/>
          <w14:ligatures w14:val="none"/>
        </w:rPr>
        <w:t>Gheysarian</w:t>
      </w:r>
      <w:proofErr w:type="spellEnd"/>
      <w:r w:rsidRPr="00636421">
        <w:rPr>
          <w:rFonts w:eastAsia="Times New Roman" w:cs="Times New Roman"/>
          <w:lang w:bidi="fa-IR"/>
          <w14:ligatures w14:val="none"/>
        </w:rPr>
        <w:t xml:space="preserve">, S.S., 2025. Analysis of the Roles of Environmental Factors in the Occurrence of Floods Using the Google Earth Engine System (Case Study: West of Golestan Province). Geography and Environmental Planning, 35(4), 1-18. [In Persian] </w:t>
      </w:r>
      <w:hyperlink r:id="rId60" w:history="1">
        <w:r w:rsidRPr="00636421">
          <w:rPr>
            <w:rFonts w:eastAsia="Times New Roman" w:cs="Times New Roman"/>
            <w:color w:val="0000FF"/>
            <w:u w:val="single"/>
            <w:lang w:bidi="fa-IR"/>
            <w14:ligatures w14:val="none"/>
          </w:rPr>
          <w:t>https://doi.org/10.22108/gep.2024.142342.1659</w:t>
        </w:r>
      </w:hyperlink>
    </w:p>
    <w:p w14:paraId="19D26540"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proofErr w:type="spellStart"/>
      <w:r w:rsidRPr="00636421">
        <w:rPr>
          <w:rFonts w:eastAsia="Times New Roman" w:cs="Times New Roman"/>
          <w14:ligatures w14:val="none"/>
        </w:rPr>
        <w:t>Negahban</w:t>
      </w:r>
      <w:proofErr w:type="spellEnd"/>
      <w:r w:rsidRPr="00636421">
        <w:rPr>
          <w:rFonts w:eastAsia="Times New Roman" w:cs="Times New Roman"/>
          <w14:ligatures w14:val="none"/>
        </w:rPr>
        <w:t xml:space="preserve">, S., </w:t>
      </w: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w:t>
      </w:r>
      <w:proofErr w:type="spellStart"/>
      <w:r w:rsidRPr="00636421">
        <w:rPr>
          <w:rFonts w:eastAsia="Times New Roman" w:cs="Times New Roman"/>
          <w14:ligatures w14:val="none"/>
        </w:rPr>
        <w:t>Feridoni-Kurdestani</w:t>
      </w:r>
      <w:proofErr w:type="spellEnd"/>
      <w:r w:rsidRPr="00636421">
        <w:rPr>
          <w:rFonts w:eastAsia="Times New Roman" w:cs="Times New Roman"/>
          <w14:ligatures w14:val="none"/>
        </w:rPr>
        <w:t xml:space="preserve">, M., &amp; </w:t>
      </w:r>
      <w:proofErr w:type="spellStart"/>
      <w:r w:rsidRPr="00636421">
        <w:rPr>
          <w:rFonts w:eastAsia="Times New Roman" w:cs="Times New Roman"/>
          <w14:ligatures w14:val="none"/>
        </w:rPr>
        <w:t>Cheshmeh</w:t>
      </w:r>
      <w:proofErr w:type="spellEnd"/>
      <w:r w:rsidRPr="00636421">
        <w:rPr>
          <w:rFonts w:eastAsia="Times New Roman" w:cs="Times New Roman"/>
          <w14:ligatures w14:val="none"/>
        </w:rPr>
        <w:t xml:space="preserve"> </w:t>
      </w:r>
      <w:proofErr w:type="spellStart"/>
      <w:r w:rsidRPr="00636421">
        <w:rPr>
          <w:rFonts w:eastAsia="Times New Roman" w:cs="Times New Roman"/>
          <w14:ligatures w14:val="none"/>
        </w:rPr>
        <w:t>Sefidi</w:t>
      </w:r>
      <w:proofErr w:type="spellEnd"/>
      <w:r w:rsidRPr="00636421">
        <w:rPr>
          <w:rFonts w:eastAsia="Times New Roman" w:cs="Times New Roman"/>
          <w14:ligatures w14:val="none"/>
        </w:rPr>
        <w:t xml:space="preserve">, Z., 2019. Evaluation of physical development of cities and expansion towards geomorphologically restricted areas using LCM (Case study: Sanandaj city). </w:t>
      </w:r>
      <w:r w:rsidRPr="00636421">
        <w:rPr>
          <w:rFonts w:eastAsia="Times New Roman" w:cs="Times New Roman"/>
          <w:i/>
          <w:iCs/>
          <w14:ligatures w14:val="none"/>
        </w:rPr>
        <w:t>Natural Environment Hazards</w:t>
      </w:r>
      <w:r w:rsidRPr="00636421">
        <w:rPr>
          <w:rFonts w:eastAsia="Times New Roman" w:cs="Times New Roman"/>
          <w14:ligatures w14:val="none"/>
        </w:rPr>
        <w:t>, 8(20), 39-52.</w:t>
      </w:r>
      <w:r w:rsidRPr="00636421">
        <w:rPr>
          <w:rFonts w:eastAsia="Calibri" w:cs="Times New Roman"/>
          <w:color w:val="000000"/>
          <w:lang w:bidi="fa-IR"/>
          <w14:ligatures w14:val="none"/>
        </w:rPr>
        <w:t xml:space="preserve"> </w:t>
      </w:r>
      <w:r w:rsidRPr="00636421">
        <w:rPr>
          <w:rFonts w:eastAsia="Times New Roman" w:cs="Times New Roman"/>
          <w14:ligatures w14:val="none"/>
        </w:rPr>
        <w:t xml:space="preserve">[In Persian]  </w:t>
      </w:r>
      <w:hyperlink r:id="rId61" w:history="1">
        <w:r w:rsidRPr="00636421">
          <w:rPr>
            <w:rFonts w:eastAsia="Times New Roman" w:cs="Times New Roman"/>
            <w:color w:val="0000FF"/>
            <w:u w:val="single"/>
            <w14:ligatures w14:val="none"/>
          </w:rPr>
          <w:t>https://doi.org/10.22111/jneh.2018.21943.1317</w:t>
        </w:r>
      </w:hyperlink>
    </w:p>
    <w:p w14:paraId="3782FF06"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proofErr w:type="spellStart"/>
      <w:r w:rsidRPr="00636421">
        <w:rPr>
          <w:rFonts w:eastAsia="Times New Roman" w:cs="Times New Roman"/>
          <w14:ligatures w14:val="none"/>
        </w:rPr>
        <w:t>Negahban</w:t>
      </w:r>
      <w:proofErr w:type="spellEnd"/>
      <w:r w:rsidRPr="00636421">
        <w:rPr>
          <w:rFonts w:eastAsia="Times New Roman" w:cs="Times New Roman"/>
          <w14:ligatures w14:val="none"/>
        </w:rPr>
        <w:t xml:space="preserve">, S., </w:t>
      </w: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Saeedi, S., &amp; Ghasemi, A., 2020. Study of vertical displacement caused by 2019 </w:t>
      </w:r>
      <w:proofErr w:type="spellStart"/>
      <w:r w:rsidRPr="00636421">
        <w:rPr>
          <w:rFonts w:eastAsia="Times New Roman" w:cs="Times New Roman"/>
          <w14:ligatures w14:val="none"/>
        </w:rPr>
        <w:t>Turkmanchay</w:t>
      </w:r>
      <w:proofErr w:type="spellEnd"/>
      <w:r w:rsidRPr="00636421">
        <w:rPr>
          <w:rFonts w:eastAsia="Times New Roman" w:cs="Times New Roman"/>
          <w14:ligatures w14:val="none"/>
        </w:rPr>
        <w:t xml:space="preserve"> earthquake based on InSAR method. </w:t>
      </w:r>
      <w:r w:rsidRPr="00636421">
        <w:rPr>
          <w:rFonts w:eastAsia="Times New Roman" w:cs="Times New Roman"/>
          <w:i/>
          <w:iCs/>
          <w14:ligatures w14:val="none"/>
        </w:rPr>
        <w:t>Earth and space physics</w:t>
      </w:r>
      <w:r w:rsidRPr="00636421">
        <w:rPr>
          <w:rFonts w:eastAsia="Times New Roman" w:cs="Times New Roman"/>
          <w14:ligatures w14:val="none"/>
        </w:rPr>
        <w:t xml:space="preserve">. 46(3), 456-445.  [In Persian] </w:t>
      </w:r>
      <w:hyperlink r:id="rId62" w:history="1">
        <w:r w:rsidRPr="00636421">
          <w:rPr>
            <w:rFonts w:eastAsia="Times New Roman" w:cs="Times New Roman"/>
            <w:color w:val="0000FF"/>
            <w:u w:val="single"/>
            <w14:ligatures w14:val="none"/>
          </w:rPr>
          <w:t>https://doi.org/10.22059/jesphys.2020.295046.1007182</w:t>
        </w:r>
      </w:hyperlink>
    </w:p>
    <w:p w14:paraId="377E5A8D"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proofErr w:type="spellStart"/>
      <w:r w:rsidRPr="00636421">
        <w:rPr>
          <w:rFonts w:eastAsia="Times New Roman" w:cs="Times New Roman"/>
          <w14:ligatures w14:val="none"/>
        </w:rPr>
        <w:t>Negahban</w:t>
      </w:r>
      <w:proofErr w:type="spellEnd"/>
      <w:r w:rsidRPr="00636421">
        <w:rPr>
          <w:rFonts w:eastAsia="Times New Roman" w:cs="Times New Roman"/>
          <w14:ligatures w14:val="none"/>
        </w:rPr>
        <w:t xml:space="preserve">, S., </w:t>
      </w:r>
      <w:proofErr w:type="spellStart"/>
      <w:r w:rsidRPr="00636421">
        <w:rPr>
          <w:rFonts w:eastAsia="Times New Roman" w:cs="Times New Roman"/>
          <w14:ligatures w14:val="none"/>
        </w:rPr>
        <w:t>Pisuzi</w:t>
      </w:r>
      <w:proofErr w:type="spellEnd"/>
      <w:r w:rsidRPr="00636421">
        <w:rPr>
          <w:rFonts w:eastAsia="Times New Roman" w:cs="Times New Roman"/>
          <w14:ligatures w14:val="none"/>
        </w:rPr>
        <w:t xml:space="preserve">, T., </w:t>
      </w: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&amp; Norouzi, M., 2021. Identification of landslide and vertical displacement prone areas using radar images (case study: urban area and urban outskirts of </w:t>
      </w:r>
      <w:proofErr w:type="spellStart"/>
      <w:r w:rsidRPr="00636421">
        <w:rPr>
          <w:rFonts w:eastAsia="Times New Roman" w:cs="Times New Roman"/>
          <w14:ligatures w14:val="none"/>
        </w:rPr>
        <w:t>Lavasan</w:t>
      </w:r>
      <w:proofErr w:type="spellEnd"/>
      <w:r w:rsidRPr="00636421">
        <w:rPr>
          <w:rFonts w:eastAsia="Times New Roman" w:cs="Times New Roman"/>
          <w14:ligatures w14:val="none"/>
        </w:rPr>
        <w:t xml:space="preserve">). </w:t>
      </w:r>
      <w:r w:rsidRPr="00636421">
        <w:rPr>
          <w:rFonts w:eastAsia="Times New Roman" w:cs="Times New Roman"/>
          <w:i/>
          <w:iCs/>
          <w14:ligatures w14:val="none"/>
        </w:rPr>
        <w:t>Geography and Environmental Hazards</w:t>
      </w:r>
      <w:r w:rsidRPr="00636421">
        <w:rPr>
          <w:rFonts w:eastAsia="Times New Roman" w:cs="Times New Roman"/>
          <w14:ligatures w14:val="none"/>
        </w:rPr>
        <w:t xml:space="preserve">, 10(3), 1-18. </w:t>
      </w:r>
      <w:r w:rsidRPr="00636421">
        <w:rPr>
          <w:rFonts w:eastAsia="Calibri" w:cs="Times New Roman"/>
          <w:color w:val="000000"/>
          <w:lang w:bidi="fa-IR"/>
          <w14:ligatures w14:val="none"/>
        </w:rPr>
        <w:t xml:space="preserve">[In Persian] </w:t>
      </w:r>
      <w:hyperlink r:id="rId63" w:history="1">
        <w:r w:rsidRPr="00636421">
          <w:rPr>
            <w:rFonts w:eastAsia="Times New Roman" w:cs="Times New Roman"/>
            <w:color w:val="0000FF"/>
            <w:u w:val="single"/>
            <w14:ligatures w14:val="none"/>
          </w:rPr>
          <w:t>https://doi.org/10.22067/geoeh.2021.71728.1094</w:t>
        </w:r>
      </w:hyperlink>
    </w:p>
    <w:p w14:paraId="0564B71B"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r w:rsidRPr="00636421">
        <w:rPr>
          <w:rFonts w:eastAsia="Times New Roman" w:cs="Times New Roman"/>
          <w:lang w:bidi="fa-IR"/>
          <w14:ligatures w14:val="none"/>
        </w:rPr>
        <w:t xml:space="preserve">Notti, D., Giordan, D., Caló, F., Pepe, A., Zucca, F., &amp; Galve, J.P., 2018. Potential and Limitations of Open Satellite Data for Flood Mapping, </w:t>
      </w:r>
      <w:r w:rsidRPr="00636421">
        <w:rPr>
          <w:rFonts w:eastAsia="Times New Roman" w:cs="Times New Roman"/>
          <w:i/>
          <w:iCs/>
          <w:lang w:bidi="fa-IR"/>
          <w14:ligatures w14:val="none"/>
        </w:rPr>
        <w:t>Remote Sensing</w:t>
      </w:r>
      <w:r w:rsidRPr="00636421">
        <w:rPr>
          <w:rFonts w:eastAsia="Times New Roman" w:cs="Times New Roman"/>
          <w:lang w:bidi="fa-IR"/>
          <w14:ligatures w14:val="none"/>
        </w:rPr>
        <w:t xml:space="preserve">, 10. </w:t>
      </w:r>
      <w:hyperlink r:id="rId64" w:history="1">
        <w:r w:rsidRPr="00636421">
          <w:rPr>
            <w:rFonts w:eastAsia="Times New Roman" w:cs="Times New Roman"/>
            <w:color w:val="0000FF"/>
            <w:u w:val="single"/>
            <w:lang w:bidi="fa-IR"/>
            <w14:ligatures w14:val="none"/>
          </w:rPr>
          <w:t>https://doi.org/10.3390/rs10111673</w:t>
        </w:r>
      </w:hyperlink>
      <w:r w:rsidRPr="00636421">
        <w:rPr>
          <w:rFonts w:eastAsia="Times New Roman" w:cs="Times New Roman"/>
          <w:lang w:bidi="fa-IR"/>
          <w14:ligatures w14:val="none"/>
        </w:rPr>
        <w:t xml:space="preserve"> </w:t>
      </w:r>
    </w:p>
    <w:p w14:paraId="03D13F29" w14:textId="77777777" w:rsidR="008D07A9" w:rsidRPr="00636421" w:rsidRDefault="008D07A9" w:rsidP="008D07A9">
      <w:pPr>
        <w:widowControl w:val="0"/>
        <w:numPr>
          <w:ilvl w:val="0"/>
          <w:numId w:val="4"/>
        </w:numPr>
        <w:bidi w:val="0"/>
        <w:spacing w:after="0" w:line="240" w:lineRule="auto"/>
        <w:ind w:left="284" w:right="95" w:hanging="284"/>
        <w:contextualSpacing/>
        <w:jc w:val="both"/>
        <w:rPr>
          <w:rFonts w:eastAsia="Times New Roman" w:cs="Times New Roman"/>
          <w:color w:val="0000FF"/>
          <w:u w:val="single"/>
          <w14:ligatures w14:val="none"/>
        </w:rPr>
      </w:pPr>
      <w:r w:rsidRPr="00636421">
        <w:rPr>
          <w:rFonts w:eastAsia="Times New Roman" w:cs="Times New Roman"/>
          <w:color w:val="000000"/>
          <w14:ligatures w14:val="none"/>
        </w:rPr>
        <w:t xml:space="preserve">Osman, S.A., &amp; Das, j., 2023. GIS-based flood risk assessment using multi-criteria decision analysis of Shebelle River Basin in southern Somalia. </w:t>
      </w:r>
      <w:hyperlink r:id="rId65" w:history="1">
        <w:r w:rsidRPr="00636421">
          <w:rPr>
            <w:rFonts w:eastAsia="Times New Roman" w:cs="Times New Roman"/>
            <w:i/>
            <w:iCs/>
            <w:color w:val="000000"/>
            <w14:ligatures w14:val="none"/>
          </w:rPr>
          <w:t>SN Applied Sciences</w:t>
        </w:r>
      </w:hyperlink>
      <w:r w:rsidRPr="00636421">
        <w:rPr>
          <w:rFonts w:eastAsia="Times New Roman" w:cs="Times New Roman"/>
          <w:color w:val="000000"/>
          <w14:ligatures w14:val="none"/>
        </w:rPr>
        <w:t>, 5 (134).</w:t>
      </w:r>
      <w:r w:rsidRPr="00636421">
        <w:rPr>
          <w:rFonts w:eastAsia="Times New Roman" w:cs="Times New Roman"/>
          <w14:ligatures w14:val="none"/>
        </w:rPr>
        <w:t xml:space="preserve"> </w:t>
      </w:r>
      <w:hyperlink r:id="rId66" w:history="1">
        <w:r w:rsidRPr="00636421">
          <w:rPr>
            <w:rFonts w:eastAsia="Times New Roman" w:cs="Times New Roman"/>
            <w:color w:val="0000FF"/>
            <w:u w:val="single"/>
            <w14:ligatures w14:val="none"/>
          </w:rPr>
          <w:t>https://doi.org/</w:t>
        </w:r>
      </w:hyperlink>
      <w:r w:rsidRPr="00636421">
        <w:rPr>
          <w:rFonts w:eastAsia="Times New Roman" w:cs="Times New Roman"/>
          <w:color w:val="0000FF"/>
          <w:u w:val="single"/>
          <w14:ligatures w14:val="none"/>
        </w:rPr>
        <w:t>10.1007/s42452-023-05360-5</w:t>
      </w:r>
    </w:p>
    <w:p w14:paraId="0D70ABCA"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lang w:bidi="fa-IR"/>
          <w14:ligatures w14:val="none"/>
        </w:rPr>
      </w:pPr>
      <w:proofErr w:type="spellStart"/>
      <w:r w:rsidRPr="00636421">
        <w:rPr>
          <w:rFonts w:eastAsia="Times New Roman" w:cs="Times New Roman"/>
          <w:lang w:bidi="fa-IR"/>
          <w14:ligatures w14:val="none"/>
        </w:rPr>
        <w:t>Parhi</w:t>
      </w:r>
      <w:proofErr w:type="spellEnd"/>
      <w:r w:rsidRPr="00636421">
        <w:rPr>
          <w:rFonts w:eastAsia="Times New Roman" w:cs="Times New Roman"/>
          <w:lang w:bidi="fa-IR"/>
          <w14:ligatures w14:val="none"/>
        </w:rPr>
        <w:t xml:space="preserve">, P. K. 2018. Flood Management in Mahanadi Basin using HEC-RAS and Gumbel’s Extreme Value Distribution. </w:t>
      </w:r>
      <w:r w:rsidRPr="00636421">
        <w:rPr>
          <w:rFonts w:eastAsia="Times New Roman" w:cs="Times New Roman"/>
          <w:i/>
          <w:iCs/>
          <w:lang w:bidi="fa-IR"/>
          <w14:ligatures w14:val="none"/>
        </w:rPr>
        <w:t>Journal of the Institution of Engineers (India).</w:t>
      </w:r>
      <w:r w:rsidRPr="00636421">
        <w:rPr>
          <w:rFonts w:eastAsia="Times New Roman" w:cs="Times New Roman"/>
          <w:lang w:bidi="fa-IR"/>
          <w14:ligatures w14:val="none"/>
        </w:rPr>
        <w:t xml:space="preserve"> 99 (4), 751– 755. </w:t>
      </w:r>
      <w:r w:rsidRPr="00636421">
        <w:rPr>
          <w:rFonts w:eastAsia="Times New Roman" w:cs="Times New Roman"/>
          <w:color w:val="0000FF"/>
          <w:u w:val="single"/>
          <w:lang w:bidi="fa-IR"/>
          <w14:ligatures w14:val="none"/>
        </w:rPr>
        <w:t xml:space="preserve">https:// </w:t>
      </w:r>
      <w:proofErr w:type="spellStart"/>
      <w:r w:rsidRPr="00636421">
        <w:rPr>
          <w:rFonts w:eastAsia="Times New Roman" w:cs="Times New Roman"/>
          <w:color w:val="0000FF"/>
          <w:u w:val="single"/>
          <w:lang w:bidi="fa-IR"/>
          <w14:ligatures w14:val="none"/>
        </w:rPr>
        <w:t>doi</w:t>
      </w:r>
      <w:proofErr w:type="spellEnd"/>
      <w:r w:rsidRPr="00636421">
        <w:rPr>
          <w:rFonts w:eastAsia="Times New Roman" w:cs="Times New Roman"/>
          <w:color w:val="0000FF"/>
          <w:u w:val="single"/>
          <w:lang w:bidi="fa-IR"/>
          <w14:ligatures w14:val="none"/>
        </w:rPr>
        <w:t>: 10.1007/s40030-018-0317-4</w:t>
      </w:r>
    </w:p>
    <w:p w14:paraId="367B1816"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Qi, S., Hu, S., &amp; Cao, S., 2024. Spatial and temporal changes of social vulnerability of cities to natural hazards in Zhejiang province, China. </w:t>
      </w:r>
      <w:r w:rsidRPr="00636421">
        <w:rPr>
          <w:rFonts w:eastAsia="Times New Roman" w:cs="Times New Roman"/>
          <w:i/>
          <w:iCs/>
          <w14:ligatures w14:val="none"/>
        </w:rPr>
        <w:t>Helion</w:t>
      </w:r>
      <w:r w:rsidRPr="00636421">
        <w:rPr>
          <w:rFonts w:eastAsia="Times New Roman" w:cs="Times New Roman"/>
          <w14:ligatures w14:val="none"/>
        </w:rPr>
        <w:t xml:space="preserve">, 10 (6). </w:t>
      </w:r>
      <w:hyperlink r:id="rId67" w:history="1">
        <w:r w:rsidRPr="00636421">
          <w:rPr>
            <w:rFonts w:eastAsia="Times New Roman" w:cs="Times New Roman"/>
            <w:color w:val="0000FF"/>
            <w:u w:val="single"/>
            <w14:ligatures w14:val="none"/>
          </w:rPr>
          <w:t>https://doi.org/10.1016/j.heliyon.2024.e27120</w:t>
        </w:r>
      </w:hyperlink>
    </w:p>
    <w:p w14:paraId="2B57C435"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Ramadan, M.S., &amp; Effat, H.A., 2021. Geospatial modeling for a sustainable urban development zoning map using AHP in Ismailia Governorate, Egypt. </w:t>
      </w:r>
      <w:r w:rsidRPr="00636421">
        <w:rPr>
          <w:rFonts w:eastAsia="Times New Roman" w:cs="Times New Roman"/>
          <w:i/>
          <w:iCs/>
          <w14:ligatures w14:val="none"/>
        </w:rPr>
        <w:t>The Egyptian Journal of Remote Sensing and Space Science</w:t>
      </w:r>
      <w:r w:rsidRPr="00636421">
        <w:rPr>
          <w:rFonts w:eastAsia="Times New Roman" w:cs="Times New Roman"/>
          <w14:ligatures w14:val="none"/>
        </w:rPr>
        <w:t xml:space="preserve">, 24 (2), 191-202. </w:t>
      </w:r>
      <w:hyperlink r:id="rId68" w:history="1">
        <w:r w:rsidRPr="00636421">
          <w:rPr>
            <w:rFonts w:eastAsia="Times New Roman" w:cs="Times New Roman"/>
            <w:color w:val="0000FF"/>
            <w:u w:val="single"/>
            <w14:ligatures w14:val="none"/>
          </w:rPr>
          <w:t>https://doi.org/10.1016/j.ejrs.2021.01.003</w:t>
        </w:r>
      </w:hyperlink>
    </w:p>
    <w:p w14:paraId="610EF247"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lang w:bidi="fa-IR"/>
          <w14:ligatures w14:val="none"/>
        </w:rPr>
        <w:t xml:space="preserve">Safari Namivandi, M., </w:t>
      </w:r>
      <w:proofErr w:type="spellStart"/>
      <w:r w:rsidRPr="00636421">
        <w:rPr>
          <w:rFonts w:eastAsia="Times New Roman" w:cs="Times New Roman"/>
          <w:lang w:bidi="fa-IR"/>
          <w14:ligatures w14:val="none"/>
        </w:rPr>
        <w:t>Ganjaeian</w:t>
      </w:r>
      <w:proofErr w:type="spellEnd"/>
      <w:r w:rsidRPr="00636421">
        <w:rPr>
          <w:rFonts w:eastAsia="Times New Roman" w:cs="Times New Roman"/>
          <w:lang w:bidi="fa-IR"/>
          <w14:ligatures w14:val="none"/>
        </w:rPr>
        <w:t xml:space="preserve">, H., Nosrati, M., Mohammadian, K., 2024. Identification of flooded areas and analysis of factors affecting their occurrence (case study: southeast of </w:t>
      </w:r>
      <w:proofErr w:type="spellStart"/>
      <w:r w:rsidRPr="00636421">
        <w:rPr>
          <w:rFonts w:eastAsia="Times New Roman" w:cs="Times New Roman"/>
          <w:lang w:bidi="fa-IR"/>
          <w14:ligatures w14:val="none"/>
        </w:rPr>
        <w:t>Sistan</w:t>
      </w:r>
      <w:proofErr w:type="spellEnd"/>
      <w:r w:rsidRPr="00636421">
        <w:rPr>
          <w:rFonts w:eastAsia="Times New Roman" w:cs="Times New Roman"/>
          <w:lang w:bidi="fa-IR"/>
          <w14:ligatures w14:val="none"/>
        </w:rPr>
        <w:t xml:space="preserve"> and </w:t>
      </w:r>
      <w:proofErr w:type="spellStart"/>
      <w:r w:rsidRPr="00636421">
        <w:rPr>
          <w:rFonts w:eastAsia="Times New Roman" w:cs="Times New Roman"/>
          <w:lang w:bidi="fa-IR"/>
          <w14:ligatures w14:val="none"/>
        </w:rPr>
        <w:t>Baluchestan</w:t>
      </w:r>
      <w:proofErr w:type="spellEnd"/>
      <w:r w:rsidRPr="00636421">
        <w:rPr>
          <w:rFonts w:eastAsia="Times New Roman" w:cs="Times New Roman"/>
          <w:lang w:bidi="fa-IR"/>
          <w14:ligatures w14:val="none"/>
        </w:rPr>
        <w:t xml:space="preserve"> province). Quantitative Geomorphology Research, 13(2), 181-194. [In Persian] </w:t>
      </w:r>
      <w:hyperlink r:id="rId69" w:history="1">
        <w:r w:rsidRPr="00636421">
          <w:rPr>
            <w:rFonts w:eastAsia="Times New Roman" w:cs="Times New Roman"/>
            <w:color w:val="0000FF"/>
            <w:u w:val="single"/>
            <w14:ligatures w14:val="none"/>
          </w:rPr>
          <w:t>https://doi.org/10.22034/gmpj.2024.449586.1494</w:t>
        </w:r>
      </w:hyperlink>
    </w:p>
    <w:p w14:paraId="15718382" w14:textId="77777777" w:rsidR="008D07A9" w:rsidRPr="00636421" w:rsidRDefault="008D07A9" w:rsidP="008D07A9">
      <w:pPr>
        <w:widowControl w:val="0"/>
        <w:numPr>
          <w:ilvl w:val="0"/>
          <w:numId w:val="4"/>
        </w:numPr>
        <w:bidi w:val="0"/>
        <w:spacing w:after="0" w:line="240" w:lineRule="auto"/>
        <w:ind w:left="284" w:right="95" w:hanging="284"/>
        <w:contextualSpacing/>
        <w:jc w:val="both"/>
        <w:rPr>
          <w:rFonts w:eastAsia="Times New Roman" w:cs="Times New Roman"/>
          <w:color w:val="0000FF"/>
          <w:u w:val="single"/>
          <w14:ligatures w14:val="none"/>
        </w:rPr>
      </w:pPr>
      <w:r w:rsidRPr="00636421">
        <w:rPr>
          <w:rFonts w:eastAsia="Times New Roman" w:cs="Times New Roman"/>
          <w:color w:val="000000"/>
          <w14:ligatures w14:val="none"/>
        </w:rPr>
        <w:t xml:space="preserve">Saha, A.K., &amp; Agrawal, S., 2020. Mapping and assessment of flood risk in Prayagraj district, India: a GIS and remote sensing study. </w:t>
      </w:r>
      <w:hyperlink r:id="rId70" w:history="1">
        <w:r w:rsidRPr="00636421">
          <w:rPr>
            <w:rFonts w:eastAsia="Times New Roman" w:cs="Times New Roman"/>
            <w:i/>
            <w:iCs/>
            <w:color w:val="000000"/>
            <w14:ligatures w14:val="none"/>
          </w:rPr>
          <w:t>Nanotechnology for Environmental Engineering</w:t>
        </w:r>
      </w:hyperlink>
      <w:r w:rsidRPr="00636421">
        <w:rPr>
          <w:rFonts w:eastAsia="Times New Roman" w:cs="Times New Roman"/>
          <w:color w:val="000000"/>
          <w14:ligatures w14:val="none"/>
        </w:rPr>
        <w:t>, 5 (11).</w:t>
      </w:r>
      <w:r w:rsidRPr="00636421">
        <w:rPr>
          <w:rFonts w:eastAsia="Times New Roman" w:cs="Times New Roman"/>
          <w14:ligatures w14:val="none"/>
        </w:rPr>
        <w:t xml:space="preserve"> </w:t>
      </w:r>
      <w:hyperlink r:id="rId71" w:history="1">
        <w:r w:rsidRPr="00636421">
          <w:rPr>
            <w:rFonts w:eastAsia="Times New Roman" w:cs="Times New Roman"/>
            <w:color w:val="0000FF"/>
            <w:u w:val="single"/>
            <w14:ligatures w14:val="none"/>
          </w:rPr>
          <w:t>https://doi.org/10.1007/s41204-020-00073-1</w:t>
        </w:r>
      </w:hyperlink>
    </w:p>
    <w:p w14:paraId="3ECED36A"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Salari, M., </w:t>
      </w:r>
      <w:proofErr w:type="spellStart"/>
      <w:r w:rsidRPr="00636421">
        <w:rPr>
          <w:rFonts w:eastAsia="Times New Roman" w:cs="Times New Roman"/>
          <w14:ligatures w14:val="none"/>
        </w:rPr>
        <w:t>Nayyeri</w:t>
      </w:r>
      <w:proofErr w:type="spellEnd"/>
      <w:r w:rsidRPr="00636421">
        <w:rPr>
          <w:rFonts w:eastAsia="Times New Roman" w:cs="Times New Roman"/>
          <w14:ligatures w14:val="none"/>
        </w:rPr>
        <w:t xml:space="preserve">, H., Amani, K., &amp; </w:t>
      </w: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2017., Selecting suitable locations for </w:t>
      </w:r>
      <w:proofErr w:type="spellStart"/>
      <w:r w:rsidRPr="00636421">
        <w:rPr>
          <w:rFonts w:eastAsia="Times New Roman" w:cs="Times New Roman"/>
          <w14:ligatures w14:val="none"/>
        </w:rPr>
        <w:t>Kamyaran</w:t>
      </w:r>
      <w:proofErr w:type="spellEnd"/>
      <w:r w:rsidRPr="00636421">
        <w:rPr>
          <w:rFonts w:eastAsia="Times New Roman" w:cs="Times New Roman"/>
          <w14:ligatures w14:val="none"/>
        </w:rPr>
        <w:t xml:space="preserve"> urban development with a risk analysis approach based on the application of geomorphological prohibited areas</w:t>
      </w:r>
      <w:r w:rsidRPr="00636421">
        <w:rPr>
          <w:rFonts w:eastAsia="Times New Roman" w:cs="Times New Roman"/>
          <w:lang w:bidi="fa-IR"/>
          <w14:ligatures w14:val="none"/>
        </w:rPr>
        <w:t xml:space="preserve">. </w:t>
      </w:r>
      <w:r w:rsidRPr="00636421">
        <w:rPr>
          <w:rFonts w:eastAsia="Times New Roman" w:cs="Times New Roman"/>
          <w:i/>
          <w:iCs/>
          <w:lang w:bidi="fa-IR"/>
          <w14:ligatures w14:val="none"/>
        </w:rPr>
        <w:t>Environmental Risk Management</w:t>
      </w:r>
      <w:r w:rsidRPr="00636421">
        <w:rPr>
          <w:rFonts w:eastAsia="Times New Roman" w:cs="Times New Roman"/>
          <w:lang w:bidi="fa-IR"/>
          <w14:ligatures w14:val="none"/>
        </w:rPr>
        <w:t xml:space="preserve">, 4(4), 419-436. [In Persian] </w:t>
      </w:r>
      <w:hyperlink r:id="rId72" w:history="1">
        <w:r w:rsidRPr="00636421">
          <w:rPr>
            <w:rFonts w:eastAsia="Times New Roman" w:cs="Times New Roman"/>
            <w:color w:val="0000FF"/>
            <w:u w:val="single"/>
            <w:lang w:bidi="fa-IR"/>
            <w14:ligatures w14:val="none"/>
          </w:rPr>
          <w:t>https://doi.org/10.22059/jhsci.2018.252694.341</w:t>
        </w:r>
      </w:hyperlink>
    </w:p>
    <w:p w14:paraId="1F916466"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Salari, M., </w:t>
      </w:r>
      <w:proofErr w:type="spellStart"/>
      <w:r w:rsidRPr="00636421">
        <w:rPr>
          <w:rFonts w:eastAsia="Times New Roman" w:cs="Times New Roman"/>
          <w14:ligatures w14:val="none"/>
        </w:rPr>
        <w:t>Nayyeri</w:t>
      </w:r>
      <w:proofErr w:type="spellEnd"/>
      <w:r w:rsidRPr="00636421">
        <w:rPr>
          <w:rFonts w:eastAsia="Times New Roman" w:cs="Times New Roman"/>
          <w14:ligatures w14:val="none"/>
        </w:rPr>
        <w:t xml:space="preserve">, H., </w:t>
      </w: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Amani, K., 2020. Assessment and Prediction of the process of expansion of residential areas with Geomorphological Approach and </w:t>
      </w:r>
      <w:r w:rsidRPr="00636421">
        <w:rPr>
          <w:rFonts w:eastAsia="Times New Roman" w:cs="Times New Roman"/>
          <w14:ligatures w14:val="none"/>
        </w:rPr>
        <w:lastRenderedPageBreak/>
        <w:t xml:space="preserve">Environmental Management (Case Study: Paveh City). Quantitative geomorphology research, 9(1), 86-101. [In Persian]  </w:t>
      </w:r>
      <w:hyperlink r:id="rId73" w:history="1">
        <w:r w:rsidRPr="00636421">
          <w:rPr>
            <w:rFonts w:eastAsia="Times New Roman" w:cs="Times New Roman"/>
            <w:color w:val="0000FF"/>
            <w:u w:val="single"/>
            <w14:ligatures w14:val="none"/>
          </w:rPr>
          <w:t>https://doi.org/10.22034/gmpj.2020.109536</w:t>
        </w:r>
      </w:hyperlink>
    </w:p>
    <w:p w14:paraId="27C55D32"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color w:val="0000FF"/>
          <w:u w:val="single"/>
          <w14:ligatures w14:val="none"/>
        </w:rPr>
      </w:pPr>
      <w:r w:rsidRPr="00636421">
        <w:rPr>
          <w:rFonts w:eastAsia="Times New Roman" w:cs="Times New Roman"/>
          <w14:ligatures w14:val="none"/>
        </w:rPr>
        <w:t xml:space="preserve">Sundaram, S., Devaraj, S., &amp; </w:t>
      </w:r>
      <w:proofErr w:type="spellStart"/>
      <w:r w:rsidRPr="00636421">
        <w:rPr>
          <w:rFonts w:eastAsia="Times New Roman" w:cs="Times New Roman"/>
          <w14:ligatures w14:val="none"/>
        </w:rPr>
        <w:t>Yarrakula</w:t>
      </w:r>
      <w:proofErr w:type="spellEnd"/>
      <w:r w:rsidRPr="00636421">
        <w:rPr>
          <w:rFonts w:eastAsia="Times New Roman" w:cs="Times New Roman"/>
          <w14:ligatures w14:val="none"/>
        </w:rPr>
        <w:t xml:space="preserve">, K., 2023. Mapping and assessing spatial extent of floods from multitemporal synthetic aperture radar images: a case study over Adyar watershed, India. </w:t>
      </w:r>
      <w:hyperlink r:id="rId74" w:history="1">
        <w:r w:rsidRPr="00636421">
          <w:rPr>
            <w:rFonts w:eastAsia="Times New Roman" w:cs="Times New Roman"/>
            <w:i/>
            <w:iCs/>
            <w14:ligatures w14:val="none"/>
          </w:rPr>
          <w:t>Environmental Science and Pollution Research</w:t>
        </w:r>
      </w:hyperlink>
      <w:r w:rsidRPr="00636421">
        <w:rPr>
          <w:rFonts w:eastAsia="Times New Roman" w:cs="Times New Roman"/>
          <w14:ligatures w14:val="none"/>
        </w:rPr>
        <w:t>, 30, 63006–63021.</w:t>
      </w:r>
      <w:r w:rsidRPr="00636421">
        <w:rPr>
          <w:rFonts w:eastAsia="Times New Roman" w:cs="Times New Roman"/>
          <w:color w:val="0000FF"/>
          <w:u w:val="single"/>
          <w14:ligatures w14:val="none"/>
        </w:rPr>
        <w:t xml:space="preserve"> </w:t>
      </w:r>
      <w:hyperlink r:id="rId75" w:history="1">
        <w:r w:rsidRPr="00636421">
          <w:rPr>
            <w:rFonts w:eastAsia="Times New Roman" w:cs="Times New Roman"/>
            <w:color w:val="0000FF"/>
            <w:u w:val="single"/>
            <w14:ligatures w14:val="none"/>
          </w:rPr>
          <w:t>https://doi.org/</w:t>
        </w:r>
      </w:hyperlink>
      <w:r w:rsidRPr="00636421">
        <w:rPr>
          <w:rFonts w:eastAsia="Times New Roman" w:cs="Times New Roman"/>
          <w:color w:val="0000FF"/>
          <w:u w:val="single"/>
          <w14:ligatures w14:val="none"/>
        </w:rPr>
        <w:t>10.1007/s11356-023-26467-7</w:t>
      </w:r>
    </w:p>
    <w:p w14:paraId="59950D39"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color w:val="0000FF"/>
          <w:u w:val="single"/>
          <w14:ligatures w14:val="none"/>
        </w:rPr>
      </w:pPr>
      <w:r w:rsidRPr="00636421">
        <w:rPr>
          <w:rFonts w:eastAsia="Times New Roman" w:cs="Times New Roman"/>
          <w14:ligatures w14:val="none"/>
        </w:rPr>
        <w:t xml:space="preserve">Vekaria, D., Chander, S., Singh, R.P., &amp; Dixit, S., 2023. A change detection approach to flood inundation mapping using multi-temporal Sentinel-1 SAR images, the Brahmaputra River, Assam (India): 2015–2020. </w:t>
      </w:r>
      <w:hyperlink r:id="rId76" w:history="1">
        <w:r w:rsidRPr="00636421">
          <w:rPr>
            <w:rFonts w:eastAsia="Times New Roman" w:cs="Times New Roman"/>
            <w:i/>
            <w:iCs/>
            <w14:ligatures w14:val="none"/>
          </w:rPr>
          <w:t>Earth System Science</w:t>
        </w:r>
      </w:hyperlink>
      <w:r w:rsidRPr="00636421">
        <w:rPr>
          <w:rFonts w:eastAsia="Times New Roman" w:cs="Times New Roman"/>
          <w14:ligatures w14:val="none"/>
        </w:rPr>
        <w:t>, 132</w:t>
      </w:r>
      <w:r w:rsidRPr="00636421">
        <w:rPr>
          <w:rFonts w:eastAsia="Times New Roman" w:cs="Times New Roman"/>
          <w14:ligatures w14:val="none"/>
        </w:rPr>
        <w:softHyphen/>
        <w:t>(3).</w:t>
      </w:r>
      <w:r w:rsidRPr="00636421">
        <w:rPr>
          <w:rFonts w:eastAsia="Times New Roman" w:cs="Times New Roman"/>
          <w:color w:val="0000FF"/>
          <w:u w:val="single"/>
          <w14:ligatures w14:val="none"/>
        </w:rPr>
        <w:t xml:space="preserve"> </w:t>
      </w:r>
      <w:hyperlink r:id="rId77" w:history="1">
        <w:r w:rsidRPr="00636421">
          <w:rPr>
            <w:rFonts w:eastAsia="Times New Roman" w:cs="Times New Roman"/>
            <w:color w:val="0000FF"/>
            <w:u w:val="single"/>
            <w14:ligatures w14:val="none"/>
          </w:rPr>
          <w:t>https://doi.org/10.1007/s12040-022-02020-x</w:t>
        </w:r>
      </w:hyperlink>
    </w:p>
    <w:p w14:paraId="4629172D"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Xiang, H., Yang, Y., &amp; Qi, X., 2024. Intelligent vs. Cultural: Research on the path to improve the resilience of urban and rural community governance based on the AHP-FCE model. </w:t>
      </w:r>
      <w:r w:rsidRPr="00636421">
        <w:rPr>
          <w:rFonts w:eastAsia="Times New Roman" w:cs="Times New Roman"/>
          <w:i/>
          <w:iCs/>
          <w14:ligatures w14:val="none"/>
        </w:rPr>
        <w:t>Helion</w:t>
      </w:r>
      <w:r w:rsidRPr="00636421">
        <w:rPr>
          <w:rFonts w:eastAsia="Times New Roman" w:cs="Times New Roman"/>
          <w14:ligatures w14:val="none"/>
        </w:rPr>
        <w:t>, 10</w:t>
      </w:r>
      <w:r w:rsidRPr="00636421">
        <w:rPr>
          <w:rFonts w:eastAsia="Times New Roman" w:cs="Times New Roman"/>
          <w14:ligatures w14:val="none"/>
        </w:rPr>
        <w:softHyphen/>
        <w:t xml:space="preserve">(20). </w:t>
      </w:r>
      <w:hyperlink r:id="rId78" w:history="1">
        <w:r w:rsidRPr="00636421">
          <w:rPr>
            <w:rFonts w:eastAsia="Times New Roman" w:cs="Times New Roman"/>
            <w:color w:val="0000FF"/>
            <w:u w:val="single"/>
            <w14:ligatures w14:val="none"/>
          </w:rPr>
          <w:t>https://doi.org/10.1016/j.heliyon.2024.e39199</w:t>
        </w:r>
      </w:hyperlink>
    </w:p>
    <w:p w14:paraId="316B0086" w14:textId="77777777" w:rsidR="008D07A9" w:rsidRPr="00636421" w:rsidRDefault="008D07A9" w:rsidP="008D07A9">
      <w:pPr>
        <w:numPr>
          <w:ilvl w:val="0"/>
          <w:numId w:val="4"/>
        </w:numPr>
        <w:bidi w:val="0"/>
        <w:spacing w:after="0" w:line="240" w:lineRule="auto"/>
        <w:ind w:left="284" w:right="95" w:hanging="284"/>
        <w:contextualSpacing/>
        <w:jc w:val="both"/>
        <w:rPr>
          <w:rFonts w:eastAsia="Times New Roman" w:cs="Times New Roman"/>
          <w14:ligatures w14:val="none"/>
        </w:rPr>
      </w:pPr>
      <w:r w:rsidRPr="00636421">
        <w:rPr>
          <w:rFonts w:eastAsia="Times New Roman" w:cs="Times New Roman"/>
          <w14:ligatures w14:val="none"/>
        </w:rPr>
        <w:t xml:space="preserve">Yamani, M., </w:t>
      </w:r>
      <w:proofErr w:type="spellStart"/>
      <w:r w:rsidRPr="00636421">
        <w:rPr>
          <w:rFonts w:eastAsia="Times New Roman" w:cs="Times New Roman"/>
          <w14:ligatures w14:val="none"/>
        </w:rPr>
        <w:t>Ganjaeian</w:t>
      </w:r>
      <w:proofErr w:type="spellEnd"/>
      <w:r w:rsidRPr="00636421">
        <w:rPr>
          <w:rFonts w:eastAsia="Times New Roman" w:cs="Times New Roman"/>
          <w14:ligatures w14:val="none"/>
        </w:rPr>
        <w:t xml:space="preserve">, H., </w:t>
      </w:r>
      <w:proofErr w:type="spellStart"/>
      <w:r w:rsidRPr="00636421">
        <w:rPr>
          <w:rFonts w:eastAsia="Times New Roman" w:cs="Times New Roman"/>
          <w14:ligatures w14:val="none"/>
        </w:rPr>
        <w:t>Garosi</w:t>
      </w:r>
      <w:proofErr w:type="spellEnd"/>
      <w:r w:rsidRPr="00636421">
        <w:rPr>
          <w:rFonts w:eastAsia="Times New Roman" w:cs="Times New Roman"/>
          <w14:ligatures w14:val="none"/>
        </w:rPr>
        <w:t xml:space="preserve">, L., &amp; </w:t>
      </w:r>
      <w:proofErr w:type="spellStart"/>
      <w:r w:rsidRPr="00636421">
        <w:rPr>
          <w:rFonts w:eastAsia="Times New Roman" w:cs="Times New Roman"/>
          <w14:ligatures w14:val="none"/>
        </w:rPr>
        <w:t>Javedani</w:t>
      </w:r>
      <w:proofErr w:type="spellEnd"/>
      <w:r w:rsidRPr="00636421">
        <w:rPr>
          <w:rFonts w:eastAsia="Times New Roman" w:cs="Times New Roman"/>
          <w14:ligatures w14:val="none"/>
        </w:rPr>
        <w:t xml:space="preserve">, M., 2020. Identification of susceptible areas for the development of agricultural lands based on parameters Hydro geomorphology (Case study: Sanandaj city). </w:t>
      </w:r>
      <w:r w:rsidRPr="00636421">
        <w:rPr>
          <w:rFonts w:eastAsia="Times New Roman" w:cs="Times New Roman"/>
          <w:i/>
          <w:iCs/>
          <w14:ligatures w14:val="none"/>
        </w:rPr>
        <w:t>Hydrogeomorphology</w:t>
      </w:r>
      <w:r w:rsidRPr="00636421">
        <w:rPr>
          <w:rFonts w:eastAsia="Times New Roman" w:cs="Times New Roman"/>
          <w14:ligatures w14:val="none"/>
        </w:rPr>
        <w:t xml:space="preserve">, 7 (23), 1-20. [In Persian] </w:t>
      </w:r>
      <w:hyperlink r:id="rId79" w:history="1">
        <w:r w:rsidRPr="00636421">
          <w:rPr>
            <w:rFonts w:eastAsia="Times New Roman" w:cs="Times New Roman"/>
            <w:color w:val="0000FF"/>
            <w:u w:val="single"/>
            <w14:ligatures w14:val="none"/>
          </w:rPr>
          <w:t>https://doi.org/10.22034/hyd.2020.11087</w:t>
        </w:r>
      </w:hyperlink>
    </w:p>
    <w:p w14:paraId="70FFF316" w14:textId="77777777" w:rsidR="008D07A9" w:rsidRPr="008D07A9" w:rsidRDefault="008D07A9" w:rsidP="008D07A9">
      <w:pPr>
        <w:bidi w:val="0"/>
        <w:spacing w:after="0" w:line="240" w:lineRule="auto"/>
        <w:ind w:left="-142"/>
        <w:contextualSpacing/>
        <w:rPr>
          <w:rFonts w:eastAsia="Times New Roman" w:cs="Times New Roman"/>
          <w:sz w:val="20"/>
          <w:szCs w:val="20"/>
          <w:lang w:bidi="fa-IR"/>
          <w14:ligatures w14:val="none"/>
        </w:rPr>
      </w:pPr>
    </w:p>
    <w:p w14:paraId="261D8E1A" w14:textId="77777777" w:rsidR="008D07A9" w:rsidRPr="008D07A9" w:rsidRDefault="008D07A9" w:rsidP="008D07A9">
      <w:pPr>
        <w:bidi w:val="0"/>
        <w:spacing w:after="0" w:line="240" w:lineRule="auto"/>
        <w:rPr>
          <w:rFonts w:eastAsia="Calibri" w:cs="B Nazanin"/>
          <w:color w:val="0000FF"/>
          <w:sz w:val="20"/>
          <w:szCs w:val="20"/>
          <w:u w:val="single"/>
          <w14:ligatures w14:val="none"/>
        </w:rPr>
      </w:pPr>
    </w:p>
    <w:p w14:paraId="56E13FB4" w14:textId="77777777" w:rsidR="008D07A9" w:rsidRPr="008D07A9" w:rsidRDefault="008D07A9" w:rsidP="008D07A9">
      <w:pPr>
        <w:bidi w:val="0"/>
        <w:spacing w:after="0" w:line="240" w:lineRule="auto"/>
        <w:rPr>
          <w:rFonts w:eastAsia="Calibri" w:cs="B Nazanin"/>
          <w:color w:val="0000FF"/>
          <w:sz w:val="20"/>
          <w:szCs w:val="20"/>
          <w:u w:val="single"/>
          <w14:ligatures w14:val="none"/>
        </w:rPr>
      </w:pPr>
    </w:p>
    <w:p w14:paraId="1A55C871" w14:textId="77777777" w:rsidR="008D07A9" w:rsidRPr="008D07A9" w:rsidRDefault="008D07A9" w:rsidP="008D07A9">
      <w:pPr>
        <w:bidi w:val="0"/>
        <w:spacing w:after="0" w:line="240" w:lineRule="auto"/>
        <w:rPr>
          <w:rFonts w:eastAsia="Calibri" w:cs="B Nazanin"/>
          <w:color w:val="0000FF"/>
          <w:sz w:val="20"/>
          <w:szCs w:val="20"/>
          <w:u w:val="single"/>
          <w14:ligatures w14:val="none"/>
        </w:rPr>
      </w:pPr>
    </w:p>
    <w:p w14:paraId="67F747AD" w14:textId="77777777" w:rsidR="008D07A9" w:rsidRPr="008D07A9" w:rsidRDefault="008D07A9" w:rsidP="008D07A9">
      <w:pPr>
        <w:bidi w:val="0"/>
        <w:spacing w:after="0" w:line="240" w:lineRule="auto"/>
        <w:rPr>
          <w:rFonts w:eastAsia="Calibri" w:cs="B Nazanin"/>
          <w:color w:val="0000FF"/>
          <w:sz w:val="20"/>
          <w:szCs w:val="20"/>
          <w:u w:val="single"/>
          <w14:ligatures w14:val="none"/>
        </w:rPr>
      </w:pPr>
    </w:p>
    <w:p w14:paraId="1485B3A2" w14:textId="77777777" w:rsidR="008D07A9" w:rsidRPr="008D07A9" w:rsidRDefault="008D07A9" w:rsidP="008D07A9">
      <w:pPr>
        <w:bidi w:val="0"/>
        <w:spacing w:after="0" w:line="240" w:lineRule="auto"/>
        <w:rPr>
          <w:rFonts w:eastAsia="Calibri" w:cs="B Nazanin"/>
          <w:sz w:val="20"/>
          <w:szCs w:val="20"/>
          <w14:ligatures w14:val="none"/>
        </w:rPr>
      </w:pPr>
    </w:p>
    <w:p w14:paraId="68490406" w14:textId="77777777" w:rsidR="008D07A9" w:rsidRPr="008D07A9" w:rsidRDefault="008D07A9" w:rsidP="008D07A9">
      <w:pPr>
        <w:spacing w:after="0" w:line="240" w:lineRule="auto"/>
        <w:jc w:val="right"/>
        <w:rPr>
          <w:rFonts w:eastAsia="Calibri" w:cs="B Nazanin"/>
          <w:sz w:val="20"/>
          <w:szCs w:val="20"/>
          <w14:ligatures w14:val="none"/>
        </w:rPr>
      </w:pPr>
    </w:p>
    <w:p w14:paraId="542C4088" w14:textId="77777777" w:rsidR="008D07A9" w:rsidRPr="008D07A9" w:rsidRDefault="008D07A9" w:rsidP="008D07A9">
      <w:pPr>
        <w:bidi w:val="0"/>
        <w:spacing w:after="0" w:line="240" w:lineRule="auto"/>
        <w:ind w:left="-142"/>
        <w:contextualSpacing/>
        <w:jc w:val="both"/>
        <w:rPr>
          <w:rFonts w:eastAsia="Times New Roman" w:cs="Times New Roman"/>
          <w:sz w:val="20"/>
          <w:szCs w:val="20"/>
          <w14:ligatures w14:val="none"/>
        </w:rPr>
      </w:pPr>
    </w:p>
    <w:p w14:paraId="40B47FE4" w14:textId="77777777" w:rsidR="008D07A9" w:rsidRPr="008D07A9" w:rsidRDefault="008D07A9" w:rsidP="008D07A9">
      <w:pPr>
        <w:bidi w:val="0"/>
        <w:spacing w:after="0" w:line="240" w:lineRule="auto"/>
        <w:ind w:left="-142"/>
        <w:contextualSpacing/>
        <w:jc w:val="both"/>
        <w:rPr>
          <w:rFonts w:eastAsia="Times New Roman" w:cs="Times New Roman"/>
          <w:sz w:val="20"/>
          <w:szCs w:val="20"/>
          <w14:ligatures w14:val="none"/>
        </w:rPr>
      </w:pPr>
    </w:p>
    <w:p w14:paraId="679B298A" w14:textId="77777777" w:rsidR="008D07A9" w:rsidRPr="008D07A9" w:rsidRDefault="008D07A9" w:rsidP="008D07A9">
      <w:pPr>
        <w:bidi w:val="0"/>
        <w:spacing w:after="0" w:line="240" w:lineRule="auto"/>
        <w:ind w:left="-142"/>
        <w:contextualSpacing/>
        <w:jc w:val="both"/>
        <w:rPr>
          <w:rFonts w:eastAsia="Times New Roman" w:cs="Times New Roman"/>
          <w:sz w:val="20"/>
          <w:szCs w:val="20"/>
          <w14:ligatures w14:val="none"/>
        </w:rPr>
      </w:pPr>
    </w:p>
    <w:p w14:paraId="4695798F" w14:textId="77777777" w:rsidR="008D07A9" w:rsidRPr="008D07A9" w:rsidRDefault="008D07A9" w:rsidP="008D07A9">
      <w:pPr>
        <w:bidi w:val="0"/>
        <w:spacing w:after="0" w:line="240" w:lineRule="auto"/>
        <w:ind w:left="-142"/>
        <w:contextualSpacing/>
        <w:jc w:val="both"/>
        <w:rPr>
          <w:rFonts w:eastAsia="Times New Roman" w:cs="Times New Roman"/>
          <w:sz w:val="20"/>
          <w:szCs w:val="20"/>
          <w14:ligatures w14:val="none"/>
        </w:rPr>
      </w:pPr>
    </w:p>
    <w:p w14:paraId="6F654866" w14:textId="77777777" w:rsidR="008D07A9" w:rsidRPr="008D07A9" w:rsidRDefault="008D07A9" w:rsidP="008D07A9">
      <w:pPr>
        <w:bidi w:val="0"/>
        <w:spacing w:after="0" w:line="240" w:lineRule="auto"/>
        <w:ind w:left="3338"/>
        <w:contextualSpacing/>
        <w:jc w:val="both"/>
        <w:rPr>
          <w:rFonts w:eastAsia="Times New Roman" w:cs="Times New Roman"/>
          <w:sz w:val="20"/>
          <w:szCs w:val="20"/>
          <w14:ligatures w14:val="none"/>
        </w:rPr>
      </w:pPr>
    </w:p>
    <w:p w14:paraId="5D2C4D44" w14:textId="77777777" w:rsidR="008D07A9" w:rsidRPr="008C1DB1" w:rsidRDefault="008D07A9" w:rsidP="008D07A9">
      <w:pPr>
        <w:bidi w:val="0"/>
        <w:spacing w:after="0" w:line="240" w:lineRule="auto"/>
        <w:jc w:val="both"/>
        <w:rPr>
          <w:rFonts w:asciiTheme="majorBidi" w:hAnsiTheme="majorBidi" w:cstheme="majorBidi"/>
          <w:sz w:val="20"/>
          <w:szCs w:val="20"/>
          <w:lang w:bidi="fa-IR"/>
        </w:rPr>
      </w:pPr>
    </w:p>
    <w:sectPr w:rsidR="008D07A9" w:rsidRPr="008C1DB1" w:rsidSect="005C6508">
      <w:headerReference w:type="even" r:id="rId80"/>
      <w:headerReference w:type="default" r:id="rId81"/>
      <w:footerReference w:type="even" r:id="rId82"/>
      <w:footerReference w:type="default" r:id="rId83"/>
      <w:headerReference w:type="first" r:id="rId84"/>
      <w:footerReference w:type="first" r:id="rId8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02D8E" w14:textId="77777777" w:rsidR="00BC69F0" w:rsidRDefault="00BC69F0" w:rsidP="001915F1">
      <w:pPr>
        <w:spacing w:after="0" w:line="240" w:lineRule="auto"/>
      </w:pPr>
      <w:r>
        <w:separator/>
      </w:r>
    </w:p>
  </w:endnote>
  <w:endnote w:type="continuationSeparator" w:id="0">
    <w:p w14:paraId="58D755FB" w14:textId="77777777" w:rsidR="00BC69F0" w:rsidRDefault="00BC69F0" w:rsidP="0019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icrosoft JhengHei"/>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 Nazanin">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0001" w14:textId="77777777" w:rsidR="00C80819" w:rsidRDefault="00C80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5A5A" w14:textId="77777777" w:rsidR="00C80819" w:rsidRDefault="00C80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253E" w14:textId="77777777" w:rsidR="00C80819" w:rsidRDefault="00C80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6B3E4" w14:textId="77777777" w:rsidR="00BC69F0" w:rsidRDefault="00BC69F0" w:rsidP="001915F1">
      <w:pPr>
        <w:spacing w:after="0" w:line="240" w:lineRule="auto"/>
      </w:pPr>
      <w:r>
        <w:separator/>
      </w:r>
    </w:p>
  </w:footnote>
  <w:footnote w:type="continuationSeparator" w:id="0">
    <w:p w14:paraId="5A89C6D5" w14:textId="77777777" w:rsidR="00BC69F0" w:rsidRDefault="00BC69F0" w:rsidP="00191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1204D" w14:textId="20A6A7F8" w:rsidR="00C80819" w:rsidRDefault="00C80819">
    <w:pPr>
      <w:pStyle w:val="Header"/>
    </w:pPr>
    <w:r>
      <w:rPr>
        <w:noProof/>
      </w:rPr>
      <w:pict w14:anchorId="17D6A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349969"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DC32" w14:textId="4377B09E" w:rsidR="00C80819" w:rsidRDefault="00C80819">
    <w:pPr>
      <w:pStyle w:val="Header"/>
    </w:pPr>
    <w:r>
      <w:rPr>
        <w:noProof/>
      </w:rPr>
      <w:pict w14:anchorId="3772A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349970"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446F" w14:textId="14439FCF" w:rsidR="00C80819" w:rsidRDefault="00C80819">
    <w:pPr>
      <w:pStyle w:val="Header"/>
    </w:pPr>
    <w:r>
      <w:rPr>
        <w:noProof/>
      </w:rPr>
      <w:pict w14:anchorId="6DF2B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349968"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455D"/>
    <w:multiLevelType w:val="hybridMultilevel"/>
    <w:tmpl w:val="3C642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38F0"/>
    <w:multiLevelType w:val="multilevel"/>
    <w:tmpl w:val="0320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05CA3"/>
    <w:multiLevelType w:val="multilevel"/>
    <w:tmpl w:val="EE6C6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55A6E"/>
    <w:multiLevelType w:val="hybridMultilevel"/>
    <w:tmpl w:val="33F48CD0"/>
    <w:lvl w:ilvl="0" w:tplc="1B7CD454">
      <w:start w:val="1"/>
      <w:numFmt w:val="decimal"/>
      <w:lvlText w:val="%1."/>
      <w:lvlJc w:val="left"/>
      <w:pPr>
        <w:ind w:left="3338" w:hanging="360"/>
      </w:pPr>
      <w:rPr>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540AD"/>
    <w:multiLevelType w:val="multilevel"/>
    <w:tmpl w:val="EE6C6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6F3DC0"/>
    <w:multiLevelType w:val="hybridMultilevel"/>
    <w:tmpl w:val="F0F0B4D0"/>
    <w:lvl w:ilvl="0" w:tplc="E5E04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40350"/>
    <w:multiLevelType w:val="multilevel"/>
    <w:tmpl w:val="7296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016F3B"/>
    <w:multiLevelType w:val="multilevel"/>
    <w:tmpl w:val="E6F4C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6"/>
  </w:num>
  <w:num w:numId="2">
    <w:abstractNumId w:val="2"/>
  </w:num>
  <w:num w:numId="3">
    <w:abstractNumId w:val="4"/>
  </w:num>
  <w:num w:numId="4">
    <w:abstractNumId w:val="3"/>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D27"/>
    <w:rsid w:val="00013CB9"/>
    <w:rsid w:val="00065959"/>
    <w:rsid w:val="00067697"/>
    <w:rsid w:val="00071BD5"/>
    <w:rsid w:val="0009330E"/>
    <w:rsid w:val="000B3039"/>
    <w:rsid w:val="000C5C06"/>
    <w:rsid w:val="000E793F"/>
    <w:rsid w:val="000F18ED"/>
    <w:rsid w:val="001252EE"/>
    <w:rsid w:val="001343C4"/>
    <w:rsid w:val="00142495"/>
    <w:rsid w:val="001536B6"/>
    <w:rsid w:val="001537CC"/>
    <w:rsid w:val="00165A98"/>
    <w:rsid w:val="00170FC2"/>
    <w:rsid w:val="001851BC"/>
    <w:rsid w:val="00190F89"/>
    <w:rsid w:val="001915F1"/>
    <w:rsid w:val="001A0464"/>
    <w:rsid w:val="001A64F5"/>
    <w:rsid w:val="001A71B8"/>
    <w:rsid w:val="001B0138"/>
    <w:rsid w:val="001B3D34"/>
    <w:rsid w:val="001B5801"/>
    <w:rsid w:val="001B744D"/>
    <w:rsid w:val="001C100F"/>
    <w:rsid w:val="001D1CAD"/>
    <w:rsid w:val="001D56CF"/>
    <w:rsid w:val="001D5D61"/>
    <w:rsid w:val="00202285"/>
    <w:rsid w:val="0021541F"/>
    <w:rsid w:val="002214D7"/>
    <w:rsid w:val="002325DF"/>
    <w:rsid w:val="00242E8C"/>
    <w:rsid w:val="00257837"/>
    <w:rsid w:val="00270504"/>
    <w:rsid w:val="002837AD"/>
    <w:rsid w:val="00287030"/>
    <w:rsid w:val="002D2850"/>
    <w:rsid w:val="003066BC"/>
    <w:rsid w:val="003068CC"/>
    <w:rsid w:val="0030726F"/>
    <w:rsid w:val="0030732B"/>
    <w:rsid w:val="0031218D"/>
    <w:rsid w:val="00320F63"/>
    <w:rsid w:val="00320F84"/>
    <w:rsid w:val="0032440F"/>
    <w:rsid w:val="00327EB6"/>
    <w:rsid w:val="003A4B17"/>
    <w:rsid w:val="003B5128"/>
    <w:rsid w:val="003C775E"/>
    <w:rsid w:val="003D09F3"/>
    <w:rsid w:val="003E5807"/>
    <w:rsid w:val="003F2CD5"/>
    <w:rsid w:val="00425B1D"/>
    <w:rsid w:val="00430AED"/>
    <w:rsid w:val="00465B13"/>
    <w:rsid w:val="00475071"/>
    <w:rsid w:val="004C0F1E"/>
    <w:rsid w:val="004F47D9"/>
    <w:rsid w:val="005044FC"/>
    <w:rsid w:val="0050617F"/>
    <w:rsid w:val="00516F4E"/>
    <w:rsid w:val="00523EC9"/>
    <w:rsid w:val="00527135"/>
    <w:rsid w:val="005539BF"/>
    <w:rsid w:val="005561A8"/>
    <w:rsid w:val="00562950"/>
    <w:rsid w:val="00574C16"/>
    <w:rsid w:val="00576DF8"/>
    <w:rsid w:val="00596202"/>
    <w:rsid w:val="005B48B7"/>
    <w:rsid w:val="005C6508"/>
    <w:rsid w:val="005E2AF0"/>
    <w:rsid w:val="005E38F5"/>
    <w:rsid w:val="005E51AB"/>
    <w:rsid w:val="005F2950"/>
    <w:rsid w:val="00600393"/>
    <w:rsid w:val="006007D5"/>
    <w:rsid w:val="00600ACC"/>
    <w:rsid w:val="00603AA7"/>
    <w:rsid w:val="006073A1"/>
    <w:rsid w:val="0063266C"/>
    <w:rsid w:val="00636421"/>
    <w:rsid w:val="006B18A1"/>
    <w:rsid w:val="006E2A2A"/>
    <w:rsid w:val="006E7E53"/>
    <w:rsid w:val="00701E43"/>
    <w:rsid w:val="007060B2"/>
    <w:rsid w:val="0072633E"/>
    <w:rsid w:val="0073298B"/>
    <w:rsid w:val="007635BE"/>
    <w:rsid w:val="00767C32"/>
    <w:rsid w:val="00771159"/>
    <w:rsid w:val="007A5CC3"/>
    <w:rsid w:val="007C5315"/>
    <w:rsid w:val="007C639E"/>
    <w:rsid w:val="00802019"/>
    <w:rsid w:val="0080213F"/>
    <w:rsid w:val="00822350"/>
    <w:rsid w:val="008508AB"/>
    <w:rsid w:val="00864C70"/>
    <w:rsid w:val="0088751E"/>
    <w:rsid w:val="008C1DB1"/>
    <w:rsid w:val="008D07A9"/>
    <w:rsid w:val="008F23C8"/>
    <w:rsid w:val="00901101"/>
    <w:rsid w:val="009027BB"/>
    <w:rsid w:val="009041D4"/>
    <w:rsid w:val="009117A2"/>
    <w:rsid w:val="009128DE"/>
    <w:rsid w:val="009302DB"/>
    <w:rsid w:val="00931537"/>
    <w:rsid w:val="009628B2"/>
    <w:rsid w:val="00982A52"/>
    <w:rsid w:val="009964A1"/>
    <w:rsid w:val="009B1E52"/>
    <w:rsid w:val="00A140F8"/>
    <w:rsid w:val="00A22A77"/>
    <w:rsid w:val="00A44AF1"/>
    <w:rsid w:val="00A64F69"/>
    <w:rsid w:val="00A70400"/>
    <w:rsid w:val="00AD7158"/>
    <w:rsid w:val="00B14FD9"/>
    <w:rsid w:val="00B218B4"/>
    <w:rsid w:val="00B2487E"/>
    <w:rsid w:val="00B571DF"/>
    <w:rsid w:val="00B765EA"/>
    <w:rsid w:val="00B81DBD"/>
    <w:rsid w:val="00BB45AD"/>
    <w:rsid w:val="00BB466E"/>
    <w:rsid w:val="00BC0C82"/>
    <w:rsid w:val="00BC0E31"/>
    <w:rsid w:val="00BC27F2"/>
    <w:rsid w:val="00BC69F0"/>
    <w:rsid w:val="00BD1C6E"/>
    <w:rsid w:val="00BD2A99"/>
    <w:rsid w:val="00BD56DB"/>
    <w:rsid w:val="00BF50DF"/>
    <w:rsid w:val="00C01C57"/>
    <w:rsid w:val="00C142E7"/>
    <w:rsid w:val="00C2014F"/>
    <w:rsid w:val="00C308A7"/>
    <w:rsid w:val="00C80362"/>
    <w:rsid w:val="00C80819"/>
    <w:rsid w:val="00C81E48"/>
    <w:rsid w:val="00C96C90"/>
    <w:rsid w:val="00CB1AA3"/>
    <w:rsid w:val="00CB5586"/>
    <w:rsid w:val="00CC48DC"/>
    <w:rsid w:val="00CD19EE"/>
    <w:rsid w:val="00D00951"/>
    <w:rsid w:val="00D47212"/>
    <w:rsid w:val="00D558F0"/>
    <w:rsid w:val="00D738E2"/>
    <w:rsid w:val="00D870F0"/>
    <w:rsid w:val="00D95039"/>
    <w:rsid w:val="00DA2F16"/>
    <w:rsid w:val="00DA4959"/>
    <w:rsid w:val="00DB0C27"/>
    <w:rsid w:val="00DB4544"/>
    <w:rsid w:val="00DD70BA"/>
    <w:rsid w:val="00DE31B8"/>
    <w:rsid w:val="00DE3929"/>
    <w:rsid w:val="00DE4D41"/>
    <w:rsid w:val="00DE69C2"/>
    <w:rsid w:val="00E40E81"/>
    <w:rsid w:val="00E42215"/>
    <w:rsid w:val="00E63393"/>
    <w:rsid w:val="00E72925"/>
    <w:rsid w:val="00E75343"/>
    <w:rsid w:val="00E75B01"/>
    <w:rsid w:val="00E76CF8"/>
    <w:rsid w:val="00E95A85"/>
    <w:rsid w:val="00EA6A61"/>
    <w:rsid w:val="00EE6D27"/>
    <w:rsid w:val="00F03C9C"/>
    <w:rsid w:val="00F15A04"/>
    <w:rsid w:val="00F2138F"/>
    <w:rsid w:val="00F31F6A"/>
    <w:rsid w:val="00F32194"/>
    <w:rsid w:val="00F42941"/>
    <w:rsid w:val="00F45C17"/>
    <w:rsid w:val="00F57AFD"/>
    <w:rsid w:val="00F648D8"/>
    <w:rsid w:val="00F7263D"/>
    <w:rsid w:val="00F72867"/>
    <w:rsid w:val="00F75924"/>
    <w:rsid w:val="00F87F12"/>
    <w:rsid w:val="00FA0B8C"/>
    <w:rsid w:val="00FB0364"/>
    <w:rsid w:val="00FC18F7"/>
    <w:rsid w:val="00FE7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201AC"/>
  <w15:chartTrackingRefBased/>
  <w15:docId w15:val="{A30266FC-DFC8-4A6D-ADD5-F525B5F8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7F2"/>
    <w:rPr>
      <w:rFonts w:ascii="Times New Roman" w:hAnsi="Times New Roman"/>
      <w:sz w:val="24"/>
    </w:rPr>
  </w:style>
  <w:style w:type="paragraph" w:styleId="Heading1">
    <w:name w:val="heading 1"/>
    <w:basedOn w:val="Normal"/>
    <w:next w:val="Normal"/>
    <w:link w:val="Heading1Char"/>
    <w:uiPriority w:val="9"/>
    <w:qFormat/>
    <w:rsid w:val="00EE6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D27"/>
    <w:rPr>
      <w:rFonts w:eastAsiaTheme="majorEastAsia" w:cstheme="majorBidi"/>
      <w:color w:val="272727" w:themeColor="text1" w:themeTint="D8"/>
    </w:rPr>
  </w:style>
  <w:style w:type="paragraph" w:styleId="Title">
    <w:name w:val="Title"/>
    <w:basedOn w:val="Normal"/>
    <w:next w:val="Normal"/>
    <w:link w:val="TitleChar"/>
    <w:uiPriority w:val="10"/>
    <w:qFormat/>
    <w:rsid w:val="00EE6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D27"/>
    <w:pPr>
      <w:spacing w:before="160"/>
      <w:jc w:val="center"/>
    </w:pPr>
    <w:rPr>
      <w:i/>
      <w:iCs/>
      <w:color w:val="404040" w:themeColor="text1" w:themeTint="BF"/>
    </w:rPr>
  </w:style>
  <w:style w:type="character" w:customStyle="1" w:styleId="QuoteChar">
    <w:name w:val="Quote Char"/>
    <w:basedOn w:val="DefaultParagraphFont"/>
    <w:link w:val="Quote"/>
    <w:uiPriority w:val="29"/>
    <w:rsid w:val="00EE6D27"/>
    <w:rPr>
      <w:i/>
      <w:iCs/>
      <w:color w:val="404040" w:themeColor="text1" w:themeTint="BF"/>
    </w:rPr>
  </w:style>
  <w:style w:type="paragraph" w:styleId="ListParagraph">
    <w:name w:val="List Paragraph"/>
    <w:basedOn w:val="Normal"/>
    <w:uiPriority w:val="34"/>
    <w:qFormat/>
    <w:rsid w:val="00EE6D27"/>
    <w:pPr>
      <w:ind w:left="720"/>
      <w:contextualSpacing/>
    </w:pPr>
  </w:style>
  <w:style w:type="character" w:styleId="IntenseEmphasis">
    <w:name w:val="Intense Emphasis"/>
    <w:basedOn w:val="DefaultParagraphFont"/>
    <w:uiPriority w:val="21"/>
    <w:qFormat/>
    <w:rsid w:val="00EE6D27"/>
    <w:rPr>
      <w:i/>
      <w:iCs/>
      <w:color w:val="2F5496" w:themeColor="accent1" w:themeShade="BF"/>
    </w:rPr>
  </w:style>
  <w:style w:type="paragraph" w:styleId="IntenseQuote">
    <w:name w:val="Intense Quote"/>
    <w:basedOn w:val="Normal"/>
    <w:next w:val="Normal"/>
    <w:link w:val="IntenseQuoteChar"/>
    <w:uiPriority w:val="30"/>
    <w:qFormat/>
    <w:rsid w:val="00EE6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D27"/>
    <w:rPr>
      <w:i/>
      <w:iCs/>
      <w:color w:val="2F5496" w:themeColor="accent1" w:themeShade="BF"/>
    </w:rPr>
  </w:style>
  <w:style w:type="character" w:styleId="IntenseReference">
    <w:name w:val="Intense Reference"/>
    <w:basedOn w:val="DefaultParagraphFont"/>
    <w:uiPriority w:val="32"/>
    <w:qFormat/>
    <w:rsid w:val="00EE6D27"/>
    <w:rPr>
      <w:b/>
      <w:bCs/>
      <w:smallCaps/>
      <w:color w:val="2F5496" w:themeColor="accent1" w:themeShade="BF"/>
      <w:spacing w:val="5"/>
    </w:rPr>
  </w:style>
  <w:style w:type="paragraph" w:styleId="NormalWeb">
    <w:name w:val="Normal (Web)"/>
    <w:basedOn w:val="Normal"/>
    <w:uiPriority w:val="99"/>
    <w:semiHidden/>
    <w:unhideWhenUsed/>
    <w:rsid w:val="00527135"/>
    <w:rPr>
      <w:rFonts w:cs="Times New Roman"/>
      <w:szCs w:val="24"/>
    </w:rPr>
  </w:style>
  <w:style w:type="character" w:customStyle="1" w:styleId="hljs-string">
    <w:name w:val="hljs-string"/>
    <w:basedOn w:val="DefaultParagraphFont"/>
    <w:rsid w:val="003E5807"/>
  </w:style>
  <w:style w:type="character" w:customStyle="1" w:styleId="fontstyle01">
    <w:name w:val="fontstyle01"/>
    <w:basedOn w:val="DefaultParagraphFont"/>
    <w:rsid w:val="00A22A77"/>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A22A77"/>
    <w:rPr>
      <w:rFonts w:ascii="TimesNewRomanPS-ItalicMT" w:hAnsi="TimesNewRomanPS-ItalicMT" w:hint="default"/>
      <w:b w:val="0"/>
      <w:bCs w:val="0"/>
      <w:i/>
      <w:iCs/>
      <w:color w:val="000000"/>
      <w:sz w:val="18"/>
      <w:szCs w:val="18"/>
    </w:rPr>
  </w:style>
  <w:style w:type="character" w:styleId="Hyperlink">
    <w:name w:val="Hyperlink"/>
    <w:basedOn w:val="DefaultParagraphFont"/>
    <w:uiPriority w:val="99"/>
    <w:unhideWhenUsed/>
    <w:rsid w:val="00BD1C6E"/>
    <w:rPr>
      <w:color w:val="0563C1" w:themeColor="hyperlink"/>
      <w:u w:val="single"/>
    </w:rPr>
  </w:style>
  <w:style w:type="paragraph" w:styleId="FootnoteText">
    <w:name w:val="footnote text"/>
    <w:basedOn w:val="Normal"/>
    <w:link w:val="FootnoteTextChar"/>
    <w:uiPriority w:val="99"/>
    <w:semiHidden/>
    <w:unhideWhenUsed/>
    <w:rsid w:val="001915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1"/>
    <w:rPr>
      <w:sz w:val="20"/>
      <w:szCs w:val="20"/>
    </w:rPr>
  </w:style>
  <w:style w:type="character" w:styleId="FootnoteReference">
    <w:name w:val="footnote reference"/>
    <w:basedOn w:val="DefaultParagraphFont"/>
    <w:uiPriority w:val="99"/>
    <w:semiHidden/>
    <w:unhideWhenUsed/>
    <w:rsid w:val="001915F1"/>
    <w:rPr>
      <w:vertAlign w:val="superscript"/>
    </w:rPr>
  </w:style>
  <w:style w:type="character" w:styleId="UnresolvedMention">
    <w:name w:val="Unresolved Mention"/>
    <w:basedOn w:val="DefaultParagraphFont"/>
    <w:uiPriority w:val="99"/>
    <w:semiHidden/>
    <w:unhideWhenUsed/>
    <w:rsid w:val="001A71B8"/>
    <w:rPr>
      <w:color w:val="605E5C"/>
      <w:shd w:val="clear" w:color="auto" w:fill="E1DFDD"/>
    </w:rPr>
  </w:style>
  <w:style w:type="paragraph" w:styleId="Header">
    <w:name w:val="header"/>
    <w:basedOn w:val="Normal"/>
    <w:link w:val="HeaderChar"/>
    <w:uiPriority w:val="99"/>
    <w:unhideWhenUsed/>
    <w:rsid w:val="00C80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819"/>
    <w:rPr>
      <w:rFonts w:ascii="Times New Roman" w:hAnsi="Times New Roman"/>
      <w:sz w:val="24"/>
    </w:rPr>
  </w:style>
  <w:style w:type="paragraph" w:styleId="Footer">
    <w:name w:val="footer"/>
    <w:basedOn w:val="Normal"/>
    <w:link w:val="FooterChar"/>
    <w:uiPriority w:val="99"/>
    <w:unhideWhenUsed/>
    <w:rsid w:val="00C80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81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534">
      <w:bodyDiv w:val="1"/>
      <w:marLeft w:val="0"/>
      <w:marRight w:val="0"/>
      <w:marTop w:val="0"/>
      <w:marBottom w:val="0"/>
      <w:divBdr>
        <w:top w:val="none" w:sz="0" w:space="0" w:color="auto"/>
        <w:left w:val="none" w:sz="0" w:space="0" w:color="auto"/>
        <w:bottom w:val="none" w:sz="0" w:space="0" w:color="auto"/>
        <w:right w:val="none" w:sz="0" w:space="0" w:color="auto"/>
      </w:divBdr>
    </w:div>
    <w:div w:id="71390489">
      <w:bodyDiv w:val="1"/>
      <w:marLeft w:val="0"/>
      <w:marRight w:val="0"/>
      <w:marTop w:val="0"/>
      <w:marBottom w:val="0"/>
      <w:divBdr>
        <w:top w:val="none" w:sz="0" w:space="0" w:color="auto"/>
        <w:left w:val="none" w:sz="0" w:space="0" w:color="auto"/>
        <w:bottom w:val="none" w:sz="0" w:space="0" w:color="auto"/>
        <w:right w:val="none" w:sz="0" w:space="0" w:color="auto"/>
      </w:divBdr>
    </w:div>
    <w:div w:id="71590314">
      <w:bodyDiv w:val="1"/>
      <w:marLeft w:val="0"/>
      <w:marRight w:val="0"/>
      <w:marTop w:val="0"/>
      <w:marBottom w:val="0"/>
      <w:divBdr>
        <w:top w:val="none" w:sz="0" w:space="0" w:color="auto"/>
        <w:left w:val="none" w:sz="0" w:space="0" w:color="auto"/>
        <w:bottom w:val="none" w:sz="0" w:space="0" w:color="auto"/>
        <w:right w:val="none" w:sz="0" w:space="0" w:color="auto"/>
      </w:divBdr>
      <w:divsChild>
        <w:div w:id="798688398">
          <w:marLeft w:val="0"/>
          <w:marRight w:val="0"/>
          <w:marTop w:val="0"/>
          <w:marBottom w:val="0"/>
          <w:divBdr>
            <w:top w:val="single" w:sz="2" w:space="0" w:color="E5E7EB"/>
            <w:left w:val="single" w:sz="2" w:space="0" w:color="E5E7EB"/>
            <w:bottom w:val="single" w:sz="2" w:space="0" w:color="E5E7EB"/>
            <w:right w:val="single" w:sz="2" w:space="0" w:color="E5E7EB"/>
          </w:divBdr>
          <w:divsChild>
            <w:div w:id="1081637150">
              <w:marLeft w:val="0"/>
              <w:marRight w:val="0"/>
              <w:marTop w:val="0"/>
              <w:marBottom w:val="0"/>
              <w:divBdr>
                <w:top w:val="single" w:sz="2" w:space="0" w:color="E5E7EB"/>
                <w:left w:val="single" w:sz="2" w:space="0" w:color="E5E7EB"/>
                <w:bottom w:val="single" w:sz="2" w:space="0" w:color="E5E7EB"/>
                <w:right w:val="single" w:sz="2" w:space="0" w:color="E5E7EB"/>
              </w:divBdr>
              <w:divsChild>
                <w:div w:id="752046024">
                  <w:marLeft w:val="0"/>
                  <w:marRight w:val="0"/>
                  <w:marTop w:val="0"/>
                  <w:marBottom w:val="0"/>
                  <w:divBdr>
                    <w:top w:val="single" w:sz="2" w:space="0" w:color="E5E7EB"/>
                    <w:left w:val="single" w:sz="2" w:space="0" w:color="E5E7EB"/>
                    <w:bottom w:val="single" w:sz="2" w:space="0" w:color="E5E7EB"/>
                    <w:right w:val="single" w:sz="2" w:space="0" w:color="E5E7EB"/>
                  </w:divBdr>
                  <w:divsChild>
                    <w:div w:id="1159423101">
                      <w:marLeft w:val="0"/>
                      <w:marRight w:val="0"/>
                      <w:marTop w:val="0"/>
                      <w:marBottom w:val="0"/>
                      <w:divBdr>
                        <w:top w:val="single" w:sz="2" w:space="0" w:color="E5E7EB"/>
                        <w:left w:val="single" w:sz="2" w:space="0" w:color="E5E7EB"/>
                        <w:bottom w:val="single" w:sz="2" w:space="0" w:color="E5E7EB"/>
                        <w:right w:val="single" w:sz="2" w:space="0" w:color="E5E7EB"/>
                      </w:divBdr>
                      <w:divsChild>
                        <w:div w:id="1815609639">
                          <w:marLeft w:val="0"/>
                          <w:marRight w:val="0"/>
                          <w:marTop w:val="100"/>
                          <w:marBottom w:val="100"/>
                          <w:divBdr>
                            <w:top w:val="single" w:sz="2" w:space="0" w:color="E5E7EB"/>
                            <w:left w:val="single" w:sz="2" w:space="0" w:color="E5E7EB"/>
                            <w:bottom w:val="single" w:sz="2" w:space="0" w:color="E5E7EB"/>
                            <w:right w:val="single" w:sz="2" w:space="0" w:color="E5E7EB"/>
                          </w:divBdr>
                          <w:divsChild>
                            <w:div w:id="1548032375">
                              <w:marLeft w:val="0"/>
                              <w:marRight w:val="0"/>
                              <w:marTop w:val="0"/>
                              <w:marBottom w:val="0"/>
                              <w:divBdr>
                                <w:top w:val="single" w:sz="2" w:space="0" w:color="E5E7EB"/>
                                <w:left w:val="single" w:sz="2" w:space="0" w:color="E5E7EB"/>
                                <w:bottom w:val="single" w:sz="2" w:space="0" w:color="E5E7EB"/>
                                <w:right w:val="single" w:sz="2" w:space="0" w:color="E5E7EB"/>
                              </w:divBdr>
                              <w:divsChild>
                                <w:div w:id="1718048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4884632">
      <w:bodyDiv w:val="1"/>
      <w:marLeft w:val="0"/>
      <w:marRight w:val="0"/>
      <w:marTop w:val="0"/>
      <w:marBottom w:val="0"/>
      <w:divBdr>
        <w:top w:val="none" w:sz="0" w:space="0" w:color="auto"/>
        <w:left w:val="none" w:sz="0" w:space="0" w:color="auto"/>
        <w:bottom w:val="none" w:sz="0" w:space="0" w:color="auto"/>
        <w:right w:val="none" w:sz="0" w:space="0" w:color="auto"/>
      </w:divBdr>
    </w:div>
    <w:div w:id="128322870">
      <w:bodyDiv w:val="1"/>
      <w:marLeft w:val="0"/>
      <w:marRight w:val="0"/>
      <w:marTop w:val="0"/>
      <w:marBottom w:val="0"/>
      <w:divBdr>
        <w:top w:val="none" w:sz="0" w:space="0" w:color="auto"/>
        <w:left w:val="none" w:sz="0" w:space="0" w:color="auto"/>
        <w:bottom w:val="none" w:sz="0" w:space="0" w:color="auto"/>
        <w:right w:val="none" w:sz="0" w:space="0" w:color="auto"/>
      </w:divBdr>
    </w:div>
    <w:div w:id="153420055">
      <w:bodyDiv w:val="1"/>
      <w:marLeft w:val="0"/>
      <w:marRight w:val="0"/>
      <w:marTop w:val="0"/>
      <w:marBottom w:val="0"/>
      <w:divBdr>
        <w:top w:val="none" w:sz="0" w:space="0" w:color="auto"/>
        <w:left w:val="none" w:sz="0" w:space="0" w:color="auto"/>
        <w:bottom w:val="none" w:sz="0" w:space="0" w:color="auto"/>
        <w:right w:val="none" w:sz="0" w:space="0" w:color="auto"/>
      </w:divBdr>
    </w:div>
    <w:div w:id="261383589">
      <w:bodyDiv w:val="1"/>
      <w:marLeft w:val="0"/>
      <w:marRight w:val="0"/>
      <w:marTop w:val="0"/>
      <w:marBottom w:val="0"/>
      <w:divBdr>
        <w:top w:val="none" w:sz="0" w:space="0" w:color="auto"/>
        <w:left w:val="none" w:sz="0" w:space="0" w:color="auto"/>
        <w:bottom w:val="none" w:sz="0" w:space="0" w:color="auto"/>
        <w:right w:val="none" w:sz="0" w:space="0" w:color="auto"/>
      </w:divBdr>
    </w:div>
    <w:div w:id="279726460">
      <w:bodyDiv w:val="1"/>
      <w:marLeft w:val="0"/>
      <w:marRight w:val="0"/>
      <w:marTop w:val="0"/>
      <w:marBottom w:val="0"/>
      <w:divBdr>
        <w:top w:val="none" w:sz="0" w:space="0" w:color="auto"/>
        <w:left w:val="none" w:sz="0" w:space="0" w:color="auto"/>
        <w:bottom w:val="none" w:sz="0" w:space="0" w:color="auto"/>
        <w:right w:val="none" w:sz="0" w:space="0" w:color="auto"/>
      </w:divBdr>
    </w:div>
    <w:div w:id="360514201">
      <w:bodyDiv w:val="1"/>
      <w:marLeft w:val="0"/>
      <w:marRight w:val="0"/>
      <w:marTop w:val="0"/>
      <w:marBottom w:val="0"/>
      <w:divBdr>
        <w:top w:val="none" w:sz="0" w:space="0" w:color="auto"/>
        <w:left w:val="none" w:sz="0" w:space="0" w:color="auto"/>
        <w:bottom w:val="none" w:sz="0" w:space="0" w:color="auto"/>
        <w:right w:val="none" w:sz="0" w:space="0" w:color="auto"/>
      </w:divBdr>
    </w:div>
    <w:div w:id="423191044">
      <w:bodyDiv w:val="1"/>
      <w:marLeft w:val="0"/>
      <w:marRight w:val="0"/>
      <w:marTop w:val="0"/>
      <w:marBottom w:val="0"/>
      <w:divBdr>
        <w:top w:val="none" w:sz="0" w:space="0" w:color="auto"/>
        <w:left w:val="none" w:sz="0" w:space="0" w:color="auto"/>
        <w:bottom w:val="none" w:sz="0" w:space="0" w:color="auto"/>
        <w:right w:val="none" w:sz="0" w:space="0" w:color="auto"/>
      </w:divBdr>
    </w:div>
    <w:div w:id="440998930">
      <w:bodyDiv w:val="1"/>
      <w:marLeft w:val="0"/>
      <w:marRight w:val="0"/>
      <w:marTop w:val="0"/>
      <w:marBottom w:val="0"/>
      <w:divBdr>
        <w:top w:val="none" w:sz="0" w:space="0" w:color="auto"/>
        <w:left w:val="none" w:sz="0" w:space="0" w:color="auto"/>
        <w:bottom w:val="none" w:sz="0" w:space="0" w:color="auto"/>
        <w:right w:val="none" w:sz="0" w:space="0" w:color="auto"/>
      </w:divBdr>
    </w:div>
    <w:div w:id="586839895">
      <w:bodyDiv w:val="1"/>
      <w:marLeft w:val="0"/>
      <w:marRight w:val="0"/>
      <w:marTop w:val="0"/>
      <w:marBottom w:val="0"/>
      <w:divBdr>
        <w:top w:val="none" w:sz="0" w:space="0" w:color="auto"/>
        <w:left w:val="none" w:sz="0" w:space="0" w:color="auto"/>
        <w:bottom w:val="none" w:sz="0" w:space="0" w:color="auto"/>
        <w:right w:val="none" w:sz="0" w:space="0" w:color="auto"/>
      </w:divBdr>
    </w:div>
    <w:div w:id="651252083">
      <w:bodyDiv w:val="1"/>
      <w:marLeft w:val="0"/>
      <w:marRight w:val="0"/>
      <w:marTop w:val="0"/>
      <w:marBottom w:val="0"/>
      <w:divBdr>
        <w:top w:val="none" w:sz="0" w:space="0" w:color="auto"/>
        <w:left w:val="none" w:sz="0" w:space="0" w:color="auto"/>
        <w:bottom w:val="none" w:sz="0" w:space="0" w:color="auto"/>
        <w:right w:val="none" w:sz="0" w:space="0" w:color="auto"/>
      </w:divBdr>
    </w:div>
    <w:div w:id="800658317">
      <w:bodyDiv w:val="1"/>
      <w:marLeft w:val="0"/>
      <w:marRight w:val="0"/>
      <w:marTop w:val="0"/>
      <w:marBottom w:val="0"/>
      <w:divBdr>
        <w:top w:val="none" w:sz="0" w:space="0" w:color="auto"/>
        <w:left w:val="none" w:sz="0" w:space="0" w:color="auto"/>
        <w:bottom w:val="none" w:sz="0" w:space="0" w:color="auto"/>
        <w:right w:val="none" w:sz="0" w:space="0" w:color="auto"/>
      </w:divBdr>
    </w:div>
    <w:div w:id="848103567">
      <w:bodyDiv w:val="1"/>
      <w:marLeft w:val="0"/>
      <w:marRight w:val="0"/>
      <w:marTop w:val="0"/>
      <w:marBottom w:val="0"/>
      <w:divBdr>
        <w:top w:val="none" w:sz="0" w:space="0" w:color="auto"/>
        <w:left w:val="none" w:sz="0" w:space="0" w:color="auto"/>
        <w:bottom w:val="none" w:sz="0" w:space="0" w:color="auto"/>
        <w:right w:val="none" w:sz="0" w:space="0" w:color="auto"/>
      </w:divBdr>
    </w:div>
    <w:div w:id="925187320">
      <w:bodyDiv w:val="1"/>
      <w:marLeft w:val="0"/>
      <w:marRight w:val="0"/>
      <w:marTop w:val="0"/>
      <w:marBottom w:val="0"/>
      <w:divBdr>
        <w:top w:val="none" w:sz="0" w:space="0" w:color="auto"/>
        <w:left w:val="none" w:sz="0" w:space="0" w:color="auto"/>
        <w:bottom w:val="none" w:sz="0" w:space="0" w:color="auto"/>
        <w:right w:val="none" w:sz="0" w:space="0" w:color="auto"/>
      </w:divBdr>
    </w:div>
    <w:div w:id="957105108">
      <w:bodyDiv w:val="1"/>
      <w:marLeft w:val="0"/>
      <w:marRight w:val="0"/>
      <w:marTop w:val="0"/>
      <w:marBottom w:val="0"/>
      <w:divBdr>
        <w:top w:val="none" w:sz="0" w:space="0" w:color="auto"/>
        <w:left w:val="none" w:sz="0" w:space="0" w:color="auto"/>
        <w:bottom w:val="none" w:sz="0" w:space="0" w:color="auto"/>
        <w:right w:val="none" w:sz="0" w:space="0" w:color="auto"/>
      </w:divBdr>
    </w:div>
    <w:div w:id="970595695">
      <w:bodyDiv w:val="1"/>
      <w:marLeft w:val="0"/>
      <w:marRight w:val="0"/>
      <w:marTop w:val="0"/>
      <w:marBottom w:val="0"/>
      <w:divBdr>
        <w:top w:val="none" w:sz="0" w:space="0" w:color="auto"/>
        <w:left w:val="none" w:sz="0" w:space="0" w:color="auto"/>
        <w:bottom w:val="none" w:sz="0" w:space="0" w:color="auto"/>
        <w:right w:val="none" w:sz="0" w:space="0" w:color="auto"/>
      </w:divBdr>
    </w:div>
    <w:div w:id="1037042721">
      <w:bodyDiv w:val="1"/>
      <w:marLeft w:val="0"/>
      <w:marRight w:val="0"/>
      <w:marTop w:val="0"/>
      <w:marBottom w:val="0"/>
      <w:divBdr>
        <w:top w:val="none" w:sz="0" w:space="0" w:color="auto"/>
        <w:left w:val="none" w:sz="0" w:space="0" w:color="auto"/>
        <w:bottom w:val="none" w:sz="0" w:space="0" w:color="auto"/>
        <w:right w:val="none" w:sz="0" w:space="0" w:color="auto"/>
      </w:divBdr>
    </w:div>
    <w:div w:id="1049105765">
      <w:bodyDiv w:val="1"/>
      <w:marLeft w:val="0"/>
      <w:marRight w:val="0"/>
      <w:marTop w:val="0"/>
      <w:marBottom w:val="0"/>
      <w:divBdr>
        <w:top w:val="none" w:sz="0" w:space="0" w:color="auto"/>
        <w:left w:val="none" w:sz="0" w:space="0" w:color="auto"/>
        <w:bottom w:val="none" w:sz="0" w:space="0" w:color="auto"/>
        <w:right w:val="none" w:sz="0" w:space="0" w:color="auto"/>
      </w:divBdr>
    </w:div>
    <w:div w:id="1079710215">
      <w:bodyDiv w:val="1"/>
      <w:marLeft w:val="0"/>
      <w:marRight w:val="0"/>
      <w:marTop w:val="0"/>
      <w:marBottom w:val="0"/>
      <w:divBdr>
        <w:top w:val="none" w:sz="0" w:space="0" w:color="auto"/>
        <w:left w:val="none" w:sz="0" w:space="0" w:color="auto"/>
        <w:bottom w:val="none" w:sz="0" w:space="0" w:color="auto"/>
        <w:right w:val="none" w:sz="0" w:space="0" w:color="auto"/>
      </w:divBdr>
    </w:div>
    <w:div w:id="1087120891">
      <w:bodyDiv w:val="1"/>
      <w:marLeft w:val="0"/>
      <w:marRight w:val="0"/>
      <w:marTop w:val="0"/>
      <w:marBottom w:val="0"/>
      <w:divBdr>
        <w:top w:val="none" w:sz="0" w:space="0" w:color="auto"/>
        <w:left w:val="none" w:sz="0" w:space="0" w:color="auto"/>
        <w:bottom w:val="none" w:sz="0" w:space="0" w:color="auto"/>
        <w:right w:val="none" w:sz="0" w:space="0" w:color="auto"/>
      </w:divBdr>
    </w:div>
    <w:div w:id="1129515343">
      <w:bodyDiv w:val="1"/>
      <w:marLeft w:val="0"/>
      <w:marRight w:val="0"/>
      <w:marTop w:val="0"/>
      <w:marBottom w:val="0"/>
      <w:divBdr>
        <w:top w:val="none" w:sz="0" w:space="0" w:color="auto"/>
        <w:left w:val="none" w:sz="0" w:space="0" w:color="auto"/>
        <w:bottom w:val="none" w:sz="0" w:space="0" w:color="auto"/>
        <w:right w:val="none" w:sz="0" w:space="0" w:color="auto"/>
      </w:divBdr>
    </w:div>
    <w:div w:id="1203052163">
      <w:bodyDiv w:val="1"/>
      <w:marLeft w:val="0"/>
      <w:marRight w:val="0"/>
      <w:marTop w:val="0"/>
      <w:marBottom w:val="0"/>
      <w:divBdr>
        <w:top w:val="none" w:sz="0" w:space="0" w:color="auto"/>
        <w:left w:val="none" w:sz="0" w:space="0" w:color="auto"/>
        <w:bottom w:val="none" w:sz="0" w:space="0" w:color="auto"/>
        <w:right w:val="none" w:sz="0" w:space="0" w:color="auto"/>
      </w:divBdr>
    </w:div>
    <w:div w:id="1237126361">
      <w:bodyDiv w:val="1"/>
      <w:marLeft w:val="0"/>
      <w:marRight w:val="0"/>
      <w:marTop w:val="0"/>
      <w:marBottom w:val="0"/>
      <w:divBdr>
        <w:top w:val="none" w:sz="0" w:space="0" w:color="auto"/>
        <w:left w:val="none" w:sz="0" w:space="0" w:color="auto"/>
        <w:bottom w:val="none" w:sz="0" w:space="0" w:color="auto"/>
        <w:right w:val="none" w:sz="0" w:space="0" w:color="auto"/>
      </w:divBdr>
    </w:div>
    <w:div w:id="1267348125">
      <w:bodyDiv w:val="1"/>
      <w:marLeft w:val="0"/>
      <w:marRight w:val="0"/>
      <w:marTop w:val="0"/>
      <w:marBottom w:val="0"/>
      <w:divBdr>
        <w:top w:val="none" w:sz="0" w:space="0" w:color="auto"/>
        <w:left w:val="none" w:sz="0" w:space="0" w:color="auto"/>
        <w:bottom w:val="none" w:sz="0" w:space="0" w:color="auto"/>
        <w:right w:val="none" w:sz="0" w:space="0" w:color="auto"/>
      </w:divBdr>
    </w:div>
    <w:div w:id="1345935528">
      <w:bodyDiv w:val="1"/>
      <w:marLeft w:val="0"/>
      <w:marRight w:val="0"/>
      <w:marTop w:val="0"/>
      <w:marBottom w:val="0"/>
      <w:divBdr>
        <w:top w:val="none" w:sz="0" w:space="0" w:color="auto"/>
        <w:left w:val="none" w:sz="0" w:space="0" w:color="auto"/>
        <w:bottom w:val="none" w:sz="0" w:space="0" w:color="auto"/>
        <w:right w:val="none" w:sz="0" w:space="0" w:color="auto"/>
      </w:divBdr>
    </w:div>
    <w:div w:id="1396591266">
      <w:bodyDiv w:val="1"/>
      <w:marLeft w:val="0"/>
      <w:marRight w:val="0"/>
      <w:marTop w:val="0"/>
      <w:marBottom w:val="0"/>
      <w:divBdr>
        <w:top w:val="none" w:sz="0" w:space="0" w:color="auto"/>
        <w:left w:val="none" w:sz="0" w:space="0" w:color="auto"/>
        <w:bottom w:val="none" w:sz="0" w:space="0" w:color="auto"/>
        <w:right w:val="none" w:sz="0" w:space="0" w:color="auto"/>
      </w:divBdr>
      <w:divsChild>
        <w:div w:id="1980575058">
          <w:marLeft w:val="0"/>
          <w:marRight w:val="0"/>
          <w:marTop w:val="0"/>
          <w:marBottom w:val="0"/>
          <w:divBdr>
            <w:top w:val="single" w:sz="2" w:space="0" w:color="E5E7EB"/>
            <w:left w:val="single" w:sz="2" w:space="0" w:color="E5E7EB"/>
            <w:bottom w:val="single" w:sz="2" w:space="0" w:color="E5E7EB"/>
            <w:right w:val="single" w:sz="2" w:space="0" w:color="E5E7EB"/>
          </w:divBdr>
          <w:divsChild>
            <w:div w:id="889389696">
              <w:marLeft w:val="0"/>
              <w:marRight w:val="0"/>
              <w:marTop w:val="0"/>
              <w:marBottom w:val="0"/>
              <w:divBdr>
                <w:top w:val="single" w:sz="2" w:space="0" w:color="E5E7EB"/>
                <w:left w:val="single" w:sz="2" w:space="0" w:color="E5E7EB"/>
                <w:bottom w:val="single" w:sz="2" w:space="0" w:color="E5E7EB"/>
                <w:right w:val="single" w:sz="2" w:space="0" w:color="E5E7EB"/>
              </w:divBdr>
              <w:divsChild>
                <w:div w:id="1474954995">
                  <w:marLeft w:val="0"/>
                  <w:marRight w:val="0"/>
                  <w:marTop w:val="0"/>
                  <w:marBottom w:val="0"/>
                  <w:divBdr>
                    <w:top w:val="single" w:sz="2" w:space="0" w:color="E5E7EB"/>
                    <w:left w:val="single" w:sz="2" w:space="0" w:color="E5E7EB"/>
                    <w:bottom w:val="single" w:sz="2" w:space="0" w:color="E5E7EB"/>
                    <w:right w:val="single" w:sz="2" w:space="0" w:color="E5E7EB"/>
                  </w:divBdr>
                  <w:divsChild>
                    <w:div w:id="133103678">
                      <w:marLeft w:val="0"/>
                      <w:marRight w:val="0"/>
                      <w:marTop w:val="0"/>
                      <w:marBottom w:val="0"/>
                      <w:divBdr>
                        <w:top w:val="single" w:sz="2" w:space="0" w:color="E5E7EB"/>
                        <w:left w:val="single" w:sz="2" w:space="0" w:color="E5E7EB"/>
                        <w:bottom w:val="single" w:sz="2" w:space="0" w:color="E5E7EB"/>
                        <w:right w:val="single" w:sz="2" w:space="0" w:color="E5E7EB"/>
                      </w:divBdr>
                      <w:divsChild>
                        <w:div w:id="636566085">
                          <w:marLeft w:val="0"/>
                          <w:marRight w:val="0"/>
                          <w:marTop w:val="100"/>
                          <w:marBottom w:val="100"/>
                          <w:divBdr>
                            <w:top w:val="single" w:sz="2" w:space="0" w:color="E5E7EB"/>
                            <w:left w:val="single" w:sz="2" w:space="0" w:color="E5E7EB"/>
                            <w:bottom w:val="single" w:sz="2" w:space="0" w:color="E5E7EB"/>
                            <w:right w:val="single" w:sz="2" w:space="0" w:color="E5E7EB"/>
                          </w:divBdr>
                          <w:divsChild>
                            <w:div w:id="1927566039">
                              <w:marLeft w:val="0"/>
                              <w:marRight w:val="0"/>
                              <w:marTop w:val="0"/>
                              <w:marBottom w:val="0"/>
                              <w:divBdr>
                                <w:top w:val="single" w:sz="2" w:space="0" w:color="E5E7EB"/>
                                <w:left w:val="single" w:sz="2" w:space="0" w:color="E5E7EB"/>
                                <w:bottom w:val="single" w:sz="2" w:space="0" w:color="E5E7EB"/>
                                <w:right w:val="single" w:sz="2" w:space="0" w:color="E5E7EB"/>
                              </w:divBdr>
                              <w:divsChild>
                                <w:div w:id="1807237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24368512">
      <w:bodyDiv w:val="1"/>
      <w:marLeft w:val="0"/>
      <w:marRight w:val="0"/>
      <w:marTop w:val="0"/>
      <w:marBottom w:val="0"/>
      <w:divBdr>
        <w:top w:val="none" w:sz="0" w:space="0" w:color="auto"/>
        <w:left w:val="none" w:sz="0" w:space="0" w:color="auto"/>
        <w:bottom w:val="none" w:sz="0" w:space="0" w:color="auto"/>
        <w:right w:val="none" w:sz="0" w:space="0" w:color="auto"/>
      </w:divBdr>
    </w:div>
    <w:div w:id="1529179454">
      <w:bodyDiv w:val="1"/>
      <w:marLeft w:val="0"/>
      <w:marRight w:val="0"/>
      <w:marTop w:val="0"/>
      <w:marBottom w:val="0"/>
      <w:divBdr>
        <w:top w:val="none" w:sz="0" w:space="0" w:color="auto"/>
        <w:left w:val="none" w:sz="0" w:space="0" w:color="auto"/>
        <w:bottom w:val="none" w:sz="0" w:space="0" w:color="auto"/>
        <w:right w:val="none" w:sz="0" w:space="0" w:color="auto"/>
      </w:divBdr>
    </w:div>
    <w:div w:id="1579898941">
      <w:bodyDiv w:val="1"/>
      <w:marLeft w:val="0"/>
      <w:marRight w:val="0"/>
      <w:marTop w:val="0"/>
      <w:marBottom w:val="0"/>
      <w:divBdr>
        <w:top w:val="none" w:sz="0" w:space="0" w:color="auto"/>
        <w:left w:val="none" w:sz="0" w:space="0" w:color="auto"/>
        <w:bottom w:val="none" w:sz="0" w:space="0" w:color="auto"/>
        <w:right w:val="none" w:sz="0" w:space="0" w:color="auto"/>
      </w:divBdr>
    </w:div>
    <w:div w:id="1583878320">
      <w:bodyDiv w:val="1"/>
      <w:marLeft w:val="0"/>
      <w:marRight w:val="0"/>
      <w:marTop w:val="0"/>
      <w:marBottom w:val="0"/>
      <w:divBdr>
        <w:top w:val="none" w:sz="0" w:space="0" w:color="auto"/>
        <w:left w:val="none" w:sz="0" w:space="0" w:color="auto"/>
        <w:bottom w:val="none" w:sz="0" w:space="0" w:color="auto"/>
        <w:right w:val="none" w:sz="0" w:space="0" w:color="auto"/>
      </w:divBdr>
    </w:div>
    <w:div w:id="1598488994">
      <w:bodyDiv w:val="1"/>
      <w:marLeft w:val="0"/>
      <w:marRight w:val="0"/>
      <w:marTop w:val="0"/>
      <w:marBottom w:val="0"/>
      <w:divBdr>
        <w:top w:val="none" w:sz="0" w:space="0" w:color="auto"/>
        <w:left w:val="none" w:sz="0" w:space="0" w:color="auto"/>
        <w:bottom w:val="none" w:sz="0" w:space="0" w:color="auto"/>
        <w:right w:val="none" w:sz="0" w:space="0" w:color="auto"/>
      </w:divBdr>
    </w:div>
    <w:div w:id="1599287108">
      <w:bodyDiv w:val="1"/>
      <w:marLeft w:val="0"/>
      <w:marRight w:val="0"/>
      <w:marTop w:val="0"/>
      <w:marBottom w:val="0"/>
      <w:divBdr>
        <w:top w:val="none" w:sz="0" w:space="0" w:color="auto"/>
        <w:left w:val="none" w:sz="0" w:space="0" w:color="auto"/>
        <w:bottom w:val="none" w:sz="0" w:space="0" w:color="auto"/>
        <w:right w:val="none" w:sz="0" w:space="0" w:color="auto"/>
      </w:divBdr>
    </w:div>
    <w:div w:id="1600335981">
      <w:bodyDiv w:val="1"/>
      <w:marLeft w:val="0"/>
      <w:marRight w:val="0"/>
      <w:marTop w:val="0"/>
      <w:marBottom w:val="0"/>
      <w:divBdr>
        <w:top w:val="none" w:sz="0" w:space="0" w:color="auto"/>
        <w:left w:val="none" w:sz="0" w:space="0" w:color="auto"/>
        <w:bottom w:val="none" w:sz="0" w:space="0" w:color="auto"/>
        <w:right w:val="none" w:sz="0" w:space="0" w:color="auto"/>
      </w:divBdr>
    </w:div>
    <w:div w:id="1631474800">
      <w:bodyDiv w:val="1"/>
      <w:marLeft w:val="0"/>
      <w:marRight w:val="0"/>
      <w:marTop w:val="0"/>
      <w:marBottom w:val="0"/>
      <w:divBdr>
        <w:top w:val="none" w:sz="0" w:space="0" w:color="auto"/>
        <w:left w:val="none" w:sz="0" w:space="0" w:color="auto"/>
        <w:bottom w:val="none" w:sz="0" w:space="0" w:color="auto"/>
        <w:right w:val="none" w:sz="0" w:space="0" w:color="auto"/>
      </w:divBdr>
    </w:div>
    <w:div w:id="1640963836">
      <w:bodyDiv w:val="1"/>
      <w:marLeft w:val="0"/>
      <w:marRight w:val="0"/>
      <w:marTop w:val="0"/>
      <w:marBottom w:val="0"/>
      <w:divBdr>
        <w:top w:val="none" w:sz="0" w:space="0" w:color="auto"/>
        <w:left w:val="none" w:sz="0" w:space="0" w:color="auto"/>
        <w:bottom w:val="none" w:sz="0" w:space="0" w:color="auto"/>
        <w:right w:val="none" w:sz="0" w:space="0" w:color="auto"/>
      </w:divBdr>
    </w:div>
    <w:div w:id="1662390580">
      <w:bodyDiv w:val="1"/>
      <w:marLeft w:val="0"/>
      <w:marRight w:val="0"/>
      <w:marTop w:val="0"/>
      <w:marBottom w:val="0"/>
      <w:divBdr>
        <w:top w:val="none" w:sz="0" w:space="0" w:color="auto"/>
        <w:left w:val="none" w:sz="0" w:space="0" w:color="auto"/>
        <w:bottom w:val="none" w:sz="0" w:space="0" w:color="auto"/>
        <w:right w:val="none" w:sz="0" w:space="0" w:color="auto"/>
      </w:divBdr>
    </w:div>
    <w:div w:id="1671907885">
      <w:bodyDiv w:val="1"/>
      <w:marLeft w:val="0"/>
      <w:marRight w:val="0"/>
      <w:marTop w:val="0"/>
      <w:marBottom w:val="0"/>
      <w:divBdr>
        <w:top w:val="none" w:sz="0" w:space="0" w:color="auto"/>
        <w:left w:val="none" w:sz="0" w:space="0" w:color="auto"/>
        <w:bottom w:val="none" w:sz="0" w:space="0" w:color="auto"/>
        <w:right w:val="none" w:sz="0" w:space="0" w:color="auto"/>
      </w:divBdr>
    </w:div>
    <w:div w:id="1705059608">
      <w:bodyDiv w:val="1"/>
      <w:marLeft w:val="0"/>
      <w:marRight w:val="0"/>
      <w:marTop w:val="0"/>
      <w:marBottom w:val="0"/>
      <w:divBdr>
        <w:top w:val="none" w:sz="0" w:space="0" w:color="auto"/>
        <w:left w:val="none" w:sz="0" w:space="0" w:color="auto"/>
        <w:bottom w:val="none" w:sz="0" w:space="0" w:color="auto"/>
        <w:right w:val="none" w:sz="0" w:space="0" w:color="auto"/>
      </w:divBdr>
    </w:div>
    <w:div w:id="1715734167">
      <w:bodyDiv w:val="1"/>
      <w:marLeft w:val="0"/>
      <w:marRight w:val="0"/>
      <w:marTop w:val="0"/>
      <w:marBottom w:val="0"/>
      <w:divBdr>
        <w:top w:val="none" w:sz="0" w:space="0" w:color="auto"/>
        <w:left w:val="none" w:sz="0" w:space="0" w:color="auto"/>
        <w:bottom w:val="none" w:sz="0" w:space="0" w:color="auto"/>
        <w:right w:val="none" w:sz="0" w:space="0" w:color="auto"/>
      </w:divBdr>
    </w:div>
    <w:div w:id="1781602394">
      <w:bodyDiv w:val="1"/>
      <w:marLeft w:val="0"/>
      <w:marRight w:val="0"/>
      <w:marTop w:val="0"/>
      <w:marBottom w:val="0"/>
      <w:divBdr>
        <w:top w:val="none" w:sz="0" w:space="0" w:color="auto"/>
        <w:left w:val="none" w:sz="0" w:space="0" w:color="auto"/>
        <w:bottom w:val="none" w:sz="0" w:space="0" w:color="auto"/>
        <w:right w:val="none" w:sz="0" w:space="0" w:color="auto"/>
      </w:divBdr>
    </w:div>
    <w:div w:id="1786196493">
      <w:bodyDiv w:val="1"/>
      <w:marLeft w:val="0"/>
      <w:marRight w:val="0"/>
      <w:marTop w:val="0"/>
      <w:marBottom w:val="0"/>
      <w:divBdr>
        <w:top w:val="none" w:sz="0" w:space="0" w:color="auto"/>
        <w:left w:val="none" w:sz="0" w:space="0" w:color="auto"/>
        <w:bottom w:val="none" w:sz="0" w:space="0" w:color="auto"/>
        <w:right w:val="none" w:sz="0" w:space="0" w:color="auto"/>
      </w:divBdr>
    </w:div>
    <w:div w:id="1811553068">
      <w:bodyDiv w:val="1"/>
      <w:marLeft w:val="0"/>
      <w:marRight w:val="0"/>
      <w:marTop w:val="0"/>
      <w:marBottom w:val="0"/>
      <w:divBdr>
        <w:top w:val="none" w:sz="0" w:space="0" w:color="auto"/>
        <w:left w:val="none" w:sz="0" w:space="0" w:color="auto"/>
        <w:bottom w:val="none" w:sz="0" w:space="0" w:color="auto"/>
        <w:right w:val="none" w:sz="0" w:space="0" w:color="auto"/>
      </w:divBdr>
    </w:div>
    <w:div w:id="1906641884">
      <w:bodyDiv w:val="1"/>
      <w:marLeft w:val="0"/>
      <w:marRight w:val="0"/>
      <w:marTop w:val="0"/>
      <w:marBottom w:val="0"/>
      <w:divBdr>
        <w:top w:val="none" w:sz="0" w:space="0" w:color="auto"/>
        <w:left w:val="none" w:sz="0" w:space="0" w:color="auto"/>
        <w:bottom w:val="none" w:sz="0" w:space="0" w:color="auto"/>
        <w:right w:val="none" w:sz="0" w:space="0" w:color="auto"/>
      </w:divBdr>
    </w:div>
    <w:div w:id="1987002371">
      <w:bodyDiv w:val="1"/>
      <w:marLeft w:val="0"/>
      <w:marRight w:val="0"/>
      <w:marTop w:val="0"/>
      <w:marBottom w:val="0"/>
      <w:divBdr>
        <w:top w:val="none" w:sz="0" w:space="0" w:color="auto"/>
        <w:left w:val="none" w:sz="0" w:space="0" w:color="auto"/>
        <w:bottom w:val="none" w:sz="0" w:space="0" w:color="auto"/>
        <w:right w:val="none" w:sz="0" w:space="0" w:color="auto"/>
      </w:divBdr>
    </w:div>
    <w:div w:id="2022930118">
      <w:bodyDiv w:val="1"/>
      <w:marLeft w:val="0"/>
      <w:marRight w:val="0"/>
      <w:marTop w:val="0"/>
      <w:marBottom w:val="0"/>
      <w:divBdr>
        <w:top w:val="none" w:sz="0" w:space="0" w:color="auto"/>
        <w:left w:val="none" w:sz="0" w:space="0" w:color="auto"/>
        <w:bottom w:val="none" w:sz="0" w:space="0" w:color="auto"/>
        <w:right w:val="none" w:sz="0" w:space="0" w:color="auto"/>
      </w:divBdr>
    </w:div>
    <w:div w:id="2094694099">
      <w:bodyDiv w:val="1"/>
      <w:marLeft w:val="0"/>
      <w:marRight w:val="0"/>
      <w:marTop w:val="0"/>
      <w:marBottom w:val="0"/>
      <w:divBdr>
        <w:top w:val="none" w:sz="0" w:space="0" w:color="auto"/>
        <w:left w:val="none" w:sz="0" w:space="0" w:color="auto"/>
        <w:bottom w:val="none" w:sz="0" w:space="0" w:color="auto"/>
        <w:right w:val="none" w:sz="0" w:space="0" w:color="auto"/>
      </w:divBdr>
    </w:div>
    <w:div w:id="2100639480">
      <w:bodyDiv w:val="1"/>
      <w:marLeft w:val="0"/>
      <w:marRight w:val="0"/>
      <w:marTop w:val="0"/>
      <w:marBottom w:val="0"/>
      <w:divBdr>
        <w:top w:val="none" w:sz="0" w:space="0" w:color="auto"/>
        <w:left w:val="none" w:sz="0" w:space="0" w:color="auto"/>
        <w:bottom w:val="none" w:sz="0" w:space="0" w:color="auto"/>
        <w:right w:val="none" w:sz="0" w:space="0" w:color="auto"/>
      </w:divBdr>
    </w:div>
    <w:div w:id="2110738737">
      <w:bodyDiv w:val="1"/>
      <w:marLeft w:val="0"/>
      <w:marRight w:val="0"/>
      <w:marTop w:val="0"/>
      <w:marBottom w:val="0"/>
      <w:divBdr>
        <w:top w:val="none" w:sz="0" w:space="0" w:color="auto"/>
        <w:left w:val="none" w:sz="0" w:space="0" w:color="auto"/>
        <w:bottom w:val="none" w:sz="0" w:space="0" w:color="auto"/>
        <w:right w:val="none" w:sz="0" w:space="0" w:color="auto"/>
      </w:divBdr>
    </w:div>
    <w:div w:id="21444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111/risa.12677" TargetMode="External"/><Relationship Id="rId21" Type="http://schemas.openxmlformats.org/officeDocument/2006/relationships/image" Target="media/image14.jpeg"/><Relationship Id="rId42" Type="http://schemas.openxmlformats.org/officeDocument/2006/relationships/hyperlink" Target="https://www.sciencedirect.com/journal/urban-climate" TargetMode="External"/><Relationship Id="rId47" Type="http://schemas.openxmlformats.org/officeDocument/2006/relationships/hyperlink" Target="http://dx.doi.org/10.1142/S2345737616710020" TargetMode="External"/><Relationship Id="rId63" Type="http://schemas.openxmlformats.org/officeDocument/2006/relationships/hyperlink" Target="https://doi.org/10.22067/geoeh.2021.71728.1094" TargetMode="External"/><Relationship Id="rId68" Type="http://schemas.openxmlformats.org/officeDocument/2006/relationships/hyperlink" Target="https://doi.org/10.1016/j.ejrs.2021.01.003" TargetMode="External"/><Relationship Id="rId84" Type="http://schemas.openxmlformats.org/officeDocument/2006/relationships/header" Target="header3.xml"/><Relationship Id="rId16" Type="http://schemas.openxmlformats.org/officeDocument/2006/relationships/image" Target="media/image9.jpeg"/><Relationship Id="rId11" Type="http://schemas.openxmlformats.org/officeDocument/2006/relationships/image" Target="media/image4.jpeg"/><Relationship Id="rId32" Type="http://schemas.openxmlformats.org/officeDocument/2006/relationships/hyperlink" Target="https://link.springer.com/journal/11069" TargetMode="External"/><Relationship Id="rId37" Type="http://schemas.openxmlformats.org/officeDocument/2006/relationships/hyperlink" Target="https://doi.org/10.22067/geoeh.2022.76383.1217" TargetMode="External"/><Relationship Id="rId53" Type="http://schemas.openxmlformats.org/officeDocument/2006/relationships/hyperlink" Target="https://doi.org/10.1016/j.horiz.2023.100061" TargetMode="External"/><Relationship Id="rId58" Type="http://schemas.openxmlformats.org/officeDocument/2006/relationships/hyperlink" Target="https://doi.org/10.22059/jurbangeo.2017.63213" TargetMode="External"/><Relationship Id="rId74" Type="http://schemas.openxmlformats.org/officeDocument/2006/relationships/hyperlink" Target="https://link.springer.com/journal/11356" TargetMode="External"/><Relationship Id="rId79" Type="http://schemas.openxmlformats.org/officeDocument/2006/relationships/hyperlink" Target="https://doi.org/10.22034/hyd.2020.11087" TargetMode="External"/><Relationship Id="rId5" Type="http://schemas.openxmlformats.org/officeDocument/2006/relationships/webSettings" Target="webSettings.xml"/><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hyperlink" Target="https://doi.org/10.1016/j.ejrs.2017.08.002" TargetMode="External"/><Relationship Id="rId30" Type="http://schemas.openxmlformats.org/officeDocument/2006/relationships/hyperlink" Target="https://doi.org/10.1016/j.apgeog.2024.103314" TargetMode="External"/><Relationship Id="rId35" Type="http://schemas.openxmlformats.org/officeDocument/2006/relationships/hyperlink" Target="http://dx.doi.org/10.61186/jeer.14.2.6" TargetMode="External"/><Relationship Id="rId43" Type="http://schemas.openxmlformats.org/officeDocument/2006/relationships/hyperlink" Target="https://doi.org/10.1016/j.uclim.2023.101562" TargetMode="External"/><Relationship Id="rId48" Type="http://schemas.openxmlformats.org/officeDocument/2006/relationships/hyperlink" Target="https://www.sciencedirect.com/journal/watershed-ecology-and-the-environment" TargetMode="External"/><Relationship Id="rId56" Type="http://schemas.openxmlformats.org/officeDocument/2006/relationships/hyperlink" Target="https://doi.org/10.1016/j.ijdrr.2022.103300" TargetMode="External"/><Relationship Id="rId64" Type="http://schemas.openxmlformats.org/officeDocument/2006/relationships/hyperlink" Target="https://doi.org/10.3390/rs10111673" TargetMode="External"/><Relationship Id="rId69" Type="http://schemas.openxmlformats.org/officeDocument/2006/relationships/hyperlink" Target="https://doi.org/10.22034/gmpj.2024.449586.1494" TargetMode="External"/><Relationship Id="rId77" Type="http://schemas.openxmlformats.org/officeDocument/2006/relationships/hyperlink" Target="https://doi.org/10.1007/s12040-022-02020-x" TargetMode="External"/><Relationship Id="rId8" Type="http://schemas.openxmlformats.org/officeDocument/2006/relationships/image" Target="media/image1.jpeg"/><Relationship Id="rId51" Type="http://schemas.openxmlformats.org/officeDocument/2006/relationships/hyperlink" Target="https://doi.org/10.1016/j.pce.2022.103117" TargetMode="External"/><Relationship Id="rId72" Type="http://schemas.openxmlformats.org/officeDocument/2006/relationships/hyperlink" Target="https://doi.org/10.22059/jhsci.2018.252694.341"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doi.org/10.22034/hydro.2021.13016" TargetMode="External"/><Relationship Id="rId33" Type="http://schemas.openxmlformats.org/officeDocument/2006/relationships/hyperlink" Target="https://doi.org/10.1016/j.ejrs.2017.08.002" TargetMode="External"/><Relationship Id="rId38" Type="http://schemas.openxmlformats.org/officeDocument/2006/relationships/hyperlink" Target="https://doi.org/10.22131/sepehr.2023.553000.2871" TargetMode="External"/><Relationship Id="rId46" Type="http://schemas.openxmlformats.org/officeDocument/2006/relationships/hyperlink" Target="https://doi.org/10.1016/j.ejrs.2017.08.002" TargetMode="External"/><Relationship Id="rId59" Type="http://schemas.openxmlformats.org/officeDocument/2006/relationships/hyperlink" Target="https://doi.org/10.22059/jesphys.2019.275076.1007084" TargetMode="External"/><Relationship Id="rId67" Type="http://schemas.openxmlformats.org/officeDocument/2006/relationships/hyperlink" Target="https://doi.org/10.1016/j.heliyon.2024.e27120" TargetMode="External"/><Relationship Id="rId20" Type="http://schemas.openxmlformats.org/officeDocument/2006/relationships/image" Target="media/image13.png"/><Relationship Id="rId41" Type="http://schemas.openxmlformats.org/officeDocument/2006/relationships/hyperlink" Target="https://doi.org/10.22067/geoeh.2022.76383.1217" TargetMode="External"/><Relationship Id="rId54" Type="http://schemas.openxmlformats.org/officeDocument/2006/relationships/hyperlink" Target="https://www.preventionweb.net/files/15204_16141" TargetMode="External"/><Relationship Id="rId62" Type="http://schemas.openxmlformats.org/officeDocument/2006/relationships/hyperlink" Target="https://doi.org/10.22059/jesphys.2020.295046.1007182" TargetMode="External"/><Relationship Id="rId70" Type="http://schemas.openxmlformats.org/officeDocument/2006/relationships/hyperlink" Target="https://link.springer.com/journal/41204" TargetMode="External"/><Relationship Id="rId75" Type="http://schemas.openxmlformats.org/officeDocument/2006/relationships/hyperlink" Target="https://doi.org/"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doi.org/10.1016/j.ejrs.2017.12.004" TargetMode="External"/><Relationship Id="rId28" Type="http://schemas.openxmlformats.org/officeDocument/2006/relationships/hyperlink" Target="https://doi.org/10.1080/24694452.2017.1320214" TargetMode="External"/><Relationship Id="rId36" Type="http://schemas.openxmlformats.org/officeDocument/2006/relationships/hyperlink" Target="http://dx.doi.org/10.61186/jeer.14.2.6" TargetMode="External"/><Relationship Id="rId49" Type="http://schemas.openxmlformats.org/officeDocument/2006/relationships/hyperlink" Target="https://doi.org/10.1016/j.wsee.2023.05.001" TargetMode="External"/><Relationship Id="rId57" Type="http://schemas.openxmlformats.org/officeDocument/2006/relationships/hyperlink" Target="https://doi.org/10.22103/JUSG.2018.1961" TargetMode="External"/><Relationship Id="rId10" Type="http://schemas.openxmlformats.org/officeDocument/2006/relationships/image" Target="media/image3.jpeg"/><Relationship Id="rId31" Type="http://schemas.openxmlformats.org/officeDocument/2006/relationships/hyperlink" Target="http://dx.doi.org/10.3390/rs11020107" TargetMode="External"/><Relationship Id="rId44" Type="http://schemas.openxmlformats.org/officeDocument/2006/relationships/hyperlink" Target="https://link.springer.com/journal/12524" TargetMode="External"/><Relationship Id="rId52" Type="http://schemas.openxmlformats.org/officeDocument/2006/relationships/hyperlink" Target="http://dx.doi.org/10.1111/j.1468-5973.2005.00456.x" TargetMode="External"/><Relationship Id="rId60" Type="http://schemas.openxmlformats.org/officeDocument/2006/relationships/hyperlink" Target="https://doi.org/10.22108/gep.2024.142342.1659" TargetMode="External"/><Relationship Id="rId65" Type="http://schemas.openxmlformats.org/officeDocument/2006/relationships/hyperlink" Target="https://link.springer.com/journal/42452" TargetMode="External"/><Relationship Id="rId73" Type="http://schemas.openxmlformats.org/officeDocument/2006/relationships/hyperlink" Target="https://doi.org/10.22034/gmpj.2020.109536" TargetMode="External"/><Relationship Id="rId78" Type="http://schemas.openxmlformats.org/officeDocument/2006/relationships/hyperlink" Target="https://doi.org/10.1016/j.heliyon.2024.e39199"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hyperlink" Target="https://doi.org/10.22131/sepehr.2023.553000.2871" TargetMode="External"/><Relationship Id="rId34" Type="http://schemas.openxmlformats.org/officeDocument/2006/relationships/hyperlink" Target="https://doi.org/10.52547/sustainearth.1.2.43" TargetMode="External"/><Relationship Id="rId50" Type="http://schemas.openxmlformats.org/officeDocument/2006/relationships/hyperlink" Target="http://dx.doi.org/10.1007/978-3-319-54466-3_25" TargetMode="External"/><Relationship Id="rId55" Type="http://schemas.openxmlformats.org/officeDocument/2006/relationships/hyperlink" Target="https://doi.org/10.22131/sepehr.2019.36615" TargetMode="External"/><Relationship Id="rId76" Type="http://schemas.openxmlformats.org/officeDocument/2006/relationships/hyperlink" Target="https://link.springer.com/journal/12040" TargetMode="External"/><Relationship Id="rId7" Type="http://schemas.openxmlformats.org/officeDocument/2006/relationships/endnotes" Target="endnotes.xml"/><Relationship Id="rId71" Type="http://schemas.openxmlformats.org/officeDocument/2006/relationships/hyperlink" Target="https://doi.org/10.1007/s41204-020-00073-1" TargetMode="External"/><Relationship Id="rId2" Type="http://schemas.openxmlformats.org/officeDocument/2006/relationships/numbering" Target="numbering.xml"/><Relationship Id="rId29" Type="http://schemas.openxmlformats.org/officeDocument/2006/relationships/hyperlink" Target="https://ui.adsabs.harvard.edu/link_gateway/2019JAfES.16003602B/doi:10.1016/j.jafrearsci.2019.103602" TargetMode="External"/><Relationship Id="rId24" Type="http://schemas.openxmlformats.org/officeDocument/2006/relationships/hyperlink" Target="https://doi.org/10.1016/j.landusepol.2016.02.012" TargetMode="External"/><Relationship Id="rId40" Type="http://schemas.openxmlformats.org/officeDocument/2006/relationships/hyperlink" Target="https://doi.org/10.22126/ges.2020.5571.2274" TargetMode="External"/><Relationship Id="rId45" Type="http://schemas.openxmlformats.org/officeDocument/2006/relationships/hyperlink" Target="https://doi.org/10.1007/s41204-020-00073-1" TargetMode="External"/><Relationship Id="rId66" Type="http://schemas.openxmlformats.org/officeDocument/2006/relationships/hyperlink" Target="https://doi.org/10.1007/s41204-020-00073-1" TargetMode="External"/><Relationship Id="rId87" Type="http://schemas.openxmlformats.org/officeDocument/2006/relationships/theme" Target="theme/theme1.xml"/><Relationship Id="rId61" Type="http://schemas.openxmlformats.org/officeDocument/2006/relationships/hyperlink" Target="https://doi.org/10.22111/jneh.2018.21943.1317"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3068F-AD8C-4BBF-8913-C1AA924E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18</Pages>
  <Words>7466</Words>
  <Characters>42558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sjavad hosseini</dc:creator>
  <cp:keywords/>
  <dc:description/>
  <cp:lastModifiedBy>SDI 1084</cp:lastModifiedBy>
  <cp:revision>171</cp:revision>
  <dcterms:created xsi:type="dcterms:W3CDTF">2025-01-24T11:57:00Z</dcterms:created>
  <dcterms:modified xsi:type="dcterms:W3CDTF">2025-10-30T11:15:00Z</dcterms:modified>
</cp:coreProperties>
</file>