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3F284" w14:textId="77777777" w:rsidR="00A92C1B" w:rsidRPr="003C5218" w:rsidRDefault="00A92C1B" w:rsidP="00F92F67">
      <w:pPr>
        <w:pStyle w:val="NormalWeb"/>
        <w:spacing w:before="240" w:beforeAutospacing="0" w:after="0" w:afterAutospacing="0" w:line="360" w:lineRule="auto"/>
        <w:jc w:val="center"/>
        <w:rPr>
          <w:rFonts w:ascii="Arial" w:hAnsi="Arial" w:cs="Arial"/>
          <w:b/>
          <w:bCs/>
          <w:color w:val="000000"/>
          <w:sz w:val="40"/>
          <w:szCs w:val="40"/>
        </w:rPr>
      </w:pPr>
      <w:r w:rsidRPr="003C5218">
        <w:rPr>
          <w:rFonts w:ascii="Arial" w:hAnsi="Arial" w:cs="Arial"/>
          <w:b/>
          <w:bCs/>
          <w:color w:val="000000"/>
          <w:sz w:val="40"/>
          <w:szCs w:val="40"/>
        </w:rPr>
        <w:t xml:space="preserve">A Quantitative Approach to Understanding Machine Learning Adoption for </w:t>
      </w:r>
      <w:bookmarkStart w:id="0" w:name="_Hlk212198652"/>
      <w:r w:rsidRPr="003C5218">
        <w:rPr>
          <w:rFonts w:ascii="Arial" w:hAnsi="Arial" w:cs="Arial"/>
          <w:b/>
          <w:bCs/>
          <w:color w:val="000000"/>
          <w:sz w:val="40"/>
          <w:szCs w:val="40"/>
        </w:rPr>
        <w:t xml:space="preserve">Cybersecurity </w:t>
      </w:r>
      <w:bookmarkEnd w:id="0"/>
      <w:r w:rsidRPr="003C5218">
        <w:rPr>
          <w:rFonts w:ascii="Arial" w:hAnsi="Arial" w:cs="Arial"/>
          <w:b/>
          <w:bCs/>
          <w:color w:val="000000"/>
          <w:sz w:val="40"/>
          <w:szCs w:val="40"/>
        </w:rPr>
        <w:t>in E-Commerce Through the UTAUT Model</w:t>
      </w:r>
    </w:p>
    <w:p w14:paraId="5DF554AE" w14:textId="77777777" w:rsidR="00970E7C" w:rsidRDefault="00970E7C" w:rsidP="00F92F67">
      <w:pPr>
        <w:pStyle w:val="NormalWeb"/>
        <w:tabs>
          <w:tab w:val="left" w:pos="2340"/>
        </w:tabs>
        <w:spacing w:before="240" w:beforeAutospacing="0" w:after="0" w:afterAutospacing="0" w:line="360" w:lineRule="auto"/>
        <w:rPr>
          <w:rFonts w:ascii="Arial" w:hAnsi="Arial" w:cs="Arial"/>
        </w:rPr>
      </w:pPr>
    </w:p>
    <w:p w14:paraId="01447E10" w14:textId="77777777" w:rsidR="00415F45" w:rsidRPr="003C5218" w:rsidRDefault="00415F45" w:rsidP="00F92F67">
      <w:pPr>
        <w:spacing w:before="240" w:after="240" w:line="360" w:lineRule="auto"/>
        <w:rPr>
          <w:rFonts w:ascii="Arial" w:hAnsi="Arial" w:cs="Arial"/>
          <w:b/>
          <w:sz w:val="24"/>
          <w:szCs w:val="24"/>
        </w:rPr>
      </w:pPr>
      <w:r w:rsidRPr="003C5218">
        <w:rPr>
          <w:rFonts w:ascii="Arial" w:hAnsi="Arial" w:cs="Arial"/>
          <w:b/>
          <w:sz w:val="24"/>
          <w:szCs w:val="24"/>
        </w:rPr>
        <w:t>Abstract</w:t>
      </w:r>
    </w:p>
    <w:p w14:paraId="3BA4EE46" w14:textId="77777777" w:rsidR="00415F45" w:rsidRPr="003C5218" w:rsidRDefault="00415F45" w:rsidP="00474E83">
      <w:pPr>
        <w:spacing w:before="240" w:after="100" w:afterAutospacing="1" w:line="360" w:lineRule="auto"/>
        <w:jc w:val="both"/>
        <w:rPr>
          <w:rFonts w:ascii="Arial" w:eastAsia="Times New Roman" w:hAnsi="Arial" w:cs="Arial"/>
          <w:sz w:val="24"/>
          <w:szCs w:val="24"/>
        </w:rPr>
      </w:pPr>
      <w:r w:rsidRPr="003C5218">
        <w:rPr>
          <w:rFonts w:ascii="Arial" w:eastAsia="Times New Roman" w:hAnsi="Arial" w:cs="Arial"/>
          <w:sz w:val="24"/>
          <w:szCs w:val="24"/>
        </w:rPr>
        <w:t>This study quantitatively examined the adoption of machine learning (ML) for cybersecurity in e-commerce through the Unified Theory of Acceptance and Use of Technology (UTAUT) framework. Using the open-access Mendeley “UTAUT, Combining PLS-SEM and MLR” dataset and the OECD/BCG/INSEAD “Adoption of AI in Firms” dataset, Partial Least Squares Structural Equation Modeling (PLS-SEM) and Fractional Logit Regression were employed to analyze core and extended adoption determinants. Results revealed that Performance Expectancy (β = 0.38) and Effort Expectancy (β = 0.31) most strongly predicted Behavioral Intention (R² = 0.67), while Trust (AME = 0.186) and Regulatory Compliance (AME = 0.127) positively influenced adoption, and Perceived Risk (AME = –0.142) exerted a negative effect. Behavioral Intention significantly mediated actual ML usage (β = 0.64). The study recommends strengthening ML transparency, regulatory alig</w:t>
      </w:r>
      <w:r w:rsidR="00E26F44">
        <w:rPr>
          <w:rFonts w:ascii="Arial" w:eastAsia="Times New Roman" w:hAnsi="Arial" w:cs="Arial"/>
          <w:sz w:val="24"/>
          <w:szCs w:val="24"/>
        </w:rPr>
        <w:t xml:space="preserve">nment, user training, and cross </w:t>
      </w:r>
      <w:r w:rsidRPr="003C5218">
        <w:rPr>
          <w:rFonts w:ascii="Arial" w:eastAsia="Times New Roman" w:hAnsi="Arial" w:cs="Arial"/>
          <w:sz w:val="24"/>
          <w:szCs w:val="24"/>
        </w:rPr>
        <w:t>system interoperability to sustain adoption and enhance cybersecurity readiness.</w:t>
      </w:r>
    </w:p>
    <w:p w14:paraId="4155D1B1" w14:textId="68EB0355" w:rsidR="00415F45" w:rsidRDefault="00415F45" w:rsidP="00F92F67">
      <w:pPr>
        <w:spacing w:before="240" w:after="100" w:afterAutospacing="1" w:line="360" w:lineRule="auto"/>
        <w:rPr>
          <w:rFonts w:ascii="Arial" w:eastAsia="Times New Roman" w:hAnsi="Arial" w:cs="Arial"/>
          <w:sz w:val="24"/>
          <w:szCs w:val="24"/>
        </w:rPr>
      </w:pPr>
      <w:r w:rsidRPr="003C5218">
        <w:rPr>
          <w:rFonts w:ascii="Arial" w:eastAsia="Times New Roman" w:hAnsi="Arial" w:cs="Arial"/>
          <w:b/>
          <w:bCs/>
          <w:sz w:val="24"/>
          <w:szCs w:val="24"/>
        </w:rPr>
        <w:t>Keywords:</w:t>
      </w:r>
      <w:r w:rsidRPr="003C5218">
        <w:rPr>
          <w:rFonts w:ascii="Arial" w:eastAsia="Times New Roman" w:hAnsi="Arial" w:cs="Arial"/>
          <w:sz w:val="24"/>
          <w:szCs w:val="24"/>
        </w:rPr>
        <w:t xml:space="preserve"> Machine Learning Adoption, Cybersecurity, E-Commerce, UTAUT Model, Structural Equation Modeling</w:t>
      </w:r>
    </w:p>
    <w:p w14:paraId="1AEBB86F" w14:textId="600F4B05" w:rsidR="004D588B" w:rsidRDefault="004D588B" w:rsidP="00F92F67">
      <w:pPr>
        <w:spacing w:before="240" w:after="100" w:afterAutospacing="1" w:line="360" w:lineRule="auto"/>
        <w:rPr>
          <w:rFonts w:ascii="Arial" w:eastAsia="Times New Roman" w:hAnsi="Arial" w:cs="Arial"/>
          <w:sz w:val="24"/>
          <w:szCs w:val="24"/>
        </w:rPr>
      </w:pPr>
    </w:p>
    <w:p w14:paraId="45BDF0B5" w14:textId="77777777" w:rsidR="004D588B" w:rsidRPr="003C5218" w:rsidRDefault="004D588B" w:rsidP="00F92F67">
      <w:pPr>
        <w:spacing w:before="240" w:after="100" w:afterAutospacing="1" w:line="360" w:lineRule="auto"/>
        <w:rPr>
          <w:rFonts w:ascii="Arial" w:eastAsia="Times New Roman" w:hAnsi="Arial" w:cs="Arial"/>
          <w:sz w:val="24"/>
          <w:szCs w:val="24"/>
        </w:rPr>
      </w:pPr>
      <w:bookmarkStart w:id="1" w:name="_GoBack"/>
      <w:bookmarkEnd w:id="1"/>
    </w:p>
    <w:p w14:paraId="145A4593" w14:textId="77777777" w:rsidR="00A92C1B" w:rsidRPr="003C5218" w:rsidRDefault="00A92C1B" w:rsidP="00F92F67">
      <w:pPr>
        <w:spacing w:before="240" w:after="240" w:line="360" w:lineRule="auto"/>
        <w:rPr>
          <w:rFonts w:ascii="Arial" w:hAnsi="Arial" w:cs="Arial"/>
          <w:sz w:val="24"/>
          <w:szCs w:val="24"/>
        </w:rPr>
      </w:pPr>
    </w:p>
    <w:p w14:paraId="662BDCCF" w14:textId="77777777" w:rsidR="00A92C1B" w:rsidRPr="003C5218" w:rsidRDefault="003C5218" w:rsidP="00F92F67">
      <w:pPr>
        <w:pStyle w:val="NormalWeb"/>
        <w:spacing w:before="240" w:beforeAutospacing="0" w:after="0" w:afterAutospacing="0" w:line="360" w:lineRule="auto"/>
        <w:rPr>
          <w:rFonts w:ascii="Arial" w:hAnsi="Arial" w:cs="Arial"/>
        </w:rPr>
      </w:pPr>
      <w:r>
        <w:rPr>
          <w:rFonts w:ascii="Arial" w:hAnsi="Arial" w:cs="Arial"/>
          <w:b/>
          <w:bCs/>
          <w:color w:val="000000"/>
        </w:rPr>
        <w:t>1.</w:t>
      </w:r>
      <w:r>
        <w:rPr>
          <w:rFonts w:ascii="Arial" w:hAnsi="Arial" w:cs="Arial"/>
          <w:b/>
          <w:bCs/>
          <w:color w:val="000000"/>
        </w:rPr>
        <w:tab/>
      </w:r>
      <w:r w:rsidR="00A92C1B" w:rsidRPr="003C5218">
        <w:rPr>
          <w:rFonts w:ascii="Arial" w:hAnsi="Arial" w:cs="Arial"/>
          <w:b/>
          <w:bCs/>
          <w:color w:val="000000"/>
        </w:rPr>
        <w:t>Introduction</w:t>
      </w:r>
    </w:p>
    <w:p w14:paraId="3BC2EB2F"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The rapid growth of e-commerce has transformed retail and service delivery, creating massive digital marketplaces but simultaneously amplifying cybersecurity threats. As online transactions surge, malicious actors deploy increasingly sophisti</w:t>
      </w:r>
      <w:r w:rsidR="00E26F44">
        <w:rPr>
          <w:rFonts w:ascii="Arial" w:hAnsi="Arial" w:cs="Arial"/>
          <w:color w:val="000000"/>
        </w:rPr>
        <w:t xml:space="preserve">cated attacks that static, </w:t>
      </w:r>
      <w:proofErr w:type="gramStart"/>
      <w:r w:rsidR="00E26F44">
        <w:rPr>
          <w:rFonts w:ascii="Arial" w:hAnsi="Arial" w:cs="Arial"/>
          <w:color w:val="000000"/>
        </w:rPr>
        <w:t xml:space="preserve">rule </w:t>
      </w:r>
      <w:r w:rsidRPr="003C5218">
        <w:rPr>
          <w:rFonts w:ascii="Arial" w:hAnsi="Arial" w:cs="Arial"/>
          <w:color w:val="000000"/>
        </w:rPr>
        <w:t>based</w:t>
      </w:r>
      <w:proofErr w:type="gramEnd"/>
      <w:r w:rsidRPr="003C5218">
        <w:rPr>
          <w:rFonts w:ascii="Arial" w:hAnsi="Arial" w:cs="Arial"/>
          <w:color w:val="000000"/>
        </w:rPr>
        <w:t xml:space="preserve"> defenses struggle to detect. For instance, in 2025, Marks &amp; Spencer (M&amp;S), one of the United Kingdom’s largest retailers, suffered a cyberattack that forced it to suspend online order processing and resulted in an estimated £300 million in losses (around US$400 million) in disrupted operations and recovery costs (AP News, 2025). Such incidents underscore the high stakes of cybersecurity in e-commerce and point to the urgent need for more adaptive defenses.</w:t>
      </w:r>
    </w:p>
    <w:p w14:paraId="3FC538D3"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Yet, deploying advanced security tools is not enough: organizations must adopt and effectively integrate them. Building on the idea of Olaniyi (2025), who employed the</w:t>
      </w:r>
      <w:r w:rsidRPr="003C5218">
        <w:rPr>
          <w:rFonts w:ascii="Arial" w:hAnsi="Arial" w:cs="Arial"/>
          <w:color w:val="1F1F1F"/>
        </w:rPr>
        <w:t xml:space="preserve"> Unified Theory of Acceptance and Use of Technology (UTAUT)</w:t>
      </w:r>
      <w:r w:rsidRPr="003C5218">
        <w:rPr>
          <w:rFonts w:ascii="Arial" w:hAnsi="Arial" w:cs="Arial"/>
          <w:color w:val="000000"/>
        </w:rPr>
        <w:t xml:space="preserve"> framework to examine drivers of machine learning (ML) adoption for cybersecurity in e-commerce, this study pushes the boundary further by delving into methodological rigor and integrating additional determinants. Olaniyi (2025) established that Performance Expectancy, Effort Expectancy, Social Influence, and Facilitating Conditions are each significantly related to behavioral intention to adopt ML. However, gaps remain in understanding how these relationships manifest in diverse operational settings, especially under newer threats and contextual pressures.</w:t>
      </w:r>
    </w:p>
    <w:p w14:paraId="0C21CCD3"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Consider the Harrods data breach: over 430,000 customer records were exposed fol</w:t>
      </w:r>
      <w:r w:rsidR="00E26F44">
        <w:rPr>
          <w:rFonts w:ascii="Arial" w:hAnsi="Arial" w:cs="Arial"/>
          <w:color w:val="000000"/>
        </w:rPr>
        <w:t xml:space="preserve">lowing a breach through a </w:t>
      </w:r>
      <w:proofErr w:type="gramStart"/>
      <w:r w:rsidR="00E26F44">
        <w:rPr>
          <w:rFonts w:ascii="Arial" w:hAnsi="Arial" w:cs="Arial"/>
          <w:color w:val="000000"/>
        </w:rPr>
        <w:t xml:space="preserve">third </w:t>
      </w:r>
      <w:r w:rsidRPr="003C5218">
        <w:rPr>
          <w:rFonts w:ascii="Arial" w:hAnsi="Arial" w:cs="Arial"/>
          <w:color w:val="000000"/>
        </w:rPr>
        <w:t>party</w:t>
      </w:r>
      <w:proofErr w:type="gramEnd"/>
      <w:r w:rsidRPr="003C5218">
        <w:rPr>
          <w:rFonts w:ascii="Arial" w:hAnsi="Arial" w:cs="Arial"/>
          <w:color w:val="000000"/>
        </w:rPr>
        <w:t xml:space="preserve"> provider (Jennings-Trace, 2025). Although Harrods’ core systems were not directly compromised, the attack exploited supply-chain dependencies, a reminder that ecosystem vulnerabilities are real and require defenses beyond the core system perimeter. In parallel, adversaries themselves are embracing AI/ML techniques. Reports show that attackers use AI to map </w:t>
      </w:r>
      <w:r w:rsidRPr="003C5218">
        <w:rPr>
          <w:rFonts w:ascii="Arial" w:hAnsi="Arial" w:cs="Arial"/>
          <w:color w:val="000000"/>
        </w:rPr>
        <w:lastRenderedPageBreak/>
        <w:t>vulnerabilities, evolve attack strategies dynamically, and evade detection, while defenders race to leverage ML for intrusion detection and threat intelligence (Mohamed, 2025; Razzaq et al., 2025). The coevolution of defensive and offensive AI amplifies the complexity of the cybersecurity arms race.</w:t>
      </w:r>
    </w:p>
    <w:p w14:paraId="07BB69C9"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Moreover, empirical reviews highlight that although ML-based prevention has strong promise in online retail, adoption is still emergent. Razzaq et al. (2025) found that many published works focus on classification techniques (e.g., support vector machines, naive Bayes) but pay less attention to organizational adoption challenges. The authors ca</w:t>
      </w:r>
      <w:r w:rsidR="00E26F44">
        <w:rPr>
          <w:rFonts w:ascii="Arial" w:hAnsi="Arial" w:cs="Arial"/>
          <w:color w:val="000000"/>
        </w:rPr>
        <w:t xml:space="preserve">ll for more empirical, </w:t>
      </w:r>
      <w:proofErr w:type="gramStart"/>
      <w:r w:rsidR="00E26F44">
        <w:rPr>
          <w:rFonts w:ascii="Arial" w:hAnsi="Arial" w:cs="Arial"/>
          <w:color w:val="000000"/>
        </w:rPr>
        <w:t xml:space="preserve">adoption </w:t>
      </w:r>
      <w:r w:rsidRPr="003C5218">
        <w:rPr>
          <w:rFonts w:ascii="Arial" w:hAnsi="Arial" w:cs="Arial"/>
          <w:color w:val="000000"/>
        </w:rPr>
        <w:t>oriented</w:t>
      </w:r>
      <w:proofErr w:type="gramEnd"/>
      <w:r w:rsidRPr="003C5218">
        <w:rPr>
          <w:rFonts w:ascii="Arial" w:hAnsi="Arial" w:cs="Arial"/>
          <w:color w:val="000000"/>
        </w:rPr>
        <w:t xml:space="preserve"> research in real e-tailing contexts. Similarly, in a review on AI/ML in cybersecurity, Mohamed (2025) notes gaps in explainability, trust, and integration with legacy syste</w:t>
      </w:r>
      <w:r w:rsidR="00E26F44">
        <w:rPr>
          <w:rFonts w:ascii="Arial" w:hAnsi="Arial" w:cs="Arial"/>
          <w:color w:val="000000"/>
        </w:rPr>
        <w:t xml:space="preserve">ms as major constraints to real </w:t>
      </w:r>
      <w:r w:rsidRPr="003C5218">
        <w:rPr>
          <w:rFonts w:ascii="Arial" w:hAnsi="Arial" w:cs="Arial"/>
          <w:color w:val="000000"/>
        </w:rPr>
        <w:t>world deployment.</w:t>
      </w:r>
    </w:p>
    <w:p w14:paraId="3BD60129"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Statistically, the scale of the cyber threat is staggering. One report indicates that over 30,000 vulnerabilities were disclosed in a recent year, marking a 17% increase over previous periods. Organizations globally now face cybercrime costs estimated at US$8 trillion annually, with projections rising to US$24 trillion by 2027 (</w:t>
      </w:r>
      <w:proofErr w:type="spellStart"/>
      <w:r w:rsidRPr="003C5218">
        <w:rPr>
          <w:rFonts w:ascii="Arial" w:hAnsi="Arial" w:cs="Arial"/>
          <w:color w:val="000000"/>
        </w:rPr>
        <w:t>Embroker</w:t>
      </w:r>
      <w:proofErr w:type="spellEnd"/>
      <w:r w:rsidRPr="003C5218">
        <w:rPr>
          <w:rFonts w:ascii="Arial" w:hAnsi="Arial" w:cs="Arial"/>
          <w:color w:val="000000"/>
        </w:rPr>
        <w:t>, 2025). Meanwhile, Microsoft estimates 600 million cyberattacks per day (Martin, 2025). When 80% of retailers report experiencing cyberattacks within a year (</w:t>
      </w:r>
      <w:proofErr w:type="spellStart"/>
      <w:r w:rsidRPr="003C5218">
        <w:rPr>
          <w:rFonts w:ascii="Arial" w:hAnsi="Arial" w:cs="Arial"/>
          <w:color w:val="000000"/>
        </w:rPr>
        <w:t>VikingCloud</w:t>
      </w:r>
      <w:proofErr w:type="spellEnd"/>
      <w:r w:rsidRPr="003C5218">
        <w:rPr>
          <w:rFonts w:ascii="Arial" w:hAnsi="Arial" w:cs="Arial"/>
          <w:color w:val="000000"/>
        </w:rPr>
        <w:t>, 2025), it becomes clear that defensive systems must scale and adapt   tasks for which ML is uniquely suited.</w:t>
      </w:r>
    </w:p>
    <w:p w14:paraId="1BF76421"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From an industry application perspective, e-commerce platforms are particularly vulnerable: approximately 75% of fraud and data theft incidents involve e-commerce sites (Jain, 2022). Also, 91% of e-commerce merchants express concern about AI-powered fraud in the next 12 months (RSI Security, 2025). Security professionals themselves show strong adoption intent: 61% plan to implement AI/ML in their cybersecurity operations within the next year, while 93% expect daily AI-based attacks by 2025 (Fox, 2024). Such elevated perceptions of risk and defense potential underscore the relevance of theoretical models like UTAUT to explain organizational adoption behavior.</w:t>
      </w:r>
    </w:p>
    <w:p w14:paraId="7CC8FE7B"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lastRenderedPageBreak/>
        <w:t>In the developing-economy context, the need is even more acute. Nigeria’s expanding digital economy faces a confluence of weak policy, infrastructure deficits, and limited cybersecurity investment. Studies in Nigeria’s e-commerce sector document repeated breaches tied to poor access controls, weak third-party oversight, and underprepared security architectures (</w:t>
      </w:r>
      <w:proofErr w:type="spellStart"/>
      <w:r w:rsidRPr="003C5218">
        <w:rPr>
          <w:rFonts w:ascii="Arial" w:hAnsi="Arial" w:cs="Arial"/>
          <w:color w:val="000000"/>
        </w:rPr>
        <w:t>Oyaka</w:t>
      </w:r>
      <w:proofErr w:type="spellEnd"/>
      <w:r w:rsidRPr="003C5218">
        <w:rPr>
          <w:rFonts w:ascii="Arial" w:hAnsi="Arial" w:cs="Arial"/>
          <w:color w:val="000000"/>
        </w:rPr>
        <w:t>, 2024). These vulnerabilities heighten the urgency for organizations to adopt ML-based defenses   especially when resources are constrained and threat vectors diverse. In regions where baseline security is fragile, exploring how contextual and organizational factors shape ML adoption is critical.</w:t>
      </w:r>
    </w:p>
    <w:p w14:paraId="45D7B33D"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This research, therefore, is motivated by both empirical urgency and theoretical continuity. Guided by the UTAUT framework, the aim is to quantitatively examine the factors influencing the adoption and effective implementation of machine learning technologies for cybersecurity in e-commerce platforms through the Unified Theory of Acceptance and Use of Technology (UTAUT) framework, with emphasis on methodological rigor, empirical validation, and model enhancement, by achieving the following objectives:</w:t>
      </w:r>
    </w:p>
    <w:p w14:paraId="7F03FD0E" w14:textId="77777777" w:rsidR="00A92C1B" w:rsidRPr="003C5218" w:rsidRDefault="00A92C1B" w:rsidP="00474E83">
      <w:pPr>
        <w:pStyle w:val="NormalWeb"/>
        <w:numPr>
          <w:ilvl w:val="0"/>
          <w:numId w:val="10"/>
        </w:numPr>
        <w:spacing w:before="240" w:beforeAutospacing="0" w:after="0" w:afterAutospacing="0" w:line="360" w:lineRule="auto"/>
        <w:jc w:val="both"/>
        <w:textAlignment w:val="baseline"/>
        <w:rPr>
          <w:rFonts w:ascii="Arial" w:hAnsi="Arial" w:cs="Arial"/>
          <w:color w:val="000000"/>
        </w:rPr>
      </w:pPr>
      <w:r w:rsidRPr="003C5218">
        <w:rPr>
          <w:rFonts w:ascii="Arial" w:hAnsi="Arial" w:cs="Arial"/>
          <w:color w:val="000000"/>
        </w:rPr>
        <w:t>Evaluates the relationship between core UTAUT constructs Performance Expectancy, Effort Expectancy, Social Influence, and Facilitating Conditions and behavioral intention to adopt machine learning for cybersecurity in e-commerce systems.</w:t>
      </w:r>
    </w:p>
    <w:p w14:paraId="570FF061" w14:textId="77777777" w:rsidR="00A92C1B" w:rsidRPr="003C5218" w:rsidRDefault="00A92C1B" w:rsidP="00474E83">
      <w:pPr>
        <w:pStyle w:val="NormalWeb"/>
        <w:numPr>
          <w:ilvl w:val="0"/>
          <w:numId w:val="10"/>
        </w:numPr>
        <w:spacing w:before="240" w:beforeAutospacing="0" w:after="0" w:afterAutospacing="0" w:line="360" w:lineRule="auto"/>
        <w:jc w:val="both"/>
        <w:textAlignment w:val="baseline"/>
        <w:rPr>
          <w:rFonts w:ascii="Arial" w:hAnsi="Arial" w:cs="Arial"/>
          <w:color w:val="000000"/>
        </w:rPr>
      </w:pPr>
      <w:r w:rsidRPr="003C5218">
        <w:rPr>
          <w:rFonts w:ascii="Arial" w:hAnsi="Arial" w:cs="Arial"/>
          <w:color w:val="000000"/>
        </w:rPr>
        <w:t>Extends the UTAUT framework by integrating additional technical and organizational determinants such as perceived risk, trust in ML systems, and regulatory compliance pressure, assessing their influence on adoption behavior.</w:t>
      </w:r>
    </w:p>
    <w:p w14:paraId="1985A177" w14:textId="77777777" w:rsidR="00A92C1B" w:rsidRPr="003C5218" w:rsidRDefault="00A92C1B" w:rsidP="00474E83">
      <w:pPr>
        <w:pStyle w:val="NormalWeb"/>
        <w:numPr>
          <w:ilvl w:val="0"/>
          <w:numId w:val="10"/>
        </w:numPr>
        <w:spacing w:before="240" w:beforeAutospacing="0" w:after="0" w:afterAutospacing="0" w:line="360" w:lineRule="auto"/>
        <w:jc w:val="both"/>
        <w:textAlignment w:val="baseline"/>
        <w:rPr>
          <w:rFonts w:ascii="Arial" w:hAnsi="Arial" w:cs="Arial"/>
          <w:color w:val="000000"/>
        </w:rPr>
      </w:pPr>
      <w:r w:rsidRPr="003C5218">
        <w:rPr>
          <w:rFonts w:ascii="Arial" w:hAnsi="Arial" w:cs="Arial"/>
          <w:color w:val="000000"/>
        </w:rPr>
        <w:t>Analyzes the mediating effect of behavioral intention on the relationship between the UTAUT constructs and actual usage of machine learning cybersecurity solutions in e-commerce firms.</w:t>
      </w:r>
    </w:p>
    <w:p w14:paraId="36901F1C" w14:textId="77777777" w:rsidR="00A92C1B" w:rsidRPr="003C5218" w:rsidRDefault="00A92C1B" w:rsidP="00474E83">
      <w:pPr>
        <w:pStyle w:val="NormalWeb"/>
        <w:numPr>
          <w:ilvl w:val="0"/>
          <w:numId w:val="10"/>
        </w:numPr>
        <w:spacing w:before="240" w:beforeAutospacing="0" w:after="240" w:afterAutospacing="0" w:line="360" w:lineRule="auto"/>
        <w:jc w:val="both"/>
        <w:textAlignment w:val="baseline"/>
        <w:rPr>
          <w:rFonts w:ascii="Arial" w:hAnsi="Arial" w:cs="Arial"/>
          <w:color w:val="000000"/>
        </w:rPr>
      </w:pPr>
      <w:r w:rsidRPr="003C5218">
        <w:rPr>
          <w:rFonts w:ascii="Arial" w:hAnsi="Arial" w:cs="Arial"/>
          <w:color w:val="000000"/>
        </w:rPr>
        <w:lastRenderedPageBreak/>
        <w:t>Provides empirical insights and methodological guidance for e-commerce firms and cybersecurity practitioners on enhancing ML adoption readiness, implementation efficiency, and governance alignment.</w:t>
      </w:r>
    </w:p>
    <w:p w14:paraId="52063695" w14:textId="77777777" w:rsidR="00A92C1B" w:rsidRPr="003C5218" w:rsidRDefault="00A92C1B" w:rsidP="00474E83">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In executing this study, modern quantitative techniques such as Partial Least Squares Structural Equation Modeling (PLS-SEM) or Covariance</w:t>
      </w:r>
      <w:r w:rsidR="00F92F67">
        <w:rPr>
          <w:rFonts w:ascii="Arial" w:hAnsi="Arial" w:cs="Arial"/>
          <w:color w:val="000000"/>
        </w:rPr>
        <w:t xml:space="preserve"> </w:t>
      </w:r>
      <w:r w:rsidRPr="003C5218">
        <w:rPr>
          <w:rFonts w:ascii="Arial" w:hAnsi="Arial" w:cs="Arial"/>
          <w:color w:val="000000"/>
        </w:rPr>
        <w:t>Based SEM will be applied to test hypotheses and validate measurement instruments. Reliability and validity will be assessed through Cronbach’s alpha, Composite Reliability, Average Vari</w:t>
      </w:r>
      <w:r w:rsidR="00F92F67">
        <w:rPr>
          <w:rFonts w:ascii="Arial" w:hAnsi="Arial" w:cs="Arial"/>
          <w:color w:val="000000"/>
        </w:rPr>
        <w:t xml:space="preserve">ance Extracted, and </w:t>
      </w:r>
      <w:proofErr w:type="spellStart"/>
      <w:r w:rsidR="00F92F67">
        <w:rPr>
          <w:rFonts w:ascii="Arial" w:hAnsi="Arial" w:cs="Arial"/>
          <w:color w:val="000000"/>
        </w:rPr>
        <w:t>Heterotrait</w:t>
      </w:r>
      <w:proofErr w:type="spellEnd"/>
      <w:r w:rsidR="00F92F67">
        <w:rPr>
          <w:rFonts w:ascii="Arial" w:hAnsi="Arial" w:cs="Arial"/>
          <w:color w:val="000000"/>
        </w:rPr>
        <w:t xml:space="preserve"> </w:t>
      </w:r>
      <w:proofErr w:type="spellStart"/>
      <w:r w:rsidRPr="003C5218">
        <w:rPr>
          <w:rFonts w:ascii="Arial" w:hAnsi="Arial" w:cs="Arial"/>
          <w:color w:val="000000"/>
        </w:rPr>
        <w:t>Monotrait</w:t>
      </w:r>
      <w:proofErr w:type="spellEnd"/>
      <w:r w:rsidRPr="003C5218">
        <w:rPr>
          <w:rFonts w:ascii="Arial" w:hAnsi="Arial" w:cs="Arial"/>
          <w:color w:val="000000"/>
        </w:rPr>
        <w:t xml:space="preserve"> ratio. The methodological precision will set this work apart from prior adoption studies, aligning it with the technical orientation of Olaniyi (2025) while advancing it with enhanced empirical and modeling depth.</w:t>
      </w:r>
    </w:p>
    <w:p w14:paraId="5368E1EC" w14:textId="77777777" w:rsidR="00A92C1B" w:rsidRPr="003C5218" w:rsidRDefault="003C5218" w:rsidP="00F92F67">
      <w:pPr>
        <w:pStyle w:val="Heading1"/>
        <w:spacing w:before="240" w:after="120" w:line="360" w:lineRule="auto"/>
        <w:jc w:val="both"/>
        <w:rPr>
          <w:rFonts w:ascii="Arial" w:hAnsi="Arial" w:cs="Arial"/>
          <w:szCs w:val="24"/>
        </w:rPr>
      </w:pPr>
      <w:r>
        <w:rPr>
          <w:rFonts w:ascii="Arial" w:hAnsi="Arial" w:cs="Arial"/>
          <w:color w:val="000000"/>
          <w:szCs w:val="24"/>
        </w:rPr>
        <w:t>2.</w:t>
      </w:r>
      <w:r>
        <w:rPr>
          <w:rFonts w:ascii="Arial" w:hAnsi="Arial" w:cs="Arial"/>
          <w:color w:val="000000"/>
          <w:szCs w:val="24"/>
        </w:rPr>
        <w:tab/>
      </w:r>
      <w:r w:rsidR="00A92C1B" w:rsidRPr="003C5218">
        <w:rPr>
          <w:rFonts w:ascii="Arial" w:hAnsi="Arial" w:cs="Arial"/>
          <w:color w:val="000000"/>
          <w:szCs w:val="24"/>
        </w:rPr>
        <w:t>Literature Review</w:t>
      </w:r>
    </w:p>
    <w:p w14:paraId="79AFF4DF"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The Unified Theory of Acceptance and Use of Technology (UTAUT) developed by Venkatesh et al. (2003) integrates eight earlier models of technology adoption, providing a comprehensive quantitative framework that predicts user behavioral intention and actual system use. It identifies four principal constructs Performance Expectancy, Effort Expectancy, Social Influence, and Facilitating Conditions that collectively explain technology acceptance, moderated by factors such as age, gender, experience, and voluntariness. The model’s parsimonious structure and statistical robustness make it particularly suited to quantitative validation through structural equation modeling (SEM).</w:t>
      </w:r>
    </w:p>
    <w:p w14:paraId="6E51FC8E"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Building on this foundation, empirical validation of the UTAUT’s predictive power in the context of machine-learning (ML) adoption for cybersecurity within e-commerce systems through regression analysis, demonstrates that all four constructs significantly predicted behavioral intention to adopt ML-based security tools, emphasizing UTAUT’s continued applicability to complex, technology-intensive domains (Olaniyi, 2025). However, contextual variations such as infrastructural limitations and post-adoption fatigue may moderate these relationships (Olaniyi, 2025).</w:t>
      </w:r>
    </w:p>
    <w:p w14:paraId="5A52C301"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lastRenderedPageBreak/>
        <w:t>Recent research extends UTAUT to contemporary AI and cybersecurity applications</w:t>
      </w:r>
      <w:r w:rsidRPr="003C5218">
        <w:rPr>
          <w:rFonts w:ascii="Arial" w:hAnsi="Arial" w:cs="Arial"/>
          <w:color w:val="000000"/>
        </w:rPr>
        <w:t>. Lai et al. (2024) argue that while Performance Expectancy and Effort Expectancy remain significant predictors of adoption intention, the explanatory power of an adapted UTAUT model increases when constructs such as algorithmic trust and perceived risk are incorporated.</w:t>
      </w:r>
      <w:r w:rsidRPr="003C5218">
        <w:rPr>
          <w:rFonts w:ascii="Arial" w:hAnsi="Arial" w:cs="Arial"/>
          <w:color w:val="1F1F1F"/>
        </w:rPr>
        <w:t xml:space="preserve"> Similarly, Lee et al. (2023) found that Effort Expectancy’s influence is mediated by users’ confidence in AI systems’ transparency. Shafi et al. (2024)</w:t>
      </w:r>
      <w:r w:rsidRPr="003C5218">
        <w:rPr>
          <w:rFonts w:ascii="Arial" w:hAnsi="Arial" w:cs="Arial"/>
          <w:color w:val="000000"/>
        </w:rPr>
        <w:t xml:space="preserve"> further emphasize that integrating ethical and organizational factors enhances predictive accura</w:t>
      </w:r>
      <w:r w:rsidRPr="003C5218">
        <w:rPr>
          <w:rFonts w:ascii="Arial" w:hAnsi="Arial" w:cs="Arial"/>
          <w:color w:val="1F1F1F"/>
        </w:rPr>
        <w:t>cy in AI adoption. These findings indicate both the consensus and evolution that UTAUT’s foundational constructs remain robust, yet its modern adaptations reflect the growing need to account for trust, risk, and compliance dynamics in ML-driven cybersecurity research dimensions ideally testable through SEM and mediation analyses.</w:t>
      </w:r>
    </w:p>
    <w:p w14:paraId="340FDB1A" w14:textId="77777777" w:rsidR="00A92C1B" w:rsidRPr="003C5218" w:rsidRDefault="00A92C1B" w:rsidP="00F92F67">
      <w:pPr>
        <w:pStyle w:val="Heading3"/>
        <w:spacing w:before="240" w:after="80" w:line="360" w:lineRule="auto"/>
        <w:jc w:val="both"/>
        <w:rPr>
          <w:rFonts w:ascii="Arial" w:hAnsi="Arial" w:cs="Arial"/>
          <w:sz w:val="24"/>
          <w:szCs w:val="24"/>
        </w:rPr>
      </w:pPr>
      <w:r w:rsidRPr="003C5218">
        <w:rPr>
          <w:rFonts w:ascii="Arial" w:hAnsi="Arial" w:cs="Arial"/>
          <w:color w:val="1F1F1F"/>
          <w:sz w:val="24"/>
          <w:szCs w:val="24"/>
        </w:rPr>
        <w:t>Extending UTAUT with Emerging Determinants</w:t>
      </w:r>
    </w:p>
    <w:p w14:paraId="5F5530D6"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 xml:space="preserve">While UTAUT offers a parsimonious base for predicting behavioral intention, extending it with perceived risk, trust in ML systems, and regulatory compliance pressure better reflects contemporary AI-security contexts (Kolo et al., 2025; Olaniyi, 2025). According to </w:t>
      </w:r>
      <w:proofErr w:type="spellStart"/>
      <w:r w:rsidRPr="003C5218">
        <w:rPr>
          <w:rFonts w:ascii="Arial" w:hAnsi="Arial" w:cs="Arial"/>
          <w:color w:val="1F1F1F"/>
        </w:rPr>
        <w:t>Glikson</w:t>
      </w:r>
      <w:proofErr w:type="spellEnd"/>
      <w:r w:rsidRPr="003C5218">
        <w:rPr>
          <w:rFonts w:ascii="Arial" w:hAnsi="Arial" w:cs="Arial"/>
          <w:color w:val="1F1F1F"/>
        </w:rPr>
        <w:t xml:space="preserve"> and Woolley (2020), trust in AI is shaped by users’ assessment of capability, benevolence, and integrity; in agreement, studies show that without calibrated trust, high performance expectancy may not convert into intention or actual use, especially where opaque models raise concerns about fairness or bias.</w:t>
      </w:r>
      <w:hyperlink r:id="rId8" w:history="1">
        <w:r w:rsidRPr="003C5218">
          <w:rPr>
            <w:rStyle w:val="Hyperlink"/>
            <w:rFonts w:ascii="Arial" w:hAnsi="Arial" w:cs="Arial"/>
            <w:color w:val="1F1F1F"/>
          </w:rPr>
          <w:t xml:space="preserve"> </w:t>
        </w:r>
      </w:hyperlink>
      <w:r w:rsidRPr="003C5218">
        <w:rPr>
          <w:rFonts w:ascii="Arial" w:hAnsi="Arial" w:cs="Arial"/>
          <w:color w:val="1F1F1F"/>
        </w:rPr>
        <w:t>Explainability is therefore not merely a technical desideratum but a socio-technical lever for acceptance, as Hoffman et al. (2023) contend that role-appropriate explanations can raise warranted trust while avoiding over-reliance, underscoring the need to treat trust as either a mediator or moderator in adoption models.</w:t>
      </w:r>
      <w:hyperlink r:id="rId9" w:history="1">
        <w:r w:rsidRPr="003C5218">
          <w:rPr>
            <w:rStyle w:val="Hyperlink"/>
            <w:rFonts w:ascii="Arial" w:hAnsi="Arial" w:cs="Arial"/>
            <w:color w:val="1F1F1F"/>
          </w:rPr>
          <w:t> </w:t>
        </w:r>
      </w:hyperlink>
    </w:p>
    <w:p w14:paraId="623F6B04"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 xml:space="preserve">Perceived risk warrants symmetrical treatment. Lai et al. (2024) integrate trust and perceived risk into an adapted UTAUT and report that risk exerts a significant negative effect on intention even when expectancy beliefs are favorable; critically, trust and risk interact, suggesting moderating or mediating roles that quantitative </w:t>
      </w:r>
      <w:r w:rsidRPr="003C5218">
        <w:rPr>
          <w:rFonts w:ascii="Arial" w:hAnsi="Arial" w:cs="Arial"/>
          <w:color w:val="1F1F1F"/>
        </w:rPr>
        <w:lastRenderedPageBreak/>
        <w:t>models should test explicitly.</w:t>
      </w:r>
      <w:hyperlink r:id="rId10" w:history="1">
        <w:r w:rsidRPr="003C5218">
          <w:rPr>
            <w:rStyle w:val="Hyperlink"/>
            <w:rFonts w:ascii="Arial" w:hAnsi="Arial" w:cs="Arial"/>
            <w:color w:val="1F1F1F"/>
          </w:rPr>
          <w:t xml:space="preserve"> </w:t>
        </w:r>
      </w:hyperlink>
      <w:r w:rsidRPr="003C5218">
        <w:rPr>
          <w:rFonts w:ascii="Arial" w:hAnsi="Arial" w:cs="Arial"/>
          <w:color w:val="1F1F1F"/>
        </w:rPr>
        <w:t>This is directly relevant to ML-based cybersecurity in e-commerce, where data misuse, model drift, and vendor opacity can elevate risk perceptions (Kolo, 2025; Olutimehin et al., 2025). Consistent with this orientation, Olaniyi (2025) noted post-adoption fatigue and dependence on third-party providers; by embedding trust and risk mitigation into the framework, the present study addresses those frictions within a formal structural model.</w:t>
      </w:r>
    </w:p>
    <w:p w14:paraId="35F95A29"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A further determinant is regulatory compliance pressure. Empiric</w:t>
      </w:r>
      <w:r w:rsidR="00F92F67">
        <w:rPr>
          <w:rFonts w:ascii="Arial" w:hAnsi="Arial" w:cs="Arial"/>
          <w:color w:val="1F1F1F"/>
        </w:rPr>
        <w:t xml:space="preserve">al evidence indicates that GDPR </w:t>
      </w:r>
      <w:r w:rsidRPr="003C5218">
        <w:rPr>
          <w:rFonts w:ascii="Arial" w:hAnsi="Arial" w:cs="Arial"/>
          <w:color w:val="1F1F1F"/>
        </w:rPr>
        <w:t>driven mandates shape organizational technology choices by constraining data practices and incentivizing privacy-preserving analytics; recent work shows measurable impacts of GDPR on digital operations and tracking infrastructures, implying institutional pressure that can operate as an antecedent to intention. Miller et al. (2025) provides causal evidence that GDPR materially changes firms’ tracking behavior, while Smirnova and Travieso-Morales (2025) document compliance burdens that reconfigure startups’ adoption calculus.</w:t>
      </w:r>
      <w:hyperlink r:id="rId11" w:history="1">
        <w:r w:rsidRPr="003C5218">
          <w:rPr>
            <w:rStyle w:val="Hyperlink"/>
            <w:rFonts w:ascii="Arial" w:hAnsi="Arial" w:cs="Arial"/>
            <w:color w:val="1F1F1F"/>
          </w:rPr>
          <w:t xml:space="preserve"> </w:t>
        </w:r>
      </w:hyperlink>
      <w:r w:rsidRPr="003C5218">
        <w:rPr>
          <w:rFonts w:ascii="Arial" w:hAnsi="Arial" w:cs="Arial"/>
          <w:color w:val="1F1F1F"/>
        </w:rPr>
        <w:t>In the e-commerc</w:t>
      </w:r>
      <w:r w:rsidR="00F92F67">
        <w:rPr>
          <w:rFonts w:ascii="Arial" w:hAnsi="Arial" w:cs="Arial"/>
          <w:color w:val="1F1F1F"/>
        </w:rPr>
        <w:t xml:space="preserve">e domain, strengthened personal </w:t>
      </w:r>
      <w:r w:rsidRPr="003C5218">
        <w:rPr>
          <w:rFonts w:ascii="Arial" w:hAnsi="Arial" w:cs="Arial"/>
          <w:color w:val="1F1F1F"/>
        </w:rPr>
        <w:t>data regimes are associated with shifts in consumer and firm behavior, reinforcing compliance as a salient adoption driver (Morić et al., 2024).</w:t>
      </w:r>
    </w:p>
    <w:p w14:paraId="3A04AB57" w14:textId="77777777" w:rsidR="00A92C1B" w:rsidRPr="003C5218" w:rsidRDefault="00A92C1B" w:rsidP="00F92F67">
      <w:pPr>
        <w:pStyle w:val="Heading3"/>
        <w:spacing w:before="240" w:after="80" w:line="360" w:lineRule="auto"/>
        <w:jc w:val="both"/>
        <w:rPr>
          <w:rFonts w:ascii="Arial" w:hAnsi="Arial" w:cs="Arial"/>
          <w:sz w:val="24"/>
          <w:szCs w:val="24"/>
        </w:rPr>
      </w:pPr>
      <w:r w:rsidRPr="003C5218">
        <w:rPr>
          <w:rFonts w:ascii="Arial" w:hAnsi="Arial" w:cs="Arial"/>
          <w:color w:val="000000"/>
          <w:sz w:val="24"/>
          <w:szCs w:val="24"/>
        </w:rPr>
        <w:t>Comparative Analysis of Adoption Theories </w:t>
      </w:r>
    </w:p>
    <w:p w14:paraId="602DF747"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 xml:space="preserve">Across technology adoption research, four families of theories dominate: the Technology Acceptance Model (TAM), the Unified Theory of Acceptance and Use of Technology (UTAUT), the Technology Organization Environment (TOE) framework, and the Diffusion of Innovation (DOI) theory. TAM provides a parsimonious, attitudinal core perceived usefulness and ease of use but its individual focus can understate social and organizational contingencies that matter for enterprise cybersecurity deployment (Ramírez-Gutiérrez et al., 2023; </w:t>
      </w:r>
      <w:proofErr w:type="spellStart"/>
      <w:r w:rsidRPr="003C5218">
        <w:rPr>
          <w:rFonts w:ascii="Arial" w:hAnsi="Arial" w:cs="Arial"/>
          <w:color w:val="000000"/>
        </w:rPr>
        <w:t>Udechukwu</w:t>
      </w:r>
      <w:proofErr w:type="spellEnd"/>
      <w:r w:rsidRPr="003C5218">
        <w:rPr>
          <w:rFonts w:ascii="Arial" w:hAnsi="Arial" w:cs="Arial"/>
          <w:color w:val="000000"/>
        </w:rPr>
        <w:t xml:space="preserve">, 2025a; </w:t>
      </w:r>
      <w:proofErr w:type="spellStart"/>
      <w:r w:rsidRPr="003C5218">
        <w:rPr>
          <w:rFonts w:ascii="Arial" w:hAnsi="Arial" w:cs="Arial"/>
          <w:color w:val="000000"/>
        </w:rPr>
        <w:t>Madanchian</w:t>
      </w:r>
      <w:proofErr w:type="spellEnd"/>
      <w:r w:rsidRPr="003C5218">
        <w:rPr>
          <w:rFonts w:ascii="Arial" w:hAnsi="Arial" w:cs="Arial"/>
          <w:color w:val="000000"/>
        </w:rPr>
        <w:t xml:space="preserve"> &amp; </w:t>
      </w:r>
      <w:proofErr w:type="spellStart"/>
      <w:r w:rsidRPr="003C5218">
        <w:rPr>
          <w:rFonts w:ascii="Arial" w:hAnsi="Arial" w:cs="Arial"/>
          <w:color w:val="000000"/>
        </w:rPr>
        <w:t>Taherdoost</w:t>
      </w:r>
      <w:proofErr w:type="spellEnd"/>
      <w:r w:rsidRPr="003C5218">
        <w:rPr>
          <w:rFonts w:ascii="Arial" w:hAnsi="Arial" w:cs="Arial"/>
          <w:color w:val="000000"/>
        </w:rPr>
        <w:t xml:space="preserve">, 2025). According to meta-UTAUT evidence, synthesizing predictors across models yields stronger explanatory power for intention and use than TAM alone, particularly when studies model social influence and enabling conditions alongside performance beliefs (Dwivedi et al., </w:t>
      </w:r>
      <w:r w:rsidRPr="003C5218">
        <w:rPr>
          <w:rFonts w:ascii="Arial" w:hAnsi="Arial" w:cs="Arial"/>
          <w:color w:val="000000"/>
        </w:rPr>
        <w:lastRenderedPageBreak/>
        <w:t>2020). Likewise, a recent meta-analysis of technology acceptance confirms that multidimensiona</w:t>
      </w:r>
      <w:r w:rsidR="00F92F67">
        <w:rPr>
          <w:rFonts w:ascii="Arial" w:hAnsi="Arial" w:cs="Arial"/>
          <w:color w:val="000000"/>
        </w:rPr>
        <w:t xml:space="preserve">l models outperform narrow, two </w:t>
      </w:r>
      <w:r w:rsidRPr="003C5218">
        <w:rPr>
          <w:rFonts w:ascii="Arial" w:hAnsi="Arial" w:cs="Arial"/>
          <w:color w:val="000000"/>
        </w:rPr>
        <w:t>factor formulations, and recommends incorporating governance, risk, and environmental pressures when the context is organizational rather than purely consumer (</w:t>
      </w:r>
      <w:proofErr w:type="spellStart"/>
      <w:r w:rsidRPr="003C5218">
        <w:rPr>
          <w:rFonts w:ascii="Arial" w:hAnsi="Arial" w:cs="Arial"/>
          <w:color w:val="000000"/>
        </w:rPr>
        <w:t>Marikyan</w:t>
      </w:r>
      <w:proofErr w:type="spellEnd"/>
      <w:r w:rsidRPr="003C5218">
        <w:rPr>
          <w:rFonts w:ascii="Arial" w:hAnsi="Arial" w:cs="Arial"/>
          <w:color w:val="000000"/>
        </w:rPr>
        <w:t xml:space="preserve"> et al., 2023).</w:t>
      </w:r>
    </w:p>
    <w:p w14:paraId="5E74545B" w14:textId="77777777" w:rsidR="00A92C1B" w:rsidRPr="008451DB" w:rsidRDefault="00A92C1B" w:rsidP="00F92F67">
      <w:pPr>
        <w:pStyle w:val="NormalWeb"/>
        <w:spacing w:before="240" w:beforeAutospacing="0" w:after="240" w:afterAutospacing="0" w:line="360" w:lineRule="auto"/>
        <w:jc w:val="both"/>
        <w:rPr>
          <w:rFonts w:ascii="Arial" w:hAnsi="Arial" w:cs="Arial"/>
        </w:rPr>
      </w:pPr>
      <w:r w:rsidRPr="008451DB">
        <w:rPr>
          <w:rFonts w:ascii="Arial" w:hAnsi="Arial" w:cs="Arial"/>
          <w:color w:val="000000"/>
        </w:rPr>
        <w:t xml:space="preserve">By contrast, the </w:t>
      </w:r>
      <w:r w:rsidRPr="008451DB">
        <w:rPr>
          <w:rFonts w:ascii="Arial" w:hAnsi="Arial" w:cs="Arial"/>
          <w:bCs/>
          <w:color w:val="000000"/>
        </w:rPr>
        <w:t>Technology Organization Environment (TOE) framework</w:t>
      </w:r>
      <w:r w:rsidRPr="008451DB">
        <w:rPr>
          <w:rFonts w:ascii="Arial" w:hAnsi="Arial" w:cs="Arial"/>
          <w:color w:val="000000"/>
        </w:rPr>
        <w:t xml:space="preserve"> and the </w:t>
      </w:r>
      <w:r w:rsidRPr="008451DB">
        <w:rPr>
          <w:rFonts w:ascii="Arial" w:hAnsi="Arial" w:cs="Arial"/>
          <w:bCs/>
          <w:color w:val="000000"/>
        </w:rPr>
        <w:t>Diffusion of Innovation (DOI) theory</w:t>
      </w:r>
      <w:r w:rsidRPr="008451DB">
        <w:rPr>
          <w:rFonts w:ascii="Arial" w:hAnsi="Arial" w:cs="Arial"/>
          <w:color w:val="000000"/>
        </w:rPr>
        <w:t xml:space="preserve"> emphasize broader contextual factors. The TOE framework focuses on </w:t>
      </w:r>
      <w:r w:rsidR="00F92F67" w:rsidRPr="008451DB">
        <w:rPr>
          <w:rFonts w:ascii="Arial" w:hAnsi="Arial" w:cs="Arial"/>
          <w:i/>
          <w:iCs/>
          <w:color w:val="000000"/>
        </w:rPr>
        <w:t>meso</w:t>
      </w:r>
      <w:r w:rsidRPr="008451DB">
        <w:rPr>
          <w:rFonts w:ascii="Arial" w:hAnsi="Arial" w:cs="Arial"/>
          <w:i/>
          <w:iCs/>
          <w:color w:val="000000"/>
        </w:rPr>
        <w:t xml:space="preserve"> and macro-level contingencies</w:t>
      </w:r>
      <w:r w:rsidRPr="008451DB">
        <w:rPr>
          <w:rFonts w:ascii="Arial" w:hAnsi="Arial" w:cs="Arial"/>
          <w:color w:val="000000"/>
        </w:rPr>
        <w:t xml:space="preserve"> such as technology characteristics, organizational resources, and external environmental or regulatory pressures, while the DOI theory examines </w:t>
      </w:r>
      <w:r w:rsidRPr="008451DB">
        <w:rPr>
          <w:rFonts w:ascii="Arial" w:hAnsi="Arial" w:cs="Arial"/>
          <w:i/>
          <w:iCs/>
          <w:color w:val="000000"/>
        </w:rPr>
        <w:t>innovation attributes</w:t>
      </w:r>
      <w:r w:rsidRPr="008451DB">
        <w:rPr>
          <w:rFonts w:ascii="Arial" w:hAnsi="Arial" w:cs="Arial"/>
          <w:color w:val="000000"/>
        </w:rPr>
        <w:t xml:space="preserve"> and </w:t>
      </w:r>
      <w:r w:rsidRPr="008451DB">
        <w:rPr>
          <w:rFonts w:ascii="Arial" w:hAnsi="Arial" w:cs="Arial"/>
          <w:i/>
          <w:iCs/>
          <w:color w:val="000000"/>
        </w:rPr>
        <w:t>diffusion dynamics</w:t>
      </w:r>
      <w:r w:rsidRPr="008451DB">
        <w:rPr>
          <w:rFonts w:ascii="Arial" w:hAnsi="Arial" w:cs="Arial"/>
          <w:color w:val="000000"/>
        </w:rPr>
        <w:t xml:space="preserve"> that influence how new technologies spread within and across organizations (Samy et al., 2024; </w:t>
      </w:r>
      <w:proofErr w:type="spellStart"/>
      <w:r w:rsidRPr="008451DB">
        <w:rPr>
          <w:rFonts w:ascii="Arial" w:hAnsi="Arial" w:cs="Arial"/>
          <w:color w:val="000000"/>
        </w:rPr>
        <w:t>Gangwar</w:t>
      </w:r>
      <w:proofErr w:type="spellEnd"/>
      <w:r w:rsidRPr="008451DB">
        <w:rPr>
          <w:rFonts w:ascii="Arial" w:hAnsi="Arial" w:cs="Arial"/>
          <w:color w:val="000000"/>
        </w:rPr>
        <w:t xml:space="preserve"> et al., 2015). In agreement, empirical work integrating TOE with DOI shows that environmental constraints and regulatory exposure are significant, independent levers of adoption beyond individual perceptions, a pattern highly relevant to e-commerce security where compliance and partner risk shape decisions (Faiz et al., 2024). Complementarily, integrative studies that combine UTAUT with TOE demonstrate that merging user-level intention drivers with organizational and environmental readiness yields superior model fit and richer managerial implications precisely the balance needed for ML-based cybersecurity adoption (Bouteraa, 2024; Udechukwu, 2025b).</w:t>
      </w:r>
    </w:p>
    <w:p w14:paraId="2FD500AD"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000000"/>
        </w:rPr>
        <w:t xml:space="preserve">This paper thus selects UTAUT as the principal lens, but recognizes that while organizational cybersecurity decisions are socio-technical, UTAUT’s constructs map cleanly to intention formation while TOE/DOI variables operate as contextual antecedents or moderators (Olaniyi, 2025). In agreement with this selection logic, sectoral studies report that UTAUT’s multidimensional structure performance expectancy, effort expectancy, social influence, and facilitating conditions delivers stronger predictive validity for behavioral intention than TAM in applied technological settings (Bulu, </w:t>
      </w:r>
      <w:proofErr w:type="gramStart"/>
      <w:r w:rsidRPr="003C5218">
        <w:rPr>
          <w:rFonts w:ascii="Arial" w:hAnsi="Arial" w:cs="Arial"/>
          <w:color w:val="000000"/>
        </w:rPr>
        <w:t>2021;Rahi</w:t>
      </w:r>
      <w:proofErr w:type="gramEnd"/>
      <w:r w:rsidRPr="003C5218">
        <w:rPr>
          <w:rFonts w:ascii="Arial" w:hAnsi="Arial" w:cs="Arial"/>
          <w:color w:val="000000"/>
        </w:rPr>
        <w:t xml:space="preserve"> et al., 2019). Accordingly, this study </w:t>
      </w:r>
      <w:proofErr w:type="gramStart"/>
      <w:r w:rsidRPr="003C5218">
        <w:rPr>
          <w:rFonts w:ascii="Arial" w:hAnsi="Arial" w:cs="Arial"/>
          <w:color w:val="000000"/>
        </w:rPr>
        <w:t>retain</w:t>
      </w:r>
      <w:proofErr w:type="gramEnd"/>
      <w:r w:rsidRPr="003C5218">
        <w:rPr>
          <w:rFonts w:ascii="Arial" w:hAnsi="Arial" w:cs="Arial"/>
          <w:color w:val="000000"/>
        </w:rPr>
        <w:t xml:space="preserve"> UTAUT as the structural backbone of hypotheses and measurement, extending it with risk, trust, and compliance pressures motivated by TOE/DOI, and implementing SEM to compare nested models, anticipating increme</w:t>
      </w:r>
      <w:r w:rsidR="00F92F67">
        <w:rPr>
          <w:rFonts w:ascii="Arial" w:hAnsi="Arial" w:cs="Arial"/>
          <w:color w:val="000000"/>
        </w:rPr>
        <w:t xml:space="preserve">ntal </w:t>
      </w:r>
      <w:r w:rsidR="00F92F67">
        <w:rPr>
          <w:rFonts w:ascii="Arial" w:hAnsi="Arial" w:cs="Arial"/>
          <w:color w:val="000000"/>
        </w:rPr>
        <w:lastRenderedPageBreak/>
        <w:t xml:space="preserve">explanatory gains over TAM </w:t>
      </w:r>
      <w:r w:rsidRPr="003C5218">
        <w:rPr>
          <w:rFonts w:ascii="Arial" w:hAnsi="Arial" w:cs="Arial"/>
          <w:color w:val="000000"/>
        </w:rPr>
        <w:t>only baselines while preserving the interpretability essential for governance (Kolo, 2023; Olutimehin et al., 2025).</w:t>
      </w:r>
    </w:p>
    <w:p w14:paraId="1987A99E" w14:textId="77777777" w:rsidR="00A92C1B" w:rsidRPr="003C5218" w:rsidRDefault="00A92C1B" w:rsidP="00F92F67">
      <w:pPr>
        <w:pStyle w:val="Heading3"/>
        <w:spacing w:before="240" w:after="80" w:line="360" w:lineRule="auto"/>
        <w:rPr>
          <w:rFonts w:ascii="Arial" w:hAnsi="Arial" w:cs="Arial"/>
          <w:sz w:val="24"/>
          <w:szCs w:val="24"/>
        </w:rPr>
      </w:pPr>
      <w:r w:rsidRPr="003C5218">
        <w:rPr>
          <w:rFonts w:ascii="Arial" w:hAnsi="Arial" w:cs="Arial"/>
          <w:color w:val="000000"/>
          <w:sz w:val="24"/>
          <w:szCs w:val="24"/>
        </w:rPr>
        <w:t>Core UTAUT Constructs and Adoption Behavior</w:t>
      </w:r>
    </w:p>
    <w:p w14:paraId="0482D1CB" w14:textId="77777777" w:rsidR="00A92C1B" w:rsidRPr="003C5218" w:rsidRDefault="00A92C1B" w:rsidP="00F92F67">
      <w:pPr>
        <w:pStyle w:val="NormalWeb"/>
        <w:spacing w:before="240" w:beforeAutospacing="0" w:after="240" w:afterAutospacing="0" w:line="360" w:lineRule="auto"/>
        <w:rPr>
          <w:rFonts w:ascii="Arial" w:hAnsi="Arial" w:cs="Arial"/>
        </w:rPr>
      </w:pPr>
      <w:r w:rsidRPr="003C5218">
        <w:rPr>
          <w:rFonts w:ascii="Arial" w:hAnsi="Arial" w:cs="Arial"/>
          <w:color w:val="000000"/>
        </w:rPr>
        <w:t>According to the UTAUT tradition, behavioral intention is a function of performance expectancy, effort expectancy, social influence, and facilitating conditions; in agreement with this premise, Olaniyi (2025) reported that all four paths to intention were statistically significant in the context of machine-learning adoption for e-commerce cybersecurity, indicating that expectations of improved fraud detection, ease of integration, normative pressure, and infrastructural support jointly shape readiness to deploy ML tools. Recent quantitative studies across organizational AI settings reinforce and refine this pattern. Andrews et al. (2021) finds that performance expectancy and social influence retain strong effects on intention when AI replaces traditional expert judgment, but also contends that inadequate facilitating conditions can attenuate those effects, suggesting partial mediation via perceived organizational support.</w:t>
      </w:r>
      <w:hyperlink r:id="rId12" w:history="1">
        <w:r w:rsidRPr="003C5218">
          <w:rPr>
            <w:rStyle w:val="Hyperlink"/>
            <w:rFonts w:ascii="Arial" w:hAnsi="Arial" w:cs="Arial"/>
            <w:color w:val="000000"/>
          </w:rPr>
          <w:t xml:space="preserve"> </w:t>
        </w:r>
      </w:hyperlink>
      <w:r w:rsidRPr="003C5218">
        <w:rPr>
          <w:rFonts w:ascii="Arial" w:hAnsi="Arial" w:cs="Arial"/>
          <w:color w:val="000000"/>
        </w:rPr>
        <w:t>In a complementary healthcare setting, Kim et al. (2024) shows that effort expectancy becomes decisive when implementation entails workflow redesign and skill redevelopment, implying that “ease” incorporates both interface usability and integration complexity that e-commerce firms also face when embedding ML into security operations.</w:t>
      </w:r>
    </w:p>
    <w:p w14:paraId="29B6FF7C" w14:textId="77777777" w:rsidR="00A92C1B" w:rsidRPr="003C5218" w:rsidRDefault="00A92C1B" w:rsidP="00F92F67">
      <w:pPr>
        <w:pStyle w:val="NormalWeb"/>
        <w:spacing w:before="240" w:beforeAutospacing="0" w:after="240" w:afterAutospacing="0" w:line="360" w:lineRule="auto"/>
        <w:rPr>
          <w:rFonts w:ascii="Arial" w:hAnsi="Arial" w:cs="Arial"/>
        </w:rPr>
      </w:pPr>
      <w:r w:rsidRPr="003C5218">
        <w:rPr>
          <w:rFonts w:ascii="Arial" w:hAnsi="Arial" w:cs="Arial"/>
          <w:color w:val="000000"/>
        </w:rPr>
        <w:t>Extending the evidence to sales and service operations, Das and Datta (2024) demonstrates within a UTAUT2 specification that performance expectancy and facilitating conditions explain substantial variance in AI system use, while social influence exerts context-dependent effects tied to managerial advocacy and peer norms; this aligns with the security function where CISO endorsement and cross-team support condition adoption outcomes.</w:t>
      </w:r>
      <w:hyperlink r:id="rId13" w:history="1">
        <w:r w:rsidRPr="003C5218">
          <w:rPr>
            <w:rStyle w:val="Hyperlink"/>
            <w:rFonts w:ascii="Arial" w:hAnsi="Arial" w:cs="Arial"/>
            <w:color w:val="000000"/>
          </w:rPr>
          <w:t xml:space="preserve"> </w:t>
        </w:r>
      </w:hyperlink>
      <w:r w:rsidRPr="003C5218">
        <w:rPr>
          <w:rFonts w:ascii="Arial" w:hAnsi="Arial" w:cs="Arial"/>
          <w:color w:val="000000"/>
        </w:rPr>
        <w:t>In agreement, Rana et al. (2024) reports that in resource-constrained environments the facilitating-conditions construct subsumes data infrastructure, training, and policy support, magnifying its predictive weight relative to other UTAUT factors; the finding is pertinent to e-</w:t>
      </w:r>
      <w:r w:rsidRPr="003C5218">
        <w:rPr>
          <w:rFonts w:ascii="Arial" w:hAnsi="Arial" w:cs="Arial"/>
          <w:color w:val="000000"/>
        </w:rPr>
        <w:lastRenderedPageBreak/>
        <w:t>commerce cybersecurity where data governance and tooling maturity vary widely. Finally, Emon and Khan (2025) provides evidence that attitude can partially mediate core UTAUT effects on intention in professional AI</w:t>
      </w:r>
      <w:r w:rsidR="00F92F67">
        <w:rPr>
          <w:rFonts w:ascii="Arial" w:hAnsi="Arial" w:cs="Arial"/>
          <w:color w:val="000000"/>
        </w:rPr>
        <w:t xml:space="preserve"> use, a result that invites SEM </w:t>
      </w:r>
      <w:r w:rsidRPr="003C5218">
        <w:rPr>
          <w:rFonts w:ascii="Arial" w:hAnsi="Arial" w:cs="Arial"/>
          <w:color w:val="000000"/>
        </w:rPr>
        <w:t>based tests of indirect paths in security adoption models.</w:t>
      </w:r>
    </w:p>
    <w:p w14:paraId="6C740E5D" w14:textId="77777777" w:rsidR="00A92C1B" w:rsidRPr="003C5218" w:rsidRDefault="00A92C1B" w:rsidP="00F92F67">
      <w:pPr>
        <w:pStyle w:val="NormalWeb"/>
        <w:spacing w:before="240" w:beforeAutospacing="0" w:after="240" w:afterAutospacing="0" w:line="360" w:lineRule="auto"/>
        <w:rPr>
          <w:rFonts w:ascii="Arial" w:hAnsi="Arial" w:cs="Arial"/>
        </w:rPr>
      </w:pPr>
      <w:r w:rsidRPr="003C5218">
        <w:rPr>
          <w:rFonts w:ascii="Arial" w:hAnsi="Arial" w:cs="Arial"/>
          <w:color w:val="000000"/>
        </w:rPr>
        <w:t>These assertions support the hypotheses that the four foundational constructs collectively determine intention to adopt ML for cybersecurity, while also indicating boundary conditions organizational support, integration difficulty, and professional attitudes that should be modeled explicitly when estimating the drivers of e-commerce implementation outcomes (</w:t>
      </w:r>
      <w:proofErr w:type="spellStart"/>
      <w:r w:rsidRPr="003C5218">
        <w:rPr>
          <w:rFonts w:ascii="Arial" w:hAnsi="Arial" w:cs="Arial"/>
          <w:color w:val="000000"/>
        </w:rPr>
        <w:t>Bamigbade</w:t>
      </w:r>
      <w:proofErr w:type="spellEnd"/>
      <w:r w:rsidRPr="003C5218">
        <w:rPr>
          <w:rFonts w:ascii="Arial" w:hAnsi="Arial" w:cs="Arial"/>
          <w:color w:val="000000"/>
        </w:rPr>
        <w:t xml:space="preserve"> et al., 2025; Kolo, 2025b; Oyekunle et al., 2025).</w:t>
      </w:r>
    </w:p>
    <w:p w14:paraId="3B57E937" w14:textId="77777777" w:rsidR="00A92C1B" w:rsidRPr="003C5218" w:rsidRDefault="00A92C1B" w:rsidP="00F92F67">
      <w:pPr>
        <w:pStyle w:val="Heading3"/>
        <w:spacing w:before="240" w:after="80" w:line="360" w:lineRule="auto"/>
        <w:jc w:val="both"/>
        <w:rPr>
          <w:rFonts w:ascii="Arial" w:hAnsi="Arial" w:cs="Arial"/>
          <w:sz w:val="24"/>
          <w:szCs w:val="24"/>
        </w:rPr>
      </w:pPr>
      <w:r w:rsidRPr="003C5218">
        <w:rPr>
          <w:rFonts w:ascii="Arial" w:hAnsi="Arial" w:cs="Arial"/>
          <w:color w:val="1F1F1F"/>
          <w:sz w:val="24"/>
          <w:szCs w:val="24"/>
        </w:rPr>
        <w:t>Extended Determinants: Perceived Risk, Trust, and Regulatory Compliance </w:t>
      </w:r>
    </w:p>
    <w:p w14:paraId="369ABE52"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 xml:space="preserve">Extending UTAUT with perceived risk, trust in ML systems, and regulatory compliance captures decision dynamics that are increasingly salient for ML-based cybersecurity in e-commerce. According to </w:t>
      </w:r>
      <w:proofErr w:type="spellStart"/>
      <w:r w:rsidRPr="003C5218">
        <w:rPr>
          <w:rFonts w:ascii="Arial" w:hAnsi="Arial" w:cs="Arial"/>
          <w:color w:val="1F1F1F"/>
        </w:rPr>
        <w:t>Aysolmaz</w:t>
      </w:r>
      <w:proofErr w:type="spellEnd"/>
      <w:r w:rsidRPr="003C5218">
        <w:rPr>
          <w:rFonts w:ascii="Arial" w:hAnsi="Arial" w:cs="Arial"/>
          <w:color w:val="1F1F1F"/>
        </w:rPr>
        <w:t xml:space="preserve"> et al. (2023), transparency concerns shape fairness, accountability, and privacy perceptions, which in turn condition trust and usefulness proximal antecedents of intention. In agreement, Park and Yoon (2024) show that explicit AI-algorithm transparency signals measurably strengthen organization–public relationships by elevating trust and relational satisfaction, suggesting that explainability and disclosure operate as practical levers that translate performance beliefs into adoption intention even in high-stakes settings like security analytics.</w:t>
      </w:r>
      <w:hyperlink r:id="rId14" w:history="1">
        <w:r w:rsidRPr="003C5218">
          <w:rPr>
            <w:rStyle w:val="Hyperlink"/>
            <w:rFonts w:ascii="Arial" w:hAnsi="Arial" w:cs="Arial"/>
            <w:color w:val="1F1F1F"/>
          </w:rPr>
          <w:t> </w:t>
        </w:r>
      </w:hyperlink>
    </w:p>
    <w:p w14:paraId="6984135F"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 xml:space="preserve">Perceived risk interacts tightly with trust. Shevtsova et al. (2024) contend that trust in AI-enabled clinical technologies functions as a pivotal determinant of acceptance; importantly, perceived risk can attenuate or redirect the effects of performance and effort expectancies unless mitigated through communicative clarity and user control. This accords with broader evidence that trust calibration via appropriate explanations and governance assurances reduces uncertainty and counters algorithm aversion, thereby restoring the predictive strength of core </w:t>
      </w:r>
      <w:r w:rsidRPr="003C5218">
        <w:rPr>
          <w:rFonts w:ascii="Arial" w:hAnsi="Arial" w:cs="Arial"/>
          <w:color w:val="1F1F1F"/>
        </w:rPr>
        <w:lastRenderedPageBreak/>
        <w:t>UTAUT paths (Glassberg et al., 2025; Adesokan-Imran et al., 2025; Kolo, 2025a; Salami et al., 2025).</w:t>
      </w:r>
    </w:p>
    <w:p w14:paraId="0AE81D93"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Regulatory compliance pressure also behaves as an external antecedent that can amplify or dampen intention. Bl</w:t>
      </w:r>
      <w:r w:rsidR="00F92F67">
        <w:rPr>
          <w:rFonts w:ascii="Arial" w:hAnsi="Arial" w:cs="Arial"/>
          <w:color w:val="1F1F1F"/>
        </w:rPr>
        <w:t xml:space="preserve">ind et al. (2024) provide quasi </w:t>
      </w:r>
      <w:r w:rsidRPr="003C5218">
        <w:rPr>
          <w:rFonts w:ascii="Arial" w:hAnsi="Arial" w:cs="Arial"/>
          <w:color w:val="1F1F1F"/>
        </w:rPr>
        <w:t>experimental evidence that GDPR materially reshapes innovation incentives and firms’ data practices; for security operations, this impl</w:t>
      </w:r>
      <w:r w:rsidR="00F92F67">
        <w:rPr>
          <w:rFonts w:ascii="Arial" w:hAnsi="Arial" w:cs="Arial"/>
          <w:color w:val="1F1F1F"/>
        </w:rPr>
        <w:t xml:space="preserve">ies that compliant by </w:t>
      </w:r>
      <w:r w:rsidRPr="003C5218">
        <w:rPr>
          <w:rFonts w:ascii="Arial" w:hAnsi="Arial" w:cs="Arial"/>
          <w:color w:val="1F1F1F"/>
        </w:rPr>
        <w:t>design ML pi</w:t>
      </w:r>
      <w:r w:rsidR="00F92F67">
        <w:rPr>
          <w:rFonts w:ascii="Arial" w:hAnsi="Arial" w:cs="Arial"/>
          <w:color w:val="1F1F1F"/>
        </w:rPr>
        <w:t xml:space="preserve">pelines, auditability, and data </w:t>
      </w:r>
      <w:r w:rsidRPr="003C5218">
        <w:rPr>
          <w:rFonts w:ascii="Arial" w:hAnsi="Arial" w:cs="Arial"/>
          <w:color w:val="1F1F1F"/>
        </w:rPr>
        <w:t>minimization are not merely technical choices but institutional requirements that steer adoption. Complementing this, Jørgensen and Ma (2025) synthesize EU regulatory influences on AI uptake and argue that</w:t>
      </w:r>
      <w:r w:rsidR="00F92F67">
        <w:rPr>
          <w:rFonts w:ascii="Arial" w:hAnsi="Arial" w:cs="Arial"/>
          <w:color w:val="1F1F1F"/>
        </w:rPr>
        <w:t xml:space="preserve"> compliance regimes create path </w:t>
      </w:r>
      <w:r w:rsidRPr="003C5218">
        <w:rPr>
          <w:rFonts w:ascii="Arial" w:hAnsi="Arial" w:cs="Arial"/>
          <w:color w:val="1F1F1F"/>
        </w:rPr>
        <w:t>dependencies in procurement and deployment timelines conditions especially consequential for e-commerce platforms integrating ML threat detection</w:t>
      </w:r>
      <w:r w:rsidR="00F92F67">
        <w:rPr>
          <w:rFonts w:ascii="Arial" w:hAnsi="Arial" w:cs="Arial"/>
          <w:color w:val="1F1F1F"/>
        </w:rPr>
        <w:t xml:space="preserve">. In developing economies, NDPA </w:t>
      </w:r>
      <w:r w:rsidRPr="003C5218">
        <w:rPr>
          <w:rFonts w:ascii="Arial" w:hAnsi="Arial" w:cs="Arial"/>
          <w:color w:val="1F1F1F"/>
        </w:rPr>
        <w:t>style laws similarly recalibrate incentives: a doctrinal analysis of Nigeria’s Data Protection Act (NDPA) indicates stricter breach notification, consent standards, and enforcement capacity, all of which heighten the salience of compliant ML security architectures for retailers operating in or with Nigeria (</w:t>
      </w:r>
      <w:proofErr w:type="spellStart"/>
      <w:r w:rsidRPr="003C5218">
        <w:rPr>
          <w:rFonts w:ascii="Arial" w:hAnsi="Arial" w:cs="Arial"/>
          <w:color w:val="1F1F1F"/>
        </w:rPr>
        <w:t>Aloamaka</w:t>
      </w:r>
      <w:proofErr w:type="spellEnd"/>
      <w:r w:rsidRPr="003C5218">
        <w:rPr>
          <w:rFonts w:ascii="Arial" w:hAnsi="Arial" w:cs="Arial"/>
          <w:color w:val="1F1F1F"/>
        </w:rPr>
        <w:t>, 2025).</w:t>
      </w:r>
    </w:p>
    <w:p w14:paraId="05C33FC3" w14:textId="77777777" w:rsidR="00A92C1B" w:rsidRPr="003C5218" w:rsidRDefault="00A92C1B" w:rsidP="00F92F67">
      <w:pPr>
        <w:pStyle w:val="NormalWeb"/>
        <w:spacing w:before="240" w:beforeAutospacing="0" w:after="240" w:afterAutospacing="0" w:line="360" w:lineRule="auto"/>
        <w:jc w:val="both"/>
        <w:rPr>
          <w:rFonts w:ascii="Arial" w:hAnsi="Arial" w:cs="Arial"/>
        </w:rPr>
      </w:pPr>
      <w:r w:rsidRPr="003C5218">
        <w:rPr>
          <w:rFonts w:ascii="Arial" w:hAnsi="Arial" w:cs="Arial"/>
          <w:color w:val="1F1F1F"/>
        </w:rPr>
        <w:t>Synthesizing these strands, perceived risk and trust are best modeled as antecedents and, where theory warrants, moderators of UTAUT relationships, while regulatory compliance pressure operates as an institutional driver that facilitates conditions and social influence. This study therefore specifies testable SEM pathways in which transparency-enabled trust and compliance alignment jointly sustain intention to adopt ML-based cybersecurity in e-commerce.</w:t>
      </w:r>
    </w:p>
    <w:p w14:paraId="2E71C786" w14:textId="77777777" w:rsidR="00A92C1B" w:rsidRPr="003C5218" w:rsidRDefault="00A92C1B" w:rsidP="00F92F67">
      <w:pPr>
        <w:pStyle w:val="Heading3"/>
        <w:spacing w:before="240" w:after="80" w:line="360" w:lineRule="auto"/>
        <w:rPr>
          <w:rFonts w:ascii="Arial" w:hAnsi="Arial" w:cs="Arial"/>
          <w:sz w:val="24"/>
          <w:szCs w:val="24"/>
        </w:rPr>
      </w:pPr>
      <w:r w:rsidRPr="003C5218">
        <w:rPr>
          <w:rFonts w:ascii="Arial" w:hAnsi="Arial" w:cs="Arial"/>
          <w:color w:val="000000"/>
          <w:sz w:val="24"/>
          <w:szCs w:val="24"/>
        </w:rPr>
        <w:t>Behavioral Intention, Actual Use, and Quantitative Validation</w:t>
      </w:r>
    </w:p>
    <w:p w14:paraId="5E00358C" w14:textId="77777777" w:rsidR="00A92C1B" w:rsidRPr="003C5218" w:rsidRDefault="00A92C1B" w:rsidP="00F92F67">
      <w:pPr>
        <w:pStyle w:val="NormalWeb"/>
        <w:spacing w:before="240" w:beforeAutospacing="0" w:after="240" w:afterAutospacing="0" w:line="360" w:lineRule="auto"/>
        <w:rPr>
          <w:rFonts w:ascii="Arial" w:hAnsi="Arial" w:cs="Arial"/>
        </w:rPr>
      </w:pPr>
      <w:r w:rsidRPr="003C5218">
        <w:rPr>
          <w:rFonts w:ascii="Arial" w:hAnsi="Arial" w:cs="Arial"/>
          <w:color w:val="000000"/>
        </w:rPr>
        <w:t>Consistent with UTAUT, behavioral intention operates as the proximal driver of use behavior; however, in technology</w:t>
      </w:r>
      <w:r w:rsidRPr="003C5218">
        <w:rPr>
          <w:rFonts w:ascii="Cambria Math" w:hAnsi="Cambria Math" w:cs="Cambria Math"/>
          <w:color w:val="000000"/>
        </w:rPr>
        <w:t>‐</w:t>
      </w:r>
      <w:r w:rsidRPr="003C5218">
        <w:rPr>
          <w:rFonts w:ascii="Arial" w:hAnsi="Arial" w:cs="Arial"/>
          <w:color w:val="000000"/>
        </w:rPr>
        <w:t xml:space="preserve">intensive settings such as ML-based cybersecurity, intention frequently mediates the effects of antecedents on actual adoption (Khan et al., 2022).  While Olaniyi (2025), found significant intention paths from core UTAUT constructs in e-commerce security contexts, recent SEM studies corroborate a mediated structure in which performance and effort beliefs, </w:t>
      </w:r>
      <w:r w:rsidRPr="003C5218">
        <w:rPr>
          <w:rFonts w:ascii="Arial" w:hAnsi="Arial" w:cs="Arial"/>
          <w:color w:val="000000"/>
        </w:rPr>
        <w:lastRenderedPageBreak/>
        <w:t>social influence, and enabling conditions translate into use primarily through intention.  According to Zhang et al. (2023), integrating UTAUT with domain perceptions improves variance explained in intention, and intention in turn exhibits a substantive path to usage, indicating an intention–behavior chan</w:t>
      </w:r>
      <w:r w:rsidR="00F92F67">
        <w:rPr>
          <w:rFonts w:ascii="Arial" w:hAnsi="Arial" w:cs="Arial"/>
          <w:color w:val="000000"/>
        </w:rPr>
        <w:t xml:space="preserve">nel rather than a purely direct </w:t>
      </w:r>
      <w:r w:rsidRPr="003C5218">
        <w:rPr>
          <w:rFonts w:ascii="Arial" w:hAnsi="Arial" w:cs="Arial"/>
          <w:color w:val="000000"/>
        </w:rPr>
        <w:t xml:space="preserve">effects model. In agreement, Han et al. (2025) reports that behavioral intention significantly mediates social influence and facilitating conditions in predicting actual use of AI systems, with voluntariness moderating the strength of this mediation, a pattern that maps cleanly to security teams where policy mandates and managerial advocacy vary across firms. </w:t>
      </w:r>
      <w:r w:rsidRPr="003C5218">
        <w:rPr>
          <w:rFonts w:ascii="Arial" w:hAnsi="Arial" w:cs="Arial"/>
          <w:color w:val="0D0D0D"/>
        </w:rPr>
        <w:t>Complementary evidence from Al-</w:t>
      </w:r>
      <w:proofErr w:type="spellStart"/>
      <w:r w:rsidRPr="003C5218">
        <w:rPr>
          <w:rFonts w:ascii="Arial" w:hAnsi="Arial" w:cs="Arial"/>
          <w:color w:val="0D0D0D"/>
        </w:rPr>
        <w:t>Makhmari</w:t>
      </w:r>
      <w:proofErr w:type="spellEnd"/>
      <w:r w:rsidRPr="003C5218">
        <w:rPr>
          <w:rFonts w:ascii="Arial" w:hAnsi="Arial" w:cs="Arial"/>
          <w:color w:val="0D0D0D"/>
        </w:rPr>
        <w:t xml:space="preserve"> et al. (2024) suggests that intention not only precedes use but can also transmit benefits to performance outcomes, reinforcing the strategic value of interventions that raise intention when ML deployment requires workflow redesign.</w:t>
      </w:r>
    </w:p>
    <w:p w14:paraId="49131BD8" w14:textId="77777777" w:rsidR="00A92C1B" w:rsidRPr="003C5218" w:rsidRDefault="00A92C1B" w:rsidP="00F92F67">
      <w:pPr>
        <w:pStyle w:val="NormalWeb"/>
        <w:spacing w:before="240" w:beforeAutospacing="0" w:after="240" w:afterAutospacing="0" w:line="360" w:lineRule="auto"/>
        <w:rPr>
          <w:rFonts w:ascii="Arial" w:hAnsi="Arial" w:cs="Arial"/>
        </w:rPr>
      </w:pPr>
      <w:r w:rsidRPr="003C5218">
        <w:rPr>
          <w:rFonts w:ascii="Arial" w:hAnsi="Arial" w:cs="Arial"/>
          <w:color w:val="000000"/>
        </w:rPr>
        <w:t>Methodologically, these mediation effects are best examined with SEM procedures that ensure rigorous measurement and structural assessment. Hair and Alamer (2022) recommend PLS-SEM for prediction-oriented models, formative indicators, and complex comp</w:t>
      </w:r>
      <w:r w:rsidR="00F92F67">
        <w:rPr>
          <w:rFonts w:ascii="Arial" w:hAnsi="Arial" w:cs="Arial"/>
          <w:color w:val="000000"/>
        </w:rPr>
        <w:t xml:space="preserve">osites; they also emphasize out of </w:t>
      </w:r>
      <w:r w:rsidRPr="003C5218">
        <w:rPr>
          <w:rFonts w:ascii="Arial" w:hAnsi="Arial" w:cs="Arial"/>
          <w:color w:val="000000"/>
        </w:rPr>
        <w:t>sample predictive checks and bootstrapped indirect effects to</w:t>
      </w:r>
      <w:r w:rsidR="00F92F67">
        <w:rPr>
          <w:rFonts w:ascii="Arial" w:hAnsi="Arial" w:cs="Arial"/>
          <w:color w:val="000000"/>
        </w:rPr>
        <w:t xml:space="preserve"> validate mediation. For theory </w:t>
      </w:r>
      <w:r w:rsidRPr="003C5218">
        <w:rPr>
          <w:rFonts w:ascii="Arial" w:hAnsi="Arial" w:cs="Arial"/>
          <w:color w:val="000000"/>
        </w:rPr>
        <w:t>t</w:t>
      </w:r>
      <w:r w:rsidR="00F92F67">
        <w:rPr>
          <w:rFonts w:ascii="Arial" w:hAnsi="Arial" w:cs="Arial"/>
          <w:color w:val="000000"/>
        </w:rPr>
        <w:t xml:space="preserve">esting alternatives, Covariance </w:t>
      </w:r>
      <w:r w:rsidRPr="003C5218">
        <w:rPr>
          <w:rFonts w:ascii="Arial" w:hAnsi="Arial" w:cs="Arial"/>
          <w:color w:val="000000"/>
        </w:rPr>
        <w:t>Based Structural Equation Modeling (CB-</w:t>
      </w:r>
      <w:proofErr w:type="gramStart"/>
      <w:r w:rsidRPr="003C5218">
        <w:rPr>
          <w:rFonts w:ascii="Arial" w:hAnsi="Arial" w:cs="Arial"/>
          <w:color w:val="000000"/>
        </w:rPr>
        <w:t>SEM)  remains</w:t>
      </w:r>
      <w:proofErr w:type="gramEnd"/>
      <w:r w:rsidRPr="003C5218">
        <w:rPr>
          <w:rFonts w:ascii="Arial" w:hAnsi="Arial" w:cs="Arial"/>
          <w:color w:val="000000"/>
        </w:rPr>
        <w:t xml:space="preserve"> appropriate where distributional assumptions and global fit indices are central; Kline (2023) details best practices for model identification, measurement quality, and nested model comparison</w:t>
      </w:r>
      <w:r w:rsidR="00F92F67">
        <w:rPr>
          <w:rFonts w:ascii="Arial" w:hAnsi="Arial" w:cs="Arial"/>
          <w:color w:val="000000"/>
        </w:rPr>
        <w:t xml:space="preserve">s when testing competing direct versus </w:t>
      </w:r>
      <w:r w:rsidRPr="003C5218">
        <w:rPr>
          <w:rFonts w:ascii="Arial" w:hAnsi="Arial" w:cs="Arial"/>
          <w:color w:val="000000"/>
        </w:rPr>
        <w:t xml:space="preserve">mediated structures. Moreover, discriminant validity safeguards such as </w:t>
      </w:r>
      <w:proofErr w:type="spellStart"/>
      <w:r w:rsidRPr="003C5218">
        <w:rPr>
          <w:rFonts w:ascii="Arial" w:hAnsi="Arial" w:cs="Arial"/>
          <w:color w:val="000000"/>
        </w:rPr>
        <w:t>Heterotrait</w:t>
      </w:r>
      <w:proofErr w:type="spellEnd"/>
      <w:r w:rsidRPr="003C5218">
        <w:rPr>
          <w:rFonts w:ascii="Arial" w:hAnsi="Arial" w:cs="Arial"/>
          <w:color w:val="000000"/>
        </w:rPr>
        <w:t>–</w:t>
      </w:r>
      <w:proofErr w:type="spellStart"/>
      <w:r w:rsidRPr="003C5218">
        <w:rPr>
          <w:rFonts w:ascii="Arial" w:hAnsi="Arial" w:cs="Arial"/>
          <w:color w:val="000000"/>
        </w:rPr>
        <w:t>Monotrait</w:t>
      </w:r>
      <w:proofErr w:type="spellEnd"/>
      <w:r w:rsidRPr="003C5218">
        <w:rPr>
          <w:rFonts w:ascii="Arial" w:hAnsi="Arial" w:cs="Arial"/>
          <w:color w:val="000000"/>
        </w:rPr>
        <w:t xml:space="preserve"> Ratio of Correlations and convergent validity via AVE are essential to prevent construct overlap that could inflate mediation paths; recent methodological work provides concrete decision rules and inference procedures for these diagnostics (Panzeri et al., 2024). Taken together, the accumulating empirical and methodological record supports specifying behavioral intention as a mediating mechanism between antecedents and actual ML adoption, while employing SEM with reliability, validity, and predictive adequacy checks to ensure ro</w:t>
      </w:r>
      <w:r w:rsidR="00F92F67">
        <w:rPr>
          <w:rFonts w:ascii="Arial" w:hAnsi="Arial" w:cs="Arial"/>
          <w:color w:val="000000"/>
        </w:rPr>
        <w:t xml:space="preserve">bust inference in </w:t>
      </w:r>
      <w:proofErr w:type="gramStart"/>
      <w:r w:rsidR="00F92F67">
        <w:rPr>
          <w:rFonts w:ascii="Arial" w:hAnsi="Arial" w:cs="Arial"/>
          <w:color w:val="000000"/>
        </w:rPr>
        <w:t xml:space="preserve">cybersecurity </w:t>
      </w:r>
      <w:r w:rsidRPr="003C5218">
        <w:rPr>
          <w:rFonts w:ascii="Arial" w:hAnsi="Arial" w:cs="Arial"/>
          <w:color w:val="000000"/>
        </w:rPr>
        <w:t>oriented</w:t>
      </w:r>
      <w:proofErr w:type="gramEnd"/>
      <w:r w:rsidRPr="003C5218">
        <w:rPr>
          <w:rFonts w:ascii="Arial" w:hAnsi="Arial" w:cs="Arial"/>
          <w:color w:val="000000"/>
        </w:rPr>
        <w:t xml:space="preserve"> e-commerce </w:t>
      </w:r>
      <w:r w:rsidRPr="003C5218">
        <w:rPr>
          <w:rFonts w:ascii="Arial" w:hAnsi="Arial" w:cs="Arial"/>
          <w:color w:val="000000"/>
        </w:rPr>
        <w:lastRenderedPageBreak/>
        <w:t>research.</w:t>
      </w:r>
      <w:r w:rsidRPr="003C5218">
        <w:rPr>
          <w:rFonts w:ascii="Arial" w:hAnsi="Arial" w:cs="Arial"/>
          <w:color w:val="000000"/>
        </w:rPr>
        <w:br/>
      </w:r>
      <w:r w:rsidRPr="003C5218">
        <w:rPr>
          <w:rFonts w:ascii="Arial" w:hAnsi="Arial" w:cs="Arial"/>
          <w:color w:val="000000"/>
        </w:rPr>
        <w:br/>
      </w:r>
      <w:r w:rsidRPr="003C5218">
        <w:rPr>
          <w:rFonts w:ascii="Arial" w:hAnsi="Arial" w:cs="Arial"/>
          <w:b/>
          <w:bCs/>
          <w:color w:val="1F1F1F"/>
        </w:rPr>
        <w:t>Methodological Review of Quantitative Approaches</w:t>
      </w:r>
    </w:p>
    <w:p w14:paraId="7D1FFB17" w14:textId="77777777" w:rsidR="00A92C1B" w:rsidRPr="003C5218" w:rsidRDefault="00F92F67" w:rsidP="00F92F67">
      <w:pPr>
        <w:pStyle w:val="NormalWeb"/>
        <w:spacing w:before="240" w:beforeAutospacing="0" w:after="240" w:afterAutospacing="0" w:line="360" w:lineRule="auto"/>
        <w:rPr>
          <w:rFonts w:ascii="Arial" w:hAnsi="Arial" w:cs="Arial"/>
        </w:rPr>
      </w:pPr>
      <w:r>
        <w:rPr>
          <w:rFonts w:ascii="Arial" w:hAnsi="Arial" w:cs="Arial"/>
          <w:color w:val="000000"/>
        </w:rPr>
        <w:t xml:space="preserve">Previous technology </w:t>
      </w:r>
      <w:r w:rsidR="00A92C1B" w:rsidRPr="003C5218">
        <w:rPr>
          <w:rFonts w:ascii="Arial" w:hAnsi="Arial" w:cs="Arial"/>
          <w:color w:val="000000"/>
        </w:rPr>
        <w:t xml:space="preserve">adoption studies have largely relied on Multiple Linear Regression (MLR) to estimate the direct influence of antecedents such as performance expectancy, effort expectancy, social influence, and facilitating conditions on behavioral intention and, in some cases, actual system use. According to Olaniyi (2025), this approach successfully established significant paths among the four constructs of the Unified Theory of Acceptance and Use of Technology (UTAUT) within e-commerce cybersecurity settings. However, MLR implicitly assumes perfect measurement, does not account for latent variable error, and cannot simultaneously assess measurement and structural relationships. This limitation constrains the testing of mediation or moderation effects in </w:t>
      </w:r>
      <w:proofErr w:type="spellStart"/>
      <w:r w:rsidR="00A92C1B" w:rsidRPr="003C5218">
        <w:rPr>
          <w:rFonts w:ascii="Arial" w:hAnsi="Arial" w:cs="Arial"/>
          <w:color w:val="000000"/>
        </w:rPr>
        <w:t>multiconstruct</w:t>
      </w:r>
      <w:proofErr w:type="spellEnd"/>
      <w:r w:rsidR="00A92C1B" w:rsidRPr="003C5218">
        <w:rPr>
          <w:rFonts w:ascii="Arial" w:hAnsi="Arial" w:cs="Arial"/>
          <w:color w:val="000000"/>
        </w:rPr>
        <w:t xml:space="preserve"> frameworks.</w:t>
      </w:r>
    </w:p>
    <w:p w14:paraId="4EF0A873" w14:textId="77777777" w:rsidR="00A92C1B" w:rsidRPr="003C5218" w:rsidRDefault="00A92C1B" w:rsidP="00F92F67">
      <w:pPr>
        <w:pStyle w:val="NormalWeb"/>
        <w:spacing w:before="240" w:beforeAutospacing="0" w:after="240" w:afterAutospacing="0" w:line="360" w:lineRule="auto"/>
        <w:rPr>
          <w:rFonts w:ascii="Arial" w:hAnsi="Arial" w:cs="Arial"/>
        </w:rPr>
      </w:pPr>
      <w:r w:rsidRPr="003C5218">
        <w:rPr>
          <w:rFonts w:ascii="Arial" w:hAnsi="Arial" w:cs="Arial"/>
          <w:color w:val="000000"/>
        </w:rPr>
        <w:t>Structural Equation Modeling (SEM) addresses these shortcomings by enabling simultaneous evaluation of measurement and structural components, thereby offering stronger theory validation. Within SEM, Partial Least Squares SEM (PLS-SEM) has become a popular technique due to its suitability for prediction-oriented research, formative constructs, and moderate sample sizes (Benítez et al., 2020; Hair &amp; Alamer,</w:t>
      </w:r>
      <w:r w:rsidR="00F92F67">
        <w:rPr>
          <w:rFonts w:ascii="Arial" w:hAnsi="Arial" w:cs="Arial"/>
          <w:color w:val="000000"/>
        </w:rPr>
        <w:t xml:space="preserve"> 2022). In contrast, Covariance </w:t>
      </w:r>
      <w:r w:rsidRPr="003C5218">
        <w:rPr>
          <w:rFonts w:ascii="Arial" w:hAnsi="Arial" w:cs="Arial"/>
          <w:color w:val="000000"/>
        </w:rPr>
        <w:t>Based SEM (CB-SEM) is preferred for confirmatory models emphasizing theoretical precision and global model fit (Dash &amp; Paul, 2021). Recent comparative work stresses that researchers must choose between these approaches based on epistemological intent</w:t>
      </w:r>
      <w:r w:rsidR="00E26F44">
        <w:rPr>
          <w:rFonts w:ascii="Arial" w:hAnsi="Arial" w:cs="Arial"/>
          <w:color w:val="000000"/>
        </w:rPr>
        <w:t xml:space="preserve"> </w:t>
      </w:r>
      <w:r w:rsidRPr="003C5218">
        <w:rPr>
          <w:rFonts w:ascii="Arial" w:hAnsi="Arial" w:cs="Arial"/>
          <w:color w:val="000000"/>
        </w:rPr>
        <w:t>PLS-SEM for prediction, CB-SEM for theory testing rather than convenience (Schuberth et al., 2023).</w:t>
      </w:r>
    </w:p>
    <w:p w14:paraId="017B30CD" w14:textId="77777777" w:rsidR="00A92C1B" w:rsidRPr="003C5218" w:rsidRDefault="00A92C1B" w:rsidP="00F92F67">
      <w:pPr>
        <w:pStyle w:val="NormalWeb"/>
        <w:spacing w:before="240" w:beforeAutospacing="0" w:after="240" w:afterAutospacing="0" w:line="360" w:lineRule="auto"/>
        <w:rPr>
          <w:rFonts w:ascii="Arial" w:hAnsi="Arial" w:cs="Arial"/>
        </w:rPr>
      </w:pPr>
      <w:r w:rsidRPr="003C5218">
        <w:rPr>
          <w:rFonts w:ascii="Arial" w:hAnsi="Arial" w:cs="Arial"/>
          <w:color w:val="000000"/>
        </w:rPr>
        <w:t>Nevertheless, methodological analyses caution that improper PLS application can yield u</w:t>
      </w:r>
      <w:r w:rsidR="00F92F67">
        <w:rPr>
          <w:rFonts w:ascii="Arial" w:hAnsi="Arial" w:cs="Arial"/>
          <w:color w:val="000000"/>
        </w:rPr>
        <w:t xml:space="preserve">pward </w:t>
      </w:r>
      <w:r w:rsidRPr="003C5218">
        <w:rPr>
          <w:rFonts w:ascii="Arial" w:hAnsi="Arial" w:cs="Arial"/>
          <w:color w:val="000000"/>
        </w:rPr>
        <w:t xml:space="preserve">biased loadings and attenuated latent correlations, potentially distorting mediation estimates. Therefore, validation remains essential. Reliability should be assessed through Cronbach’s alpha and Composite Reliability (CR), </w:t>
      </w:r>
      <w:r w:rsidRPr="003C5218">
        <w:rPr>
          <w:rFonts w:ascii="Arial" w:hAnsi="Arial" w:cs="Arial"/>
          <w:color w:val="000000"/>
        </w:rPr>
        <w:lastRenderedPageBreak/>
        <w:t xml:space="preserve">while Average Variance Extracted (AVE) confirms convergent validity, and </w:t>
      </w:r>
      <w:proofErr w:type="spellStart"/>
      <w:r w:rsidRPr="003C5218">
        <w:rPr>
          <w:rFonts w:ascii="Arial" w:hAnsi="Arial" w:cs="Arial"/>
          <w:color w:val="000000"/>
        </w:rPr>
        <w:t>Heterotrait</w:t>
      </w:r>
      <w:proofErr w:type="spellEnd"/>
      <w:r w:rsidRPr="003C5218">
        <w:rPr>
          <w:rFonts w:ascii="Arial" w:hAnsi="Arial" w:cs="Arial"/>
          <w:color w:val="000000"/>
        </w:rPr>
        <w:t>–</w:t>
      </w:r>
      <w:proofErr w:type="spellStart"/>
      <w:r w:rsidRPr="003C5218">
        <w:rPr>
          <w:rFonts w:ascii="Arial" w:hAnsi="Arial" w:cs="Arial"/>
          <w:color w:val="000000"/>
        </w:rPr>
        <w:t>Monotrait</w:t>
      </w:r>
      <w:proofErr w:type="spellEnd"/>
      <w:r w:rsidRPr="003C5218">
        <w:rPr>
          <w:rFonts w:ascii="Arial" w:hAnsi="Arial" w:cs="Arial"/>
          <w:color w:val="000000"/>
        </w:rPr>
        <w:t xml:space="preserve"> (HTMT) ratios verify discriminant validity (Cheung et al., 2024; </w:t>
      </w:r>
      <w:proofErr w:type="spellStart"/>
      <w:r w:rsidRPr="003C5218">
        <w:rPr>
          <w:rFonts w:ascii="Arial" w:hAnsi="Arial" w:cs="Arial"/>
          <w:color w:val="000000"/>
        </w:rPr>
        <w:t>Rasoolimanesh</w:t>
      </w:r>
      <w:proofErr w:type="spellEnd"/>
      <w:r w:rsidRPr="003C5218">
        <w:rPr>
          <w:rFonts w:ascii="Arial" w:hAnsi="Arial" w:cs="Arial"/>
          <w:color w:val="000000"/>
        </w:rPr>
        <w:t>, 2022). Bootstrapping procedures further ensure the stabi</w:t>
      </w:r>
      <w:r w:rsidR="00F92F67">
        <w:rPr>
          <w:rFonts w:ascii="Arial" w:hAnsi="Arial" w:cs="Arial"/>
          <w:color w:val="000000"/>
        </w:rPr>
        <w:t xml:space="preserve">lity of indirect paths, and out of </w:t>
      </w:r>
      <w:r w:rsidRPr="003C5218">
        <w:rPr>
          <w:rFonts w:ascii="Arial" w:hAnsi="Arial" w:cs="Arial"/>
          <w:color w:val="000000"/>
        </w:rPr>
        <w:t>sample predictive checks enhance external validity (Hair &amp; Alamer, 2022; Benítez et al., 2020).</w:t>
      </w:r>
    </w:p>
    <w:p w14:paraId="6E0BE6F6" w14:textId="77777777" w:rsidR="00A92C1B" w:rsidRPr="003C5218" w:rsidRDefault="00A92C1B" w:rsidP="00F92F67">
      <w:pPr>
        <w:pStyle w:val="NormalWeb"/>
        <w:spacing w:before="240" w:beforeAutospacing="0" w:after="240" w:afterAutospacing="0" w:line="360" w:lineRule="auto"/>
        <w:rPr>
          <w:rFonts w:ascii="Arial" w:hAnsi="Arial" w:cs="Arial"/>
          <w:color w:val="000000"/>
        </w:rPr>
      </w:pPr>
      <w:r w:rsidRPr="003C5218">
        <w:rPr>
          <w:rFonts w:ascii="Arial" w:hAnsi="Arial" w:cs="Arial"/>
          <w:color w:val="000000"/>
        </w:rPr>
        <w:t>Within machine learning (ML) adoption literature, methodological limitations persist. Razzaq et al. (2025) highlight that many e-commerce cybersecurity studies prioritize algorithmic accuracy while neglecting measurement diagnostics and mediation structures. Similarly, Mohamed (2025) underscores insufficient modeling of trust, explainability, and organizational context. Accordingly, this study advances prior research by employing SEM to examine both measurement and structural paths, positioning behavioral intention as a mediator between UTAUT antecedents and actual ML usage, while applying rigorous reliability, validity, and predictive checks to enhance empirical precision and theoretical robustness in cybersecurity adoption research.</w:t>
      </w:r>
    </w:p>
    <w:p w14:paraId="59A857F0" w14:textId="77777777" w:rsidR="00EC5A97" w:rsidRPr="003C5218" w:rsidRDefault="003C5218" w:rsidP="00F92F67">
      <w:pPr>
        <w:pStyle w:val="Heading1"/>
        <w:spacing w:before="240" w:line="360" w:lineRule="auto"/>
        <w:rPr>
          <w:rFonts w:ascii="Arial" w:hAnsi="Arial" w:cs="Arial"/>
          <w:szCs w:val="24"/>
        </w:rPr>
      </w:pPr>
      <w:r>
        <w:rPr>
          <w:rFonts w:ascii="Arial" w:hAnsi="Arial" w:cs="Arial"/>
          <w:szCs w:val="24"/>
        </w:rPr>
        <w:t>3.</w:t>
      </w:r>
      <w:r>
        <w:rPr>
          <w:rFonts w:ascii="Arial" w:hAnsi="Arial" w:cs="Arial"/>
          <w:szCs w:val="24"/>
        </w:rPr>
        <w:tab/>
      </w:r>
      <w:r w:rsidR="00E26F44">
        <w:rPr>
          <w:rFonts w:ascii="Arial" w:hAnsi="Arial" w:cs="Arial"/>
          <w:szCs w:val="24"/>
        </w:rPr>
        <w:t>Methods</w:t>
      </w:r>
    </w:p>
    <w:p w14:paraId="2A427F36"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This study adopted a quantitative research design structured around the Unified Theory of Acceptance and Use of Technology (UTAUT) framework.</w:t>
      </w:r>
      <w:r w:rsidR="00F92F67">
        <w:rPr>
          <w:rFonts w:ascii="Arial" w:hAnsi="Arial" w:cs="Arial"/>
          <w:sz w:val="24"/>
          <w:szCs w:val="24"/>
        </w:rPr>
        <w:t xml:space="preserve"> The analysis utilized the open </w:t>
      </w:r>
      <w:r w:rsidRPr="003C5218">
        <w:rPr>
          <w:rFonts w:ascii="Arial" w:hAnsi="Arial" w:cs="Arial"/>
          <w:sz w:val="24"/>
          <w:szCs w:val="24"/>
        </w:rPr>
        <w:t>access Mendeley Data repository titled “UTAUT, Combining PLS-SEM and MLR” (CC BY 4.0), containing validated latent construct scores for Performance Expectancy (PE), Effort Expectancy (EE), Social Influence (SI), Facilitating Conditions (FC), Behavioral Intention (BI), and Actual Use (USE). The dataset provides comprehensive indicators to estimate both direct and mediating relationships among constructs relevant to the adoption of machine learning (ML) cybersecurity systems in e-commerce contexts.</w:t>
      </w:r>
    </w:p>
    <w:p w14:paraId="5416F91B"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 xml:space="preserve">Partial Least Squares Structural Equation Modeling (PLS-SEM) was employed to examine the hypothesized relationships, emphasizing prediction and theory development within moderate sample conditions. The model estimation followed a reflective measurement approach, where each latent construct is represented </w:t>
      </w:r>
      <w:r w:rsidRPr="003C5218">
        <w:rPr>
          <w:rFonts w:ascii="Arial" w:hAnsi="Arial" w:cs="Arial"/>
          <w:sz w:val="24"/>
          <w:szCs w:val="24"/>
        </w:rPr>
        <w:lastRenderedPageBreak/>
        <w:t>by multiple observed indicators. Path coefficients (β), t-values, and p-values were computed using a bootstrapping procedure with 5,000 resamples to ensure robustness of parameter estimates.</w:t>
      </w:r>
    </w:p>
    <w:p w14:paraId="105F6D62"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The measurement and structural equations were specified as follows:</w:t>
      </w:r>
    </w:p>
    <w:p w14:paraId="37F403A5"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b/>
          <w:sz w:val="24"/>
          <w:szCs w:val="24"/>
        </w:rPr>
        <w:t>Measurement Model:</w:t>
      </w:r>
    </w:p>
    <w:p w14:paraId="273CAFE1" w14:textId="77777777" w:rsidR="00EC5A97" w:rsidRPr="003C5218" w:rsidRDefault="002973E4" w:rsidP="00F92F67">
      <w:pPr>
        <w:spacing w:before="240" w:line="360" w:lineRule="auto"/>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λ</m:t>
              </m:r>
            </m:e>
            <m:sub>
              <m:r>
                <w:rPr>
                  <w:rFonts w:ascii="Cambria Math" w:hAnsi="Cambria Math" w:cs="Arial"/>
                  <w:sz w:val="24"/>
                  <w:szCs w:val="24"/>
                </w:rPr>
                <m:t>i</m:t>
              </m:r>
            </m:sub>
          </m:sSub>
          <m:r>
            <w:rPr>
              <w:rFonts w:ascii="Cambria Math" w:hAnsi="Cambria Math" w:cs="Arial"/>
              <w:sz w:val="24"/>
              <w:szCs w:val="24"/>
            </w:rPr>
            <m:t>η</m:t>
          </m:r>
          <m:r>
            <w:rPr>
              <w:rFonts w:ascii="Cambria Math" w:hAnsi="Cambria Math" w:cs="Arial"/>
              <w:sz w:val="24"/>
              <w:szCs w:val="24"/>
            </w:rPr>
            <m:t xml:space="preserve"> + </m:t>
          </m:r>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i</m:t>
              </m:r>
            </m:sub>
          </m:sSub>
        </m:oMath>
      </m:oMathPara>
    </w:p>
    <w:p w14:paraId="5E340388"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oMath>
      <w:r w:rsidRPr="003C5218">
        <w:rPr>
          <w:rFonts w:ascii="Arial" w:hAnsi="Arial" w:cs="Arial"/>
          <w:sz w:val="24"/>
          <w:szCs w:val="24"/>
        </w:rPr>
        <w:t xml:space="preserve"> denotes the observed indicators, </w:t>
      </w:r>
      <m:oMath>
        <m:sSub>
          <m:sSubPr>
            <m:ctrlPr>
              <w:rPr>
                <w:rFonts w:ascii="Cambria Math" w:hAnsi="Cambria Math" w:cs="Arial"/>
                <w:i/>
                <w:sz w:val="24"/>
                <w:szCs w:val="24"/>
              </w:rPr>
            </m:ctrlPr>
          </m:sSubPr>
          <m:e>
            <m:r>
              <w:rPr>
                <w:rFonts w:ascii="Cambria Math" w:hAnsi="Cambria Math" w:cs="Arial"/>
                <w:sz w:val="24"/>
                <w:szCs w:val="24"/>
              </w:rPr>
              <m:t>λ</m:t>
            </m:r>
          </m:e>
          <m:sub>
            <m:r>
              <w:rPr>
                <w:rFonts w:ascii="Cambria Math" w:hAnsi="Cambria Math" w:cs="Arial"/>
                <w:sz w:val="24"/>
                <w:szCs w:val="24"/>
              </w:rPr>
              <m:t>i</m:t>
            </m:r>
          </m:sub>
        </m:sSub>
      </m:oMath>
      <w:r w:rsidRPr="003C5218">
        <w:rPr>
          <w:rFonts w:ascii="Arial" w:hAnsi="Arial" w:cs="Arial"/>
          <w:sz w:val="24"/>
          <w:szCs w:val="24"/>
        </w:rPr>
        <w:t xml:space="preserve"> represents the factor loadings, η is the latent construct, and </w:t>
      </w:r>
      <m:oMath>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i</m:t>
            </m:r>
          </m:sub>
        </m:sSub>
      </m:oMath>
      <w:r w:rsidRPr="003C5218">
        <w:rPr>
          <w:rFonts w:ascii="Arial" w:hAnsi="Arial" w:cs="Arial"/>
          <w:sz w:val="24"/>
          <w:szCs w:val="24"/>
        </w:rPr>
        <w:t xml:space="preserve"> is the measurement error term.</w:t>
      </w:r>
    </w:p>
    <w:p w14:paraId="0C786C79"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b/>
          <w:sz w:val="24"/>
          <w:szCs w:val="24"/>
        </w:rPr>
        <w:t>Structural Model:</w:t>
      </w:r>
    </w:p>
    <w:p w14:paraId="02E61F4C" w14:textId="77777777" w:rsidR="00EC5A97" w:rsidRPr="003C5218" w:rsidRDefault="002973E4" w:rsidP="00F92F67">
      <w:pPr>
        <w:spacing w:before="240" w:line="360" w:lineRule="auto"/>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η</m:t>
              </m:r>
            </m:e>
            <m:sub>
              <m:r>
                <w:rPr>
                  <w:rFonts w:ascii="Cambria Math" w:hAnsi="Cambria Math" w:cs="Arial"/>
                  <w:sz w:val="24"/>
                  <w:szCs w:val="24"/>
                </w:rPr>
                <m:t>2</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0</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1</m:t>
              </m:r>
              <m:sSub>
                <m:sSubPr>
                  <m:ctrlPr>
                    <w:rPr>
                      <w:rFonts w:ascii="Cambria Math" w:hAnsi="Cambria Math" w:cs="Arial"/>
                      <w:i/>
                      <w:sz w:val="24"/>
                      <w:szCs w:val="24"/>
                    </w:rPr>
                  </m:ctrlPr>
                </m:sSubPr>
                <m:e>
                  <m:r>
                    <w:rPr>
                      <w:rFonts w:ascii="Cambria Math" w:hAnsi="Cambria Math" w:cs="Arial"/>
                      <w:sz w:val="24"/>
                      <w:szCs w:val="24"/>
                    </w:rPr>
                    <m:t>η</m:t>
                  </m:r>
                </m:e>
                <m:sub>
                  <m:r>
                    <w:rPr>
                      <w:rFonts w:ascii="Cambria Math" w:hAnsi="Cambria Math" w:cs="Arial"/>
                      <w:sz w:val="24"/>
                      <w:szCs w:val="24"/>
                    </w:rPr>
                    <m:t>1</m:t>
                  </m:r>
                </m:sub>
              </m:sSub>
            </m:sub>
          </m:sSub>
          <m:r>
            <w:rPr>
              <w:rFonts w:ascii="Cambria Math" w:hAnsi="Cambria Math" w:cs="Arial"/>
              <w:sz w:val="24"/>
              <w:szCs w:val="24"/>
            </w:rPr>
            <m:t xml:space="preserve">+ </m:t>
          </m:r>
          <m:r>
            <w:rPr>
              <w:rFonts w:ascii="Cambria Math" w:hAnsi="Cambria Math" w:cs="Arial"/>
              <w:sz w:val="24"/>
              <w:szCs w:val="24"/>
            </w:rPr>
            <m:t>ζ</m:t>
          </m:r>
        </m:oMath>
      </m:oMathPara>
    </w:p>
    <w:p w14:paraId="514B6912"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η</m:t>
            </m:r>
          </m:e>
          <m:sub>
            <m:r>
              <w:rPr>
                <w:rFonts w:ascii="Cambria Math" w:hAnsi="Cambria Math" w:cs="Arial"/>
                <w:sz w:val="24"/>
                <w:szCs w:val="24"/>
              </w:rPr>
              <m:t>1</m:t>
            </m:r>
          </m:sub>
        </m:sSub>
      </m:oMath>
      <w:r w:rsidRPr="003C5218">
        <w:rPr>
          <w:rFonts w:ascii="Arial" w:hAnsi="Arial"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η</m:t>
            </m:r>
          </m:e>
          <m:sub>
            <m:r>
              <w:rPr>
                <w:rFonts w:ascii="Cambria Math" w:hAnsi="Cambria Math" w:cs="Arial"/>
                <w:sz w:val="24"/>
                <w:szCs w:val="24"/>
              </w:rPr>
              <m:t>2</m:t>
            </m:r>
          </m:sub>
        </m:sSub>
      </m:oMath>
      <w:r w:rsidRPr="003C5218">
        <w:rPr>
          <w:rFonts w:ascii="Arial" w:hAnsi="Arial" w:cs="Arial"/>
          <w:sz w:val="24"/>
          <w:szCs w:val="24"/>
        </w:rPr>
        <w:t xml:space="preserve"> denote exogenous and endogenous latent constructs respectively, β represents the path coefficient, and ζ is the structural disturbance term.</w:t>
      </w:r>
    </w:p>
    <w:p w14:paraId="550AB5CD"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To examine the mediating effect of Behavioral Intention (BI) between the UTAUT constructs and Actual Use (USE), a mediation model was implemented following the sequential equations:</w:t>
      </w:r>
    </w:p>
    <w:p w14:paraId="16ED5749" w14:textId="77777777" w:rsidR="00EC5A97" w:rsidRPr="003C5218" w:rsidRDefault="00EC5A97" w:rsidP="00F92F67">
      <w:pPr>
        <w:spacing w:before="240" w:line="360" w:lineRule="auto"/>
        <w:rPr>
          <w:rFonts w:ascii="Arial" w:hAnsi="Arial" w:cs="Arial"/>
          <w:sz w:val="24"/>
          <w:szCs w:val="24"/>
        </w:rPr>
      </w:pPr>
      <m:oMathPara>
        <m:oMath>
          <m:r>
            <w:rPr>
              <w:rFonts w:ascii="Cambria Math" w:hAnsi="Cambria Math" w:cs="Arial"/>
              <w:sz w:val="24"/>
              <w:szCs w:val="24"/>
            </w:rPr>
            <m:t xml:space="preserve">BI = </m:t>
          </m:r>
          <m:sSup>
            <m:sSupPr>
              <m:ctrlPr>
                <w:rPr>
                  <w:rFonts w:ascii="Cambria Math" w:hAnsi="Cambria Math" w:cs="Arial"/>
                  <w:i/>
                  <w:sz w:val="24"/>
                  <w:szCs w:val="24"/>
                </w:rPr>
              </m:ctrlPr>
            </m:sSupPr>
            <m:e>
              <m:r>
                <w:rPr>
                  <w:rFonts w:ascii="Cambria Math" w:hAnsi="Cambria Math" w:cs="Arial"/>
                  <w:sz w:val="24"/>
                  <w:szCs w:val="24"/>
                </w:rPr>
                <m:t>β</m:t>
              </m:r>
            </m:e>
            <m:sup>
              <m:r>
                <w:rPr>
                  <w:rFonts w:ascii="Cambria Math" w:hAnsi="Cambria Math" w:cs="Arial"/>
                  <w:sz w:val="24"/>
                  <w:szCs w:val="24"/>
                </w:rPr>
                <m:t>0</m:t>
              </m:r>
            </m:sup>
          </m:sSup>
          <m:r>
            <w:rPr>
              <w:rFonts w:ascii="Cambria Math" w:hAnsi="Cambria Math" w:cs="Arial"/>
              <w:sz w:val="24"/>
              <w:szCs w:val="24"/>
            </w:rPr>
            <m:t xml:space="preserve">+ </m:t>
          </m:r>
          <m:sSup>
            <m:sSupPr>
              <m:ctrlPr>
                <w:rPr>
                  <w:rFonts w:ascii="Cambria Math" w:hAnsi="Cambria Math" w:cs="Arial"/>
                  <w:i/>
                  <w:sz w:val="24"/>
                  <w:szCs w:val="24"/>
                </w:rPr>
              </m:ctrlPr>
            </m:sSupPr>
            <m:e>
              <m:r>
                <w:rPr>
                  <w:rFonts w:ascii="Cambria Math" w:hAnsi="Cambria Math" w:cs="Arial"/>
                  <w:sz w:val="24"/>
                  <w:szCs w:val="24"/>
                </w:rPr>
                <m:t>β</m:t>
              </m:r>
            </m:e>
            <m:sup>
              <m:r>
                <w:rPr>
                  <w:rFonts w:ascii="Cambria Math" w:hAnsi="Cambria Math" w:cs="Arial"/>
                  <w:sz w:val="24"/>
                  <w:szCs w:val="24"/>
                </w:rPr>
                <m:t>1</m:t>
              </m:r>
            </m:sup>
          </m:sSup>
          <m:r>
            <w:rPr>
              <w:rFonts w:ascii="Cambria Math" w:hAnsi="Cambria Math" w:cs="Arial"/>
              <w:sz w:val="24"/>
              <w:szCs w:val="24"/>
            </w:rPr>
            <m:t xml:space="preserve">PE + </m:t>
          </m:r>
          <m:sSup>
            <m:sSupPr>
              <m:ctrlPr>
                <w:rPr>
                  <w:rFonts w:ascii="Cambria Math" w:hAnsi="Cambria Math" w:cs="Arial"/>
                  <w:i/>
                  <w:sz w:val="24"/>
                  <w:szCs w:val="24"/>
                </w:rPr>
              </m:ctrlPr>
            </m:sSupPr>
            <m:e>
              <m:r>
                <w:rPr>
                  <w:rFonts w:ascii="Cambria Math" w:hAnsi="Cambria Math" w:cs="Arial"/>
                  <w:sz w:val="24"/>
                  <w:szCs w:val="24"/>
                </w:rPr>
                <m:t>β</m:t>
              </m:r>
            </m:e>
            <m:sup>
              <m:r>
                <w:rPr>
                  <w:rFonts w:ascii="Cambria Math" w:hAnsi="Cambria Math" w:cs="Arial"/>
                  <w:sz w:val="24"/>
                  <w:szCs w:val="24"/>
                </w:rPr>
                <m:t>2</m:t>
              </m:r>
            </m:sup>
          </m:sSup>
          <m:r>
            <w:rPr>
              <w:rFonts w:ascii="Cambria Math" w:hAnsi="Cambria Math" w:cs="Arial"/>
              <w:sz w:val="24"/>
              <w:szCs w:val="24"/>
            </w:rPr>
            <m:t xml:space="preserve">EE + </m:t>
          </m:r>
          <m:sSup>
            <m:sSupPr>
              <m:ctrlPr>
                <w:rPr>
                  <w:rFonts w:ascii="Cambria Math" w:hAnsi="Cambria Math" w:cs="Arial"/>
                  <w:i/>
                  <w:sz w:val="24"/>
                  <w:szCs w:val="24"/>
                </w:rPr>
              </m:ctrlPr>
            </m:sSupPr>
            <m:e>
              <m:r>
                <w:rPr>
                  <w:rFonts w:ascii="Cambria Math" w:hAnsi="Cambria Math" w:cs="Arial"/>
                  <w:sz w:val="24"/>
                  <w:szCs w:val="24"/>
                </w:rPr>
                <m:t>β</m:t>
              </m:r>
            </m:e>
            <m:sup>
              <m:r>
                <w:rPr>
                  <w:rFonts w:ascii="Cambria Math" w:hAnsi="Cambria Math" w:cs="Arial"/>
                  <w:sz w:val="24"/>
                  <w:szCs w:val="24"/>
                </w:rPr>
                <m:t>3</m:t>
              </m:r>
            </m:sup>
          </m:sSup>
          <m:r>
            <w:rPr>
              <w:rFonts w:ascii="Cambria Math" w:hAnsi="Cambria Math" w:cs="Arial"/>
              <w:sz w:val="24"/>
              <w:szCs w:val="24"/>
            </w:rPr>
            <m:t xml:space="preserve">SI + </m:t>
          </m:r>
          <m:sSup>
            <m:sSupPr>
              <m:ctrlPr>
                <w:rPr>
                  <w:rFonts w:ascii="Cambria Math" w:hAnsi="Cambria Math" w:cs="Arial"/>
                  <w:i/>
                  <w:sz w:val="24"/>
                  <w:szCs w:val="24"/>
                </w:rPr>
              </m:ctrlPr>
            </m:sSupPr>
            <m:e>
              <m:r>
                <w:rPr>
                  <w:rFonts w:ascii="Cambria Math" w:hAnsi="Cambria Math" w:cs="Arial"/>
                  <w:sz w:val="24"/>
                  <w:szCs w:val="24"/>
                </w:rPr>
                <m:t>β</m:t>
              </m:r>
            </m:e>
            <m:sup>
              <m:r>
                <w:rPr>
                  <w:rFonts w:ascii="Cambria Math" w:hAnsi="Cambria Math" w:cs="Arial"/>
                  <w:sz w:val="24"/>
                  <w:szCs w:val="24"/>
                </w:rPr>
                <m:t>4</m:t>
              </m:r>
            </m:sup>
          </m:sSup>
          <m:r>
            <w:rPr>
              <w:rFonts w:ascii="Cambria Math" w:hAnsi="Cambria Math" w:cs="Arial"/>
              <w:sz w:val="24"/>
              <w:szCs w:val="24"/>
            </w:rPr>
            <m:t xml:space="preserve">FC + </m:t>
          </m:r>
          <m:sSup>
            <m:sSupPr>
              <m:ctrlPr>
                <w:rPr>
                  <w:rFonts w:ascii="Cambria Math" w:hAnsi="Cambria Math" w:cs="Arial"/>
                  <w:i/>
                  <w:sz w:val="24"/>
                  <w:szCs w:val="24"/>
                </w:rPr>
              </m:ctrlPr>
            </m:sSupPr>
            <m:e>
              <m:r>
                <w:rPr>
                  <w:rFonts w:ascii="Cambria Math" w:hAnsi="Cambria Math" w:cs="Arial"/>
                  <w:sz w:val="24"/>
                  <w:szCs w:val="24"/>
                </w:rPr>
                <m:t>ε</m:t>
              </m:r>
            </m:e>
            <m:sup>
              <m:r>
                <w:rPr>
                  <w:rFonts w:ascii="Cambria Math" w:hAnsi="Cambria Math" w:cs="Arial"/>
                  <w:sz w:val="24"/>
                  <w:szCs w:val="24"/>
                </w:rPr>
                <m:t>1</m:t>
              </m:r>
            </m:sup>
          </m:sSup>
        </m:oMath>
      </m:oMathPara>
    </w:p>
    <w:p w14:paraId="2A3A4EE2" w14:textId="77777777" w:rsidR="00EC5A97" w:rsidRPr="003C5218" w:rsidRDefault="00EC5A97" w:rsidP="00F92F67">
      <w:pPr>
        <w:spacing w:before="240" w:line="360" w:lineRule="auto"/>
        <w:rPr>
          <w:rFonts w:ascii="Arial" w:hAnsi="Arial" w:cs="Arial"/>
          <w:sz w:val="24"/>
          <w:szCs w:val="24"/>
        </w:rPr>
      </w:pPr>
      <m:oMathPara>
        <m:oMath>
          <m:r>
            <w:rPr>
              <w:rFonts w:ascii="Cambria Math" w:hAnsi="Cambria Math" w:cs="Arial"/>
              <w:sz w:val="24"/>
              <w:szCs w:val="24"/>
            </w:rPr>
            <m:t xml:space="preserve">USE = </m:t>
          </m:r>
          <m:sSup>
            <m:sSupPr>
              <m:ctrlPr>
                <w:rPr>
                  <w:rFonts w:ascii="Cambria Math" w:hAnsi="Cambria Math" w:cs="Arial"/>
                  <w:i/>
                  <w:sz w:val="24"/>
                  <w:szCs w:val="24"/>
                </w:rPr>
              </m:ctrlPr>
            </m:sSupPr>
            <m:e>
              <m:r>
                <w:rPr>
                  <w:rFonts w:ascii="Cambria Math" w:hAnsi="Cambria Math" w:cs="Arial"/>
                  <w:sz w:val="24"/>
                  <w:szCs w:val="24"/>
                </w:rPr>
                <m:t>α</m:t>
              </m:r>
            </m:e>
            <m:sup>
              <m:r>
                <w:rPr>
                  <w:rFonts w:ascii="Cambria Math" w:hAnsi="Cambria Math" w:cs="Arial"/>
                  <w:sz w:val="24"/>
                  <w:szCs w:val="24"/>
                </w:rPr>
                <m:t>0</m:t>
              </m:r>
            </m:sup>
          </m:sSup>
          <m:r>
            <w:rPr>
              <w:rFonts w:ascii="Cambria Math" w:hAnsi="Cambria Math" w:cs="Arial"/>
              <w:sz w:val="24"/>
              <w:szCs w:val="24"/>
            </w:rPr>
            <m:t xml:space="preserve">+ </m:t>
          </m:r>
          <m:sSup>
            <m:sSupPr>
              <m:ctrlPr>
                <w:rPr>
                  <w:rFonts w:ascii="Cambria Math" w:hAnsi="Cambria Math" w:cs="Arial"/>
                  <w:i/>
                  <w:sz w:val="24"/>
                  <w:szCs w:val="24"/>
                </w:rPr>
              </m:ctrlPr>
            </m:sSupPr>
            <m:e>
              <m:r>
                <w:rPr>
                  <w:rFonts w:ascii="Cambria Math" w:hAnsi="Cambria Math" w:cs="Arial"/>
                  <w:sz w:val="24"/>
                  <w:szCs w:val="24"/>
                </w:rPr>
                <m:t>α</m:t>
              </m:r>
            </m:e>
            <m:sup>
              <m:r>
                <w:rPr>
                  <w:rFonts w:ascii="Cambria Math" w:hAnsi="Cambria Math" w:cs="Arial"/>
                  <w:sz w:val="24"/>
                  <w:szCs w:val="24"/>
                </w:rPr>
                <m:t>1</m:t>
              </m:r>
            </m:sup>
          </m:sSup>
          <m:r>
            <w:rPr>
              <w:rFonts w:ascii="Cambria Math" w:hAnsi="Cambria Math" w:cs="Arial"/>
              <w:sz w:val="24"/>
              <w:szCs w:val="24"/>
            </w:rPr>
            <m:t xml:space="preserve">BI + </m:t>
          </m:r>
          <m:sSup>
            <m:sSupPr>
              <m:ctrlPr>
                <w:rPr>
                  <w:rFonts w:ascii="Cambria Math" w:hAnsi="Cambria Math" w:cs="Arial"/>
                  <w:i/>
                  <w:sz w:val="24"/>
                  <w:szCs w:val="24"/>
                </w:rPr>
              </m:ctrlPr>
            </m:sSupPr>
            <m:e>
              <m:r>
                <w:rPr>
                  <w:rFonts w:ascii="Cambria Math" w:hAnsi="Cambria Math" w:cs="Arial"/>
                  <w:sz w:val="24"/>
                  <w:szCs w:val="24"/>
                </w:rPr>
                <m:t>ε</m:t>
              </m:r>
            </m:e>
            <m:sup>
              <m:r>
                <w:rPr>
                  <w:rFonts w:ascii="Cambria Math" w:hAnsi="Cambria Math" w:cs="Arial"/>
                  <w:sz w:val="24"/>
                  <w:szCs w:val="24"/>
                </w:rPr>
                <m:t>2</m:t>
              </m:r>
            </m:sup>
          </m:sSup>
        </m:oMath>
      </m:oMathPara>
    </w:p>
    <w:p w14:paraId="19F0F2E5"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The indirect effect of each predictor through BI was calculated as the product of the relevant coefficients:</w:t>
      </w:r>
    </w:p>
    <w:p w14:paraId="4BA2F6E9" w14:textId="77777777" w:rsidR="00EC5A97" w:rsidRPr="003C5218" w:rsidRDefault="00EC5A97" w:rsidP="00F92F67">
      <w:pPr>
        <w:spacing w:before="240" w:line="360" w:lineRule="auto"/>
        <w:rPr>
          <w:rFonts w:ascii="Arial" w:hAnsi="Arial" w:cs="Arial"/>
          <w:sz w:val="24"/>
          <w:szCs w:val="24"/>
        </w:rPr>
      </w:pPr>
      <m:oMathPara>
        <m:oMath>
          <m:r>
            <w:rPr>
              <w:rFonts w:ascii="Cambria Math" w:hAnsi="Cambria Math" w:cs="Arial"/>
              <w:sz w:val="24"/>
              <w:szCs w:val="24"/>
            </w:rPr>
            <m:t xml:space="preserve">Indirect Effect = </m:t>
          </m:r>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i</m:t>
              </m:r>
            </m:sub>
          </m:sSub>
          <m:r>
            <w:rPr>
              <w:rFonts w:ascii="Cambria Math" w:hAnsi="Cambria Math" w:cs="Arial"/>
              <w:sz w:val="24"/>
              <w:szCs w:val="24"/>
            </w:rPr>
            <m:t xml:space="preserve">× </m:t>
          </m:r>
          <m:sSup>
            <m:sSupPr>
              <m:ctrlPr>
                <w:rPr>
                  <w:rFonts w:ascii="Cambria Math" w:hAnsi="Cambria Math" w:cs="Arial"/>
                  <w:i/>
                  <w:sz w:val="24"/>
                  <w:szCs w:val="24"/>
                </w:rPr>
              </m:ctrlPr>
            </m:sSupPr>
            <m:e>
              <m:r>
                <w:rPr>
                  <w:rFonts w:ascii="Cambria Math" w:hAnsi="Cambria Math" w:cs="Arial"/>
                  <w:sz w:val="24"/>
                  <w:szCs w:val="24"/>
                </w:rPr>
                <m:t>α</m:t>
              </m:r>
            </m:e>
            <m:sup>
              <m:r>
                <w:rPr>
                  <w:rFonts w:ascii="Cambria Math" w:hAnsi="Cambria Math" w:cs="Arial"/>
                  <w:sz w:val="24"/>
                  <w:szCs w:val="24"/>
                </w:rPr>
                <m:t>1</m:t>
              </m:r>
            </m:sup>
          </m:sSup>
        </m:oMath>
      </m:oMathPara>
    </w:p>
    <w:p w14:paraId="45E71991" w14:textId="77777777" w:rsidR="00EC5A97" w:rsidRPr="003C5218" w:rsidRDefault="00EC5A97" w:rsidP="00F92F67">
      <w:pPr>
        <w:spacing w:before="240" w:line="360" w:lineRule="auto"/>
        <w:rPr>
          <w:rFonts w:ascii="Arial" w:hAnsi="Arial" w:cs="Arial"/>
          <w:sz w:val="24"/>
          <w:szCs w:val="24"/>
        </w:rPr>
      </w:pPr>
      <m:oMathPara>
        <m:oMath>
          <m:r>
            <w:rPr>
              <w:rFonts w:ascii="Cambria Math" w:hAnsi="Cambria Math" w:cs="Arial"/>
              <w:sz w:val="24"/>
              <w:szCs w:val="24"/>
            </w:rPr>
            <m:t xml:space="preserve">Total Effect = </m:t>
          </m:r>
          <m:d>
            <m:dPr>
              <m:ctrlPr>
                <w:rPr>
                  <w:rFonts w:ascii="Cambria Math" w:hAnsi="Cambria Math" w:cs="Arial"/>
                  <w:i/>
                  <w:sz w:val="24"/>
                  <w:szCs w:val="24"/>
                </w:rPr>
              </m:ctrlPr>
            </m:dPr>
            <m:e>
              <m:r>
                <w:rPr>
                  <w:rFonts w:ascii="Cambria Math" w:hAnsi="Cambria Math" w:cs="Arial"/>
                  <w:sz w:val="24"/>
                  <w:szCs w:val="24"/>
                </w:rPr>
                <m:t>Direct Effect</m:t>
              </m:r>
            </m:e>
          </m:d>
          <m:r>
            <w:rPr>
              <w:rFonts w:ascii="Cambria Math" w:hAnsi="Cambria Math" w:cs="Arial"/>
              <w:sz w:val="24"/>
              <w:szCs w:val="24"/>
            </w:rPr>
            <m:t xml:space="preserve">+ </m:t>
          </m:r>
          <m:d>
            <m:dPr>
              <m:ctrlPr>
                <w:rPr>
                  <w:rFonts w:ascii="Cambria Math" w:hAnsi="Cambria Math" w:cs="Arial"/>
                  <w:i/>
                  <w:sz w:val="24"/>
                  <w:szCs w:val="24"/>
                </w:rPr>
              </m:ctrlPr>
            </m:dPr>
            <m:e>
              <m:r>
                <w:rPr>
                  <w:rFonts w:ascii="Cambria Math" w:hAnsi="Cambria Math" w:cs="Arial"/>
                  <w:sz w:val="24"/>
                  <w:szCs w:val="24"/>
                </w:rPr>
                <m:t>Indirect Effect</m:t>
              </m:r>
            </m:e>
          </m:d>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γ</m:t>
              </m:r>
            </m:e>
            <m:sub>
              <m:r>
                <w:rPr>
                  <w:rFonts w:ascii="Cambria Math" w:hAnsi="Cambria Math" w:cs="Arial"/>
                  <w:sz w:val="24"/>
                  <w:szCs w:val="24"/>
                </w:rPr>
                <m:t>i</m:t>
              </m:r>
            </m:sub>
          </m:sSub>
          <m:r>
            <w:rPr>
              <w:rFonts w:ascii="Cambria Math" w:hAnsi="Cambria Math" w:cs="Arial"/>
              <w:sz w:val="24"/>
              <w:szCs w:val="24"/>
            </w:rPr>
            <m:t xml:space="preserve">+ </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β</m:t>
                  </m:r>
                </m:e>
                <m:sub>
                  <m:r>
                    <w:rPr>
                      <w:rFonts w:ascii="Cambria Math" w:hAnsi="Cambria Math" w:cs="Arial"/>
                      <w:sz w:val="24"/>
                      <w:szCs w:val="24"/>
                    </w:rPr>
                    <m:t>i</m:t>
                  </m:r>
                </m:sub>
              </m:sSub>
              <m:r>
                <w:rPr>
                  <w:rFonts w:ascii="Cambria Math" w:hAnsi="Cambria Math" w:cs="Arial"/>
                  <w:sz w:val="24"/>
                  <w:szCs w:val="24"/>
                </w:rPr>
                <m:t xml:space="preserve">× </m:t>
              </m:r>
              <m:sSup>
                <m:sSupPr>
                  <m:ctrlPr>
                    <w:rPr>
                      <w:rFonts w:ascii="Cambria Math" w:hAnsi="Cambria Math" w:cs="Arial"/>
                      <w:i/>
                      <w:sz w:val="24"/>
                      <w:szCs w:val="24"/>
                    </w:rPr>
                  </m:ctrlPr>
                </m:sSupPr>
                <m:e>
                  <m:r>
                    <w:rPr>
                      <w:rFonts w:ascii="Cambria Math" w:hAnsi="Cambria Math" w:cs="Arial"/>
                      <w:sz w:val="24"/>
                      <w:szCs w:val="24"/>
                    </w:rPr>
                    <m:t>α</m:t>
                  </m:r>
                </m:e>
                <m:sup>
                  <m:r>
                    <w:rPr>
                      <w:rFonts w:ascii="Cambria Math" w:hAnsi="Cambria Math" w:cs="Arial"/>
                      <w:sz w:val="24"/>
                      <w:szCs w:val="24"/>
                    </w:rPr>
                    <m:t>1</m:t>
                  </m:r>
                </m:sup>
              </m:sSup>
            </m:e>
          </m:d>
        </m:oMath>
      </m:oMathPara>
    </w:p>
    <w:p w14:paraId="4DCCB01C"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lastRenderedPageBreak/>
        <w:t xml:space="preserve">Construct reliability was evaluated through Cronbach’s alpha (α) and Composite Reliability (CR), while convergent validity was assessed using the Average Variance Extracted (AVE). Discriminant validity was established using the </w:t>
      </w:r>
      <w:proofErr w:type="spellStart"/>
      <w:r w:rsidRPr="003C5218">
        <w:rPr>
          <w:rFonts w:ascii="Arial" w:hAnsi="Arial" w:cs="Arial"/>
          <w:sz w:val="24"/>
          <w:szCs w:val="24"/>
        </w:rPr>
        <w:t>Heterotrait</w:t>
      </w:r>
      <w:proofErr w:type="spellEnd"/>
      <w:r w:rsidRPr="003C5218">
        <w:rPr>
          <w:rFonts w:ascii="Arial" w:hAnsi="Arial" w:cs="Arial"/>
          <w:sz w:val="24"/>
          <w:szCs w:val="24"/>
        </w:rPr>
        <w:t>–</w:t>
      </w:r>
      <w:proofErr w:type="spellStart"/>
      <w:r w:rsidRPr="003C5218">
        <w:rPr>
          <w:rFonts w:ascii="Arial" w:hAnsi="Arial" w:cs="Arial"/>
          <w:sz w:val="24"/>
          <w:szCs w:val="24"/>
        </w:rPr>
        <w:t>Monotrait</w:t>
      </w:r>
      <w:proofErr w:type="spellEnd"/>
      <w:r w:rsidRPr="003C5218">
        <w:rPr>
          <w:rFonts w:ascii="Arial" w:hAnsi="Arial" w:cs="Arial"/>
          <w:sz w:val="24"/>
          <w:szCs w:val="24"/>
        </w:rPr>
        <w:t xml:space="preserve"> ratio (HTMT). Each index was compared against established thresholds (α &gt; 0.70, CR &gt; 0.70, AVE &gt; 0.50, HTMT &lt; 0.85). The predictive power of the structural model was further assessed using the coefficient of determination (R²), effect size (f²),</w:t>
      </w:r>
      <w:r w:rsidR="00F92F67">
        <w:rPr>
          <w:rFonts w:ascii="Arial" w:hAnsi="Arial" w:cs="Arial"/>
          <w:sz w:val="24"/>
          <w:szCs w:val="24"/>
        </w:rPr>
        <w:t xml:space="preserve"> and Stone–Geisser’s Q² for out of </w:t>
      </w:r>
      <w:r w:rsidRPr="003C5218">
        <w:rPr>
          <w:rFonts w:ascii="Arial" w:hAnsi="Arial" w:cs="Arial"/>
          <w:sz w:val="24"/>
          <w:szCs w:val="24"/>
        </w:rPr>
        <w:t>sample predictive relevance.</w:t>
      </w:r>
    </w:p>
    <w:p w14:paraId="408CF33F"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For the extended analysis of adoption determinants, the OECD/BCG/INSEAD “Adoption of AI in Firms” dataset (CC BY 4.0) was analyzed using the Fractional Logit Regression model proposed by Papke and Wooldridge. This approach appropriately models bounded depend</w:t>
      </w:r>
      <w:r w:rsidR="00F92F67">
        <w:rPr>
          <w:rFonts w:ascii="Arial" w:hAnsi="Arial" w:cs="Arial"/>
          <w:sz w:val="24"/>
          <w:szCs w:val="24"/>
        </w:rPr>
        <w:t xml:space="preserve">ent variables representing firm </w:t>
      </w:r>
      <w:r w:rsidRPr="003C5218">
        <w:rPr>
          <w:rFonts w:ascii="Arial" w:hAnsi="Arial" w:cs="Arial"/>
          <w:sz w:val="24"/>
          <w:szCs w:val="24"/>
        </w:rPr>
        <w:t>level AI adoption rates within the interval (0, 1). The expected proportion of adoption was modeled using the logistic mean function:</w:t>
      </w:r>
    </w:p>
    <w:p w14:paraId="7A5C7FE4" w14:textId="77777777" w:rsidR="00EC5A97" w:rsidRPr="003C5218" w:rsidRDefault="00EC5A97" w:rsidP="00F92F67">
      <w:pPr>
        <w:spacing w:before="240" w:line="360" w:lineRule="auto"/>
        <w:rPr>
          <w:rFonts w:ascii="Arial" w:hAnsi="Arial" w:cs="Arial"/>
          <w:sz w:val="24"/>
          <w:szCs w:val="24"/>
        </w:rPr>
      </w:pPr>
      <m:oMathPara>
        <m:oMath>
          <m:r>
            <w:rPr>
              <w:rFonts w:ascii="Cambria Math" w:hAnsi="Cambria Math" w:cs="Arial"/>
              <w:sz w:val="24"/>
              <w:szCs w:val="24"/>
            </w:rPr>
            <m:t xml:space="preserve">E(y_i | X_i) = Λ(X_iβ) = 1 / [1 + </m:t>
          </m:r>
          <m:r>
            <m:rPr>
              <m:sty m:val="p"/>
            </m:rPr>
            <w:rPr>
              <w:rFonts w:ascii="Cambria Math" w:hAnsi="Cambria Math" w:cs="Arial"/>
              <w:sz w:val="24"/>
              <w:szCs w:val="24"/>
            </w:rPr>
            <m:t>exp⁡</m:t>
          </m:r>
          <m:r>
            <w:rPr>
              <w:rFonts w:ascii="Cambria Math" w:hAnsi="Cambria Math" w:cs="Arial"/>
              <w:sz w:val="24"/>
              <w:szCs w:val="24"/>
            </w:rPr>
            <m:t>(-X_iβ)]</m:t>
          </m:r>
        </m:oMath>
      </m:oMathPara>
    </w:p>
    <w:p w14:paraId="49A33D05"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 xml:space="preserve">where </w:t>
      </w:r>
      <w:proofErr w:type="spellStart"/>
      <w:r w:rsidRPr="003C5218">
        <w:rPr>
          <w:rFonts w:ascii="Arial" w:hAnsi="Arial" w:cs="Arial"/>
          <w:sz w:val="24"/>
          <w:szCs w:val="24"/>
        </w:rPr>
        <w:t>y_i</w:t>
      </w:r>
      <w:proofErr w:type="spellEnd"/>
      <w:r w:rsidRPr="003C5218">
        <w:rPr>
          <w:rFonts w:ascii="Arial" w:hAnsi="Arial" w:cs="Arial"/>
          <w:sz w:val="24"/>
          <w:szCs w:val="24"/>
        </w:rPr>
        <w:t xml:space="preserve"> is the adoption proportion, </w:t>
      </w:r>
      <w:proofErr w:type="spellStart"/>
      <w:r w:rsidRPr="003C5218">
        <w:rPr>
          <w:rFonts w:ascii="Arial" w:hAnsi="Arial" w:cs="Arial"/>
          <w:sz w:val="24"/>
          <w:szCs w:val="24"/>
        </w:rPr>
        <w:t>X_i</w:t>
      </w:r>
      <w:proofErr w:type="spellEnd"/>
      <w:r w:rsidRPr="003C5218">
        <w:rPr>
          <w:rFonts w:ascii="Arial" w:hAnsi="Arial" w:cs="Arial"/>
          <w:sz w:val="24"/>
          <w:szCs w:val="24"/>
        </w:rPr>
        <w:t xml:space="preserve"> is the vector of predictors (Risk, Trust, Compliance), and β represents the parameter estimates. Average Marginal Effects (AMEs) were computed to interpret the practical influence of each determinant.</w:t>
      </w:r>
    </w:p>
    <w:p w14:paraId="1668D7F0" w14:textId="77777777" w:rsidR="00EC5A97" w:rsidRPr="003C5218" w:rsidRDefault="00EC5A97" w:rsidP="00F92F67">
      <w:pPr>
        <w:spacing w:before="240" w:line="360" w:lineRule="auto"/>
        <w:rPr>
          <w:rFonts w:ascii="Arial" w:hAnsi="Arial" w:cs="Arial"/>
          <w:sz w:val="24"/>
          <w:szCs w:val="24"/>
        </w:rPr>
      </w:pPr>
      <w:r w:rsidRPr="003C5218">
        <w:rPr>
          <w:rFonts w:ascii="Arial" w:hAnsi="Arial" w:cs="Arial"/>
          <w:sz w:val="24"/>
          <w:szCs w:val="24"/>
        </w:rPr>
        <w:t>Model adequacy was assessed through R² values, effect sizes, and bootstrapped confidence intervals. Predictive accuracy and theoretical consistency were verified through multicollinearity diagnostics (Variance Inflation Factor), common method bias tests (Harman’s single-factor analysis), and normality checks on residual distributions.</w:t>
      </w:r>
    </w:p>
    <w:p w14:paraId="4F30D3F9" w14:textId="77777777" w:rsidR="00B0378E" w:rsidRPr="003C5218" w:rsidRDefault="003C5218" w:rsidP="00F92F67">
      <w:pPr>
        <w:pStyle w:val="Heading1"/>
        <w:spacing w:before="240" w:line="360" w:lineRule="auto"/>
        <w:rPr>
          <w:rFonts w:ascii="Arial" w:hAnsi="Arial" w:cs="Arial"/>
          <w:szCs w:val="24"/>
        </w:rPr>
      </w:pPr>
      <w:r>
        <w:rPr>
          <w:rFonts w:ascii="Arial" w:hAnsi="Arial" w:cs="Arial"/>
          <w:szCs w:val="24"/>
        </w:rPr>
        <w:lastRenderedPageBreak/>
        <w:t xml:space="preserve">4. </w:t>
      </w:r>
      <w:r>
        <w:rPr>
          <w:rFonts w:ascii="Arial" w:hAnsi="Arial" w:cs="Arial"/>
          <w:szCs w:val="24"/>
        </w:rPr>
        <w:tab/>
      </w:r>
      <w:r w:rsidR="00B0378E" w:rsidRPr="003C5218">
        <w:rPr>
          <w:rFonts w:ascii="Arial" w:hAnsi="Arial" w:cs="Arial"/>
          <w:szCs w:val="24"/>
        </w:rPr>
        <w:t>Result</w:t>
      </w:r>
      <w:r w:rsidR="00E26F44">
        <w:rPr>
          <w:rFonts w:ascii="Arial" w:hAnsi="Arial" w:cs="Arial"/>
          <w:szCs w:val="24"/>
        </w:rPr>
        <w:t>s and Discussion</w:t>
      </w:r>
    </w:p>
    <w:p w14:paraId="1F40E3BB" w14:textId="77777777" w:rsidR="00E077CC" w:rsidRPr="003C5218" w:rsidRDefault="00A96788" w:rsidP="00F92F67">
      <w:pPr>
        <w:pStyle w:val="Heading1"/>
        <w:spacing w:before="240" w:line="360" w:lineRule="auto"/>
        <w:rPr>
          <w:rFonts w:ascii="Arial" w:hAnsi="Arial" w:cs="Arial"/>
          <w:szCs w:val="24"/>
        </w:rPr>
      </w:pPr>
      <w:r w:rsidRPr="003C5218">
        <w:rPr>
          <w:rFonts w:ascii="Arial" w:hAnsi="Arial" w:cs="Arial"/>
          <w:szCs w:val="24"/>
        </w:rPr>
        <w:t>Objective 1: Examining Core UTAUT Constructs Influencing Behavioral Intention to Adopt ML for Cybersecurity</w:t>
      </w:r>
    </w:p>
    <w:p w14:paraId="176D4278" w14:textId="77777777" w:rsidR="00E077CC" w:rsidRPr="003C5218" w:rsidRDefault="00A96788" w:rsidP="00F92F67">
      <w:pPr>
        <w:spacing w:before="240" w:line="360" w:lineRule="auto"/>
        <w:jc w:val="both"/>
        <w:rPr>
          <w:rFonts w:ascii="Arial" w:hAnsi="Arial" w:cs="Arial"/>
          <w:sz w:val="24"/>
          <w:szCs w:val="24"/>
        </w:rPr>
      </w:pPr>
      <w:r w:rsidRPr="003C5218">
        <w:rPr>
          <w:rFonts w:ascii="Arial" w:hAnsi="Arial" w:cs="Arial"/>
          <w:sz w:val="24"/>
          <w:szCs w:val="24"/>
        </w:rPr>
        <w:t>The primary objective of this analysis is to examine the relationship between core UTAUT constructs</w:t>
      </w:r>
      <w:r w:rsidR="00E26F44">
        <w:rPr>
          <w:rFonts w:ascii="Arial" w:hAnsi="Arial" w:cs="Arial"/>
          <w:sz w:val="24"/>
          <w:szCs w:val="24"/>
        </w:rPr>
        <w:t xml:space="preserve"> </w:t>
      </w:r>
      <w:r w:rsidRPr="003C5218">
        <w:rPr>
          <w:rFonts w:ascii="Arial" w:hAnsi="Arial" w:cs="Arial"/>
          <w:sz w:val="24"/>
          <w:szCs w:val="24"/>
        </w:rPr>
        <w:t>Performance Expectancy (PE), Effort Expectancy (EE), Social Influence (SI), and Facilitating Conditions (FC)</w:t>
      </w:r>
      <w:r w:rsidR="00E26F44">
        <w:rPr>
          <w:rFonts w:ascii="Arial" w:hAnsi="Arial" w:cs="Arial"/>
          <w:sz w:val="24"/>
          <w:szCs w:val="24"/>
        </w:rPr>
        <w:t xml:space="preserve"> </w:t>
      </w:r>
      <w:r w:rsidRPr="003C5218">
        <w:rPr>
          <w:rFonts w:ascii="Arial" w:hAnsi="Arial" w:cs="Arial"/>
          <w:sz w:val="24"/>
          <w:szCs w:val="24"/>
        </w:rPr>
        <w:t>and Behavioral Intention (BI) to adopt machine learning (ML) for cybersecurity in e-commerce environments. The goal is to determine which constructs exert the strongest influence on adoption intention.</w:t>
      </w:r>
    </w:p>
    <w:p w14:paraId="559BBEA6" w14:textId="77777777" w:rsidR="00E077CC" w:rsidRPr="003C5218" w:rsidRDefault="00A96788" w:rsidP="00F92F67">
      <w:pPr>
        <w:spacing w:before="240" w:line="360" w:lineRule="auto"/>
        <w:jc w:val="both"/>
        <w:rPr>
          <w:rFonts w:ascii="Arial" w:hAnsi="Arial" w:cs="Arial"/>
          <w:sz w:val="24"/>
          <w:szCs w:val="24"/>
        </w:rPr>
      </w:pPr>
      <w:r w:rsidRPr="003C5218">
        <w:rPr>
          <w:rFonts w:ascii="Arial" w:hAnsi="Arial" w:cs="Arial"/>
          <w:sz w:val="24"/>
          <w:szCs w:val="24"/>
        </w:rPr>
        <w:t>The results of the PLS-SEM analysis demonstrate that all four UTAUT constructs significantly predict Behavioral Intention (BI), with Performance Expectancy exerting the strongest influence. The measurement model exhibited high internal consistency and convergent validity across constructs, confirming instrument reliability and theoretical robustness.</w:t>
      </w:r>
    </w:p>
    <w:tbl>
      <w:tblPr>
        <w:tblStyle w:val="TableGrid"/>
        <w:tblW w:w="0" w:type="auto"/>
        <w:tblLook w:val="04A0" w:firstRow="1" w:lastRow="0" w:firstColumn="1" w:lastColumn="0" w:noHBand="0" w:noVBand="1"/>
      </w:tblPr>
      <w:tblGrid>
        <w:gridCol w:w="2158"/>
        <w:gridCol w:w="2158"/>
        <w:gridCol w:w="2157"/>
        <w:gridCol w:w="2157"/>
      </w:tblGrid>
      <w:tr w:rsidR="00E077CC" w:rsidRPr="003C5218" w14:paraId="5DE7F7B9" w14:textId="77777777" w:rsidTr="009A3375">
        <w:tc>
          <w:tcPr>
            <w:tcW w:w="2160" w:type="dxa"/>
          </w:tcPr>
          <w:p w14:paraId="52EDC3F7"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Predictor Construct</w:t>
            </w:r>
          </w:p>
        </w:tc>
        <w:tc>
          <w:tcPr>
            <w:tcW w:w="2160" w:type="dxa"/>
          </w:tcPr>
          <w:p w14:paraId="0683B685"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Path Coefficient (β)</w:t>
            </w:r>
          </w:p>
        </w:tc>
        <w:tc>
          <w:tcPr>
            <w:tcW w:w="2160" w:type="dxa"/>
          </w:tcPr>
          <w:p w14:paraId="05FDD35A"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t-Value</w:t>
            </w:r>
          </w:p>
        </w:tc>
        <w:tc>
          <w:tcPr>
            <w:tcW w:w="2160" w:type="dxa"/>
          </w:tcPr>
          <w:p w14:paraId="75A1DEA9"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p-Value</w:t>
            </w:r>
          </w:p>
        </w:tc>
      </w:tr>
      <w:tr w:rsidR="00E077CC" w:rsidRPr="003C5218" w14:paraId="22AD89BA" w14:textId="77777777" w:rsidTr="009A3375">
        <w:tc>
          <w:tcPr>
            <w:tcW w:w="2160" w:type="dxa"/>
          </w:tcPr>
          <w:p w14:paraId="271757A4"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Performance Expectancy (PE)</w:t>
            </w:r>
          </w:p>
        </w:tc>
        <w:tc>
          <w:tcPr>
            <w:tcW w:w="2160" w:type="dxa"/>
          </w:tcPr>
          <w:p w14:paraId="4589E37A"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0.38</w:t>
            </w:r>
          </w:p>
        </w:tc>
        <w:tc>
          <w:tcPr>
            <w:tcW w:w="2160" w:type="dxa"/>
          </w:tcPr>
          <w:p w14:paraId="55E8A24D"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8.72</w:t>
            </w:r>
          </w:p>
        </w:tc>
        <w:tc>
          <w:tcPr>
            <w:tcW w:w="2160" w:type="dxa"/>
          </w:tcPr>
          <w:p w14:paraId="58A73BCA"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&lt;0.001</w:t>
            </w:r>
          </w:p>
        </w:tc>
      </w:tr>
      <w:tr w:rsidR="00E077CC" w:rsidRPr="003C5218" w14:paraId="06873748" w14:textId="77777777" w:rsidTr="009A3375">
        <w:tc>
          <w:tcPr>
            <w:tcW w:w="2160" w:type="dxa"/>
          </w:tcPr>
          <w:p w14:paraId="76897A23"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Effort Expectancy (EE)</w:t>
            </w:r>
          </w:p>
        </w:tc>
        <w:tc>
          <w:tcPr>
            <w:tcW w:w="2160" w:type="dxa"/>
          </w:tcPr>
          <w:p w14:paraId="131F7B31"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0.31</w:t>
            </w:r>
          </w:p>
        </w:tc>
        <w:tc>
          <w:tcPr>
            <w:tcW w:w="2160" w:type="dxa"/>
          </w:tcPr>
          <w:p w14:paraId="39C5BEA0"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6.94</w:t>
            </w:r>
          </w:p>
        </w:tc>
        <w:tc>
          <w:tcPr>
            <w:tcW w:w="2160" w:type="dxa"/>
          </w:tcPr>
          <w:p w14:paraId="722EBFF6"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&lt;0.001</w:t>
            </w:r>
          </w:p>
        </w:tc>
      </w:tr>
      <w:tr w:rsidR="00E077CC" w:rsidRPr="003C5218" w14:paraId="26554303" w14:textId="77777777" w:rsidTr="009A3375">
        <w:tc>
          <w:tcPr>
            <w:tcW w:w="2160" w:type="dxa"/>
          </w:tcPr>
          <w:p w14:paraId="0C6082D3"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Social Influence (SI)</w:t>
            </w:r>
          </w:p>
        </w:tc>
        <w:tc>
          <w:tcPr>
            <w:tcW w:w="2160" w:type="dxa"/>
          </w:tcPr>
          <w:p w14:paraId="6D879EEF"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0.26</w:t>
            </w:r>
          </w:p>
        </w:tc>
        <w:tc>
          <w:tcPr>
            <w:tcW w:w="2160" w:type="dxa"/>
          </w:tcPr>
          <w:p w14:paraId="06E91F34"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5.81</w:t>
            </w:r>
          </w:p>
        </w:tc>
        <w:tc>
          <w:tcPr>
            <w:tcW w:w="2160" w:type="dxa"/>
          </w:tcPr>
          <w:p w14:paraId="385EC26B"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&lt;0.001</w:t>
            </w:r>
          </w:p>
        </w:tc>
      </w:tr>
      <w:tr w:rsidR="00E077CC" w:rsidRPr="003C5218" w14:paraId="432BAC75" w14:textId="77777777" w:rsidTr="009A3375">
        <w:tc>
          <w:tcPr>
            <w:tcW w:w="2160" w:type="dxa"/>
          </w:tcPr>
          <w:p w14:paraId="2FF89026"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Facilitating Conditions (FC)</w:t>
            </w:r>
          </w:p>
        </w:tc>
        <w:tc>
          <w:tcPr>
            <w:tcW w:w="2160" w:type="dxa"/>
          </w:tcPr>
          <w:p w14:paraId="6DBED546"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0.22</w:t>
            </w:r>
          </w:p>
        </w:tc>
        <w:tc>
          <w:tcPr>
            <w:tcW w:w="2160" w:type="dxa"/>
          </w:tcPr>
          <w:p w14:paraId="4D08C59B"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4.96</w:t>
            </w:r>
          </w:p>
        </w:tc>
        <w:tc>
          <w:tcPr>
            <w:tcW w:w="2160" w:type="dxa"/>
          </w:tcPr>
          <w:p w14:paraId="6491A9CB"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&lt;0.001</w:t>
            </w:r>
          </w:p>
        </w:tc>
      </w:tr>
    </w:tbl>
    <w:p w14:paraId="7D83EAED" w14:textId="77777777" w:rsidR="00E077CC" w:rsidRPr="00F92F67" w:rsidRDefault="009A3375" w:rsidP="00F92F67">
      <w:pPr>
        <w:spacing w:before="240" w:line="360" w:lineRule="auto"/>
        <w:jc w:val="center"/>
        <w:rPr>
          <w:rFonts w:ascii="Arial" w:hAnsi="Arial" w:cs="Arial"/>
          <w:b/>
          <w:i/>
          <w:sz w:val="24"/>
          <w:szCs w:val="24"/>
        </w:rPr>
      </w:pPr>
      <w:r w:rsidRPr="00F92F67">
        <w:rPr>
          <w:rFonts w:ascii="Arial" w:hAnsi="Arial" w:cs="Arial"/>
          <w:b/>
          <w:i/>
          <w:sz w:val="24"/>
          <w:szCs w:val="24"/>
        </w:rPr>
        <w:lastRenderedPageBreak/>
        <w:t xml:space="preserve">Table 1: </w:t>
      </w:r>
      <w:r w:rsidR="00A96788" w:rsidRPr="00F92F67">
        <w:rPr>
          <w:rFonts w:ascii="Arial" w:hAnsi="Arial" w:cs="Arial"/>
          <w:b/>
          <w:i/>
          <w:sz w:val="24"/>
          <w:szCs w:val="24"/>
        </w:rPr>
        <w:t>PLS-SEM standardized path coefficients predicting Behavioral Intention (BI); all paths are significant at p &lt; .001. R²(BI) = 0.67.</w:t>
      </w:r>
    </w:p>
    <w:p w14:paraId="48D891EA"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Measurement reliability and validity indices confirmed acceptable thresholds, as shown in Table 2.</w:t>
      </w:r>
    </w:p>
    <w:tbl>
      <w:tblPr>
        <w:tblStyle w:val="TableGrid"/>
        <w:tblW w:w="0" w:type="auto"/>
        <w:tblLook w:val="04A0" w:firstRow="1" w:lastRow="0" w:firstColumn="1" w:lastColumn="0" w:noHBand="0" w:noVBand="1"/>
      </w:tblPr>
      <w:tblGrid>
        <w:gridCol w:w="2157"/>
        <w:gridCol w:w="2158"/>
        <w:gridCol w:w="2158"/>
        <w:gridCol w:w="2157"/>
      </w:tblGrid>
      <w:tr w:rsidR="00E077CC" w:rsidRPr="003C5218" w14:paraId="08F30788" w14:textId="77777777" w:rsidTr="009A3375">
        <w:tc>
          <w:tcPr>
            <w:tcW w:w="2160" w:type="dxa"/>
          </w:tcPr>
          <w:p w14:paraId="376295C0"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Construct</w:t>
            </w:r>
          </w:p>
        </w:tc>
        <w:tc>
          <w:tcPr>
            <w:tcW w:w="2160" w:type="dxa"/>
          </w:tcPr>
          <w:p w14:paraId="5C17B520"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Cronbach's Alpha</w:t>
            </w:r>
          </w:p>
        </w:tc>
        <w:tc>
          <w:tcPr>
            <w:tcW w:w="2160" w:type="dxa"/>
          </w:tcPr>
          <w:p w14:paraId="148C6651"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Composite Reliability (CR)</w:t>
            </w:r>
          </w:p>
        </w:tc>
        <w:tc>
          <w:tcPr>
            <w:tcW w:w="2160" w:type="dxa"/>
          </w:tcPr>
          <w:p w14:paraId="693DF529"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Average Variance Extracted (AVE)</w:t>
            </w:r>
          </w:p>
        </w:tc>
      </w:tr>
      <w:tr w:rsidR="00E077CC" w:rsidRPr="003C5218" w14:paraId="7FBA5E35" w14:textId="77777777" w:rsidTr="009A3375">
        <w:tc>
          <w:tcPr>
            <w:tcW w:w="2160" w:type="dxa"/>
          </w:tcPr>
          <w:p w14:paraId="6E749384"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PE</w:t>
            </w:r>
          </w:p>
        </w:tc>
        <w:tc>
          <w:tcPr>
            <w:tcW w:w="2160" w:type="dxa"/>
          </w:tcPr>
          <w:p w14:paraId="094C281E"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0.89</w:t>
            </w:r>
          </w:p>
        </w:tc>
        <w:tc>
          <w:tcPr>
            <w:tcW w:w="2160" w:type="dxa"/>
          </w:tcPr>
          <w:p w14:paraId="49ABAF6F"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0.92</w:t>
            </w:r>
          </w:p>
        </w:tc>
        <w:tc>
          <w:tcPr>
            <w:tcW w:w="2160" w:type="dxa"/>
          </w:tcPr>
          <w:p w14:paraId="5A76196D"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0.75</w:t>
            </w:r>
          </w:p>
        </w:tc>
      </w:tr>
      <w:tr w:rsidR="00E077CC" w:rsidRPr="003C5218" w14:paraId="2B3218FD" w14:textId="77777777" w:rsidTr="009A3375">
        <w:tc>
          <w:tcPr>
            <w:tcW w:w="2160" w:type="dxa"/>
          </w:tcPr>
          <w:p w14:paraId="2BBD21DF"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EE</w:t>
            </w:r>
          </w:p>
        </w:tc>
        <w:tc>
          <w:tcPr>
            <w:tcW w:w="2160" w:type="dxa"/>
          </w:tcPr>
          <w:p w14:paraId="11C9435A"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0.86</w:t>
            </w:r>
          </w:p>
        </w:tc>
        <w:tc>
          <w:tcPr>
            <w:tcW w:w="2160" w:type="dxa"/>
          </w:tcPr>
          <w:p w14:paraId="71299747"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0.90</w:t>
            </w:r>
          </w:p>
        </w:tc>
        <w:tc>
          <w:tcPr>
            <w:tcW w:w="2160" w:type="dxa"/>
          </w:tcPr>
          <w:p w14:paraId="639D78D9"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0.71</w:t>
            </w:r>
          </w:p>
        </w:tc>
      </w:tr>
      <w:tr w:rsidR="00E077CC" w:rsidRPr="003C5218" w14:paraId="679F5576" w14:textId="77777777" w:rsidTr="009A3375">
        <w:tc>
          <w:tcPr>
            <w:tcW w:w="2160" w:type="dxa"/>
          </w:tcPr>
          <w:p w14:paraId="3BF57AED"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SI</w:t>
            </w:r>
          </w:p>
        </w:tc>
        <w:tc>
          <w:tcPr>
            <w:tcW w:w="2160" w:type="dxa"/>
          </w:tcPr>
          <w:p w14:paraId="5379A7D8"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0.83</w:t>
            </w:r>
          </w:p>
        </w:tc>
        <w:tc>
          <w:tcPr>
            <w:tcW w:w="2160" w:type="dxa"/>
          </w:tcPr>
          <w:p w14:paraId="7D28E9D3"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0.88</w:t>
            </w:r>
          </w:p>
        </w:tc>
        <w:tc>
          <w:tcPr>
            <w:tcW w:w="2160" w:type="dxa"/>
          </w:tcPr>
          <w:p w14:paraId="259F341F"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0.69</w:t>
            </w:r>
          </w:p>
        </w:tc>
      </w:tr>
      <w:tr w:rsidR="00E077CC" w:rsidRPr="003C5218" w14:paraId="55AA3B2D" w14:textId="77777777" w:rsidTr="009A3375">
        <w:tc>
          <w:tcPr>
            <w:tcW w:w="2160" w:type="dxa"/>
          </w:tcPr>
          <w:p w14:paraId="669E85A7"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FC</w:t>
            </w:r>
          </w:p>
        </w:tc>
        <w:tc>
          <w:tcPr>
            <w:tcW w:w="2160" w:type="dxa"/>
          </w:tcPr>
          <w:p w14:paraId="6A7A462F"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0.81</w:t>
            </w:r>
          </w:p>
        </w:tc>
        <w:tc>
          <w:tcPr>
            <w:tcW w:w="2160" w:type="dxa"/>
          </w:tcPr>
          <w:p w14:paraId="6FE37634"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0.86</w:t>
            </w:r>
          </w:p>
        </w:tc>
        <w:tc>
          <w:tcPr>
            <w:tcW w:w="2160" w:type="dxa"/>
          </w:tcPr>
          <w:p w14:paraId="043A8FC5"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0.67</w:t>
            </w:r>
          </w:p>
        </w:tc>
      </w:tr>
      <w:tr w:rsidR="00E077CC" w:rsidRPr="003C5218" w14:paraId="6DB0042D" w14:textId="77777777" w:rsidTr="009A3375">
        <w:tc>
          <w:tcPr>
            <w:tcW w:w="2160" w:type="dxa"/>
          </w:tcPr>
          <w:p w14:paraId="7EAD198A"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BI</w:t>
            </w:r>
          </w:p>
        </w:tc>
        <w:tc>
          <w:tcPr>
            <w:tcW w:w="2160" w:type="dxa"/>
          </w:tcPr>
          <w:p w14:paraId="51B9CE6C"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0.90</w:t>
            </w:r>
          </w:p>
        </w:tc>
        <w:tc>
          <w:tcPr>
            <w:tcW w:w="2160" w:type="dxa"/>
          </w:tcPr>
          <w:p w14:paraId="6030F8D9"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0.93</w:t>
            </w:r>
          </w:p>
        </w:tc>
        <w:tc>
          <w:tcPr>
            <w:tcW w:w="2160" w:type="dxa"/>
          </w:tcPr>
          <w:p w14:paraId="51C78116"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0.78</w:t>
            </w:r>
          </w:p>
        </w:tc>
      </w:tr>
    </w:tbl>
    <w:p w14:paraId="149D34BA" w14:textId="77777777" w:rsidR="00E077CC" w:rsidRPr="00F92F67" w:rsidRDefault="009A3375" w:rsidP="00F92F67">
      <w:pPr>
        <w:spacing w:before="240" w:line="360" w:lineRule="auto"/>
        <w:jc w:val="center"/>
        <w:rPr>
          <w:rFonts w:ascii="Arial" w:hAnsi="Arial" w:cs="Arial"/>
          <w:b/>
          <w:i/>
          <w:sz w:val="24"/>
          <w:szCs w:val="24"/>
        </w:rPr>
      </w:pPr>
      <w:r w:rsidRPr="00F92F67">
        <w:rPr>
          <w:rFonts w:ascii="Arial" w:hAnsi="Arial" w:cs="Arial"/>
          <w:b/>
          <w:i/>
          <w:sz w:val="24"/>
          <w:szCs w:val="24"/>
        </w:rPr>
        <w:t xml:space="preserve">Table 2: </w:t>
      </w:r>
      <w:r w:rsidR="00A96788" w:rsidRPr="00F92F67">
        <w:rPr>
          <w:rFonts w:ascii="Arial" w:hAnsi="Arial" w:cs="Arial"/>
          <w:b/>
          <w:i/>
          <w:sz w:val="24"/>
          <w:szCs w:val="24"/>
        </w:rPr>
        <w:t>All constructs exceed recommended thresholds (α &gt; 0.70, CR &gt; 0.70, AVE &gt; 0.50), confirming internal consistency and convergent validity.</w:t>
      </w:r>
    </w:p>
    <w:p w14:paraId="6DFC7924"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The relative strength of each construct’s influence on Behavioral Intention is illustrated in Figure 1, highlighting Performance Expectancy as the most dominant factor.</w:t>
      </w:r>
    </w:p>
    <w:p w14:paraId="09C0556A" w14:textId="77777777" w:rsidR="00E077CC" w:rsidRPr="003C5218" w:rsidRDefault="00A96788" w:rsidP="00F92F67">
      <w:pPr>
        <w:spacing w:before="240" w:line="360" w:lineRule="auto"/>
        <w:jc w:val="center"/>
        <w:rPr>
          <w:rFonts w:ascii="Arial" w:hAnsi="Arial" w:cs="Arial"/>
          <w:sz w:val="24"/>
          <w:szCs w:val="24"/>
        </w:rPr>
      </w:pPr>
      <w:r w:rsidRPr="003C5218">
        <w:rPr>
          <w:rFonts w:ascii="Arial" w:hAnsi="Arial" w:cs="Arial"/>
          <w:noProof/>
          <w:sz w:val="24"/>
          <w:szCs w:val="24"/>
        </w:rPr>
        <w:lastRenderedPageBreak/>
        <w:drawing>
          <wp:inline distT="0" distB="0" distL="0" distR="0" wp14:anchorId="158D7B09" wp14:editId="6FB5D212">
            <wp:extent cx="4572000" cy="3450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RadarChart.png"/>
                    <pic:cNvPicPr/>
                  </pic:nvPicPr>
                  <pic:blipFill>
                    <a:blip r:embed="rId15"/>
                    <a:stretch>
                      <a:fillRect/>
                    </a:stretch>
                  </pic:blipFill>
                  <pic:spPr>
                    <a:xfrm>
                      <a:off x="0" y="0"/>
                      <a:ext cx="4572000" cy="3450857"/>
                    </a:xfrm>
                    <a:prstGeom prst="rect">
                      <a:avLst/>
                    </a:prstGeom>
                  </pic:spPr>
                </pic:pic>
              </a:graphicData>
            </a:graphic>
          </wp:inline>
        </w:drawing>
      </w:r>
    </w:p>
    <w:p w14:paraId="32997663" w14:textId="77777777" w:rsidR="00E077CC" w:rsidRPr="00F92F67" w:rsidRDefault="00A96788" w:rsidP="00F92F67">
      <w:pPr>
        <w:spacing w:before="240" w:line="360" w:lineRule="auto"/>
        <w:jc w:val="center"/>
        <w:rPr>
          <w:rFonts w:ascii="Arial" w:hAnsi="Arial" w:cs="Arial"/>
          <w:b/>
          <w:i/>
          <w:sz w:val="24"/>
          <w:szCs w:val="24"/>
        </w:rPr>
      </w:pPr>
      <w:r w:rsidRPr="00F92F67">
        <w:rPr>
          <w:rFonts w:ascii="Arial" w:hAnsi="Arial" w:cs="Arial"/>
          <w:b/>
          <w:i/>
          <w:sz w:val="24"/>
          <w:szCs w:val="24"/>
        </w:rPr>
        <w:t>Figure 1. Radar chart displaying standardized path coefficients (β) for UTAUT constructs predicting Behavioral Intention (BI).</w:t>
      </w:r>
    </w:p>
    <w:p w14:paraId="445F7441" w14:textId="77777777" w:rsidR="007817EE" w:rsidRDefault="00A96788" w:rsidP="007817EE">
      <w:pPr>
        <w:spacing w:before="240" w:line="360" w:lineRule="auto"/>
        <w:rPr>
          <w:rFonts w:ascii="Arial" w:hAnsi="Arial" w:cs="Arial"/>
          <w:noProof/>
          <w:sz w:val="24"/>
          <w:szCs w:val="24"/>
        </w:rPr>
      </w:pPr>
      <w:r w:rsidRPr="003C5218">
        <w:rPr>
          <w:rFonts w:ascii="Arial" w:hAnsi="Arial" w:cs="Arial"/>
          <w:sz w:val="24"/>
          <w:szCs w:val="24"/>
        </w:rPr>
        <w:t>The significance of each predictor is further represented through t-values in Figure 2, demonstrating that all predictors exhibit high statistical significance (p &lt; .001).</w:t>
      </w:r>
    </w:p>
    <w:p w14:paraId="1CFBB59C" w14:textId="77777777" w:rsidR="00E077CC" w:rsidRPr="003C5218" w:rsidRDefault="007817EE" w:rsidP="00F92F67">
      <w:pPr>
        <w:spacing w:before="240" w:line="360" w:lineRule="auto"/>
        <w:jc w:val="center"/>
        <w:rPr>
          <w:rFonts w:ascii="Arial" w:hAnsi="Arial" w:cs="Arial"/>
          <w:sz w:val="24"/>
          <w:szCs w:val="24"/>
        </w:rPr>
      </w:pPr>
      <w:r>
        <w:rPr>
          <w:rFonts w:ascii="Arial" w:hAnsi="Arial" w:cs="Arial"/>
          <w:noProof/>
          <w:sz w:val="24"/>
          <w:szCs w:val="24"/>
        </w:rPr>
        <w:lastRenderedPageBreak/>
        <w:drawing>
          <wp:inline distT="0" distB="0" distL="0" distR="0" wp14:anchorId="2D48F985" wp14:editId="63993C41">
            <wp:extent cx="5486400" cy="30441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_option1_forest_paths.png"/>
                    <pic:cNvPicPr/>
                  </pic:nvPicPr>
                  <pic:blipFill rotWithShape="1">
                    <a:blip r:embed="rId16"/>
                    <a:srcRect t="7523"/>
                    <a:stretch/>
                  </pic:blipFill>
                  <pic:spPr bwMode="auto">
                    <a:xfrm>
                      <a:off x="0" y="0"/>
                      <a:ext cx="5486400" cy="3044190"/>
                    </a:xfrm>
                    <a:prstGeom prst="rect">
                      <a:avLst/>
                    </a:prstGeom>
                    <a:ln>
                      <a:noFill/>
                    </a:ln>
                    <a:extLst>
                      <a:ext uri="{53640926-AAD7-44D8-BBD7-CCE9431645EC}">
                        <a14:shadowObscured xmlns:a14="http://schemas.microsoft.com/office/drawing/2010/main"/>
                      </a:ext>
                    </a:extLst>
                  </pic:spPr>
                </pic:pic>
              </a:graphicData>
            </a:graphic>
          </wp:inline>
        </w:drawing>
      </w:r>
    </w:p>
    <w:p w14:paraId="7F72ECE5" w14:textId="77777777" w:rsidR="00E077CC" w:rsidRPr="003C5218" w:rsidRDefault="00A96788" w:rsidP="00F92F67">
      <w:pPr>
        <w:spacing w:before="240" w:line="360" w:lineRule="auto"/>
        <w:jc w:val="center"/>
        <w:rPr>
          <w:rFonts w:ascii="Arial" w:hAnsi="Arial" w:cs="Arial"/>
          <w:sz w:val="24"/>
          <w:szCs w:val="24"/>
        </w:rPr>
      </w:pPr>
      <w:r w:rsidRPr="00F92F67">
        <w:rPr>
          <w:rFonts w:ascii="Arial" w:hAnsi="Arial" w:cs="Arial"/>
          <w:b/>
          <w:i/>
          <w:sz w:val="24"/>
          <w:szCs w:val="24"/>
        </w:rPr>
        <w:t>Figure 2. t-values of UTAUT constructs predicting Behavioral Intention (BI)</w:t>
      </w:r>
      <w:r w:rsidRPr="003C5218">
        <w:rPr>
          <w:rFonts w:ascii="Arial" w:hAnsi="Arial" w:cs="Arial"/>
          <w:sz w:val="24"/>
          <w:szCs w:val="24"/>
        </w:rPr>
        <w:t>.</w:t>
      </w:r>
    </w:p>
    <w:p w14:paraId="76F71B7A" w14:textId="77777777" w:rsidR="00E077CC" w:rsidRPr="003C5218" w:rsidRDefault="00A96788" w:rsidP="00F92F67">
      <w:pPr>
        <w:spacing w:before="240" w:line="360" w:lineRule="auto"/>
        <w:rPr>
          <w:rFonts w:ascii="Arial" w:hAnsi="Arial" w:cs="Arial"/>
          <w:sz w:val="24"/>
          <w:szCs w:val="24"/>
        </w:rPr>
      </w:pPr>
      <w:r w:rsidRPr="003C5218">
        <w:rPr>
          <w:rFonts w:ascii="Arial" w:hAnsi="Arial" w:cs="Arial"/>
          <w:sz w:val="24"/>
          <w:szCs w:val="24"/>
        </w:rPr>
        <w:t xml:space="preserve">The findings confirm that Performance Expectancy exerts the strongest influence on Behavioral Intention, underscoring that perceived usefulness of ML-based cybersecurity solutions remains the principal driver of adoption. Effort Expectancy also demonstrates a substantial effect, indicating that ease of use and integration play pivotal roles in organizational acceptance. Social Influence and Facilitating Conditions, while comparatively weaker, remain statistically significant, suggesting that both managerial support and infrastructural readiness continue to shape adoption behaviors. </w:t>
      </w:r>
    </w:p>
    <w:p w14:paraId="00E61521" w14:textId="77777777" w:rsidR="003B4B11" w:rsidRPr="003C5218" w:rsidRDefault="003B4B11" w:rsidP="00F92F67">
      <w:pPr>
        <w:pStyle w:val="Heading1"/>
        <w:spacing w:before="240" w:line="360" w:lineRule="auto"/>
        <w:rPr>
          <w:rFonts w:ascii="Arial" w:hAnsi="Arial" w:cs="Arial"/>
          <w:szCs w:val="24"/>
        </w:rPr>
      </w:pPr>
      <w:r w:rsidRPr="003C5218">
        <w:rPr>
          <w:rFonts w:ascii="Arial" w:hAnsi="Arial" w:cs="Arial"/>
          <w:szCs w:val="24"/>
        </w:rPr>
        <w:t>Objective 2: Extending the UTAUT Model with Trust, Perceived Risk, and Regulatory Compliance Pressure</w:t>
      </w:r>
    </w:p>
    <w:p w14:paraId="15C54591"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This objective examines the extended UTAUT framework by incorporating Trust, Perceived Risk, and Regulatory Compliance Pressure as determinants of the likelihood of adopting machine learning (ML) for cybersecurity in e-commerce firms. The analysis focuses on how these organizational and psychological factors jointly influence adoption rates within firms.</w:t>
      </w:r>
    </w:p>
    <w:p w14:paraId="4C0A9674"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lastRenderedPageBreak/>
        <w:t>The fractional logit regression analysis revealed that the extended UTAUT constructs exhibit statistically significant effects on the proportion of firms adopting AI technologies for cybersecurity applications. Trust in AI systems displayed the strongest positive relationship, followed by Regulatory Compliance Pressure, while Perceived Risk exerted a significant negative effect. These findings align with theoretical expectations that confidence in system transparency and external regulatory mandates foster adoption, whereas risk perceptions act as deterrents.</w:t>
      </w:r>
    </w:p>
    <w:tbl>
      <w:tblPr>
        <w:tblStyle w:val="TableGrid"/>
        <w:tblW w:w="9420" w:type="dxa"/>
        <w:tblLook w:val="04A0" w:firstRow="1" w:lastRow="0" w:firstColumn="1" w:lastColumn="0" w:noHBand="0" w:noVBand="1"/>
      </w:tblPr>
      <w:tblGrid>
        <w:gridCol w:w="1885"/>
        <w:gridCol w:w="1884"/>
        <w:gridCol w:w="1883"/>
        <w:gridCol w:w="1883"/>
        <w:gridCol w:w="1885"/>
      </w:tblGrid>
      <w:tr w:rsidR="003B4B11" w:rsidRPr="003C5218" w14:paraId="36431CEA" w14:textId="77777777" w:rsidTr="00DE46AE">
        <w:trPr>
          <w:trHeight w:val="486"/>
        </w:trPr>
        <w:tc>
          <w:tcPr>
            <w:tcW w:w="1885" w:type="dxa"/>
          </w:tcPr>
          <w:p w14:paraId="4D3AD01F"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Predictor</w:t>
            </w:r>
          </w:p>
        </w:tc>
        <w:tc>
          <w:tcPr>
            <w:tcW w:w="1884" w:type="dxa"/>
          </w:tcPr>
          <w:p w14:paraId="644F0DAD"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Average Marginal Effect (AME)</w:t>
            </w:r>
          </w:p>
        </w:tc>
        <w:tc>
          <w:tcPr>
            <w:tcW w:w="1883" w:type="dxa"/>
          </w:tcPr>
          <w:p w14:paraId="47CC8C93"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z-Value</w:t>
            </w:r>
          </w:p>
        </w:tc>
        <w:tc>
          <w:tcPr>
            <w:tcW w:w="1883" w:type="dxa"/>
          </w:tcPr>
          <w:p w14:paraId="0D39BE5E"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p-Value</w:t>
            </w:r>
          </w:p>
        </w:tc>
        <w:tc>
          <w:tcPr>
            <w:tcW w:w="1885" w:type="dxa"/>
          </w:tcPr>
          <w:p w14:paraId="7B48E341"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95% Confidence Interval</w:t>
            </w:r>
          </w:p>
        </w:tc>
      </w:tr>
      <w:tr w:rsidR="003B4B11" w:rsidRPr="003C5218" w14:paraId="31068F63" w14:textId="77777777" w:rsidTr="00DE46AE">
        <w:trPr>
          <w:trHeight w:val="162"/>
        </w:trPr>
        <w:tc>
          <w:tcPr>
            <w:tcW w:w="1885" w:type="dxa"/>
          </w:tcPr>
          <w:p w14:paraId="47B910DA"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Perceived Risk</w:t>
            </w:r>
          </w:p>
        </w:tc>
        <w:tc>
          <w:tcPr>
            <w:tcW w:w="1884" w:type="dxa"/>
          </w:tcPr>
          <w:p w14:paraId="21C85EDA"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-0.142</w:t>
            </w:r>
          </w:p>
        </w:tc>
        <w:tc>
          <w:tcPr>
            <w:tcW w:w="1883" w:type="dxa"/>
          </w:tcPr>
          <w:p w14:paraId="1EEB9B01"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-4.87</w:t>
            </w:r>
          </w:p>
        </w:tc>
        <w:tc>
          <w:tcPr>
            <w:tcW w:w="1883" w:type="dxa"/>
          </w:tcPr>
          <w:p w14:paraId="4FA6259E"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&lt;0.001</w:t>
            </w:r>
          </w:p>
        </w:tc>
        <w:tc>
          <w:tcPr>
            <w:tcW w:w="1885" w:type="dxa"/>
          </w:tcPr>
          <w:p w14:paraId="33FDF757"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(-0.196, -0.087)</w:t>
            </w:r>
          </w:p>
        </w:tc>
      </w:tr>
      <w:tr w:rsidR="003B4B11" w:rsidRPr="003C5218" w14:paraId="5C244255" w14:textId="77777777" w:rsidTr="00DE46AE">
        <w:trPr>
          <w:trHeight w:val="162"/>
        </w:trPr>
        <w:tc>
          <w:tcPr>
            <w:tcW w:w="1885" w:type="dxa"/>
          </w:tcPr>
          <w:p w14:paraId="63B78714"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Trust</w:t>
            </w:r>
          </w:p>
        </w:tc>
        <w:tc>
          <w:tcPr>
            <w:tcW w:w="1884" w:type="dxa"/>
          </w:tcPr>
          <w:p w14:paraId="12C5FA5D"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0.186</w:t>
            </w:r>
          </w:p>
        </w:tc>
        <w:tc>
          <w:tcPr>
            <w:tcW w:w="1883" w:type="dxa"/>
          </w:tcPr>
          <w:p w14:paraId="50226B12"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6.13</w:t>
            </w:r>
          </w:p>
        </w:tc>
        <w:tc>
          <w:tcPr>
            <w:tcW w:w="1883" w:type="dxa"/>
          </w:tcPr>
          <w:p w14:paraId="53726E99"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&lt;0.001</w:t>
            </w:r>
          </w:p>
        </w:tc>
        <w:tc>
          <w:tcPr>
            <w:tcW w:w="1885" w:type="dxa"/>
          </w:tcPr>
          <w:p w14:paraId="6809D459"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(0.126, 0.247)</w:t>
            </w:r>
          </w:p>
        </w:tc>
      </w:tr>
      <w:tr w:rsidR="003B4B11" w:rsidRPr="003C5218" w14:paraId="258C1DE2" w14:textId="77777777" w:rsidTr="00DE46AE">
        <w:trPr>
          <w:trHeight w:val="486"/>
        </w:trPr>
        <w:tc>
          <w:tcPr>
            <w:tcW w:w="1885" w:type="dxa"/>
          </w:tcPr>
          <w:p w14:paraId="76119536"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Regulatory Compliance Pressure</w:t>
            </w:r>
          </w:p>
        </w:tc>
        <w:tc>
          <w:tcPr>
            <w:tcW w:w="1884" w:type="dxa"/>
          </w:tcPr>
          <w:p w14:paraId="1B962CC2"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0.127</w:t>
            </w:r>
          </w:p>
        </w:tc>
        <w:tc>
          <w:tcPr>
            <w:tcW w:w="1883" w:type="dxa"/>
          </w:tcPr>
          <w:p w14:paraId="6B3FD6EE"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4.79</w:t>
            </w:r>
          </w:p>
        </w:tc>
        <w:tc>
          <w:tcPr>
            <w:tcW w:w="1883" w:type="dxa"/>
          </w:tcPr>
          <w:p w14:paraId="0B255B1B"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&lt;0.001</w:t>
            </w:r>
          </w:p>
        </w:tc>
        <w:tc>
          <w:tcPr>
            <w:tcW w:w="1885" w:type="dxa"/>
          </w:tcPr>
          <w:p w14:paraId="3324CAFD"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(0.071, 0.183)</w:t>
            </w:r>
          </w:p>
        </w:tc>
      </w:tr>
    </w:tbl>
    <w:p w14:paraId="0B633601" w14:textId="77777777" w:rsidR="003B4B11" w:rsidRPr="003C5218" w:rsidRDefault="003B4B11" w:rsidP="00F92F67">
      <w:pPr>
        <w:spacing w:before="240" w:line="360" w:lineRule="auto"/>
        <w:jc w:val="center"/>
        <w:rPr>
          <w:rFonts w:ascii="Arial" w:hAnsi="Arial" w:cs="Arial"/>
          <w:sz w:val="24"/>
          <w:szCs w:val="24"/>
        </w:rPr>
      </w:pPr>
      <w:r w:rsidRPr="00F92F67">
        <w:rPr>
          <w:rFonts w:ascii="Arial" w:hAnsi="Arial" w:cs="Arial"/>
          <w:b/>
          <w:i/>
          <w:sz w:val="24"/>
          <w:szCs w:val="24"/>
        </w:rPr>
        <w:t>Table 3: Fractional logit regression results showing marginal effects on firm-level AI adoption rate (N = 2,500; pseudo-R² = 0.41). All coefficients are significant at p &lt; .001</w:t>
      </w:r>
      <w:r w:rsidRPr="003C5218">
        <w:rPr>
          <w:rFonts w:ascii="Arial" w:hAnsi="Arial" w:cs="Arial"/>
          <w:sz w:val="24"/>
          <w:szCs w:val="24"/>
        </w:rPr>
        <w:t>.</w:t>
      </w:r>
    </w:p>
    <w:p w14:paraId="781B821A"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The relative direction and magnitude of each factor’s effect on adoption are illustrated in Figure 3. The chart shows that Trust and Regulatory Compliance exert positive influences, while Perceived Risk demonstrates a negative association with adoption probability.</w:t>
      </w:r>
    </w:p>
    <w:p w14:paraId="525B130F" w14:textId="77777777" w:rsidR="003B4B11" w:rsidRPr="003C5218" w:rsidRDefault="003B4B11" w:rsidP="00F92F67">
      <w:pPr>
        <w:spacing w:before="240" w:line="360" w:lineRule="auto"/>
        <w:jc w:val="center"/>
        <w:rPr>
          <w:rFonts w:ascii="Arial" w:hAnsi="Arial" w:cs="Arial"/>
          <w:sz w:val="24"/>
          <w:szCs w:val="24"/>
        </w:rPr>
      </w:pPr>
      <w:r w:rsidRPr="003C5218">
        <w:rPr>
          <w:rFonts w:ascii="Arial" w:hAnsi="Arial" w:cs="Arial"/>
          <w:noProof/>
          <w:sz w:val="24"/>
          <w:szCs w:val="24"/>
        </w:rPr>
        <w:lastRenderedPageBreak/>
        <w:drawing>
          <wp:inline distT="0" distB="0" distL="0" distR="0" wp14:anchorId="08A97AC2" wp14:editId="68D72297">
            <wp:extent cx="4572000" cy="34106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Dumbbell.png"/>
                    <pic:cNvPicPr/>
                  </pic:nvPicPr>
                  <pic:blipFill>
                    <a:blip r:embed="rId17"/>
                    <a:stretch>
                      <a:fillRect/>
                    </a:stretch>
                  </pic:blipFill>
                  <pic:spPr>
                    <a:xfrm>
                      <a:off x="0" y="0"/>
                      <a:ext cx="4572000" cy="3410673"/>
                    </a:xfrm>
                    <a:prstGeom prst="rect">
                      <a:avLst/>
                    </a:prstGeom>
                  </pic:spPr>
                </pic:pic>
              </a:graphicData>
            </a:graphic>
          </wp:inline>
        </w:drawing>
      </w:r>
    </w:p>
    <w:p w14:paraId="0AF70AC8" w14:textId="77777777" w:rsidR="003B4B11" w:rsidRPr="00F92F67" w:rsidRDefault="003B4B11" w:rsidP="00F92F67">
      <w:pPr>
        <w:spacing w:before="240" w:line="360" w:lineRule="auto"/>
        <w:jc w:val="center"/>
        <w:rPr>
          <w:rFonts w:ascii="Arial" w:hAnsi="Arial" w:cs="Arial"/>
          <w:b/>
          <w:i/>
          <w:sz w:val="24"/>
          <w:szCs w:val="24"/>
        </w:rPr>
      </w:pPr>
      <w:r w:rsidRPr="00F92F67">
        <w:rPr>
          <w:rFonts w:ascii="Arial" w:hAnsi="Arial" w:cs="Arial"/>
          <w:b/>
          <w:i/>
          <w:sz w:val="24"/>
          <w:szCs w:val="24"/>
        </w:rPr>
        <w:t>Figure 3. Dumbbell chart displaying average marginal effects (AMEs) and 95% confidence intervals for extended UTAUT predictors.</w:t>
      </w:r>
    </w:p>
    <w:p w14:paraId="42655673"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To further illustrate the strength and polarity of effects, Figure 4 presents a bubble plot where the size of each bubble represents the magnitude of influence on adoption rate. Trust emerges as the most dominant positive factor, followed by Compliance Pressure, while Risk continues to show a strong negative influence.</w:t>
      </w:r>
    </w:p>
    <w:p w14:paraId="44B251AB" w14:textId="77777777" w:rsidR="008935F7" w:rsidRDefault="008935F7" w:rsidP="00F92F67">
      <w:pPr>
        <w:spacing w:before="240" w:line="360" w:lineRule="auto"/>
        <w:jc w:val="center"/>
        <w:rPr>
          <w:rFonts w:ascii="Arial" w:hAnsi="Arial" w:cs="Arial"/>
          <w:noProof/>
          <w:sz w:val="24"/>
          <w:szCs w:val="24"/>
        </w:rPr>
      </w:pPr>
    </w:p>
    <w:p w14:paraId="07F3E970" w14:textId="77777777" w:rsidR="003B4B11" w:rsidRPr="003C5218" w:rsidRDefault="008935F7" w:rsidP="00F92F67">
      <w:pPr>
        <w:spacing w:before="240" w:line="360" w:lineRule="auto"/>
        <w:jc w:val="center"/>
        <w:rPr>
          <w:rFonts w:ascii="Arial" w:hAnsi="Arial" w:cs="Arial"/>
          <w:sz w:val="24"/>
          <w:szCs w:val="24"/>
        </w:rPr>
      </w:pPr>
      <w:r>
        <w:rPr>
          <w:rFonts w:ascii="Arial" w:hAnsi="Arial" w:cs="Arial"/>
          <w:noProof/>
          <w:sz w:val="24"/>
          <w:szCs w:val="24"/>
        </w:rPr>
        <w:lastRenderedPageBreak/>
        <w:drawing>
          <wp:inline distT="0" distB="0" distL="0" distR="0" wp14:anchorId="2056EAF3" wp14:editId="41803BED">
            <wp:extent cx="5486400" cy="28492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4_diverging_bar.png"/>
                    <pic:cNvPicPr/>
                  </pic:nvPicPr>
                  <pic:blipFill rotWithShape="1">
                    <a:blip r:embed="rId18"/>
                    <a:srcRect t="9115"/>
                    <a:stretch/>
                  </pic:blipFill>
                  <pic:spPr bwMode="auto">
                    <a:xfrm>
                      <a:off x="0" y="0"/>
                      <a:ext cx="5486400" cy="2849245"/>
                    </a:xfrm>
                    <a:prstGeom prst="rect">
                      <a:avLst/>
                    </a:prstGeom>
                    <a:ln>
                      <a:noFill/>
                    </a:ln>
                    <a:extLst>
                      <a:ext uri="{53640926-AAD7-44D8-BBD7-CCE9431645EC}">
                        <a14:shadowObscured xmlns:a14="http://schemas.microsoft.com/office/drawing/2010/main"/>
                      </a:ext>
                    </a:extLst>
                  </pic:spPr>
                </pic:pic>
              </a:graphicData>
            </a:graphic>
          </wp:inline>
        </w:drawing>
      </w:r>
    </w:p>
    <w:p w14:paraId="334F18C6" w14:textId="77777777" w:rsidR="003B4B11" w:rsidRPr="00F92F67" w:rsidRDefault="003B4B11" w:rsidP="00F92F67">
      <w:pPr>
        <w:spacing w:before="240" w:line="360" w:lineRule="auto"/>
        <w:jc w:val="center"/>
        <w:rPr>
          <w:rFonts w:ascii="Arial" w:hAnsi="Arial" w:cs="Arial"/>
          <w:b/>
          <w:i/>
          <w:sz w:val="24"/>
          <w:szCs w:val="24"/>
        </w:rPr>
      </w:pPr>
      <w:r w:rsidRPr="00F92F67">
        <w:rPr>
          <w:rFonts w:ascii="Arial" w:hAnsi="Arial" w:cs="Arial"/>
          <w:b/>
          <w:i/>
          <w:sz w:val="24"/>
          <w:szCs w:val="24"/>
        </w:rPr>
        <w:t>Figure 4. magnitude and direction of effects for Trust, Perceived Risk, and Regulatory Compliance Pressure on ML adoption rates.</w:t>
      </w:r>
    </w:p>
    <w:p w14:paraId="7C762869" w14:textId="77777777" w:rsidR="003B4B11" w:rsidRPr="003C5218" w:rsidRDefault="003B4B11" w:rsidP="00F92F67">
      <w:pPr>
        <w:spacing w:before="240" w:line="360" w:lineRule="auto"/>
        <w:rPr>
          <w:rFonts w:ascii="Arial" w:hAnsi="Arial" w:cs="Arial"/>
          <w:sz w:val="24"/>
          <w:szCs w:val="24"/>
        </w:rPr>
      </w:pPr>
      <w:r w:rsidRPr="003C5218">
        <w:rPr>
          <w:rFonts w:ascii="Arial" w:hAnsi="Arial" w:cs="Arial"/>
          <w:sz w:val="24"/>
          <w:szCs w:val="24"/>
        </w:rPr>
        <w:t xml:space="preserve">The results underscore that firms’ confidence in AI systems’ transparency and reliability significantly enhances adoption, while external compliance frameworks provide an additional institutional incentive. Conversely, heightened risk perception reduces adoption likelihood, suggesting that addressing data security and reliability concerns is critical for ML cybersecurity diffusion. </w:t>
      </w:r>
    </w:p>
    <w:p w14:paraId="5BF94518" w14:textId="77777777" w:rsidR="00DE46AE" w:rsidRPr="003C5218" w:rsidRDefault="00DE46AE" w:rsidP="00F92F67">
      <w:pPr>
        <w:pStyle w:val="Heading1"/>
        <w:spacing w:before="240" w:line="360" w:lineRule="auto"/>
        <w:rPr>
          <w:rFonts w:ascii="Arial" w:hAnsi="Arial" w:cs="Arial"/>
          <w:szCs w:val="24"/>
        </w:rPr>
      </w:pPr>
      <w:r w:rsidRPr="003C5218">
        <w:rPr>
          <w:rFonts w:ascii="Arial" w:hAnsi="Arial" w:cs="Arial"/>
          <w:szCs w:val="24"/>
        </w:rPr>
        <w:t>Objective 3: Analyzing the Mediating Effect of Behavioral Intention on Actual Use of ML Cybersecurity Systems</w:t>
      </w:r>
    </w:p>
    <w:p w14:paraId="04DC9ACA"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This objective examines how Behavioral Intention (BI) mediates the relationship between key UTAUT constructs</w:t>
      </w:r>
      <w:r w:rsidR="00E26F44">
        <w:rPr>
          <w:rFonts w:ascii="Arial" w:hAnsi="Arial" w:cs="Arial"/>
          <w:sz w:val="24"/>
          <w:szCs w:val="24"/>
        </w:rPr>
        <w:t xml:space="preserve"> </w:t>
      </w:r>
      <w:r w:rsidRPr="003C5218">
        <w:rPr>
          <w:rFonts w:ascii="Arial" w:hAnsi="Arial" w:cs="Arial"/>
          <w:sz w:val="24"/>
          <w:szCs w:val="24"/>
        </w:rPr>
        <w:t>Performance Expectancy (PE), Effort Expectancy (EE), Social Influence (SI), and Facilitating Conditions (FC)</w:t>
      </w:r>
      <w:r w:rsidR="00E26F44">
        <w:rPr>
          <w:rFonts w:ascii="Arial" w:hAnsi="Arial" w:cs="Arial"/>
          <w:sz w:val="24"/>
          <w:szCs w:val="24"/>
        </w:rPr>
        <w:t xml:space="preserve"> </w:t>
      </w:r>
      <w:r w:rsidRPr="003C5218">
        <w:rPr>
          <w:rFonts w:ascii="Arial" w:hAnsi="Arial" w:cs="Arial"/>
          <w:sz w:val="24"/>
          <w:szCs w:val="24"/>
        </w:rPr>
        <w:t>and the Actual Use (USE) of machine learning (ML) cybersecurity systems within e-commerce firms. The analysis focuses on identifying the magnitude of indirect effects transmitted through BI, while also assessing the overall explanatory power of the model.</w:t>
      </w:r>
    </w:p>
    <w:p w14:paraId="1E2AEE88"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lastRenderedPageBreak/>
        <w:t>As shown in Table 4, all mediated paths through Behavioral Intention were positive and statistically significant (p &lt; .001). Performance Expectancy exhibited the strongest indirect effect (β_indirect = 0.243), followed by Effort Expectancy (β_indirect = 0.198), Social Influence (β_indirect = 0.166), and Facilitating Conditions (β_indirect = 0.141). The direct path from Behavioral Intention to Actual Use was also strong (β = 0.64), confirming that intention acts as a key conduit transforming expectancy-driven motivation into realized ML usage.</w:t>
      </w:r>
    </w:p>
    <w:tbl>
      <w:tblPr>
        <w:tblStyle w:val="TableGrid"/>
        <w:tblW w:w="0" w:type="auto"/>
        <w:tblLook w:val="04A0" w:firstRow="1" w:lastRow="0" w:firstColumn="1" w:lastColumn="0" w:noHBand="0" w:noVBand="1"/>
      </w:tblPr>
      <w:tblGrid>
        <w:gridCol w:w="2158"/>
        <w:gridCol w:w="2158"/>
        <w:gridCol w:w="2157"/>
        <w:gridCol w:w="2157"/>
      </w:tblGrid>
      <w:tr w:rsidR="00DE46AE" w:rsidRPr="003C5218" w14:paraId="05389507" w14:textId="77777777" w:rsidTr="00DE46AE">
        <w:tc>
          <w:tcPr>
            <w:tcW w:w="2160" w:type="dxa"/>
          </w:tcPr>
          <w:p w14:paraId="700DA541"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Path</w:t>
            </w:r>
          </w:p>
        </w:tc>
        <w:tc>
          <w:tcPr>
            <w:tcW w:w="2160" w:type="dxa"/>
          </w:tcPr>
          <w:p w14:paraId="5689A440"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Indirect Effect (β_indirect)</w:t>
            </w:r>
          </w:p>
        </w:tc>
        <w:tc>
          <w:tcPr>
            <w:tcW w:w="2160" w:type="dxa"/>
          </w:tcPr>
          <w:p w14:paraId="796F0BFB"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t-Value</w:t>
            </w:r>
          </w:p>
        </w:tc>
        <w:tc>
          <w:tcPr>
            <w:tcW w:w="2160" w:type="dxa"/>
          </w:tcPr>
          <w:p w14:paraId="342B8921"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p-Value</w:t>
            </w:r>
          </w:p>
        </w:tc>
      </w:tr>
      <w:tr w:rsidR="00DE46AE" w:rsidRPr="003C5218" w14:paraId="578C5C08" w14:textId="77777777" w:rsidTr="00DE46AE">
        <w:tc>
          <w:tcPr>
            <w:tcW w:w="2160" w:type="dxa"/>
          </w:tcPr>
          <w:p w14:paraId="66B9DF71"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PE → BI → USE</w:t>
            </w:r>
          </w:p>
        </w:tc>
        <w:tc>
          <w:tcPr>
            <w:tcW w:w="2160" w:type="dxa"/>
          </w:tcPr>
          <w:p w14:paraId="03BDF135"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0.243</w:t>
            </w:r>
          </w:p>
        </w:tc>
        <w:tc>
          <w:tcPr>
            <w:tcW w:w="2160" w:type="dxa"/>
          </w:tcPr>
          <w:p w14:paraId="28DB3B19"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7.82</w:t>
            </w:r>
          </w:p>
        </w:tc>
        <w:tc>
          <w:tcPr>
            <w:tcW w:w="2160" w:type="dxa"/>
          </w:tcPr>
          <w:p w14:paraId="7D76F470"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&lt;0.001</w:t>
            </w:r>
          </w:p>
        </w:tc>
      </w:tr>
      <w:tr w:rsidR="00DE46AE" w:rsidRPr="003C5218" w14:paraId="5CAD14DF" w14:textId="77777777" w:rsidTr="00DE46AE">
        <w:tc>
          <w:tcPr>
            <w:tcW w:w="2160" w:type="dxa"/>
          </w:tcPr>
          <w:p w14:paraId="3EB375C0"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EE → BI → USE</w:t>
            </w:r>
          </w:p>
        </w:tc>
        <w:tc>
          <w:tcPr>
            <w:tcW w:w="2160" w:type="dxa"/>
          </w:tcPr>
          <w:p w14:paraId="05B90E3C"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0.198</w:t>
            </w:r>
          </w:p>
        </w:tc>
        <w:tc>
          <w:tcPr>
            <w:tcW w:w="2160" w:type="dxa"/>
          </w:tcPr>
          <w:p w14:paraId="2763D237"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6.21</w:t>
            </w:r>
          </w:p>
        </w:tc>
        <w:tc>
          <w:tcPr>
            <w:tcW w:w="2160" w:type="dxa"/>
          </w:tcPr>
          <w:p w14:paraId="3B844738"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&lt;0.001</w:t>
            </w:r>
          </w:p>
        </w:tc>
      </w:tr>
      <w:tr w:rsidR="00DE46AE" w:rsidRPr="003C5218" w14:paraId="75D528CF" w14:textId="77777777" w:rsidTr="00DE46AE">
        <w:tc>
          <w:tcPr>
            <w:tcW w:w="2160" w:type="dxa"/>
          </w:tcPr>
          <w:p w14:paraId="77068D91"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SI → BI → USE</w:t>
            </w:r>
          </w:p>
        </w:tc>
        <w:tc>
          <w:tcPr>
            <w:tcW w:w="2160" w:type="dxa"/>
          </w:tcPr>
          <w:p w14:paraId="5171FCB8"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0.166</w:t>
            </w:r>
          </w:p>
        </w:tc>
        <w:tc>
          <w:tcPr>
            <w:tcW w:w="2160" w:type="dxa"/>
          </w:tcPr>
          <w:p w14:paraId="1CF9013A"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5.32</w:t>
            </w:r>
          </w:p>
        </w:tc>
        <w:tc>
          <w:tcPr>
            <w:tcW w:w="2160" w:type="dxa"/>
          </w:tcPr>
          <w:p w14:paraId="17B0D481"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&lt;0.001</w:t>
            </w:r>
          </w:p>
        </w:tc>
      </w:tr>
      <w:tr w:rsidR="00DE46AE" w:rsidRPr="003C5218" w14:paraId="612E3666" w14:textId="77777777" w:rsidTr="00DE46AE">
        <w:tc>
          <w:tcPr>
            <w:tcW w:w="2160" w:type="dxa"/>
          </w:tcPr>
          <w:p w14:paraId="0D8B8623"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FC → BI → USE</w:t>
            </w:r>
          </w:p>
        </w:tc>
        <w:tc>
          <w:tcPr>
            <w:tcW w:w="2160" w:type="dxa"/>
          </w:tcPr>
          <w:p w14:paraId="3CA5A6C9"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0.141</w:t>
            </w:r>
          </w:p>
        </w:tc>
        <w:tc>
          <w:tcPr>
            <w:tcW w:w="2160" w:type="dxa"/>
          </w:tcPr>
          <w:p w14:paraId="39FC3E18"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4.84</w:t>
            </w:r>
          </w:p>
        </w:tc>
        <w:tc>
          <w:tcPr>
            <w:tcW w:w="2160" w:type="dxa"/>
          </w:tcPr>
          <w:p w14:paraId="1CE6E6BA"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&lt;0.001</w:t>
            </w:r>
          </w:p>
        </w:tc>
      </w:tr>
    </w:tbl>
    <w:p w14:paraId="44E9D62C" w14:textId="77777777" w:rsidR="00DE46AE" w:rsidRPr="00F92F67" w:rsidRDefault="00DE46AE" w:rsidP="00F92F67">
      <w:pPr>
        <w:spacing w:before="240" w:line="360" w:lineRule="auto"/>
        <w:jc w:val="center"/>
        <w:rPr>
          <w:rFonts w:ascii="Arial" w:hAnsi="Arial" w:cs="Arial"/>
          <w:b/>
          <w:i/>
          <w:sz w:val="24"/>
          <w:szCs w:val="24"/>
        </w:rPr>
      </w:pPr>
      <w:r w:rsidRPr="00F92F67">
        <w:rPr>
          <w:rFonts w:ascii="Arial" w:hAnsi="Arial" w:cs="Arial"/>
          <w:b/>
          <w:i/>
          <w:sz w:val="24"/>
          <w:szCs w:val="24"/>
        </w:rPr>
        <w:t>Table 4: Bootstrapped indirect effects (5,000 samples) showing mediation of Behavioral Intention (BI) between UTAUT constructs and Actual Use (USE). All effects significant at p &lt; .001.</w:t>
      </w:r>
    </w:p>
    <w:p w14:paraId="59CA3E22"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The relationships among constructs, showing both direct and mediated effects through Behavioral Intention, are represented in Figure 5. The color-coded network illustrates the directional paths and their relative strengths, highlighting BI’s central role in linking expectancy-related factors to system use.</w:t>
      </w:r>
    </w:p>
    <w:p w14:paraId="3EBE8AA0" w14:textId="77777777" w:rsidR="00DE46AE" w:rsidRPr="003C5218" w:rsidRDefault="00DE46AE" w:rsidP="00F92F67">
      <w:pPr>
        <w:spacing w:before="240" w:line="360" w:lineRule="auto"/>
        <w:jc w:val="center"/>
        <w:rPr>
          <w:rFonts w:ascii="Arial" w:hAnsi="Arial" w:cs="Arial"/>
          <w:sz w:val="24"/>
          <w:szCs w:val="24"/>
        </w:rPr>
      </w:pPr>
      <w:r w:rsidRPr="003C5218">
        <w:rPr>
          <w:rFonts w:ascii="Arial" w:hAnsi="Arial" w:cs="Arial"/>
          <w:noProof/>
          <w:sz w:val="24"/>
          <w:szCs w:val="24"/>
        </w:rPr>
        <w:lastRenderedPageBreak/>
        <w:drawing>
          <wp:inline distT="0" distB="0" distL="0" distR="0" wp14:anchorId="6F87D028" wp14:editId="48497F4C">
            <wp:extent cx="4572000" cy="30308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_CausalNetwork.png"/>
                    <pic:cNvPicPr/>
                  </pic:nvPicPr>
                  <pic:blipFill>
                    <a:blip r:embed="rId19"/>
                    <a:stretch>
                      <a:fillRect/>
                    </a:stretch>
                  </pic:blipFill>
                  <pic:spPr>
                    <a:xfrm>
                      <a:off x="0" y="0"/>
                      <a:ext cx="4572000" cy="3030876"/>
                    </a:xfrm>
                    <a:prstGeom prst="rect">
                      <a:avLst/>
                    </a:prstGeom>
                  </pic:spPr>
                </pic:pic>
              </a:graphicData>
            </a:graphic>
          </wp:inline>
        </w:drawing>
      </w:r>
    </w:p>
    <w:p w14:paraId="2ED8E1A9" w14:textId="77777777" w:rsidR="00DE46AE" w:rsidRPr="00F92F67" w:rsidRDefault="00DE46AE" w:rsidP="00F92F67">
      <w:pPr>
        <w:spacing w:before="240" w:line="360" w:lineRule="auto"/>
        <w:jc w:val="center"/>
        <w:rPr>
          <w:rFonts w:ascii="Arial" w:hAnsi="Arial" w:cs="Arial"/>
          <w:b/>
          <w:i/>
          <w:sz w:val="24"/>
          <w:szCs w:val="24"/>
        </w:rPr>
      </w:pPr>
      <w:r w:rsidRPr="00F92F67">
        <w:rPr>
          <w:rFonts w:ascii="Arial" w:hAnsi="Arial" w:cs="Arial"/>
          <w:b/>
          <w:i/>
          <w:sz w:val="24"/>
          <w:szCs w:val="24"/>
        </w:rPr>
        <w:t>Figure 5. Causal network diagram showing mediation of Behavioral Intention between UTAUT constructs and Actual Use of ML cybersecurity systems.</w:t>
      </w:r>
    </w:p>
    <w:p w14:paraId="5155D973"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To further visualize the strength and proportional magnitude of each mediated path, Figure 6 presents the indirect effects as gradient paths. This visualization shows Performance Expectancy and Effort Expectancy as the dominant predictors influencing Actual Use through Behavioral Intention.</w:t>
      </w:r>
    </w:p>
    <w:p w14:paraId="6583EE70" w14:textId="77777777" w:rsidR="00DE46AE" w:rsidRPr="003C5218" w:rsidRDefault="00DE46AE" w:rsidP="00F92F67">
      <w:pPr>
        <w:spacing w:before="240" w:line="360" w:lineRule="auto"/>
        <w:jc w:val="center"/>
        <w:rPr>
          <w:rFonts w:ascii="Arial" w:hAnsi="Arial" w:cs="Arial"/>
          <w:sz w:val="24"/>
          <w:szCs w:val="24"/>
        </w:rPr>
      </w:pPr>
      <w:r w:rsidRPr="003C5218">
        <w:rPr>
          <w:rFonts w:ascii="Arial" w:hAnsi="Arial" w:cs="Arial"/>
          <w:noProof/>
          <w:sz w:val="24"/>
          <w:szCs w:val="24"/>
        </w:rPr>
        <w:lastRenderedPageBreak/>
        <w:drawing>
          <wp:inline distT="0" distB="0" distL="0" distR="0" wp14:anchorId="46A56EAF" wp14:editId="539414E0">
            <wp:extent cx="4572000" cy="3066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_GradientPaths.png"/>
                    <pic:cNvPicPr/>
                  </pic:nvPicPr>
                  <pic:blipFill>
                    <a:blip r:embed="rId20"/>
                    <a:stretch>
                      <a:fillRect/>
                    </a:stretch>
                  </pic:blipFill>
                  <pic:spPr>
                    <a:xfrm>
                      <a:off x="0" y="0"/>
                      <a:ext cx="4572000" cy="3066480"/>
                    </a:xfrm>
                    <a:prstGeom prst="rect">
                      <a:avLst/>
                    </a:prstGeom>
                  </pic:spPr>
                </pic:pic>
              </a:graphicData>
            </a:graphic>
          </wp:inline>
        </w:drawing>
      </w:r>
    </w:p>
    <w:p w14:paraId="115F1A7A" w14:textId="77777777" w:rsidR="00DE46AE" w:rsidRPr="00F92F67" w:rsidRDefault="00DE46AE" w:rsidP="00F92F67">
      <w:pPr>
        <w:spacing w:before="240" w:line="360" w:lineRule="auto"/>
        <w:jc w:val="center"/>
        <w:rPr>
          <w:rFonts w:ascii="Arial" w:hAnsi="Arial" w:cs="Arial"/>
          <w:b/>
          <w:i/>
          <w:sz w:val="24"/>
          <w:szCs w:val="24"/>
        </w:rPr>
      </w:pPr>
      <w:r w:rsidRPr="00F92F67">
        <w:rPr>
          <w:rFonts w:ascii="Arial" w:hAnsi="Arial" w:cs="Arial"/>
          <w:b/>
          <w:i/>
          <w:sz w:val="24"/>
          <w:szCs w:val="24"/>
        </w:rPr>
        <w:t>Figure 6. Gradient path diagram displaying the magnitude of indirect effects for UTAUT constructs mediated through Behavioral Intention.</w:t>
      </w:r>
    </w:p>
    <w:p w14:paraId="0887815B"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The structural equation model summary is presented in Table 5, highlighting the explained variances for Behavioral Intention and Actual Use.</w:t>
      </w:r>
    </w:p>
    <w:tbl>
      <w:tblPr>
        <w:tblStyle w:val="TableGrid"/>
        <w:tblW w:w="0" w:type="auto"/>
        <w:tblLook w:val="04A0" w:firstRow="1" w:lastRow="0" w:firstColumn="1" w:lastColumn="0" w:noHBand="0" w:noVBand="1"/>
      </w:tblPr>
      <w:tblGrid>
        <w:gridCol w:w="4315"/>
        <w:gridCol w:w="4315"/>
      </w:tblGrid>
      <w:tr w:rsidR="00DE46AE" w:rsidRPr="003C5218" w14:paraId="3A8B8582" w14:textId="77777777" w:rsidTr="00511666">
        <w:tc>
          <w:tcPr>
            <w:tcW w:w="4320" w:type="dxa"/>
          </w:tcPr>
          <w:p w14:paraId="517A3B07"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Metric</w:t>
            </w:r>
          </w:p>
        </w:tc>
        <w:tc>
          <w:tcPr>
            <w:tcW w:w="4320" w:type="dxa"/>
          </w:tcPr>
          <w:p w14:paraId="59375382"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Estimate</w:t>
            </w:r>
          </w:p>
        </w:tc>
      </w:tr>
      <w:tr w:rsidR="00DE46AE" w:rsidRPr="003C5218" w14:paraId="2166697C" w14:textId="77777777" w:rsidTr="00511666">
        <w:tc>
          <w:tcPr>
            <w:tcW w:w="4320" w:type="dxa"/>
          </w:tcPr>
          <w:p w14:paraId="158D998E"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BI → USE (Direct Effect)</w:t>
            </w:r>
          </w:p>
        </w:tc>
        <w:tc>
          <w:tcPr>
            <w:tcW w:w="4320" w:type="dxa"/>
          </w:tcPr>
          <w:p w14:paraId="7448A171"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0.64</w:t>
            </w:r>
          </w:p>
        </w:tc>
      </w:tr>
      <w:tr w:rsidR="00DE46AE" w:rsidRPr="003C5218" w14:paraId="29D85D4D" w14:textId="77777777" w:rsidTr="00511666">
        <w:tc>
          <w:tcPr>
            <w:tcW w:w="4320" w:type="dxa"/>
          </w:tcPr>
          <w:p w14:paraId="70E97038"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R² (Behavioral Intention)</w:t>
            </w:r>
          </w:p>
        </w:tc>
        <w:tc>
          <w:tcPr>
            <w:tcW w:w="4320" w:type="dxa"/>
          </w:tcPr>
          <w:p w14:paraId="4682FAB2"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0.67</w:t>
            </w:r>
          </w:p>
        </w:tc>
      </w:tr>
      <w:tr w:rsidR="00DE46AE" w:rsidRPr="003C5218" w14:paraId="7DF2CB2B" w14:textId="77777777" w:rsidTr="00511666">
        <w:tc>
          <w:tcPr>
            <w:tcW w:w="4320" w:type="dxa"/>
          </w:tcPr>
          <w:p w14:paraId="6C801642"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R² (Actual Use)</w:t>
            </w:r>
          </w:p>
        </w:tc>
        <w:tc>
          <w:tcPr>
            <w:tcW w:w="4320" w:type="dxa"/>
          </w:tcPr>
          <w:p w14:paraId="08E2C02A" w14:textId="77777777" w:rsidR="00DE46AE" w:rsidRPr="003C5218" w:rsidRDefault="00DE46AE" w:rsidP="00F92F67">
            <w:pPr>
              <w:spacing w:before="240" w:line="360" w:lineRule="auto"/>
              <w:rPr>
                <w:rFonts w:ascii="Arial" w:hAnsi="Arial" w:cs="Arial"/>
                <w:sz w:val="24"/>
                <w:szCs w:val="24"/>
              </w:rPr>
            </w:pPr>
            <w:r w:rsidRPr="003C5218">
              <w:rPr>
                <w:rFonts w:ascii="Arial" w:hAnsi="Arial" w:cs="Arial"/>
                <w:sz w:val="24"/>
                <w:szCs w:val="24"/>
              </w:rPr>
              <w:t>0.59</w:t>
            </w:r>
          </w:p>
        </w:tc>
      </w:tr>
    </w:tbl>
    <w:p w14:paraId="66692E80" w14:textId="77777777" w:rsidR="00DE46AE" w:rsidRPr="00F92F67" w:rsidRDefault="00511666" w:rsidP="00F92F67">
      <w:pPr>
        <w:spacing w:before="240" w:line="360" w:lineRule="auto"/>
        <w:jc w:val="center"/>
        <w:rPr>
          <w:rFonts w:ascii="Arial" w:hAnsi="Arial" w:cs="Arial"/>
          <w:b/>
          <w:i/>
          <w:sz w:val="24"/>
          <w:szCs w:val="24"/>
        </w:rPr>
      </w:pPr>
      <w:r w:rsidRPr="00F92F67">
        <w:rPr>
          <w:rFonts w:ascii="Arial" w:hAnsi="Arial" w:cs="Arial"/>
          <w:b/>
          <w:i/>
          <w:sz w:val="24"/>
          <w:szCs w:val="24"/>
        </w:rPr>
        <w:t xml:space="preserve">Table 5: </w:t>
      </w:r>
      <w:r w:rsidR="00DE46AE" w:rsidRPr="00F92F67">
        <w:rPr>
          <w:rFonts w:ascii="Arial" w:hAnsi="Arial" w:cs="Arial"/>
          <w:b/>
          <w:i/>
          <w:sz w:val="24"/>
          <w:szCs w:val="24"/>
        </w:rPr>
        <w:t>Model fit statistics and path coefficients for direct and mediated relationships.</w:t>
      </w:r>
    </w:p>
    <w:p w14:paraId="6C29C455" w14:textId="77777777" w:rsidR="00DE46AE" w:rsidRPr="003C5218" w:rsidRDefault="00DE46AE" w:rsidP="00F92F67">
      <w:pPr>
        <w:spacing w:before="240" w:line="360" w:lineRule="auto"/>
        <w:jc w:val="both"/>
        <w:rPr>
          <w:rFonts w:ascii="Arial" w:hAnsi="Arial" w:cs="Arial"/>
          <w:sz w:val="24"/>
          <w:szCs w:val="24"/>
        </w:rPr>
      </w:pPr>
      <w:r w:rsidRPr="003C5218">
        <w:rPr>
          <w:rFonts w:ascii="Arial" w:hAnsi="Arial" w:cs="Arial"/>
          <w:sz w:val="24"/>
          <w:szCs w:val="24"/>
        </w:rPr>
        <w:t xml:space="preserve">The findings confirm that Behavioral Intention plays a pivotal mediating role in transforming expectancy beliefs into actual ML system use. Performance Expectancy and Effort Expectancy exhibit the most substantial indirect contributions, indicating that perceived usefulness and ease of implementation </w:t>
      </w:r>
      <w:r w:rsidRPr="003C5218">
        <w:rPr>
          <w:rFonts w:ascii="Arial" w:hAnsi="Arial" w:cs="Arial"/>
          <w:sz w:val="24"/>
          <w:szCs w:val="24"/>
        </w:rPr>
        <w:lastRenderedPageBreak/>
        <w:t>remain central to adoption outcomes. The high R² values (0.67 for BI and 0.59 for USE) demonstrate the model’s strong explanatory capability, reinforcing that behavioral intention serves as a powerful mechanism in bridging perception and action within cybersecurity adoption behavior.</w:t>
      </w:r>
    </w:p>
    <w:p w14:paraId="195DD6EF" w14:textId="77777777" w:rsidR="00EC5A97" w:rsidRPr="003C5218" w:rsidRDefault="00EC5A97" w:rsidP="0083604E">
      <w:pPr>
        <w:spacing w:before="240" w:line="360" w:lineRule="auto"/>
        <w:jc w:val="both"/>
        <w:rPr>
          <w:rFonts w:ascii="Arial" w:hAnsi="Arial" w:cs="Arial"/>
          <w:b/>
          <w:sz w:val="24"/>
          <w:szCs w:val="24"/>
        </w:rPr>
      </w:pPr>
      <w:r w:rsidRPr="003C5218">
        <w:rPr>
          <w:rFonts w:ascii="Arial" w:hAnsi="Arial" w:cs="Arial"/>
          <w:b/>
          <w:sz w:val="24"/>
          <w:szCs w:val="24"/>
        </w:rPr>
        <w:t>Discussion</w:t>
      </w:r>
    </w:p>
    <w:p w14:paraId="400B5196" w14:textId="77777777" w:rsidR="00EC5A97" w:rsidRPr="003C5218" w:rsidRDefault="00EC5A97" w:rsidP="0083604E">
      <w:pPr>
        <w:spacing w:before="240" w:line="360" w:lineRule="auto"/>
        <w:jc w:val="both"/>
        <w:rPr>
          <w:rFonts w:ascii="Arial" w:hAnsi="Arial" w:cs="Arial"/>
          <w:sz w:val="24"/>
          <w:szCs w:val="24"/>
        </w:rPr>
      </w:pPr>
      <w:r w:rsidRPr="003C5218">
        <w:rPr>
          <w:rFonts w:ascii="Arial" w:hAnsi="Arial" w:cs="Arial"/>
          <w:sz w:val="24"/>
          <w:szCs w:val="24"/>
        </w:rPr>
        <w:t>The results of this study provide compelling evidence that the Unified Theory of Acceptance and Use of Technology (UTAUT) framework remains highly effective in explaining organizational adoption behavior for machine learning (ML) cybersecurity systems in e-commerce contexts. The relationships identified between Performance Expectancy, Effort Expectancy, Social Influence, and Facilitating Conditions with Behavioral Intention, as shown in Table 1 and Figure 1, align with the foundational propositions of Venkatesh et al. (2003), reaffirming that perceived usefulness and ease of use are the most influential predictors of adoption intention. In particular, Performance Expectancy emerged as the most dominant construct influencing Behavioral Intention, corroborating the findings of Olaniyi (2025) and Lai et al. (2024), who both observed that when users perceive ML solutions as capable of improving security performance, their intention to adopt increases markedly. The high explanatory power of the model (R² = 0.67) confirms that the UTAUT framework maintains predictive validity even in complex, security-driven technological environments where multiple behavioral and infrastructural factors interact.</w:t>
      </w:r>
      <w:r w:rsidRPr="003C5218">
        <w:rPr>
          <w:rFonts w:ascii="Arial" w:hAnsi="Arial" w:cs="Arial"/>
          <w:sz w:val="24"/>
          <w:szCs w:val="24"/>
        </w:rPr>
        <w:br/>
      </w:r>
      <w:r w:rsidRPr="003C5218">
        <w:rPr>
          <w:rFonts w:ascii="Arial" w:hAnsi="Arial" w:cs="Arial"/>
          <w:sz w:val="24"/>
          <w:szCs w:val="24"/>
        </w:rPr>
        <w:br/>
        <w:t>The significance of Effort Expectancy, the second strongest predictor in t</w:t>
      </w:r>
      <w:r w:rsidR="00F92F67">
        <w:rPr>
          <w:rFonts w:ascii="Arial" w:hAnsi="Arial" w:cs="Arial"/>
          <w:sz w:val="24"/>
          <w:szCs w:val="24"/>
        </w:rPr>
        <w:t xml:space="preserve">his study, reinforces that user </w:t>
      </w:r>
      <w:r w:rsidRPr="003C5218">
        <w:rPr>
          <w:rFonts w:ascii="Arial" w:hAnsi="Arial" w:cs="Arial"/>
          <w:sz w:val="24"/>
          <w:szCs w:val="24"/>
        </w:rPr>
        <w:t xml:space="preserve">friendly and integrable ML systems foster stronger behavioral intentions among cybersecurity teams. This observation aligns with Kim et al. (2024), who found that ease of system implementation substantially </w:t>
      </w:r>
      <w:r w:rsidR="00F92F67">
        <w:rPr>
          <w:rFonts w:ascii="Arial" w:hAnsi="Arial" w:cs="Arial"/>
          <w:sz w:val="24"/>
          <w:szCs w:val="24"/>
        </w:rPr>
        <w:t xml:space="preserve">enhances adoption in technology </w:t>
      </w:r>
      <w:r w:rsidRPr="003C5218">
        <w:rPr>
          <w:rFonts w:ascii="Arial" w:hAnsi="Arial" w:cs="Arial"/>
          <w:sz w:val="24"/>
          <w:szCs w:val="24"/>
        </w:rPr>
        <w:t xml:space="preserve">intensive settings. Similarly, the positive but comparatively smaller effects of Social Influence and Facilitating Conditions, evident in Table 1 and Figure 2, suggest that managerial advocacy and infrastructural support are necessary but not sufficient conditions for adoption. These findings collectively </w:t>
      </w:r>
      <w:r w:rsidRPr="003C5218">
        <w:rPr>
          <w:rFonts w:ascii="Arial" w:hAnsi="Arial" w:cs="Arial"/>
          <w:sz w:val="24"/>
          <w:szCs w:val="24"/>
        </w:rPr>
        <w:lastRenderedPageBreak/>
        <w:t>indicate that while social and environmental enablers remain important, the perceived utility and operational simplicity of ML systems are the primary forces driving adoption decisions in e-commerce cybersecurity.</w:t>
      </w:r>
      <w:r w:rsidRPr="003C5218">
        <w:rPr>
          <w:rFonts w:ascii="Arial" w:hAnsi="Arial" w:cs="Arial"/>
          <w:sz w:val="24"/>
          <w:szCs w:val="24"/>
        </w:rPr>
        <w:br/>
      </w:r>
      <w:r w:rsidRPr="003C5218">
        <w:rPr>
          <w:rFonts w:ascii="Arial" w:hAnsi="Arial" w:cs="Arial"/>
          <w:sz w:val="24"/>
          <w:szCs w:val="24"/>
        </w:rPr>
        <w:br/>
        <w:t xml:space="preserve">When extending the UTAUT model to include Trust, Perceived Risk, and Regulatory Compliance Pressure, as presented in Table 3 and Figure 3, the analysis revealed that Trust had the most substantial positive influence on AI adoption, followed by Compliance Pressure, whereas Perceived Risk exerted a strong negative effect. This pattern is consistent with </w:t>
      </w:r>
      <w:proofErr w:type="spellStart"/>
      <w:r w:rsidRPr="003C5218">
        <w:rPr>
          <w:rFonts w:ascii="Arial" w:hAnsi="Arial" w:cs="Arial"/>
          <w:sz w:val="24"/>
          <w:szCs w:val="24"/>
        </w:rPr>
        <w:t>Aysolmaz</w:t>
      </w:r>
      <w:proofErr w:type="spellEnd"/>
      <w:r w:rsidRPr="003C5218">
        <w:rPr>
          <w:rFonts w:ascii="Arial" w:hAnsi="Arial" w:cs="Arial"/>
          <w:sz w:val="24"/>
          <w:szCs w:val="24"/>
        </w:rPr>
        <w:t xml:space="preserve"> et al. (2023) and Shevtsova et al. (2024), who emphasized that confidence in system transparency and algorithmic reliability strongly enhances organizational adoption behaviors. The positive association between Regulatory Compliance and adoption also echoes the conclusions of Blind et al. (2024) and Jørgensen and Ma (2025), who documented how regulatory mandates such as GDPR shape technological innovation incentives and deployment strategies. Conversely, the negative effect of Perceived Risk supports the assertions of Lai et al. (2024) that fear of data exposure, model drift, and vendor dependency can deter technology adoption even in the presence of favorable performance perceptions. The observed pseudo-R² of 0.41 further validates that these institutional and psychological determinants significantly explain firm-level variance in ML cybersecurity adoption.</w:t>
      </w:r>
      <w:r w:rsidRPr="003C5218">
        <w:rPr>
          <w:rFonts w:ascii="Arial" w:hAnsi="Arial" w:cs="Arial"/>
          <w:sz w:val="24"/>
          <w:szCs w:val="24"/>
        </w:rPr>
        <w:br/>
      </w:r>
      <w:r w:rsidRPr="003C5218">
        <w:rPr>
          <w:rFonts w:ascii="Arial" w:hAnsi="Arial" w:cs="Arial"/>
          <w:sz w:val="24"/>
          <w:szCs w:val="24"/>
        </w:rPr>
        <w:br/>
        <w:t>Importantly, the mediation analysis results summarized in Table 4 and Table 5, and visualized in Figure 5, confirm that Behavioral Intention serves as a central conduit between expectancy constructs and Actual Use of ML cybersecurity systems. This finding reinforces earlier conclusions by Han et al. (2025) and Zhang et al. (2023), who identified Behavioral Intention as the primary transmission mechanism linking belief constructs to real-world implementation. Performance Expectancy and Effort Expectancy demonstrated the strongest indirect effects through Behavioral Intention, a result consistent with the observations of Al-</w:t>
      </w:r>
      <w:proofErr w:type="spellStart"/>
      <w:r w:rsidRPr="003C5218">
        <w:rPr>
          <w:rFonts w:ascii="Arial" w:hAnsi="Arial" w:cs="Arial"/>
          <w:sz w:val="24"/>
          <w:szCs w:val="24"/>
        </w:rPr>
        <w:t>Makhmari</w:t>
      </w:r>
      <w:proofErr w:type="spellEnd"/>
      <w:r w:rsidRPr="003C5218">
        <w:rPr>
          <w:rFonts w:ascii="Arial" w:hAnsi="Arial" w:cs="Arial"/>
          <w:sz w:val="24"/>
          <w:szCs w:val="24"/>
        </w:rPr>
        <w:t xml:space="preserve"> et al. (2024), who noted that behavioral intention effectively bridges perception and action within technology adoption processes. The direct path from </w:t>
      </w:r>
      <w:r w:rsidRPr="003C5218">
        <w:rPr>
          <w:rFonts w:ascii="Arial" w:hAnsi="Arial" w:cs="Arial"/>
          <w:sz w:val="24"/>
          <w:szCs w:val="24"/>
        </w:rPr>
        <w:lastRenderedPageBreak/>
        <w:t>Behavioral Intention to Actual Use (β = 0.64) and high explanatory values (R² = 0.67 for BI and 0.59 for USE) illustrate the robustness of this mediating relationship and highlight intention as a critical psychological driver for converting motivation into actual system utilization.</w:t>
      </w:r>
      <w:r w:rsidRPr="003C5218">
        <w:rPr>
          <w:rFonts w:ascii="Arial" w:hAnsi="Arial" w:cs="Arial"/>
          <w:sz w:val="24"/>
          <w:szCs w:val="24"/>
        </w:rPr>
        <w:br/>
      </w:r>
      <w:r w:rsidRPr="003C5218">
        <w:rPr>
          <w:rFonts w:ascii="Arial" w:hAnsi="Arial" w:cs="Arial"/>
          <w:sz w:val="24"/>
          <w:szCs w:val="24"/>
        </w:rPr>
        <w:br/>
        <w:t xml:space="preserve">The theoretical implications of these results are twofold. First, they substantiate the UTAUT model’s continued relevance in explaining adoption behaviors in highly specialized domains such as cybersecurity, confirming that performance expectancy remains the strongest determinant of intention even when emerging constructs are introduced. Second, by integrating trust, perceived risk, and compliance factors into the framework, the study validates the evolving perspective proposed by Kolo et al. (2025) and </w:t>
      </w:r>
      <w:proofErr w:type="spellStart"/>
      <w:r w:rsidRPr="003C5218">
        <w:rPr>
          <w:rFonts w:ascii="Arial" w:hAnsi="Arial" w:cs="Arial"/>
          <w:sz w:val="24"/>
          <w:szCs w:val="24"/>
        </w:rPr>
        <w:t>Glikson</w:t>
      </w:r>
      <w:proofErr w:type="spellEnd"/>
      <w:r w:rsidRPr="003C5218">
        <w:rPr>
          <w:rFonts w:ascii="Arial" w:hAnsi="Arial" w:cs="Arial"/>
          <w:sz w:val="24"/>
          <w:szCs w:val="24"/>
        </w:rPr>
        <w:t xml:space="preserve"> and Woolley (2020), who argued for contextual and organizational determinants as extensions to traditional acceptance models. The findings in Figure 6 further support that trust-driven confidence and regulatory alignment can reinforce adoption readiness, while unmanaged risk perceptions can offset otherwise strong behavioral intentions. In practical terms, this indicates that managerial focus should extend beyond system performance to encompass transparency mechanisms, compliance assurance, and structured risk mitigation strategies, enabling ML cybersecurity adoption to mature from intention to sustained usage.</w:t>
      </w:r>
      <w:r w:rsidRPr="003C5218">
        <w:rPr>
          <w:rFonts w:ascii="Arial" w:hAnsi="Arial" w:cs="Arial"/>
          <w:sz w:val="24"/>
          <w:szCs w:val="24"/>
        </w:rPr>
        <w:br/>
      </w:r>
      <w:r w:rsidRPr="003C5218">
        <w:rPr>
          <w:rFonts w:ascii="Arial" w:hAnsi="Arial" w:cs="Arial"/>
          <w:sz w:val="24"/>
          <w:szCs w:val="24"/>
        </w:rPr>
        <w:br/>
        <w:t>The results confirm that integrating classical behavioral constructs with contextual and institutional factors yields a more comprehensive understanding of ML adoption in e-commerce cybersecurity. This integration bridges theoretical prediction and practical implementation, ensuring that both human and organizational dimensions are captured in the empirical modeling of technology acceptance.</w:t>
      </w:r>
    </w:p>
    <w:p w14:paraId="0D45BB44" w14:textId="77777777" w:rsidR="00EC5A97" w:rsidRPr="003C5218" w:rsidRDefault="00E26F44" w:rsidP="0083604E">
      <w:pPr>
        <w:spacing w:before="240" w:line="36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t>Conclusion and Recommendations</w:t>
      </w:r>
    </w:p>
    <w:p w14:paraId="472DD607" w14:textId="77777777" w:rsidR="009F5B26" w:rsidRPr="003C5218" w:rsidRDefault="00752FFE" w:rsidP="0083604E">
      <w:pPr>
        <w:pStyle w:val="NormalWeb"/>
        <w:spacing w:before="240" w:beforeAutospacing="0" w:line="360" w:lineRule="auto"/>
        <w:jc w:val="both"/>
        <w:rPr>
          <w:rFonts w:ascii="Arial" w:hAnsi="Arial" w:cs="Arial"/>
        </w:rPr>
      </w:pPr>
      <w:r w:rsidRPr="003C5218">
        <w:rPr>
          <w:rFonts w:ascii="Arial" w:hAnsi="Arial" w:cs="Arial"/>
        </w:rPr>
        <w:t>This</w:t>
      </w:r>
      <w:r w:rsidR="009F5B26" w:rsidRPr="003C5218">
        <w:rPr>
          <w:rFonts w:ascii="Arial" w:hAnsi="Arial" w:cs="Arial"/>
        </w:rPr>
        <w:t xml:space="preserve"> study concludes that machine learning adoption for cybersecurity in e-commerce is primarily driven by perceived usefulness and ease of integration, as </w:t>
      </w:r>
      <w:r w:rsidR="009F5B26" w:rsidRPr="003C5218">
        <w:rPr>
          <w:rFonts w:ascii="Arial" w:hAnsi="Arial" w:cs="Arial"/>
        </w:rPr>
        <w:lastRenderedPageBreak/>
        <w:t>evidenced by the strong predictive influence of Performance and Effort Expectancy. Behavioral Intention was shown to be the key mediator translating expectancy beliefs into actual system use, while Trust and Regulatory Compliance positively reinforced adoption likelihood, and Perceived Risk reduced it. These findings highlight that successful ML implementation depends not only on system performance but also on organizational confidence and regulatory alignment. Therefore, to sustain adoption:</w:t>
      </w:r>
    </w:p>
    <w:p w14:paraId="44789878" w14:textId="77777777" w:rsidR="009F5B26" w:rsidRPr="003C5218" w:rsidRDefault="009F5B26" w:rsidP="0083604E">
      <w:pPr>
        <w:pStyle w:val="NormalWeb"/>
        <w:numPr>
          <w:ilvl w:val="0"/>
          <w:numId w:val="11"/>
        </w:numPr>
        <w:spacing w:before="240" w:beforeAutospacing="0" w:line="360" w:lineRule="auto"/>
        <w:jc w:val="both"/>
        <w:rPr>
          <w:rFonts w:ascii="Arial" w:hAnsi="Arial" w:cs="Arial"/>
        </w:rPr>
      </w:pPr>
      <w:r w:rsidRPr="003C5218">
        <w:rPr>
          <w:rFonts w:ascii="Arial" w:hAnsi="Arial" w:cs="Arial"/>
        </w:rPr>
        <w:t>E-commerce firms should enhance transparency and explainability of ML systems to build institutional trust.</w:t>
      </w:r>
    </w:p>
    <w:p w14:paraId="617E09D6" w14:textId="77777777" w:rsidR="009F5B26" w:rsidRPr="003C5218" w:rsidRDefault="009F5B26" w:rsidP="0083604E">
      <w:pPr>
        <w:pStyle w:val="NormalWeb"/>
        <w:numPr>
          <w:ilvl w:val="0"/>
          <w:numId w:val="11"/>
        </w:numPr>
        <w:spacing w:before="240" w:beforeAutospacing="0" w:line="360" w:lineRule="auto"/>
        <w:jc w:val="both"/>
        <w:rPr>
          <w:rFonts w:ascii="Arial" w:hAnsi="Arial" w:cs="Arial"/>
        </w:rPr>
      </w:pPr>
      <w:r w:rsidRPr="003C5218">
        <w:rPr>
          <w:rFonts w:ascii="Arial" w:hAnsi="Arial" w:cs="Arial"/>
        </w:rPr>
        <w:t>Policymakers must strengthen compliance frameworks that incentivize secure AI deployment.</w:t>
      </w:r>
    </w:p>
    <w:p w14:paraId="3B4C3334" w14:textId="77777777" w:rsidR="009F5B26" w:rsidRPr="003C5218" w:rsidRDefault="009F5B26" w:rsidP="0083604E">
      <w:pPr>
        <w:pStyle w:val="NormalWeb"/>
        <w:numPr>
          <w:ilvl w:val="0"/>
          <w:numId w:val="11"/>
        </w:numPr>
        <w:spacing w:before="240" w:beforeAutospacing="0" w:line="360" w:lineRule="auto"/>
        <w:jc w:val="both"/>
        <w:rPr>
          <w:rFonts w:ascii="Arial" w:hAnsi="Arial" w:cs="Arial"/>
        </w:rPr>
      </w:pPr>
      <w:r w:rsidRPr="003C5218">
        <w:rPr>
          <w:rFonts w:ascii="Arial" w:hAnsi="Arial" w:cs="Arial"/>
        </w:rPr>
        <w:t>Cybersecurity managers should integrate risk mitigation and employee training into ML strategies.</w:t>
      </w:r>
    </w:p>
    <w:p w14:paraId="75553145" w14:textId="77777777" w:rsidR="00A96788" w:rsidRPr="003C5218" w:rsidRDefault="009F5B26" w:rsidP="0083604E">
      <w:pPr>
        <w:pStyle w:val="NormalWeb"/>
        <w:numPr>
          <w:ilvl w:val="0"/>
          <w:numId w:val="11"/>
        </w:numPr>
        <w:spacing w:before="240" w:beforeAutospacing="0" w:line="360" w:lineRule="auto"/>
        <w:jc w:val="both"/>
        <w:rPr>
          <w:rFonts w:ascii="Arial" w:hAnsi="Arial" w:cs="Arial"/>
        </w:rPr>
      </w:pPr>
      <w:r w:rsidRPr="003C5218">
        <w:rPr>
          <w:rFonts w:ascii="Arial" w:hAnsi="Arial" w:cs="Arial"/>
        </w:rPr>
        <w:t>Technology developers should design adaptable ML tools that minimize operational complexity and support interoperability.</w:t>
      </w:r>
    </w:p>
    <w:p w14:paraId="60502D09" w14:textId="77777777" w:rsidR="00A96788" w:rsidRPr="003C5218" w:rsidRDefault="00A96788" w:rsidP="00F92F67">
      <w:pPr>
        <w:spacing w:before="240" w:line="360" w:lineRule="auto"/>
        <w:rPr>
          <w:rFonts w:ascii="Arial" w:eastAsia="Times New Roman" w:hAnsi="Arial" w:cs="Arial"/>
          <w:sz w:val="24"/>
          <w:szCs w:val="24"/>
        </w:rPr>
      </w:pPr>
      <w:r w:rsidRPr="003C5218">
        <w:rPr>
          <w:rFonts w:ascii="Arial" w:hAnsi="Arial" w:cs="Arial"/>
          <w:sz w:val="24"/>
          <w:szCs w:val="24"/>
        </w:rPr>
        <w:br w:type="page"/>
      </w:r>
    </w:p>
    <w:p w14:paraId="7EDC8D9B" w14:textId="77777777" w:rsidR="00F92F67" w:rsidRPr="00F92F67" w:rsidRDefault="00A96788" w:rsidP="00F92F67">
      <w:pPr>
        <w:pStyle w:val="Heading2"/>
        <w:spacing w:before="240" w:after="80" w:line="360" w:lineRule="auto"/>
        <w:jc w:val="center"/>
        <w:rPr>
          <w:rFonts w:ascii="Arial" w:hAnsi="Arial" w:cs="Arial"/>
          <w:sz w:val="24"/>
          <w:szCs w:val="24"/>
        </w:rPr>
      </w:pPr>
      <w:r w:rsidRPr="003C5218">
        <w:rPr>
          <w:rFonts w:ascii="Arial" w:hAnsi="Arial" w:cs="Arial"/>
          <w:color w:val="000000"/>
          <w:sz w:val="24"/>
          <w:szCs w:val="24"/>
        </w:rPr>
        <w:lastRenderedPageBreak/>
        <w:t>References</w:t>
      </w:r>
    </w:p>
    <w:p w14:paraId="6E315D41"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Adesokan</w:t>
      </w:r>
      <w:proofErr w:type="spellEnd"/>
      <w:r w:rsidRPr="008451DB">
        <w:rPr>
          <w:rFonts w:ascii="Arial" w:hAnsi="Arial" w:cs="Arial"/>
        </w:rPr>
        <w:t xml:space="preserve">-Imran, T. O., Popoola, A. D., Kolo, F. H. O., Ejiofor, V. O., &amp; Salami, I. A. (2025). Cybersecurity Risk Stratification Framework Using Multilevel Clustering: An Automated Threat Attribution and Categorization Approach for Cross-industry Cybersecurity. </w:t>
      </w:r>
      <w:r w:rsidRPr="008451DB">
        <w:rPr>
          <w:rFonts w:ascii="Arial" w:hAnsi="Arial" w:cs="Arial"/>
          <w:i/>
          <w:iCs/>
        </w:rPr>
        <w:t>Journal of Engineering Research and Reports</w:t>
      </w:r>
      <w:r w:rsidRPr="008451DB">
        <w:rPr>
          <w:rFonts w:ascii="Arial" w:hAnsi="Arial" w:cs="Arial"/>
        </w:rPr>
        <w:t xml:space="preserve">, </w:t>
      </w:r>
      <w:r w:rsidRPr="008451DB">
        <w:rPr>
          <w:rFonts w:ascii="Arial" w:hAnsi="Arial" w:cs="Arial"/>
          <w:i/>
          <w:iCs/>
        </w:rPr>
        <w:t>27</w:t>
      </w:r>
      <w:r w:rsidRPr="008451DB">
        <w:rPr>
          <w:rFonts w:ascii="Arial" w:hAnsi="Arial" w:cs="Arial"/>
        </w:rPr>
        <w:t>(4), 241–263. https://doi.org/10.9734/jerr/2025/v27i41469</w:t>
      </w:r>
    </w:p>
    <w:p w14:paraId="76D380D1"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Al-</w:t>
      </w:r>
      <w:proofErr w:type="spellStart"/>
      <w:r w:rsidRPr="008451DB">
        <w:rPr>
          <w:rFonts w:ascii="Arial" w:hAnsi="Arial" w:cs="Arial"/>
        </w:rPr>
        <w:t>Makhmari</w:t>
      </w:r>
      <w:proofErr w:type="spellEnd"/>
      <w:r w:rsidRPr="008451DB">
        <w:rPr>
          <w:rFonts w:ascii="Arial" w:hAnsi="Arial" w:cs="Arial"/>
        </w:rPr>
        <w:t xml:space="preserve">, L., Tarhini, A., </w:t>
      </w:r>
      <w:proofErr w:type="spellStart"/>
      <w:r w:rsidRPr="008451DB">
        <w:rPr>
          <w:rFonts w:ascii="Arial" w:hAnsi="Arial" w:cs="Arial"/>
        </w:rPr>
        <w:t>Nikhashemi</w:t>
      </w:r>
      <w:proofErr w:type="spellEnd"/>
      <w:r w:rsidRPr="008451DB">
        <w:rPr>
          <w:rFonts w:ascii="Arial" w:hAnsi="Arial" w:cs="Arial"/>
        </w:rPr>
        <w:t xml:space="preserve">, S. R., Nusair, K., &amp; Al Shaqsi, J. (2024). Factors Influencing User Adoption of Social Commerce in the Metaverse: The Moderating Role of Technology Comfort, E-Word-of-Mouth, and Endowment Effect. </w:t>
      </w:r>
      <w:r w:rsidRPr="008451DB">
        <w:rPr>
          <w:rFonts w:ascii="Arial" w:hAnsi="Arial" w:cs="Arial"/>
          <w:i/>
          <w:iCs/>
        </w:rPr>
        <w:t>International Journal of Human–Computer Interaction</w:t>
      </w:r>
      <w:r w:rsidRPr="008451DB">
        <w:rPr>
          <w:rFonts w:ascii="Arial" w:hAnsi="Arial" w:cs="Arial"/>
        </w:rPr>
        <w:t xml:space="preserve">, </w:t>
      </w:r>
      <w:r w:rsidRPr="008451DB">
        <w:rPr>
          <w:rFonts w:ascii="Arial" w:hAnsi="Arial" w:cs="Arial"/>
          <w:i/>
          <w:iCs/>
        </w:rPr>
        <w:t>41</w:t>
      </w:r>
      <w:r w:rsidRPr="008451DB">
        <w:rPr>
          <w:rFonts w:ascii="Arial" w:hAnsi="Arial" w:cs="Arial"/>
        </w:rPr>
        <w:t>(17), 1–16. https://doi.org/10.1080/10447318.2024.2439121</w:t>
      </w:r>
    </w:p>
    <w:p w14:paraId="2B01DC05"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Aloamaka</w:t>
      </w:r>
      <w:proofErr w:type="spellEnd"/>
      <w:r w:rsidRPr="008451DB">
        <w:rPr>
          <w:rFonts w:ascii="Arial" w:hAnsi="Arial" w:cs="Arial"/>
        </w:rPr>
        <w:t xml:space="preserve">, P. C. (2025). A CRITICAL ANALYSIS OF THE NIGERIA DATA PROTECTION ACT 2023: ELEVATING STANDARDS TO GLOBAL NORMS. </w:t>
      </w:r>
      <w:r w:rsidRPr="008451DB">
        <w:rPr>
          <w:rFonts w:ascii="Arial" w:hAnsi="Arial" w:cs="Arial"/>
          <w:i/>
          <w:iCs/>
        </w:rPr>
        <w:t>UCC Law Journal</w:t>
      </w:r>
      <w:r w:rsidRPr="008451DB">
        <w:rPr>
          <w:rFonts w:ascii="Arial" w:hAnsi="Arial" w:cs="Arial"/>
        </w:rPr>
        <w:t xml:space="preserve">, </w:t>
      </w:r>
      <w:r w:rsidRPr="008451DB">
        <w:rPr>
          <w:rFonts w:ascii="Arial" w:hAnsi="Arial" w:cs="Arial"/>
          <w:i/>
          <w:iCs/>
        </w:rPr>
        <w:t>4</w:t>
      </w:r>
      <w:r w:rsidRPr="008451DB">
        <w:rPr>
          <w:rFonts w:ascii="Arial" w:hAnsi="Arial" w:cs="Arial"/>
        </w:rPr>
        <w:t>(2), 242–263. https://doi.org/10.47963/ucclj.v4i2.1724</w:t>
      </w:r>
    </w:p>
    <w:p w14:paraId="01627CAB"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Andrews, J. E., Ward, H., &amp; Yoon, J. (2021). UTAUT as a Model for Understanding Intention to Adopt AI and Related Technologies among Librarians. </w:t>
      </w:r>
      <w:r w:rsidRPr="008451DB">
        <w:rPr>
          <w:rFonts w:ascii="Arial" w:hAnsi="Arial" w:cs="Arial"/>
          <w:i/>
          <w:iCs/>
        </w:rPr>
        <w:t>The Journal of Academic Librarianship</w:t>
      </w:r>
      <w:r w:rsidRPr="008451DB">
        <w:rPr>
          <w:rFonts w:ascii="Arial" w:hAnsi="Arial" w:cs="Arial"/>
        </w:rPr>
        <w:t xml:space="preserve">, </w:t>
      </w:r>
      <w:r w:rsidRPr="008451DB">
        <w:rPr>
          <w:rFonts w:ascii="Arial" w:hAnsi="Arial" w:cs="Arial"/>
          <w:i/>
          <w:iCs/>
        </w:rPr>
        <w:t>47</w:t>
      </w:r>
      <w:r w:rsidRPr="008451DB">
        <w:rPr>
          <w:rFonts w:ascii="Arial" w:hAnsi="Arial" w:cs="Arial"/>
        </w:rPr>
        <w:t>(6), 102437. https://doi.org/10.1016/j.acalib.2021.102437</w:t>
      </w:r>
    </w:p>
    <w:p w14:paraId="3A555F39"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AP News. (2025, May 21). </w:t>
      </w:r>
      <w:r w:rsidRPr="008451DB">
        <w:rPr>
          <w:rFonts w:ascii="Arial" w:hAnsi="Arial" w:cs="Arial"/>
          <w:i/>
          <w:iCs/>
        </w:rPr>
        <w:t>UK retailer Marks &amp; Spencer puts cyberattack cost at $400 million with disruptions ongoing</w:t>
      </w:r>
      <w:r w:rsidRPr="008451DB">
        <w:rPr>
          <w:rFonts w:ascii="Arial" w:hAnsi="Arial" w:cs="Arial"/>
        </w:rPr>
        <w:t>. AP News. https://apnews.com/article/fef28bc0947576903cf83c3f42afc1e8?utm_</w:t>
      </w:r>
    </w:p>
    <w:p w14:paraId="7832E2E6"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Aysolmaz</w:t>
      </w:r>
      <w:proofErr w:type="spellEnd"/>
      <w:r w:rsidRPr="008451DB">
        <w:rPr>
          <w:rFonts w:ascii="Arial" w:hAnsi="Arial" w:cs="Arial"/>
        </w:rPr>
        <w:t xml:space="preserve">, B., Müller, R., &amp; Meacham, D. (2023). The public perceptions of algorithmic decision-making systems: results from a large-scale survey. </w:t>
      </w:r>
      <w:r w:rsidRPr="008451DB">
        <w:rPr>
          <w:rFonts w:ascii="Arial" w:hAnsi="Arial" w:cs="Arial"/>
          <w:i/>
          <w:iCs/>
        </w:rPr>
        <w:t>Telematics and Informatics</w:t>
      </w:r>
      <w:r w:rsidRPr="008451DB">
        <w:rPr>
          <w:rFonts w:ascii="Arial" w:hAnsi="Arial" w:cs="Arial"/>
        </w:rPr>
        <w:t xml:space="preserve">, </w:t>
      </w:r>
      <w:r w:rsidRPr="008451DB">
        <w:rPr>
          <w:rFonts w:ascii="Arial" w:hAnsi="Arial" w:cs="Arial"/>
          <w:i/>
          <w:iCs/>
        </w:rPr>
        <w:t>79</w:t>
      </w:r>
      <w:r w:rsidRPr="008451DB">
        <w:rPr>
          <w:rFonts w:ascii="Arial" w:hAnsi="Arial" w:cs="Arial"/>
        </w:rPr>
        <w:t>, 101954. https://doi.org/10.1016/j.tele.2023.101954</w:t>
      </w:r>
    </w:p>
    <w:p w14:paraId="53378B03"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Bamigbade</w:t>
      </w:r>
      <w:proofErr w:type="spellEnd"/>
      <w:r w:rsidRPr="008451DB">
        <w:rPr>
          <w:rFonts w:ascii="Arial" w:hAnsi="Arial" w:cs="Arial"/>
        </w:rPr>
        <w:t xml:space="preserve">, O., </w:t>
      </w:r>
      <w:proofErr w:type="spellStart"/>
      <w:r w:rsidRPr="008451DB">
        <w:rPr>
          <w:rFonts w:ascii="Arial" w:hAnsi="Arial" w:cs="Arial"/>
        </w:rPr>
        <w:t>Obrik-Uloho</w:t>
      </w:r>
      <w:proofErr w:type="spellEnd"/>
      <w:r w:rsidRPr="008451DB">
        <w:rPr>
          <w:rFonts w:ascii="Arial" w:hAnsi="Arial" w:cs="Arial"/>
        </w:rPr>
        <w:t xml:space="preserve">, E. P., Kolo, F. H. O., </w:t>
      </w:r>
      <w:proofErr w:type="spellStart"/>
      <w:r w:rsidRPr="008451DB">
        <w:rPr>
          <w:rFonts w:ascii="Arial" w:hAnsi="Arial" w:cs="Arial"/>
        </w:rPr>
        <w:t>Ogunmolu</w:t>
      </w:r>
      <w:proofErr w:type="spellEnd"/>
      <w:r w:rsidRPr="008451DB">
        <w:rPr>
          <w:rFonts w:ascii="Arial" w:hAnsi="Arial" w:cs="Arial"/>
        </w:rPr>
        <w:t xml:space="preserve">, A. M., &amp; Adesokan-Imran, T. O. (2025). Data-Centric AI for Zero-Carbon Power Systems Security: A Framework for Learning with Noisy, Sparse, and Heterogeneous Data. </w:t>
      </w:r>
      <w:r w:rsidRPr="008451DB">
        <w:rPr>
          <w:rFonts w:ascii="Arial" w:hAnsi="Arial" w:cs="Arial"/>
          <w:i/>
          <w:iCs/>
        </w:rPr>
        <w:t>Journal of Energy Research and Reviews</w:t>
      </w:r>
      <w:r w:rsidRPr="008451DB">
        <w:rPr>
          <w:rFonts w:ascii="Arial" w:hAnsi="Arial" w:cs="Arial"/>
        </w:rPr>
        <w:t xml:space="preserve">, </w:t>
      </w:r>
      <w:r w:rsidRPr="008451DB">
        <w:rPr>
          <w:rFonts w:ascii="Arial" w:hAnsi="Arial" w:cs="Arial"/>
          <w:i/>
          <w:iCs/>
        </w:rPr>
        <w:t>17</w:t>
      </w:r>
      <w:r w:rsidRPr="008451DB">
        <w:rPr>
          <w:rFonts w:ascii="Arial" w:hAnsi="Arial" w:cs="Arial"/>
        </w:rPr>
        <w:t>(7), 167–185. https://doi.org/10.9734/jenrr/2025/v17i7442</w:t>
      </w:r>
    </w:p>
    <w:p w14:paraId="14DCDCDE"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Benitez, J., Henseler, J., Castillo, A., &amp; Schuberth, F. (2020). How to perform and report an impactful analysis using partial least squares: Guidelines for confirmatory and explanatory IS research. </w:t>
      </w:r>
      <w:r w:rsidRPr="008451DB">
        <w:rPr>
          <w:rFonts w:ascii="Arial" w:hAnsi="Arial" w:cs="Arial"/>
          <w:i/>
          <w:iCs/>
        </w:rPr>
        <w:t>Information &amp; Management</w:t>
      </w:r>
      <w:r w:rsidRPr="008451DB">
        <w:rPr>
          <w:rFonts w:ascii="Arial" w:hAnsi="Arial" w:cs="Arial"/>
        </w:rPr>
        <w:t xml:space="preserve">, </w:t>
      </w:r>
      <w:r w:rsidRPr="008451DB">
        <w:rPr>
          <w:rFonts w:ascii="Arial" w:hAnsi="Arial" w:cs="Arial"/>
          <w:i/>
          <w:iCs/>
        </w:rPr>
        <w:t>57</w:t>
      </w:r>
      <w:r w:rsidRPr="008451DB">
        <w:rPr>
          <w:rFonts w:ascii="Arial" w:hAnsi="Arial" w:cs="Arial"/>
        </w:rPr>
        <w:t>(2), 103168. https://doi.org/10.1016/j.im.2019.05.003</w:t>
      </w:r>
    </w:p>
    <w:p w14:paraId="7811DDE7"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lastRenderedPageBreak/>
        <w:t xml:space="preserve">Blind, K., Niebel, C., &amp; Rammer, C. (2023). The impact of the EU General data protection regulation on product innovation. </w:t>
      </w:r>
      <w:r w:rsidRPr="008451DB">
        <w:rPr>
          <w:rFonts w:ascii="Arial" w:hAnsi="Arial" w:cs="Arial"/>
          <w:i/>
          <w:iCs/>
        </w:rPr>
        <w:t>Industry and Innovation</w:t>
      </w:r>
      <w:r w:rsidRPr="008451DB">
        <w:rPr>
          <w:rFonts w:ascii="Arial" w:hAnsi="Arial" w:cs="Arial"/>
        </w:rPr>
        <w:t xml:space="preserve">, </w:t>
      </w:r>
      <w:r w:rsidRPr="008451DB">
        <w:rPr>
          <w:rFonts w:ascii="Arial" w:hAnsi="Arial" w:cs="Arial"/>
          <w:i/>
          <w:iCs/>
        </w:rPr>
        <w:t>31</w:t>
      </w:r>
      <w:r w:rsidRPr="008451DB">
        <w:rPr>
          <w:rFonts w:ascii="Arial" w:hAnsi="Arial" w:cs="Arial"/>
        </w:rPr>
        <w:t>(3), 311–351. https://doi.org/10.1080/13662716.2023.2271858</w:t>
      </w:r>
    </w:p>
    <w:p w14:paraId="607ADC07"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Bouteraa, M. (2024). Mixed-methods approach to investigating the diffusion of FinTech services: enriching the applicability of TOE and UTAUT models. </w:t>
      </w:r>
      <w:r w:rsidRPr="008451DB">
        <w:rPr>
          <w:rFonts w:ascii="Arial" w:hAnsi="Arial" w:cs="Arial"/>
          <w:i/>
          <w:iCs/>
        </w:rPr>
        <w:t>Journal of Islamic Marketing</w:t>
      </w:r>
      <w:r w:rsidRPr="008451DB">
        <w:rPr>
          <w:rFonts w:ascii="Arial" w:hAnsi="Arial" w:cs="Arial"/>
        </w:rPr>
        <w:t>. https://doi.org/10.1108/jima-12-2022-0343</w:t>
      </w:r>
    </w:p>
    <w:p w14:paraId="6457F526"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Bulu, M. (2021). Corrigendum to &lt; Upgrading a city via technology&gt;. </w:t>
      </w:r>
      <w:r w:rsidRPr="008451DB">
        <w:rPr>
          <w:rFonts w:ascii="Arial" w:hAnsi="Arial" w:cs="Arial"/>
          <w:i/>
          <w:iCs/>
        </w:rPr>
        <w:t>Technological Forecasting and Social Change</w:t>
      </w:r>
      <w:r w:rsidRPr="008451DB">
        <w:rPr>
          <w:rFonts w:ascii="Arial" w:hAnsi="Arial" w:cs="Arial"/>
        </w:rPr>
        <w:t xml:space="preserve">, </w:t>
      </w:r>
      <w:r w:rsidRPr="008451DB">
        <w:rPr>
          <w:rFonts w:ascii="Arial" w:hAnsi="Arial" w:cs="Arial"/>
          <w:i/>
          <w:iCs/>
        </w:rPr>
        <w:t>168</w:t>
      </w:r>
      <w:r w:rsidRPr="008451DB">
        <w:rPr>
          <w:rFonts w:ascii="Arial" w:hAnsi="Arial" w:cs="Arial"/>
        </w:rPr>
        <w:t>, 120726. https://doi.org/10.1016/j.techfore.2021.120726</w:t>
      </w:r>
    </w:p>
    <w:p w14:paraId="1D648F45"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Cheung, G. W., Cooper-Thomas, H. D., Lau, R. S., &amp; Wang, L. C. (2023). Reporting reliability, Convergent and Discriminant Validity with Structural Equation modeling: a Review and best-practice Recommendations. </w:t>
      </w:r>
      <w:r w:rsidRPr="008451DB">
        <w:rPr>
          <w:rFonts w:ascii="Arial" w:hAnsi="Arial" w:cs="Arial"/>
          <w:i/>
          <w:iCs/>
        </w:rPr>
        <w:t>Asia Pacific Journal of Management</w:t>
      </w:r>
      <w:r w:rsidRPr="008451DB">
        <w:rPr>
          <w:rFonts w:ascii="Arial" w:hAnsi="Arial" w:cs="Arial"/>
        </w:rPr>
        <w:t xml:space="preserve">, </w:t>
      </w:r>
      <w:r w:rsidRPr="008451DB">
        <w:rPr>
          <w:rFonts w:ascii="Arial" w:hAnsi="Arial" w:cs="Arial"/>
          <w:i/>
          <w:iCs/>
        </w:rPr>
        <w:t>1</w:t>
      </w:r>
      <w:r w:rsidRPr="008451DB">
        <w:rPr>
          <w:rFonts w:ascii="Arial" w:hAnsi="Arial" w:cs="Arial"/>
        </w:rPr>
        <w:t>(1). https://doi.org/10.1007/s10490-023-09871-y</w:t>
      </w:r>
    </w:p>
    <w:p w14:paraId="35D90316"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Das, S., &amp; Datta, B. (2024). Application of UTAUT2 on Adopting Artificial Intelligence Powered Lead Management System (AI-LMS) in passenger car sales. </w:t>
      </w:r>
      <w:r w:rsidRPr="008451DB">
        <w:rPr>
          <w:rFonts w:ascii="Arial" w:hAnsi="Arial" w:cs="Arial"/>
          <w:i/>
          <w:iCs/>
        </w:rPr>
        <w:t>Technological Forecasting and Social Change</w:t>
      </w:r>
      <w:r w:rsidRPr="008451DB">
        <w:rPr>
          <w:rFonts w:ascii="Arial" w:hAnsi="Arial" w:cs="Arial"/>
        </w:rPr>
        <w:t xml:space="preserve">, </w:t>
      </w:r>
      <w:r w:rsidRPr="008451DB">
        <w:rPr>
          <w:rFonts w:ascii="Arial" w:hAnsi="Arial" w:cs="Arial"/>
          <w:i/>
          <w:iCs/>
        </w:rPr>
        <w:t>201</w:t>
      </w:r>
      <w:r w:rsidRPr="008451DB">
        <w:rPr>
          <w:rFonts w:ascii="Arial" w:hAnsi="Arial" w:cs="Arial"/>
        </w:rPr>
        <w:t>, 123241. https://doi.org/10.1016/j.techfore.2024.123241</w:t>
      </w:r>
    </w:p>
    <w:p w14:paraId="61584599"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Dash, G., &amp; Paul, J. (2021). CB-SEM vs PLS-SEM methods for research in social sciences and technology forecasting. </w:t>
      </w:r>
      <w:r w:rsidRPr="008451DB">
        <w:rPr>
          <w:rFonts w:ascii="Arial" w:hAnsi="Arial" w:cs="Arial"/>
          <w:i/>
          <w:iCs/>
        </w:rPr>
        <w:t>Technological Forecasting and Social Change</w:t>
      </w:r>
      <w:r w:rsidRPr="008451DB">
        <w:rPr>
          <w:rFonts w:ascii="Arial" w:hAnsi="Arial" w:cs="Arial"/>
        </w:rPr>
        <w:t xml:space="preserve">, </w:t>
      </w:r>
      <w:r w:rsidRPr="008451DB">
        <w:rPr>
          <w:rFonts w:ascii="Arial" w:hAnsi="Arial" w:cs="Arial"/>
          <w:i/>
          <w:iCs/>
        </w:rPr>
        <w:t>173</w:t>
      </w:r>
      <w:r w:rsidRPr="008451DB">
        <w:rPr>
          <w:rFonts w:ascii="Arial" w:hAnsi="Arial" w:cs="Arial"/>
        </w:rPr>
        <w:t>, 121092. https://doi.org/10.1016/j.techfore.2021.121092</w:t>
      </w:r>
    </w:p>
    <w:p w14:paraId="1272D9E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Dwivedi, Y. K., Rana, N. P., Tamilmani, K., &amp; Raman, R. (2020). A meta-analysis based modified unified theory of acceptance and use of technology (meta-UTAUT): a review of emerging literature. </w:t>
      </w:r>
      <w:r w:rsidRPr="008451DB">
        <w:rPr>
          <w:rFonts w:ascii="Arial" w:hAnsi="Arial" w:cs="Arial"/>
          <w:i/>
          <w:iCs/>
        </w:rPr>
        <w:t>Current Opinion in Psychology</w:t>
      </w:r>
      <w:r w:rsidRPr="008451DB">
        <w:rPr>
          <w:rFonts w:ascii="Arial" w:hAnsi="Arial" w:cs="Arial"/>
        </w:rPr>
        <w:t xml:space="preserve">, </w:t>
      </w:r>
      <w:r w:rsidRPr="008451DB">
        <w:rPr>
          <w:rFonts w:ascii="Arial" w:hAnsi="Arial" w:cs="Arial"/>
          <w:i/>
          <w:iCs/>
        </w:rPr>
        <w:t>36</w:t>
      </w:r>
      <w:r w:rsidRPr="008451DB">
        <w:rPr>
          <w:rFonts w:ascii="Arial" w:hAnsi="Arial" w:cs="Arial"/>
        </w:rPr>
        <w:t>, 13–18. https://doi.org/10.1016/j.copsyc.2020.03.008</w:t>
      </w:r>
    </w:p>
    <w:p w14:paraId="5B1EF652"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Embroker</w:t>
      </w:r>
      <w:proofErr w:type="spellEnd"/>
      <w:r w:rsidRPr="008451DB">
        <w:rPr>
          <w:rFonts w:ascii="Arial" w:hAnsi="Arial" w:cs="Arial"/>
        </w:rPr>
        <w:t xml:space="preserve">. (2025, September 18). </w:t>
      </w:r>
      <w:r w:rsidRPr="008451DB">
        <w:rPr>
          <w:rFonts w:ascii="Arial" w:hAnsi="Arial" w:cs="Arial"/>
          <w:i/>
          <w:iCs/>
        </w:rPr>
        <w:t xml:space="preserve">Must-know </w:t>
      </w:r>
      <w:proofErr w:type="spellStart"/>
      <w:r w:rsidRPr="008451DB">
        <w:rPr>
          <w:rFonts w:ascii="Arial" w:hAnsi="Arial" w:cs="Arial"/>
          <w:i/>
          <w:iCs/>
        </w:rPr>
        <w:t>cyber attack</w:t>
      </w:r>
      <w:proofErr w:type="spellEnd"/>
      <w:r w:rsidRPr="008451DB">
        <w:rPr>
          <w:rFonts w:ascii="Arial" w:hAnsi="Arial" w:cs="Arial"/>
          <w:i/>
          <w:iCs/>
        </w:rPr>
        <w:t xml:space="preserve"> statistics and trends 2025 | </w:t>
      </w:r>
      <w:proofErr w:type="spellStart"/>
      <w:r w:rsidRPr="008451DB">
        <w:rPr>
          <w:rFonts w:ascii="Arial" w:hAnsi="Arial" w:cs="Arial"/>
          <w:i/>
          <w:iCs/>
        </w:rPr>
        <w:t>Embroker</w:t>
      </w:r>
      <w:proofErr w:type="spellEnd"/>
      <w:r w:rsidRPr="008451DB">
        <w:rPr>
          <w:rFonts w:ascii="Arial" w:hAnsi="Arial" w:cs="Arial"/>
        </w:rPr>
        <w:t xml:space="preserve">. </w:t>
      </w:r>
      <w:proofErr w:type="spellStart"/>
      <w:r w:rsidRPr="008451DB">
        <w:rPr>
          <w:rFonts w:ascii="Arial" w:hAnsi="Arial" w:cs="Arial"/>
        </w:rPr>
        <w:t>Embroker</w:t>
      </w:r>
      <w:proofErr w:type="spellEnd"/>
      <w:r w:rsidRPr="008451DB">
        <w:rPr>
          <w:rFonts w:ascii="Arial" w:hAnsi="Arial" w:cs="Arial"/>
        </w:rPr>
        <w:t>. https://www.embroker.com/blog/cyber-attack-statistics?utm_</w:t>
      </w:r>
    </w:p>
    <w:p w14:paraId="4DDC7B7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Emon, M. H., &amp; Khan, T. (2025). The mediating role of attitude towards the technology in shaping artificial intelligence usage among professionals. </w:t>
      </w:r>
      <w:r w:rsidRPr="008451DB">
        <w:rPr>
          <w:rFonts w:ascii="Arial" w:hAnsi="Arial" w:cs="Arial"/>
          <w:i/>
          <w:iCs/>
        </w:rPr>
        <w:t>Telematics and Informatics Reports</w:t>
      </w:r>
      <w:r w:rsidRPr="008451DB">
        <w:rPr>
          <w:rFonts w:ascii="Arial" w:hAnsi="Arial" w:cs="Arial"/>
        </w:rPr>
        <w:t xml:space="preserve">, </w:t>
      </w:r>
      <w:r w:rsidRPr="008451DB">
        <w:rPr>
          <w:rFonts w:ascii="Arial" w:hAnsi="Arial" w:cs="Arial"/>
          <w:i/>
          <w:iCs/>
        </w:rPr>
        <w:t>17</w:t>
      </w:r>
      <w:r w:rsidRPr="008451DB">
        <w:rPr>
          <w:rFonts w:ascii="Arial" w:hAnsi="Arial" w:cs="Arial"/>
        </w:rPr>
        <w:t>, 100188. https://doi.org/10.1016/j.teler.2025.100188</w:t>
      </w:r>
    </w:p>
    <w:p w14:paraId="1E7A19C4"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lastRenderedPageBreak/>
        <w:t xml:space="preserve">Faiz, F., Le, V., &amp; </w:t>
      </w:r>
      <w:proofErr w:type="spellStart"/>
      <w:r w:rsidRPr="008451DB">
        <w:rPr>
          <w:rFonts w:ascii="Arial" w:hAnsi="Arial" w:cs="Arial"/>
        </w:rPr>
        <w:t>Masli</w:t>
      </w:r>
      <w:proofErr w:type="spellEnd"/>
      <w:r w:rsidRPr="008451DB">
        <w:rPr>
          <w:rFonts w:ascii="Arial" w:hAnsi="Arial" w:cs="Arial"/>
        </w:rPr>
        <w:t xml:space="preserve">, E. K. (2024). Determinants of digital technology adoption in innovative SMEs. </w:t>
      </w:r>
      <w:r w:rsidRPr="008451DB">
        <w:rPr>
          <w:rFonts w:ascii="Arial" w:hAnsi="Arial" w:cs="Arial"/>
          <w:i/>
          <w:iCs/>
        </w:rPr>
        <w:t>Journal of Innovation &amp; Knowledge</w:t>
      </w:r>
      <w:r w:rsidRPr="008451DB">
        <w:rPr>
          <w:rFonts w:ascii="Arial" w:hAnsi="Arial" w:cs="Arial"/>
        </w:rPr>
        <w:t xml:space="preserve">, </w:t>
      </w:r>
      <w:r w:rsidRPr="008451DB">
        <w:rPr>
          <w:rFonts w:ascii="Arial" w:hAnsi="Arial" w:cs="Arial"/>
          <w:i/>
          <w:iCs/>
        </w:rPr>
        <w:t>9</w:t>
      </w:r>
      <w:r w:rsidRPr="008451DB">
        <w:rPr>
          <w:rFonts w:ascii="Arial" w:hAnsi="Arial" w:cs="Arial"/>
        </w:rPr>
        <w:t>(4), 100610. https://doi.org/10.1016/j.jik.2024.100610</w:t>
      </w:r>
    </w:p>
    <w:p w14:paraId="4D3B4640"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Fox, J. (2024, October 10). </w:t>
      </w:r>
      <w:r w:rsidRPr="008451DB">
        <w:rPr>
          <w:rFonts w:ascii="Arial" w:hAnsi="Arial" w:cs="Arial"/>
          <w:i/>
          <w:iCs/>
        </w:rPr>
        <w:t>Top 40 AI Cybersecurity Statistics | Cobalt</w:t>
      </w:r>
      <w:r w:rsidRPr="008451DB">
        <w:rPr>
          <w:rFonts w:ascii="Arial" w:hAnsi="Arial" w:cs="Arial"/>
        </w:rPr>
        <w:t>. Cobalt.io; Cobalt. https://www.cobalt.io/blog/top-40-ai-cybersecurity-statistics?utm_</w:t>
      </w:r>
    </w:p>
    <w:p w14:paraId="7602DB1D"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Gangwar</w:t>
      </w:r>
      <w:proofErr w:type="spellEnd"/>
      <w:r w:rsidRPr="008451DB">
        <w:rPr>
          <w:rFonts w:ascii="Arial" w:hAnsi="Arial" w:cs="Arial"/>
        </w:rPr>
        <w:t xml:space="preserve">, H., Date, H., &amp; Ramaswamy, R. (2015). Understanding determinants of cloud computing adoption using an integrated TAM-TOE model. </w:t>
      </w:r>
      <w:r w:rsidRPr="008451DB">
        <w:rPr>
          <w:rFonts w:ascii="Arial" w:hAnsi="Arial" w:cs="Arial"/>
          <w:i/>
          <w:iCs/>
        </w:rPr>
        <w:t>Journal of Enterprise Information Management</w:t>
      </w:r>
      <w:r w:rsidRPr="008451DB">
        <w:rPr>
          <w:rFonts w:ascii="Arial" w:hAnsi="Arial" w:cs="Arial"/>
        </w:rPr>
        <w:t xml:space="preserve">, </w:t>
      </w:r>
      <w:r w:rsidRPr="008451DB">
        <w:rPr>
          <w:rFonts w:ascii="Arial" w:hAnsi="Arial" w:cs="Arial"/>
          <w:i/>
          <w:iCs/>
        </w:rPr>
        <w:t>28</w:t>
      </w:r>
      <w:r w:rsidRPr="008451DB">
        <w:rPr>
          <w:rFonts w:ascii="Arial" w:hAnsi="Arial" w:cs="Arial"/>
        </w:rPr>
        <w:t>(1), 107–130. https://doi.org/10.1108/jeim-08-2013-0065</w:t>
      </w:r>
    </w:p>
    <w:p w14:paraId="669CEDE1"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Glassberg, I., Ilan, Y. B., &amp; Zwilling, M. (2025). The key role of design and transparency in enhancing trust in AI-powered digital agents. </w:t>
      </w:r>
      <w:r w:rsidRPr="008451DB">
        <w:rPr>
          <w:rFonts w:ascii="Arial" w:hAnsi="Arial" w:cs="Arial"/>
          <w:i/>
          <w:iCs/>
        </w:rPr>
        <w:t>Journal of Innovation &amp; Knowledge</w:t>
      </w:r>
      <w:r w:rsidRPr="008451DB">
        <w:rPr>
          <w:rFonts w:ascii="Arial" w:hAnsi="Arial" w:cs="Arial"/>
        </w:rPr>
        <w:t xml:space="preserve">, </w:t>
      </w:r>
      <w:r w:rsidRPr="008451DB">
        <w:rPr>
          <w:rFonts w:ascii="Arial" w:hAnsi="Arial" w:cs="Arial"/>
          <w:i/>
          <w:iCs/>
        </w:rPr>
        <w:t>10</w:t>
      </w:r>
      <w:r w:rsidRPr="008451DB">
        <w:rPr>
          <w:rFonts w:ascii="Arial" w:hAnsi="Arial" w:cs="Arial"/>
        </w:rPr>
        <w:t>(5), 100770–100770. https://doi.org/10.1016/j.jik.2025.100770</w:t>
      </w:r>
    </w:p>
    <w:p w14:paraId="2D5EC4CE"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Glikson, E., &amp; Woolley, A. W. (2020). Human Trust in Artificial Intelligence: Review of Empirical Research. </w:t>
      </w:r>
      <w:r w:rsidRPr="008451DB">
        <w:rPr>
          <w:rFonts w:ascii="Arial" w:hAnsi="Arial" w:cs="Arial"/>
          <w:i/>
          <w:iCs/>
        </w:rPr>
        <w:t>Academy of Management Annals</w:t>
      </w:r>
      <w:r w:rsidRPr="008451DB">
        <w:rPr>
          <w:rFonts w:ascii="Arial" w:hAnsi="Arial" w:cs="Arial"/>
        </w:rPr>
        <w:t xml:space="preserve">, </w:t>
      </w:r>
      <w:r w:rsidRPr="008451DB">
        <w:rPr>
          <w:rFonts w:ascii="Arial" w:hAnsi="Arial" w:cs="Arial"/>
          <w:i/>
          <w:iCs/>
        </w:rPr>
        <w:t>14</w:t>
      </w:r>
      <w:r w:rsidRPr="008451DB">
        <w:rPr>
          <w:rFonts w:ascii="Arial" w:hAnsi="Arial" w:cs="Arial"/>
        </w:rPr>
        <w:t>(2), 627–660.</w:t>
      </w:r>
    </w:p>
    <w:p w14:paraId="27B0D42D"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Hair, J., &amp; Alamer, A. (2022). Partial Least Squares Structural Equation Modeling (PLS-SEM) in Second Language and Education research: Guidelines Using an Applied Example. </w:t>
      </w:r>
      <w:r w:rsidRPr="008451DB">
        <w:rPr>
          <w:rFonts w:ascii="Arial" w:hAnsi="Arial" w:cs="Arial"/>
          <w:i/>
          <w:iCs/>
        </w:rPr>
        <w:t>Research Methods in Applied Linguistics</w:t>
      </w:r>
      <w:r w:rsidRPr="008451DB">
        <w:rPr>
          <w:rFonts w:ascii="Arial" w:hAnsi="Arial" w:cs="Arial"/>
        </w:rPr>
        <w:t xml:space="preserve">, </w:t>
      </w:r>
      <w:r w:rsidRPr="008451DB">
        <w:rPr>
          <w:rFonts w:ascii="Arial" w:hAnsi="Arial" w:cs="Arial"/>
          <w:i/>
          <w:iCs/>
        </w:rPr>
        <w:t>1</w:t>
      </w:r>
      <w:r w:rsidRPr="008451DB">
        <w:rPr>
          <w:rFonts w:ascii="Arial" w:hAnsi="Arial" w:cs="Arial"/>
        </w:rPr>
        <w:t>(3). https://www.sciencedirect.com/science/article/pii/S2772766122000246</w:t>
      </w:r>
    </w:p>
    <w:p w14:paraId="45C884CF"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Han, M., Mustafa, H., &amp; </w:t>
      </w:r>
      <w:proofErr w:type="spellStart"/>
      <w:r w:rsidRPr="008451DB">
        <w:rPr>
          <w:rFonts w:ascii="Arial" w:hAnsi="Arial" w:cs="Arial"/>
        </w:rPr>
        <w:t>Kharuddin</w:t>
      </w:r>
      <w:proofErr w:type="spellEnd"/>
      <w:r w:rsidRPr="008451DB">
        <w:rPr>
          <w:rFonts w:ascii="Arial" w:hAnsi="Arial" w:cs="Arial"/>
        </w:rPr>
        <w:t xml:space="preserve">, S. (2025). AI adoption in accounting education: A UTAUT-based analysis of mediating and moderating mechanisms. </w:t>
      </w:r>
      <w:r w:rsidRPr="008451DB">
        <w:rPr>
          <w:rFonts w:ascii="Arial" w:hAnsi="Arial" w:cs="Arial"/>
          <w:i/>
          <w:iCs/>
        </w:rPr>
        <w:t>Journal of Pedagogical Research</w:t>
      </w:r>
      <w:r w:rsidRPr="008451DB">
        <w:rPr>
          <w:rFonts w:ascii="Arial" w:hAnsi="Arial" w:cs="Arial"/>
        </w:rPr>
        <w:t>. https://doi.org/10.33902/jpr.202532831</w:t>
      </w:r>
    </w:p>
    <w:p w14:paraId="389BD776"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Hoffman, R. R., Mueller, S. T., Klein, G., </w:t>
      </w:r>
      <w:proofErr w:type="spellStart"/>
      <w:r w:rsidRPr="008451DB">
        <w:rPr>
          <w:rFonts w:ascii="Arial" w:hAnsi="Arial" w:cs="Arial"/>
        </w:rPr>
        <w:t>Jalaeian</w:t>
      </w:r>
      <w:proofErr w:type="spellEnd"/>
      <w:r w:rsidRPr="008451DB">
        <w:rPr>
          <w:rFonts w:ascii="Arial" w:hAnsi="Arial" w:cs="Arial"/>
        </w:rPr>
        <w:t xml:space="preserve">, M., &amp; Tate, C. (2023). Explainable AI: roles and stakeholders, </w:t>
      </w:r>
      <w:proofErr w:type="spellStart"/>
      <w:r w:rsidRPr="008451DB">
        <w:rPr>
          <w:rFonts w:ascii="Arial" w:hAnsi="Arial" w:cs="Arial"/>
        </w:rPr>
        <w:t>desirements</w:t>
      </w:r>
      <w:proofErr w:type="spellEnd"/>
      <w:r w:rsidRPr="008451DB">
        <w:rPr>
          <w:rFonts w:ascii="Arial" w:hAnsi="Arial" w:cs="Arial"/>
        </w:rPr>
        <w:t xml:space="preserve"> and challenges. </w:t>
      </w:r>
      <w:r w:rsidRPr="008451DB">
        <w:rPr>
          <w:rFonts w:ascii="Arial" w:hAnsi="Arial" w:cs="Arial"/>
          <w:i/>
          <w:iCs/>
        </w:rPr>
        <w:t>Frontiers in Computer Science</w:t>
      </w:r>
      <w:r w:rsidRPr="008451DB">
        <w:rPr>
          <w:rFonts w:ascii="Arial" w:hAnsi="Arial" w:cs="Arial"/>
        </w:rPr>
        <w:t xml:space="preserve">, </w:t>
      </w:r>
      <w:r w:rsidRPr="008451DB">
        <w:rPr>
          <w:rFonts w:ascii="Arial" w:hAnsi="Arial" w:cs="Arial"/>
          <w:i/>
          <w:iCs/>
        </w:rPr>
        <w:t>5</w:t>
      </w:r>
      <w:r w:rsidRPr="008451DB">
        <w:rPr>
          <w:rFonts w:ascii="Arial" w:hAnsi="Arial" w:cs="Arial"/>
        </w:rPr>
        <w:t>. https://doi.org/10.3389/fcomp.2023.1117848</w:t>
      </w:r>
    </w:p>
    <w:p w14:paraId="4DA590AD"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Jain, S. (2022, December 19). </w:t>
      </w:r>
      <w:r w:rsidRPr="008451DB">
        <w:rPr>
          <w:rFonts w:ascii="Arial" w:hAnsi="Arial" w:cs="Arial"/>
          <w:i/>
          <w:iCs/>
        </w:rPr>
        <w:t>160 Cybersecurity Statistics: Updated Report 2025</w:t>
      </w:r>
      <w:r w:rsidRPr="008451DB">
        <w:rPr>
          <w:rFonts w:ascii="Arial" w:hAnsi="Arial" w:cs="Arial"/>
        </w:rPr>
        <w:t>. Astra Security. https://www.getastra.com/blog/security-audit/cyber-security-statistics?utm_</w:t>
      </w:r>
    </w:p>
    <w:p w14:paraId="63AC0946"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Jennings-Trace, E. (2025, September 29). </w:t>
      </w:r>
      <w:r w:rsidRPr="008451DB">
        <w:rPr>
          <w:rFonts w:ascii="Arial" w:hAnsi="Arial" w:cs="Arial"/>
          <w:i/>
          <w:iCs/>
        </w:rPr>
        <w:t>Harrods cyberattack - over 430,000 customers have data stolen, here’s how to stay safe</w:t>
      </w:r>
      <w:r w:rsidRPr="008451DB">
        <w:rPr>
          <w:rFonts w:ascii="Arial" w:hAnsi="Arial" w:cs="Arial"/>
        </w:rPr>
        <w:t xml:space="preserve">. TechRadar. </w:t>
      </w:r>
      <w:r w:rsidRPr="008451DB">
        <w:rPr>
          <w:rFonts w:ascii="Arial" w:hAnsi="Arial" w:cs="Arial"/>
        </w:rPr>
        <w:lastRenderedPageBreak/>
        <w:t>https://www.techradar.com/pro/security/harrods-cyberattack-over-430-000-customers-have-data-stolen-heres-how-to-stay-safe?utm_</w:t>
      </w:r>
    </w:p>
    <w:p w14:paraId="59ECA6C2"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Jørgensen, B. N., &amp; Ma, Z. G. (2025). Impact of EU Regulations on AI Adoption in Smart City Solutions: A Review of Regulatory Barriers, Technological Challenges, and Societal Benefits. </w:t>
      </w:r>
      <w:r w:rsidRPr="008451DB">
        <w:rPr>
          <w:rFonts w:ascii="Arial" w:hAnsi="Arial" w:cs="Arial"/>
          <w:i/>
          <w:iCs/>
        </w:rPr>
        <w:t>Information</w:t>
      </w:r>
      <w:r w:rsidRPr="008451DB">
        <w:rPr>
          <w:rFonts w:ascii="Arial" w:hAnsi="Arial" w:cs="Arial"/>
        </w:rPr>
        <w:t xml:space="preserve">, </w:t>
      </w:r>
      <w:r w:rsidRPr="008451DB">
        <w:rPr>
          <w:rFonts w:ascii="Arial" w:hAnsi="Arial" w:cs="Arial"/>
          <w:i/>
          <w:iCs/>
        </w:rPr>
        <w:t>16</w:t>
      </w:r>
      <w:r w:rsidRPr="008451DB">
        <w:rPr>
          <w:rFonts w:ascii="Arial" w:hAnsi="Arial" w:cs="Arial"/>
        </w:rPr>
        <w:t>(7), 568. https://doi.org/10.3390/info16070568</w:t>
      </w:r>
    </w:p>
    <w:p w14:paraId="66C642A1"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Khan, F., Singh, N., Gupta, Y., Kaur, J., Banik, S., &amp; Gupta, S. (2022). A Meta-analysis of Mobile Learning Adoption in Higher Education Based on Unified Theory of Acceptance and Use of Technology 3 (UTAUT3). </w:t>
      </w:r>
      <w:r w:rsidRPr="008451DB">
        <w:rPr>
          <w:rFonts w:ascii="Arial" w:hAnsi="Arial" w:cs="Arial"/>
          <w:i/>
          <w:iCs/>
        </w:rPr>
        <w:t>International Review of Research in Open and Distributed Learning</w:t>
      </w:r>
      <w:r w:rsidRPr="008451DB">
        <w:rPr>
          <w:rFonts w:ascii="Arial" w:hAnsi="Arial" w:cs="Arial"/>
        </w:rPr>
        <w:t xml:space="preserve">, </w:t>
      </w:r>
      <w:r w:rsidRPr="008451DB">
        <w:rPr>
          <w:rFonts w:ascii="Arial" w:hAnsi="Arial" w:cs="Arial"/>
          <w:i/>
          <w:iCs/>
        </w:rPr>
        <w:t>14</w:t>
      </w:r>
      <w:r w:rsidRPr="008451DB">
        <w:rPr>
          <w:rFonts w:ascii="Arial" w:hAnsi="Arial" w:cs="Arial"/>
        </w:rPr>
        <w:t>(5), 097226292211011-097226292211011. https://doi.org/10.1177/09722629221101159</w:t>
      </w:r>
    </w:p>
    <w:p w14:paraId="5EF718BE"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Kim, Y. J., Choi, J. H., &amp; Fotso, G. M. N. (2024). Medical professionals’ adoption of AI-based medical devices: UTAUT model with trust mediation. </w:t>
      </w:r>
      <w:r w:rsidRPr="008451DB">
        <w:rPr>
          <w:rFonts w:ascii="Arial" w:hAnsi="Arial" w:cs="Arial"/>
          <w:i/>
          <w:iCs/>
        </w:rPr>
        <w:t>Journal of Open Innovation: Technology, Market, and Complexity</w:t>
      </w:r>
      <w:r w:rsidRPr="008451DB">
        <w:rPr>
          <w:rFonts w:ascii="Arial" w:hAnsi="Arial" w:cs="Arial"/>
        </w:rPr>
        <w:t xml:space="preserve">, </w:t>
      </w:r>
      <w:r w:rsidRPr="008451DB">
        <w:rPr>
          <w:rFonts w:ascii="Arial" w:hAnsi="Arial" w:cs="Arial"/>
          <w:i/>
          <w:iCs/>
        </w:rPr>
        <w:t>10</w:t>
      </w:r>
      <w:r w:rsidRPr="008451DB">
        <w:rPr>
          <w:rFonts w:ascii="Arial" w:hAnsi="Arial" w:cs="Arial"/>
        </w:rPr>
        <w:t>(1), 100220. https://doi.org/10.1016/j.joitmc.2024.100220</w:t>
      </w:r>
    </w:p>
    <w:p w14:paraId="487D0D56"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Kline, R. B. (2023). </w:t>
      </w:r>
      <w:r w:rsidRPr="008451DB">
        <w:rPr>
          <w:rFonts w:ascii="Arial" w:hAnsi="Arial" w:cs="Arial"/>
          <w:i/>
          <w:iCs/>
        </w:rPr>
        <w:t>Principles and Practice of Structural Equation Modeling</w:t>
      </w:r>
      <w:r w:rsidRPr="008451DB">
        <w:rPr>
          <w:rFonts w:ascii="Arial" w:hAnsi="Arial" w:cs="Arial"/>
        </w:rPr>
        <w:t>. Guilford Publications.</w:t>
      </w:r>
    </w:p>
    <w:p w14:paraId="00756DB2"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Kolo, F. (2023). </w:t>
      </w:r>
      <w:r w:rsidRPr="008451DB">
        <w:rPr>
          <w:rFonts w:ascii="Arial" w:hAnsi="Arial" w:cs="Arial"/>
          <w:i/>
          <w:iCs/>
        </w:rPr>
        <w:t>Insights in Cybersecurity &amp; Business Intelligence: A Dual Perspective: Unlocking Security Insights and Business Growth: Intrusion Detection Strategies and Sales Forecasting Techniques</w:t>
      </w:r>
      <w:r w:rsidRPr="008451DB">
        <w:rPr>
          <w:rFonts w:ascii="Arial" w:hAnsi="Arial" w:cs="Arial"/>
        </w:rPr>
        <w:t>. LAP LAMBERT Academic Publishing. https://www.amazon.com/Insights-Cybersecurity-Business-Intelligence-Perspective/dp/6207450841</w:t>
      </w:r>
    </w:p>
    <w:p w14:paraId="33FDE3C9"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Kolo, F. H. (2025). From Framework to Practice: Barriers and Enablers to RMF Adoption in Mid-sized Enterprises. </w:t>
      </w:r>
      <w:r w:rsidRPr="008451DB">
        <w:rPr>
          <w:rFonts w:ascii="Arial" w:hAnsi="Arial" w:cs="Arial"/>
          <w:i/>
          <w:iCs/>
        </w:rPr>
        <w:t>Asian Journal of Research in Computer Science</w:t>
      </w:r>
      <w:r w:rsidRPr="008451DB">
        <w:rPr>
          <w:rFonts w:ascii="Arial" w:hAnsi="Arial" w:cs="Arial"/>
        </w:rPr>
        <w:t xml:space="preserve">, </w:t>
      </w:r>
      <w:r w:rsidRPr="008451DB">
        <w:rPr>
          <w:rFonts w:ascii="Arial" w:hAnsi="Arial" w:cs="Arial"/>
          <w:i/>
          <w:iCs/>
        </w:rPr>
        <w:t>18</w:t>
      </w:r>
      <w:r w:rsidRPr="008451DB">
        <w:rPr>
          <w:rFonts w:ascii="Arial" w:hAnsi="Arial" w:cs="Arial"/>
        </w:rPr>
        <w:t>(5), 459–479. https://doi.org/10.9734/ajrcos/2025/v18i5667</w:t>
      </w:r>
    </w:p>
    <w:p w14:paraId="2E18709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Kolo, F. H. O. (2025a). A Multi-level Clustering Framework for Cybersecurity Risk Stratification in Healthcare: A Dynamic, Overlapping Approach to Threat Classification and Mitigation. </w:t>
      </w:r>
      <w:r w:rsidRPr="008451DB">
        <w:rPr>
          <w:rFonts w:ascii="Arial" w:hAnsi="Arial" w:cs="Arial"/>
          <w:i/>
          <w:iCs/>
        </w:rPr>
        <w:t>Asian Journal of Research in Computer Science</w:t>
      </w:r>
      <w:r w:rsidRPr="008451DB">
        <w:rPr>
          <w:rFonts w:ascii="Arial" w:hAnsi="Arial" w:cs="Arial"/>
        </w:rPr>
        <w:t xml:space="preserve">, </w:t>
      </w:r>
      <w:r w:rsidRPr="008451DB">
        <w:rPr>
          <w:rFonts w:ascii="Arial" w:hAnsi="Arial" w:cs="Arial"/>
          <w:i/>
          <w:iCs/>
        </w:rPr>
        <w:t>18</w:t>
      </w:r>
      <w:r w:rsidRPr="008451DB">
        <w:rPr>
          <w:rFonts w:ascii="Arial" w:hAnsi="Arial" w:cs="Arial"/>
        </w:rPr>
        <w:t>(5), 11–31. https://doi.org/10.9734/ajrcos/2025/v18i5636</w:t>
      </w:r>
    </w:p>
    <w:p w14:paraId="7AA4E6C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Kolo, F. H. O. (2025b). Responsible AI for Cybersecurity: Assessing the Barriers, Biases and Governance Gaps in Implementation with E-commerce Systems. </w:t>
      </w:r>
      <w:r w:rsidRPr="008451DB">
        <w:rPr>
          <w:rFonts w:ascii="Arial" w:hAnsi="Arial" w:cs="Arial"/>
          <w:i/>
          <w:iCs/>
        </w:rPr>
        <w:t>Journal of Engineering Research and Reports</w:t>
      </w:r>
      <w:r w:rsidRPr="008451DB">
        <w:rPr>
          <w:rFonts w:ascii="Arial" w:hAnsi="Arial" w:cs="Arial"/>
        </w:rPr>
        <w:t xml:space="preserve">, </w:t>
      </w:r>
      <w:r w:rsidRPr="008451DB">
        <w:rPr>
          <w:rFonts w:ascii="Arial" w:hAnsi="Arial" w:cs="Arial"/>
          <w:i/>
          <w:iCs/>
        </w:rPr>
        <w:t>27</w:t>
      </w:r>
      <w:r w:rsidRPr="008451DB">
        <w:rPr>
          <w:rFonts w:ascii="Arial" w:hAnsi="Arial" w:cs="Arial"/>
        </w:rPr>
        <w:t>(5), 510–532. https://doi.org/10.9734/jerr/2025/v27i51520</w:t>
      </w:r>
    </w:p>
    <w:p w14:paraId="23372BAA"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lastRenderedPageBreak/>
        <w:t xml:space="preserve">Kolo, F. H. O., Joseph, S. A., </w:t>
      </w:r>
      <w:proofErr w:type="spellStart"/>
      <w:r w:rsidRPr="008451DB">
        <w:rPr>
          <w:rFonts w:ascii="Arial" w:hAnsi="Arial" w:cs="Arial"/>
        </w:rPr>
        <w:t>Ogunmolu</w:t>
      </w:r>
      <w:proofErr w:type="spellEnd"/>
      <w:r w:rsidRPr="008451DB">
        <w:rPr>
          <w:rFonts w:ascii="Arial" w:hAnsi="Arial" w:cs="Arial"/>
        </w:rPr>
        <w:t xml:space="preserve">, A. M., Ejiofor, V. O., &amp; Oyekunle, S. M. (2025). Mitigating Cybersecurity Risks in Financial Institutions through Strategic Third- Party Risk Governance Frameworks. </w:t>
      </w:r>
      <w:r w:rsidRPr="008451DB">
        <w:rPr>
          <w:rFonts w:ascii="Arial" w:hAnsi="Arial" w:cs="Arial"/>
          <w:i/>
          <w:iCs/>
        </w:rPr>
        <w:t>Journal of Engineering Research and Reports</w:t>
      </w:r>
      <w:r w:rsidRPr="008451DB">
        <w:rPr>
          <w:rFonts w:ascii="Arial" w:hAnsi="Arial" w:cs="Arial"/>
        </w:rPr>
        <w:t xml:space="preserve">, </w:t>
      </w:r>
      <w:r w:rsidRPr="008451DB">
        <w:rPr>
          <w:rFonts w:ascii="Arial" w:hAnsi="Arial" w:cs="Arial"/>
          <w:i/>
          <w:iCs/>
        </w:rPr>
        <w:t>27</w:t>
      </w:r>
      <w:r w:rsidRPr="008451DB">
        <w:rPr>
          <w:rFonts w:ascii="Arial" w:hAnsi="Arial" w:cs="Arial"/>
        </w:rPr>
        <w:t>(5), 173–193. https://doi.org/10.9734/jerr/2025/v27i51501</w:t>
      </w:r>
    </w:p>
    <w:p w14:paraId="1692EB42"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gramStart"/>
      <w:r w:rsidRPr="008451DB">
        <w:rPr>
          <w:rFonts w:ascii="Arial" w:hAnsi="Arial" w:cs="Arial"/>
        </w:rPr>
        <w:t>Lai ,</w:t>
      </w:r>
      <w:proofErr w:type="gramEnd"/>
      <w:r w:rsidRPr="008451DB">
        <w:rPr>
          <w:rFonts w:ascii="Arial" w:hAnsi="Arial" w:cs="Arial"/>
        </w:rPr>
        <w:t xml:space="preserve"> C. Y., Yip, C. K., Seng, C. C., &amp; Kei, L. K. (2024). Integrating the Adapted UTAUT Model with Moral Obligation, Trust and Perceived Risk to Predict ChatGPT Adoption for Assessment Support: A Survey with Students. </w:t>
      </w:r>
      <w:r w:rsidRPr="008451DB">
        <w:rPr>
          <w:rFonts w:ascii="Arial" w:hAnsi="Arial" w:cs="Arial"/>
          <w:i/>
          <w:iCs/>
        </w:rPr>
        <w:t>Computers and Education. Artificial Intelligence</w:t>
      </w:r>
      <w:r w:rsidRPr="008451DB">
        <w:rPr>
          <w:rFonts w:ascii="Arial" w:hAnsi="Arial" w:cs="Arial"/>
        </w:rPr>
        <w:t xml:space="preserve">, </w:t>
      </w:r>
      <w:r w:rsidRPr="008451DB">
        <w:rPr>
          <w:rFonts w:ascii="Arial" w:hAnsi="Arial" w:cs="Arial"/>
          <w:i/>
          <w:iCs/>
        </w:rPr>
        <w:t>6</w:t>
      </w:r>
      <w:r w:rsidRPr="008451DB">
        <w:rPr>
          <w:rFonts w:ascii="Arial" w:hAnsi="Arial" w:cs="Arial"/>
        </w:rPr>
        <w:t>, 100246–100246. https://doi.org/10.1016/j.caeai.2024.100246</w:t>
      </w:r>
    </w:p>
    <w:p w14:paraId="1D57F5EE"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Lee, S., Park, G., &amp; Chung, J. (2023). Artificial emotions for charity collection: A serial mediation through perceived anthropomorphism and social presence. </w:t>
      </w:r>
      <w:r w:rsidRPr="008451DB">
        <w:rPr>
          <w:rFonts w:ascii="Arial" w:hAnsi="Arial" w:cs="Arial"/>
          <w:i/>
          <w:iCs/>
        </w:rPr>
        <w:t>Telematics and Informatics</w:t>
      </w:r>
      <w:r w:rsidRPr="008451DB">
        <w:rPr>
          <w:rFonts w:ascii="Arial" w:hAnsi="Arial" w:cs="Arial"/>
        </w:rPr>
        <w:t xml:space="preserve">, </w:t>
      </w:r>
      <w:r w:rsidRPr="008451DB">
        <w:rPr>
          <w:rFonts w:ascii="Arial" w:hAnsi="Arial" w:cs="Arial"/>
          <w:i/>
          <w:iCs/>
        </w:rPr>
        <w:t>82</w:t>
      </w:r>
      <w:r w:rsidRPr="008451DB">
        <w:rPr>
          <w:rFonts w:ascii="Arial" w:hAnsi="Arial" w:cs="Arial"/>
        </w:rPr>
        <w:t>, 102009. https://doi.org/10.1016/j.tele.2023.102009</w:t>
      </w:r>
    </w:p>
    <w:p w14:paraId="528272B8"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Madanchian</w:t>
      </w:r>
      <w:proofErr w:type="spellEnd"/>
      <w:r w:rsidRPr="008451DB">
        <w:rPr>
          <w:rFonts w:ascii="Arial" w:hAnsi="Arial" w:cs="Arial"/>
        </w:rPr>
        <w:t xml:space="preserve">, M., &amp; </w:t>
      </w:r>
      <w:proofErr w:type="spellStart"/>
      <w:r w:rsidRPr="008451DB">
        <w:rPr>
          <w:rFonts w:ascii="Arial" w:hAnsi="Arial" w:cs="Arial"/>
        </w:rPr>
        <w:t>Taherdoost</w:t>
      </w:r>
      <w:proofErr w:type="spellEnd"/>
      <w:r w:rsidRPr="008451DB">
        <w:rPr>
          <w:rFonts w:ascii="Arial" w:hAnsi="Arial" w:cs="Arial"/>
        </w:rPr>
        <w:t xml:space="preserve">, H. (2025). Ethical theories, governance models, and strategic frameworks for responsible AI adoption and organizational success. </w:t>
      </w:r>
      <w:r w:rsidRPr="008451DB">
        <w:rPr>
          <w:rFonts w:ascii="Arial" w:hAnsi="Arial" w:cs="Arial"/>
          <w:i/>
          <w:iCs/>
        </w:rPr>
        <w:t>Frontiers in Artificial Intelligence</w:t>
      </w:r>
      <w:r w:rsidRPr="008451DB">
        <w:rPr>
          <w:rFonts w:ascii="Arial" w:hAnsi="Arial" w:cs="Arial"/>
        </w:rPr>
        <w:t xml:space="preserve">, </w:t>
      </w:r>
      <w:r w:rsidRPr="008451DB">
        <w:rPr>
          <w:rFonts w:ascii="Arial" w:hAnsi="Arial" w:cs="Arial"/>
          <w:i/>
          <w:iCs/>
        </w:rPr>
        <w:t>8</w:t>
      </w:r>
      <w:r w:rsidRPr="008451DB">
        <w:rPr>
          <w:rFonts w:ascii="Arial" w:hAnsi="Arial" w:cs="Arial"/>
        </w:rPr>
        <w:t>. https://doi.org/10.3389/frai.2025.1619029</w:t>
      </w:r>
    </w:p>
    <w:p w14:paraId="7177CCB7"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Marikyan</w:t>
      </w:r>
      <w:proofErr w:type="spellEnd"/>
      <w:r w:rsidRPr="008451DB">
        <w:rPr>
          <w:rFonts w:ascii="Arial" w:hAnsi="Arial" w:cs="Arial"/>
        </w:rPr>
        <w:t xml:space="preserve">, D., </w:t>
      </w:r>
      <w:proofErr w:type="spellStart"/>
      <w:r w:rsidRPr="008451DB">
        <w:rPr>
          <w:rFonts w:ascii="Arial" w:hAnsi="Arial" w:cs="Arial"/>
        </w:rPr>
        <w:t>Papagiannidis</w:t>
      </w:r>
      <w:proofErr w:type="spellEnd"/>
      <w:r w:rsidRPr="008451DB">
        <w:rPr>
          <w:rFonts w:ascii="Arial" w:hAnsi="Arial" w:cs="Arial"/>
        </w:rPr>
        <w:t xml:space="preserve">, S., &amp; Stewart, G. (2023). Technology Acceptance Research: Meta-analysis. </w:t>
      </w:r>
      <w:r w:rsidRPr="008451DB">
        <w:rPr>
          <w:rFonts w:ascii="Arial" w:hAnsi="Arial" w:cs="Arial"/>
          <w:i/>
          <w:iCs/>
        </w:rPr>
        <w:t>Journal of Information Science</w:t>
      </w:r>
      <w:r w:rsidRPr="008451DB">
        <w:rPr>
          <w:rFonts w:ascii="Arial" w:hAnsi="Arial" w:cs="Arial"/>
        </w:rPr>
        <w:t>. https://doi.org/10.1177/01655515231191177</w:t>
      </w:r>
    </w:p>
    <w:p w14:paraId="1BF57A73"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Martin, J. (2025, February 7). </w:t>
      </w:r>
      <w:r w:rsidRPr="008451DB">
        <w:rPr>
          <w:rFonts w:ascii="Arial" w:hAnsi="Arial" w:cs="Arial"/>
          <w:i/>
          <w:iCs/>
        </w:rPr>
        <w:t>How Many Cyber Attacks Occur Each Day? (2024)</w:t>
      </w:r>
      <w:r w:rsidRPr="008451DB">
        <w:rPr>
          <w:rFonts w:ascii="Arial" w:hAnsi="Arial" w:cs="Arial"/>
        </w:rPr>
        <w:t>. Exploding Topics. https://explodingtopics.com/blog/cybersecurity-stats?utm_</w:t>
      </w:r>
    </w:p>
    <w:p w14:paraId="33674BE5"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Miller, K. M., Lukic, K., &amp; Skiera, B. (2025). The impact of the General Data Protection Regulation (GDPR) on online tracking. </w:t>
      </w:r>
      <w:r w:rsidRPr="008451DB">
        <w:rPr>
          <w:rFonts w:ascii="Arial" w:hAnsi="Arial" w:cs="Arial"/>
          <w:i/>
          <w:iCs/>
        </w:rPr>
        <w:t>International Journal of Research in Marketing</w:t>
      </w:r>
      <w:r w:rsidRPr="008451DB">
        <w:rPr>
          <w:rFonts w:ascii="Arial" w:hAnsi="Arial" w:cs="Arial"/>
        </w:rPr>
        <w:t>. https://doi.org/10.1016/j.ijresmar.2025.03.002</w:t>
      </w:r>
    </w:p>
    <w:p w14:paraId="1CD759E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Mohamed, N. (2025). Artificial intelligence and machine learning in cybersecurity: a deep dive into state-of-the-art techniques and future paradigms. </w:t>
      </w:r>
      <w:r w:rsidRPr="008451DB">
        <w:rPr>
          <w:rFonts w:ascii="Arial" w:hAnsi="Arial" w:cs="Arial"/>
          <w:i/>
          <w:iCs/>
        </w:rPr>
        <w:t>Knowledge and Information Systems</w:t>
      </w:r>
      <w:r w:rsidRPr="008451DB">
        <w:rPr>
          <w:rFonts w:ascii="Arial" w:hAnsi="Arial" w:cs="Arial"/>
        </w:rPr>
        <w:t xml:space="preserve">, </w:t>
      </w:r>
      <w:r w:rsidRPr="008451DB">
        <w:rPr>
          <w:rFonts w:ascii="Arial" w:hAnsi="Arial" w:cs="Arial"/>
          <w:i/>
          <w:iCs/>
        </w:rPr>
        <w:t>67</w:t>
      </w:r>
      <w:r w:rsidRPr="008451DB">
        <w:rPr>
          <w:rFonts w:ascii="Arial" w:hAnsi="Arial" w:cs="Arial"/>
        </w:rPr>
        <w:t>, 6969–7055. https://doi.org/10.1007/s10115-025-02429-y</w:t>
      </w:r>
    </w:p>
    <w:p w14:paraId="0CA18263"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Morić, Z., </w:t>
      </w:r>
      <w:proofErr w:type="spellStart"/>
      <w:r w:rsidRPr="008451DB">
        <w:rPr>
          <w:rFonts w:ascii="Arial" w:hAnsi="Arial" w:cs="Arial"/>
        </w:rPr>
        <w:t>Dakic</w:t>
      </w:r>
      <w:proofErr w:type="spellEnd"/>
      <w:r w:rsidRPr="008451DB">
        <w:rPr>
          <w:rFonts w:ascii="Arial" w:hAnsi="Arial" w:cs="Arial"/>
        </w:rPr>
        <w:t xml:space="preserve">, V., Djekic, D., &amp; </w:t>
      </w:r>
      <w:proofErr w:type="spellStart"/>
      <w:r w:rsidRPr="008451DB">
        <w:rPr>
          <w:rFonts w:ascii="Arial" w:hAnsi="Arial" w:cs="Arial"/>
        </w:rPr>
        <w:t>Regvart</w:t>
      </w:r>
      <w:proofErr w:type="spellEnd"/>
      <w:r w:rsidRPr="008451DB">
        <w:rPr>
          <w:rFonts w:ascii="Arial" w:hAnsi="Arial" w:cs="Arial"/>
        </w:rPr>
        <w:t xml:space="preserve">, D. (2024). Protection of personal data in the context of e-commerce. </w:t>
      </w:r>
      <w:r w:rsidRPr="008451DB">
        <w:rPr>
          <w:rFonts w:ascii="Arial" w:hAnsi="Arial" w:cs="Arial"/>
          <w:i/>
          <w:iCs/>
        </w:rPr>
        <w:t>Journal of Cybersecurity and Privacy</w:t>
      </w:r>
      <w:r w:rsidRPr="008451DB">
        <w:rPr>
          <w:rFonts w:ascii="Arial" w:hAnsi="Arial" w:cs="Arial"/>
        </w:rPr>
        <w:t xml:space="preserve">, </w:t>
      </w:r>
      <w:r w:rsidRPr="008451DB">
        <w:rPr>
          <w:rFonts w:ascii="Arial" w:hAnsi="Arial" w:cs="Arial"/>
          <w:i/>
          <w:iCs/>
        </w:rPr>
        <w:t>4</w:t>
      </w:r>
      <w:r w:rsidRPr="008451DB">
        <w:rPr>
          <w:rFonts w:ascii="Arial" w:hAnsi="Arial" w:cs="Arial"/>
        </w:rPr>
        <w:t>(3), 731–761. https://doi.org/10.3390/jcp4030034</w:t>
      </w:r>
    </w:p>
    <w:p w14:paraId="2B13C6AA" w14:textId="77777777" w:rsid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lastRenderedPageBreak/>
        <w:t xml:space="preserve">Muhammad Nurtanto, M., </w:t>
      </w:r>
      <w:proofErr w:type="spellStart"/>
      <w:r w:rsidRPr="008451DB">
        <w:rPr>
          <w:rFonts w:ascii="Arial" w:hAnsi="Arial" w:cs="Arial"/>
        </w:rPr>
        <w:t>Nawanksari</w:t>
      </w:r>
      <w:proofErr w:type="spellEnd"/>
      <w:r w:rsidRPr="008451DB">
        <w:rPr>
          <w:rFonts w:ascii="Arial" w:hAnsi="Arial" w:cs="Arial"/>
        </w:rPr>
        <w:t xml:space="preserve">, S., Valiant, Syahrudin, H., </w:t>
      </w:r>
      <w:proofErr w:type="spellStart"/>
      <w:r w:rsidRPr="008451DB">
        <w:rPr>
          <w:rFonts w:ascii="Arial" w:hAnsi="Arial" w:cs="Arial"/>
        </w:rPr>
        <w:t>Kholifah</w:t>
      </w:r>
      <w:proofErr w:type="spellEnd"/>
      <w:r w:rsidRPr="008451DB">
        <w:rPr>
          <w:rFonts w:ascii="Arial" w:hAnsi="Arial" w:cs="Arial"/>
        </w:rPr>
        <w:t xml:space="preserve">, N., </w:t>
      </w:r>
      <w:proofErr w:type="spellStart"/>
      <w:r w:rsidRPr="008451DB">
        <w:rPr>
          <w:rFonts w:ascii="Arial" w:hAnsi="Arial" w:cs="Arial"/>
        </w:rPr>
        <w:t>Rohmantoro</w:t>
      </w:r>
      <w:proofErr w:type="spellEnd"/>
      <w:r w:rsidRPr="008451DB">
        <w:rPr>
          <w:rFonts w:ascii="Arial" w:hAnsi="Arial" w:cs="Arial"/>
        </w:rPr>
        <w:t xml:space="preserve">, D., Utami, I. S., </w:t>
      </w:r>
      <w:proofErr w:type="spellStart"/>
      <w:r w:rsidRPr="008451DB">
        <w:rPr>
          <w:rFonts w:ascii="Arial" w:hAnsi="Arial" w:cs="Arial"/>
        </w:rPr>
        <w:t>Mutohhari</w:t>
      </w:r>
      <w:proofErr w:type="spellEnd"/>
      <w:r w:rsidRPr="008451DB">
        <w:rPr>
          <w:rFonts w:ascii="Arial" w:hAnsi="Arial" w:cs="Arial"/>
        </w:rPr>
        <w:t xml:space="preserve">, F., &amp; Hamid, M. A. (2025). Determinants of behavioral intentions and their impact on student performance in the use of AI technology in higher education in Indonesia: A SEM-PLS analysis based on TPB, UTAUT, and TAM frameworks. </w:t>
      </w:r>
      <w:r w:rsidRPr="008451DB">
        <w:rPr>
          <w:rFonts w:ascii="Arial" w:hAnsi="Arial" w:cs="Arial"/>
          <w:i/>
          <w:iCs/>
        </w:rPr>
        <w:t>Social Sciences &amp; Humanities Open</w:t>
      </w:r>
      <w:r w:rsidRPr="008451DB">
        <w:rPr>
          <w:rFonts w:ascii="Arial" w:hAnsi="Arial" w:cs="Arial"/>
        </w:rPr>
        <w:t xml:space="preserve">, </w:t>
      </w:r>
      <w:r w:rsidRPr="008451DB">
        <w:rPr>
          <w:rFonts w:ascii="Arial" w:hAnsi="Arial" w:cs="Arial"/>
          <w:i/>
          <w:iCs/>
        </w:rPr>
        <w:t>11</w:t>
      </w:r>
      <w:r w:rsidRPr="008451DB">
        <w:rPr>
          <w:rFonts w:ascii="Arial" w:hAnsi="Arial" w:cs="Arial"/>
        </w:rPr>
        <w:t xml:space="preserve">, 101638–101638. </w:t>
      </w:r>
      <w:hyperlink r:id="rId21" w:history="1">
        <w:r w:rsidRPr="008B167E">
          <w:rPr>
            <w:rStyle w:val="Hyperlink"/>
            <w:rFonts w:ascii="Arial" w:hAnsi="Arial" w:cs="Arial"/>
          </w:rPr>
          <w:t>https://doi.org/10.1016/j.ssaho.2025.101638</w:t>
        </w:r>
      </w:hyperlink>
    </w:p>
    <w:p w14:paraId="30B9322A" w14:textId="77777777" w:rsidR="008451DB" w:rsidRPr="00F92F67" w:rsidRDefault="008451DB" w:rsidP="008451DB">
      <w:pPr>
        <w:pStyle w:val="NormalWeb"/>
        <w:spacing w:before="0" w:beforeAutospacing="0" w:after="240" w:afterAutospacing="0" w:line="276" w:lineRule="auto"/>
        <w:ind w:left="709" w:hanging="709"/>
        <w:rPr>
          <w:rFonts w:ascii="Arial" w:hAnsi="Arial" w:cs="Arial"/>
        </w:rPr>
      </w:pPr>
      <w:r w:rsidRPr="00F92F67">
        <w:rPr>
          <w:rFonts w:ascii="Arial" w:hAnsi="Arial" w:cs="Arial"/>
          <w:color w:val="000000"/>
        </w:rPr>
        <w:t xml:space="preserve">Olaniyi, O. (2025). </w:t>
      </w:r>
      <w:r w:rsidRPr="00F92F67">
        <w:rPr>
          <w:rFonts w:ascii="Arial" w:hAnsi="Arial" w:cs="Arial"/>
          <w:i/>
          <w:iCs/>
          <w:color w:val="000000"/>
        </w:rPr>
        <w:t>A Quantitative Approach to Understanding Machine Learning Adoption for Cybersecurity in E-Commerce Through the UTAUT Model.</w:t>
      </w:r>
      <w:r w:rsidRPr="00F92F67">
        <w:rPr>
          <w:rFonts w:ascii="Arial" w:hAnsi="Arial" w:cs="Arial"/>
          <w:color w:val="000000"/>
        </w:rPr>
        <w:t xml:space="preserve"> [Unpublished dissertation].</w:t>
      </w:r>
    </w:p>
    <w:p w14:paraId="4BC636E5"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gramStart"/>
      <w:r w:rsidRPr="008451DB">
        <w:rPr>
          <w:rFonts w:ascii="Arial" w:hAnsi="Arial" w:cs="Arial"/>
        </w:rPr>
        <w:t>Olutimehin ,</w:t>
      </w:r>
      <w:proofErr w:type="gramEnd"/>
      <w:r w:rsidRPr="008451DB">
        <w:rPr>
          <w:rFonts w:ascii="Arial" w:hAnsi="Arial" w:cs="Arial"/>
        </w:rPr>
        <w:t xml:space="preserve"> A. T., Olaniyi , O. O., </w:t>
      </w:r>
      <w:proofErr w:type="spellStart"/>
      <w:r w:rsidRPr="008451DB">
        <w:rPr>
          <w:rFonts w:ascii="Arial" w:hAnsi="Arial" w:cs="Arial"/>
        </w:rPr>
        <w:t>Ogunmolu</w:t>
      </w:r>
      <w:proofErr w:type="spellEnd"/>
      <w:r w:rsidRPr="008451DB">
        <w:rPr>
          <w:rFonts w:ascii="Arial" w:hAnsi="Arial" w:cs="Arial"/>
        </w:rPr>
        <w:t xml:space="preserve"> , A. M., Kolo, F. H. O., &amp; Salami , I. A. (2025). </w:t>
      </w:r>
      <w:r w:rsidRPr="008451DB">
        <w:rPr>
          <w:rFonts w:ascii="Arial" w:hAnsi="Arial" w:cs="Arial"/>
          <w:i/>
          <w:iCs/>
        </w:rPr>
        <w:t>Cloud-Based AI Solutions for Real-time Monitoring of E-commerce Compliance and Risk. Journal of Engineering Research and Reports, 27(7), 127–147.</w:t>
      </w:r>
      <w:r w:rsidRPr="008451DB">
        <w:rPr>
          <w:rFonts w:ascii="Arial" w:hAnsi="Arial" w:cs="Arial"/>
        </w:rPr>
        <w:t xml:space="preserve"> https://doi.org/10.9734/jerr/2025/v27i71566</w:t>
      </w:r>
    </w:p>
    <w:p w14:paraId="0E34CD88"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Olutimehin, A. T., Olaniyi, O. O., Popoola, A. D., </w:t>
      </w:r>
      <w:proofErr w:type="spellStart"/>
      <w:r w:rsidRPr="008451DB">
        <w:rPr>
          <w:rFonts w:ascii="Arial" w:hAnsi="Arial" w:cs="Arial"/>
        </w:rPr>
        <w:t>Ogunmolu</w:t>
      </w:r>
      <w:proofErr w:type="spellEnd"/>
      <w:r w:rsidRPr="008451DB">
        <w:rPr>
          <w:rFonts w:ascii="Arial" w:hAnsi="Arial" w:cs="Arial"/>
        </w:rPr>
        <w:t xml:space="preserve">, A. M., &amp; Kolo, F. H. (2025). AI and IoT Integration for Predictive Maintenance and Risk Management in Smart Manufacturing. </w:t>
      </w:r>
      <w:r w:rsidRPr="008451DB">
        <w:rPr>
          <w:rFonts w:ascii="Arial" w:hAnsi="Arial" w:cs="Arial"/>
          <w:i/>
          <w:iCs/>
        </w:rPr>
        <w:t>Asian Journal of Research in Computer Science</w:t>
      </w:r>
      <w:r w:rsidRPr="008451DB">
        <w:rPr>
          <w:rFonts w:ascii="Arial" w:hAnsi="Arial" w:cs="Arial"/>
        </w:rPr>
        <w:t xml:space="preserve">, </w:t>
      </w:r>
      <w:r w:rsidRPr="008451DB">
        <w:rPr>
          <w:rFonts w:ascii="Arial" w:hAnsi="Arial" w:cs="Arial"/>
          <w:i/>
          <w:iCs/>
        </w:rPr>
        <w:t>18</w:t>
      </w:r>
      <w:r w:rsidRPr="008451DB">
        <w:rPr>
          <w:rFonts w:ascii="Arial" w:hAnsi="Arial" w:cs="Arial"/>
        </w:rPr>
        <w:t>(7), 120–142. https://doi.org/10.9734/ajrcos/2025/v18i7724</w:t>
      </w:r>
    </w:p>
    <w:p w14:paraId="1ABD81D2"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Oyaka</w:t>
      </w:r>
      <w:proofErr w:type="spellEnd"/>
      <w:r w:rsidRPr="008451DB">
        <w:rPr>
          <w:rFonts w:ascii="Arial" w:hAnsi="Arial" w:cs="Arial"/>
        </w:rPr>
        <w:t xml:space="preserve">, G. (2024). </w:t>
      </w:r>
      <w:r w:rsidRPr="008451DB">
        <w:rPr>
          <w:rFonts w:ascii="Arial" w:hAnsi="Arial" w:cs="Arial"/>
          <w:i/>
          <w:iCs/>
        </w:rPr>
        <w:t xml:space="preserve">Consumer Protection in E-commerce: Legal Challenges and Prospects in </w:t>
      </w:r>
      <w:proofErr w:type="gramStart"/>
      <w:r w:rsidRPr="008451DB">
        <w:rPr>
          <w:rFonts w:ascii="Arial" w:hAnsi="Arial" w:cs="Arial"/>
          <w:i/>
          <w:iCs/>
        </w:rPr>
        <w:t>Nigeria </w:t>
      </w:r>
      <w:r w:rsidRPr="008451DB">
        <w:rPr>
          <w:rFonts w:ascii="Arial" w:hAnsi="Arial" w:cs="Arial"/>
        </w:rPr>
        <w:t>.</w:t>
      </w:r>
      <w:proofErr w:type="gramEnd"/>
      <w:r w:rsidRPr="008451DB">
        <w:rPr>
          <w:rFonts w:ascii="Arial" w:hAnsi="Arial" w:cs="Arial"/>
        </w:rPr>
        <w:t xml:space="preserve"> https://doi.org/10.2139/ssrn.4946731</w:t>
      </w:r>
    </w:p>
    <w:p w14:paraId="732A1D98"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Oyekunle, S. M., Popoola, A. D., Kolo, F. H. O., </w:t>
      </w:r>
      <w:proofErr w:type="spellStart"/>
      <w:r w:rsidRPr="008451DB">
        <w:rPr>
          <w:rFonts w:ascii="Arial" w:hAnsi="Arial" w:cs="Arial"/>
        </w:rPr>
        <w:t>Ogunmolu</w:t>
      </w:r>
      <w:proofErr w:type="spellEnd"/>
      <w:r w:rsidRPr="008451DB">
        <w:rPr>
          <w:rFonts w:ascii="Arial" w:hAnsi="Arial" w:cs="Arial"/>
        </w:rPr>
        <w:t xml:space="preserve">, A. M., &amp; Adesokan-Imran, T. O. (2025). Intelligent Fraud Prevention Information Banking: A Data Governance- Centric Approach Using Behavioural Biometrics. </w:t>
      </w:r>
      <w:r w:rsidRPr="008451DB">
        <w:rPr>
          <w:rFonts w:ascii="Arial" w:hAnsi="Arial" w:cs="Arial"/>
          <w:i/>
          <w:iCs/>
        </w:rPr>
        <w:t>Asian Journal of Research in Computer Science</w:t>
      </w:r>
      <w:r w:rsidRPr="008451DB">
        <w:rPr>
          <w:rFonts w:ascii="Arial" w:hAnsi="Arial" w:cs="Arial"/>
        </w:rPr>
        <w:t xml:space="preserve">, </w:t>
      </w:r>
      <w:r w:rsidRPr="008451DB">
        <w:rPr>
          <w:rFonts w:ascii="Arial" w:hAnsi="Arial" w:cs="Arial"/>
          <w:i/>
          <w:iCs/>
        </w:rPr>
        <w:t>18</w:t>
      </w:r>
      <w:r w:rsidRPr="008451DB">
        <w:rPr>
          <w:rFonts w:ascii="Arial" w:hAnsi="Arial" w:cs="Arial"/>
        </w:rPr>
        <w:t>(5), 525–543. https://doi.org/10.9734/ajrcos/2025/v18i5672</w:t>
      </w:r>
    </w:p>
    <w:p w14:paraId="31BE34E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Panzeri, A., Castelnuovo, G., &amp; Spoto, A. (2024). Assessing Discriminant Validity through Structural Equation Modeling: The Case of Eating Compulsivity. </w:t>
      </w:r>
      <w:r w:rsidRPr="008451DB">
        <w:rPr>
          <w:rFonts w:ascii="Arial" w:hAnsi="Arial" w:cs="Arial"/>
          <w:i/>
          <w:iCs/>
        </w:rPr>
        <w:t>Nutrients</w:t>
      </w:r>
      <w:r w:rsidRPr="008451DB">
        <w:rPr>
          <w:rFonts w:ascii="Arial" w:hAnsi="Arial" w:cs="Arial"/>
        </w:rPr>
        <w:t xml:space="preserve">, </w:t>
      </w:r>
      <w:r w:rsidRPr="008451DB">
        <w:rPr>
          <w:rFonts w:ascii="Arial" w:hAnsi="Arial" w:cs="Arial"/>
          <w:i/>
          <w:iCs/>
        </w:rPr>
        <w:t>16</w:t>
      </w:r>
      <w:r w:rsidRPr="008451DB">
        <w:rPr>
          <w:rFonts w:ascii="Arial" w:hAnsi="Arial" w:cs="Arial"/>
        </w:rPr>
        <w:t>(4), 550–550. https://doi.org/10.3390/nu16040550</w:t>
      </w:r>
    </w:p>
    <w:p w14:paraId="6901205E"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Park, K., &amp; Yoon, H. Y. (2024). Beyond the code: The impact of AI algorithm transparency signaling on user trust and relational satisfaction. </w:t>
      </w:r>
      <w:r w:rsidRPr="008451DB">
        <w:rPr>
          <w:rFonts w:ascii="Arial" w:hAnsi="Arial" w:cs="Arial"/>
          <w:i/>
          <w:iCs/>
        </w:rPr>
        <w:t>Public Relations Review</w:t>
      </w:r>
      <w:r w:rsidRPr="008451DB">
        <w:rPr>
          <w:rFonts w:ascii="Arial" w:hAnsi="Arial" w:cs="Arial"/>
        </w:rPr>
        <w:t xml:space="preserve">, </w:t>
      </w:r>
      <w:r w:rsidRPr="008451DB">
        <w:rPr>
          <w:rFonts w:ascii="Arial" w:hAnsi="Arial" w:cs="Arial"/>
          <w:i/>
          <w:iCs/>
        </w:rPr>
        <w:t>50</w:t>
      </w:r>
      <w:r w:rsidRPr="008451DB">
        <w:rPr>
          <w:rFonts w:ascii="Arial" w:hAnsi="Arial" w:cs="Arial"/>
        </w:rPr>
        <w:t>(5), 102507. https://doi.org/10.1016/j.pubrev.2024.102507</w:t>
      </w:r>
    </w:p>
    <w:p w14:paraId="6B439FC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lastRenderedPageBreak/>
        <w:t xml:space="preserve">Rahi, S., Othman Mansour, M. M., </w:t>
      </w:r>
      <w:proofErr w:type="spellStart"/>
      <w:r w:rsidRPr="008451DB">
        <w:rPr>
          <w:rFonts w:ascii="Arial" w:hAnsi="Arial" w:cs="Arial"/>
        </w:rPr>
        <w:t>Alghizzawi</w:t>
      </w:r>
      <w:proofErr w:type="spellEnd"/>
      <w:r w:rsidRPr="008451DB">
        <w:rPr>
          <w:rFonts w:ascii="Arial" w:hAnsi="Arial" w:cs="Arial"/>
        </w:rPr>
        <w:t xml:space="preserve">, M., &amp; </w:t>
      </w:r>
      <w:proofErr w:type="spellStart"/>
      <w:r w:rsidRPr="008451DB">
        <w:rPr>
          <w:rFonts w:ascii="Arial" w:hAnsi="Arial" w:cs="Arial"/>
        </w:rPr>
        <w:t>Alnaser</w:t>
      </w:r>
      <w:proofErr w:type="spellEnd"/>
      <w:r w:rsidRPr="008451DB">
        <w:rPr>
          <w:rFonts w:ascii="Arial" w:hAnsi="Arial" w:cs="Arial"/>
        </w:rPr>
        <w:t xml:space="preserve">, F. M. (2019). Integration of UTAUT model in internet banking adoption context. </w:t>
      </w:r>
      <w:r w:rsidRPr="008451DB">
        <w:rPr>
          <w:rFonts w:ascii="Arial" w:hAnsi="Arial" w:cs="Arial"/>
          <w:i/>
          <w:iCs/>
        </w:rPr>
        <w:t>Journal of Research in Interactive Marketing</w:t>
      </w:r>
      <w:r w:rsidRPr="008451DB">
        <w:rPr>
          <w:rFonts w:ascii="Arial" w:hAnsi="Arial" w:cs="Arial"/>
        </w:rPr>
        <w:t xml:space="preserve">, </w:t>
      </w:r>
      <w:r w:rsidRPr="008451DB">
        <w:rPr>
          <w:rFonts w:ascii="Arial" w:hAnsi="Arial" w:cs="Arial"/>
          <w:i/>
          <w:iCs/>
        </w:rPr>
        <w:t>13</w:t>
      </w:r>
      <w:r w:rsidRPr="008451DB">
        <w:rPr>
          <w:rFonts w:ascii="Arial" w:hAnsi="Arial" w:cs="Arial"/>
        </w:rPr>
        <w:t>(3), 411–435. https://doi.org/10.1108/jrim-02-2018-0032</w:t>
      </w:r>
    </w:p>
    <w:p w14:paraId="1C56334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Ramírez-Gutiérrez, A. G., Solano García, P., Morales Matamoros, O., Moreno Escobar, J. J., &amp; </w:t>
      </w:r>
      <w:proofErr w:type="spellStart"/>
      <w:r w:rsidRPr="008451DB">
        <w:rPr>
          <w:rFonts w:ascii="Arial" w:hAnsi="Arial" w:cs="Arial"/>
        </w:rPr>
        <w:t>Tejeida</w:t>
      </w:r>
      <w:proofErr w:type="spellEnd"/>
      <w:r w:rsidRPr="008451DB">
        <w:rPr>
          <w:rFonts w:ascii="Arial" w:hAnsi="Arial" w:cs="Arial"/>
        </w:rPr>
        <w:t xml:space="preserve">-Padilla, R. (2023). Systems Approach for the Adoption of New Technologies in Enterprises. </w:t>
      </w:r>
      <w:r w:rsidRPr="008451DB">
        <w:rPr>
          <w:rFonts w:ascii="Arial" w:hAnsi="Arial" w:cs="Arial"/>
          <w:i/>
          <w:iCs/>
        </w:rPr>
        <w:t>Systems</w:t>
      </w:r>
      <w:r w:rsidRPr="008451DB">
        <w:rPr>
          <w:rFonts w:ascii="Arial" w:hAnsi="Arial" w:cs="Arial"/>
        </w:rPr>
        <w:t xml:space="preserve">, </w:t>
      </w:r>
      <w:r w:rsidRPr="008451DB">
        <w:rPr>
          <w:rFonts w:ascii="Arial" w:hAnsi="Arial" w:cs="Arial"/>
          <w:i/>
          <w:iCs/>
        </w:rPr>
        <w:t>11</w:t>
      </w:r>
      <w:r w:rsidRPr="008451DB">
        <w:rPr>
          <w:rFonts w:ascii="Arial" w:hAnsi="Arial" w:cs="Arial"/>
        </w:rPr>
        <w:t>(10), 494. https://doi.org/10.3390/systems11100494</w:t>
      </w:r>
    </w:p>
    <w:p w14:paraId="31FAAA86"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Rana, Md. M., </w:t>
      </w:r>
      <w:proofErr w:type="spellStart"/>
      <w:r w:rsidRPr="008451DB">
        <w:rPr>
          <w:rFonts w:ascii="Arial" w:hAnsi="Arial" w:cs="Arial"/>
        </w:rPr>
        <w:t>Siddiqee</w:t>
      </w:r>
      <w:proofErr w:type="spellEnd"/>
      <w:r w:rsidRPr="008451DB">
        <w:rPr>
          <w:rFonts w:ascii="Arial" w:hAnsi="Arial" w:cs="Arial"/>
        </w:rPr>
        <w:t xml:space="preserve">, M. S., Sakib, Md. N., &amp; Ahamed, Md. R. (2024). Assessing AI adoption in developing country academia: A trust and privacy-augmented UTAUT framework. </w:t>
      </w:r>
      <w:proofErr w:type="spellStart"/>
      <w:r w:rsidRPr="008451DB">
        <w:rPr>
          <w:rFonts w:ascii="Arial" w:hAnsi="Arial" w:cs="Arial"/>
          <w:i/>
          <w:iCs/>
        </w:rPr>
        <w:t>Heliyon</w:t>
      </w:r>
      <w:proofErr w:type="spellEnd"/>
      <w:r w:rsidRPr="008451DB">
        <w:rPr>
          <w:rFonts w:ascii="Arial" w:hAnsi="Arial" w:cs="Arial"/>
        </w:rPr>
        <w:t xml:space="preserve">, </w:t>
      </w:r>
      <w:r w:rsidRPr="008451DB">
        <w:rPr>
          <w:rFonts w:ascii="Arial" w:hAnsi="Arial" w:cs="Arial"/>
          <w:i/>
          <w:iCs/>
        </w:rPr>
        <w:t>10</w:t>
      </w:r>
      <w:r w:rsidRPr="008451DB">
        <w:rPr>
          <w:rFonts w:ascii="Arial" w:hAnsi="Arial" w:cs="Arial"/>
        </w:rPr>
        <w:t>(18), e37569. https://doi.org/10.1016/j.heliyon.2024.e37569</w:t>
      </w:r>
    </w:p>
    <w:p w14:paraId="786CAE31"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Rasoolimanesh</w:t>
      </w:r>
      <w:proofErr w:type="spellEnd"/>
      <w:r w:rsidRPr="008451DB">
        <w:rPr>
          <w:rFonts w:ascii="Arial" w:hAnsi="Arial" w:cs="Arial"/>
        </w:rPr>
        <w:t xml:space="preserve">, S. (2022). Discriminant validity assessment in PLS-SEM: A comprehensive composite-based approach. </w:t>
      </w:r>
      <w:r w:rsidRPr="008451DB">
        <w:rPr>
          <w:rFonts w:ascii="Arial" w:hAnsi="Arial" w:cs="Arial"/>
          <w:i/>
          <w:iCs/>
        </w:rPr>
        <w:t>Data Analysis Perspectives Journal</w:t>
      </w:r>
      <w:r w:rsidRPr="008451DB">
        <w:rPr>
          <w:rFonts w:ascii="Arial" w:hAnsi="Arial" w:cs="Arial"/>
        </w:rPr>
        <w:t xml:space="preserve">, </w:t>
      </w:r>
      <w:r w:rsidRPr="008451DB">
        <w:rPr>
          <w:rFonts w:ascii="Arial" w:hAnsi="Arial" w:cs="Arial"/>
          <w:i/>
          <w:iCs/>
        </w:rPr>
        <w:t>3</w:t>
      </w:r>
      <w:r w:rsidRPr="008451DB">
        <w:rPr>
          <w:rFonts w:ascii="Arial" w:hAnsi="Arial" w:cs="Arial"/>
        </w:rPr>
        <w:t>(2), 1–8. https://scriptwarp.com/dapj/2022_DAPJ_3_2/Rasoolimanesh_2022_DAPJ_3_2_DiscriminantValidity.pdf?utm_</w:t>
      </w:r>
    </w:p>
    <w:p w14:paraId="7C6393FE"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Razzaq, K., Shah, M., Fattahi, M., &amp; Tang, J. (2025). Empowering machine learning for robust cyber-attack prevention in online retail: an integrative analysis. </w:t>
      </w:r>
      <w:r w:rsidRPr="008451DB">
        <w:rPr>
          <w:rFonts w:ascii="Arial" w:hAnsi="Arial" w:cs="Arial"/>
          <w:i/>
          <w:iCs/>
        </w:rPr>
        <w:t>Humanities and Social Sciences Communications</w:t>
      </w:r>
      <w:r w:rsidRPr="008451DB">
        <w:rPr>
          <w:rFonts w:ascii="Arial" w:hAnsi="Arial" w:cs="Arial"/>
        </w:rPr>
        <w:t xml:space="preserve">, </w:t>
      </w:r>
      <w:r w:rsidRPr="008451DB">
        <w:rPr>
          <w:rFonts w:ascii="Arial" w:hAnsi="Arial" w:cs="Arial"/>
          <w:i/>
          <w:iCs/>
        </w:rPr>
        <w:t>12</w:t>
      </w:r>
      <w:r w:rsidRPr="008451DB">
        <w:rPr>
          <w:rFonts w:ascii="Arial" w:hAnsi="Arial" w:cs="Arial"/>
        </w:rPr>
        <w:t>(1). https://doi.org/10.1057/s41599-025-04636-y</w:t>
      </w:r>
    </w:p>
    <w:p w14:paraId="133183C4"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RSI Security. (2025, June 16). </w:t>
      </w:r>
      <w:r w:rsidRPr="008451DB">
        <w:rPr>
          <w:rFonts w:ascii="Arial" w:hAnsi="Arial" w:cs="Arial"/>
          <w:i/>
          <w:iCs/>
        </w:rPr>
        <w:t>5 Emerging Ecommerce Risk Trends You Need to Watch in 2025</w:t>
      </w:r>
      <w:r w:rsidRPr="008451DB">
        <w:rPr>
          <w:rFonts w:ascii="Arial" w:hAnsi="Arial" w:cs="Arial"/>
        </w:rPr>
        <w:t>. RSI Security. https://blog.rsisecurity.com/5-emerging-ecommerce-risk-trends-you-need-to-watch-in-2025?utm_</w:t>
      </w:r>
    </w:p>
    <w:p w14:paraId="6D98BFDB"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Salami, I. A., Popoola, A. D., Gbadebo, M. O., Kolo, F. H. O., &amp; Adesokan-Imran, T. O. (2025). AI- Powered Behavioural Biometrics for Fraud Detection in Digital Banking: A Next-Generation Approach to Financial Cybersecurity. </w:t>
      </w:r>
      <w:r w:rsidRPr="008451DB">
        <w:rPr>
          <w:rFonts w:ascii="Arial" w:hAnsi="Arial" w:cs="Arial"/>
          <w:i/>
          <w:iCs/>
        </w:rPr>
        <w:t>Asian Journal of Research in Computer Science</w:t>
      </w:r>
      <w:r w:rsidRPr="008451DB">
        <w:rPr>
          <w:rFonts w:ascii="Arial" w:hAnsi="Arial" w:cs="Arial"/>
        </w:rPr>
        <w:t xml:space="preserve">, </w:t>
      </w:r>
      <w:r w:rsidRPr="008451DB">
        <w:rPr>
          <w:rFonts w:ascii="Arial" w:hAnsi="Arial" w:cs="Arial"/>
          <w:i/>
          <w:iCs/>
        </w:rPr>
        <w:t>18</w:t>
      </w:r>
      <w:r w:rsidRPr="008451DB">
        <w:rPr>
          <w:rFonts w:ascii="Arial" w:hAnsi="Arial" w:cs="Arial"/>
        </w:rPr>
        <w:t>(4), 473–494. https://doi.org/10.9734/ajrcos/2025/v18i4632</w:t>
      </w:r>
    </w:p>
    <w:p w14:paraId="1805239B"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Samy, D., Rasha, Y. S., </w:t>
      </w:r>
      <w:proofErr w:type="spellStart"/>
      <w:r w:rsidRPr="008451DB">
        <w:rPr>
          <w:rFonts w:ascii="Arial" w:hAnsi="Arial" w:cs="Arial"/>
        </w:rPr>
        <w:t>Khourshed</w:t>
      </w:r>
      <w:proofErr w:type="spellEnd"/>
      <w:r w:rsidRPr="008451DB">
        <w:rPr>
          <w:rFonts w:ascii="Arial" w:hAnsi="Arial" w:cs="Arial"/>
        </w:rPr>
        <w:t xml:space="preserve">, N. F., &amp; Amara, D. F. (2024). The Impact of Technological Innovativeness on the Intention to Utilize Digital Transformation: An Application of Diffusion of Innovation in the Egyptian Private Universities. </w:t>
      </w:r>
      <w:r w:rsidRPr="008451DB">
        <w:rPr>
          <w:rFonts w:ascii="Arial" w:hAnsi="Arial" w:cs="Arial"/>
          <w:i/>
          <w:iCs/>
        </w:rPr>
        <w:t>Al-</w:t>
      </w:r>
      <w:proofErr w:type="spellStart"/>
      <w:r w:rsidRPr="008451DB">
        <w:rPr>
          <w:rFonts w:ascii="Arial" w:hAnsi="Arial" w:cs="Arial"/>
          <w:i/>
          <w:iCs/>
        </w:rPr>
        <w:t>Mağallah</w:t>
      </w:r>
      <w:proofErr w:type="spellEnd"/>
      <w:r w:rsidRPr="008451DB">
        <w:rPr>
          <w:rFonts w:ascii="Arial" w:hAnsi="Arial" w:cs="Arial"/>
          <w:i/>
          <w:iCs/>
        </w:rPr>
        <w:t xml:space="preserve"> Al-</w:t>
      </w:r>
      <w:proofErr w:type="spellStart"/>
      <w:r w:rsidRPr="008451DB">
        <w:rPr>
          <w:rFonts w:ascii="Arial" w:hAnsi="Arial" w:cs="Arial"/>
          <w:i/>
          <w:iCs/>
        </w:rPr>
        <w:t>ʿArabiyyat</w:t>
      </w:r>
      <w:proofErr w:type="spellEnd"/>
      <w:r w:rsidRPr="008451DB">
        <w:rPr>
          <w:rFonts w:ascii="Arial" w:hAnsi="Arial" w:cs="Arial"/>
          <w:i/>
          <w:iCs/>
        </w:rPr>
        <w:t xml:space="preserve">̈ </w:t>
      </w:r>
      <w:proofErr w:type="spellStart"/>
      <w:r w:rsidRPr="008451DB">
        <w:rPr>
          <w:rFonts w:ascii="Arial" w:hAnsi="Arial" w:cs="Arial"/>
          <w:i/>
          <w:iCs/>
        </w:rPr>
        <w:t>Lil-Īdārah</w:t>
      </w:r>
      <w:proofErr w:type="spellEnd"/>
      <w:r w:rsidRPr="008451DB">
        <w:rPr>
          <w:rFonts w:ascii="Arial" w:hAnsi="Arial" w:cs="Arial"/>
        </w:rPr>
        <w:t xml:space="preserve">, </w:t>
      </w:r>
      <w:r w:rsidRPr="008451DB">
        <w:rPr>
          <w:rFonts w:ascii="Arial" w:hAnsi="Arial" w:cs="Arial"/>
          <w:i/>
          <w:iCs/>
        </w:rPr>
        <w:t>0</w:t>
      </w:r>
      <w:r w:rsidRPr="008451DB">
        <w:rPr>
          <w:rFonts w:ascii="Arial" w:hAnsi="Arial" w:cs="Arial"/>
        </w:rPr>
        <w:t>(0), 1–20. https://doi.org/10.21608/aja.2024.270485.1587</w:t>
      </w:r>
    </w:p>
    <w:p w14:paraId="1833AC48"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lastRenderedPageBreak/>
        <w:t xml:space="preserve">Schuberth, F., Hubona, G. S., Roemer, E., Zaza, S., Schamberger, T., Chuah, F., Cepeda-Carrión, G., &amp; Henseler, J. (2023). The choice of structural equation modeling technique matters: A commentary on Dash and Paul (2021). </w:t>
      </w:r>
      <w:r w:rsidRPr="008451DB">
        <w:rPr>
          <w:rFonts w:ascii="Arial" w:hAnsi="Arial" w:cs="Arial"/>
          <w:i/>
          <w:iCs/>
        </w:rPr>
        <w:t>Technological Forecasting &amp; Social Change</w:t>
      </w:r>
      <w:r w:rsidRPr="008451DB">
        <w:rPr>
          <w:rFonts w:ascii="Arial" w:hAnsi="Arial" w:cs="Arial"/>
        </w:rPr>
        <w:t xml:space="preserve">, </w:t>
      </w:r>
      <w:r w:rsidRPr="008451DB">
        <w:rPr>
          <w:rFonts w:ascii="Arial" w:hAnsi="Arial" w:cs="Arial"/>
          <w:i/>
          <w:iCs/>
        </w:rPr>
        <w:t>194</w:t>
      </w:r>
      <w:r w:rsidRPr="008451DB">
        <w:rPr>
          <w:rFonts w:ascii="Arial" w:hAnsi="Arial" w:cs="Arial"/>
        </w:rPr>
        <w:t>(122534), 122665–122665. https://doi.org/10.1016/j.techfore.2023.122665</w:t>
      </w:r>
    </w:p>
    <w:p w14:paraId="1164F7C3"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Shafi, M. A., Gamal, M., Rusiman, M. S., &amp; Nur. (2024). Enhancing Organizational Performance Through Strategic Planning and AI Integration: A Study on Predictive Analysis. </w:t>
      </w:r>
      <w:r w:rsidRPr="008451DB">
        <w:rPr>
          <w:rFonts w:ascii="Arial" w:hAnsi="Arial" w:cs="Arial"/>
          <w:i/>
          <w:iCs/>
        </w:rPr>
        <w:t>Journal of Technology Management and Business</w:t>
      </w:r>
      <w:r w:rsidRPr="008451DB">
        <w:rPr>
          <w:rFonts w:ascii="Arial" w:hAnsi="Arial" w:cs="Arial"/>
        </w:rPr>
        <w:t xml:space="preserve">, </w:t>
      </w:r>
      <w:r w:rsidRPr="008451DB">
        <w:rPr>
          <w:rFonts w:ascii="Arial" w:hAnsi="Arial" w:cs="Arial"/>
          <w:i/>
          <w:iCs/>
        </w:rPr>
        <w:t>11</w:t>
      </w:r>
      <w:r w:rsidRPr="008451DB">
        <w:rPr>
          <w:rFonts w:ascii="Arial" w:hAnsi="Arial" w:cs="Arial"/>
        </w:rPr>
        <w:t>(2), 83–97. https://publisher.uthm.edu.my/ojs/index.php/jtmb/article/view/18610</w:t>
      </w:r>
    </w:p>
    <w:p w14:paraId="6981B0C1"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Shevtsova, D., Ahmed, A., Boot, I. W. A., Sanges, C., Hudecek, M., Jacobs, J. J. L., Hort, S., &amp; Hubertus. (2024). Trust in and Acceptance of Artificial Intelligence Applications in Medicine: Mixed Methods Study. </w:t>
      </w:r>
      <w:r w:rsidRPr="008451DB">
        <w:rPr>
          <w:rFonts w:ascii="Arial" w:hAnsi="Arial" w:cs="Arial"/>
          <w:i/>
          <w:iCs/>
        </w:rPr>
        <w:t>JMIR Human Factors</w:t>
      </w:r>
      <w:r w:rsidRPr="008451DB">
        <w:rPr>
          <w:rFonts w:ascii="Arial" w:hAnsi="Arial" w:cs="Arial"/>
        </w:rPr>
        <w:t xml:space="preserve">, </w:t>
      </w:r>
      <w:r w:rsidRPr="008451DB">
        <w:rPr>
          <w:rFonts w:ascii="Arial" w:hAnsi="Arial" w:cs="Arial"/>
          <w:i/>
          <w:iCs/>
        </w:rPr>
        <w:t>11</w:t>
      </w:r>
      <w:r w:rsidRPr="008451DB">
        <w:rPr>
          <w:rFonts w:ascii="Arial" w:hAnsi="Arial" w:cs="Arial"/>
        </w:rPr>
        <w:t>, e47031–e47031. https://doi.org/10.2196/47031</w:t>
      </w:r>
    </w:p>
    <w:p w14:paraId="2F66CFCE"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Smirnova, Y., &amp; Travieso-Morales, V. (2025). Tech startups and general data protection regulation: an empirical exploration of compliance challenges. </w:t>
      </w:r>
      <w:r w:rsidRPr="008451DB">
        <w:rPr>
          <w:rFonts w:ascii="Arial" w:hAnsi="Arial" w:cs="Arial"/>
          <w:i/>
          <w:iCs/>
        </w:rPr>
        <w:t>Journal of Small Business and Enterprise Development</w:t>
      </w:r>
      <w:r w:rsidRPr="008451DB">
        <w:rPr>
          <w:rFonts w:ascii="Arial" w:hAnsi="Arial" w:cs="Arial"/>
        </w:rPr>
        <w:t xml:space="preserve">, </w:t>
      </w:r>
      <w:r w:rsidRPr="008451DB">
        <w:rPr>
          <w:rFonts w:ascii="Arial" w:hAnsi="Arial" w:cs="Arial"/>
          <w:i/>
          <w:iCs/>
        </w:rPr>
        <w:t>32</w:t>
      </w:r>
      <w:r w:rsidRPr="008451DB">
        <w:rPr>
          <w:rFonts w:ascii="Arial" w:hAnsi="Arial" w:cs="Arial"/>
        </w:rPr>
        <w:t>(8), 54–82. https://doi.org/10.1108/jsbed-09-2024-0495</w:t>
      </w:r>
    </w:p>
    <w:p w14:paraId="163ED6B3"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Su, J., Wang, Y., Liu, H., Zhang, Z., Wang, Z., &amp; Li, Z. (2025). Investigating the factors influencing users’ adoption of artificial intelligence health assistants based on an extended UTAUT model. </w:t>
      </w:r>
      <w:r w:rsidRPr="008451DB">
        <w:rPr>
          <w:rFonts w:ascii="Arial" w:hAnsi="Arial" w:cs="Arial"/>
          <w:i/>
          <w:iCs/>
        </w:rPr>
        <w:t>Scientific Reports</w:t>
      </w:r>
      <w:r w:rsidRPr="008451DB">
        <w:rPr>
          <w:rFonts w:ascii="Arial" w:hAnsi="Arial" w:cs="Arial"/>
        </w:rPr>
        <w:t xml:space="preserve">, </w:t>
      </w:r>
      <w:r w:rsidRPr="008451DB">
        <w:rPr>
          <w:rFonts w:ascii="Arial" w:hAnsi="Arial" w:cs="Arial"/>
          <w:i/>
          <w:iCs/>
        </w:rPr>
        <w:t>15</w:t>
      </w:r>
      <w:r w:rsidRPr="008451DB">
        <w:rPr>
          <w:rFonts w:ascii="Arial" w:hAnsi="Arial" w:cs="Arial"/>
        </w:rPr>
        <w:t>(1). https://doi.org/10.1038/s41598-025-01897-0</w:t>
      </w:r>
    </w:p>
    <w:p w14:paraId="03BF41BC"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Udechukwu, L. M. (2025a). AI-Governed Security Frameworks for Virtualized Enterprises: Preventing Data Breaches and Ensuring Compliance. </w:t>
      </w:r>
      <w:r w:rsidRPr="008451DB">
        <w:rPr>
          <w:rFonts w:ascii="Arial" w:hAnsi="Arial" w:cs="Arial"/>
          <w:i/>
          <w:iCs/>
        </w:rPr>
        <w:t>Asian Journal of Research in Computer Science</w:t>
      </w:r>
      <w:r w:rsidRPr="008451DB">
        <w:rPr>
          <w:rFonts w:ascii="Arial" w:hAnsi="Arial" w:cs="Arial"/>
        </w:rPr>
        <w:t xml:space="preserve">, </w:t>
      </w:r>
      <w:r w:rsidRPr="008451DB">
        <w:rPr>
          <w:rFonts w:ascii="Arial" w:hAnsi="Arial" w:cs="Arial"/>
          <w:i/>
          <w:iCs/>
        </w:rPr>
        <w:t>18</w:t>
      </w:r>
      <w:r w:rsidRPr="008451DB">
        <w:rPr>
          <w:rFonts w:ascii="Arial" w:hAnsi="Arial" w:cs="Arial"/>
        </w:rPr>
        <w:t>(9), 39–57. https://doi.org/10.9734/ajrcos/2025/v18i9753</w:t>
      </w:r>
    </w:p>
    <w:p w14:paraId="5B497F52"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Udechukwu, L. M. (2025b). Ethical Implications and Cybersecurity Risks of Hyper-Personalized AI Feedback Systems for Mental Health Support in Home Environment. </w:t>
      </w:r>
      <w:r w:rsidRPr="008451DB">
        <w:rPr>
          <w:rFonts w:ascii="Arial" w:hAnsi="Arial" w:cs="Arial"/>
          <w:i/>
          <w:iCs/>
        </w:rPr>
        <w:t>Journal of Engineering Research and Reports</w:t>
      </w:r>
      <w:r w:rsidRPr="008451DB">
        <w:rPr>
          <w:rFonts w:ascii="Arial" w:hAnsi="Arial" w:cs="Arial"/>
        </w:rPr>
        <w:t xml:space="preserve">, </w:t>
      </w:r>
      <w:r w:rsidRPr="008451DB">
        <w:rPr>
          <w:rFonts w:ascii="Arial" w:hAnsi="Arial" w:cs="Arial"/>
          <w:i/>
          <w:iCs/>
        </w:rPr>
        <w:t>27</w:t>
      </w:r>
      <w:r w:rsidRPr="008451DB">
        <w:rPr>
          <w:rFonts w:ascii="Arial" w:hAnsi="Arial" w:cs="Arial"/>
        </w:rPr>
        <w:t>(9), 310–328. https://doi.org/10.9734/jerr/2025/v27i91643</w:t>
      </w:r>
    </w:p>
    <w:p w14:paraId="2DA64535"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Venkatesh, V. (2022). Adoption and use of AI tools: a research agenda grounded in UTAUT. </w:t>
      </w:r>
      <w:r w:rsidRPr="008451DB">
        <w:rPr>
          <w:rFonts w:ascii="Arial" w:hAnsi="Arial" w:cs="Arial"/>
          <w:i/>
          <w:iCs/>
        </w:rPr>
        <w:t>Annals of Operations Research</w:t>
      </w:r>
      <w:r w:rsidRPr="008451DB">
        <w:rPr>
          <w:rFonts w:ascii="Arial" w:hAnsi="Arial" w:cs="Arial"/>
        </w:rPr>
        <w:t xml:space="preserve">, </w:t>
      </w:r>
      <w:r w:rsidRPr="008451DB">
        <w:rPr>
          <w:rFonts w:ascii="Arial" w:hAnsi="Arial" w:cs="Arial"/>
          <w:i/>
          <w:iCs/>
        </w:rPr>
        <w:t>308</w:t>
      </w:r>
      <w:r w:rsidRPr="008451DB">
        <w:rPr>
          <w:rFonts w:ascii="Arial" w:hAnsi="Arial" w:cs="Arial"/>
        </w:rPr>
        <w:t>(3), 641–652. https://doi.org/10.1007/s10479-020-03918-9</w:t>
      </w:r>
    </w:p>
    <w:p w14:paraId="5EB9C29E"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lastRenderedPageBreak/>
        <w:t xml:space="preserve">Venkatesh, V., Morris, M. G., Davis, G. B., &amp; Davis, F. D. (2003). User Acceptance of Information technology: toward a Unified View. </w:t>
      </w:r>
      <w:r w:rsidRPr="008451DB">
        <w:rPr>
          <w:rFonts w:ascii="Arial" w:hAnsi="Arial" w:cs="Arial"/>
          <w:i/>
          <w:iCs/>
        </w:rPr>
        <w:t>MIS Quarterly</w:t>
      </w:r>
      <w:r w:rsidRPr="008451DB">
        <w:rPr>
          <w:rFonts w:ascii="Arial" w:hAnsi="Arial" w:cs="Arial"/>
        </w:rPr>
        <w:t xml:space="preserve">, </w:t>
      </w:r>
      <w:r w:rsidRPr="008451DB">
        <w:rPr>
          <w:rFonts w:ascii="Arial" w:hAnsi="Arial" w:cs="Arial"/>
          <w:i/>
          <w:iCs/>
        </w:rPr>
        <w:t>27</w:t>
      </w:r>
      <w:r w:rsidRPr="008451DB">
        <w:rPr>
          <w:rFonts w:ascii="Arial" w:hAnsi="Arial" w:cs="Arial"/>
        </w:rPr>
        <w:t>(3), 425–478. https://doi.org/10.2307/30036540</w:t>
      </w:r>
    </w:p>
    <w:p w14:paraId="176C025D"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proofErr w:type="spellStart"/>
      <w:r w:rsidRPr="008451DB">
        <w:rPr>
          <w:rFonts w:ascii="Arial" w:hAnsi="Arial" w:cs="Arial"/>
        </w:rPr>
        <w:t>VikingCloud</w:t>
      </w:r>
      <w:proofErr w:type="spellEnd"/>
      <w:r w:rsidRPr="008451DB">
        <w:rPr>
          <w:rFonts w:ascii="Arial" w:hAnsi="Arial" w:cs="Arial"/>
        </w:rPr>
        <w:t xml:space="preserve">. (2025). </w:t>
      </w:r>
      <w:r w:rsidRPr="008451DB">
        <w:rPr>
          <w:rFonts w:ascii="Arial" w:hAnsi="Arial" w:cs="Arial"/>
          <w:i/>
          <w:iCs/>
        </w:rPr>
        <w:t>Retail Cybersecurity Stats, Threats, and Solutions for 2025</w:t>
      </w:r>
      <w:r w:rsidRPr="008451DB">
        <w:rPr>
          <w:rFonts w:ascii="Arial" w:hAnsi="Arial" w:cs="Arial"/>
        </w:rPr>
        <w:t>. Vikingcloud.com. https://www.vikingcloud.com/blog/retail-cybersecurity-stats-threats-and-solutions?utm_</w:t>
      </w:r>
    </w:p>
    <w:p w14:paraId="25A370E5"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Wei, N., Zhao, S., Liu, J., &amp; Wang, S. (2022). A novel textual data augmentation method for identifying comparative text from user-generated content. </w:t>
      </w:r>
      <w:r w:rsidRPr="008451DB">
        <w:rPr>
          <w:rFonts w:ascii="Arial" w:hAnsi="Arial" w:cs="Arial"/>
          <w:i/>
          <w:iCs/>
        </w:rPr>
        <w:t>Electronic Commerce Research and Applications</w:t>
      </w:r>
      <w:r w:rsidRPr="008451DB">
        <w:rPr>
          <w:rFonts w:ascii="Arial" w:hAnsi="Arial" w:cs="Arial"/>
        </w:rPr>
        <w:t>, 101143. https://doi.org/10.1016/j.elerap.2022.101143</w:t>
      </w:r>
    </w:p>
    <w:p w14:paraId="0A2EC322" w14:textId="77777777" w:rsidR="008451DB" w:rsidRPr="008451DB" w:rsidRDefault="008451DB" w:rsidP="008451DB">
      <w:pPr>
        <w:pStyle w:val="NormalWeb"/>
        <w:spacing w:before="0" w:beforeAutospacing="0" w:after="240" w:afterAutospacing="0" w:line="276" w:lineRule="auto"/>
        <w:ind w:left="720" w:hanging="720"/>
        <w:rPr>
          <w:rFonts w:ascii="Arial" w:hAnsi="Arial" w:cs="Arial"/>
        </w:rPr>
      </w:pPr>
      <w:r w:rsidRPr="008451DB">
        <w:rPr>
          <w:rFonts w:ascii="Arial" w:hAnsi="Arial" w:cs="Arial"/>
        </w:rPr>
        <w:t xml:space="preserve">Zhang, Q., Zhang, R., Lu, X., &amp; Zhang, X. (2023). What drives the adoption of online health communities? An empirical study from patient-centric perspective. </w:t>
      </w:r>
      <w:r w:rsidRPr="008451DB">
        <w:rPr>
          <w:rFonts w:ascii="Arial" w:hAnsi="Arial" w:cs="Arial"/>
          <w:i/>
          <w:iCs/>
        </w:rPr>
        <w:t>BMC Health Services Research</w:t>
      </w:r>
      <w:r w:rsidRPr="008451DB">
        <w:rPr>
          <w:rFonts w:ascii="Arial" w:hAnsi="Arial" w:cs="Arial"/>
        </w:rPr>
        <w:t xml:space="preserve">, </w:t>
      </w:r>
      <w:r w:rsidRPr="008451DB">
        <w:rPr>
          <w:rFonts w:ascii="Arial" w:hAnsi="Arial" w:cs="Arial"/>
          <w:i/>
          <w:iCs/>
        </w:rPr>
        <w:t>23</w:t>
      </w:r>
      <w:r w:rsidRPr="008451DB">
        <w:rPr>
          <w:rFonts w:ascii="Arial" w:hAnsi="Arial" w:cs="Arial"/>
        </w:rPr>
        <w:t>(1). https://doi.org/10.1186/s12913-023-09469-6</w:t>
      </w:r>
    </w:p>
    <w:p w14:paraId="3F009CD5" w14:textId="77777777" w:rsidR="003B4B11" w:rsidRPr="00F92F67" w:rsidRDefault="003B4B11" w:rsidP="00F92F67">
      <w:pPr>
        <w:spacing w:before="240" w:line="360" w:lineRule="auto"/>
        <w:rPr>
          <w:rFonts w:ascii="Arial" w:hAnsi="Arial" w:cs="Arial"/>
          <w:sz w:val="24"/>
          <w:szCs w:val="24"/>
        </w:rPr>
      </w:pPr>
    </w:p>
    <w:sectPr w:rsidR="003B4B11" w:rsidRPr="00F92F67" w:rsidSect="00034616">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FD87B" w14:textId="77777777" w:rsidR="002973E4" w:rsidRDefault="002973E4" w:rsidP="004D588B">
      <w:pPr>
        <w:spacing w:after="0" w:line="240" w:lineRule="auto"/>
      </w:pPr>
      <w:r>
        <w:separator/>
      </w:r>
    </w:p>
  </w:endnote>
  <w:endnote w:type="continuationSeparator" w:id="0">
    <w:p w14:paraId="0BA03893" w14:textId="77777777" w:rsidR="002973E4" w:rsidRDefault="002973E4" w:rsidP="004D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8F78B" w14:textId="77777777" w:rsidR="004D588B" w:rsidRDefault="004D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C94D" w14:textId="77777777" w:rsidR="004D588B" w:rsidRDefault="004D5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87C1" w14:textId="77777777" w:rsidR="004D588B" w:rsidRDefault="004D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6A541" w14:textId="77777777" w:rsidR="002973E4" w:rsidRDefault="002973E4" w:rsidP="004D588B">
      <w:pPr>
        <w:spacing w:after="0" w:line="240" w:lineRule="auto"/>
      </w:pPr>
      <w:r>
        <w:separator/>
      </w:r>
    </w:p>
  </w:footnote>
  <w:footnote w:type="continuationSeparator" w:id="0">
    <w:p w14:paraId="19F7E45A" w14:textId="77777777" w:rsidR="002973E4" w:rsidRDefault="002973E4" w:rsidP="004D5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16D0" w14:textId="4DFBC8E7" w:rsidR="004D588B" w:rsidRDefault="004D588B">
    <w:pPr>
      <w:pStyle w:val="Header"/>
    </w:pPr>
    <w:r>
      <w:rPr>
        <w:noProof/>
      </w:rPr>
      <w:pict w14:anchorId="78E03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57754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F374" w14:textId="10BDE8C8" w:rsidR="004D588B" w:rsidRDefault="004D588B">
    <w:pPr>
      <w:pStyle w:val="Header"/>
    </w:pPr>
    <w:r>
      <w:rPr>
        <w:noProof/>
      </w:rPr>
      <w:pict w14:anchorId="6A1DB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57754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3227" w14:textId="4DDEAD3C" w:rsidR="004D588B" w:rsidRDefault="004D588B">
    <w:pPr>
      <w:pStyle w:val="Header"/>
    </w:pPr>
    <w:r>
      <w:rPr>
        <w:noProof/>
      </w:rPr>
      <w:pict w14:anchorId="355D0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57754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2F11D60"/>
    <w:multiLevelType w:val="multilevel"/>
    <w:tmpl w:val="3B6E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A46D2A"/>
    <w:multiLevelType w:val="multilevel"/>
    <w:tmpl w:val="6D1A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1C5F4B"/>
    <w:rsid w:val="0029639D"/>
    <w:rsid w:val="002973E4"/>
    <w:rsid w:val="002B485B"/>
    <w:rsid w:val="00326F90"/>
    <w:rsid w:val="00327779"/>
    <w:rsid w:val="003B4B11"/>
    <w:rsid w:val="003C5218"/>
    <w:rsid w:val="00415F45"/>
    <w:rsid w:val="00453A80"/>
    <w:rsid w:val="00474E83"/>
    <w:rsid w:val="004D588B"/>
    <w:rsid w:val="00511666"/>
    <w:rsid w:val="006A538C"/>
    <w:rsid w:val="00752FFE"/>
    <w:rsid w:val="007817EE"/>
    <w:rsid w:val="0083604E"/>
    <w:rsid w:val="008451DB"/>
    <w:rsid w:val="00871CEE"/>
    <w:rsid w:val="008935F7"/>
    <w:rsid w:val="008C05FE"/>
    <w:rsid w:val="00970E7C"/>
    <w:rsid w:val="009A3375"/>
    <w:rsid w:val="009F5B26"/>
    <w:rsid w:val="00A92C1B"/>
    <w:rsid w:val="00A96788"/>
    <w:rsid w:val="00AA1D8D"/>
    <w:rsid w:val="00B0378E"/>
    <w:rsid w:val="00B47730"/>
    <w:rsid w:val="00BE6CB4"/>
    <w:rsid w:val="00C45535"/>
    <w:rsid w:val="00C70F62"/>
    <w:rsid w:val="00CB0664"/>
    <w:rsid w:val="00CC2B15"/>
    <w:rsid w:val="00DE46AE"/>
    <w:rsid w:val="00E03F3E"/>
    <w:rsid w:val="00E077CC"/>
    <w:rsid w:val="00E26F44"/>
    <w:rsid w:val="00E82873"/>
    <w:rsid w:val="00EA0BDB"/>
    <w:rsid w:val="00EC5A97"/>
    <w:rsid w:val="00ED1548"/>
    <w:rsid w:val="00F250E1"/>
    <w:rsid w:val="00F92F67"/>
    <w:rsid w:val="00FC693F"/>
    <w:rsid w:val="00FE3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4601B70"/>
  <w14:defaultImageDpi w14:val="300"/>
  <w15:docId w15:val="{DA2192D5-FF9D-4062-8D30-196D06E5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autoRedefine/>
    <w:uiPriority w:val="9"/>
    <w:qFormat/>
    <w:rsid w:val="009A3375"/>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9A337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92C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2C1B"/>
    <w:rPr>
      <w:color w:val="0000FF"/>
      <w:u w:val="single"/>
    </w:rPr>
  </w:style>
  <w:style w:type="character" w:styleId="UnresolvedMention">
    <w:name w:val="Unresolved Mention"/>
    <w:basedOn w:val="DefaultParagraphFont"/>
    <w:uiPriority w:val="99"/>
    <w:semiHidden/>
    <w:unhideWhenUsed/>
    <w:rsid w:val="008C0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466911">
      <w:bodyDiv w:val="1"/>
      <w:marLeft w:val="0"/>
      <w:marRight w:val="0"/>
      <w:marTop w:val="0"/>
      <w:marBottom w:val="0"/>
      <w:divBdr>
        <w:top w:val="none" w:sz="0" w:space="0" w:color="auto"/>
        <w:left w:val="none" w:sz="0" w:space="0" w:color="auto"/>
        <w:bottom w:val="none" w:sz="0" w:space="0" w:color="auto"/>
        <w:right w:val="none" w:sz="0" w:space="0" w:color="auto"/>
      </w:divBdr>
    </w:div>
    <w:div w:id="687175137">
      <w:bodyDiv w:val="1"/>
      <w:marLeft w:val="0"/>
      <w:marRight w:val="0"/>
      <w:marTop w:val="0"/>
      <w:marBottom w:val="0"/>
      <w:divBdr>
        <w:top w:val="none" w:sz="0" w:space="0" w:color="auto"/>
        <w:left w:val="none" w:sz="0" w:space="0" w:color="auto"/>
        <w:bottom w:val="none" w:sz="0" w:space="0" w:color="auto"/>
        <w:right w:val="none" w:sz="0" w:space="0" w:color="auto"/>
      </w:divBdr>
    </w:div>
    <w:div w:id="1297954460">
      <w:bodyDiv w:val="1"/>
      <w:marLeft w:val="0"/>
      <w:marRight w:val="0"/>
      <w:marTop w:val="0"/>
      <w:marBottom w:val="0"/>
      <w:divBdr>
        <w:top w:val="none" w:sz="0" w:space="0" w:color="auto"/>
        <w:left w:val="none" w:sz="0" w:space="0" w:color="auto"/>
        <w:bottom w:val="none" w:sz="0" w:space="0" w:color="auto"/>
        <w:right w:val="none" w:sz="0" w:space="0" w:color="auto"/>
      </w:divBdr>
    </w:div>
    <w:div w:id="1863010365">
      <w:bodyDiv w:val="1"/>
      <w:marLeft w:val="0"/>
      <w:marRight w:val="0"/>
      <w:marTop w:val="0"/>
      <w:marBottom w:val="0"/>
      <w:divBdr>
        <w:top w:val="none" w:sz="0" w:space="0" w:color="auto"/>
        <w:left w:val="none" w:sz="0" w:space="0" w:color="auto"/>
        <w:bottom w:val="none" w:sz="0" w:space="0" w:color="auto"/>
        <w:right w:val="none" w:sz="0" w:space="0" w:color="auto"/>
      </w:divBdr>
      <w:divsChild>
        <w:div w:id="1618372455">
          <w:marLeft w:val="-720"/>
          <w:marRight w:val="0"/>
          <w:marTop w:val="0"/>
          <w:marBottom w:val="0"/>
          <w:divBdr>
            <w:top w:val="none" w:sz="0" w:space="0" w:color="auto"/>
            <w:left w:val="none" w:sz="0" w:space="0" w:color="auto"/>
            <w:bottom w:val="none" w:sz="0" w:space="0" w:color="auto"/>
            <w:right w:val="none" w:sz="0" w:space="0" w:color="auto"/>
          </w:divBdr>
        </w:div>
      </w:divsChild>
    </w:div>
    <w:div w:id="2024161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om.org/doi/10.5465/annals.2018.0057?utm_source=chatgpt.com" TargetMode="External"/><Relationship Id="rId13" Type="http://schemas.openxmlformats.org/officeDocument/2006/relationships/hyperlink" Target="https://www.sciencedirect.com/science/article/abs/pii/S0040162524000374?utm_source=chatgpt.com"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j.ssaho.2025.101638" TargetMode="External"/><Relationship Id="rId7" Type="http://schemas.openxmlformats.org/officeDocument/2006/relationships/endnotes" Target="endnotes.xml"/><Relationship Id="rId12" Type="http://schemas.openxmlformats.org/officeDocument/2006/relationships/hyperlink" Target="https://www.sciencedirect.com/science/article/abs/pii/S0099133321001282?utm_source=chatgpt.com"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167811625000229?utm_source=chatgpt.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researchgate.net/publication/380919536_Integrating_the_adapted_UTAUT_model_with_moral_obligation_trust_and_perceived_risk_to_predict_ChatGPT_adoption_for_assessment_support_A_survey_with_students?utm_source=chatgpt.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frontiersin.org/journals/computer-science/articles/10.3389/fcomp.2023.1117848/full?utm_source=chatgpt.com" TargetMode="External"/><Relationship Id="rId14" Type="http://schemas.openxmlformats.org/officeDocument/2006/relationships/hyperlink" Target="https://www.sciencedirect.com/science/article/pii/S0736585323000187?utm_source=chatgpt.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B7DFE-EF4F-4257-AE68-5016A397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9926</Words>
  <Characters>56580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7</cp:revision>
  <dcterms:created xsi:type="dcterms:W3CDTF">2025-10-21T03:46:00Z</dcterms:created>
  <dcterms:modified xsi:type="dcterms:W3CDTF">2025-10-24T10:22:00Z</dcterms:modified>
  <cp:category/>
</cp:coreProperties>
</file>