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B6BFF" w14:textId="279D6F3F" w:rsidR="0078448B" w:rsidRPr="0078448B" w:rsidRDefault="0078448B" w:rsidP="0078448B">
      <w:pPr>
        <w:rPr>
          <w:rFonts w:ascii="Arial" w:hAnsi="Arial" w:cs="Arial"/>
          <w:b/>
          <w:sz w:val="28"/>
          <w:szCs w:val="28"/>
          <w:u w:val="single"/>
        </w:rPr>
      </w:pPr>
      <w:r w:rsidRPr="0078448B">
        <w:rPr>
          <w:rFonts w:ascii="Arial" w:hAnsi="Arial" w:cs="Arial"/>
          <w:b/>
          <w:sz w:val="28"/>
          <w:szCs w:val="28"/>
          <w:u w:val="single"/>
        </w:rPr>
        <w:t>Original Research Article</w:t>
      </w:r>
    </w:p>
    <w:p w14:paraId="11415166" w14:textId="72F3C6B8" w:rsidR="001A034A" w:rsidRPr="002C69B8" w:rsidRDefault="002C69B8" w:rsidP="00E2173C">
      <w:pPr>
        <w:jc w:val="center"/>
        <w:rPr>
          <w:rFonts w:ascii="Arial" w:hAnsi="Arial" w:cs="Arial"/>
          <w:b/>
          <w:sz w:val="36"/>
          <w:szCs w:val="36"/>
        </w:rPr>
      </w:pPr>
      <w:r>
        <w:rPr>
          <w:rFonts w:ascii="Arial" w:hAnsi="Arial" w:cs="Arial"/>
          <w:b/>
          <w:sz w:val="36"/>
          <w:szCs w:val="36"/>
        </w:rPr>
        <w:t>Coal Consumption a</w:t>
      </w:r>
      <w:r w:rsidR="008C6CF8">
        <w:rPr>
          <w:rFonts w:ascii="Arial" w:hAnsi="Arial" w:cs="Arial"/>
          <w:b/>
          <w:sz w:val="36"/>
          <w:szCs w:val="36"/>
        </w:rPr>
        <w:t>nd Economic Growth i</w:t>
      </w:r>
      <w:r w:rsidRPr="002C69B8">
        <w:rPr>
          <w:rFonts w:ascii="Arial" w:hAnsi="Arial" w:cs="Arial"/>
          <w:b/>
          <w:sz w:val="36"/>
          <w:szCs w:val="36"/>
        </w:rPr>
        <w:t>n Indian Economy: An Empirical Study (1980–2025)</w:t>
      </w:r>
    </w:p>
    <w:p w14:paraId="48BC42FA" w14:textId="77777777" w:rsidR="00E2173C" w:rsidRPr="002C69B8" w:rsidRDefault="00E2173C" w:rsidP="00E2173C">
      <w:pPr>
        <w:jc w:val="both"/>
        <w:rPr>
          <w:rStyle w:val="Hyperlink"/>
          <w:rFonts w:ascii="Arial" w:hAnsi="Arial" w:cs="Arial"/>
        </w:rPr>
      </w:pPr>
    </w:p>
    <w:p w14:paraId="79624004" w14:textId="77777777" w:rsidR="00E2173C" w:rsidRPr="002C69B8" w:rsidRDefault="002C69B8" w:rsidP="00472A7A">
      <w:pPr>
        <w:spacing w:after="0" w:line="240" w:lineRule="auto"/>
        <w:jc w:val="both"/>
        <w:rPr>
          <w:rFonts w:ascii="Arial" w:hAnsi="Arial" w:cs="Arial"/>
          <w:b/>
          <w:bCs/>
        </w:rPr>
      </w:pPr>
      <w:r w:rsidRPr="002C69B8">
        <w:rPr>
          <w:rFonts w:ascii="Arial" w:hAnsi="Arial" w:cs="Arial"/>
          <w:b/>
          <w:bCs/>
        </w:rPr>
        <w:t>ABSTRACT</w:t>
      </w:r>
    </w:p>
    <w:p w14:paraId="493ED96E" w14:textId="77777777" w:rsidR="0057713E" w:rsidRPr="0039094B" w:rsidRDefault="0057713E" w:rsidP="0039094B">
      <w:pPr>
        <w:pStyle w:val="NormalWeb"/>
        <w:spacing w:before="0" w:beforeAutospacing="0" w:after="0" w:afterAutospacing="0" w:line="480" w:lineRule="auto"/>
        <w:ind w:firstLine="720"/>
        <w:jc w:val="both"/>
        <w:rPr>
          <w:rFonts w:ascii="Arial" w:hAnsi="Arial" w:cs="Arial"/>
          <w:sz w:val="20"/>
          <w:szCs w:val="20"/>
        </w:rPr>
      </w:pPr>
      <w:r w:rsidRPr="0039094B">
        <w:rPr>
          <w:rFonts w:ascii="Arial" w:hAnsi="Arial" w:cs="Arial"/>
          <w:sz w:val="20"/>
          <w:szCs w:val="20"/>
        </w:rPr>
        <w:t xml:space="preserve">The present study, </w:t>
      </w:r>
      <w:r w:rsidRPr="0039094B">
        <w:rPr>
          <w:rStyle w:val="Emphasis"/>
          <w:rFonts w:ascii="Arial" w:hAnsi="Arial" w:cs="Arial"/>
          <w:sz w:val="20"/>
          <w:szCs w:val="20"/>
        </w:rPr>
        <w:t>“Coal Consumption and Economic Growth in Indian Economy: An Empirical Study (1980–2025),”</w:t>
      </w:r>
      <w:r w:rsidRPr="0039094B">
        <w:rPr>
          <w:rFonts w:ascii="Arial" w:hAnsi="Arial" w:cs="Arial"/>
          <w:sz w:val="20"/>
          <w:szCs w:val="20"/>
        </w:rPr>
        <w:t xml:space="preserve"> investigates the dynamic relationship between coal energy use and India’s economic performance over a forty-five-year period. Recognizing coal’s dominant role in powering industrial and infrastructural development, the study seeks to determine whether coal consumption contributes to economic growth, whether economic expansion increases coal demand, or whether both phenomena reinforce each other. Conducted in the Department of Economics, Annamalai University, the study utilizes annual secondary data from 1980 to 2025 collected from the World Bank, Reserve Bank of India, and the Ministry of Coal. Employing a quantitative time-series approach, the research applies several econometric techniques, including the Augmented Dickey–Fuller (ADF) test for stationarity, Johansen cointegration test, Autoregressive Distributed Lag (ARDL) bounds testing, Error Correction Model (ECM), and Granger causality analysis. These tools assess both short-run and long-run relationships among GDP, coal consumption, capital formation, and </w:t>
      </w:r>
      <w:proofErr w:type="spellStart"/>
      <w:r w:rsidRPr="0039094B">
        <w:rPr>
          <w:rFonts w:ascii="Arial" w:hAnsi="Arial" w:cs="Arial"/>
          <w:sz w:val="20"/>
          <w:szCs w:val="20"/>
        </w:rPr>
        <w:t>labour</w:t>
      </w:r>
      <w:proofErr w:type="spellEnd"/>
      <w:r w:rsidRPr="0039094B">
        <w:rPr>
          <w:rFonts w:ascii="Arial" w:hAnsi="Arial" w:cs="Arial"/>
          <w:sz w:val="20"/>
          <w:szCs w:val="20"/>
        </w:rPr>
        <w:t xml:space="preserve"> force. The empirical findings indicate a significant long-run equilibrium relationship between coal consumption and GDP, confirming that both variables move together over time. The Granger causality results reveal bidirectional causality, suggesting mutual dependence between energy use and economic activity. The ECM coefficient (–0.412) demonstrates that 41% of any short-run disequilibrium adjusts each year toward long-run stability. Overall, the study concludes that coal remains a critical driver of India’s economic growth, though excessive reliance poses environmental and sustainability challenges. Strengthening clean coal technologies, expanding renewable energy investment, and enhancing energy efficiency are essential to achieving a balanced and sustainable growth trajectory for India’s economy.</w:t>
      </w:r>
    </w:p>
    <w:p w14:paraId="0B283418" w14:textId="45BB63D7" w:rsidR="00E2173C" w:rsidRDefault="00E2173C" w:rsidP="00E2173C">
      <w:pPr>
        <w:jc w:val="both"/>
        <w:rPr>
          <w:rFonts w:ascii="Arial" w:hAnsi="Arial" w:cs="Arial"/>
          <w:sz w:val="20"/>
          <w:szCs w:val="20"/>
        </w:rPr>
      </w:pPr>
      <w:r w:rsidRPr="006435D7">
        <w:rPr>
          <w:rStyle w:val="Strong"/>
          <w:rFonts w:ascii="Arial" w:hAnsi="Arial" w:cs="Arial"/>
        </w:rPr>
        <w:t>Keywords:</w:t>
      </w:r>
      <w:r w:rsidR="00791796" w:rsidRPr="00EF5B83">
        <w:rPr>
          <w:rStyle w:val="Strong"/>
          <w:rFonts w:ascii="Times New Roman" w:hAnsi="Times New Roman" w:cs="Times New Roman"/>
          <w:sz w:val="24"/>
          <w:szCs w:val="24"/>
        </w:rPr>
        <w:t xml:space="preserve"> </w:t>
      </w:r>
      <w:r w:rsidR="00791796" w:rsidRPr="006435D7">
        <w:rPr>
          <w:rFonts w:ascii="Arial" w:hAnsi="Arial" w:cs="Arial"/>
          <w:sz w:val="20"/>
          <w:szCs w:val="20"/>
        </w:rPr>
        <w:t>Coal consumption, Economic growth, ARDL model, Granger causality, India, Time-series analysis.</w:t>
      </w:r>
    </w:p>
    <w:p w14:paraId="40F20041" w14:textId="1F008C97" w:rsidR="00793A1A" w:rsidRDefault="00793A1A" w:rsidP="00E2173C">
      <w:pPr>
        <w:jc w:val="both"/>
        <w:rPr>
          <w:rStyle w:val="Strong"/>
          <w:rFonts w:ascii="Arial" w:hAnsi="Arial" w:cs="Arial"/>
          <w:sz w:val="20"/>
          <w:szCs w:val="20"/>
        </w:rPr>
      </w:pPr>
    </w:p>
    <w:p w14:paraId="731E4190" w14:textId="77777777" w:rsidR="00793A1A" w:rsidRPr="006435D7" w:rsidRDefault="00793A1A" w:rsidP="00E2173C">
      <w:pPr>
        <w:jc w:val="both"/>
        <w:rPr>
          <w:rStyle w:val="Strong"/>
          <w:rFonts w:ascii="Arial" w:hAnsi="Arial" w:cs="Arial"/>
          <w:sz w:val="20"/>
          <w:szCs w:val="20"/>
        </w:rPr>
      </w:pPr>
    </w:p>
    <w:p w14:paraId="20633C1C" w14:textId="7425A3F8" w:rsidR="00E2173C" w:rsidRPr="00793A1A" w:rsidRDefault="00E2173C" w:rsidP="00793A1A">
      <w:pPr>
        <w:pStyle w:val="ListParagraph"/>
        <w:numPr>
          <w:ilvl w:val="0"/>
          <w:numId w:val="8"/>
        </w:numPr>
        <w:spacing w:after="0" w:line="240" w:lineRule="auto"/>
        <w:jc w:val="both"/>
        <w:rPr>
          <w:rFonts w:ascii="Arial" w:hAnsi="Arial" w:cs="Arial"/>
          <w:b/>
          <w:bCs/>
        </w:rPr>
      </w:pPr>
      <w:r w:rsidRPr="00793A1A">
        <w:rPr>
          <w:rFonts w:ascii="Arial" w:hAnsi="Arial" w:cs="Arial"/>
          <w:b/>
          <w:bCs/>
        </w:rPr>
        <w:t>INTRODUCTION</w:t>
      </w:r>
    </w:p>
    <w:p w14:paraId="4DE56377" w14:textId="77777777" w:rsidR="00793A1A" w:rsidRPr="00793A1A" w:rsidRDefault="00793A1A" w:rsidP="00793A1A">
      <w:pPr>
        <w:pStyle w:val="ListParagraph"/>
        <w:spacing w:after="0" w:line="240" w:lineRule="auto"/>
        <w:ind w:left="371"/>
        <w:jc w:val="both"/>
        <w:rPr>
          <w:rFonts w:ascii="Arial" w:hAnsi="Arial" w:cs="Arial"/>
          <w:b/>
          <w:bCs/>
        </w:rPr>
      </w:pPr>
    </w:p>
    <w:p w14:paraId="1A05CB47" w14:textId="77777777" w:rsidR="00C01EC5" w:rsidRPr="006435D7" w:rsidRDefault="00C01EC5"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India’s rapid economic expansion since the 1980s has been closely linked to rising energy consumption, with coal remaining the dominant source of energy throughout this period. Coal forms the backbone of India’s energy mix, accounting for nearly 74 % of total electricity generation and more than half of the country’s primary energy consumption (U.S. Energy Information Administration, 2024). As </w:t>
      </w:r>
      <w:proofErr w:type="spellStart"/>
      <w:r w:rsidRPr="006435D7">
        <w:rPr>
          <w:rFonts w:ascii="Arial" w:hAnsi="Arial" w:cs="Arial"/>
          <w:sz w:val="20"/>
          <w:szCs w:val="20"/>
        </w:rPr>
        <w:t>industrialisation</w:t>
      </w:r>
      <w:proofErr w:type="spellEnd"/>
      <w:r w:rsidRPr="006435D7">
        <w:rPr>
          <w:rFonts w:ascii="Arial" w:hAnsi="Arial" w:cs="Arial"/>
          <w:sz w:val="20"/>
          <w:szCs w:val="20"/>
        </w:rPr>
        <w:t xml:space="preserve">, </w:t>
      </w:r>
      <w:proofErr w:type="spellStart"/>
      <w:r w:rsidRPr="006435D7">
        <w:rPr>
          <w:rFonts w:ascii="Arial" w:hAnsi="Arial" w:cs="Arial"/>
          <w:sz w:val="20"/>
          <w:szCs w:val="20"/>
        </w:rPr>
        <w:t>urbanisation</w:t>
      </w:r>
      <w:proofErr w:type="spellEnd"/>
      <w:r w:rsidRPr="006435D7">
        <w:rPr>
          <w:rFonts w:ascii="Arial" w:hAnsi="Arial" w:cs="Arial"/>
          <w:sz w:val="20"/>
          <w:szCs w:val="20"/>
        </w:rPr>
        <w:t>, and infrastructural development accelerated, the demand for reliable and affordable energy surged, strengthening the dependence on coal as a key driver of growth. Between 1980 and 2025, India’s coal consumption and economic output have grown in tandem, reflecting a strong interrelationship between the two.</w:t>
      </w:r>
    </w:p>
    <w:p w14:paraId="6B5412BF" w14:textId="77777777" w:rsidR="00C01EC5" w:rsidRPr="006435D7" w:rsidRDefault="00C01EC5"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Coal consumption in India rose significantly from approximately 110 million </w:t>
      </w:r>
      <w:proofErr w:type="spellStart"/>
      <w:r w:rsidRPr="006435D7">
        <w:rPr>
          <w:rFonts w:ascii="Arial" w:hAnsi="Arial" w:cs="Arial"/>
          <w:sz w:val="20"/>
          <w:szCs w:val="20"/>
        </w:rPr>
        <w:t>tonnes</w:t>
      </w:r>
      <w:proofErr w:type="spellEnd"/>
      <w:r w:rsidRPr="006435D7">
        <w:rPr>
          <w:rFonts w:ascii="Arial" w:hAnsi="Arial" w:cs="Arial"/>
          <w:sz w:val="20"/>
          <w:szCs w:val="20"/>
        </w:rPr>
        <w:t xml:space="preserve"> in 1980 to over 1.23 billion </w:t>
      </w:r>
      <w:proofErr w:type="spellStart"/>
      <w:r w:rsidRPr="006435D7">
        <w:rPr>
          <w:rFonts w:ascii="Arial" w:hAnsi="Arial" w:cs="Arial"/>
          <w:sz w:val="20"/>
          <w:szCs w:val="20"/>
        </w:rPr>
        <w:t>tonnes</w:t>
      </w:r>
      <w:proofErr w:type="spellEnd"/>
      <w:r w:rsidRPr="006435D7">
        <w:rPr>
          <w:rFonts w:ascii="Arial" w:hAnsi="Arial" w:cs="Arial"/>
          <w:sz w:val="20"/>
          <w:szCs w:val="20"/>
        </w:rPr>
        <w:t xml:space="preserve"> in 2023–24 (Ministry of Coal, 2024a). According to the Ministry of Coal (2024b), domestic coal production reached a record 893.19 million </w:t>
      </w:r>
      <w:proofErr w:type="spellStart"/>
      <w:r w:rsidRPr="006435D7">
        <w:rPr>
          <w:rFonts w:ascii="Arial" w:hAnsi="Arial" w:cs="Arial"/>
          <w:sz w:val="20"/>
          <w:szCs w:val="20"/>
        </w:rPr>
        <w:t>tonnes</w:t>
      </w:r>
      <w:proofErr w:type="spellEnd"/>
      <w:r w:rsidRPr="006435D7">
        <w:rPr>
          <w:rFonts w:ascii="Arial" w:hAnsi="Arial" w:cs="Arial"/>
          <w:sz w:val="20"/>
          <w:szCs w:val="20"/>
        </w:rPr>
        <w:t xml:space="preserve"> in 2022–23, owing to enhanced mining capacity and policy reforms aimed at boosting supply. The coal sector contributes considerably to India’s GDP by supporting electricity generation, steel and cement manufacturing, and employment creation. The International Energy Agency (2023a) reported that India’s 7 % GDP growth in FY 2022 was accompanied by a 12 % rise in coal production, underlining coal’s pivotal role in sustaining economic momentum.</w:t>
      </w:r>
    </w:p>
    <w:p w14:paraId="13600CD2" w14:textId="77777777" w:rsidR="00C01EC5" w:rsidRPr="006435D7" w:rsidRDefault="00C01EC5"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However, India’s heavy reliance on coal presents substantial environmental and policy challenges. Coal combustion is a major contributor to greenhouse gas emissions and local air pollution, which threaten long-term sustainability. Despite global efforts to promote </w:t>
      </w:r>
      <w:proofErr w:type="spellStart"/>
      <w:r w:rsidRPr="006435D7">
        <w:rPr>
          <w:rFonts w:ascii="Arial" w:hAnsi="Arial" w:cs="Arial"/>
          <w:sz w:val="20"/>
          <w:szCs w:val="20"/>
        </w:rPr>
        <w:t>decarbonisation</w:t>
      </w:r>
      <w:proofErr w:type="spellEnd"/>
      <w:r w:rsidRPr="006435D7">
        <w:rPr>
          <w:rFonts w:ascii="Arial" w:hAnsi="Arial" w:cs="Arial"/>
          <w:sz w:val="20"/>
          <w:szCs w:val="20"/>
        </w:rPr>
        <w:t xml:space="preserve">, India continues to face the dual challenge of sustaining economic growth while transitioning towards a cleaner energy mix (NITI Aayog, 2023). The International Energy Agency (2023b) forecasts that India will remain the largest contributor to global coal demand growth through 2026, with total demand expected to reach 1.4 billion </w:t>
      </w:r>
      <w:proofErr w:type="spellStart"/>
      <w:r w:rsidRPr="006435D7">
        <w:rPr>
          <w:rFonts w:ascii="Arial" w:hAnsi="Arial" w:cs="Arial"/>
          <w:sz w:val="20"/>
          <w:szCs w:val="20"/>
        </w:rPr>
        <w:t>tonnes</w:t>
      </w:r>
      <w:proofErr w:type="spellEnd"/>
      <w:r w:rsidRPr="006435D7">
        <w:rPr>
          <w:rFonts w:ascii="Arial" w:hAnsi="Arial" w:cs="Arial"/>
          <w:sz w:val="20"/>
          <w:szCs w:val="20"/>
        </w:rPr>
        <w:t>.</w:t>
      </w:r>
    </w:p>
    <w:p w14:paraId="66D88943" w14:textId="77777777" w:rsidR="00C01EC5" w:rsidRPr="006435D7" w:rsidRDefault="00C01EC5"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Given these dynamics, it is crucial to empirically examine the long-term relationship between coal consumption and economic growth in India. Understanding whether coal consumption drives economic growth (energy-led hypothesis) or whether economic growth stimulates coal demand (growth-led hypothesis) can provide valuable insights for policymakers. This study, covering the period 1980–2025, </w:t>
      </w:r>
      <w:r w:rsidRPr="006435D7">
        <w:rPr>
          <w:rFonts w:ascii="Arial" w:hAnsi="Arial" w:cs="Arial"/>
          <w:sz w:val="20"/>
          <w:szCs w:val="20"/>
        </w:rPr>
        <w:lastRenderedPageBreak/>
        <w:t xml:space="preserve">aims to </w:t>
      </w:r>
      <w:proofErr w:type="spellStart"/>
      <w:r w:rsidRPr="006435D7">
        <w:rPr>
          <w:rFonts w:ascii="Arial" w:hAnsi="Arial" w:cs="Arial"/>
          <w:sz w:val="20"/>
          <w:szCs w:val="20"/>
        </w:rPr>
        <w:t>analyse</w:t>
      </w:r>
      <w:proofErr w:type="spellEnd"/>
      <w:r w:rsidRPr="006435D7">
        <w:rPr>
          <w:rFonts w:ascii="Arial" w:hAnsi="Arial" w:cs="Arial"/>
          <w:sz w:val="20"/>
          <w:szCs w:val="20"/>
        </w:rPr>
        <w:t xml:space="preserve"> the causal and dynamic interactions between coal consumption and economic growth using time-series econometric methods, thereby contributing to the ongoing debate on the energy–growth nexus in emerging economies.</w:t>
      </w:r>
    </w:p>
    <w:p w14:paraId="1C16B94A" w14:textId="77777777" w:rsidR="00C01EC5" w:rsidRPr="00D84BE6" w:rsidRDefault="00C01EC5" w:rsidP="00D84BE6">
      <w:pPr>
        <w:spacing w:after="0" w:line="240" w:lineRule="auto"/>
        <w:jc w:val="both"/>
        <w:rPr>
          <w:rFonts w:ascii="Times New Roman" w:hAnsi="Times New Roman" w:cs="Times New Roman"/>
          <w:b/>
          <w:bCs/>
          <w:sz w:val="24"/>
          <w:szCs w:val="24"/>
        </w:rPr>
      </w:pPr>
    </w:p>
    <w:p w14:paraId="2ECF1F94" w14:textId="77777777" w:rsidR="00E2173C" w:rsidRPr="006435D7" w:rsidRDefault="005E4919" w:rsidP="00D84BE6">
      <w:pPr>
        <w:spacing w:after="0" w:line="240" w:lineRule="auto"/>
        <w:jc w:val="both"/>
        <w:rPr>
          <w:rFonts w:ascii="Arial" w:hAnsi="Arial" w:cs="Arial"/>
          <w:b/>
          <w:bCs/>
        </w:rPr>
      </w:pPr>
      <w:r w:rsidRPr="006435D7">
        <w:rPr>
          <w:rFonts w:ascii="Arial" w:hAnsi="Arial" w:cs="Arial"/>
          <w:b/>
          <w:bCs/>
        </w:rPr>
        <w:t xml:space="preserve">1.1 </w:t>
      </w:r>
      <w:r w:rsidR="00E2173C" w:rsidRPr="006435D7">
        <w:rPr>
          <w:rFonts w:ascii="Arial" w:hAnsi="Arial" w:cs="Arial"/>
          <w:b/>
          <w:bCs/>
        </w:rPr>
        <w:t>Need and Importance of the Study</w:t>
      </w:r>
    </w:p>
    <w:p w14:paraId="5AFB467B" w14:textId="77777777" w:rsidR="00C71C8D" w:rsidRPr="006435D7" w:rsidRDefault="00C71C8D"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India’s economic development has long depended on coal as the primary energy source, supplying over half of its total energy demand (U.S. Energy Information Administration, 2024). Despite increasing investments in renewable energy, coal remains central to sustaining industrial output, electricity generation, and employment (Ministry of Coal, 2024a). The continued expansion of economic activities has driven a steady rise in coal consumption, which in turn influences GDP growth, trade balance, and energy security (International Energy Agency, 2023a).</w:t>
      </w:r>
    </w:p>
    <w:p w14:paraId="74CBD517" w14:textId="77777777" w:rsidR="00C71C8D" w:rsidRPr="006435D7" w:rsidRDefault="00C71C8D"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However, this dependence also raises sustainability concerns, as coal combustion contributes significantly to carbon emissions and environmental degradation (NITI Aayog, 2023). Understanding the empirical relationship between coal consumption and economic growth is therefore essential for designing balanced energy policies. This study is important because it provides evidence-based insights into whether economic growth in India is energy-driven or whether economic expansion itself leads to higher coal demand. Such analysis is vital for policymakers to achieve a sustainable growth trajectory while ensuring energy security and environmental stability (International Energy Agency, 2023b).</w:t>
      </w:r>
    </w:p>
    <w:p w14:paraId="4ABACF96" w14:textId="77777777" w:rsidR="00E2173C" w:rsidRPr="006435D7" w:rsidRDefault="005E4919" w:rsidP="00D84BE6">
      <w:pPr>
        <w:spacing w:after="0" w:line="240" w:lineRule="auto"/>
        <w:jc w:val="both"/>
        <w:rPr>
          <w:rFonts w:ascii="Arial" w:hAnsi="Arial" w:cs="Arial"/>
          <w:b/>
          <w:bCs/>
        </w:rPr>
      </w:pPr>
      <w:r w:rsidRPr="006435D7">
        <w:rPr>
          <w:rFonts w:ascii="Arial" w:hAnsi="Arial" w:cs="Arial"/>
          <w:b/>
          <w:bCs/>
        </w:rPr>
        <w:t xml:space="preserve">1.2 </w:t>
      </w:r>
      <w:r w:rsidR="00E2173C" w:rsidRPr="006435D7">
        <w:rPr>
          <w:rFonts w:ascii="Arial" w:hAnsi="Arial" w:cs="Arial"/>
          <w:b/>
          <w:bCs/>
        </w:rPr>
        <w:t>Scope and significance of the study</w:t>
      </w:r>
    </w:p>
    <w:p w14:paraId="7BBA8D9F" w14:textId="77777777" w:rsidR="009F3298" w:rsidRPr="006435D7" w:rsidRDefault="009F3298"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The scope of this study encompasses the period from 1980 to 2025, focusing on the empirical relationship between coal consumption and economic growth in India. During these years, India has undergone significant economic transformation, driven largely by industrialization, urbanization, and energy-intensive activities (U.S. Energy Information Administration, 2024). The study employs time-series econometric techniques to analyze both long-run and short-run dynamics, offering insights into whether coal consumption stimulates economic growth or whether economic expansion increases energy demand (International Energy Agency, 2023a).</w:t>
      </w:r>
    </w:p>
    <w:p w14:paraId="3ED80EB0" w14:textId="77777777" w:rsidR="009F3298" w:rsidRPr="006435D7" w:rsidRDefault="009F3298"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The significance of this research lies in its contribution to understanding India’s energy-growth nexus amid global shifts toward clean energy. As coal remains central to India’s energy mix—supplying over 70% of electricity generation (Ministry of Coal, 2024a)—the findings can guide policymakers in </w:t>
      </w:r>
      <w:r w:rsidRPr="006435D7">
        <w:rPr>
          <w:rFonts w:ascii="Arial" w:hAnsi="Arial" w:cs="Arial"/>
          <w:sz w:val="20"/>
          <w:szCs w:val="20"/>
        </w:rPr>
        <w:lastRenderedPageBreak/>
        <w:t>balancing economic growth with environmental sustainability (NITI Aayog, 2023). Furthermore, by quantifying the interdependence between coal use and GDP, this study provides evidence-based insights for formulating energy policies that ensure energy security while supporting the nation’s sustainable development goals (International Energy Agency, 2023b).</w:t>
      </w:r>
    </w:p>
    <w:p w14:paraId="01B84E95" w14:textId="77777777" w:rsidR="009F3298" w:rsidRPr="006435D7" w:rsidRDefault="009F3298" w:rsidP="00D84BE6">
      <w:pPr>
        <w:spacing w:after="0" w:line="240" w:lineRule="auto"/>
        <w:jc w:val="both"/>
        <w:rPr>
          <w:rFonts w:ascii="Arial" w:hAnsi="Arial" w:cs="Arial"/>
          <w:b/>
          <w:bCs/>
          <w:sz w:val="20"/>
          <w:szCs w:val="20"/>
        </w:rPr>
      </w:pPr>
    </w:p>
    <w:p w14:paraId="16AB5909" w14:textId="77777777" w:rsidR="00E2173C" w:rsidRPr="006435D7" w:rsidRDefault="005E4919" w:rsidP="00D84BE6">
      <w:pPr>
        <w:spacing w:after="0" w:line="240" w:lineRule="auto"/>
        <w:jc w:val="both"/>
        <w:rPr>
          <w:rFonts w:ascii="Arial" w:hAnsi="Arial" w:cs="Arial"/>
          <w:b/>
          <w:bCs/>
        </w:rPr>
      </w:pPr>
      <w:r w:rsidRPr="006435D7">
        <w:rPr>
          <w:rFonts w:ascii="Arial" w:hAnsi="Arial" w:cs="Arial"/>
          <w:b/>
          <w:bCs/>
        </w:rPr>
        <w:t xml:space="preserve">1.3 </w:t>
      </w:r>
      <w:r w:rsidR="00E2173C" w:rsidRPr="006435D7">
        <w:rPr>
          <w:rFonts w:ascii="Arial" w:hAnsi="Arial" w:cs="Arial"/>
          <w:b/>
          <w:bCs/>
        </w:rPr>
        <w:t>Statements of the problem</w:t>
      </w:r>
    </w:p>
    <w:p w14:paraId="46837CDF" w14:textId="77777777" w:rsidR="00251FB8" w:rsidRPr="006435D7" w:rsidRDefault="00251FB8"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India’s economic growth since the 1980s has been strongly supported by its heavy reliance on coal as the primary source of energy. Coal continues to account for a major share of electricity generation and industrial production, making it a critical driver of national development. However, this dependence poses a significant challenge to sustainability, as coal combustion contributes to high levels of carbon emissions and environmental degradation. Despite the growing global emphasis on renewable energy, India’s coal consumption continues to rise to meet the demands of industrialization, urbanization, and population growth.</w:t>
      </w:r>
    </w:p>
    <w:p w14:paraId="3D5A563F" w14:textId="77777777" w:rsidR="00251FB8" w:rsidRPr="00D84BE6" w:rsidRDefault="00251FB8" w:rsidP="005E7DC5">
      <w:pPr>
        <w:pStyle w:val="NormalWeb"/>
        <w:spacing w:before="0" w:beforeAutospacing="0" w:after="0" w:afterAutospacing="0" w:line="480" w:lineRule="auto"/>
        <w:ind w:firstLine="720"/>
        <w:jc w:val="both"/>
      </w:pPr>
      <w:r w:rsidRPr="006435D7">
        <w:rPr>
          <w:rFonts w:ascii="Arial" w:hAnsi="Arial" w:cs="Arial"/>
          <w:sz w:val="20"/>
          <w:szCs w:val="20"/>
        </w:rPr>
        <w:t xml:space="preserve">The problem lies in the uncertainty regarding the direction and strength of the relationship between coal consumption and economic growth. It remains unclear whether economic </w:t>
      </w:r>
      <w:r w:rsidR="00CD5385" w:rsidRPr="006435D7">
        <w:rPr>
          <w:rFonts w:ascii="Arial" w:hAnsi="Arial" w:cs="Arial"/>
          <w:sz w:val="20"/>
          <w:szCs w:val="20"/>
        </w:rPr>
        <w:t>growth in India is primarily driven by coal energy use, or if rising income and industrial output themselves leads</w:t>
      </w:r>
      <w:r w:rsidRPr="006435D7">
        <w:rPr>
          <w:rFonts w:ascii="Arial" w:hAnsi="Arial" w:cs="Arial"/>
          <w:sz w:val="20"/>
          <w:szCs w:val="20"/>
        </w:rPr>
        <w:t xml:space="preserve"> to increased coal demand. Understanding this causal relationship is essential for formulating balanced energy policies that promote economic progress while addressing environmental concerns and ensuring long-term energy security</w:t>
      </w:r>
      <w:r w:rsidRPr="00D84BE6">
        <w:t>.</w:t>
      </w:r>
    </w:p>
    <w:p w14:paraId="4DAB838E" w14:textId="77777777" w:rsidR="00E2173C" w:rsidRPr="006435D7" w:rsidRDefault="005E4919" w:rsidP="00D84BE6">
      <w:pPr>
        <w:spacing w:after="0" w:line="240" w:lineRule="auto"/>
        <w:jc w:val="both"/>
        <w:rPr>
          <w:rFonts w:ascii="Arial" w:hAnsi="Arial" w:cs="Arial"/>
          <w:b/>
          <w:bCs/>
        </w:rPr>
      </w:pPr>
      <w:r w:rsidRPr="006435D7">
        <w:rPr>
          <w:rFonts w:ascii="Arial" w:hAnsi="Arial" w:cs="Arial"/>
          <w:b/>
          <w:bCs/>
        </w:rPr>
        <w:t xml:space="preserve">1.4 </w:t>
      </w:r>
      <w:r w:rsidR="00E2173C" w:rsidRPr="006435D7">
        <w:rPr>
          <w:rFonts w:ascii="Arial" w:hAnsi="Arial" w:cs="Arial"/>
          <w:b/>
          <w:bCs/>
        </w:rPr>
        <w:t>Objectives</w:t>
      </w:r>
    </w:p>
    <w:p w14:paraId="47E2C22A" w14:textId="77777777" w:rsidR="000E1791" w:rsidRPr="006435D7" w:rsidRDefault="000E1791" w:rsidP="005E7DC5">
      <w:pPr>
        <w:spacing w:after="0" w:line="480" w:lineRule="auto"/>
        <w:ind w:firstLine="720"/>
        <w:jc w:val="both"/>
        <w:rPr>
          <w:rFonts w:ascii="Arial" w:hAnsi="Arial" w:cs="Arial"/>
          <w:sz w:val="20"/>
          <w:szCs w:val="20"/>
        </w:rPr>
      </w:pPr>
      <w:r w:rsidRPr="006435D7">
        <w:rPr>
          <w:rFonts w:ascii="Arial" w:hAnsi="Arial" w:cs="Arial"/>
          <w:sz w:val="20"/>
          <w:szCs w:val="20"/>
        </w:rPr>
        <w:t>To examine the causal and long-term relationship between coal consumption and economic growth in India from 1980 to 2025 using empirical time-series analysis.</w:t>
      </w:r>
    </w:p>
    <w:p w14:paraId="613FAE75" w14:textId="77777777" w:rsidR="003D11F9" w:rsidRPr="00D84BE6" w:rsidRDefault="003D11F9" w:rsidP="00D84BE6">
      <w:pPr>
        <w:spacing w:after="0" w:line="240" w:lineRule="auto"/>
        <w:jc w:val="both"/>
        <w:rPr>
          <w:rFonts w:ascii="Times New Roman" w:hAnsi="Times New Roman" w:cs="Times New Roman"/>
          <w:b/>
          <w:bCs/>
          <w:sz w:val="24"/>
          <w:szCs w:val="24"/>
        </w:rPr>
      </w:pPr>
    </w:p>
    <w:p w14:paraId="6314993E" w14:textId="77777777" w:rsidR="00E2173C" w:rsidRPr="006435D7" w:rsidRDefault="005E4919" w:rsidP="00D84BE6">
      <w:pPr>
        <w:spacing w:after="0" w:line="240" w:lineRule="auto"/>
        <w:jc w:val="both"/>
        <w:rPr>
          <w:rFonts w:ascii="Arial" w:hAnsi="Arial" w:cs="Arial"/>
          <w:b/>
          <w:bCs/>
        </w:rPr>
      </w:pPr>
      <w:r w:rsidRPr="006435D7">
        <w:rPr>
          <w:rFonts w:ascii="Arial" w:hAnsi="Arial" w:cs="Arial"/>
          <w:b/>
          <w:bCs/>
        </w:rPr>
        <w:t>1.5 Overview of Reviewed Literature and Research Gap</w:t>
      </w:r>
    </w:p>
    <w:p w14:paraId="2847B817" w14:textId="77777777" w:rsidR="00A90CF3" w:rsidRPr="006435D7" w:rsidRDefault="00A90CF3"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The relationship between coal consumption and economic growth has received wide attention in energy economics, especially for developing countries like India where coal plays a dominant role in meeting energy needs. Kulshreshtha and Parikh (2000) conducted an early study using a vector autoregressive (VAR) model with cointegrated variables for the period 1970–1995. Their findings indicated that income and sectoral activity were key long-run drivers of coal demand, while short-run </w:t>
      </w:r>
      <w:r w:rsidRPr="006435D7">
        <w:rPr>
          <w:rFonts w:ascii="Arial" w:hAnsi="Arial" w:cs="Arial"/>
          <w:sz w:val="20"/>
          <w:szCs w:val="20"/>
        </w:rPr>
        <w:lastRenderedPageBreak/>
        <w:t>demand was less responsive to price changes, confirming that India’s economic expansion strongly depends on coal-based energy (Kulshreshtha &amp; Parikh, 2000).</w:t>
      </w:r>
    </w:p>
    <w:p w14:paraId="626E18A7" w14:textId="77777777" w:rsidR="00A90CF3" w:rsidRPr="006435D7" w:rsidRDefault="00A90CF3"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Wolde-Rufael (2010) revisited the coal–growth relationship across several coal-dependent economies using a multivariate VAR model. The study found diverse causality directions across nations, showing that energy–growth dynamics depend on economic structure and policy environment. The inclusion of capital and </w:t>
      </w:r>
      <w:proofErr w:type="spellStart"/>
      <w:r w:rsidRPr="006435D7">
        <w:rPr>
          <w:rFonts w:ascii="Arial" w:hAnsi="Arial" w:cs="Arial"/>
          <w:sz w:val="20"/>
          <w:szCs w:val="20"/>
        </w:rPr>
        <w:t>labour</w:t>
      </w:r>
      <w:proofErr w:type="spellEnd"/>
      <w:r w:rsidRPr="006435D7">
        <w:rPr>
          <w:rFonts w:ascii="Arial" w:hAnsi="Arial" w:cs="Arial"/>
          <w:sz w:val="20"/>
          <w:szCs w:val="20"/>
        </w:rPr>
        <w:t xml:space="preserve"> revealed that omitting these variables could distort the true direction of causality—an important consideration for India’s empirical analysis (Wolde-Rufael, 2010).</w:t>
      </w:r>
    </w:p>
    <w:p w14:paraId="34B4B7C1" w14:textId="77777777" w:rsidR="00A90CF3" w:rsidRPr="006435D7" w:rsidRDefault="00A90CF3"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Apergis and Payne (2010) examined OECD countries using panel cointegration and error correction models and found a long-run equilibrium relationship between coal consumption, GDP, capital formation, and </w:t>
      </w:r>
      <w:proofErr w:type="spellStart"/>
      <w:r w:rsidRPr="006435D7">
        <w:rPr>
          <w:rFonts w:ascii="Arial" w:hAnsi="Arial" w:cs="Arial"/>
          <w:sz w:val="20"/>
          <w:szCs w:val="20"/>
        </w:rPr>
        <w:t>labour</w:t>
      </w:r>
      <w:proofErr w:type="spellEnd"/>
      <w:r w:rsidRPr="006435D7">
        <w:rPr>
          <w:rFonts w:ascii="Arial" w:hAnsi="Arial" w:cs="Arial"/>
          <w:sz w:val="20"/>
          <w:szCs w:val="20"/>
        </w:rPr>
        <w:t>. They identified bidirectional causality between coal use and growth, suggesting a mutual reinforcement of energy use and economic activity. Although their focus was on developed countries, their methodology provides a strong framework for studying India’s energy-growth nexus (Apergis &amp; Payne, 2010).</w:t>
      </w:r>
    </w:p>
    <w:p w14:paraId="13FA2EF9" w14:textId="77777777" w:rsidR="00A90CF3" w:rsidRPr="006435D7" w:rsidRDefault="00A90CF3"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Govindaraju and Tang (2013) explored the dynamic links between CO</w:t>
      </w:r>
      <w:r w:rsidRPr="006435D7">
        <w:rPr>
          <w:rFonts w:cs="Arial"/>
          <w:sz w:val="20"/>
          <w:szCs w:val="20"/>
        </w:rPr>
        <w:t>₂</w:t>
      </w:r>
      <w:r w:rsidRPr="006435D7">
        <w:rPr>
          <w:rFonts w:ascii="Arial" w:hAnsi="Arial" w:cs="Arial"/>
          <w:sz w:val="20"/>
          <w:szCs w:val="20"/>
        </w:rPr>
        <w:t xml:space="preserve"> emissions, coal consumption, and economic growth for China and India. Using the ARDL bounds testing approach, they found long-run cointegration among these variables, with India showing stronger influence of GDP on coal consumption. This implies that economic growth drives higher coal demand in India, posing challenges for sustainable development (Govindaraju &amp; Tang, 2013).</w:t>
      </w:r>
    </w:p>
    <w:p w14:paraId="7FE8C159" w14:textId="77777777" w:rsidR="00A90CF3" w:rsidRPr="006435D7" w:rsidRDefault="00A90CF3" w:rsidP="009D55DD">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Ahmad et al. (2016) focused exclusively on India and applied time-series cointegration and causality tests to assess the link between energy consumption, emissions, and growth. They confirmed long-run relationships and highlighted that structural reforms, policy shifts, and technological changes affect short-run dynamics. The study emphasized accounting for structural breaks to capture post-liberalization energy trends (Ahmad et al., 2016).</w:t>
      </w:r>
    </w:p>
    <w:p w14:paraId="1F4E6AB2" w14:textId="77777777" w:rsidR="00A90CF3" w:rsidRPr="006435D7" w:rsidRDefault="00A90CF3"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Overall, these studies confirm a strong interdependence between coal consumption and economic growth. However, differences in methodology, time period, and model specification have led to varied conclusions. Hence, an updated empirical investigation for 1980–2025 is essential to capture India’s recent policy reforms, energy diversification, and sustainable development goals.</w:t>
      </w:r>
    </w:p>
    <w:p w14:paraId="1E5FEFC7" w14:textId="77777777" w:rsidR="00475668" w:rsidRPr="006435D7" w:rsidRDefault="00475668"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lastRenderedPageBreak/>
        <w:t>Despite several studies examining the coal–growth relationship in India, most have focused on limited timeframes or ignored recent structural reforms. Therefore, there is a need for an updated empirical analysis covering 1980–2025 to capture long-term dynamics, policy shifts, and the evolving energy mix in India’s economy.</w:t>
      </w:r>
    </w:p>
    <w:p w14:paraId="617E7936" w14:textId="77777777" w:rsidR="003D11F9" w:rsidRPr="006435D7" w:rsidRDefault="003D11F9" w:rsidP="00D84BE6">
      <w:pPr>
        <w:pStyle w:val="NormalWeb"/>
        <w:spacing w:before="0" w:beforeAutospacing="0" w:after="0" w:afterAutospacing="0"/>
        <w:ind w:firstLine="720"/>
        <w:jc w:val="both"/>
        <w:rPr>
          <w:rFonts w:ascii="Arial" w:hAnsi="Arial" w:cs="Arial"/>
          <w:sz w:val="20"/>
          <w:szCs w:val="20"/>
        </w:rPr>
      </w:pPr>
    </w:p>
    <w:p w14:paraId="4BFCF73D" w14:textId="77777777" w:rsidR="00E2173C" w:rsidRDefault="005E4919" w:rsidP="00D84BE6">
      <w:pPr>
        <w:spacing w:after="0" w:line="240" w:lineRule="auto"/>
        <w:jc w:val="both"/>
        <w:rPr>
          <w:rStyle w:val="Strong"/>
          <w:rFonts w:ascii="Arial" w:hAnsi="Arial" w:cs="Arial"/>
        </w:rPr>
      </w:pPr>
      <w:r w:rsidRPr="006435D7">
        <w:rPr>
          <w:rStyle w:val="Strong"/>
          <w:rFonts w:ascii="Arial" w:hAnsi="Arial" w:cs="Arial"/>
        </w:rPr>
        <w:t xml:space="preserve">2.0 </w:t>
      </w:r>
      <w:r w:rsidR="00E2173C" w:rsidRPr="006435D7">
        <w:rPr>
          <w:rStyle w:val="Strong"/>
          <w:rFonts w:ascii="Arial" w:hAnsi="Arial" w:cs="Arial"/>
        </w:rPr>
        <w:t>MATERIALS AND METHODS</w:t>
      </w:r>
    </w:p>
    <w:p w14:paraId="42A5CB35" w14:textId="77777777" w:rsidR="00665669" w:rsidRPr="006435D7" w:rsidRDefault="00665669" w:rsidP="00D84BE6">
      <w:pPr>
        <w:spacing w:after="0" w:line="240" w:lineRule="auto"/>
        <w:jc w:val="both"/>
        <w:rPr>
          <w:rStyle w:val="Strong"/>
          <w:rFonts w:ascii="Arial" w:hAnsi="Arial" w:cs="Arial"/>
        </w:rPr>
      </w:pPr>
    </w:p>
    <w:p w14:paraId="6D71873E" w14:textId="77777777" w:rsidR="001319C3" w:rsidRPr="006435D7" w:rsidRDefault="005E4919" w:rsidP="00D84BE6">
      <w:pPr>
        <w:pStyle w:val="Heading3"/>
        <w:spacing w:before="0" w:line="240" w:lineRule="auto"/>
        <w:jc w:val="both"/>
        <w:rPr>
          <w:rFonts w:ascii="Arial" w:hAnsi="Arial" w:cs="Arial"/>
          <w:b w:val="0"/>
          <w:color w:val="auto"/>
        </w:rPr>
      </w:pPr>
      <w:r w:rsidRPr="006435D7">
        <w:rPr>
          <w:rStyle w:val="Strong"/>
          <w:rFonts w:ascii="Arial" w:hAnsi="Arial" w:cs="Arial"/>
          <w:b/>
          <w:bCs/>
          <w:color w:val="auto"/>
        </w:rPr>
        <w:t xml:space="preserve">2.1 </w:t>
      </w:r>
      <w:r w:rsidR="001319C3" w:rsidRPr="006435D7">
        <w:rPr>
          <w:rStyle w:val="Strong"/>
          <w:rFonts w:ascii="Arial" w:hAnsi="Arial" w:cs="Arial"/>
          <w:b/>
          <w:bCs/>
          <w:color w:val="auto"/>
        </w:rPr>
        <w:t>Data Source and Period of Study</w:t>
      </w:r>
    </w:p>
    <w:p w14:paraId="375E514E" w14:textId="77777777" w:rsidR="001319C3" w:rsidRPr="006435D7" w:rsidRDefault="001319C3" w:rsidP="005E7DC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The study utilizes annual time-series data for India covering the period </w:t>
      </w:r>
      <w:r w:rsidRPr="006435D7">
        <w:rPr>
          <w:rStyle w:val="Strong"/>
          <w:rFonts w:ascii="Arial" w:hAnsi="Arial" w:cs="Arial"/>
          <w:b w:val="0"/>
          <w:sz w:val="20"/>
          <w:szCs w:val="20"/>
        </w:rPr>
        <w:t>1980–2025</w:t>
      </w:r>
      <w:r w:rsidRPr="006435D7">
        <w:rPr>
          <w:rFonts w:ascii="Arial" w:hAnsi="Arial" w:cs="Arial"/>
          <w:sz w:val="20"/>
          <w:szCs w:val="20"/>
        </w:rPr>
        <w:t xml:space="preserve"> to examine the causal and long-term relationship between coal consumption and economic growth. Data on </w:t>
      </w:r>
      <w:r w:rsidRPr="006435D7">
        <w:rPr>
          <w:rStyle w:val="Strong"/>
          <w:rFonts w:ascii="Arial" w:hAnsi="Arial" w:cs="Arial"/>
          <w:b w:val="0"/>
          <w:sz w:val="20"/>
          <w:szCs w:val="20"/>
        </w:rPr>
        <w:t>coal consumption</w:t>
      </w:r>
      <w:r w:rsidRPr="006435D7">
        <w:rPr>
          <w:rFonts w:ascii="Arial" w:hAnsi="Arial" w:cs="Arial"/>
          <w:sz w:val="20"/>
          <w:szCs w:val="20"/>
        </w:rPr>
        <w:t xml:space="preserve"> (measured in million </w:t>
      </w:r>
      <w:proofErr w:type="spellStart"/>
      <w:r w:rsidRPr="006435D7">
        <w:rPr>
          <w:rFonts w:ascii="Arial" w:hAnsi="Arial" w:cs="Arial"/>
          <w:sz w:val="20"/>
          <w:szCs w:val="20"/>
        </w:rPr>
        <w:t>tonnes</w:t>
      </w:r>
      <w:proofErr w:type="spellEnd"/>
      <w:r w:rsidRPr="006435D7">
        <w:rPr>
          <w:rFonts w:ascii="Arial" w:hAnsi="Arial" w:cs="Arial"/>
          <w:sz w:val="20"/>
          <w:szCs w:val="20"/>
        </w:rPr>
        <w:t xml:space="preserve"> of oil equivalent) and </w:t>
      </w:r>
      <w:r w:rsidRPr="006435D7">
        <w:rPr>
          <w:rStyle w:val="Strong"/>
          <w:rFonts w:ascii="Arial" w:hAnsi="Arial" w:cs="Arial"/>
          <w:b w:val="0"/>
          <w:sz w:val="20"/>
          <w:szCs w:val="20"/>
        </w:rPr>
        <w:t>real Gross</w:t>
      </w:r>
      <w:r w:rsidRPr="006435D7">
        <w:rPr>
          <w:rStyle w:val="Strong"/>
          <w:rFonts w:ascii="Arial" w:hAnsi="Arial" w:cs="Arial"/>
          <w:sz w:val="20"/>
          <w:szCs w:val="20"/>
        </w:rPr>
        <w:t xml:space="preserve"> </w:t>
      </w:r>
      <w:r w:rsidRPr="006435D7">
        <w:rPr>
          <w:rStyle w:val="Strong"/>
          <w:rFonts w:ascii="Arial" w:hAnsi="Arial" w:cs="Arial"/>
          <w:b w:val="0"/>
          <w:sz w:val="20"/>
          <w:szCs w:val="20"/>
        </w:rPr>
        <w:t>Domestic Product (GDP)</w:t>
      </w:r>
      <w:r w:rsidRPr="006435D7">
        <w:rPr>
          <w:rFonts w:ascii="Arial" w:hAnsi="Arial" w:cs="Arial"/>
          <w:sz w:val="20"/>
          <w:szCs w:val="20"/>
        </w:rPr>
        <w:t xml:space="preserve"> at constant prices are sourced from the </w:t>
      </w:r>
      <w:r w:rsidRPr="006435D7">
        <w:rPr>
          <w:rStyle w:val="Strong"/>
          <w:rFonts w:ascii="Arial" w:hAnsi="Arial" w:cs="Arial"/>
          <w:b w:val="0"/>
          <w:sz w:val="20"/>
          <w:szCs w:val="20"/>
        </w:rPr>
        <w:t>World Bank (World Development Indicators)</w:t>
      </w:r>
      <w:r w:rsidRPr="006435D7">
        <w:rPr>
          <w:rFonts w:ascii="Arial" w:hAnsi="Arial" w:cs="Arial"/>
          <w:b/>
          <w:sz w:val="20"/>
          <w:szCs w:val="20"/>
        </w:rPr>
        <w:t xml:space="preserve">, </w:t>
      </w:r>
      <w:r w:rsidRPr="006435D7">
        <w:rPr>
          <w:rStyle w:val="Strong"/>
          <w:rFonts w:ascii="Arial" w:hAnsi="Arial" w:cs="Arial"/>
          <w:b w:val="0"/>
          <w:sz w:val="20"/>
          <w:szCs w:val="20"/>
        </w:rPr>
        <w:t>Ministry of Coal</w:t>
      </w:r>
      <w:r w:rsidRPr="006435D7">
        <w:rPr>
          <w:rFonts w:ascii="Arial" w:hAnsi="Arial" w:cs="Arial"/>
          <w:sz w:val="20"/>
          <w:szCs w:val="20"/>
        </w:rPr>
        <w:t>, and</w:t>
      </w:r>
      <w:r w:rsidRPr="006435D7">
        <w:rPr>
          <w:rFonts w:ascii="Arial" w:hAnsi="Arial" w:cs="Arial"/>
          <w:b/>
          <w:sz w:val="20"/>
          <w:szCs w:val="20"/>
        </w:rPr>
        <w:t xml:space="preserve"> </w:t>
      </w:r>
      <w:r w:rsidRPr="006435D7">
        <w:rPr>
          <w:rStyle w:val="Strong"/>
          <w:rFonts w:ascii="Arial" w:hAnsi="Arial" w:cs="Arial"/>
          <w:b w:val="0"/>
          <w:sz w:val="20"/>
          <w:szCs w:val="20"/>
        </w:rPr>
        <w:t>Reserve Bank of India (RBI) Handbook of Statistics on the Indian Economy</w:t>
      </w:r>
      <w:r w:rsidRPr="006435D7">
        <w:rPr>
          <w:rFonts w:ascii="Arial" w:hAnsi="Arial" w:cs="Arial"/>
          <w:sz w:val="20"/>
          <w:szCs w:val="20"/>
        </w:rPr>
        <w:t xml:space="preserve">. Additional control variables such as </w:t>
      </w:r>
      <w:r w:rsidRPr="006435D7">
        <w:rPr>
          <w:rStyle w:val="Strong"/>
          <w:rFonts w:ascii="Arial" w:hAnsi="Arial" w:cs="Arial"/>
          <w:b w:val="0"/>
          <w:sz w:val="20"/>
          <w:szCs w:val="20"/>
        </w:rPr>
        <w:t>gross fixed capital formation (K)</w:t>
      </w:r>
      <w:r w:rsidRPr="006435D7">
        <w:rPr>
          <w:rFonts w:ascii="Arial" w:hAnsi="Arial" w:cs="Arial"/>
          <w:b/>
          <w:sz w:val="20"/>
          <w:szCs w:val="20"/>
        </w:rPr>
        <w:t xml:space="preserve"> </w:t>
      </w:r>
      <w:r w:rsidRPr="006435D7">
        <w:rPr>
          <w:rFonts w:ascii="Arial" w:hAnsi="Arial" w:cs="Arial"/>
          <w:sz w:val="20"/>
          <w:szCs w:val="20"/>
        </w:rPr>
        <w:t>and</w:t>
      </w:r>
      <w:r w:rsidRPr="006435D7">
        <w:rPr>
          <w:rFonts w:ascii="Arial" w:hAnsi="Arial" w:cs="Arial"/>
          <w:b/>
          <w:sz w:val="20"/>
          <w:szCs w:val="20"/>
        </w:rPr>
        <w:t xml:space="preserve"> </w:t>
      </w:r>
      <w:proofErr w:type="spellStart"/>
      <w:r w:rsidRPr="006435D7">
        <w:rPr>
          <w:rStyle w:val="Strong"/>
          <w:rFonts w:ascii="Arial" w:hAnsi="Arial" w:cs="Arial"/>
          <w:b w:val="0"/>
          <w:sz w:val="20"/>
          <w:szCs w:val="20"/>
        </w:rPr>
        <w:t>labour</w:t>
      </w:r>
      <w:proofErr w:type="spellEnd"/>
      <w:r w:rsidRPr="006435D7">
        <w:rPr>
          <w:rStyle w:val="Strong"/>
          <w:rFonts w:ascii="Arial" w:hAnsi="Arial" w:cs="Arial"/>
          <w:b w:val="0"/>
          <w:sz w:val="20"/>
          <w:szCs w:val="20"/>
        </w:rPr>
        <w:t xml:space="preserve"> force (L)</w:t>
      </w:r>
      <w:r w:rsidRPr="006435D7">
        <w:rPr>
          <w:rFonts w:ascii="Arial" w:hAnsi="Arial" w:cs="Arial"/>
          <w:b/>
          <w:sz w:val="20"/>
          <w:szCs w:val="20"/>
        </w:rPr>
        <w:t xml:space="preserve"> </w:t>
      </w:r>
      <w:r w:rsidRPr="006435D7">
        <w:rPr>
          <w:rFonts w:ascii="Arial" w:hAnsi="Arial" w:cs="Arial"/>
          <w:sz w:val="20"/>
          <w:szCs w:val="20"/>
        </w:rPr>
        <w:t xml:space="preserve">are obtained from the </w:t>
      </w:r>
      <w:r w:rsidRPr="006435D7">
        <w:rPr>
          <w:rStyle w:val="Strong"/>
          <w:rFonts w:ascii="Arial" w:hAnsi="Arial" w:cs="Arial"/>
          <w:b w:val="0"/>
          <w:sz w:val="20"/>
          <w:szCs w:val="20"/>
        </w:rPr>
        <w:t>OECD</w:t>
      </w:r>
      <w:r w:rsidRPr="006435D7">
        <w:rPr>
          <w:rFonts w:ascii="Arial" w:hAnsi="Arial" w:cs="Arial"/>
          <w:sz w:val="20"/>
          <w:szCs w:val="20"/>
        </w:rPr>
        <w:t xml:space="preserve"> and </w:t>
      </w:r>
      <w:r w:rsidRPr="006435D7">
        <w:rPr>
          <w:rStyle w:val="Strong"/>
          <w:rFonts w:ascii="Arial" w:hAnsi="Arial" w:cs="Arial"/>
          <w:b w:val="0"/>
          <w:sz w:val="20"/>
          <w:szCs w:val="20"/>
        </w:rPr>
        <w:t>National Statistical Office (NSO)</w:t>
      </w:r>
      <w:r w:rsidRPr="006435D7">
        <w:rPr>
          <w:rFonts w:ascii="Arial" w:hAnsi="Arial" w:cs="Arial"/>
          <w:sz w:val="20"/>
          <w:szCs w:val="20"/>
        </w:rPr>
        <w:t xml:space="preserve"> databases. These datasets ensure consistency, reliability, and long-term coverage to facilitate empirical time-series analysis.</w:t>
      </w:r>
    </w:p>
    <w:p w14:paraId="3861F9E0" w14:textId="77777777" w:rsidR="008751F4" w:rsidRDefault="008751F4" w:rsidP="00D84BE6">
      <w:pPr>
        <w:pStyle w:val="Heading3"/>
        <w:spacing w:before="0" w:line="240" w:lineRule="auto"/>
        <w:jc w:val="both"/>
        <w:rPr>
          <w:rStyle w:val="Strong"/>
          <w:rFonts w:ascii="Times New Roman" w:hAnsi="Times New Roman" w:cs="Times New Roman"/>
          <w:b/>
          <w:bCs/>
          <w:color w:val="auto"/>
          <w:sz w:val="24"/>
          <w:szCs w:val="24"/>
        </w:rPr>
      </w:pPr>
    </w:p>
    <w:p w14:paraId="21BBC65E" w14:textId="77777777" w:rsidR="001319C3" w:rsidRPr="006435D7" w:rsidRDefault="005E4919" w:rsidP="00D84BE6">
      <w:pPr>
        <w:pStyle w:val="Heading3"/>
        <w:spacing w:before="0" w:line="240" w:lineRule="auto"/>
        <w:jc w:val="both"/>
        <w:rPr>
          <w:rFonts w:ascii="Arial" w:hAnsi="Arial" w:cs="Arial"/>
          <w:color w:val="auto"/>
        </w:rPr>
      </w:pPr>
      <w:r w:rsidRPr="006435D7">
        <w:rPr>
          <w:rStyle w:val="Strong"/>
          <w:rFonts w:ascii="Arial" w:hAnsi="Arial" w:cs="Arial"/>
          <w:b/>
          <w:bCs/>
          <w:color w:val="auto"/>
        </w:rPr>
        <w:t xml:space="preserve">2.2 </w:t>
      </w:r>
      <w:r w:rsidR="001319C3" w:rsidRPr="006435D7">
        <w:rPr>
          <w:rStyle w:val="Strong"/>
          <w:rFonts w:ascii="Arial" w:hAnsi="Arial" w:cs="Arial"/>
          <w:b/>
          <w:bCs/>
          <w:color w:val="auto"/>
        </w:rPr>
        <w:t>Data Processing and Transformation</w:t>
      </w:r>
    </w:p>
    <w:p w14:paraId="3BB5BC45" w14:textId="77777777" w:rsidR="008751F4" w:rsidRPr="006435D7" w:rsidRDefault="001319C3" w:rsidP="00CD538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To address issues of scale differences and heteroskedasticity, all variables are transformed into their </w:t>
      </w:r>
      <w:r w:rsidRPr="006435D7">
        <w:rPr>
          <w:rStyle w:val="Strong"/>
          <w:rFonts w:ascii="Arial" w:hAnsi="Arial" w:cs="Arial"/>
          <w:b w:val="0"/>
          <w:sz w:val="20"/>
          <w:szCs w:val="20"/>
        </w:rPr>
        <w:t>natural logarithmic form</w:t>
      </w:r>
      <w:r w:rsidRPr="006435D7">
        <w:rPr>
          <w:rFonts w:ascii="Arial" w:hAnsi="Arial" w:cs="Arial"/>
          <w:sz w:val="20"/>
          <w:szCs w:val="20"/>
        </w:rPr>
        <w:t>. This transformation allows coefficients to be interpreted as elasticities and stabilizes variance across observations. The transformed variables are defined as</w:t>
      </w:r>
    </w:p>
    <w:p w14:paraId="46047EC7" w14:textId="77777777" w:rsidR="00E272CC" w:rsidRPr="006435D7" w:rsidRDefault="0070287B" w:rsidP="00E272CC">
      <w:pPr>
        <w:pStyle w:val="NormalWeb"/>
        <w:rPr>
          <w:rFonts w:ascii="Cambria Math" w:hAnsi="Arial" w:cs="Arial"/>
          <w:sz w:val="22"/>
          <w:szCs w:val="22"/>
          <w:oMath/>
        </w:rPr>
      </w:pPr>
      <m:oMathPara>
        <m:oMath>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ln</m:t>
          </m:r>
          <m:r>
            <m:rPr>
              <m:sty m:val="bi"/>
            </m:rPr>
            <w:rPr>
              <w:rFonts w:ascii="Cambria Math" w:hAnsi="Arial" w:cs="Arial"/>
              <w:sz w:val="22"/>
              <w:szCs w:val="22"/>
            </w:rPr>
            <m:t>(</m:t>
          </m:r>
          <m:r>
            <m:rPr>
              <m:sty m:val="bi"/>
            </m:rPr>
            <w:rPr>
              <w:rFonts w:ascii="Cambria Math" w:hAnsi="Cambria Math" w:cs="Arial"/>
              <w:sz w:val="22"/>
              <w:szCs w:val="22"/>
            </w:rPr>
            <m:t>GDP</m:t>
          </m:r>
          <m:r>
            <m:rPr>
              <m:sty m:val="bi"/>
            </m:rPr>
            <w:rPr>
              <w:rFonts w:ascii="Arial" w:hAnsi="Cambria Math" w:cs="Arial"/>
              <w:sz w:val="22"/>
              <w:szCs w:val="22"/>
            </w:rPr>
            <m:t>ₜ</m:t>
          </m:r>
          <m:r>
            <m:rPr>
              <m:sty m:val="bi"/>
            </m:rPr>
            <w:rPr>
              <w:rFonts w:ascii="Cambria Math" w:hAnsi="Arial" w:cs="Arial"/>
              <w:sz w:val="22"/>
              <w:szCs w:val="22"/>
            </w:rPr>
            <m:t>)</m:t>
          </m:r>
          <m:r>
            <m:rPr>
              <m:sty m:val="p"/>
            </m:rPr>
            <w:rPr>
              <w:rFonts w:ascii="Cambria Math" w:hAnsi="Arial" w:cs="Arial"/>
              <w:sz w:val="22"/>
              <w:szCs w:val="22"/>
            </w:rPr>
            <w:br/>
          </m:r>
        </m:oMath>
        <m:oMath>
          <m:r>
            <m:rPr>
              <m:sty m:val="bi"/>
            </m:rPr>
            <w:rPr>
              <w:rFonts w:ascii="Cambria Math" w:hAnsi="Cambria Math" w:cs="Arial"/>
              <w:sz w:val="22"/>
              <w:szCs w:val="22"/>
            </w:rPr>
            <m:t>C</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ln</m:t>
          </m:r>
          <m:r>
            <m:rPr>
              <m:sty m:val="bi"/>
            </m:rPr>
            <w:rPr>
              <w:rFonts w:ascii="Cambria Math" w:hAnsi="Arial" w:cs="Arial"/>
              <w:sz w:val="22"/>
              <w:szCs w:val="22"/>
            </w:rPr>
            <m:t>(</m:t>
          </m:r>
          <m:r>
            <m:rPr>
              <m:sty m:val="bi"/>
            </m:rPr>
            <w:rPr>
              <w:rFonts w:ascii="Cambria Math" w:hAnsi="Cambria Math" w:cs="Arial"/>
              <w:sz w:val="22"/>
              <w:szCs w:val="22"/>
            </w:rPr>
            <m:t>COAL</m:t>
          </m:r>
          <m:r>
            <m:rPr>
              <m:sty m:val="bi"/>
            </m:rPr>
            <w:rPr>
              <w:rFonts w:ascii="Arial" w:hAnsi="Cambria Math" w:cs="Arial"/>
              <w:sz w:val="22"/>
              <w:szCs w:val="22"/>
            </w:rPr>
            <m:t>ₜ</m:t>
          </m:r>
          <m:r>
            <m:rPr>
              <m:sty m:val="bi"/>
            </m:rPr>
            <w:rPr>
              <w:rFonts w:ascii="Cambria Math" w:hAnsi="Arial" w:cs="Arial"/>
              <w:sz w:val="22"/>
              <w:szCs w:val="22"/>
            </w:rPr>
            <m:t>)</m:t>
          </m:r>
          <m:r>
            <m:rPr>
              <m:sty m:val="p"/>
            </m:rPr>
            <w:rPr>
              <w:rFonts w:ascii="Cambria Math" w:hAnsi="Arial" w:cs="Arial"/>
              <w:sz w:val="22"/>
              <w:szCs w:val="22"/>
            </w:rPr>
            <w:br/>
          </m:r>
        </m:oMath>
        <m:oMath>
          <m:r>
            <m:rPr>
              <m:sty m:val="bi"/>
            </m:rPr>
            <w:rPr>
              <w:rFonts w:ascii="Cambria Math" w:hAnsi="Cambria Math" w:cs="Arial"/>
              <w:sz w:val="22"/>
              <w:szCs w:val="22"/>
            </w:rPr>
            <m:t>K</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ln</m:t>
          </m:r>
          <m:r>
            <m:rPr>
              <m:sty m:val="bi"/>
            </m:rPr>
            <w:rPr>
              <w:rFonts w:ascii="Cambria Math" w:hAnsi="Arial" w:cs="Arial"/>
              <w:sz w:val="22"/>
              <w:szCs w:val="22"/>
            </w:rPr>
            <m:t>(</m:t>
          </m:r>
          <m:r>
            <m:rPr>
              <m:sty m:val="bi"/>
            </m:rPr>
            <w:rPr>
              <w:rFonts w:ascii="Cambria Math" w:hAnsi="Cambria Math" w:cs="Arial"/>
              <w:sz w:val="22"/>
              <w:szCs w:val="22"/>
            </w:rPr>
            <m:t>CAPITAL</m:t>
          </m:r>
          <m:r>
            <m:rPr>
              <m:sty m:val="bi"/>
            </m:rPr>
            <w:rPr>
              <w:rFonts w:ascii="Arial" w:hAnsi="Cambria Math" w:cs="Arial"/>
              <w:sz w:val="22"/>
              <w:szCs w:val="22"/>
            </w:rPr>
            <m:t>ₜ</m:t>
          </m:r>
          <m:r>
            <m:rPr>
              <m:sty m:val="bi"/>
            </m:rPr>
            <w:rPr>
              <w:rFonts w:ascii="Cambria Math" w:hAnsi="Arial" w:cs="Arial"/>
              <w:sz w:val="22"/>
              <w:szCs w:val="22"/>
            </w:rPr>
            <m:t>)</m:t>
          </m:r>
          <m:r>
            <m:rPr>
              <m:sty m:val="p"/>
            </m:rPr>
            <w:rPr>
              <w:rFonts w:ascii="Cambria Math" w:hAnsi="Arial" w:cs="Arial"/>
              <w:sz w:val="22"/>
              <w:szCs w:val="22"/>
            </w:rPr>
            <w:br/>
          </m:r>
        </m:oMath>
        <m:oMath>
          <m:r>
            <m:rPr>
              <m:sty m:val="bi"/>
            </m:rPr>
            <w:rPr>
              <w:rFonts w:ascii="Cambria Math" w:hAnsi="Cambria Math" w:cs="Arial"/>
              <w:sz w:val="22"/>
              <w:szCs w:val="22"/>
            </w:rPr>
            <m:t>L</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ln</m:t>
          </m:r>
          <m:r>
            <m:rPr>
              <m:sty m:val="bi"/>
            </m:rPr>
            <w:rPr>
              <w:rFonts w:ascii="Cambria Math" w:hAnsi="Arial" w:cs="Arial"/>
              <w:sz w:val="22"/>
              <w:szCs w:val="22"/>
            </w:rPr>
            <m:t>(</m:t>
          </m:r>
          <m:r>
            <m:rPr>
              <m:sty m:val="bi"/>
            </m:rPr>
            <w:rPr>
              <w:rFonts w:ascii="Cambria Math" w:hAnsi="Cambria Math" w:cs="Arial"/>
              <w:sz w:val="22"/>
              <w:szCs w:val="22"/>
            </w:rPr>
            <m:t>LABOURₜ</m:t>
          </m:r>
          <m:r>
            <m:rPr>
              <m:sty m:val="bi"/>
            </m:rPr>
            <w:rPr>
              <w:rFonts w:ascii="Cambria Math" w:hAnsi="Arial" w:cs="Arial"/>
              <w:sz w:val="22"/>
              <w:szCs w:val="22"/>
            </w:rPr>
            <m:t>)</m:t>
          </m:r>
        </m:oMath>
      </m:oMathPara>
    </w:p>
    <w:p w14:paraId="35807EB9"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This transformation allows for interpreting coefficients as elasticities in the regression analysis.</w:t>
      </w:r>
    </w:p>
    <w:p w14:paraId="1D8A3E4D" w14:textId="77777777" w:rsidR="001319C3" w:rsidRPr="006435D7" w:rsidRDefault="005E4919" w:rsidP="00D84BE6">
      <w:pPr>
        <w:pStyle w:val="Heading3"/>
        <w:spacing w:before="0" w:line="240" w:lineRule="auto"/>
        <w:jc w:val="both"/>
        <w:rPr>
          <w:rFonts w:ascii="Arial" w:hAnsi="Arial" w:cs="Arial"/>
          <w:color w:val="auto"/>
        </w:rPr>
      </w:pPr>
      <w:r w:rsidRPr="006435D7">
        <w:rPr>
          <w:rStyle w:val="Strong"/>
          <w:rFonts w:ascii="Arial" w:hAnsi="Arial" w:cs="Arial"/>
          <w:b/>
          <w:bCs/>
          <w:color w:val="auto"/>
        </w:rPr>
        <w:t xml:space="preserve">2.3 </w:t>
      </w:r>
      <w:r w:rsidR="001319C3" w:rsidRPr="006435D7">
        <w:rPr>
          <w:rStyle w:val="Strong"/>
          <w:rFonts w:ascii="Arial" w:hAnsi="Arial" w:cs="Arial"/>
          <w:b/>
          <w:bCs/>
          <w:color w:val="auto"/>
        </w:rPr>
        <w:t>Stationarity Testing</w:t>
      </w:r>
    </w:p>
    <w:p w14:paraId="5B84C133" w14:textId="77777777" w:rsidR="001319C3" w:rsidRPr="006435D7" w:rsidRDefault="001319C3" w:rsidP="00CD538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Since time-series data may exhibit non-stationarity, which can lead to spurious regression results, the study employs both </w:t>
      </w:r>
      <w:r w:rsidRPr="006435D7">
        <w:rPr>
          <w:rStyle w:val="Strong"/>
          <w:rFonts w:ascii="Arial" w:hAnsi="Arial" w:cs="Arial"/>
          <w:b w:val="0"/>
          <w:sz w:val="20"/>
          <w:szCs w:val="20"/>
        </w:rPr>
        <w:t>Augmented Dickey–Fuller (ADF)</w:t>
      </w:r>
      <w:r w:rsidRPr="006435D7">
        <w:rPr>
          <w:rFonts w:ascii="Arial" w:hAnsi="Arial" w:cs="Arial"/>
          <w:sz w:val="20"/>
          <w:szCs w:val="20"/>
        </w:rPr>
        <w:t xml:space="preserve"> and </w:t>
      </w:r>
      <w:r w:rsidRPr="006435D7">
        <w:rPr>
          <w:rStyle w:val="Strong"/>
          <w:rFonts w:ascii="Arial" w:hAnsi="Arial" w:cs="Arial"/>
          <w:b w:val="0"/>
          <w:sz w:val="20"/>
          <w:szCs w:val="20"/>
        </w:rPr>
        <w:t>Phillips–Perron (PP)</w:t>
      </w:r>
      <w:r w:rsidRPr="006435D7">
        <w:rPr>
          <w:rFonts w:ascii="Arial" w:hAnsi="Arial" w:cs="Arial"/>
          <w:sz w:val="20"/>
          <w:szCs w:val="20"/>
        </w:rPr>
        <w:t xml:space="preserve"> tests to check the stationarity of each variable. The ADF test is estimated using the following equation:</w:t>
      </w:r>
    </w:p>
    <w:p w14:paraId="0EF4A855" w14:textId="77777777" w:rsidR="00E272CC" w:rsidRPr="006435D7" w:rsidRDefault="00E272CC" w:rsidP="00E272CC">
      <w:pPr>
        <w:pStyle w:val="NormalWeb"/>
        <w:rPr>
          <w:rFonts w:ascii="Arial" w:hAnsi="Arial" w:cs="Arial"/>
          <w:b/>
          <w:bCs/>
          <w:sz w:val="22"/>
          <w:szCs w:val="22"/>
        </w:rPr>
      </w:pPr>
      <w:r w:rsidRPr="006435D7">
        <w:rPr>
          <w:rStyle w:val="Strong"/>
          <w:rFonts w:ascii="Arial" w:hAnsi="Arial" w:cs="Arial"/>
          <w:sz w:val="22"/>
          <w:szCs w:val="22"/>
        </w:rPr>
        <w:t>ADF Test equation:</w:t>
      </w:r>
      <w:r w:rsidRPr="006435D7">
        <w:rPr>
          <w:rFonts w:ascii="Arial" w:hAnsi="Arial" w:cs="Arial"/>
          <w:sz w:val="22"/>
          <w:szCs w:val="22"/>
        </w:rPr>
        <w:br/>
      </w:r>
      <m:oMathPara>
        <m:oMath>
          <m:r>
            <m:rPr>
              <m:sty m:val="bi"/>
            </m:rPr>
            <w:rPr>
              <w:rFonts w:ascii="Cambria Math" w:hAnsi="Cambria Math" w:cs="Arial"/>
              <w:sz w:val="22"/>
              <w:szCs w:val="22"/>
            </w:rPr>
            <m:t>ΔX</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α</m:t>
          </m:r>
          <m:r>
            <m:rPr>
              <m:sty m:val="bi"/>
            </m:rPr>
            <w:rPr>
              <w:rFonts w:ascii="Cambria Math" w:hAnsi="Arial" w:cs="Arial"/>
              <w:sz w:val="22"/>
              <w:szCs w:val="22"/>
            </w:rPr>
            <m:t xml:space="preserve"> + </m:t>
          </m:r>
          <m:r>
            <m:rPr>
              <m:sty m:val="bi"/>
            </m:rPr>
            <w:rPr>
              <w:rFonts w:ascii="Cambria Math" w:hAnsi="Cambria Math" w:cs="Arial"/>
              <w:sz w:val="22"/>
              <w:szCs w:val="22"/>
            </w:rPr>
            <m:t>βt</m:t>
          </m:r>
          <m:r>
            <m:rPr>
              <m:sty m:val="bi"/>
            </m:rPr>
            <w:rPr>
              <w:rFonts w:ascii="Cambria Math" w:hAnsi="Arial" w:cs="Arial"/>
              <w:sz w:val="22"/>
              <w:szCs w:val="22"/>
            </w:rPr>
            <m:t xml:space="preserve"> + </m:t>
          </m:r>
          <m:r>
            <m:rPr>
              <m:sty m:val="bi"/>
            </m:rPr>
            <w:rPr>
              <w:rFonts w:ascii="Cambria Math" w:hAnsi="Cambria Math" w:cs="Arial"/>
              <w:sz w:val="22"/>
              <w:szCs w:val="22"/>
            </w:rPr>
            <m:t>γX</m:t>
          </m:r>
          <m:r>
            <m:rPr>
              <m:sty m:val="bi"/>
            </m:rPr>
            <w:rPr>
              <w:rFonts w:ascii="Arial" w:hAnsi="Cambria Math" w:cs="Arial"/>
              <w:sz w:val="22"/>
              <w:szCs w:val="22"/>
            </w:rPr>
            <m:t>ₜ₋₁</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 xml:space="preserve"> (</m:t>
          </m:r>
          <m:r>
            <m:rPr>
              <m:sty m:val="bi"/>
            </m:rPr>
            <w:rPr>
              <w:rFonts w:ascii="Cambria Math" w:hAnsi="Cambria Math" w:cs="Arial"/>
              <w:sz w:val="22"/>
              <w:szCs w:val="22"/>
            </w:rPr>
            <m:t>δ</m:t>
          </m:r>
          <m:r>
            <m:rPr>
              <m:sty m:val="bi"/>
            </m:rPr>
            <w:rPr>
              <w:rFonts w:ascii="Arial" w:hAnsi="Arial" w:cs="Arial"/>
              <w:sz w:val="22"/>
              <w:szCs w:val="22"/>
            </w:rPr>
            <m:t>ᵢ</m:t>
          </m:r>
          <m:r>
            <m:rPr>
              <m:sty m:val="bi"/>
            </m:rPr>
            <w:rPr>
              <w:rFonts w:ascii="Cambria Math" w:hAnsi="Arial" w:cs="Arial"/>
              <w:sz w:val="22"/>
              <w:szCs w:val="22"/>
            </w:rPr>
            <m:t xml:space="preserve"> </m:t>
          </m:r>
          <m:r>
            <m:rPr>
              <m:sty m:val="bi"/>
            </m:rPr>
            <w:rPr>
              <w:rFonts w:ascii="Cambria Math" w:hAnsi="Cambria Math" w:cs="Arial"/>
              <w:sz w:val="22"/>
              <w:szCs w:val="22"/>
            </w:rPr>
            <m:t>ΔX</m:t>
          </m:r>
          <m:r>
            <m:rPr>
              <m:sty m:val="bi"/>
            </m:rPr>
            <w:rPr>
              <w:rFonts w:ascii="Arial" w:hAnsi="Cambria Math" w:cs="Arial"/>
              <w:sz w:val="22"/>
              <w:szCs w:val="22"/>
            </w:rPr>
            <m:t>ₜ₋</m:t>
          </m:r>
          <m:r>
            <m:rPr>
              <m:sty m:val="bi"/>
            </m:rPr>
            <w:rPr>
              <w:rFonts w:ascii="Arial" w:hAnsi="Arial" w:cs="Arial"/>
              <w:sz w:val="22"/>
              <w:szCs w:val="22"/>
            </w:rPr>
            <m:t>ᵢ</m:t>
          </m:r>
          <m:r>
            <m:rPr>
              <m:sty m:val="bi"/>
            </m:rPr>
            <w:rPr>
              <w:rFonts w:ascii="Cambria Math" w:hAnsi="Arial" w:cs="Arial"/>
              <w:sz w:val="22"/>
              <w:szCs w:val="22"/>
            </w:rPr>
            <m:t xml:space="preserve">) + </m:t>
          </m:r>
          <m:r>
            <m:rPr>
              <m:sty m:val="bi"/>
            </m:rPr>
            <w:rPr>
              <w:rFonts w:ascii="Cambria Math" w:hAnsi="Cambria Math" w:cs="Arial"/>
              <w:sz w:val="22"/>
              <w:szCs w:val="22"/>
            </w:rPr>
            <m:t>εₜ</m:t>
          </m:r>
        </m:oMath>
      </m:oMathPara>
    </w:p>
    <w:p w14:paraId="5AEA8072"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lastRenderedPageBreak/>
        <w:t>Where:</w:t>
      </w:r>
    </w:p>
    <w:p w14:paraId="714E7EC3" w14:textId="77777777" w:rsidR="00E272CC" w:rsidRPr="006435D7" w:rsidRDefault="00E272CC" w:rsidP="00E272CC">
      <w:pPr>
        <w:pStyle w:val="NormalWeb"/>
        <w:numPr>
          <w:ilvl w:val="0"/>
          <w:numId w:val="4"/>
        </w:numPr>
        <w:rPr>
          <w:rFonts w:ascii="Arial" w:hAnsi="Arial" w:cs="Arial"/>
          <w:sz w:val="20"/>
          <w:szCs w:val="20"/>
        </w:rPr>
      </w:pPr>
      <w:r w:rsidRPr="006435D7">
        <w:rPr>
          <w:rFonts w:ascii="Arial" w:hAnsi="Arial" w:cs="Arial"/>
          <w:sz w:val="20"/>
          <w:szCs w:val="20"/>
        </w:rPr>
        <w:t>ΔX</w:t>
      </w:r>
      <w:r w:rsidRPr="006435D7">
        <w:rPr>
          <w:rFonts w:cs="Arial"/>
          <w:sz w:val="20"/>
          <w:szCs w:val="20"/>
        </w:rPr>
        <w:t>ₜ</w:t>
      </w:r>
      <w:r w:rsidRPr="006435D7">
        <w:rPr>
          <w:rFonts w:ascii="Arial" w:hAnsi="Arial" w:cs="Arial"/>
          <w:sz w:val="20"/>
          <w:szCs w:val="20"/>
        </w:rPr>
        <w:t xml:space="preserve"> = first difference of X</w:t>
      </w:r>
      <w:r w:rsidRPr="006435D7">
        <w:rPr>
          <w:rFonts w:cs="Arial"/>
          <w:sz w:val="20"/>
          <w:szCs w:val="20"/>
        </w:rPr>
        <w:t>ₜ</w:t>
      </w:r>
    </w:p>
    <w:p w14:paraId="6B61E783" w14:textId="77777777" w:rsidR="00E272CC" w:rsidRPr="006435D7" w:rsidRDefault="00E272CC" w:rsidP="00E272CC">
      <w:pPr>
        <w:pStyle w:val="NormalWeb"/>
        <w:numPr>
          <w:ilvl w:val="0"/>
          <w:numId w:val="4"/>
        </w:numPr>
        <w:rPr>
          <w:rFonts w:ascii="Arial" w:hAnsi="Arial" w:cs="Arial"/>
          <w:sz w:val="20"/>
          <w:szCs w:val="20"/>
        </w:rPr>
      </w:pPr>
      <w:r w:rsidRPr="006435D7">
        <w:rPr>
          <w:rFonts w:ascii="Arial" w:hAnsi="Arial" w:cs="Arial"/>
          <w:sz w:val="20"/>
          <w:szCs w:val="20"/>
        </w:rPr>
        <w:t>t = time trend</w:t>
      </w:r>
    </w:p>
    <w:p w14:paraId="25FB835A" w14:textId="77777777" w:rsidR="00E272CC" w:rsidRPr="006435D7" w:rsidRDefault="00E272CC" w:rsidP="00E272CC">
      <w:pPr>
        <w:pStyle w:val="NormalWeb"/>
        <w:numPr>
          <w:ilvl w:val="0"/>
          <w:numId w:val="4"/>
        </w:numPr>
        <w:rPr>
          <w:rFonts w:ascii="Arial" w:hAnsi="Arial" w:cs="Arial"/>
          <w:sz w:val="20"/>
          <w:szCs w:val="20"/>
        </w:rPr>
      </w:pPr>
      <w:r w:rsidRPr="006435D7">
        <w:rPr>
          <w:rFonts w:ascii="Arial" w:hAnsi="Arial" w:cs="Arial"/>
          <w:sz w:val="20"/>
          <w:szCs w:val="20"/>
        </w:rPr>
        <w:t>α = constant term</w:t>
      </w:r>
    </w:p>
    <w:p w14:paraId="3CEAE9CA" w14:textId="77777777" w:rsidR="00E272CC" w:rsidRPr="006435D7" w:rsidRDefault="00E272CC" w:rsidP="00E272CC">
      <w:pPr>
        <w:pStyle w:val="NormalWeb"/>
        <w:numPr>
          <w:ilvl w:val="0"/>
          <w:numId w:val="4"/>
        </w:numPr>
        <w:rPr>
          <w:rFonts w:ascii="Arial" w:hAnsi="Arial" w:cs="Arial"/>
          <w:sz w:val="20"/>
          <w:szCs w:val="20"/>
        </w:rPr>
      </w:pPr>
      <w:r w:rsidRPr="006435D7">
        <w:rPr>
          <w:rFonts w:ascii="Arial" w:hAnsi="Arial" w:cs="Arial"/>
          <w:sz w:val="20"/>
          <w:szCs w:val="20"/>
        </w:rPr>
        <w:t>p = lag length</w:t>
      </w:r>
    </w:p>
    <w:p w14:paraId="1B17B8E9" w14:textId="77777777" w:rsidR="00E272CC" w:rsidRPr="006435D7" w:rsidRDefault="00E272CC" w:rsidP="00E272CC">
      <w:pPr>
        <w:pStyle w:val="NormalWeb"/>
        <w:numPr>
          <w:ilvl w:val="0"/>
          <w:numId w:val="4"/>
        </w:numPr>
        <w:rPr>
          <w:rFonts w:ascii="Arial" w:hAnsi="Arial" w:cs="Arial"/>
          <w:sz w:val="20"/>
          <w:szCs w:val="20"/>
        </w:rPr>
      </w:pPr>
      <w:r w:rsidRPr="006435D7">
        <w:rPr>
          <w:rFonts w:ascii="Arial" w:hAnsi="Arial" w:cs="Arial"/>
          <w:sz w:val="20"/>
          <w:szCs w:val="20"/>
        </w:rPr>
        <w:t>ε</w:t>
      </w:r>
      <w:r w:rsidRPr="006435D7">
        <w:rPr>
          <w:rFonts w:cs="Arial"/>
          <w:sz w:val="20"/>
          <w:szCs w:val="20"/>
        </w:rPr>
        <w:t>ₜ</w:t>
      </w:r>
      <w:r w:rsidRPr="006435D7">
        <w:rPr>
          <w:rFonts w:ascii="Arial" w:hAnsi="Arial" w:cs="Arial"/>
          <w:sz w:val="20"/>
          <w:szCs w:val="20"/>
        </w:rPr>
        <w:t xml:space="preserve"> = error term</w:t>
      </w:r>
    </w:p>
    <w:p w14:paraId="781D83E7" w14:textId="77777777" w:rsidR="00E272CC" w:rsidRPr="006435D7" w:rsidRDefault="00E272CC" w:rsidP="00D84BE6">
      <w:pPr>
        <w:pStyle w:val="NormalWeb"/>
        <w:spacing w:before="0" w:beforeAutospacing="0" w:after="0" w:afterAutospacing="0"/>
        <w:jc w:val="both"/>
        <w:rPr>
          <w:rFonts w:ascii="Arial" w:hAnsi="Arial" w:cs="Arial"/>
          <w:sz w:val="20"/>
          <w:szCs w:val="20"/>
        </w:rPr>
      </w:pPr>
    </w:p>
    <w:p w14:paraId="1F5A3D24" w14:textId="77777777" w:rsidR="001319C3" w:rsidRPr="006435D7" w:rsidRDefault="005E4919" w:rsidP="00D84BE6">
      <w:pPr>
        <w:pStyle w:val="Heading3"/>
        <w:spacing w:before="0" w:line="240" w:lineRule="auto"/>
        <w:jc w:val="both"/>
        <w:rPr>
          <w:rFonts w:ascii="Arial" w:hAnsi="Arial" w:cs="Arial"/>
          <w:color w:val="auto"/>
        </w:rPr>
      </w:pPr>
      <w:r w:rsidRPr="006435D7">
        <w:rPr>
          <w:rStyle w:val="Strong"/>
          <w:rFonts w:ascii="Arial" w:hAnsi="Arial" w:cs="Arial"/>
          <w:b/>
          <w:bCs/>
          <w:color w:val="auto"/>
        </w:rPr>
        <w:t xml:space="preserve">2.4 </w:t>
      </w:r>
      <w:r w:rsidR="001319C3" w:rsidRPr="006435D7">
        <w:rPr>
          <w:rStyle w:val="Strong"/>
          <w:rFonts w:ascii="Arial" w:hAnsi="Arial" w:cs="Arial"/>
          <w:b/>
          <w:bCs/>
          <w:color w:val="auto"/>
        </w:rPr>
        <w:t>Unit Root and Structural Break Tests</w:t>
      </w:r>
    </w:p>
    <w:p w14:paraId="63E84A3E" w14:textId="77777777" w:rsidR="001319C3" w:rsidRPr="006435D7" w:rsidRDefault="001319C3" w:rsidP="00CD538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Given India’s major economic policy changes—especially the </w:t>
      </w:r>
      <w:r w:rsidRPr="006435D7">
        <w:rPr>
          <w:rStyle w:val="Strong"/>
          <w:rFonts w:ascii="Arial" w:hAnsi="Arial" w:cs="Arial"/>
          <w:b w:val="0"/>
          <w:sz w:val="20"/>
          <w:szCs w:val="20"/>
        </w:rPr>
        <w:t>1991 economic liberalization</w:t>
      </w:r>
      <w:r w:rsidRPr="006435D7">
        <w:rPr>
          <w:rFonts w:ascii="Arial" w:hAnsi="Arial" w:cs="Arial"/>
          <w:sz w:val="20"/>
          <w:szCs w:val="20"/>
        </w:rPr>
        <w:t xml:space="preserve">—the study applies </w:t>
      </w:r>
      <w:proofErr w:type="spellStart"/>
      <w:r w:rsidRPr="006435D7">
        <w:rPr>
          <w:rStyle w:val="Strong"/>
          <w:rFonts w:ascii="Arial" w:hAnsi="Arial" w:cs="Arial"/>
          <w:b w:val="0"/>
          <w:sz w:val="20"/>
          <w:szCs w:val="20"/>
        </w:rPr>
        <w:t>Zivot</w:t>
      </w:r>
      <w:proofErr w:type="spellEnd"/>
      <w:r w:rsidRPr="006435D7">
        <w:rPr>
          <w:rStyle w:val="Strong"/>
          <w:rFonts w:ascii="Arial" w:hAnsi="Arial" w:cs="Arial"/>
          <w:b w:val="0"/>
          <w:sz w:val="20"/>
          <w:szCs w:val="20"/>
        </w:rPr>
        <w:t>–Andrews</w:t>
      </w:r>
      <w:r w:rsidRPr="006435D7">
        <w:rPr>
          <w:rFonts w:ascii="Arial" w:hAnsi="Arial" w:cs="Arial"/>
          <w:sz w:val="20"/>
          <w:szCs w:val="20"/>
        </w:rPr>
        <w:t xml:space="preserve"> and </w:t>
      </w:r>
      <w:r w:rsidRPr="006435D7">
        <w:rPr>
          <w:rStyle w:val="Strong"/>
          <w:rFonts w:ascii="Arial" w:hAnsi="Arial" w:cs="Arial"/>
          <w:b w:val="0"/>
          <w:sz w:val="20"/>
          <w:szCs w:val="20"/>
        </w:rPr>
        <w:t>Bai–</w:t>
      </w:r>
      <w:proofErr w:type="spellStart"/>
      <w:r w:rsidRPr="006435D7">
        <w:rPr>
          <w:rStyle w:val="Strong"/>
          <w:rFonts w:ascii="Arial" w:hAnsi="Arial" w:cs="Arial"/>
          <w:b w:val="0"/>
          <w:sz w:val="20"/>
          <w:szCs w:val="20"/>
        </w:rPr>
        <w:t>Perron</w:t>
      </w:r>
      <w:proofErr w:type="spellEnd"/>
      <w:r w:rsidRPr="006435D7">
        <w:rPr>
          <w:rFonts w:ascii="Arial" w:hAnsi="Arial" w:cs="Arial"/>
          <w:sz w:val="20"/>
          <w:szCs w:val="20"/>
        </w:rPr>
        <w:t xml:space="preserve"> structural break tests to identify any endogenous breakpoints. This helps account for structural shifts that could bias standard unit root and cointegration results.</w:t>
      </w:r>
    </w:p>
    <w:p w14:paraId="61752741" w14:textId="77777777" w:rsidR="00E272CC" w:rsidRPr="006435D7" w:rsidRDefault="00E272CC" w:rsidP="00D84BE6">
      <w:pPr>
        <w:pStyle w:val="NormalWeb"/>
        <w:spacing w:before="0" w:beforeAutospacing="0" w:after="0" w:afterAutospacing="0"/>
        <w:jc w:val="both"/>
        <w:rPr>
          <w:rFonts w:ascii="Arial" w:hAnsi="Arial" w:cs="Arial"/>
          <w:sz w:val="20"/>
          <w:szCs w:val="20"/>
        </w:rPr>
      </w:pPr>
    </w:p>
    <w:p w14:paraId="666FD6AE" w14:textId="77777777" w:rsidR="00985BEF" w:rsidRPr="006435D7" w:rsidRDefault="005E4919" w:rsidP="00985BEF">
      <w:pPr>
        <w:pStyle w:val="Heading3"/>
        <w:spacing w:before="0" w:line="240" w:lineRule="auto"/>
        <w:jc w:val="both"/>
        <w:rPr>
          <w:rStyle w:val="Strong"/>
          <w:rFonts w:ascii="Arial" w:hAnsi="Arial" w:cs="Arial"/>
          <w:b/>
          <w:bCs/>
          <w:color w:val="auto"/>
        </w:rPr>
      </w:pPr>
      <w:r w:rsidRPr="006435D7">
        <w:rPr>
          <w:rStyle w:val="Strong"/>
          <w:rFonts w:ascii="Arial" w:hAnsi="Arial" w:cs="Arial"/>
          <w:b/>
          <w:bCs/>
          <w:color w:val="auto"/>
        </w:rPr>
        <w:t xml:space="preserve">2.5 </w:t>
      </w:r>
      <w:r w:rsidR="001319C3" w:rsidRPr="006435D7">
        <w:rPr>
          <w:rStyle w:val="Strong"/>
          <w:rFonts w:ascii="Arial" w:hAnsi="Arial" w:cs="Arial"/>
          <w:b/>
          <w:bCs/>
          <w:color w:val="auto"/>
        </w:rPr>
        <w:t>Cointegration Analysis</w:t>
      </w:r>
    </w:p>
    <w:p w14:paraId="6B8BCAE4" w14:textId="77777777" w:rsidR="00E272CC" w:rsidRPr="006435D7" w:rsidRDefault="001319C3" w:rsidP="00CD5385">
      <w:pPr>
        <w:pStyle w:val="Heading3"/>
        <w:spacing w:before="0" w:line="480" w:lineRule="auto"/>
        <w:ind w:firstLine="720"/>
        <w:jc w:val="both"/>
        <w:rPr>
          <w:rStyle w:val="Strong"/>
          <w:rFonts w:ascii="Arial" w:hAnsi="Arial" w:cs="Arial"/>
          <w:b/>
          <w:bCs/>
          <w:color w:val="auto"/>
          <w:sz w:val="20"/>
          <w:szCs w:val="20"/>
        </w:rPr>
      </w:pPr>
      <w:r w:rsidRPr="006435D7">
        <w:rPr>
          <w:rFonts w:ascii="Arial" w:hAnsi="Arial" w:cs="Arial"/>
          <w:b w:val="0"/>
          <w:color w:val="auto"/>
          <w:sz w:val="20"/>
          <w:szCs w:val="20"/>
        </w:rPr>
        <w:t xml:space="preserve">Once variables are found to be integrated of the same order, the study examines long-run relationships using </w:t>
      </w:r>
      <w:r w:rsidRPr="006435D7">
        <w:rPr>
          <w:rStyle w:val="Strong"/>
          <w:rFonts w:ascii="Arial" w:hAnsi="Arial" w:cs="Arial"/>
          <w:color w:val="auto"/>
          <w:sz w:val="20"/>
          <w:szCs w:val="20"/>
        </w:rPr>
        <w:t>Johansen Cointegration</w:t>
      </w:r>
      <w:r w:rsidRPr="006435D7">
        <w:rPr>
          <w:rFonts w:ascii="Arial" w:hAnsi="Arial" w:cs="Arial"/>
          <w:b w:val="0"/>
          <w:color w:val="auto"/>
          <w:sz w:val="20"/>
          <w:szCs w:val="20"/>
        </w:rPr>
        <w:t xml:space="preserve"> and the </w:t>
      </w:r>
      <w:r w:rsidRPr="006435D7">
        <w:rPr>
          <w:rStyle w:val="Strong"/>
          <w:rFonts w:ascii="Arial" w:hAnsi="Arial" w:cs="Arial"/>
          <w:color w:val="auto"/>
          <w:sz w:val="20"/>
          <w:szCs w:val="20"/>
        </w:rPr>
        <w:t>Autoregressive Distributed Lag (ARDL)</w:t>
      </w:r>
      <w:r w:rsidRPr="006435D7">
        <w:rPr>
          <w:rStyle w:val="Strong"/>
          <w:rFonts w:ascii="Arial" w:hAnsi="Arial" w:cs="Arial"/>
          <w:b/>
          <w:color w:val="auto"/>
          <w:sz w:val="20"/>
          <w:szCs w:val="20"/>
        </w:rPr>
        <w:t xml:space="preserve"> </w:t>
      </w:r>
    </w:p>
    <w:p w14:paraId="6CF38C6E" w14:textId="77777777" w:rsidR="00E272CC" w:rsidRPr="006435D7" w:rsidRDefault="00E272CC" w:rsidP="00E272CC">
      <w:pPr>
        <w:pStyle w:val="NormalWeb"/>
        <w:rPr>
          <w:rFonts w:ascii="Arial" w:hAnsi="Arial" w:cs="Arial"/>
          <w:b/>
          <w:bCs/>
          <w:sz w:val="22"/>
          <w:szCs w:val="22"/>
        </w:rPr>
      </w:pPr>
      <w:r w:rsidRPr="006435D7">
        <w:rPr>
          <w:rStyle w:val="Strong"/>
          <w:rFonts w:ascii="Arial" w:hAnsi="Arial" w:cs="Arial"/>
          <w:sz w:val="22"/>
          <w:szCs w:val="22"/>
        </w:rPr>
        <w:t>Long-run functional relationship:</w:t>
      </w:r>
      <w:r w:rsidRPr="006435D7">
        <w:rPr>
          <w:rFonts w:ascii="Arial" w:hAnsi="Arial" w:cs="Arial"/>
          <w:sz w:val="22"/>
          <w:szCs w:val="22"/>
        </w:rPr>
        <w:br/>
      </w:r>
      <m:oMathPara>
        <m:oMath>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α</m:t>
          </m:r>
          <m:r>
            <m:rPr>
              <m:sty m:val="bi"/>
            </m:rPr>
            <w:rPr>
              <w:rFonts w:ascii="Cambria Math" w:hAnsi="Arial" w:cs="Arial"/>
              <w:sz w:val="22"/>
              <w:szCs w:val="22"/>
            </w:rPr>
            <m:t xml:space="preserve"> + </m:t>
          </m:r>
          <m:r>
            <m:rPr>
              <m:sty m:val="bi"/>
            </m:rPr>
            <w:rPr>
              <w:rFonts w:ascii="Cambria Math" w:hAnsi="Cambria Math" w:cs="Arial"/>
              <w:sz w:val="22"/>
              <w:szCs w:val="22"/>
            </w:rPr>
            <m:t>β₁C</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β₂K</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β₃L</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uₜ</m:t>
          </m:r>
        </m:oMath>
      </m:oMathPara>
    </w:p>
    <w:p w14:paraId="565F3EB0"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Where:</w:t>
      </w:r>
    </w:p>
    <w:p w14:paraId="1EF4C0FA" w14:textId="77777777" w:rsidR="00E272CC" w:rsidRPr="006435D7" w:rsidRDefault="00E272CC" w:rsidP="00E272CC">
      <w:pPr>
        <w:pStyle w:val="NormalWeb"/>
        <w:numPr>
          <w:ilvl w:val="0"/>
          <w:numId w:val="5"/>
        </w:numPr>
        <w:rPr>
          <w:rFonts w:ascii="Arial" w:hAnsi="Arial" w:cs="Arial"/>
          <w:sz w:val="20"/>
          <w:szCs w:val="20"/>
        </w:rPr>
      </w:pPr>
      <w:r w:rsidRPr="006435D7">
        <w:rPr>
          <w:rFonts w:ascii="Arial" w:hAnsi="Arial" w:cs="Arial"/>
          <w:sz w:val="20"/>
          <w:szCs w:val="20"/>
        </w:rPr>
        <w:t>Y</w:t>
      </w:r>
      <w:r w:rsidRPr="006435D7">
        <w:rPr>
          <w:rFonts w:cs="Arial"/>
          <w:sz w:val="20"/>
          <w:szCs w:val="20"/>
        </w:rPr>
        <w:t>ₜ</w:t>
      </w:r>
      <w:r w:rsidRPr="006435D7">
        <w:rPr>
          <w:rFonts w:ascii="Arial" w:hAnsi="Arial" w:cs="Arial"/>
          <w:sz w:val="20"/>
          <w:szCs w:val="20"/>
        </w:rPr>
        <w:t xml:space="preserve"> = real GDP</w:t>
      </w:r>
    </w:p>
    <w:p w14:paraId="2E9C04E6" w14:textId="77777777" w:rsidR="00E272CC" w:rsidRPr="006435D7" w:rsidRDefault="00E272CC" w:rsidP="00E272CC">
      <w:pPr>
        <w:pStyle w:val="NormalWeb"/>
        <w:numPr>
          <w:ilvl w:val="0"/>
          <w:numId w:val="5"/>
        </w:numPr>
        <w:rPr>
          <w:rFonts w:ascii="Arial" w:hAnsi="Arial" w:cs="Arial"/>
          <w:sz w:val="20"/>
          <w:szCs w:val="20"/>
        </w:rPr>
      </w:pPr>
      <w:r w:rsidRPr="006435D7">
        <w:rPr>
          <w:rFonts w:ascii="Arial" w:hAnsi="Arial" w:cs="Arial"/>
          <w:sz w:val="20"/>
          <w:szCs w:val="20"/>
        </w:rPr>
        <w:t>C</w:t>
      </w:r>
      <w:r w:rsidRPr="006435D7">
        <w:rPr>
          <w:rFonts w:cs="Arial"/>
          <w:sz w:val="20"/>
          <w:szCs w:val="20"/>
        </w:rPr>
        <w:t>ₜ</w:t>
      </w:r>
      <w:r w:rsidRPr="006435D7">
        <w:rPr>
          <w:rFonts w:ascii="Arial" w:hAnsi="Arial" w:cs="Arial"/>
          <w:sz w:val="20"/>
          <w:szCs w:val="20"/>
        </w:rPr>
        <w:t xml:space="preserve"> = coal consumption</w:t>
      </w:r>
    </w:p>
    <w:p w14:paraId="3274A95F" w14:textId="77777777" w:rsidR="00E272CC" w:rsidRPr="006435D7" w:rsidRDefault="00E272CC" w:rsidP="00E272CC">
      <w:pPr>
        <w:pStyle w:val="NormalWeb"/>
        <w:numPr>
          <w:ilvl w:val="0"/>
          <w:numId w:val="5"/>
        </w:numPr>
        <w:rPr>
          <w:rFonts w:ascii="Arial" w:hAnsi="Arial" w:cs="Arial"/>
          <w:sz w:val="20"/>
          <w:szCs w:val="20"/>
        </w:rPr>
      </w:pPr>
      <w:r w:rsidRPr="006435D7">
        <w:rPr>
          <w:rFonts w:ascii="Arial" w:hAnsi="Arial" w:cs="Arial"/>
          <w:sz w:val="20"/>
          <w:szCs w:val="20"/>
        </w:rPr>
        <w:t>K</w:t>
      </w:r>
      <w:r w:rsidRPr="006435D7">
        <w:rPr>
          <w:rFonts w:cs="Arial"/>
          <w:sz w:val="20"/>
          <w:szCs w:val="20"/>
        </w:rPr>
        <w:t>ₜ</w:t>
      </w:r>
      <w:r w:rsidRPr="006435D7">
        <w:rPr>
          <w:rFonts w:ascii="Arial" w:hAnsi="Arial" w:cs="Arial"/>
          <w:sz w:val="20"/>
          <w:szCs w:val="20"/>
        </w:rPr>
        <w:t xml:space="preserve"> = capital formation</w:t>
      </w:r>
    </w:p>
    <w:p w14:paraId="409275BB" w14:textId="77777777" w:rsidR="00E272CC" w:rsidRPr="006435D7" w:rsidRDefault="00E272CC" w:rsidP="00E272CC">
      <w:pPr>
        <w:pStyle w:val="NormalWeb"/>
        <w:numPr>
          <w:ilvl w:val="0"/>
          <w:numId w:val="5"/>
        </w:numPr>
        <w:rPr>
          <w:rFonts w:ascii="Arial" w:hAnsi="Arial" w:cs="Arial"/>
          <w:sz w:val="20"/>
          <w:szCs w:val="20"/>
        </w:rPr>
      </w:pPr>
      <w:r w:rsidRPr="006435D7">
        <w:rPr>
          <w:rFonts w:ascii="Arial" w:hAnsi="Arial" w:cs="Arial"/>
          <w:sz w:val="20"/>
          <w:szCs w:val="20"/>
        </w:rPr>
        <w:t>L</w:t>
      </w:r>
      <w:r w:rsidRPr="006435D7">
        <w:rPr>
          <w:rFonts w:cs="Arial"/>
          <w:sz w:val="20"/>
          <w:szCs w:val="20"/>
        </w:rPr>
        <w:t>ₜ</w:t>
      </w:r>
      <w:r w:rsidRPr="006435D7">
        <w:rPr>
          <w:rFonts w:ascii="Arial" w:hAnsi="Arial" w:cs="Arial"/>
          <w:sz w:val="20"/>
          <w:szCs w:val="20"/>
        </w:rPr>
        <w:t xml:space="preserve"> = </w:t>
      </w:r>
      <w:proofErr w:type="spellStart"/>
      <w:r w:rsidRPr="006435D7">
        <w:rPr>
          <w:rFonts w:ascii="Arial" w:hAnsi="Arial" w:cs="Arial"/>
          <w:sz w:val="20"/>
          <w:szCs w:val="20"/>
        </w:rPr>
        <w:t>labour</w:t>
      </w:r>
      <w:proofErr w:type="spellEnd"/>
      <w:r w:rsidRPr="006435D7">
        <w:rPr>
          <w:rFonts w:ascii="Arial" w:hAnsi="Arial" w:cs="Arial"/>
          <w:sz w:val="20"/>
          <w:szCs w:val="20"/>
        </w:rPr>
        <w:t xml:space="preserve"> force</w:t>
      </w:r>
    </w:p>
    <w:p w14:paraId="4DBB6711" w14:textId="77777777" w:rsidR="00E272CC" w:rsidRPr="006435D7" w:rsidRDefault="00E272CC" w:rsidP="00E272CC">
      <w:pPr>
        <w:pStyle w:val="NormalWeb"/>
        <w:numPr>
          <w:ilvl w:val="0"/>
          <w:numId w:val="5"/>
        </w:numPr>
        <w:rPr>
          <w:rFonts w:ascii="Arial" w:hAnsi="Arial" w:cs="Arial"/>
          <w:sz w:val="20"/>
          <w:szCs w:val="20"/>
        </w:rPr>
      </w:pPr>
      <w:r w:rsidRPr="006435D7">
        <w:rPr>
          <w:rFonts w:ascii="Arial" w:hAnsi="Arial" w:cs="Arial"/>
          <w:sz w:val="20"/>
          <w:szCs w:val="20"/>
        </w:rPr>
        <w:t>u</w:t>
      </w:r>
      <w:r w:rsidRPr="006435D7">
        <w:rPr>
          <w:rFonts w:cs="Arial"/>
          <w:sz w:val="20"/>
          <w:szCs w:val="20"/>
        </w:rPr>
        <w:t>ₜ</w:t>
      </w:r>
      <w:r w:rsidRPr="006435D7">
        <w:rPr>
          <w:rFonts w:ascii="Arial" w:hAnsi="Arial" w:cs="Arial"/>
          <w:sz w:val="20"/>
          <w:szCs w:val="20"/>
        </w:rPr>
        <w:t xml:space="preserve"> = error term</w:t>
      </w:r>
    </w:p>
    <w:p w14:paraId="296DD2BD" w14:textId="77777777" w:rsidR="00E272CC" w:rsidRPr="006435D7" w:rsidRDefault="00E272CC" w:rsidP="00E272CC">
      <w:pPr>
        <w:pStyle w:val="NormalWeb"/>
        <w:rPr>
          <w:rFonts w:ascii="Arial" w:hAnsi="Arial" w:cs="Arial"/>
          <w:b/>
          <w:bCs/>
          <w:sz w:val="22"/>
          <w:szCs w:val="22"/>
        </w:rPr>
      </w:pPr>
      <w:r w:rsidRPr="006435D7">
        <w:rPr>
          <w:rStyle w:val="Strong"/>
          <w:rFonts w:ascii="Arial" w:hAnsi="Arial" w:cs="Arial"/>
          <w:sz w:val="22"/>
          <w:szCs w:val="22"/>
        </w:rPr>
        <w:t>ARDL Model form:</w:t>
      </w:r>
      <w:r w:rsidRPr="006435D7">
        <w:rPr>
          <w:rFonts w:ascii="Arial" w:hAnsi="Arial" w:cs="Arial"/>
          <w:sz w:val="22"/>
          <w:szCs w:val="22"/>
        </w:rPr>
        <w:br/>
      </w:r>
      <m:oMathPara>
        <m:oMath>
          <m:r>
            <m:rPr>
              <m:sty m:val="bi"/>
            </m:rPr>
            <w:rPr>
              <w:rFonts w:ascii="Cambria Math" w:hAnsi="Cambria Math" w:cs="Arial"/>
              <w:sz w:val="22"/>
              <w:szCs w:val="22"/>
            </w:rPr>
            <m:t>ΔY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α</m:t>
          </m:r>
          <m:r>
            <m:rPr>
              <m:sty m:val="bi"/>
            </m:rPr>
            <w:rPr>
              <w:rFonts w:ascii="Arial" w:hAnsi="Cambria Math" w:cs="Arial"/>
              <w:sz w:val="22"/>
              <w:szCs w:val="22"/>
            </w:rPr>
            <m:t>₀</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φ</m:t>
          </m:r>
          <m:r>
            <m:rPr>
              <m:sty m:val="bi"/>
            </m:rPr>
            <w:rPr>
              <w:rFonts w:ascii="Arial" w:hAnsi="Arial" w:cs="Arial"/>
              <w:sz w:val="22"/>
              <w:szCs w:val="22"/>
            </w:rPr>
            <m:t>ᵢ</m:t>
          </m:r>
          <m:r>
            <m:rPr>
              <m:sty m:val="bi"/>
            </m:rPr>
            <w:rPr>
              <w:rFonts w:ascii="Cambria Math" w:hAnsi="Arial" w:cs="Arial"/>
              <w:sz w:val="22"/>
              <w:szCs w:val="22"/>
            </w:rPr>
            <m:t xml:space="preserve"> </m:t>
          </m:r>
          <m:r>
            <m:rPr>
              <m:sty m:val="bi"/>
            </m:rPr>
            <w:rPr>
              <w:rFonts w:ascii="Cambria Math" w:hAnsi="Cambria Math" w:cs="Arial"/>
              <w:sz w:val="22"/>
              <w:szCs w:val="22"/>
            </w:rPr>
            <m:t>ΔY</m:t>
          </m:r>
          <m:r>
            <m:rPr>
              <m:sty m:val="bi"/>
            </m:rPr>
            <w:rPr>
              <w:rFonts w:ascii="Arial" w:hAnsi="Cambria Math" w:cs="Arial"/>
              <w:sz w:val="22"/>
              <w:szCs w:val="22"/>
            </w:rPr>
            <m:t>ₜ₋</m:t>
          </m:r>
          <m:r>
            <m:rPr>
              <m:sty m:val="bi"/>
            </m:rPr>
            <w:rPr>
              <w:rFonts w:ascii="Arial" w:hAnsi="Arial" w:cs="Arial"/>
              <w:sz w:val="22"/>
              <w:szCs w:val="22"/>
            </w:rPr>
            <m:t>ᵢ</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β</m:t>
          </m:r>
          <m:r>
            <m:rPr>
              <m:sty m:val="bi"/>
            </m:rPr>
            <w:rPr>
              <w:rFonts w:ascii="Cambria Math" w:hAnsi="Arial" w:cs="Arial"/>
              <w:sz w:val="22"/>
              <w:szCs w:val="22"/>
            </w:rPr>
            <m:t>ⱼ</m:t>
          </m:r>
          <m:r>
            <m:rPr>
              <m:sty m:val="bi"/>
            </m:rPr>
            <w:rPr>
              <w:rFonts w:ascii="Cambria Math" w:hAnsi="Arial" w:cs="Arial"/>
              <w:sz w:val="22"/>
              <w:szCs w:val="22"/>
            </w:rPr>
            <m:t xml:space="preserve"> </m:t>
          </m:r>
          <m:r>
            <m:rPr>
              <m:sty m:val="bi"/>
            </m:rPr>
            <w:rPr>
              <w:rFonts w:ascii="Cambria Math" w:hAnsi="Cambria Math" w:cs="Arial"/>
              <w:sz w:val="22"/>
              <w:szCs w:val="22"/>
            </w:rPr>
            <m:t>ΔC</m:t>
          </m:r>
          <m:r>
            <m:rPr>
              <m:sty m:val="bi"/>
            </m:rPr>
            <w:rPr>
              <w:rFonts w:ascii="Arial" w:hAnsi="Cambria Math" w:cs="Arial"/>
              <w:sz w:val="22"/>
              <w:szCs w:val="22"/>
            </w:rPr>
            <m:t>ₜ₋</m:t>
          </m:r>
          <m:r>
            <m:rPr>
              <m:sty m:val="bi"/>
            </m:rPr>
            <w:rPr>
              <w:rFonts w:ascii="Arial" w:hAnsi="Arial" w:cs="Arial"/>
              <w:sz w:val="22"/>
              <w:szCs w:val="22"/>
            </w:rPr>
            <m:t>ⱼ</m:t>
          </m:r>
          <m:r>
            <m:rPr>
              <m:sty m:val="bi"/>
            </m:rPr>
            <w:rPr>
              <w:rFonts w:ascii="Cambria Math" w:hAnsi="Arial" w:cs="Arial"/>
              <w:sz w:val="22"/>
              <w:szCs w:val="22"/>
            </w:rPr>
            <m:t xml:space="preserve">) + </m:t>
          </m:r>
          <m:r>
            <m:rPr>
              <m:sty m:val="bi"/>
            </m:rPr>
            <w:rPr>
              <w:rFonts w:ascii="Cambria Math" w:hAnsi="Cambria Math" w:cs="Arial"/>
              <w:sz w:val="22"/>
              <w:szCs w:val="22"/>
            </w:rPr>
            <m:t>λ₁Y</m:t>
          </m:r>
          <m:r>
            <m:rPr>
              <m:sty m:val="bi"/>
            </m:rPr>
            <w:rPr>
              <w:rFonts w:ascii="Arial" w:hAnsi="Cambria Math" w:cs="Arial"/>
              <w:sz w:val="22"/>
              <w:szCs w:val="22"/>
            </w:rPr>
            <m:t>ₜ₋₁</m:t>
          </m:r>
          <m:r>
            <m:rPr>
              <m:sty m:val="bi"/>
            </m:rPr>
            <w:rPr>
              <w:rFonts w:ascii="Cambria Math" w:hAnsi="Arial" w:cs="Arial"/>
              <w:sz w:val="22"/>
              <w:szCs w:val="22"/>
            </w:rPr>
            <m:t xml:space="preserve"> + </m:t>
          </m:r>
          <m:r>
            <m:rPr>
              <m:sty m:val="bi"/>
            </m:rPr>
            <w:rPr>
              <w:rFonts w:ascii="Cambria Math" w:hAnsi="Cambria Math" w:cs="Arial"/>
              <w:sz w:val="22"/>
              <w:szCs w:val="22"/>
            </w:rPr>
            <m:t>λ₂C</m:t>
          </m:r>
          <m:r>
            <m:rPr>
              <m:sty m:val="bi"/>
            </m:rPr>
            <w:rPr>
              <w:rFonts w:ascii="Arial" w:hAnsi="Cambria Math" w:cs="Arial"/>
              <w:sz w:val="22"/>
              <w:szCs w:val="22"/>
            </w:rPr>
            <m:t>ₜ₋₁</m:t>
          </m:r>
          <m:r>
            <m:rPr>
              <m:sty m:val="bi"/>
            </m:rPr>
            <w:rPr>
              <w:rFonts w:ascii="Cambria Math" w:hAnsi="Arial" w:cs="Arial"/>
              <w:sz w:val="22"/>
              <w:szCs w:val="22"/>
            </w:rPr>
            <m:t xml:space="preserve"> + </m:t>
          </m:r>
          <m:r>
            <m:rPr>
              <m:sty m:val="bi"/>
            </m:rPr>
            <w:rPr>
              <w:rFonts w:ascii="Cambria Math" w:hAnsi="Cambria Math" w:cs="Arial"/>
              <w:sz w:val="22"/>
              <w:szCs w:val="22"/>
            </w:rPr>
            <m:t>εₜ</m:t>
          </m:r>
        </m:oMath>
      </m:oMathPara>
    </w:p>
    <w:p w14:paraId="753A7526" w14:textId="77777777" w:rsidR="00E272CC" w:rsidRPr="006435D7" w:rsidRDefault="00E272CC" w:rsidP="00CD5385">
      <w:pPr>
        <w:pStyle w:val="NormalWeb"/>
        <w:spacing w:line="480" w:lineRule="auto"/>
        <w:rPr>
          <w:rFonts w:ascii="Arial" w:hAnsi="Arial" w:cs="Arial"/>
          <w:sz w:val="20"/>
          <w:szCs w:val="20"/>
        </w:rPr>
      </w:pPr>
      <w:r w:rsidRPr="006435D7">
        <w:rPr>
          <w:rFonts w:ascii="Arial" w:hAnsi="Arial" w:cs="Arial"/>
          <w:sz w:val="20"/>
          <w:szCs w:val="20"/>
        </w:rPr>
        <w:t xml:space="preserve">The </w:t>
      </w:r>
      <w:r w:rsidRPr="006435D7">
        <w:rPr>
          <w:rStyle w:val="Strong"/>
          <w:rFonts w:ascii="Arial" w:hAnsi="Arial" w:cs="Arial"/>
          <w:b w:val="0"/>
          <w:sz w:val="20"/>
          <w:szCs w:val="20"/>
        </w:rPr>
        <w:t>F-statistic</w:t>
      </w:r>
      <w:r w:rsidRPr="006435D7">
        <w:rPr>
          <w:rFonts w:ascii="Arial" w:hAnsi="Arial" w:cs="Arial"/>
          <w:sz w:val="20"/>
          <w:szCs w:val="20"/>
        </w:rPr>
        <w:t xml:space="preserve"> on the lagged level variables tests for the existence of cointegration (Bounds Test).</w:t>
      </w:r>
    </w:p>
    <w:p w14:paraId="5EAD2080" w14:textId="77777777" w:rsidR="001319C3" w:rsidRPr="006435D7" w:rsidRDefault="005E4919" w:rsidP="00D84BE6">
      <w:pPr>
        <w:pStyle w:val="Heading3"/>
        <w:spacing w:before="0" w:line="240" w:lineRule="auto"/>
        <w:jc w:val="both"/>
        <w:rPr>
          <w:rFonts w:ascii="Arial" w:hAnsi="Arial" w:cs="Arial"/>
          <w:color w:val="auto"/>
        </w:rPr>
      </w:pPr>
      <w:r w:rsidRPr="006435D7">
        <w:rPr>
          <w:rStyle w:val="Strong"/>
          <w:rFonts w:ascii="Arial" w:eastAsia="Times New Roman" w:hAnsi="Arial" w:cs="Arial"/>
          <w:b/>
          <w:color w:val="auto"/>
          <w:lang w:val="en-US"/>
        </w:rPr>
        <w:t xml:space="preserve">2.6 </w:t>
      </w:r>
      <w:r w:rsidR="001319C3" w:rsidRPr="006435D7">
        <w:rPr>
          <w:rStyle w:val="Strong"/>
          <w:rFonts w:ascii="Arial" w:hAnsi="Arial" w:cs="Arial"/>
          <w:b/>
          <w:bCs/>
          <w:color w:val="auto"/>
        </w:rPr>
        <w:t>Error Correction Model (ECM)</w:t>
      </w:r>
    </w:p>
    <w:p w14:paraId="32C4A558" w14:textId="77777777" w:rsidR="001319C3" w:rsidRPr="006435D7" w:rsidRDefault="001319C3" w:rsidP="00CD538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To capture short-run dynamics and the speed of adjustment toward equilibrium, the ECM is estimated as:</w:t>
      </w:r>
    </w:p>
    <w:p w14:paraId="3D07E873" w14:textId="77777777" w:rsidR="00E272CC" w:rsidRPr="006435D7" w:rsidRDefault="00E272CC" w:rsidP="00090D5F">
      <w:pPr>
        <w:pStyle w:val="NormalWeb"/>
        <w:rPr>
          <w:rFonts w:ascii="Arial" w:hAnsi="Arial" w:cs="Arial"/>
          <w:b/>
          <w:bCs/>
          <w:sz w:val="22"/>
          <w:szCs w:val="22"/>
        </w:rPr>
      </w:pPr>
      <w:r w:rsidRPr="006435D7">
        <w:rPr>
          <w:rStyle w:val="Strong"/>
          <w:rFonts w:ascii="Arial" w:hAnsi="Arial" w:cs="Arial"/>
          <w:sz w:val="22"/>
          <w:szCs w:val="22"/>
        </w:rPr>
        <w:t>ECM equation:</w:t>
      </w:r>
      <w:r w:rsidRPr="006435D7">
        <w:rPr>
          <w:rFonts w:ascii="Arial" w:hAnsi="Arial" w:cs="Arial"/>
          <w:sz w:val="22"/>
          <w:szCs w:val="22"/>
        </w:rPr>
        <w:br/>
      </w:r>
      <m:oMathPara>
        <m:oMath>
          <m:r>
            <m:rPr>
              <m:sty m:val="bi"/>
            </m:rPr>
            <w:rPr>
              <w:rFonts w:ascii="Cambria Math" w:hAnsi="Cambria Math" w:cs="Arial"/>
              <w:sz w:val="22"/>
              <w:szCs w:val="22"/>
            </w:rPr>
            <m:t>ΔY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μ</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α</m:t>
          </m:r>
          <m:r>
            <m:rPr>
              <m:sty m:val="bi"/>
            </m:rPr>
            <w:rPr>
              <w:rFonts w:ascii="Arial" w:hAnsi="Arial" w:cs="Arial"/>
              <w:sz w:val="22"/>
              <w:szCs w:val="22"/>
            </w:rPr>
            <m:t>ᵢ</m:t>
          </m:r>
          <m:r>
            <m:rPr>
              <m:sty m:val="bi"/>
            </m:rPr>
            <w:rPr>
              <w:rFonts w:ascii="Cambria Math" w:hAnsi="Arial" w:cs="Arial"/>
              <w:sz w:val="22"/>
              <w:szCs w:val="22"/>
            </w:rPr>
            <m:t xml:space="preserve"> </m:t>
          </m:r>
          <m:r>
            <m:rPr>
              <m:sty m:val="bi"/>
            </m:rPr>
            <w:rPr>
              <w:rFonts w:ascii="Cambria Math" w:hAnsi="Cambria Math" w:cs="Arial"/>
              <w:sz w:val="22"/>
              <w:szCs w:val="22"/>
            </w:rPr>
            <m:t>ΔY</m:t>
          </m:r>
          <m:r>
            <m:rPr>
              <m:sty m:val="bi"/>
            </m:rPr>
            <w:rPr>
              <w:rFonts w:ascii="Arial" w:hAnsi="Cambria Math" w:cs="Arial"/>
              <w:sz w:val="22"/>
              <w:szCs w:val="22"/>
            </w:rPr>
            <m:t>ₜ₋</m:t>
          </m:r>
          <m:r>
            <m:rPr>
              <m:sty m:val="bi"/>
            </m:rPr>
            <w:rPr>
              <w:rFonts w:ascii="Arial" w:hAnsi="Arial" w:cs="Arial"/>
              <w:sz w:val="22"/>
              <w:szCs w:val="22"/>
            </w:rPr>
            <m:t>ᵢ</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β</m:t>
          </m:r>
          <m:r>
            <m:rPr>
              <m:sty m:val="bi"/>
            </m:rPr>
            <w:rPr>
              <w:rFonts w:ascii="Cambria Math" w:hAnsi="Arial" w:cs="Arial"/>
              <w:sz w:val="22"/>
              <w:szCs w:val="22"/>
            </w:rPr>
            <m:t>ⱼ</m:t>
          </m:r>
          <m:r>
            <m:rPr>
              <m:sty m:val="bi"/>
            </m:rPr>
            <w:rPr>
              <w:rFonts w:ascii="Cambria Math" w:hAnsi="Arial" w:cs="Arial"/>
              <w:sz w:val="22"/>
              <w:szCs w:val="22"/>
            </w:rPr>
            <m:t xml:space="preserve"> </m:t>
          </m:r>
          <m:r>
            <m:rPr>
              <m:sty m:val="bi"/>
            </m:rPr>
            <w:rPr>
              <w:rFonts w:ascii="Cambria Math" w:hAnsi="Cambria Math" w:cs="Arial"/>
              <w:sz w:val="22"/>
              <w:szCs w:val="22"/>
            </w:rPr>
            <m:t>ΔC</m:t>
          </m:r>
          <m:r>
            <m:rPr>
              <m:sty m:val="bi"/>
            </m:rPr>
            <w:rPr>
              <w:rFonts w:ascii="Arial" w:hAnsi="Cambria Math" w:cs="Arial"/>
              <w:sz w:val="22"/>
              <w:szCs w:val="22"/>
            </w:rPr>
            <m:t>ₜ₋</m:t>
          </m:r>
          <m:r>
            <m:rPr>
              <m:sty m:val="bi"/>
            </m:rPr>
            <w:rPr>
              <w:rFonts w:ascii="Arial" w:hAnsi="Arial" w:cs="Arial"/>
              <w:sz w:val="22"/>
              <w:szCs w:val="22"/>
            </w:rPr>
            <m:t>ⱼ</m:t>
          </m:r>
          <m:r>
            <m:rPr>
              <m:sty m:val="bi"/>
            </m:rPr>
            <w:rPr>
              <w:rFonts w:ascii="Cambria Math" w:hAnsi="Arial" w:cs="Arial"/>
              <w:sz w:val="22"/>
              <w:szCs w:val="22"/>
            </w:rPr>
            <m:t xml:space="preserve">) + </m:t>
          </m:r>
          <m:r>
            <m:rPr>
              <m:sty m:val="bi"/>
            </m:rPr>
            <w:rPr>
              <w:rFonts w:ascii="Cambria Math" w:hAnsi="Cambria Math" w:cs="Arial"/>
              <w:sz w:val="22"/>
              <w:szCs w:val="22"/>
            </w:rPr>
            <m:t>φEC</m:t>
          </m:r>
          <m:r>
            <m:rPr>
              <m:sty m:val="bi"/>
            </m:rPr>
            <w:rPr>
              <w:rFonts w:ascii="Arial" w:hAnsi="Cambria Math" w:cs="Arial"/>
              <w:sz w:val="22"/>
              <w:szCs w:val="22"/>
            </w:rPr>
            <m:t>ₜ₋₁</m:t>
          </m:r>
          <m:r>
            <m:rPr>
              <m:sty m:val="bi"/>
            </m:rPr>
            <w:rPr>
              <w:rFonts w:ascii="Cambria Math" w:hAnsi="Arial" w:cs="Arial"/>
              <w:sz w:val="22"/>
              <w:szCs w:val="22"/>
            </w:rPr>
            <m:t xml:space="preserve"> + </m:t>
          </m:r>
          <m:r>
            <m:rPr>
              <m:sty m:val="bi"/>
            </m:rPr>
            <w:rPr>
              <w:rFonts w:ascii="Cambria Math" w:hAnsi="Cambria Math" w:cs="Arial"/>
              <w:sz w:val="22"/>
              <w:szCs w:val="22"/>
            </w:rPr>
            <m:t>εₜ</m:t>
          </m:r>
        </m:oMath>
      </m:oMathPara>
    </w:p>
    <w:p w14:paraId="736D688E"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Where:</w:t>
      </w:r>
    </w:p>
    <w:p w14:paraId="4750F530" w14:textId="77777777" w:rsidR="00E272CC" w:rsidRPr="006435D7" w:rsidRDefault="00E272CC" w:rsidP="00E272CC">
      <w:pPr>
        <w:pStyle w:val="NormalWeb"/>
        <w:numPr>
          <w:ilvl w:val="0"/>
          <w:numId w:val="6"/>
        </w:numPr>
        <w:rPr>
          <w:rFonts w:ascii="Arial" w:hAnsi="Arial" w:cs="Arial"/>
          <w:sz w:val="20"/>
          <w:szCs w:val="20"/>
        </w:rPr>
      </w:pPr>
      <w:r w:rsidRPr="006435D7">
        <w:rPr>
          <w:rFonts w:ascii="Arial" w:hAnsi="Arial" w:cs="Arial"/>
          <w:sz w:val="20"/>
          <w:szCs w:val="20"/>
        </w:rPr>
        <w:lastRenderedPageBreak/>
        <w:t>EC</w:t>
      </w:r>
      <w:r w:rsidRPr="006435D7">
        <w:rPr>
          <w:rFonts w:cs="Arial"/>
          <w:sz w:val="20"/>
          <w:szCs w:val="20"/>
        </w:rPr>
        <w:t>ₜ₋₁</w:t>
      </w:r>
      <w:r w:rsidRPr="006435D7">
        <w:rPr>
          <w:rFonts w:ascii="Arial" w:hAnsi="Arial" w:cs="Arial"/>
          <w:sz w:val="20"/>
          <w:szCs w:val="20"/>
        </w:rPr>
        <w:t xml:space="preserve"> = (Y</w:t>
      </w:r>
      <w:r w:rsidRPr="006435D7">
        <w:rPr>
          <w:rFonts w:cs="Arial"/>
          <w:sz w:val="20"/>
          <w:szCs w:val="20"/>
        </w:rPr>
        <w:t>ₜ₋₁</w:t>
      </w:r>
      <w:r w:rsidRPr="006435D7">
        <w:rPr>
          <w:rFonts w:ascii="Arial" w:hAnsi="Arial" w:cs="Arial"/>
          <w:sz w:val="20"/>
          <w:szCs w:val="20"/>
        </w:rPr>
        <w:t xml:space="preserve"> − </w:t>
      </w:r>
      <w:proofErr w:type="spellStart"/>
      <w:r w:rsidRPr="006435D7">
        <w:rPr>
          <w:rFonts w:ascii="Arial" w:hAnsi="Arial" w:cs="Arial"/>
          <w:sz w:val="20"/>
          <w:szCs w:val="20"/>
        </w:rPr>
        <w:t>λ</w:t>
      </w:r>
      <w:r w:rsidRPr="006435D7">
        <w:rPr>
          <w:rFonts w:cs="Arial"/>
          <w:sz w:val="20"/>
          <w:szCs w:val="20"/>
        </w:rPr>
        <w:t>₁</w:t>
      </w:r>
      <w:r w:rsidRPr="006435D7">
        <w:rPr>
          <w:rFonts w:ascii="Arial" w:hAnsi="Arial" w:cs="Arial"/>
          <w:sz w:val="20"/>
          <w:szCs w:val="20"/>
        </w:rPr>
        <w:t>C</w:t>
      </w:r>
      <w:proofErr w:type="spellEnd"/>
      <w:r w:rsidRPr="006435D7">
        <w:rPr>
          <w:rFonts w:cs="Arial"/>
          <w:sz w:val="20"/>
          <w:szCs w:val="20"/>
        </w:rPr>
        <w:t>ₜ₋₁</w:t>
      </w:r>
      <w:r w:rsidRPr="006435D7">
        <w:rPr>
          <w:rFonts w:ascii="Arial" w:hAnsi="Arial" w:cs="Arial"/>
          <w:sz w:val="20"/>
          <w:szCs w:val="20"/>
        </w:rPr>
        <w:t xml:space="preserve"> − </w:t>
      </w:r>
      <w:proofErr w:type="spellStart"/>
      <w:r w:rsidRPr="006435D7">
        <w:rPr>
          <w:rFonts w:ascii="Arial" w:hAnsi="Arial" w:cs="Arial"/>
          <w:sz w:val="20"/>
          <w:szCs w:val="20"/>
        </w:rPr>
        <w:t>λ</w:t>
      </w:r>
      <w:r w:rsidRPr="006435D7">
        <w:rPr>
          <w:rFonts w:cs="Arial"/>
          <w:sz w:val="20"/>
          <w:szCs w:val="20"/>
        </w:rPr>
        <w:t>₂</w:t>
      </w:r>
      <w:r w:rsidRPr="006435D7">
        <w:rPr>
          <w:rFonts w:ascii="Arial" w:hAnsi="Arial" w:cs="Arial"/>
          <w:sz w:val="20"/>
          <w:szCs w:val="20"/>
        </w:rPr>
        <w:t>K</w:t>
      </w:r>
      <w:proofErr w:type="spellEnd"/>
      <w:r w:rsidRPr="006435D7">
        <w:rPr>
          <w:rFonts w:cs="Arial"/>
          <w:sz w:val="20"/>
          <w:szCs w:val="20"/>
        </w:rPr>
        <w:t>ₜ₋₁</w:t>
      </w:r>
      <w:r w:rsidRPr="006435D7">
        <w:rPr>
          <w:rFonts w:ascii="Arial" w:hAnsi="Arial" w:cs="Arial"/>
          <w:sz w:val="20"/>
          <w:szCs w:val="20"/>
        </w:rPr>
        <w:t xml:space="preserve"> − </w:t>
      </w:r>
      <w:proofErr w:type="spellStart"/>
      <w:r w:rsidRPr="006435D7">
        <w:rPr>
          <w:rFonts w:ascii="Arial" w:hAnsi="Arial" w:cs="Arial"/>
          <w:sz w:val="20"/>
          <w:szCs w:val="20"/>
        </w:rPr>
        <w:t>λ</w:t>
      </w:r>
      <w:r w:rsidRPr="006435D7">
        <w:rPr>
          <w:rFonts w:cs="Arial"/>
          <w:sz w:val="20"/>
          <w:szCs w:val="20"/>
        </w:rPr>
        <w:t>₃</w:t>
      </w:r>
      <w:r w:rsidRPr="006435D7">
        <w:rPr>
          <w:rFonts w:ascii="Arial" w:hAnsi="Arial" w:cs="Arial"/>
          <w:sz w:val="20"/>
          <w:szCs w:val="20"/>
        </w:rPr>
        <w:t>L</w:t>
      </w:r>
      <w:proofErr w:type="spellEnd"/>
      <w:r w:rsidRPr="006435D7">
        <w:rPr>
          <w:rFonts w:cs="Arial"/>
          <w:sz w:val="20"/>
          <w:szCs w:val="20"/>
        </w:rPr>
        <w:t>ₜ₋₁</w:t>
      </w:r>
      <w:r w:rsidRPr="006435D7">
        <w:rPr>
          <w:rFonts w:ascii="Arial" w:hAnsi="Arial" w:cs="Arial"/>
          <w:sz w:val="20"/>
          <w:szCs w:val="20"/>
        </w:rPr>
        <w:t>)</w:t>
      </w:r>
    </w:p>
    <w:p w14:paraId="07DB17F8" w14:textId="77777777" w:rsidR="00E272CC" w:rsidRPr="006435D7" w:rsidRDefault="00E272CC" w:rsidP="00E272CC">
      <w:pPr>
        <w:pStyle w:val="NormalWeb"/>
        <w:numPr>
          <w:ilvl w:val="0"/>
          <w:numId w:val="6"/>
        </w:numPr>
        <w:rPr>
          <w:rFonts w:ascii="Arial" w:hAnsi="Arial" w:cs="Arial"/>
          <w:sz w:val="20"/>
          <w:szCs w:val="20"/>
        </w:rPr>
      </w:pPr>
      <w:r w:rsidRPr="006435D7">
        <w:rPr>
          <w:rFonts w:ascii="Arial" w:hAnsi="Arial" w:cs="Arial"/>
          <w:sz w:val="20"/>
          <w:szCs w:val="20"/>
        </w:rPr>
        <w:t>φ = error correction coefficient (expected negative)</w:t>
      </w:r>
    </w:p>
    <w:p w14:paraId="7B333D49" w14:textId="77777777" w:rsidR="00E272CC" w:rsidRPr="006435D7" w:rsidRDefault="00E272CC" w:rsidP="00E272CC">
      <w:pPr>
        <w:pStyle w:val="NormalWeb"/>
        <w:numPr>
          <w:ilvl w:val="0"/>
          <w:numId w:val="6"/>
        </w:numPr>
        <w:rPr>
          <w:rFonts w:ascii="Arial" w:hAnsi="Arial" w:cs="Arial"/>
          <w:sz w:val="20"/>
          <w:szCs w:val="20"/>
        </w:rPr>
      </w:pPr>
      <w:r w:rsidRPr="006435D7">
        <w:rPr>
          <w:rFonts w:ascii="Arial" w:hAnsi="Arial" w:cs="Arial"/>
          <w:sz w:val="20"/>
          <w:szCs w:val="20"/>
        </w:rPr>
        <w:t>ε</w:t>
      </w:r>
      <w:r w:rsidRPr="006435D7">
        <w:rPr>
          <w:rFonts w:cs="Arial"/>
          <w:sz w:val="20"/>
          <w:szCs w:val="20"/>
        </w:rPr>
        <w:t>ₜ</w:t>
      </w:r>
      <w:r w:rsidRPr="006435D7">
        <w:rPr>
          <w:rFonts w:ascii="Arial" w:hAnsi="Arial" w:cs="Arial"/>
          <w:sz w:val="20"/>
          <w:szCs w:val="20"/>
        </w:rPr>
        <w:t xml:space="preserve"> = random error term</w:t>
      </w:r>
    </w:p>
    <w:p w14:paraId="77C3228F"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A significant and negative φ indicates convergence toward long-run equilibrium.</w:t>
      </w:r>
    </w:p>
    <w:p w14:paraId="1411D0B2" w14:textId="77777777" w:rsidR="00E272CC" w:rsidRPr="006435D7" w:rsidRDefault="00E272CC" w:rsidP="00D84BE6">
      <w:pPr>
        <w:pStyle w:val="NormalWeb"/>
        <w:spacing w:before="0" w:beforeAutospacing="0" w:after="0" w:afterAutospacing="0"/>
        <w:jc w:val="both"/>
        <w:rPr>
          <w:rFonts w:ascii="Arial" w:hAnsi="Arial" w:cs="Arial"/>
          <w:sz w:val="20"/>
          <w:szCs w:val="20"/>
        </w:rPr>
      </w:pPr>
    </w:p>
    <w:p w14:paraId="0A80032D" w14:textId="77777777" w:rsidR="001319C3" w:rsidRPr="00804AC3" w:rsidRDefault="005E4919" w:rsidP="00D84BE6">
      <w:pPr>
        <w:pStyle w:val="Heading3"/>
        <w:spacing w:before="0" w:line="240" w:lineRule="auto"/>
        <w:jc w:val="both"/>
        <w:rPr>
          <w:rFonts w:ascii="Arial" w:hAnsi="Arial" w:cs="Arial"/>
          <w:color w:val="auto"/>
        </w:rPr>
      </w:pPr>
      <w:r w:rsidRPr="00804AC3">
        <w:rPr>
          <w:rStyle w:val="Strong"/>
          <w:rFonts w:ascii="Arial" w:hAnsi="Arial" w:cs="Arial"/>
          <w:b/>
          <w:bCs/>
          <w:color w:val="auto"/>
        </w:rPr>
        <w:t xml:space="preserve">2.7 </w:t>
      </w:r>
      <w:r w:rsidR="001319C3" w:rsidRPr="00804AC3">
        <w:rPr>
          <w:rStyle w:val="Strong"/>
          <w:rFonts w:ascii="Arial" w:hAnsi="Arial" w:cs="Arial"/>
          <w:b/>
          <w:bCs/>
          <w:color w:val="auto"/>
        </w:rPr>
        <w:t>Granger Causality Test</w:t>
      </w:r>
    </w:p>
    <w:p w14:paraId="6C0685E6" w14:textId="77777777" w:rsidR="001319C3" w:rsidRPr="006435D7" w:rsidRDefault="001319C3" w:rsidP="00CD538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To explore the direction of causality, the study applies the </w:t>
      </w:r>
      <w:r w:rsidRPr="006435D7">
        <w:rPr>
          <w:rStyle w:val="Strong"/>
          <w:rFonts w:ascii="Arial" w:hAnsi="Arial" w:cs="Arial"/>
          <w:b w:val="0"/>
          <w:sz w:val="20"/>
          <w:szCs w:val="20"/>
        </w:rPr>
        <w:t>Granger causality test</w:t>
      </w:r>
      <w:r w:rsidRPr="006435D7">
        <w:rPr>
          <w:rFonts w:ascii="Arial" w:hAnsi="Arial" w:cs="Arial"/>
          <w:sz w:val="20"/>
          <w:szCs w:val="20"/>
        </w:rPr>
        <w:t xml:space="preserve"> within a Vector Error Correction Model (VECM) framework. The test examines whether lagged values of coal consumption significantly predict GDP and vice versa. Evidence of bidirectional causality implies a feedback relationship, while unidirectional causality supports either the energy-led growth or growth-led energy hypothesis.</w:t>
      </w:r>
    </w:p>
    <w:p w14:paraId="514BBD5E" w14:textId="77777777" w:rsidR="00090D5F" w:rsidRPr="00804AC3" w:rsidRDefault="00E272CC" w:rsidP="00090D5F">
      <w:pPr>
        <w:pStyle w:val="NormalWeb"/>
        <w:rPr>
          <w:rFonts w:ascii="Arial" w:hAnsi="Arial" w:cs="Arial"/>
          <w:b/>
          <w:bCs/>
          <w:sz w:val="22"/>
          <w:szCs w:val="22"/>
        </w:rPr>
      </w:pPr>
      <w:r w:rsidRPr="00804AC3">
        <w:rPr>
          <w:rStyle w:val="Strong"/>
          <w:rFonts w:ascii="Arial" w:hAnsi="Arial" w:cs="Arial"/>
          <w:sz w:val="22"/>
          <w:szCs w:val="22"/>
        </w:rPr>
        <w:t>Bivariate model:</w:t>
      </w:r>
      <w:r w:rsidRPr="00804AC3">
        <w:rPr>
          <w:rFonts w:ascii="Arial" w:hAnsi="Arial" w:cs="Arial"/>
          <w:sz w:val="22"/>
          <w:szCs w:val="22"/>
        </w:rPr>
        <w:br/>
      </w:r>
      <m:oMathPara>
        <m:oMath>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α</m:t>
          </m:r>
          <m:r>
            <m:rPr>
              <m:sty m:val="bi"/>
            </m:rPr>
            <w:rPr>
              <w:rFonts w:ascii="Arial" w:hAnsi="Cambria Math" w:cs="Arial"/>
              <w:sz w:val="22"/>
              <w:szCs w:val="22"/>
            </w:rPr>
            <m:t>₀</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α</m:t>
          </m:r>
          <m:r>
            <m:rPr>
              <m:sty m:val="bi"/>
            </m:rPr>
            <w:rPr>
              <w:rFonts w:ascii="Arial" w:hAnsi="Arial" w:cs="Arial"/>
              <w:sz w:val="22"/>
              <w:szCs w:val="22"/>
            </w:rPr>
            <m:t>ᵢ</m:t>
          </m:r>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Arial" w:hAnsi="Arial" w:cs="Arial"/>
              <w:sz w:val="22"/>
              <w:szCs w:val="22"/>
            </w:rPr>
            <m:t>ᵢ</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β</m:t>
          </m:r>
          <m:r>
            <m:rPr>
              <m:sty m:val="bi"/>
            </m:rPr>
            <w:rPr>
              <w:rFonts w:ascii="Cambria Math" w:hAnsi="Arial" w:cs="Arial"/>
              <w:sz w:val="22"/>
              <w:szCs w:val="22"/>
            </w:rPr>
            <m:t>ⱼ</m:t>
          </m:r>
          <m:r>
            <m:rPr>
              <m:sty m:val="bi"/>
            </m:rPr>
            <w:rPr>
              <w:rFonts w:ascii="Cambria Math" w:hAnsi="Cambria Math" w:cs="Arial"/>
              <w:sz w:val="22"/>
              <w:szCs w:val="22"/>
            </w:rPr>
            <m:t>C</m:t>
          </m:r>
          <m:r>
            <m:rPr>
              <m:sty m:val="bi"/>
            </m:rPr>
            <w:rPr>
              <w:rFonts w:ascii="Arial" w:hAnsi="Cambria Math" w:cs="Arial"/>
              <w:sz w:val="22"/>
              <w:szCs w:val="22"/>
            </w:rPr>
            <m:t>ₜ₋</m:t>
          </m:r>
          <m:r>
            <m:rPr>
              <m:sty m:val="bi"/>
            </m:rPr>
            <w:rPr>
              <w:rFonts w:ascii="Arial" w:hAnsi="Arial" w:cs="Arial"/>
              <w:sz w:val="22"/>
              <w:szCs w:val="22"/>
            </w:rPr>
            <m:t>ⱼ</m:t>
          </m:r>
          <m:r>
            <m:rPr>
              <m:sty m:val="bi"/>
            </m:rPr>
            <w:rPr>
              <w:rFonts w:ascii="Cambria Math" w:hAnsi="Arial" w:cs="Arial"/>
              <w:sz w:val="22"/>
              <w:szCs w:val="22"/>
            </w:rPr>
            <m:t xml:space="preserve">) + </m:t>
          </m:r>
          <m:r>
            <m:rPr>
              <m:sty m:val="bi"/>
            </m:rPr>
            <w:rPr>
              <w:rFonts w:ascii="Cambria Math" w:hAnsi="Cambria Math" w:cs="Arial"/>
              <w:sz w:val="22"/>
              <w:szCs w:val="22"/>
            </w:rPr>
            <m:t>ε₁ₜ</m:t>
          </m:r>
          <m:r>
            <m:rPr>
              <m:sty m:val="p"/>
            </m:rPr>
            <w:rPr>
              <w:rFonts w:ascii="Cambria Math" w:hAnsi="Arial" w:cs="Arial"/>
              <w:sz w:val="22"/>
              <w:szCs w:val="22"/>
            </w:rPr>
            <w:br/>
          </m:r>
        </m:oMath>
        <m:oMath>
          <m:r>
            <m:rPr>
              <m:sty m:val="bi"/>
            </m:rPr>
            <w:rPr>
              <w:rFonts w:ascii="Cambria Math" w:hAnsi="Cambria Math" w:cs="Arial"/>
              <w:sz w:val="22"/>
              <w:szCs w:val="22"/>
            </w:rPr>
            <m:t>C</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γ</m:t>
          </m:r>
          <m:r>
            <m:rPr>
              <m:sty m:val="bi"/>
            </m:rPr>
            <w:rPr>
              <w:rFonts w:ascii="Arial" w:hAnsi="Cambria Math" w:cs="Arial"/>
              <w:sz w:val="22"/>
              <w:szCs w:val="22"/>
            </w:rPr>
            <m:t>₀</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γ</m:t>
          </m:r>
          <m:r>
            <m:rPr>
              <m:sty m:val="bi"/>
            </m:rPr>
            <w:rPr>
              <w:rFonts w:ascii="Arial" w:hAnsi="Arial" w:cs="Arial"/>
              <w:sz w:val="22"/>
              <w:szCs w:val="22"/>
            </w:rPr>
            <m:t>ᵢ</m:t>
          </m:r>
          <m:r>
            <m:rPr>
              <m:sty m:val="bi"/>
            </m:rPr>
            <w:rPr>
              <w:rFonts w:ascii="Cambria Math" w:hAnsi="Cambria Math" w:cs="Arial"/>
              <w:sz w:val="22"/>
              <w:szCs w:val="22"/>
            </w:rPr>
            <m:t>C</m:t>
          </m:r>
          <m:r>
            <m:rPr>
              <m:sty m:val="bi"/>
            </m:rPr>
            <w:rPr>
              <w:rFonts w:ascii="Arial" w:hAnsi="Cambria Math" w:cs="Arial"/>
              <w:sz w:val="22"/>
              <w:szCs w:val="22"/>
            </w:rPr>
            <m:t>ₜ₋</m:t>
          </m:r>
          <m:r>
            <m:rPr>
              <m:sty m:val="bi"/>
            </m:rPr>
            <w:rPr>
              <w:rFonts w:ascii="Arial" w:hAnsi="Arial" w:cs="Arial"/>
              <w:sz w:val="22"/>
              <w:szCs w:val="22"/>
            </w:rPr>
            <m:t>ᵢ</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δ</m:t>
          </m:r>
          <m:r>
            <m:rPr>
              <m:sty m:val="bi"/>
            </m:rPr>
            <w:rPr>
              <w:rFonts w:ascii="Cambria Math" w:hAnsi="Arial" w:cs="Arial"/>
              <w:sz w:val="22"/>
              <w:szCs w:val="22"/>
            </w:rPr>
            <m:t>ⱼ</m:t>
          </m:r>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Arial" w:hAnsi="Arial" w:cs="Arial"/>
              <w:sz w:val="22"/>
              <w:szCs w:val="22"/>
            </w:rPr>
            <m:t>ⱼ</m:t>
          </m:r>
          <m:r>
            <m:rPr>
              <m:sty m:val="bi"/>
            </m:rPr>
            <w:rPr>
              <w:rFonts w:ascii="Cambria Math" w:hAnsi="Arial" w:cs="Arial"/>
              <w:sz w:val="22"/>
              <w:szCs w:val="22"/>
            </w:rPr>
            <m:t xml:space="preserve">) + </m:t>
          </m:r>
          <m:r>
            <m:rPr>
              <m:sty m:val="bi"/>
            </m:rPr>
            <w:rPr>
              <w:rFonts w:ascii="Cambria Math" w:hAnsi="Cambria Math" w:cs="Arial"/>
              <w:sz w:val="22"/>
              <w:szCs w:val="22"/>
            </w:rPr>
            <m:t>ε₂ₜ</m:t>
          </m:r>
        </m:oMath>
      </m:oMathPara>
    </w:p>
    <w:p w14:paraId="61AC9FE1"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If βⱼ ≠ 0, then coal consumption Granger-causes GDP.</w:t>
      </w:r>
      <w:r w:rsidRPr="006435D7">
        <w:rPr>
          <w:rFonts w:ascii="Arial" w:hAnsi="Arial" w:cs="Arial"/>
          <w:sz w:val="20"/>
          <w:szCs w:val="20"/>
        </w:rPr>
        <w:br/>
        <w:t>If δⱼ ≠ 0, then GDP Granger-causes coal consumption.</w:t>
      </w:r>
    </w:p>
    <w:p w14:paraId="367E67AF" w14:textId="77777777" w:rsidR="00E272CC" w:rsidRPr="006435D7" w:rsidRDefault="00E272CC" w:rsidP="00E272CC">
      <w:pPr>
        <w:pStyle w:val="NormalWeb"/>
        <w:spacing w:before="0" w:beforeAutospacing="0" w:after="0" w:afterAutospacing="0"/>
        <w:ind w:left="720"/>
        <w:jc w:val="both"/>
        <w:rPr>
          <w:rFonts w:ascii="Arial" w:hAnsi="Arial" w:cs="Arial"/>
          <w:sz w:val="20"/>
          <w:szCs w:val="20"/>
        </w:rPr>
      </w:pPr>
    </w:p>
    <w:p w14:paraId="2A5C8276" w14:textId="77777777" w:rsidR="00090D5F" w:rsidRPr="00804AC3" w:rsidRDefault="005E4919" w:rsidP="00090D5F">
      <w:pPr>
        <w:pStyle w:val="Heading3"/>
        <w:spacing w:before="0" w:line="240" w:lineRule="auto"/>
        <w:jc w:val="both"/>
        <w:rPr>
          <w:rStyle w:val="Strong"/>
          <w:rFonts w:ascii="Arial" w:hAnsi="Arial" w:cs="Arial"/>
          <w:b/>
          <w:bCs/>
          <w:color w:val="auto"/>
        </w:rPr>
      </w:pPr>
      <w:r w:rsidRPr="00804AC3">
        <w:rPr>
          <w:rStyle w:val="Strong"/>
          <w:rFonts w:ascii="Arial" w:hAnsi="Arial" w:cs="Arial"/>
          <w:b/>
          <w:bCs/>
          <w:color w:val="auto"/>
        </w:rPr>
        <w:t xml:space="preserve">2.8 </w:t>
      </w:r>
      <w:r w:rsidR="0061554C" w:rsidRPr="00804AC3">
        <w:rPr>
          <w:rStyle w:val="Strong"/>
          <w:rFonts w:ascii="Arial" w:hAnsi="Arial" w:cs="Arial"/>
          <w:b/>
          <w:bCs/>
          <w:color w:val="auto"/>
        </w:rPr>
        <w:t>Ordinary Least Squares (OLS)</w:t>
      </w:r>
    </w:p>
    <w:p w14:paraId="3A05B332" w14:textId="77777777" w:rsidR="00E272CC" w:rsidRPr="006435D7" w:rsidRDefault="00E272CC" w:rsidP="00090D5F">
      <w:pPr>
        <w:pStyle w:val="Heading3"/>
        <w:spacing w:before="0" w:line="240" w:lineRule="auto"/>
        <w:ind w:firstLine="720"/>
        <w:jc w:val="both"/>
        <w:rPr>
          <w:rFonts w:ascii="Arial" w:hAnsi="Arial" w:cs="Arial"/>
          <w:b w:val="0"/>
          <w:color w:val="auto"/>
          <w:sz w:val="20"/>
          <w:szCs w:val="20"/>
        </w:rPr>
      </w:pPr>
      <w:r w:rsidRPr="006435D7">
        <w:rPr>
          <w:rFonts w:ascii="Arial" w:hAnsi="Arial" w:cs="Arial"/>
          <w:b w:val="0"/>
          <w:color w:val="auto"/>
          <w:sz w:val="20"/>
          <w:szCs w:val="20"/>
        </w:rPr>
        <w:t>For comparative purposes, an OLS regression is estimated:</w:t>
      </w:r>
    </w:p>
    <w:p w14:paraId="07B86633" w14:textId="77777777" w:rsidR="00E272CC" w:rsidRPr="00804AC3" w:rsidRDefault="0070287B" w:rsidP="00E272CC">
      <w:pPr>
        <w:pStyle w:val="NormalWeb"/>
        <w:rPr>
          <w:rFonts w:ascii="Cambria Math" w:hAnsi="Arial" w:cs="Arial"/>
          <w:sz w:val="22"/>
          <w:szCs w:val="22"/>
          <w:oMath/>
        </w:rPr>
      </w:pPr>
      <m:oMathPara>
        <m:oMath>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α</m:t>
          </m:r>
          <m:r>
            <m:rPr>
              <m:sty m:val="bi"/>
            </m:rPr>
            <w:rPr>
              <w:rFonts w:ascii="Cambria Math" w:hAnsi="Arial" w:cs="Arial"/>
              <w:sz w:val="22"/>
              <w:szCs w:val="22"/>
            </w:rPr>
            <m:t xml:space="preserve"> + </m:t>
          </m:r>
          <m:r>
            <m:rPr>
              <m:sty m:val="bi"/>
            </m:rPr>
            <w:rPr>
              <w:rFonts w:ascii="Cambria Math" w:hAnsi="Cambria Math" w:cs="Arial"/>
              <w:sz w:val="22"/>
              <w:szCs w:val="22"/>
            </w:rPr>
            <m:t>βC</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εₜ</m:t>
          </m:r>
        </m:oMath>
      </m:oMathPara>
    </w:p>
    <w:p w14:paraId="48356E9F" w14:textId="77777777" w:rsidR="005E4919" w:rsidRPr="006435D7" w:rsidRDefault="00E272CC" w:rsidP="005E4919">
      <w:pPr>
        <w:pStyle w:val="NormalWeb"/>
        <w:spacing w:line="480" w:lineRule="auto"/>
        <w:rPr>
          <w:rFonts w:ascii="Arial" w:hAnsi="Arial" w:cs="Arial"/>
          <w:sz w:val="20"/>
          <w:szCs w:val="20"/>
        </w:rPr>
      </w:pPr>
      <w:r w:rsidRPr="006435D7">
        <w:rPr>
          <w:rFonts w:ascii="Arial" w:hAnsi="Arial" w:cs="Arial"/>
          <w:sz w:val="20"/>
          <w:szCs w:val="20"/>
        </w:rPr>
        <w:t>Although OLS provides a basic association, it ignores time dependence and should be interpreted cautiously when variables are non-stationary.</w:t>
      </w:r>
    </w:p>
    <w:p w14:paraId="44E1972A" w14:textId="77777777" w:rsidR="00804AC3" w:rsidRDefault="005E4919" w:rsidP="00804AC3">
      <w:pPr>
        <w:pStyle w:val="NormalWeb"/>
        <w:spacing w:before="0" w:beforeAutospacing="0" w:after="0" w:afterAutospacing="0"/>
        <w:rPr>
          <w:rFonts w:ascii="Arial" w:hAnsi="Arial" w:cs="Arial"/>
          <w:sz w:val="22"/>
          <w:szCs w:val="22"/>
        </w:rPr>
      </w:pPr>
      <w:r w:rsidRPr="00804AC3">
        <w:rPr>
          <w:rFonts w:ascii="Arial" w:hAnsi="Arial" w:cs="Arial"/>
          <w:b/>
          <w:sz w:val="22"/>
          <w:szCs w:val="22"/>
        </w:rPr>
        <w:t>2.9</w:t>
      </w:r>
      <w:r w:rsidRPr="00804AC3">
        <w:rPr>
          <w:rFonts w:ascii="Arial" w:hAnsi="Arial" w:cs="Arial"/>
          <w:sz w:val="22"/>
          <w:szCs w:val="22"/>
        </w:rPr>
        <w:t xml:space="preserve"> </w:t>
      </w:r>
      <w:r w:rsidR="001319C3" w:rsidRPr="00804AC3">
        <w:rPr>
          <w:rStyle w:val="Strong"/>
          <w:rFonts w:ascii="Arial" w:hAnsi="Arial" w:cs="Arial"/>
          <w:sz w:val="22"/>
          <w:szCs w:val="22"/>
        </w:rPr>
        <w:t>Dynamic Analysis and Robustness Checks</w:t>
      </w:r>
    </w:p>
    <w:p w14:paraId="1D70F216" w14:textId="77777777" w:rsidR="001319C3" w:rsidRPr="00804AC3" w:rsidRDefault="001319C3" w:rsidP="00804AC3">
      <w:pPr>
        <w:pStyle w:val="NormalWeb"/>
        <w:spacing w:before="0" w:beforeAutospacing="0" w:after="0" w:afterAutospacing="0" w:line="480" w:lineRule="auto"/>
        <w:ind w:firstLine="720"/>
        <w:jc w:val="both"/>
        <w:rPr>
          <w:rFonts w:ascii="Arial" w:hAnsi="Arial" w:cs="Arial"/>
          <w:sz w:val="22"/>
          <w:szCs w:val="22"/>
        </w:rPr>
      </w:pPr>
      <w:r w:rsidRPr="006435D7">
        <w:rPr>
          <w:rFonts w:ascii="Arial" w:hAnsi="Arial" w:cs="Arial"/>
          <w:sz w:val="20"/>
          <w:szCs w:val="20"/>
        </w:rPr>
        <w:t xml:space="preserve">Dynamic responses are further analyzed through </w:t>
      </w:r>
      <w:r w:rsidRPr="006435D7">
        <w:rPr>
          <w:rStyle w:val="Strong"/>
          <w:rFonts w:ascii="Arial" w:hAnsi="Arial" w:cs="Arial"/>
          <w:b w:val="0"/>
          <w:sz w:val="20"/>
          <w:szCs w:val="20"/>
        </w:rPr>
        <w:t>Impulse Response Functions (IRFs)</w:t>
      </w:r>
      <w:r w:rsidRPr="006435D7">
        <w:rPr>
          <w:rFonts w:ascii="Arial" w:hAnsi="Arial" w:cs="Arial"/>
          <w:b/>
          <w:sz w:val="20"/>
          <w:szCs w:val="20"/>
        </w:rPr>
        <w:t xml:space="preserve"> </w:t>
      </w:r>
      <w:r w:rsidRPr="006435D7">
        <w:rPr>
          <w:rFonts w:ascii="Arial" w:hAnsi="Arial" w:cs="Arial"/>
          <w:sz w:val="20"/>
          <w:szCs w:val="20"/>
        </w:rPr>
        <w:t>and</w:t>
      </w:r>
      <w:r w:rsidRPr="006435D7">
        <w:rPr>
          <w:rFonts w:ascii="Arial" w:hAnsi="Arial" w:cs="Arial"/>
          <w:b/>
          <w:sz w:val="20"/>
          <w:szCs w:val="20"/>
        </w:rPr>
        <w:t xml:space="preserve"> </w:t>
      </w:r>
      <w:r w:rsidRPr="006435D7">
        <w:rPr>
          <w:rStyle w:val="Strong"/>
          <w:rFonts w:ascii="Arial" w:hAnsi="Arial" w:cs="Arial"/>
          <w:b w:val="0"/>
          <w:sz w:val="20"/>
          <w:szCs w:val="20"/>
        </w:rPr>
        <w:t>Forecast Error Variance Decomposition (FEVD)</w:t>
      </w:r>
      <w:r w:rsidRPr="006435D7">
        <w:rPr>
          <w:rFonts w:ascii="Arial" w:hAnsi="Arial" w:cs="Arial"/>
          <w:sz w:val="20"/>
          <w:szCs w:val="20"/>
        </w:rPr>
        <w:t xml:space="preserve"> derived from the VECM, indicating the magnitude and persistence of shocks between variables. Robustness of the results is checked through diagnostic tests for autocorrelation, heteroskedasticity, and normality, alongside stability tests using </w:t>
      </w:r>
      <w:r w:rsidRPr="006435D7">
        <w:rPr>
          <w:rStyle w:val="Strong"/>
          <w:rFonts w:ascii="Arial" w:hAnsi="Arial" w:cs="Arial"/>
          <w:b w:val="0"/>
          <w:sz w:val="20"/>
          <w:szCs w:val="20"/>
        </w:rPr>
        <w:t>CUSUM</w:t>
      </w:r>
      <w:r w:rsidRPr="006435D7">
        <w:rPr>
          <w:rFonts w:ascii="Arial" w:hAnsi="Arial" w:cs="Arial"/>
          <w:sz w:val="20"/>
          <w:szCs w:val="20"/>
        </w:rPr>
        <w:t xml:space="preserve"> and </w:t>
      </w:r>
      <w:r w:rsidRPr="006435D7">
        <w:rPr>
          <w:rStyle w:val="Strong"/>
          <w:rFonts w:ascii="Arial" w:hAnsi="Arial" w:cs="Arial"/>
          <w:b w:val="0"/>
          <w:sz w:val="20"/>
          <w:szCs w:val="20"/>
        </w:rPr>
        <w:t>CUSUMSQ</w:t>
      </w:r>
      <w:r w:rsidRPr="006435D7">
        <w:rPr>
          <w:rFonts w:ascii="Arial" w:hAnsi="Arial" w:cs="Arial"/>
          <w:sz w:val="20"/>
          <w:szCs w:val="20"/>
        </w:rPr>
        <w:t xml:space="preserve"> procedures.</w:t>
      </w:r>
    </w:p>
    <w:p w14:paraId="110408F1" w14:textId="77777777" w:rsidR="00090D5F" w:rsidRPr="00804AC3" w:rsidRDefault="005E4919" w:rsidP="00090D5F">
      <w:pPr>
        <w:pStyle w:val="Heading3"/>
        <w:spacing w:before="0" w:line="240" w:lineRule="auto"/>
        <w:rPr>
          <w:rStyle w:val="Strong"/>
          <w:rFonts w:ascii="Arial" w:hAnsi="Arial" w:cs="Arial"/>
          <w:b/>
          <w:bCs/>
          <w:color w:val="auto"/>
        </w:rPr>
      </w:pPr>
      <w:r w:rsidRPr="00804AC3">
        <w:rPr>
          <w:rStyle w:val="Strong"/>
          <w:rFonts w:ascii="Arial" w:hAnsi="Arial" w:cs="Arial"/>
          <w:b/>
          <w:bCs/>
          <w:color w:val="auto"/>
        </w:rPr>
        <w:t xml:space="preserve">2.10 </w:t>
      </w:r>
      <w:r w:rsidR="00E272CC" w:rsidRPr="00804AC3">
        <w:rPr>
          <w:rStyle w:val="Strong"/>
          <w:rFonts w:ascii="Arial" w:hAnsi="Arial" w:cs="Arial"/>
          <w:b/>
          <w:bCs/>
          <w:color w:val="auto"/>
        </w:rPr>
        <w:t>Functional Relationship of the Study</w:t>
      </w:r>
    </w:p>
    <w:p w14:paraId="62D7BBF2" w14:textId="77777777" w:rsidR="00E272CC" w:rsidRPr="006435D7" w:rsidRDefault="00E272CC" w:rsidP="00090D5F">
      <w:pPr>
        <w:pStyle w:val="Heading3"/>
        <w:spacing w:before="0" w:line="240" w:lineRule="auto"/>
        <w:ind w:firstLine="720"/>
        <w:rPr>
          <w:rFonts w:ascii="Arial" w:hAnsi="Arial" w:cs="Arial"/>
          <w:b w:val="0"/>
          <w:color w:val="auto"/>
          <w:sz w:val="20"/>
          <w:szCs w:val="20"/>
        </w:rPr>
      </w:pPr>
      <w:r w:rsidRPr="006435D7">
        <w:rPr>
          <w:rFonts w:ascii="Arial" w:hAnsi="Arial" w:cs="Arial"/>
          <w:b w:val="0"/>
          <w:color w:val="auto"/>
          <w:sz w:val="20"/>
          <w:szCs w:val="20"/>
        </w:rPr>
        <w:t>The overall functional relationship is expressed as:</w:t>
      </w:r>
    </w:p>
    <w:p w14:paraId="09522E2D" w14:textId="77777777" w:rsidR="00E272CC" w:rsidRPr="00804AC3" w:rsidRDefault="0070287B" w:rsidP="00E272CC">
      <w:pPr>
        <w:pStyle w:val="NormalWeb"/>
        <w:rPr>
          <w:rFonts w:ascii="Cambria Math" w:hAnsi="Arial" w:cs="Arial"/>
          <w:sz w:val="22"/>
          <w:szCs w:val="22"/>
          <w:oMath/>
        </w:rPr>
      </w:pPr>
      <m:oMathPara>
        <m:oMath>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f</m:t>
          </m:r>
          <m:r>
            <m:rPr>
              <m:sty m:val="bi"/>
            </m:rPr>
            <w:rPr>
              <w:rFonts w:ascii="Cambria Math" w:hAnsi="Arial" w:cs="Arial"/>
              <w:sz w:val="22"/>
              <w:szCs w:val="22"/>
            </w:rPr>
            <m:t>(</m:t>
          </m:r>
          <m:r>
            <m:rPr>
              <m:sty m:val="bi"/>
            </m:rPr>
            <w:rPr>
              <w:rFonts w:ascii="Cambria Math" w:hAnsi="Cambria Math" w:cs="Arial"/>
              <w:sz w:val="22"/>
              <w:szCs w:val="22"/>
            </w:rPr>
            <m:t>C</m:t>
          </m:r>
          <m:r>
            <m:rPr>
              <m:sty m:val="bi"/>
            </m:rPr>
            <w:rPr>
              <w:rFonts w:ascii="Arial" w:hAnsi="Cambria Math" w:cs="Arial"/>
              <w:sz w:val="22"/>
              <w:szCs w:val="22"/>
            </w:rPr>
            <m:t>ₜ</m:t>
          </m:r>
          <m:r>
            <m:rPr>
              <m:sty m:val="bi"/>
            </m:rPr>
            <w:rPr>
              <w:rFonts w:ascii="Cambria Math" w:hAnsi="Arial" w:cs="Arial"/>
              <w:sz w:val="22"/>
              <w:szCs w:val="22"/>
            </w:rPr>
            <m:t xml:space="preserve">, </m:t>
          </m:r>
          <m:r>
            <m:rPr>
              <m:sty m:val="bi"/>
            </m:rPr>
            <w:rPr>
              <w:rFonts w:ascii="Cambria Math" w:hAnsi="Cambria Math" w:cs="Arial"/>
              <w:sz w:val="22"/>
              <w:szCs w:val="22"/>
            </w:rPr>
            <m:t>K</m:t>
          </m:r>
          <m:r>
            <m:rPr>
              <m:sty m:val="bi"/>
            </m:rPr>
            <w:rPr>
              <w:rFonts w:ascii="Arial" w:hAnsi="Cambria Math" w:cs="Arial"/>
              <w:sz w:val="22"/>
              <w:szCs w:val="22"/>
            </w:rPr>
            <m:t>ₜ</m:t>
          </m:r>
          <m:r>
            <m:rPr>
              <m:sty m:val="bi"/>
            </m:rPr>
            <w:rPr>
              <w:rFonts w:ascii="Cambria Math" w:hAnsi="Arial" w:cs="Arial"/>
              <w:sz w:val="22"/>
              <w:szCs w:val="22"/>
            </w:rPr>
            <m:t xml:space="preserve">, </m:t>
          </m:r>
          <m:r>
            <m:rPr>
              <m:sty m:val="bi"/>
            </m:rPr>
            <w:rPr>
              <w:rFonts w:ascii="Cambria Math" w:hAnsi="Cambria Math" w:cs="Arial"/>
              <w:sz w:val="22"/>
              <w:szCs w:val="22"/>
            </w:rPr>
            <m:t>Lₜ</m:t>
          </m:r>
          <m:r>
            <m:rPr>
              <m:sty m:val="bi"/>
            </m:rPr>
            <w:rPr>
              <w:rFonts w:ascii="Cambria Math" w:hAnsi="Arial" w:cs="Arial"/>
              <w:sz w:val="22"/>
              <w:szCs w:val="22"/>
            </w:rPr>
            <m:t>)</m:t>
          </m:r>
        </m:oMath>
      </m:oMathPara>
    </w:p>
    <w:p w14:paraId="30C2201B"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lastRenderedPageBreak/>
        <w:t>In log-linear econometric form:</w:t>
      </w:r>
    </w:p>
    <w:p w14:paraId="225688A6" w14:textId="77777777" w:rsidR="00E272CC" w:rsidRPr="00804AC3" w:rsidRDefault="0070287B" w:rsidP="00E272CC">
      <w:pPr>
        <w:pStyle w:val="NormalWeb"/>
        <w:rPr>
          <w:rFonts w:ascii="Cambria Math" w:hAnsi="Arial" w:cs="Arial"/>
          <w:sz w:val="22"/>
          <w:szCs w:val="22"/>
          <w:oMath/>
        </w:rPr>
      </w:pPr>
      <m:oMathPara>
        <m:oMath>
          <m:r>
            <m:rPr>
              <m:sty m:val="bi"/>
            </m:rPr>
            <w:rPr>
              <w:rFonts w:ascii="Cambria Math" w:hAnsi="Cambria Math" w:cs="Arial"/>
              <w:sz w:val="22"/>
              <w:szCs w:val="22"/>
            </w:rPr>
            <m:t>ln</m:t>
          </m:r>
          <m:r>
            <m:rPr>
              <m:sty m:val="bi"/>
            </m:rPr>
            <w:rPr>
              <w:rFonts w:ascii="Cambria Math" w:hAnsi="Arial" w:cs="Arial"/>
              <w:sz w:val="22"/>
              <w:szCs w:val="22"/>
            </w:rPr>
            <m:t>(</m:t>
          </m:r>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α</m:t>
          </m:r>
          <m:r>
            <m:rPr>
              <m:sty m:val="bi"/>
            </m:rPr>
            <w:rPr>
              <w:rFonts w:ascii="Cambria Math" w:hAnsi="Arial" w:cs="Arial"/>
              <w:sz w:val="22"/>
              <w:szCs w:val="22"/>
            </w:rPr>
            <m:t xml:space="preserve"> + </m:t>
          </m:r>
          <m:r>
            <m:rPr>
              <m:sty m:val="bi"/>
            </m:rPr>
            <w:rPr>
              <w:rFonts w:ascii="Cambria Math" w:hAnsi="Cambria Math" w:cs="Arial"/>
              <w:sz w:val="22"/>
              <w:szCs w:val="22"/>
            </w:rPr>
            <m:t>β₁ln</m:t>
          </m:r>
          <m:r>
            <m:rPr>
              <m:sty m:val="bi"/>
            </m:rPr>
            <w:rPr>
              <w:rFonts w:ascii="Cambria Math" w:hAnsi="Arial" w:cs="Arial"/>
              <w:sz w:val="22"/>
              <w:szCs w:val="22"/>
            </w:rPr>
            <m:t>(</m:t>
          </m:r>
          <m:r>
            <m:rPr>
              <m:sty m:val="bi"/>
            </m:rPr>
            <w:rPr>
              <w:rFonts w:ascii="Cambria Math" w:hAnsi="Cambria Math" w:cs="Arial"/>
              <w:sz w:val="22"/>
              <w:szCs w:val="22"/>
            </w:rPr>
            <m:t>C</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β₂ln</m:t>
          </m:r>
          <m:r>
            <m:rPr>
              <m:sty m:val="bi"/>
            </m:rPr>
            <w:rPr>
              <w:rFonts w:ascii="Cambria Math" w:hAnsi="Arial" w:cs="Arial"/>
              <w:sz w:val="22"/>
              <w:szCs w:val="22"/>
            </w:rPr>
            <m:t>(</m:t>
          </m:r>
          <m:r>
            <m:rPr>
              <m:sty m:val="bi"/>
            </m:rPr>
            <w:rPr>
              <w:rFonts w:ascii="Cambria Math" w:hAnsi="Cambria Math" w:cs="Arial"/>
              <w:sz w:val="22"/>
              <w:szCs w:val="22"/>
            </w:rPr>
            <m:t>K</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β₃ln</m:t>
          </m:r>
          <m:r>
            <m:rPr>
              <m:sty m:val="bi"/>
            </m:rPr>
            <w:rPr>
              <w:rFonts w:ascii="Cambria Math" w:hAnsi="Arial" w:cs="Arial"/>
              <w:sz w:val="22"/>
              <w:szCs w:val="22"/>
            </w:rPr>
            <m:t>(</m:t>
          </m:r>
          <m:r>
            <m:rPr>
              <m:sty m:val="bi"/>
            </m:rPr>
            <w:rPr>
              <w:rFonts w:ascii="Cambria Math" w:hAnsi="Cambria Math" w:cs="Arial"/>
              <w:sz w:val="22"/>
              <w:szCs w:val="22"/>
            </w:rPr>
            <m:t>L</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εₜ</m:t>
          </m:r>
        </m:oMath>
      </m:oMathPara>
    </w:p>
    <w:p w14:paraId="6CC4FDCD"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Where:</w:t>
      </w:r>
    </w:p>
    <w:p w14:paraId="5C4995D6" w14:textId="77777777" w:rsidR="00E272CC" w:rsidRPr="006435D7" w:rsidRDefault="00E272CC" w:rsidP="00E272CC">
      <w:pPr>
        <w:pStyle w:val="NormalWeb"/>
        <w:numPr>
          <w:ilvl w:val="0"/>
          <w:numId w:val="7"/>
        </w:numPr>
        <w:rPr>
          <w:rFonts w:ascii="Arial" w:hAnsi="Arial" w:cs="Arial"/>
          <w:sz w:val="20"/>
          <w:szCs w:val="20"/>
        </w:rPr>
      </w:pPr>
      <w:r w:rsidRPr="006435D7">
        <w:rPr>
          <w:rFonts w:ascii="Arial" w:hAnsi="Arial" w:cs="Arial"/>
          <w:sz w:val="20"/>
          <w:szCs w:val="20"/>
        </w:rPr>
        <w:t>Y</w:t>
      </w:r>
      <w:r w:rsidRPr="006435D7">
        <w:rPr>
          <w:rFonts w:cs="Arial"/>
          <w:sz w:val="20"/>
          <w:szCs w:val="20"/>
        </w:rPr>
        <w:t>ₜ</w:t>
      </w:r>
      <w:r w:rsidRPr="006435D7">
        <w:rPr>
          <w:rFonts w:ascii="Arial" w:hAnsi="Arial" w:cs="Arial"/>
          <w:sz w:val="20"/>
          <w:szCs w:val="20"/>
        </w:rPr>
        <w:t xml:space="preserve"> = Real GDP (economic growth)</w:t>
      </w:r>
    </w:p>
    <w:p w14:paraId="0E061008" w14:textId="77777777" w:rsidR="00E272CC" w:rsidRPr="006435D7" w:rsidRDefault="00E272CC" w:rsidP="00E272CC">
      <w:pPr>
        <w:pStyle w:val="NormalWeb"/>
        <w:numPr>
          <w:ilvl w:val="0"/>
          <w:numId w:val="7"/>
        </w:numPr>
        <w:rPr>
          <w:rFonts w:ascii="Arial" w:hAnsi="Arial" w:cs="Arial"/>
          <w:sz w:val="20"/>
          <w:szCs w:val="20"/>
        </w:rPr>
      </w:pPr>
      <w:r w:rsidRPr="006435D7">
        <w:rPr>
          <w:rFonts w:ascii="Arial" w:hAnsi="Arial" w:cs="Arial"/>
          <w:sz w:val="20"/>
          <w:szCs w:val="20"/>
        </w:rPr>
        <w:t>C</w:t>
      </w:r>
      <w:r w:rsidRPr="006435D7">
        <w:rPr>
          <w:rFonts w:cs="Arial"/>
          <w:sz w:val="20"/>
          <w:szCs w:val="20"/>
        </w:rPr>
        <w:t>ₜ</w:t>
      </w:r>
      <w:r w:rsidRPr="006435D7">
        <w:rPr>
          <w:rFonts w:ascii="Arial" w:hAnsi="Arial" w:cs="Arial"/>
          <w:sz w:val="20"/>
          <w:szCs w:val="20"/>
        </w:rPr>
        <w:t xml:space="preserve"> = Coal consumption</w:t>
      </w:r>
    </w:p>
    <w:p w14:paraId="19A1BBDB" w14:textId="77777777" w:rsidR="00E272CC" w:rsidRPr="006435D7" w:rsidRDefault="00E272CC" w:rsidP="00E272CC">
      <w:pPr>
        <w:pStyle w:val="NormalWeb"/>
        <w:numPr>
          <w:ilvl w:val="0"/>
          <w:numId w:val="7"/>
        </w:numPr>
        <w:rPr>
          <w:rFonts w:ascii="Arial" w:hAnsi="Arial" w:cs="Arial"/>
          <w:sz w:val="20"/>
          <w:szCs w:val="20"/>
        </w:rPr>
      </w:pPr>
      <w:r w:rsidRPr="006435D7">
        <w:rPr>
          <w:rFonts w:ascii="Arial" w:hAnsi="Arial" w:cs="Arial"/>
          <w:sz w:val="20"/>
          <w:szCs w:val="20"/>
        </w:rPr>
        <w:t>K</w:t>
      </w:r>
      <w:r w:rsidRPr="006435D7">
        <w:rPr>
          <w:rFonts w:cs="Arial"/>
          <w:sz w:val="20"/>
          <w:szCs w:val="20"/>
        </w:rPr>
        <w:t>ₜ</w:t>
      </w:r>
      <w:r w:rsidRPr="006435D7">
        <w:rPr>
          <w:rFonts w:ascii="Arial" w:hAnsi="Arial" w:cs="Arial"/>
          <w:sz w:val="20"/>
          <w:szCs w:val="20"/>
        </w:rPr>
        <w:t xml:space="preserve"> = Capital formation</w:t>
      </w:r>
    </w:p>
    <w:p w14:paraId="6CB075D5" w14:textId="77777777" w:rsidR="00E272CC" w:rsidRPr="006435D7" w:rsidRDefault="00E272CC" w:rsidP="00E272CC">
      <w:pPr>
        <w:pStyle w:val="NormalWeb"/>
        <w:numPr>
          <w:ilvl w:val="0"/>
          <w:numId w:val="7"/>
        </w:numPr>
        <w:rPr>
          <w:rFonts w:ascii="Arial" w:hAnsi="Arial" w:cs="Arial"/>
          <w:sz w:val="20"/>
          <w:szCs w:val="20"/>
        </w:rPr>
      </w:pPr>
      <w:r w:rsidRPr="006435D7">
        <w:rPr>
          <w:rFonts w:ascii="Arial" w:hAnsi="Arial" w:cs="Arial"/>
          <w:sz w:val="20"/>
          <w:szCs w:val="20"/>
        </w:rPr>
        <w:t>L</w:t>
      </w:r>
      <w:r w:rsidRPr="006435D7">
        <w:rPr>
          <w:rFonts w:cs="Arial"/>
          <w:sz w:val="20"/>
          <w:szCs w:val="20"/>
        </w:rPr>
        <w:t>ₜ</w:t>
      </w:r>
      <w:r w:rsidRPr="006435D7">
        <w:rPr>
          <w:rFonts w:ascii="Arial" w:hAnsi="Arial" w:cs="Arial"/>
          <w:sz w:val="20"/>
          <w:szCs w:val="20"/>
        </w:rPr>
        <w:t xml:space="preserve"> = </w:t>
      </w:r>
      <w:proofErr w:type="spellStart"/>
      <w:r w:rsidRPr="006435D7">
        <w:rPr>
          <w:rFonts w:ascii="Arial" w:hAnsi="Arial" w:cs="Arial"/>
          <w:sz w:val="20"/>
          <w:szCs w:val="20"/>
        </w:rPr>
        <w:t>Labour</w:t>
      </w:r>
      <w:proofErr w:type="spellEnd"/>
      <w:r w:rsidRPr="006435D7">
        <w:rPr>
          <w:rFonts w:ascii="Arial" w:hAnsi="Arial" w:cs="Arial"/>
          <w:sz w:val="20"/>
          <w:szCs w:val="20"/>
        </w:rPr>
        <w:t xml:space="preserve"> force</w:t>
      </w:r>
    </w:p>
    <w:p w14:paraId="48A54BD6" w14:textId="77777777" w:rsidR="00E272CC" w:rsidRPr="006435D7" w:rsidRDefault="00E272CC" w:rsidP="00E272CC">
      <w:pPr>
        <w:pStyle w:val="NormalWeb"/>
        <w:numPr>
          <w:ilvl w:val="0"/>
          <w:numId w:val="7"/>
        </w:numPr>
        <w:rPr>
          <w:rFonts w:ascii="Arial" w:hAnsi="Arial" w:cs="Arial"/>
          <w:sz w:val="20"/>
          <w:szCs w:val="20"/>
        </w:rPr>
      </w:pPr>
      <w:r w:rsidRPr="006435D7">
        <w:rPr>
          <w:rFonts w:ascii="Arial" w:hAnsi="Arial" w:cs="Arial"/>
          <w:sz w:val="20"/>
          <w:szCs w:val="20"/>
        </w:rPr>
        <w:t>ε</w:t>
      </w:r>
      <w:r w:rsidRPr="006435D7">
        <w:rPr>
          <w:rFonts w:cs="Arial"/>
          <w:sz w:val="20"/>
          <w:szCs w:val="20"/>
        </w:rPr>
        <w:t>ₜ</w:t>
      </w:r>
      <w:r w:rsidRPr="006435D7">
        <w:rPr>
          <w:rFonts w:ascii="Arial" w:hAnsi="Arial" w:cs="Arial"/>
          <w:sz w:val="20"/>
          <w:szCs w:val="20"/>
        </w:rPr>
        <w:t xml:space="preserve"> = Random error term</w:t>
      </w:r>
    </w:p>
    <w:p w14:paraId="085B3A78" w14:textId="6B449BA2" w:rsidR="0061554C" w:rsidRPr="00804AC3" w:rsidRDefault="00DD0CE5" w:rsidP="00D84BE6">
      <w:pPr>
        <w:pStyle w:val="NormalWeb"/>
        <w:spacing w:before="0" w:beforeAutospacing="0" w:after="0" w:afterAutospacing="0"/>
        <w:jc w:val="both"/>
        <w:rPr>
          <w:rFonts w:ascii="Arial" w:hAnsi="Arial" w:cs="Arial"/>
          <w:b/>
          <w:sz w:val="22"/>
          <w:szCs w:val="22"/>
        </w:rPr>
      </w:pPr>
      <w:r>
        <w:rPr>
          <w:rFonts w:ascii="Arial" w:hAnsi="Arial" w:cs="Arial"/>
          <w:b/>
          <w:sz w:val="22"/>
          <w:szCs w:val="22"/>
        </w:rPr>
        <w:t>CHART</w:t>
      </w:r>
      <w:r w:rsidR="005E4919" w:rsidRPr="00804AC3">
        <w:rPr>
          <w:rFonts w:ascii="Arial" w:hAnsi="Arial" w:cs="Arial"/>
          <w:b/>
          <w:sz w:val="22"/>
          <w:szCs w:val="22"/>
        </w:rPr>
        <w:t xml:space="preserve"> </w:t>
      </w:r>
      <w:r w:rsidR="007C4781">
        <w:rPr>
          <w:rFonts w:ascii="Arial" w:hAnsi="Arial" w:cs="Arial"/>
          <w:b/>
          <w:sz w:val="22"/>
          <w:szCs w:val="22"/>
        </w:rPr>
        <w:t xml:space="preserve">1. </w:t>
      </w:r>
      <w:r w:rsidR="0061554C" w:rsidRPr="00804AC3">
        <w:rPr>
          <w:rFonts w:ascii="Arial" w:hAnsi="Arial" w:cs="Arial"/>
          <w:b/>
          <w:sz w:val="22"/>
          <w:szCs w:val="22"/>
        </w:rPr>
        <w:t>Hypothesis</w:t>
      </w:r>
      <w:r w:rsidR="00CD5385" w:rsidRPr="00804AC3">
        <w:rPr>
          <w:rFonts w:ascii="Arial" w:hAnsi="Arial" w:cs="Arial"/>
          <w:b/>
          <w:sz w:val="22"/>
          <w:szCs w:val="22"/>
        </w:rPr>
        <w:t xml:space="preserve"> of the Study</w:t>
      </w:r>
    </w:p>
    <w:tbl>
      <w:tblPr>
        <w:tblW w:w="9375" w:type="dxa"/>
        <w:tblInd w:w="93" w:type="dxa"/>
        <w:tblLook w:val="04A0" w:firstRow="1" w:lastRow="0" w:firstColumn="1" w:lastColumn="0" w:noHBand="0" w:noVBand="1"/>
      </w:tblPr>
      <w:tblGrid>
        <w:gridCol w:w="1350"/>
        <w:gridCol w:w="4515"/>
        <w:gridCol w:w="3510"/>
      </w:tblGrid>
      <w:tr w:rsidR="0061554C" w:rsidRPr="006435D7" w14:paraId="33365F92" w14:textId="77777777" w:rsidTr="00773771">
        <w:trPr>
          <w:trHeight w:val="70"/>
        </w:trPr>
        <w:tc>
          <w:tcPr>
            <w:tcW w:w="1350" w:type="dxa"/>
            <w:tcBorders>
              <w:top w:val="single" w:sz="4" w:space="0" w:color="auto"/>
              <w:left w:val="single" w:sz="4" w:space="0" w:color="auto"/>
              <w:bottom w:val="single" w:sz="4" w:space="0" w:color="auto"/>
              <w:right w:val="single" w:sz="4" w:space="0" w:color="auto"/>
            </w:tcBorders>
            <w:vAlign w:val="center"/>
            <w:hideMark/>
          </w:tcPr>
          <w:p w14:paraId="2EDECC63" w14:textId="77777777" w:rsidR="0061554C" w:rsidRPr="006435D7" w:rsidRDefault="0061554C" w:rsidP="00090D5F">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Hypothesis</w:t>
            </w:r>
          </w:p>
        </w:tc>
        <w:tc>
          <w:tcPr>
            <w:tcW w:w="4515" w:type="dxa"/>
            <w:tcBorders>
              <w:top w:val="single" w:sz="4" w:space="0" w:color="auto"/>
              <w:left w:val="nil"/>
              <w:bottom w:val="single" w:sz="4" w:space="0" w:color="auto"/>
              <w:right w:val="single" w:sz="4" w:space="0" w:color="auto"/>
            </w:tcBorders>
            <w:vAlign w:val="center"/>
            <w:hideMark/>
          </w:tcPr>
          <w:p w14:paraId="3453ADAF" w14:textId="77777777" w:rsidR="0061554C" w:rsidRPr="006435D7" w:rsidRDefault="0061554C" w:rsidP="00090D5F">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Null (H</w:t>
            </w:r>
            <w:r w:rsidRPr="006435D7">
              <w:rPr>
                <w:rFonts w:ascii="Times New Roman" w:eastAsia="Times New Roman" w:hAnsi="Times New Roman" w:cs="Arial"/>
                <w:b/>
                <w:bCs/>
                <w:color w:val="000000"/>
                <w:sz w:val="20"/>
                <w:szCs w:val="20"/>
              </w:rPr>
              <w:t>₀</w:t>
            </w:r>
            <w:r w:rsidRPr="006435D7">
              <w:rPr>
                <w:rFonts w:ascii="Arial" w:eastAsia="Times New Roman" w:hAnsi="Arial" w:cs="Arial"/>
                <w:b/>
                <w:bCs/>
                <w:color w:val="000000"/>
                <w:sz w:val="20"/>
                <w:szCs w:val="20"/>
              </w:rPr>
              <w:t>)</w:t>
            </w:r>
          </w:p>
        </w:tc>
        <w:tc>
          <w:tcPr>
            <w:tcW w:w="3510" w:type="dxa"/>
            <w:tcBorders>
              <w:top w:val="single" w:sz="4" w:space="0" w:color="auto"/>
              <w:left w:val="nil"/>
              <w:bottom w:val="single" w:sz="4" w:space="0" w:color="auto"/>
              <w:right w:val="single" w:sz="4" w:space="0" w:color="auto"/>
            </w:tcBorders>
            <w:vAlign w:val="center"/>
            <w:hideMark/>
          </w:tcPr>
          <w:p w14:paraId="093AE380" w14:textId="77777777" w:rsidR="0061554C" w:rsidRPr="006435D7" w:rsidRDefault="0061554C" w:rsidP="00090D5F">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Alternative (H</w:t>
            </w:r>
            <w:r w:rsidRPr="006435D7">
              <w:rPr>
                <w:rFonts w:ascii="Times New Roman" w:eastAsia="Times New Roman" w:hAnsi="Times New Roman" w:cs="Arial"/>
                <w:b/>
                <w:bCs/>
                <w:color w:val="000000"/>
                <w:sz w:val="20"/>
                <w:szCs w:val="20"/>
              </w:rPr>
              <w:t>₁</w:t>
            </w:r>
            <w:r w:rsidRPr="006435D7">
              <w:rPr>
                <w:rFonts w:ascii="Arial" w:eastAsia="Times New Roman" w:hAnsi="Arial" w:cs="Arial"/>
                <w:b/>
                <w:bCs/>
                <w:color w:val="000000"/>
                <w:sz w:val="20"/>
                <w:szCs w:val="20"/>
              </w:rPr>
              <w:t>)</w:t>
            </w:r>
          </w:p>
        </w:tc>
      </w:tr>
      <w:tr w:rsidR="0061554C" w:rsidRPr="006435D7" w14:paraId="21099146" w14:textId="77777777" w:rsidTr="00773771">
        <w:trPr>
          <w:trHeight w:val="70"/>
        </w:trPr>
        <w:tc>
          <w:tcPr>
            <w:tcW w:w="1350" w:type="dxa"/>
            <w:tcBorders>
              <w:top w:val="nil"/>
              <w:left w:val="single" w:sz="4" w:space="0" w:color="auto"/>
              <w:bottom w:val="single" w:sz="4" w:space="0" w:color="auto"/>
              <w:right w:val="single" w:sz="4" w:space="0" w:color="auto"/>
            </w:tcBorders>
            <w:vAlign w:val="bottom"/>
            <w:hideMark/>
          </w:tcPr>
          <w:p w14:paraId="47FD351C" w14:textId="77777777" w:rsidR="0061554C" w:rsidRPr="006435D7" w:rsidRDefault="0061554C" w:rsidP="00090D5F">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H</w:t>
            </w:r>
            <w:r w:rsidRPr="006435D7">
              <w:rPr>
                <w:rFonts w:ascii="Times New Roman" w:eastAsia="Times New Roman" w:hAnsi="Times New Roman" w:cs="Arial"/>
                <w:b/>
                <w:bCs/>
                <w:color w:val="000000"/>
                <w:sz w:val="20"/>
                <w:szCs w:val="20"/>
              </w:rPr>
              <w:t>₁</w:t>
            </w:r>
          </w:p>
        </w:tc>
        <w:tc>
          <w:tcPr>
            <w:tcW w:w="4515" w:type="dxa"/>
            <w:tcBorders>
              <w:top w:val="nil"/>
              <w:left w:val="nil"/>
              <w:bottom w:val="single" w:sz="4" w:space="0" w:color="auto"/>
              <w:right w:val="single" w:sz="4" w:space="0" w:color="auto"/>
            </w:tcBorders>
            <w:vAlign w:val="bottom"/>
            <w:hideMark/>
          </w:tcPr>
          <w:p w14:paraId="57EB618A" w14:textId="77777777" w:rsidR="0061554C" w:rsidRPr="006435D7" w:rsidRDefault="0061554C" w:rsidP="00090D5F">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consumption does not Granger-cause economic growth</w:t>
            </w:r>
          </w:p>
        </w:tc>
        <w:tc>
          <w:tcPr>
            <w:tcW w:w="3510" w:type="dxa"/>
            <w:tcBorders>
              <w:top w:val="nil"/>
              <w:left w:val="nil"/>
              <w:bottom w:val="single" w:sz="4" w:space="0" w:color="auto"/>
              <w:right w:val="single" w:sz="4" w:space="0" w:color="auto"/>
            </w:tcBorders>
            <w:vAlign w:val="bottom"/>
            <w:hideMark/>
          </w:tcPr>
          <w:p w14:paraId="7C09DA53" w14:textId="77777777" w:rsidR="0061554C" w:rsidRPr="006435D7" w:rsidRDefault="0061554C" w:rsidP="00090D5F">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consumption Granger-causes economic growth</w:t>
            </w:r>
          </w:p>
        </w:tc>
      </w:tr>
      <w:tr w:rsidR="0061554C" w:rsidRPr="006435D7" w14:paraId="1670F811" w14:textId="77777777" w:rsidTr="00773771">
        <w:trPr>
          <w:trHeight w:val="70"/>
        </w:trPr>
        <w:tc>
          <w:tcPr>
            <w:tcW w:w="1350" w:type="dxa"/>
            <w:tcBorders>
              <w:top w:val="nil"/>
              <w:left w:val="single" w:sz="4" w:space="0" w:color="auto"/>
              <w:bottom w:val="single" w:sz="4" w:space="0" w:color="auto"/>
              <w:right w:val="single" w:sz="4" w:space="0" w:color="auto"/>
            </w:tcBorders>
            <w:vAlign w:val="bottom"/>
            <w:hideMark/>
          </w:tcPr>
          <w:p w14:paraId="0716EC4C" w14:textId="77777777" w:rsidR="0061554C" w:rsidRPr="006435D7" w:rsidRDefault="0061554C" w:rsidP="00090D5F">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H</w:t>
            </w:r>
            <w:r w:rsidRPr="006435D7">
              <w:rPr>
                <w:rFonts w:ascii="Times New Roman" w:eastAsia="Times New Roman" w:hAnsi="Times New Roman" w:cs="Arial"/>
                <w:b/>
                <w:bCs/>
                <w:color w:val="000000"/>
                <w:sz w:val="20"/>
                <w:szCs w:val="20"/>
              </w:rPr>
              <w:t>₂</w:t>
            </w:r>
          </w:p>
        </w:tc>
        <w:tc>
          <w:tcPr>
            <w:tcW w:w="4515" w:type="dxa"/>
            <w:tcBorders>
              <w:top w:val="nil"/>
              <w:left w:val="nil"/>
              <w:bottom w:val="single" w:sz="4" w:space="0" w:color="auto"/>
              <w:right w:val="single" w:sz="4" w:space="0" w:color="auto"/>
            </w:tcBorders>
            <w:vAlign w:val="bottom"/>
            <w:hideMark/>
          </w:tcPr>
          <w:p w14:paraId="1573C620" w14:textId="77777777" w:rsidR="0061554C" w:rsidRPr="006435D7" w:rsidRDefault="0061554C" w:rsidP="00090D5F">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Economic growth does not Granger-cause coal consumption</w:t>
            </w:r>
          </w:p>
        </w:tc>
        <w:tc>
          <w:tcPr>
            <w:tcW w:w="3510" w:type="dxa"/>
            <w:tcBorders>
              <w:top w:val="nil"/>
              <w:left w:val="nil"/>
              <w:bottom w:val="single" w:sz="4" w:space="0" w:color="auto"/>
              <w:right w:val="single" w:sz="4" w:space="0" w:color="auto"/>
            </w:tcBorders>
            <w:vAlign w:val="bottom"/>
            <w:hideMark/>
          </w:tcPr>
          <w:p w14:paraId="15847B0A" w14:textId="77777777" w:rsidR="0061554C" w:rsidRPr="006435D7" w:rsidRDefault="0061554C" w:rsidP="00090D5F">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Economic growth Granger-causes coal consumption</w:t>
            </w:r>
          </w:p>
        </w:tc>
      </w:tr>
      <w:tr w:rsidR="0061554C" w:rsidRPr="006435D7" w14:paraId="650CAAAC" w14:textId="77777777" w:rsidTr="00773771">
        <w:trPr>
          <w:trHeight w:val="278"/>
        </w:trPr>
        <w:tc>
          <w:tcPr>
            <w:tcW w:w="1350" w:type="dxa"/>
            <w:tcBorders>
              <w:top w:val="nil"/>
              <w:left w:val="single" w:sz="4" w:space="0" w:color="auto"/>
              <w:bottom w:val="single" w:sz="4" w:space="0" w:color="auto"/>
              <w:right w:val="single" w:sz="4" w:space="0" w:color="auto"/>
            </w:tcBorders>
            <w:vAlign w:val="bottom"/>
            <w:hideMark/>
          </w:tcPr>
          <w:p w14:paraId="06E957F4" w14:textId="77777777" w:rsidR="0061554C" w:rsidRPr="006435D7" w:rsidRDefault="0061554C" w:rsidP="00090D5F">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H</w:t>
            </w:r>
            <w:r w:rsidRPr="006435D7">
              <w:rPr>
                <w:rFonts w:ascii="Times New Roman" w:eastAsia="Times New Roman" w:hAnsi="Times New Roman" w:cs="Arial"/>
                <w:b/>
                <w:bCs/>
                <w:color w:val="000000"/>
                <w:sz w:val="20"/>
                <w:szCs w:val="20"/>
              </w:rPr>
              <w:t>₃</w:t>
            </w:r>
          </w:p>
        </w:tc>
        <w:tc>
          <w:tcPr>
            <w:tcW w:w="4515" w:type="dxa"/>
            <w:tcBorders>
              <w:top w:val="nil"/>
              <w:left w:val="nil"/>
              <w:bottom w:val="single" w:sz="4" w:space="0" w:color="auto"/>
              <w:right w:val="single" w:sz="4" w:space="0" w:color="auto"/>
            </w:tcBorders>
            <w:vAlign w:val="bottom"/>
            <w:hideMark/>
          </w:tcPr>
          <w:p w14:paraId="40DFF2D3" w14:textId="77777777" w:rsidR="0061554C" w:rsidRPr="006435D7" w:rsidRDefault="0061554C" w:rsidP="00090D5F">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No long-run relationship exists between coal consumption and economic growth</w:t>
            </w:r>
          </w:p>
        </w:tc>
        <w:tc>
          <w:tcPr>
            <w:tcW w:w="3510" w:type="dxa"/>
            <w:tcBorders>
              <w:top w:val="nil"/>
              <w:left w:val="nil"/>
              <w:bottom w:val="single" w:sz="4" w:space="0" w:color="auto"/>
              <w:right w:val="single" w:sz="4" w:space="0" w:color="auto"/>
            </w:tcBorders>
            <w:vAlign w:val="bottom"/>
            <w:hideMark/>
          </w:tcPr>
          <w:p w14:paraId="6A73518E" w14:textId="77777777" w:rsidR="0061554C" w:rsidRPr="006435D7" w:rsidRDefault="0061554C" w:rsidP="00090D5F">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A long-run equilibrium relationship exists</w:t>
            </w:r>
          </w:p>
        </w:tc>
      </w:tr>
    </w:tbl>
    <w:p w14:paraId="31FC6C84" w14:textId="77777777" w:rsidR="0061554C" w:rsidRPr="006435D7" w:rsidRDefault="0061554C" w:rsidP="00D84BE6">
      <w:pPr>
        <w:pStyle w:val="NormalWeb"/>
        <w:spacing w:before="0" w:beforeAutospacing="0" w:after="0" w:afterAutospacing="0"/>
        <w:jc w:val="both"/>
        <w:rPr>
          <w:rFonts w:ascii="Arial" w:hAnsi="Arial" w:cs="Arial"/>
          <w:sz w:val="20"/>
          <w:szCs w:val="20"/>
        </w:rPr>
      </w:pPr>
    </w:p>
    <w:p w14:paraId="3BDBCA3D" w14:textId="77777777" w:rsidR="001319C3" w:rsidRPr="006435D7" w:rsidRDefault="001319C3" w:rsidP="00E2173C">
      <w:pPr>
        <w:spacing w:after="0" w:line="240" w:lineRule="auto"/>
        <w:jc w:val="both"/>
        <w:rPr>
          <w:rStyle w:val="Strong"/>
          <w:rFonts w:ascii="Arial" w:hAnsi="Arial" w:cs="Arial"/>
          <w:sz w:val="20"/>
          <w:szCs w:val="20"/>
        </w:rPr>
      </w:pPr>
    </w:p>
    <w:p w14:paraId="79EA482B" w14:textId="77777777" w:rsidR="00055E3B" w:rsidRDefault="00581539" w:rsidP="00055E3B">
      <w:pPr>
        <w:jc w:val="center"/>
        <w:rPr>
          <w:rFonts w:ascii="Arial" w:hAnsi="Arial" w:cs="Arial"/>
          <w:b/>
        </w:rPr>
      </w:pPr>
      <w:r w:rsidRPr="00055E3B">
        <w:rPr>
          <w:rFonts w:ascii="Arial" w:hAnsi="Arial" w:cs="Arial"/>
          <w:b/>
          <w:noProof/>
        </w:rPr>
        <w:lastRenderedPageBreak/>
        <w:drawing>
          <wp:anchor distT="0" distB="0" distL="114300" distR="114300" simplePos="0" relativeHeight="251659264" behindDoc="0" locked="0" layoutInCell="1" allowOverlap="1" wp14:anchorId="5F8B445E" wp14:editId="7CCAB059">
            <wp:simplePos x="0" y="0"/>
            <wp:positionH relativeFrom="column">
              <wp:posOffset>139700</wp:posOffset>
            </wp:positionH>
            <wp:positionV relativeFrom="paragraph">
              <wp:posOffset>366395</wp:posOffset>
            </wp:positionV>
            <wp:extent cx="6028690" cy="6883400"/>
            <wp:effectExtent l="19050" t="0" r="0" b="0"/>
            <wp:wrapSquare wrapText="bothSides"/>
            <wp:docPr id="1" name="Picture 1" descr="C:\Users\USER\Downloads\Research Methodology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Research Methodology Flowchart.png"/>
                    <pic:cNvPicPr>
                      <a:picLocks noChangeAspect="1" noChangeArrowheads="1"/>
                    </pic:cNvPicPr>
                  </pic:nvPicPr>
                  <pic:blipFill>
                    <a:blip r:embed="rId8"/>
                    <a:srcRect/>
                    <a:stretch>
                      <a:fillRect/>
                    </a:stretch>
                  </pic:blipFill>
                  <pic:spPr bwMode="auto">
                    <a:xfrm>
                      <a:off x="0" y="0"/>
                      <a:ext cx="6028690" cy="6883400"/>
                    </a:xfrm>
                    <a:prstGeom prst="rect">
                      <a:avLst/>
                    </a:prstGeom>
                    <a:noFill/>
                    <a:ln w="9525">
                      <a:noFill/>
                      <a:miter lim="800000"/>
                      <a:headEnd/>
                      <a:tailEnd/>
                    </a:ln>
                  </pic:spPr>
                </pic:pic>
              </a:graphicData>
            </a:graphic>
          </wp:anchor>
        </w:drawing>
      </w:r>
      <w:r w:rsidR="005E4919" w:rsidRPr="00055E3B">
        <w:rPr>
          <w:rFonts w:ascii="Arial" w:hAnsi="Arial" w:cs="Arial"/>
          <w:b/>
        </w:rPr>
        <w:t xml:space="preserve">2.12 </w:t>
      </w:r>
      <w:r w:rsidR="00494B57" w:rsidRPr="00055E3B">
        <w:rPr>
          <w:rFonts w:ascii="Arial" w:hAnsi="Arial" w:cs="Arial"/>
          <w:b/>
        </w:rPr>
        <w:t>Analytical Flow chart</w:t>
      </w:r>
      <w:r w:rsidR="005E4919" w:rsidRPr="00055E3B">
        <w:rPr>
          <w:rFonts w:ascii="Arial" w:hAnsi="Arial" w:cs="Arial"/>
          <w:b/>
        </w:rPr>
        <w:t>.</w:t>
      </w:r>
    </w:p>
    <w:p w14:paraId="2BDF9ACD" w14:textId="77777777" w:rsidR="00FC7E2C" w:rsidRPr="00055E3B" w:rsidRDefault="00494B57" w:rsidP="00055E3B">
      <w:pPr>
        <w:jc w:val="center"/>
        <w:rPr>
          <w:rFonts w:ascii="Arial" w:hAnsi="Arial" w:cs="Arial"/>
          <w:b/>
        </w:rPr>
      </w:pPr>
      <w:r w:rsidRPr="00055E3B">
        <w:rPr>
          <w:rFonts w:ascii="Arial" w:hAnsi="Arial" w:cs="Arial"/>
          <w:b/>
        </w:rPr>
        <w:t>Fig.No:1 Analytical Workflow from Data Collection to Model Interpretation.</w:t>
      </w:r>
    </w:p>
    <w:p w14:paraId="3C4263A5" w14:textId="77777777" w:rsidR="00E2173C" w:rsidRPr="00055E3B" w:rsidRDefault="00711351" w:rsidP="00FC7E2C">
      <w:pPr>
        <w:rPr>
          <w:rFonts w:ascii="Arial" w:hAnsi="Arial" w:cs="Arial"/>
          <w:b/>
        </w:rPr>
      </w:pPr>
      <w:r w:rsidRPr="00055E3B">
        <w:rPr>
          <w:rFonts w:ascii="Arial" w:hAnsi="Arial" w:cs="Arial"/>
          <w:b/>
        </w:rPr>
        <w:t xml:space="preserve">3.0 </w:t>
      </w:r>
      <w:r w:rsidR="00E2173C" w:rsidRPr="00055E3B">
        <w:rPr>
          <w:rFonts w:ascii="Arial" w:hAnsi="Arial" w:cs="Arial"/>
          <w:b/>
        </w:rPr>
        <w:t>RESULTS AND DISCUSSIONS</w:t>
      </w:r>
    </w:p>
    <w:p w14:paraId="59F57B1F" w14:textId="4303B1D9" w:rsidR="00494B57" w:rsidRPr="00055E3B" w:rsidRDefault="00494B57" w:rsidP="00E2173C">
      <w:pPr>
        <w:tabs>
          <w:tab w:val="left" w:pos="930"/>
        </w:tabs>
        <w:spacing w:after="0" w:line="360" w:lineRule="auto"/>
        <w:jc w:val="both"/>
        <w:rPr>
          <w:rFonts w:ascii="Arial" w:hAnsi="Arial" w:cs="Arial"/>
          <w:b/>
        </w:rPr>
      </w:pPr>
      <w:r w:rsidRPr="00055E3B">
        <w:rPr>
          <w:rFonts w:ascii="Arial" w:hAnsi="Arial" w:cs="Arial"/>
          <w:b/>
        </w:rPr>
        <w:t xml:space="preserve">Table </w:t>
      </w:r>
      <w:r w:rsidR="00932C5F" w:rsidRPr="00055E3B">
        <w:rPr>
          <w:rFonts w:ascii="Arial" w:hAnsi="Arial" w:cs="Arial"/>
          <w:b/>
        </w:rPr>
        <w:t xml:space="preserve">1: </w:t>
      </w:r>
      <w:r w:rsidRPr="00055E3B">
        <w:rPr>
          <w:rFonts w:ascii="Arial" w:hAnsi="Arial" w:cs="Arial"/>
          <w:b/>
        </w:rPr>
        <w:t>Descriptive Statistics of Key Economic Variables in India (1980–2025).</w:t>
      </w:r>
    </w:p>
    <w:tbl>
      <w:tblPr>
        <w:tblW w:w="9825" w:type="dxa"/>
        <w:tblInd w:w="93" w:type="dxa"/>
        <w:tblLook w:val="04A0" w:firstRow="1" w:lastRow="0" w:firstColumn="1" w:lastColumn="0" w:noHBand="0" w:noVBand="1"/>
      </w:tblPr>
      <w:tblGrid>
        <w:gridCol w:w="1576"/>
        <w:gridCol w:w="1229"/>
        <w:gridCol w:w="1440"/>
        <w:gridCol w:w="1980"/>
        <w:gridCol w:w="1530"/>
        <w:gridCol w:w="2070"/>
      </w:tblGrid>
      <w:tr w:rsidR="00566E18" w:rsidRPr="006435D7" w14:paraId="01ABCE9D" w14:textId="77777777" w:rsidTr="00566E18">
        <w:trPr>
          <w:trHeight w:val="64"/>
        </w:trPr>
        <w:tc>
          <w:tcPr>
            <w:tcW w:w="1576" w:type="dxa"/>
            <w:tcBorders>
              <w:top w:val="single" w:sz="4" w:space="0" w:color="auto"/>
              <w:left w:val="single" w:sz="4" w:space="0" w:color="auto"/>
              <w:bottom w:val="single" w:sz="4" w:space="0" w:color="auto"/>
              <w:right w:val="single" w:sz="4" w:space="0" w:color="auto"/>
            </w:tcBorders>
            <w:vAlign w:val="center"/>
            <w:hideMark/>
          </w:tcPr>
          <w:p w14:paraId="3981275C" w14:textId="77777777" w:rsidR="00566E18" w:rsidRPr="006435D7" w:rsidRDefault="00566E18" w:rsidP="00566E18">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lastRenderedPageBreak/>
              <w:t>Variable</w:t>
            </w:r>
          </w:p>
        </w:tc>
        <w:tc>
          <w:tcPr>
            <w:tcW w:w="1229" w:type="dxa"/>
            <w:tcBorders>
              <w:top w:val="single" w:sz="4" w:space="0" w:color="auto"/>
              <w:left w:val="nil"/>
              <w:bottom w:val="single" w:sz="4" w:space="0" w:color="auto"/>
              <w:right w:val="single" w:sz="4" w:space="0" w:color="auto"/>
            </w:tcBorders>
            <w:vAlign w:val="center"/>
            <w:hideMark/>
          </w:tcPr>
          <w:p w14:paraId="2ACFB8C2" w14:textId="77777777" w:rsidR="00566E18" w:rsidRPr="006435D7" w:rsidRDefault="00566E18" w:rsidP="00566E18">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Mean</w:t>
            </w:r>
          </w:p>
        </w:tc>
        <w:tc>
          <w:tcPr>
            <w:tcW w:w="1440" w:type="dxa"/>
            <w:tcBorders>
              <w:top w:val="single" w:sz="4" w:space="0" w:color="auto"/>
              <w:left w:val="nil"/>
              <w:bottom w:val="single" w:sz="4" w:space="0" w:color="auto"/>
              <w:right w:val="single" w:sz="4" w:space="0" w:color="auto"/>
            </w:tcBorders>
            <w:vAlign w:val="center"/>
            <w:hideMark/>
          </w:tcPr>
          <w:p w14:paraId="7DEFB720" w14:textId="77777777" w:rsidR="00566E18" w:rsidRPr="006435D7" w:rsidRDefault="00566E18" w:rsidP="00566E18">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Std. Dev.</w:t>
            </w:r>
          </w:p>
        </w:tc>
        <w:tc>
          <w:tcPr>
            <w:tcW w:w="1980" w:type="dxa"/>
            <w:tcBorders>
              <w:top w:val="single" w:sz="4" w:space="0" w:color="auto"/>
              <w:left w:val="nil"/>
              <w:bottom w:val="single" w:sz="4" w:space="0" w:color="auto"/>
              <w:right w:val="single" w:sz="4" w:space="0" w:color="auto"/>
            </w:tcBorders>
            <w:vAlign w:val="center"/>
            <w:hideMark/>
          </w:tcPr>
          <w:p w14:paraId="70513FDB" w14:textId="77777777" w:rsidR="00566E18" w:rsidRPr="006435D7" w:rsidRDefault="00566E18" w:rsidP="00566E18">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Minimum</w:t>
            </w:r>
          </w:p>
        </w:tc>
        <w:tc>
          <w:tcPr>
            <w:tcW w:w="1530" w:type="dxa"/>
            <w:tcBorders>
              <w:top w:val="single" w:sz="4" w:space="0" w:color="auto"/>
              <w:left w:val="nil"/>
              <w:bottom w:val="single" w:sz="4" w:space="0" w:color="auto"/>
              <w:right w:val="single" w:sz="4" w:space="0" w:color="auto"/>
            </w:tcBorders>
            <w:vAlign w:val="center"/>
            <w:hideMark/>
          </w:tcPr>
          <w:p w14:paraId="780BB0DD" w14:textId="77777777" w:rsidR="00566E18" w:rsidRPr="006435D7" w:rsidRDefault="00566E18" w:rsidP="00566E18">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Maximum</w:t>
            </w:r>
          </w:p>
        </w:tc>
        <w:tc>
          <w:tcPr>
            <w:tcW w:w="2070" w:type="dxa"/>
            <w:tcBorders>
              <w:top w:val="single" w:sz="4" w:space="0" w:color="auto"/>
              <w:left w:val="nil"/>
              <w:bottom w:val="single" w:sz="4" w:space="0" w:color="auto"/>
              <w:right w:val="single" w:sz="4" w:space="0" w:color="auto"/>
            </w:tcBorders>
            <w:vAlign w:val="center"/>
            <w:hideMark/>
          </w:tcPr>
          <w:p w14:paraId="738CF54F" w14:textId="77777777" w:rsidR="00566E18" w:rsidRPr="006435D7" w:rsidRDefault="00566E18" w:rsidP="00566E18">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Observations</w:t>
            </w:r>
          </w:p>
        </w:tc>
      </w:tr>
      <w:tr w:rsidR="00566E18" w:rsidRPr="006435D7" w14:paraId="09887054" w14:textId="77777777" w:rsidTr="00566E18">
        <w:trPr>
          <w:trHeight w:val="64"/>
        </w:trPr>
        <w:tc>
          <w:tcPr>
            <w:tcW w:w="1576" w:type="dxa"/>
            <w:tcBorders>
              <w:top w:val="nil"/>
              <w:left w:val="single" w:sz="4" w:space="0" w:color="auto"/>
              <w:bottom w:val="single" w:sz="4" w:space="0" w:color="auto"/>
              <w:right w:val="single" w:sz="4" w:space="0" w:color="auto"/>
            </w:tcBorders>
            <w:vAlign w:val="bottom"/>
            <w:hideMark/>
          </w:tcPr>
          <w:p w14:paraId="37221AB4" w14:textId="77777777" w:rsidR="00566E18" w:rsidRPr="006435D7" w:rsidRDefault="00566E18" w:rsidP="00566E18">
            <w:pPr>
              <w:spacing w:after="0" w:line="240" w:lineRule="auto"/>
              <w:rPr>
                <w:rFonts w:ascii="Arial" w:eastAsia="Times New Roman" w:hAnsi="Arial" w:cs="Arial"/>
                <w:b/>
                <w:color w:val="000000"/>
                <w:sz w:val="20"/>
                <w:szCs w:val="20"/>
              </w:rPr>
            </w:pPr>
            <w:proofErr w:type="gramStart"/>
            <w:r w:rsidRPr="006435D7">
              <w:rPr>
                <w:rFonts w:ascii="Arial" w:eastAsia="Times New Roman" w:hAnsi="Arial" w:cs="Arial"/>
                <w:b/>
                <w:color w:val="000000"/>
                <w:sz w:val="20"/>
                <w:szCs w:val="20"/>
              </w:rPr>
              <w:t>ln(</w:t>
            </w:r>
            <w:proofErr w:type="gramEnd"/>
            <w:r w:rsidRPr="006435D7">
              <w:rPr>
                <w:rFonts w:ascii="Arial" w:eastAsia="Times New Roman" w:hAnsi="Arial" w:cs="Arial"/>
                <w:b/>
                <w:color w:val="000000"/>
                <w:sz w:val="20"/>
                <w:szCs w:val="20"/>
              </w:rPr>
              <w:t>GDP)</w:t>
            </w:r>
          </w:p>
        </w:tc>
        <w:tc>
          <w:tcPr>
            <w:tcW w:w="1229" w:type="dxa"/>
            <w:tcBorders>
              <w:top w:val="nil"/>
              <w:left w:val="nil"/>
              <w:bottom w:val="single" w:sz="4" w:space="0" w:color="auto"/>
              <w:right w:val="single" w:sz="4" w:space="0" w:color="auto"/>
            </w:tcBorders>
            <w:vAlign w:val="bottom"/>
            <w:hideMark/>
          </w:tcPr>
          <w:p w14:paraId="326731AD"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13.245</w:t>
            </w:r>
          </w:p>
        </w:tc>
        <w:tc>
          <w:tcPr>
            <w:tcW w:w="1440" w:type="dxa"/>
            <w:tcBorders>
              <w:top w:val="nil"/>
              <w:left w:val="nil"/>
              <w:bottom w:val="single" w:sz="4" w:space="0" w:color="auto"/>
              <w:right w:val="single" w:sz="4" w:space="0" w:color="auto"/>
            </w:tcBorders>
            <w:vAlign w:val="bottom"/>
            <w:hideMark/>
          </w:tcPr>
          <w:p w14:paraId="3BE992DD"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0.853</w:t>
            </w:r>
          </w:p>
        </w:tc>
        <w:tc>
          <w:tcPr>
            <w:tcW w:w="1980" w:type="dxa"/>
            <w:tcBorders>
              <w:top w:val="nil"/>
              <w:left w:val="nil"/>
              <w:bottom w:val="single" w:sz="4" w:space="0" w:color="auto"/>
              <w:right w:val="single" w:sz="4" w:space="0" w:color="auto"/>
            </w:tcBorders>
            <w:vAlign w:val="bottom"/>
            <w:hideMark/>
          </w:tcPr>
          <w:p w14:paraId="0AB3FA09"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11.78</w:t>
            </w:r>
          </w:p>
        </w:tc>
        <w:tc>
          <w:tcPr>
            <w:tcW w:w="1530" w:type="dxa"/>
            <w:tcBorders>
              <w:top w:val="nil"/>
              <w:left w:val="nil"/>
              <w:bottom w:val="single" w:sz="4" w:space="0" w:color="auto"/>
              <w:right w:val="single" w:sz="4" w:space="0" w:color="auto"/>
            </w:tcBorders>
            <w:vAlign w:val="bottom"/>
            <w:hideMark/>
          </w:tcPr>
          <w:p w14:paraId="358BE544"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14.965</w:t>
            </w:r>
          </w:p>
        </w:tc>
        <w:tc>
          <w:tcPr>
            <w:tcW w:w="2070" w:type="dxa"/>
            <w:tcBorders>
              <w:top w:val="nil"/>
              <w:left w:val="nil"/>
              <w:bottom w:val="single" w:sz="4" w:space="0" w:color="auto"/>
              <w:right w:val="single" w:sz="4" w:space="0" w:color="auto"/>
            </w:tcBorders>
            <w:vAlign w:val="bottom"/>
            <w:hideMark/>
          </w:tcPr>
          <w:p w14:paraId="52E72BCE"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46</w:t>
            </w:r>
          </w:p>
        </w:tc>
      </w:tr>
      <w:tr w:rsidR="00566E18" w:rsidRPr="006435D7" w14:paraId="3B1F4D80" w14:textId="77777777" w:rsidTr="00566E18">
        <w:trPr>
          <w:trHeight w:val="64"/>
        </w:trPr>
        <w:tc>
          <w:tcPr>
            <w:tcW w:w="1576" w:type="dxa"/>
            <w:tcBorders>
              <w:top w:val="nil"/>
              <w:left w:val="single" w:sz="4" w:space="0" w:color="auto"/>
              <w:bottom w:val="single" w:sz="4" w:space="0" w:color="auto"/>
              <w:right w:val="single" w:sz="4" w:space="0" w:color="auto"/>
            </w:tcBorders>
            <w:vAlign w:val="bottom"/>
            <w:hideMark/>
          </w:tcPr>
          <w:p w14:paraId="524A0EF8" w14:textId="77777777" w:rsidR="00566E18" w:rsidRPr="006435D7" w:rsidRDefault="00566E18" w:rsidP="00566E18">
            <w:pPr>
              <w:spacing w:after="0" w:line="240" w:lineRule="auto"/>
              <w:rPr>
                <w:rFonts w:ascii="Arial" w:eastAsia="Times New Roman" w:hAnsi="Arial" w:cs="Arial"/>
                <w:b/>
                <w:color w:val="000000"/>
                <w:sz w:val="20"/>
                <w:szCs w:val="20"/>
              </w:rPr>
            </w:pPr>
            <w:proofErr w:type="gramStart"/>
            <w:r w:rsidRPr="006435D7">
              <w:rPr>
                <w:rFonts w:ascii="Arial" w:eastAsia="Times New Roman" w:hAnsi="Arial" w:cs="Arial"/>
                <w:b/>
                <w:color w:val="000000"/>
                <w:sz w:val="20"/>
                <w:szCs w:val="20"/>
              </w:rPr>
              <w:t>ln(</w:t>
            </w:r>
            <w:proofErr w:type="gramEnd"/>
            <w:r w:rsidRPr="006435D7">
              <w:rPr>
                <w:rFonts w:ascii="Arial" w:eastAsia="Times New Roman" w:hAnsi="Arial" w:cs="Arial"/>
                <w:b/>
                <w:color w:val="000000"/>
                <w:sz w:val="20"/>
                <w:szCs w:val="20"/>
              </w:rPr>
              <w:t>COAL)</w:t>
            </w:r>
          </w:p>
        </w:tc>
        <w:tc>
          <w:tcPr>
            <w:tcW w:w="1229" w:type="dxa"/>
            <w:tcBorders>
              <w:top w:val="nil"/>
              <w:left w:val="nil"/>
              <w:bottom w:val="single" w:sz="4" w:space="0" w:color="auto"/>
              <w:right w:val="single" w:sz="4" w:space="0" w:color="auto"/>
            </w:tcBorders>
            <w:vAlign w:val="bottom"/>
            <w:hideMark/>
          </w:tcPr>
          <w:p w14:paraId="7E2D32BB"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7.825</w:t>
            </w:r>
          </w:p>
        </w:tc>
        <w:tc>
          <w:tcPr>
            <w:tcW w:w="1440" w:type="dxa"/>
            <w:tcBorders>
              <w:top w:val="nil"/>
              <w:left w:val="nil"/>
              <w:bottom w:val="single" w:sz="4" w:space="0" w:color="auto"/>
              <w:right w:val="single" w:sz="4" w:space="0" w:color="auto"/>
            </w:tcBorders>
            <w:vAlign w:val="bottom"/>
            <w:hideMark/>
          </w:tcPr>
          <w:p w14:paraId="27002CB1"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0.69</w:t>
            </w:r>
          </w:p>
        </w:tc>
        <w:tc>
          <w:tcPr>
            <w:tcW w:w="1980" w:type="dxa"/>
            <w:tcBorders>
              <w:top w:val="nil"/>
              <w:left w:val="nil"/>
              <w:bottom w:val="single" w:sz="4" w:space="0" w:color="auto"/>
              <w:right w:val="single" w:sz="4" w:space="0" w:color="auto"/>
            </w:tcBorders>
            <w:vAlign w:val="bottom"/>
            <w:hideMark/>
          </w:tcPr>
          <w:p w14:paraId="4CBF4669"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6.41</w:t>
            </w:r>
          </w:p>
        </w:tc>
        <w:tc>
          <w:tcPr>
            <w:tcW w:w="1530" w:type="dxa"/>
            <w:tcBorders>
              <w:top w:val="nil"/>
              <w:left w:val="nil"/>
              <w:bottom w:val="single" w:sz="4" w:space="0" w:color="auto"/>
              <w:right w:val="single" w:sz="4" w:space="0" w:color="auto"/>
            </w:tcBorders>
            <w:vAlign w:val="bottom"/>
            <w:hideMark/>
          </w:tcPr>
          <w:p w14:paraId="60FD0841"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8.97</w:t>
            </w:r>
          </w:p>
        </w:tc>
        <w:tc>
          <w:tcPr>
            <w:tcW w:w="2070" w:type="dxa"/>
            <w:tcBorders>
              <w:top w:val="nil"/>
              <w:left w:val="nil"/>
              <w:bottom w:val="single" w:sz="4" w:space="0" w:color="auto"/>
              <w:right w:val="single" w:sz="4" w:space="0" w:color="auto"/>
            </w:tcBorders>
            <w:vAlign w:val="bottom"/>
            <w:hideMark/>
          </w:tcPr>
          <w:p w14:paraId="663284D8"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46</w:t>
            </w:r>
          </w:p>
        </w:tc>
      </w:tr>
      <w:tr w:rsidR="00566E18" w:rsidRPr="006435D7" w14:paraId="04CB795D" w14:textId="77777777" w:rsidTr="00566E18">
        <w:trPr>
          <w:trHeight w:val="64"/>
        </w:trPr>
        <w:tc>
          <w:tcPr>
            <w:tcW w:w="1576" w:type="dxa"/>
            <w:tcBorders>
              <w:top w:val="nil"/>
              <w:left w:val="single" w:sz="4" w:space="0" w:color="auto"/>
              <w:bottom w:val="single" w:sz="4" w:space="0" w:color="auto"/>
              <w:right w:val="single" w:sz="4" w:space="0" w:color="auto"/>
            </w:tcBorders>
            <w:vAlign w:val="bottom"/>
            <w:hideMark/>
          </w:tcPr>
          <w:p w14:paraId="3AED0B15" w14:textId="77777777" w:rsidR="00566E18" w:rsidRPr="006435D7" w:rsidRDefault="00566E18" w:rsidP="00566E18">
            <w:pPr>
              <w:spacing w:after="0" w:line="240" w:lineRule="auto"/>
              <w:rPr>
                <w:rFonts w:ascii="Arial" w:eastAsia="Times New Roman" w:hAnsi="Arial" w:cs="Arial"/>
                <w:b/>
                <w:color w:val="000000"/>
                <w:sz w:val="20"/>
                <w:szCs w:val="20"/>
              </w:rPr>
            </w:pPr>
            <w:proofErr w:type="gramStart"/>
            <w:r w:rsidRPr="006435D7">
              <w:rPr>
                <w:rFonts w:ascii="Arial" w:eastAsia="Times New Roman" w:hAnsi="Arial" w:cs="Arial"/>
                <w:b/>
                <w:color w:val="000000"/>
                <w:sz w:val="20"/>
                <w:szCs w:val="20"/>
              </w:rPr>
              <w:t>ln(</w:t>
            </w:r>
            <w:proofErr w:type="gramEnd"/>
            <w:r w:rsidRPr="006435D7">
              <w:rPr>
                <w:rFonts w:ascii="Arial" w:eastAsia="Times New Roman" w:hAnsi="Arial" w:cs="Arial"/>
                <w:b/>
                <w:color w:val="000000"/>
                <w:sz w:val="20"/>
                <w:szCs w:val="20"/>
              </w:rPr>
              <w:t>CAPITAL)</w:t>
            </w:r>
          </w:p>
        </w:tc>
        <w:tc>
          <w:tcPr>
            <w:tcW w:w="1229" w:type="dxa"/>
            <w:tcBorders>
              <w:top w:val="nil"/>
              <w:left w:val="nil"/>
              <w:bottom w:val="single" w:sz="4" w:space="0" w:color="auto"/>
              <w:right w:val="single" w:sz="4" w:space="0" w:color="auto"/>
            </w:tcBorders>
            <w:vAlign w:val="bottom"/>
            <w:hideMark/>
          </w:tcPr>
          <w:p w14:paraId="32CEE777"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12.362</w:t>
            </w:r>
          </w:p>
        </w:tc>
        <w:tc>
          <w:tcPr>
            <w:tcW w:w="1440" w:type="dxa"/>
            <w:tcBorders>
              <w:top w:val="nil"/>
              <w:left w:val="nil"/>
              <w:bottom w:val="single" w:sz="4" w:space="0" w:color="auto"/>
              <w:right w:val="single" w:sz="4" w:space="0" w:color="auto"/>
            </w:tcBorders>
            <w:vAlign w:val="bottom"/>
            <w:hideMark/>
          </w:tcPr>
          <w:p w14:paraId="46929AF8"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0.734</w:t>
            </w:r>
          </w:p>
        </w:tc>
        <w:tc>
          <w:tcPr>
            <w:tcW w:w="1980" w:type="dxa"/>
            <w:tcBorders>
              <w:top w:val="nil"/>
              <w:left w:val="nil"/>
              <w:bottom w:val="single" w:sz="4" w:space="0" w:color="auto"/>
              <w:right w:val="single" w:sz="4" w:space="0" w:color="auto"/>
            </w:tcBorders>
            <w:vAlign w:val="bottom"/>
            <w:hideMark/>
          </w:tcPr>
          <w:p w14:paraId="014FF4AA"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11.05</w:t>
            </w:r>
          </w:p>
        </w:tc>
        <w:tc>
          <w:tcPr>
            <w:tcW w:w="1530" w:type="dxa"/>
            <w:tcBorders>
              <w:top w:val="nil"/>
              <w:left w:val="nil"/>
              <w:bottom w:val="single" w:sz="4" w:space="0" w:color="auto"/>
              <w:right w:val="single" w:sz="4" w:space="0" w:color="auto"/>
            </w:tcBorders>
            <w:vAlign w:val="bottom"/>
            <w:hideMark/>
          </w:tcPr>
          <w:p w14:paraId="7369C5B1"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13.505</w:t>
            </w:r>
          </w:p>
        </w:tc>
        <w:tc>
          <w:tcPr>
            <w:tcW w:w="2070" w:type="dxa"/>
            <w:tcBorders>
              <w:top w:val="nil"/>
              <w:left w:val="nil"/>
              <w:bottom w:val="single" w:sz="4" w:space="0" w:color="auto"/>
              <w:right w:val="single" w:sz="4" w:space="0" w:color="auto"/>
            </w:tcBorders>
            <w:vAlign w:val="bottom"/>
            <w:hideMark/>
          </w:tcPr>
          <w:p w14:paraId="3BD21063"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46</w:t>
            </w:r>
          </w:p>
        </w:tc>
      </w:tr>
      <w:tr w:rsidR="00566E18" w:rsidRPr="006435D7" w14:paraId="38CE23EB" w14:textId="77777777" w:rsidTr="00566E18">
        <w:trPr>
          <w:trHeight w:val="64"/>
        </w:trPr>
        <w:tc>
          <w:tcPr>
            <w:tcW w:w="1576" w:type="dxa"/>
            <w:tcBorders>
              <w:top w:val="nil"/>
              <w:left w:val="single" w:sz="4" w:space="0" w:color="auto"/>
              <w:bottom w:val="single" w:sz="4" w:space="0" w:color="auto"/>
              <w:right w:val="single" w:sz="4" w:space="0" w:color="auto"/>
            </w:tcBorders>
            <w:vAlign w:val="bottom"/>
            <w:hideMark/>
          </w:tcPr>
          <w:p w14:paraId="0CFB9EA2" w14:textId="77777777" w:rsidR="00566E18" w:rsidRPr="006435D7" w:rsidRDefault="00566E18" w:rsidP="00566E18">
            <w:pPr>
              <w:spacing w:after="0" w:line="240" w:lineRule="auto"/>
              <w:rPr>
                <w:rFonts w:ascii="Arial" w:eastAsia="Times New Roman" w:hAnsi="Arial" w:cs="Arial"/>
                <w:b/>
                <w:color w:val="000000"/>
                <w:sz w:val="20"/>
                <w:szCs w:val="20"/>
              </w:rPr>
            </w:pPr>
            <w:proofErr w:type="gramStart"/>
            <w:r w:rsidRPr="006435D7">
              <w:rPr>
                <w:rFonts w:ascii="Arial" w:eastAsia="Times New Roman" w:hAnsi="Arial" w:cs="Arial"/>
                <w:b/>
                <w:color w:val="000000"/>
                <w:sz w:val="20"/>
                <w:szCs w:val="20"/>
              </w:rPr>
              <w:t>ln(</w:t>
            </w:r>
            <w:proofErr w:type="gramEnd"/>
            <w:r w:rsidRPr="006435D7">
              <w:rPr>
                <w:rFonts w:ascii="Arial" w:eastAsia="Times New Roman" w:hAnsi="Arial" w:cs="Arial"/>
                <w:b/>
                <w:color w:val="000000"/>
                <w:sz w:val="20"/>
                <w:szCs w:val="20"/>
              </w:rPr>
              <w:t>LABOUR)</w:t>
            </w:r>
          </w:p>
        </w:tc>
        <w:tc>
          <w:tcPr>
            <w:tcW w:w="1229" w:type="dxa"/>
            <w:tcBorders>
              <w:top w:val="nil"/>
              <w:left w:val="nil"/>
              <w:bottom w:val="single" w:sz="4" w:space="0" w:color="auto"/>
              <w:right w:val="single" w:sz="4" w:space="0" w:color="auto"/>
            </w:tcBorders>
            <w:vAlign w:val="bottom"/>
            <w:hideMark/>
          </w:tcPr>
          <w:p w14:paraId="2C016905"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9.32</w:t>
            </w:r>
          </w:p>
        </w:tc>
        <w:tc>
          <w:tcPr>
            <w:tcW w:w="1440" w:type="dxa"/>
            <w:tcBorders>
              <w:top w:val="nil"/>
              <w:left w:val="nil"/>
              <w:bottom w:val="single" w:sz="4" w:space="0" w:color="auto"/>
              <w:right w:val="single" w:sz="4" w:space="0" w:color="auto"/>
            </w:tcBorders>
            <w:vAlign w:val="bottom"/>
            <w:hideMark/>
          </w:tcPr>
          <w:p w14:paraId="4D26B92F"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0.42</w:t>
            </w:r>
          </w:p>
        </w:tc>
        <w:tc>
          <w:tcPr>
            <w:tcW w:w="1980" w:type="dxa"/>
            <w:tcBorders>
              <w:top w:val="nil"/>
              <w:left w:val="nil"/>
              <w:bottom w:val="single" w:sz="4" w:space="0" w:color="auto"/>
              <w:right w:val="single" w:sz="4" w:space="0" w:color="auto"/>
            </w:tcBorders>
            <w:vAlign w:val="bottom"/>
            <w:hideMark/>
          </w:tcPr>
          <w:p w14:paraId="619B2E24"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8.7</w:t>
            </w:r>
          </w:p>
        </w:tc>
        <w:tc>
          <w:tcPr>
            <w:tcW w:w="1530" w:type="dxa"/>
            <w:tcBorders>
              <w:top w:val="nil"/>
              <w:left w:val="nil"/>
              <w:bottom w:val="single" w:sz="4" w:space="0" w:color="auto"/>
              <w:right w:val="single" w:sz="4" w:space="0" w:color="auto"/>
            </w:tcBorders>
            <w:vAlign w:val="bottom"/>
            <w:hideMark/>
          </w:tcPr>
          <w:p w14:paraId="194614C4"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9.85</w:t>
            </w:r>
          </w:p>
        </w:tc>
        <w:tc>
          <w:tcPr>
            <w:tcW w:w="2070" w:type="dxa"/>
            <w:tcBorders>
              <w:top w:val="nil"/>
              <w:left w:val="nil"/>
              <w:bottom w:val="single" w:sz="4" w:space="0" w:color="auto"/>
              <w:right w:val="single" w:sz="4" w:space="0" w:color="auto"/>
            </w:tcBorders>
            <w:vAlign w:val="bottom"/>
            <w:hideMark/>
          </w:tcPr>
          <w:p w14:paraId="30975615"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46</w:t>
            </w:r>
          </w:p>
        </w:tc>
      </w:tr>
    </w:tbl>
    <w:p w14:paraId="5744C25D" w14:textId="77777777" w:rsidR="00494B57" w:rsidRPr="006435D7" w:rsidRDefault="00494B57" w:rsidP="00E2173C">
      <w:pPr>
        <w:tabs>
          <w:tab w:val="left" w:pos="930"/>
        </w:tabs>
        <w:spacing w:after="0" w:line="360" w:lineRule="auto"/>
        <w:jc w:val="both"/>
        <w:rPr>
          <w:rFonts w:ascii="Arial" w:hAnsi="Arial" w:cs="Arial"/>
          <w:b/>
          <w:sz w:val="20"/>
          <w:szCs w:val="20"/>
        </w:rPr>
      </w:pPr>
      <w:r w:rsidRPr="00055E3B">
        <w:rPr>
          <w:rFonts w:ascii="Arial" w:hAnsi="Arial" w:cs="Arial"/>
          <w:b/>
        </w:rPr>
        <w:t>Source:</w:t>
      </w:r>
      <w:r w:rsidR="005B5874" w:rsidRPr="006435D7">
        <w:rPr>
          <w:rFonts w:ascii="Arial" w:hAnsi="Arial" w:cs="Arial"/>
          <w:sz w:val="20"/>
          <w:szCs w:val="20"/>
        </w:rPr>
        <w:t xml:space="preserve"> World Bank (WDI), Reserve Bank of India, and Ministry of Coal, Government of India.</w:t>
      </w:r>
    </w:p>
    <w:p w14:paraId="03E15B61" w14:textId="1ACA3272" w:rsidR="005B5874" w:rsidRPr="006435D7" w:rsidRDefault="00091142" w:rsidP="00A16A15">
      <w:pPr>
        <w:tabs>
          <w:tab w:val="left" w:pos="930"/>
        </w:tabs>
        <w:spacing w:after="0" w:line="480" w:lineRule="auto"/>
        <w:jc w:val="both"/>
        <w:rPr>
          <w:rFonts w:ascii="Arial" w:hAnsi="Arial" w:cs="Arial"/>
          <w:sz w:val="20"/>
          <w:szCs w:val="20"/>
        </w:rPr>
      </w:pPr>
      <w:r w:rsidRPr="006435D7">
        <w:rPr>
          <w:rFonts w:ascii="Arial" w:hAnsi="Arial" w:cs="Arial"/>
          <w:sz w:val="20"/>
          <w:szCs w:val="20"/>
        </w:rPr>
        <w:tab/>
      </w:r>
      <w:r w:rsidR="005B5874" w:rsidRPr="006435D7">
        <w:rPr>
          <w:rFonts w:ascii="Arial" w:hAnsi="Arial" w:cs="Arial"/>
          <w:sz w:val="20"/>
          <w:szCs w:val="20"/>
        </w:rPr>
        <w:t xml:space="preserve">Table 1 presents the summary of the main variables used—GDP, coal consumption, capital formation, and </w:t>
      </w:r>
      <w:proofErr w:type="spellStart"/>
      <w:r w:rsidR="005B5874" w:rsidRPr="006435D7">
        <w:rPr>
          <w:rFonts w:ascii="Arial" w:hAnsi="Arial" w:cs="Arial"/>
          <w:sz w:val="20"/>
          <w:szCs w:val="20"/>
        </w:rPr>
        <w:t>labour</w:t>
      </w:r>
      <w:proofErr w:type="spellEnd"/>
      <w:r w:rsidR="005B5874" w:rsidRPr="006435D7">
        <w:rPr>
          <w:rFonts w:ascii="Arial" w:hAnsi="Arial" w:cs="Arial"/>
          <w:sz w:val="20"/>
          <w:szCs w:val="20"/>
        </w:rPr>
        <w:t xml:space="preserve"> force—in logarithmic form. The mean and standard deviation values indicate steady economic expansion with manageable volatility across the 46-year period. Real GDP (mean = 13.245) shows consistent growth, while coal consumption (mean = 7.825) reflects gradual energy demand increases. Capital formation and </w:t>
      </w:r>
      <w:proofErr w:type="spellStart"/>
      <w:r w:rsidR="005B5874" w:rsidRPr="006435D7">
        <w:rPr>
          <w:rFonts w:ascii="Arial" w:hAnsi="Arial" w:cs="Arial"/>
          <w:sz w:val="20"/>
          <w:szCs w:val="20"/>
        </w:rPr>
        <w:t>labour</w:t>
      </w:r>
      <w:proofErr w:type="spellEnd"/>
      <w:r w:rsidR="005B5874" w:rsidRPr="006435D7">
        <w:rPr>
          <w:rFonts w:ascii="Arial" w:hAnsi="Arial" w:cs="Arial"/>
          <w:sz w:val="20"/>
          <w:szCs w:val="20"/>
        </w:rPr>
        <w:t xml:space="preserve"> also depict positive development trends, supporting economic expansion. The minimum and maximum values capture India’s structural transition from a developing to an emerging economy. Overall, the descriptive analysis ensures that the dataset is suitable for econometric modeling, revealing no extreme fluctuations that could bias estimates. These statistics provide a solid foundation for further empirical testing and support the reliability of the dataset covering 1980–2025.</w:t>
      </w:r>
    </w:p>
    <w:p w14:paraId="777B59CC" w14:textId="572977F2" w:rsidR="00EA7B80" w:rsidRPr="00055E3B" w:rsidRDefault="00EA7B80" w:rsidP="00E2173C">
      <w:pPr>
        <w:tabs>
          <w:tab w:val="left" w:pos="930"/>
        </w:tabs>
        <w:spacing w:after="0" w:line="360" w:lineRule="auto"/>
        <w:jc w:val="both"/>
        <w:rPr>
          <w:rFonts w:ascii="Arial" w:hAnsi="Arial" w:cs="Arial"/>
          <w:b/>
        </w:rPr>
      </w:pPr>
      <w:r w:rsidRPr="00055E3B">
        <w:rPr>
          <w:rFonts w:ascii="Arial" w:hAnsi="Arial" w:cs="Arial"/>
          <w:b/>
        </w:rPr>
        <w:t xml:space="preserve">Figure </w:t>
      </w:r>
      <w:r w:rsidR="00AA71E7">
        <w:rPr>
          <w:rFonts w:ascii="Arial" w:hAnsi="Arial" w:cs="Arial"/>
          <w:b/>
        </w:rPr>
        <w:t>2</w:t>
      </w:r>
      <w:r w:rsidRPr="00055E3B">
        <w:rPr>
          <w:rFonts w:ascii="Arial" w:hAnsi="Arial" w:cs="Arial"/>
          <w:b/>
        </w:rPr>
        <w:t>: Bar Chart – Coal Consumption vs. GDP in India (1980–2025).</w:t>
      </w:r>
    </w:p>
    <w:p w14:paraId="5230E4D7" w14:textId="77777777" w:rsidR="00EA7B80" w:rsidRPr="006435D7" w:rsidRDefault="00EA7B80" w:rsidP="00E2173C">
      <w:pPr>
        <w:tabs>
          <w:tab w:val="left" w:pos="930"/>
        </w:tabs>
        <w:spacing w:after="0" w:line="360" w:lineRule="auto"/>
        <w:jc w:val="both"/>
        <w:rPr>
          <w:rFonts w:ascii="Arial" w:hAnsi="Arial" w:cs="Arial"/>
          <w:b/>
          <w:sz w:val="20"/>
          <w:szCs w:val="20"/>
        </w:rPr>
      </w:pPr>
      <w:r w:rsidRPr="006435D7">
        <w:rPr>
          <w:rFonts w:ascii="Arial" w:hAnsi="Arial" w:cs="Arial"/>
          <w:b/>
          <w:noProof/>
          <w:sz w:val="20"/>
          <w:szCs w:val="20"/>
        </w:rPr>
        <w:drawing>
          <wp:anchor distT="0" distB="0" distL="114300" distR="114300" simplePos="0" relativeHeight="251660288" behindDoc="0" locked="0" layoutInCell="1" allowOverlap="1" wp14:anchorId="06DC3D3F" wp14:editId="4A26578D">
            <wp:simplePos x="0" y="0"/>
            <wp:positionH relativeFrom="column">
              <wp:posOffset>-102235</wp:posOffset>
            </wp:positionH>
            <wp:positionV relativeFrom="paragraph">
              <wp:posOffset>75565</wp:posOffset>
            </wp:positionV>
            <wp:extent cx="5881370" cy="2396490"/>
            <wp:effectExtent l="19050" t="0" r="5080" b="0"/>
            <wp:wrapSquare wrapText="bothSides"/>
            <wp:docPr id="51" name="Picture 51" descr="C:\Users\USER\Downloads\Figure_3.1_Bar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ownloads\Figure_3.1_Bar_Chart.png"/>
                    <pic:cNvPicPr>
                      <a:picLocks noChangeAspect="1" noChangeArrowheads="1"/>
                    </pic:cNvPicPr>
                  </pic:nvPicPr>
                  <pic:blipFill>
                    <a:blip r:embed="rId9"/>
                    <a:srcRect t="7657"/>
                    <a:stretch>
                      <a:fillRect/>
                    </a:stretch>
                  </pic:blipFill>
                  <pic:spPr bwMode="auto">
                    <a:xfrm>
                      <a:off x="0" y="0"/>
                      <a:ext cx="5881370" cy="2396490"/>
                    </a:xfrm>
                    <a:prstGeom prst="rect">
                      <a:avLst/>
                    </a:prstGeom>
                    <a:noFill/>
                    <a:ln w="9525">
                      <a:noFill/>
                      <a:miter lim="800000"/>
                      <a:headEnd/>
                      <a:tailEnd/>
                    </a:ln>
                  </pic:spPr>
                </pic:pic>
              </a:graphicData>
            </a:graphic>
          </wp:anchor>
        </w:drawing>
      </w:r>
    </w:p>
    <w:p w14:paraId="38C7DE27" w14:textId="77777777" w:rsidR="00EA7B80" w:rsidRPr="006435D7" w:rsidRDefault="00EA7B80" w:rsidP="00E2173C">
      <w:pPr>
        <w:tabs>
          <w:tab w:val="left" w:pos="930"/>
        </w:tabs>
        <w:spacing w:after="0" w:line="360" w:lineRule="auto"/>
        <w:jc w:val="both"/>
        <w:rPr>
          <w:rFonts w:ascii="Arial" w:hAnsi="Arial" w:cs="Arial"/>
          <w:b/>
          <w:sz w:val="20"/>
          <w:szCs w:val="20"/>
        </w:rPr>
      </w:pPr>
    </w:p>
    <w:p w14:paraId="66A25409" w14:textId="77777777" w:rsidR="00EA7B80" w:rsidRPr="006435D7" w:rsidRDefault="00EA7B80" w:rsidP="00E2173C">
      <w:pPr>
        <w:tabs>
          <w:tab w:val="left" w:pos="930"/>
        </w:tabs>
        <w:spacing w:after="0" w:line="360" w:lineRule="auto"/>
        <w:jc w:val="both"/>
        <w:rPr>
          <w:rFonts w:ascii="Arial" w:hAnsi="Arial" w:cs="Arial"/>
          <w:sz w:val="20"/>
          <w:szCs w:val="20"/>
        </w:rPr>
      </w:pPr>
    </w:p>
    <w:p w14:paraId="7C7EBD40" w14:textId="77777777" w:rsidR="00A16A15" w:rsidRDefault="00A16A15" w:rsidP="00566E18">
      <w:pPr>
        <w:tabs>
          <w:tab w:val="left" w:pos="930"/>
        </w:tabs>
        <w:spacing w:after="0" w:line="240" w:lineRule="auto"/>
        <w:jc w:val="both"/>
        <w:rPr>
          <w:rFonts w:ascii="Arial" w:hAnsi="Arial" w:cs="Arial"/>
          <w:b/>
          <w:sz w:val="20"/>
          <w:szCs w:val="20"/>
        </w:rPr>
      </w:pPr>
    </w:p>
    <w:p w14:paraId="252F343E" w14:textId="0221BB0D" w:rsidR="00EF0BEE" w:rsidRPr="00A16A15" w:rsidRDefault="00932C5F" w:rsidP="00566E18">
      <w:pPr>
        <w:tabs>
          <w:tab w:val="left" w:pos="930"/>
        </w:tabs>
        <w:spacing w:after="0" w:line="240" w:lineRule="auto"/>
        <w:jc w:val="both"/>
        <w:rPr>
          <w:rFonts w:ascii="Arial" w:hAnsi="Arial" w:cs="Arial"/>
          <w:b/>
        </w:rPr>
      </w:pPr>
      <w:r w:rsidRPr="00A16A15">
        <w:rPr>
          <w:rFonts w:ascii="Arial" w:hAnsi="Arial" w:cs="Arial"/>
          <w:b/>
        </w:rPr>
        <w:t xml:space="preserve">Table 2: </w:t>
      </w:r>
      <w:r w:rsidR="00EF0BEE" w:rsidRPr="00A16A15">
        <w:rPr>
          <w:rFonts w:ascii="Arial" w:hAnsi="Arial" w:cs="Arial"/>
          <w:b/>
        </w:rPr>
        <w:t>Results of Augmented Dickey–Fuller (ADF) Unit Root Test for Stationarity of Time-Series Variables.</w:t>
      </w:r>
    </w:p>
    <w:tbl>
      <w:tblPr>
        <w:tblW w:w="9824" w:type="dxa"/>
        <w:tblInd w:w="94" w:type="dxa"/>
        <w:tblLook w:val="04A0" w:firstRow="1" w:lastRow="0" w:firstColumn="1" w:lastColumn="0" w:noHBand="0" w:noVBand="1"/>
      </w:tblPr>
      <w:tblGrid>
        <w:gridCol w:w="1576"/>
        <w:gridCol w:w="2398"/>
        <w:gridCol w:w="3510"/>
        <w:gridCol w:w="2340"/>
      </w:tblGrid>
      <w:tr w:rsidR="00156EC2" w:rsidRPr="006435D7" w14:paraId="272B36A6" w14:textId="77777777" w:rsidTr="00E14795">
        <w:trPr>
          <w:trHeight w:val="359"/>
        </w:trPr>
        <w:tc>
          <w:tcPr>
            <w:tcW w:w="1576" w:type="dxa"/>
            <w:tcBorders>
              <w:top w:val="single" w:sz="4" w:space="0" w:color="auto"/>
              <w:left w:val="single" w:sz="4" w:space="0" w:color="auto"/>
              <w:bottom w:val="single" w:sz="4" w:space="0" w:color="auto"/>
              <w:right w:val="single" w:sz="4" w:space="0" w:color="auto"/>
            </w:tcBorders>
            <w:vAlign w:val="center"/>
            <w:hideMark/>
          </w:tcPr>
          <w:p w14:paraId="1EF3E8E5"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Variable</w:t>
            </w:r>
          </w:p>
        </w:tc>
        <w:tc>
          <w:tcPr>
            <w:tcW w:w="2398" w:type="dxa"/>
            <w:tcBorders>
              <w:top w:val="single" w:sz="4" w:space="0" w:color="auto"/>
              <w:left w:val="nil"/>
              <w:bottom w:val="single" w:sz="4" w:space="0" w:color="auto"/>
              <w:right w:val="single" w:sz="4" w:space="0" w:color="auto"/>
            </w:tcBorders>
            <w:vAlign w:val="center"/>
            <w:hideMark/>
          </w:tcPr>
          <w:p w14:paraId="0E3A5FC7"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Level t-Statistic (p-value)</w:t>
            </w:r>
          </w:p>
        </w:tc>
        <w:tc>
          <w:tcPr>
            <w:tcW w:w="3510" w:type="dxa"/>
            <w:tcBorders>
              <w:top w:val="single" w:sz="4" w:space="0" w:color="auto"/>
              <w:left w:val="nil"/>
              <w:bottom w:val="single" w:sz="4" w:space="0" w:color="auto"/>
              <w:right w:val="single" w:sz="4" w:space="0" w:color="auto"/>
            </w:tcBorders>
            <w:vAlign w:val="center"/>
            <w:hideMark/>
          </w:tcPr>
          <w:p w14:paraId="70790CD0"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1st Difference t-Statistic (p-value)</w:t>
            </w:r>
          </w:p>
        </w:tc>
        <w:tc>
          <w:tcPr>
            <w:tcW w:w="2340" w:type="dxa"/>
            <w:tcBorders>
              <w:top w:val="single" w:sz="4" w:space="0" w:color="auto"/>
              <w:left w:val="nil"/>
              <w:bottom w:val="single" w:sz="4" w:space="0" w:color="auto"/>
              <w:right w:val="single" w:sz="4" w:space="0" w:color="auto"/>
            </w:tcBorders>
            <w:vAlign w:val="center"/>
            <w:hideMark/>
          </w:tcPr>
          <w:p w14:paraId="6EED7841"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Integration Order</w:t>
            </w:r>
          </w:p>
        </w:tc>
      </w:tr>
      <w:tr w:rsidR="00156EC2" w:rsidRPr="006435D7" w14:paraId="3904E1A7" w14:textId="77777777" w:rsidTr="00E14795">
        <w:trPr>
          <w:trHeight w:val="64"/>
        </w:trPr>
        <w:tc>
          <w:tcPr>
            <w:tcW w:w="1576" w:type="dxa"/>
            <w:tcBorders>
              <w:top w:val="nil"/>
              <w:left w:val="single" w:sz="4" w:space="0" w:color="auto"/>
              <w:bottom w:val="single" w:sz="4" w:space="0" w:color="auto"/>
              <w:right w:val="single" w:sz="4" w:space="0" w:color="auto"/>
            </w:tcBorders>
            <w:vAlign w:val="bottom"/>
            <w:hideMark/>
          </w:tcPr>
          <w:p w14:paraId="3FDC3A79" w14:textId="77777777" w:rsidR="00156EC2" w:rsidRPr="006435D7" w:rsidRDefault="00156EC2" w:rsidP="00156EC2">
            <w:pPr>
              <w:spacing w:after="0" w:line="240" w:lineRule="auto"/>
              <w:rPr>
                <w:rFonts w:ascii="Arial" w:eastAsia="Times New Roman" w:hAnsi="Arial" w:cs="Arial"/>
                <w:b/>
                <w:color w:val="000000"/>
                <w:sz w:val="20"/>
                <w:szCs w:val="20"/>
              </w:rPr>
            </w:pPr>
            <w:proofErr w:type="gramStart"/>
            <w:r w:rsidRPr="006435D7">
              <w:rPr>
                <w:rFonts w:ascii="Arial" w:eastAsia="Times New Roman" w:hAnsi="Arial" w:cs="Arial"/>
                <w:b/>
                <w:color w:val="000000"/>
                <w:sz w:val="20"/>
                <w:szCs w:val="20"/>
              </w:rPr>
              <w:t>ln(</w:t>
            </w:r>
            <w:proofErr w:type="gramEnd"/>
            <w:r w:rsidRPr="006435D7">
              <w:rPr>
                <w:rFonts w:ascii="Arial" w:eastAsia="Times New Roman" w:hAnsi="Arial" w:cs="Arial"/>
                <w:b/>
                <w:color w:val="000000"/>
                <w:sz w:val="20"/>
                <w:szCs w:val="20"/>
              </w:rPr>
              <w:t>GDP)</w:t>
            </w:r>
          </w:p>
        </w:tc>
        <w:tc>
          <w:tcPr>
            <w:tcW w:w="2398" w:type="dxa"/>
            <w:tcBorders>
              <w:top w:val="nil"/>
              <w:left w:val="nil"/>
              <w:bottom w:val="single" w:sz="4" w:space="0" w:color="auto"/>
              <w:right w:val="single" w:sz="4" w:space="0" w:color="auto"/>
            </w:tcBorders>
            <w:vAlign w:val="bottom"/>
            <w:hideMark/>
          </w:tcPr>
          <w:p w14:paraId="7EBC0853"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–1.890 (0.650)</w:t>
            </w:r>
          </w:p>
        </w:tc>
        <w:tc>
          <w:tcPr>
            <w:tcW w:w="3510" w:type="dxa"/>
            <w:tcBorders>
              <w:top w:val="nil"/>
              <w:left w:val="nil"/>
              <w:bottom w:val="single" w:sz="4" w:space="0" w:color="auto"/>
              <w:right w:val="single" w:sz="4" w:space="0" w:color="auto"/>
            </w:tcBorders>
            <w:vAlign w:val="bottom"/>
            <w:hideMark/>
          </w:tcPr>
          <w:p w14:paraId="0E98463A"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–5.982 (0.000)</w:t>
            </w:r>
          </w:p>
        </w:tc>
        <w:tc>
          <w:tcPr>
            <w:tcW w:w="2340" w:type="dxa"/>
            <w:tcBorders>
              <w:top w:val="nil"/>
              <w:left w:val="nil"/>
              <w:bottom w:val="single" w:sz="4" w:space="0" w:color="auto"/>
              <w:right w:val="single" w:sz="4" w:space="0" w:color="auto"/>
            </w:tcBorders>
            <w:vAlign w:val="bottom"/>
            <w:hideMark/>
          </w:tcPr>
          <w:p w14:paraId="02CACC1B" w14:textId="77777777" w:rsidR="00156EC2" w:rsidRPr="006435D7" w:rsidRDefault="00156EC2" w:rsidP="00E14795">
            <w:pPr>
              <w:spacing w:after="0" w:line="240" w:lineRule="auto"/>
              <w:jc w:val="center"/>
              <w:rPr>
                <w:rFonts w:ascii="Arial" w:eastAsia="Times New Roman" w:hAnsi="Arial" w:cs="Arial"/>
                <w:color w:val="000000"/>
                <w:sz w:val="20"/>
                <w:szCs w:val="20"/>
              </w:rPr>
            </w:pPr>
            <w:proofErr w:type="gramStart"/>
            <w:r w:rsidRPr="006435D7">
              <w:rPr>
                <w:rFonts w:ascii="Arial" w:eastAsia="Times New Roman" w:hAnsi="Arial" w:cs="Arial"/>
                <w:color w:val="000000"/>
                <w:sz w:val="20"/>
                <w:szCs w:val="20"/>
              </w:rPr>
              <w:t>I(</w:t>
            </w:r>
            <w:proofErr w:type="gramEnd"/>
            <w:r w:rsidRPr="006435D7">
              <w:rPr>
                <w:rFonts w:ascii="Arial" w:eastAsia="Times New Roman" w:hAnsi="Arial" w:cs="Arial"/>
                <w:color w:val="000000"/>
                <w:sz w:val="20"/>
                <w:szCs w:val="20"/>
              </w:rPr>
              <w:t>1)</w:t>
            </w:r>
          </w:p>
        </w:tc>
      </w:tr>
      <w:tr w:rsidR="00156EC2" w:rsidRPr="006435D7" w14:paraId="4AFAF8E2" w14:textId="77777777" w:rsidTr="00E14795">
        <w:trPr>
          <w:trHeight w:val="64"/>
        </w:trPr>
        <w:tc>
          <w:tcPr>
            <w:tcW w:w="1576" w:type="dxa"/>
            <w:tcBorders>
              <w:top w:val="nil"/>
              <w:left w:val="single" w:sz="4" w:space="0" w:color="auto"/>
              <w:bottom w:val="single" w:sz="4" w:space="0" w:color="auto"/>
              <w:right w:val="single" w:sz="4" w:space="0" w:color="auto"/>
            </w:tcBorders>
            <w:vAlign w:val="bottom"/>
            <w:hideMark/>
          </w:tcPr>
          <w:p w14:paraId="0B51A634" w14:textId="77777777" w:rsidR="00156EC2" w:rsidRPr="006435D7" w:rsidRDefault="00156EC2" w:rsidP="00156EC2">
            <w:pPr>
              <w:spacing w:after="0" w:line="240" w:lineRule="auto"/>
              <w:rPr>
                <w:rFonts w:ascii="Arial" w:eastAsia="Times New Roman" w:hAnsi="Arial" w:cs="Arial"/>
                <w:b/>
                <w:color w:val="000000"/>
                <w:sz w:val="20"/>
                <w:szCs w:val="20"/>
              </w:rPr>
            </w:pPr>
            <w:proofErr w:type="gramStart"/>
            <w:r w:rsidRPr="006435D7">
              <w:rPr>
                <w:rFonts w:ascii="Arial" w:eastAsia="Times New Roman" w:hAnsi="Arial" w:cs="Arial"/>
                <w:b/>
                <w:color w:val="000000"/>
                <w:sz w:val="20"/>
                <w:szCs w:val="20"/>
              </w:rPr>
              <w:lastRenderedPageBreak/>
              <w:t>ln(</w:t>
            </w:r>
            <w:proofErr w:type="gramEnd"/>
            <w:r w:rsidRPr="006435D7">
              <w:rPr>
                <w:rFonts w:ascii="Arial" w:eastAsia="Times New Roman" w:hAnsi="Arial" w:cs="Arial"/>
                <w:b/>
                <w:color w:val="000000"/>
                <w:sz w:val="20"/>
                <w:szCs w:val="20"/>
              </w:rPr>
              <w:t>COAL)</w:t>
            </w:r>
          </w:p>
        </w:tc>
        <w:tc>
          <w:tcPr>
            <w:tcW w:w="2398" w:type="dxa"/>
            <w:tcBorders>
              <w:top w:val="nil"/>
              <w:left w:val="nil"/>
              <w:bottom w:val="single" w:sz="4" w:space="0" w:color="auto"/>
              <w:right w:val="single" w:sz="4" w:space="0" w:color="auto"/>
            </w:tcBorders>
            <w:vAlign w:val="bottom"/>
            <w:hideMark/>
          </w:tcPr>
          <w:p w14:paraId="5661DDE6"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–2.120 (0.520)</w:t>
            </w:r>
          </w:p>
        </w:tc>
        <w:tc>
          <w:tcPr>
            <w:tcW w:w="3510" w:type="dxa"/>
            <w:tcBorders>
              <w:top w:val="nil"/>
              <w:left w:val="nil"/>
              <w:bottom w:val="single" w:sz="4" w:space="0" w:color="auto"/>
              <w:right w:val="single" w:sz="4" w:space="0" w:color="auto"/>
            </w:tcBorders>
            <w:vAlign w:val="bottom"/>
            <w:hideMark/>
          </w:tcPr>
          <w:p w14:paraId="038AA590"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–6.125 (0.000)</w:t>
            </w:r>
          </w:p>
        </w:tc>
        <w:tc>
          <w:tcPr>
            <w:tcW w:w="2340" w:type="dxa"/>
            <w:tcBorders>
              <w:top w:val="nil"/>
              <w:left w:val="nil"/>
              <w:bottom w:val="single" w:sz="4" w:space="0" w:color="auto"/>
              <w:right w:val="single" w:sz="4" w:space="0" w:color="auto"/>
            </w:tcBorders>
            <w:vAlign w:val="bottom"/>
            <w:hideMark/>
          </w:tcPr>
          <w:p w14:paraId="78FE3317" w14:textId="77777777" w:rsidR="00156EC2" w:rsidRPr="006435D7" w:rsidRDefault="00156EC2" w:rsidP="00E14795">
            <w:pPr>
              <w:spacing w:after="0" w:line="240" w:lineRule="auto"/>
              <w:jc w:val="center"/>
              <w:rPr>
                <w:rFonts w:ascii="Arial" w:eastAsia="Times New Roman" w:hAnsi="Arial" w:cs="Arial"/>
                <w:color w:val="000000"/>
                <w:sz w:val="20"/>
                <w:szCs w:val="20"/>
              </w:rPr>
            </w:pPr>
            <w:proofErr w:type="gramStart"/>
            <w:r w:rsidRPr="006435D7">
              <w:rPr>
                <w:rFonts w:ascii="Arial" w:eastAsia="Times New Roman" w:hAnsi="Arial" w:cs="Arial"/>
                <w:color w:val="000000"/>
                <w:sz w:val="20"/>
                <w:szCs w:val="20"/>
              </w:rPr>
              <w:t>I(</w:t>
            </w:r>
            <w:proofErr w:type="gramEnd"/>
            <w:r w:rsidRPr="006435D7">
              <w:rPr>
                <w:rFonts w:ascii="Arial" w:eastAsia="Times New Roman" w:hAnsi="Arial" w:cs="Arial"/>
                <w:color w:val="000000"/>
                <w:sz w:val="20"/>
                <w:szCs w:val="20"/>
              </w:rPr>
              <w:t>1)</w:t>
            </w:r>
          </w:p>
        </w:tc>
      </w:tr>
      <w:tr w:rsidR="00156EC2" w:rsidRPr="006435D7" w14:paraId="06D556FA" w14:textId="77777777" w:rsidTr="00E14795">
        <w:trPr>
          <w:trHeight w:val="64"/>
        </w:trPr>
        <w:tc>
          <w:tcPr>
            <w:tcW w:w="1576" w:type="dxa"/>
            <w:tcBorders>
              <w:top w:val="nil"/>
              <w:left w:val="single" w:sz="4" w:space="0" w:color="auto"/>
              <w:bottom w:val="single" w:sz="4" w:space="0" w:color="auto"/>
              <w:right w:val="single" w:sz="4" w:space="0" w:color="auto"/>
            </w:tcBorders>
            <w:vAlign w:val="bottom"/>
            <w:hideMark/>
          </w:tcPr>
          <w:p w14:paraId="192AD5F0" w14:textId="77777777" w:rsidR="00156EC2" w:rsidRPr="006435D7" w:rsidRDefault="00156EC2" w:rsidP="00156EC2">
            <w:pPr>
              <w:spacing w:after="0" w:line="240" w:lineRule="auto"/>
              <w:rPr>
                <w:rFonts w:ascii="Arial" w:eastAsia="Times New Roman" w:hAnsi="Arial" w:cs="Arial"/>
                <w:b/>
                <w:color w:val="000000"/>
                <w:sz w:val="20"/>
                <w:szCs w:val="20"/>
              </w:rPr>
            </w:pPr>
            <w:proofErr w:type="gramStart"/>
            <w:r w:rsidRPr="006435D7">
              <w:rPr>
                <w:rFonts w:ascii="Arial" w:eastAsia="Times New Roman" w:hAnsi="Arial" w:cs="Arial"/>
                <w:b/>
                <w:color w:val="000000"/>
                <w:sz w:val="20"/>
                <w:szCs w:val="20"/>
              </w:rPr>
              <w:t>ln(</w:t>
            </w:r>
            <w:proofErr w:type="gramEnd"/>
            <w:r w:rsidRPr="006435D7">
              <w:rPr>
                <w:rFonts w:ascii="Arial" w:eastAsia="Times New Roman" w:hAnsi="Arial" w:cs="Arial"/>
                <w:b/>
                <w:color w:val="000000"/>
                <w:sz w:val="20"/>
                <w:szCs w:val="20"/>
              </w:rPr>
              <w:t>CAPITAL)</w:t>
            </w:r>
          </w:p>
        </w:tc>
        <w:tc>
          <w:tcPr>
            <w:tcW w:w="2398" w:type="dxa"/>
            <w:tcBorders>
              <w:top w:val="nil"/>
              <w:left w:val="nil"/>
              <w:bottom w:val="single" w:sz="4" w:space="0" w:color="auto"/>
              <w:right w:val="single" w:sz="4" w:space="0" w:color="auto"/>
            </w:tcBorders>
            <w:vAlign w:val="bottom"/>
            <w:hideMark/>
          </w:tcPr>
          <w:p w14:paraId="1B5E17E1"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–1.753 (0.680)</w:t>
            </w:r>
          </w:p>
        </w:tc>
        <w:tc>
          <w:tcPr>
            <w:tcW w:w="3510" w:type="dxa"/>
            <w:tcBorders>
              <w:top w:val="nil"/>
              <w:left w:val="nil"/>
              <w:bottom w:val="single" w:sz="4" w:space="0" w:color="auto"/>
              <w:right w:val="single" w:sz="4" w:space="0" w:color="auto"/>
            </w:tcBorders>
            <w:vAlign w:val="bottom"/>
            <w:hideMark/>
          </w:tcPr>
          <w:p w14:paraId="03C6D55B"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–5.475 (0.000)</w:t>
            </w:r>
          </w:p>
        </w:tc>
        <w:tc>
          <w:tcPr>
            <w:tcW w:w="2340" w:type="dxa"/>
            <w:tcBorders>
              <w:top w:val="nil"/>
              <w:left w:val="nil"/>
              <w:bottom w:val="single" w:sz="4" w:space="0" w:color="auto"/>
              <w:right w:val="single" w:sz="4" w:space="0" w:color="auto"/>
            </w:tcBorders>
            <w:vAlign w:val="bottom"/>
            <w:hideMark/>
          </w:tcPr>
          <w:p w14:paraId="7DF3A386" w14:textId="77777777" w:rsidR="00156EC2" w:rsidRPr="006435D7" w:rsidRDefault="00156EC2" w:rsidP="00E14795">
            <w:pPr>
              <w:spacing w:after="0" w:line="240" w:lineRule="auto"/>
              <w:jc w:val="center"/>
              <w:rPr>
                <w:rFonts w:ascii="Arial" w:eastAsia="Times New Roman" w:hAnsi="Arial" w:cs="Arial"/>
                <w:color w:val="000000"/>
                <w:sz w:val="20"/>
                <w:szCs w:val="20"/>
              </w:rPr>
            </w:pPr>
            <w:proofErr w:type="gramStart"/>
            <w:r w:rsidRPr="006435D7">
              <w:rPr>
                <w:rFonts w:ascii="Arial" w:eastAsia="Times New Roman" w:hAnsi="Arial" w:cs="Arial"/>
                <w:color w:val="000000"/>
                <w:sz w:val="20"/>
                <w:szCs w:val="20"/>
              </w:rPr>
              <w:t>I(</w:t>
            </w:r>
            <w:proofErr w:type="gramEnd"/>
            <w:r w:rsidRPr="006435D7">
              <w:rPr>
                <w:rFonts w:ascii="Arial" w:eastAsia="Times New Roman" w:hAnsi="Arial" w:cs="Arial"/>
                <w:color w:val="000000"/>
                <w:sz w:val="20"/>
                <w:szCs w:val="20"/>
              </w:rPr>
              <w:t>1)</w:t>
            </w:r>
          </w:p>
        </w:tc>
      </w:tr>
      <w:tr w:rsidR="00156EC2" w:rsidRPr="006435D7" w14:paraId="2BEB92A0" w14:textId="77777777" w:rsidTr="00E14795">
        <w:trPr>
          <w:trHeight w:val="64"/>
        </w:trPr>
        <w:tc>
          <w:tcPr>
            <w:tcW w:w="1576" w:type="dxa"/>
            <w:tcBorders>
              <w:top w:val="nil"/>
              <w:left w:val="single" w:sz="4" w:space="0" w:color="auto"/>
              <w:bottom w:val="single" w:sz="4" w:space="0" w:color="auto"/>
              <w:right w:val="single" w:sz="4" w:space="0" w:color="auto"/>
            </w:tcBorders>
            <w:vAlign w:val="bottom"/>
            <w:hideMark/>
          </w:tcPr>
          <w:p w14:paraId="41765BB5" w14:textId="77777777" w:rsidR="00156EC2" w:rsidRPr="006435D7" w:rsidRDefault="00156EC2" w:rsidP="00156EC2">
            <w:pPr>
              <w:spacing w:after="0" w:line="240" w:lineRule="auto"/>
              <w:rPr>
                <w:rFonts w:ascii="Arial" w:eastAsia="Times New Roman" w:hAnsi="Arial" w:cs="Arial"/>
                <w:b/>
                <w:color w:val="000000"/>
                <w:sz w:val="20"/>
                <w:szCs w:val="20"/>
              </w:rPr>
            </w:pPr>
            <w:proofErr w:type="gramStart"/>
            <w:r w:rsidRPr="006435D7">
              <w:rPr>
                <w:rFonts w:ascii="Arial" w:eastAsia="Times New Roman" w:hAnsi="Arial" w:cs="Arial"/>
                <w:b/>
                <w:color w:val="000000"/>
                <w:sz w:val="20"/>
                <w:szCs w:val="20"/>
              </w:rPr>
              <w:t>ln(</w:t>
            </w:r>
            <w:proofErr w:type="gramEnd"/>
            <w:r w:rsidRPr="006435D7">
              <w:rPr>
                <w:rFonts w:ascii="Arial" w:eastAsia="Times New Roman" w:hAnsi="Arial" w:cs="Arial"/>
                <w:b/>
                <w:color w:val="000000"/>
                <w:sz w:val="20"/>
                <w:szCs w:val="20"/>
              </w:rPr>
              <w:t>LABOUR)</w:t>
            </w:r>
          </w:p>
        </w:tc>
        <w:tc>
          <w:tcPr>
            <w:tcW w:w="2398" w:type="dxa"/>
            <w:tcBorders>
              <w:top w:val="nil"/>
              <w:left w:val="nil"/>
              <w:bottom w:val="single" w:sz="4" w:space="0" w:color="auto"/>
              <w:right w:val="single" w:sz="4" w:space="0" w:color="auto"/>
            </w:tcBorders>
            <w:vAlign w:val="bottom"/>
            <w:hideMark/>
          </w:tcPr>
          <w:p w14:paraId="74A91301"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–1.890 (0.590)</w:t>
            </w:r>
          </w:p>
        </w:tc>
        <w:tc>
          <w:tcPr>
            <w:tcW w:w="3510" w:type="dxa"/>
            <w:tcBorders>
              <w:top w:val="nil"/>
              <w:left w:val="nil"/>
              <w:bottom w:val="single" w:sz="4" w:space="0" w:color="auto"/>
              <w:right w:val="single" w:sz="4" w:space="0" w:color="auto"/>
            </w:tcBorders>
            <w:vAlign w:val="bottom"/>
            <w:hideMark/>
          </w:tcPr>
          <w:p w14:paraId="154B0EEB"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–4.985 (0.001)</w:t>
            </w:r>
          </w:p>
        </w:tc>
        <w:tc>
          <w:tcPr>
            <w:tcW w:w="2340" w:type="dxa"/>
            <w:tcBorders>
              <w:top w:val="nil"/>
              <w:left w:val="nil"/>
              <w:bottom w:val="single" w:sz="4" w:space="0" w:color="auto"/>
              <w:right w:val="single" w:sz="4" w:space="0" w:color="auto"/>
            </w:tcBorders>
            <w:vAlign w:val="bottom"/>
            <w:hideMark/>
          </w:tcPr>
          <w:p w14:paraId="7B880317" w14:textId="77777777" w:rsidR="00156EC2" w:rsidRPr="006435D7" w:rsidRDefault="00156EC2" w:rsidP="00E14795">
            <w:pPr>
              <w:spacing w:after="0" w:line="240" w:lineRule="auto"/>
              <w:jc w:val="center"/>
              <w:rPr>
                <w:rFonts w:ascii="Arial" w:eastAsia="Times New Roman" w:hAnsi="Arial" w:cs="Arial"/>
                <w:color w:val="000000"/>
                <w:sz w:val="20"/>
                <w:szCs w:val="20"/>
              </w:rPr>
            </w:pPr>
            <w:proofErr w:type="gramStart"/>
            <w:r w:rsidRPr="006435D7">
              <w:rPr>
                <w:rFonts w:ascii="Arial" w:eastAsia="Times New Roman" w:hAnsi="Arial" w:cs="Arial"/>
                <w:color w:val="000000"/>
                <w:sz w:val="20"/>
                <w:szCs w:val="20"/>
              </w:rPr>
              <w:t>I(</w:t>
            </w:r>
            <w:proofErr w:type="gramEnd"/>
            <w:r w:rsidRPr="006435D7">
              <w:rPr>
                <w:rFonts w:ascii="Arial" w:eastAsia="Times New Roman" w:hAnsi="Arial" w:cs="Arial"/>
                <w:color w:val="000000"/>
                <w:sz w:val="20"/>
                <w:szCs w:val="20"/>
              </w:rPr>
              <w:t>1)</w:t>
            </w:r>
          </w:p>
        </w:tc>
      </w:tr>
    </w:tbl>
    <w:p w14:paraId="0764D4FA" w14:textId="77777777" w:rsidR="00156EC2" w:rsidRPr="006435D7" w:rsidRDefault="00156EC2" w:rsidP="00A16A15">
      <w:pPr>
        <w:tabs>
          <w:tab w:val="left" w:pos="930"/>
        </w:tabs>
        <w:spacing w:after="0" w:line="480" w:lineRule="auto"/>
        <w:jc w:val="both"/>
        <w:rPr>
          <w:rFonts w:ascii="Arial" w:hAnsi="Arial" w:cs="Arial"/>
          <w:b/>
          <w:sz w:val="20"/>
          <w:szCs w:val="20"/>
        </w:rPr>
      </w:pPr>
      <w:r w:rsidRPr="00A16A15">
        <w:rPr>
          <w:rFonts w:ascii="Arial" w:hAnsi="Arial" w:cs="Arial"/>
          <w:b/>
        </w:rPr>
        <w:t>Source:</w:t>
      </w:r>
      <w:r w:rsidR="005B5874" w:rsidRPr="006435D7">
        <w:rPr>
          <w:rFonts w:ascii="Arial" w:hAnsi="Arial" w:cs="Arial"/>
          <w:b/>
          <w:sz w:val="20"/>
          <w:szCs w:val="20"/>
        </w:rPr>
        <w:t xml:space="preserve"> </w:t>
      </w:r>
      <w:r w:rsidR="005B5874" w:rsidRPr="006435D7">
        <w:rPr>
          <w:rFonts w:ascii="Arial" w:hAnsi="Arial" w:cs="Arial"/>
          <w:sz w:val="20"/>
          <w:szCs w:val="20"/>
        </w:rPr>
        <w:t>Author’s computation using EViews 12, based on data from the World Bank (WDI), OECD, and Ministry of Coal (1980–2025).</w:t>
      </w:r>
    </w:p>
    <w:p w14:paraId="424B2DEC" w14:textId="33FA5E30" w:rsidR="005B5874" w:rsidRPr="006435D7" w:rsidRDefault="008C0AF1" w:rsidP="00A16A15">
      <w:pPr>
        <w:tabs>
          <w:tab w:val="left" w:pos="930"/>
        </w:tabs>
        <w:spacing w:after="0" w:line="480" w:lineRule="auto"/>
        <w:jc w:val="both"/>
        <w:rPr>
          <w:rFonts w:ascii="Arial" w:hAnsi="Arial" w:cs="Arial"/>
          <w:b/>
          <w:sz w:val="20"/>
          <w:szCs w:val="20"/>
        </w:rPr>
      </w:pPr>
      <w:r w:rsidRPr="006435D7">
        <w:rPr>
          <w:rFonts w:ascii="Arial" w:hAnsi="Arial" w:cs="Arial"/>
          <w:sz w:val="20"/>
          <w:szCs w:val="20"/>
        </w:rPr>
        <w:tab/>
      </w:r>
      <w:r w:rsidR="005B5874" w:rsidRPr="006435D7">
        <w:rPr>
          <w:rFonts w:ascii="Arial" w:hAnsi="Arial" w:cs="Arial"/>
          <w:sz w:val="20"/>
          <w:szCs w:val="20"/>
        </w:rPr>
        <w:t>Table 2 shows the results of the Augmented Dickey–Fuller (ADF) test, which examines whether the series are stationary. The results confirm that all variables—</w:t>
      </w:r>
      <w:proofErr w:type="gramStart"/>
      <w:r w:rsidR="005B5874" w:rsidRPr="006435D7">
        <w:rPr>
          <w:rFonts w:ascii="Arial" w:hAnsi="Arial" w:cs="Arial"/>
          <w:sz w:val="20"/>
          <w:szCs w:val="20"/>
        </w:rPr>
        <w:t>ln(</w:t>
      </w:r>
      <w:proofErr w:type="gramEnd"/>
      <w:r w:rsidR="005B5874" w:rsidRPr="006435D7">
        <w:rPr>
          <w:rFonts w:ascii="Arial" w:hAnsi="Arial" w:cs="Arial"/>
          <w:sz w:val="20"/>
          <w:szCs w:val="20"/>
        </w:rPr>
        <w:t>GDP), ln(COAL), ln(CAPITAL), and ln(LABOUR)—are non-stationary at level but become stationary after first differencing, implying that each is integrated of order one, I(1). This is essential because non-stationary data can produce misleading regression outcomes. Once differenced, the p-values fall below 0.05, confirming significance at the 1% and 5% levels. Establishing stationarity ensures the validity of subsequent analyses, including cointegration and causality tests. Hence, the ADF results justify proceeding with long-run equilibrium analysis using Johansen and ARDL methodologies, which require variables of the same integration order.</w:t>
      </w:r>
    </w:p>
    <w:p w14:paraId="592D8BED" w14:textId="30778AF2" w:rsidR="00156EC2" w:rsidRPr="00E14106" w:rsidRDefault="00932C5F" w:rsidP="00387669">
      <w:pPr>
        <w:tabs>
          <w:tab w:val="left" w:pos="930"/>
        </w:tabs>
        <w:spacing w:after="0" w:line="240" w:lineRule="auto"/>
        <w:jc w:val="both"/>
        <w:rPr>
          <w:rFonts w:ascii="Arial" w:hAnsi="Arial" w:cs="Arial"/>
          <w:b/>
        </w:rPr>
      </w:pPr>
      <w:r w:rsidRPr="00E14106">
        <w:rPr>
          <w:rFonts w:ascii="Arial" w:hAnsi="Arial" w:cs="Arial"/>
          <w:b/>
        </w:rPr>
        <w:t xml:space="preserve">Table 3: </w:t>
      </w:r>
      <w:proofErr w:type="spellStart"/>
      <w:r w:rsidR="007C7755" w:rsidRPr="00E14106">
        <w:rPr>
          <w:rFonts w:ascii="Arial" w:hAnsi="Arial" w:cs="Arial"/>
          <w:b/>
        </w:rPr>
        <w:t>Zivot</w:t>
      </w:r>
      <w:proofErr w:type="spellEnd"/>
      <w:r w:rsidR="007C7755" w:rsidRPr="00E14106">
        <w:rPr>
          <w:rFonts w:ascii="Arial" w:hAnsi="Arial" w:cs="Arial"/>
          <w:b/>
        </w:rPr>
        <w:t>–Andrews Structural Break Test Results for Major Economic Shocks in the Time Series (1980–2025).</w:t>
      </w:r>
    </w:p>
    <w:tbl>
      <w:tblPr>
        <w:tblW w:w="9825" w:type="dxa"/>
        <w:tblInd w:w="93" w:type="dxa"/>
        <w:tblLook w:val="04A0" w:firstRow="1" w:lastRow="0" w:firstColumn="1" w:lastColumn="0" w:noHBand="0" w:noVBand="1"/>
      </w:tblPr>
      <w:tblGrid>
        <w:gridCol w:w="1576"/>
        <w:gridCol w:w="1589"/>
        <w:gridCol w:w="1530"/>
        <w:gridCol w:w="2520"/>
        <w:gridCol w:w="2610"/>
      </w:tblGrid>
      <w:tr w:rsidR="00156EC2" w:rsidRPr="006435D7" w14:paraId="5818ECE5" w14:textId="77777777" w:rsidTr="00387669">
        <w:trPr>
          <w:trHeight w:val="197"/>
        </w:trPr>
        <w:tc>
          <w:tcPr>
            <w:tcW w:w="1576" w:type="dxa"/>
            <w:tcBorders>
              <w:top w:val="single" w:sz="4" w:space="0" w:color="auto"/>
              <w:left w:val="single" w:sz="4" w:space="0" w:color="auto"/>
              <w:bottom w:val="single" w:sz="4" w:space="0" w:color="auto"/>
              <w:right w:val="single" w:sz="4" w:space="0" w:color="auto"/>
            </w:tcBorders>
            <w:vAlign w:val="center"/>
            <w:hideMark/>
          </w:tcPr>
          <w:p w14:paraId="435DF118"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Variable</w:t>
            </w:r>
          </w:p>
        </w:tc>
        <w:tc>
          <w:tcPr>
            <w:tcW w:w="1589" w:type="dxa"/>
            <w:tcBorders>
              <w:top w:val="single" w:sz="4" w:space="0" w:color="auto"/>
              <w:left w:val="nil"/>
              <w:bottom w:val="single" w:sz="4" w:space="0" w:color="auto"/>
              <w:right w:val="single" w:sz="4" w:space="0" w:color="auto"/>
            </w:tcBorders>
            <w:vAlign w:val="center"/>
            <w:hideMark/>
          </w:tcPr>
          <w:p w14:paraId="05F6F213"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Test Statistic</w:t>
            </w:r>
          </w:p>
        </w:tc>
        <w:tc>
          <w:tcPr>
            <w:tcW w:w="1530" w:type="dxa"/>
            <w:tcBorders>
              <w:top w:val="single" w:sz="4" w:space="0" w:color="auto"/>
              <w:left w:val="nil"/>
              <w:bottom w:val="single" w:sz="4" w:space="0" w:color="auto"/>
              <w:right w:val="single" w:sz="4" w:space="0" w:color="auto"/>
            </w:tcBorders>
            <w:vAlign w:val="center"/>
            <w:hideMark/>
          </w:tcPr>
          <w:p w14:paraId="6DB179E6"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Break Year</w:t>
            </w:r>
          </w:p>
        </w:tc>
        <w:tc>
          <w:tcPr>
            <w:tcW w:w="2520" w:type="dxa"/>
            <w:tcBorders>
              <w:top w:val="single" w:sz="4" w:space="0" w:color="auto"/>
              <w:left w:val="nil"/>
              <w:bottom w:val="single" w:sz="4" w:space="0" w:color="auto"/>
              <w:right w:val="single" w:sz="4" w:space="0" w:color="auto"/>
            </w:tcBorders>
            <w:vAlign w:val="center"/>
            <w:hideMark/>
          </w:tcPr>
          <w:p w14:paraId="4C9E52D5"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1% Critical Value</w:t>
            </w:r>
          </w:p>
        </w:tc>
        <w:tc>
          <w:tcPr>
            <w:tcW w:w="2610" w:type="dxa"/>
            <w:tcBorders>
              <w:top w:val="single" w:sz="4" w:space="0" w:color="auto"/>
              <w:left w:val="nil"/>
              <w:bottom w:val="single" w:sz="4" w:space="0" w:color="auto"/>
              <w:right w:val="single" w:sz="4" w:space="0" w:color="auto"/>
            </w:tcBorders>
            <w:vAlign w:val="center"/>
            <w:hideMark/>
          </w:tcPr>
          <w:p w14:paraId="70DC8CF8"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Conclusion</w:t>
            </w:r>
          </w:p>
        </w:tc>
      </w:tr>
      <w:tr w:rsidR="00156EC2" w:rsidRPr="006435D7" w14:paraId="7463F14E" w14:textId="77777777" w:rsidTr="00387669">
        <w:trPr>
          <w:trHeight w:val="98"/>
        </w:trPr>
        <w:tc>
          <w:tcPr>
            <w:tcW w:w="1576" w:type="dxa"/>
            <w:tcBorders>
              <w:top w:val="nil"/>
              <w:left w:val="single" w:sz="4" w:space="0" w:color="auto"/>
              <w:bottom w:val="single" w:sz="4" w:space="0" w:color="auto"/>
              <w:right w:val="single" w:sz="4" w:space="0" w:color="auto"/>
            </w:tcBorders>
            <w:vAlign w:val="bottom"/>
            <w:hideMark/>
          </w:tcPr>
          <w:p w14:paraId="4F44EF1F" w14:textId="77777777" w:rsidR="00156EC2" w:rsidRPr="006435D7" w:rsidRDefault="00156EC2" w:rsidP="00387669">
            <w:pPr>
              <w:spacing w:after="0" w:line="240" w:lineRule="auto"/>
              <w:jc w:val="center"/>
              <w:rPr>
                <w:rFonts w:ascii="Arial" w:eastAsia="Times New Roman" w:hAnsi="Arial" w:cs="Arial"/>
                <w:b/>
                <w:color w:val="000000"/>
                <w:sz w:val="20"/>
                <w:szCs w:val="20"/>
              </w:rPr>
            </w:pPr>
            <w:proofErr w:type="gramStart"/>
            <w:r w:rsidRPr="006435D7">
              <w:rPr>
                <w:rFonts w:ascii="Arial" w:eastAsia="Times New Roman" w:hAnsi="Arial" w:cs="Arial"/>
                <w:b/>
                <w:color w:val="000000"/>
                <w:sz w:val="20"/>
                <w:szCs w:val="20"/>
              </w:rPr>
              <w:t>ln(</w:t>
            </w:r>
            <w:proofErr w:type="gramEnd"/>
            <w:r w:rsidRPr="006435D7">
              <w:rPr>
                <w:rFonts w:ascii="Arial" w:eastAsia="Times New Roman" w:hAnsi="Arial" w:cs="Arial"/>
                <w:b/>
                <w:color w:val="000000"/>
                <w:sz w:val="20"/>
                <w:szCs w:val="20"/>
              </w:rPr>
              <w:t>GDP)</w:t>
            </w:r>
          </w:p>
        </w:tc>
        <w:tc>
          <w:tcPr>
            <w:tcW w:w="1589" w:type="dxa"/>
            <w:tcBorders>
              <w:top w:val="nil"/>
              <w:left w:val="nil"/>
              <w:bottom w:val="single" w:sz="4" w:space="0" w:color="auto"/>
              <w:right w:val="single" w:sz="4" w:space="0" w:color="auto"/>
            </w:tcBorders>
            <w:vAlign w:val="bottom"/>
            <w:hideMark/>
          </w:tcPr>
          <w:p w14:paraId="2296619D"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–5.735</w:t>
            </w:r>
          </w:p>
        </w:tc>
        <w:tc>
          <w:tcPr>
            <w:tcW w:w="1530" w:type="dxa"/>
            <w:tcBorders>
              <w:top w:val="nil"/>
              <w:left w:val="nil"/>
              <w:bottom w:val="single" w:sz="4" w:space="0" w:color="auto"/>
              <w:right w:val="single" w:sz="4" w:space="0" w:color="auto"/>
            </w:tcBorders>
            <w:vAlign w:val="bottom"/>
            <w:hideMark/>
          </w:tcPr>
          <w:p w14:paraId="7E2B8658"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1991</w:t>
            </w:r>
          </w:p>
        </w:tc>
        <w:tc>
          <w:tcPr>
            <w:tcW w:w="2520" w:type="dxa"/>
            <w:tcBorders>
              <w:top w:val="nil"/>
              <w:left w:val="nil"/>
              <w:bottom w:val="single" w:sz="4" w:space="0" w:color="auto"/>
              <w:right w:val="single" w:sz="4" w:space="0" w:color="auto"/>
            </w:tcBorders>
            <w:vAlign w:val="bottom"/>
            <w:hideMark/>
          </w:tcPr>
          <w:p w14:paraId="66CDD4A7"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–5.57</w:t>
            </w:r>
          </w:p>
        </w:tc>
        <w:tc>
          <w:tcPr>
            <w:tcW w:w="2610" w:type="dxa"/>
            <w:tcBorders>
              <w:top w:val="nil"/>
              <w:left w:val="nil"/>
              <w:bottom w:val="single" w:sz="4" w:space="0" w:color="auto"/>
              <w:right w:val="single" w:sz="4" w:space="0" w:color="auto"/>
            </w:tcBorders>
            <w:vAlign w:val="bottom"/>
            <w:hideMark/>
          </w:tcPr>
          <w:p w14:paraId="01640016"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Stationary with break</w:t>
            </w:r>
          </w:p>
        </w:tc>
      </w:tr>
      <w:tr w:rsidR="00156EC2" w:rsidRPr="006435D7" w14:paraId="4793E3D6" w14:textId="77777777" w:rsidTr="00387669">
        <w:trPr>
          <w:trHeight w:val="152"/>
        </w:trPr>
        <w:tc>
          <w:tcPr>
            <w:tcW w:w="1576" w:type="dxa"/>
            <w:tcBorders>
              <w:top w:val="nil"/>
              <w:left w:val="single" w:sz="4" w:space="0" w:color="auto"/>
              <w:bottom w:val="single" w:sz="4" w:space="0" w:color="auto"/>
              <w:right w:val="single" w:sz="4" w:space="0" w:color="auto"/>
            </w:tcBorders>
            <w:vAlign w:val="bottom"/>
            <w:hideMark/>
          </w:tcPr>
          <w:p w14:paraId="392D28B6" w14:textId="77777777" w:rsidR="00156EC2" w:rsidRPr="006435D7" w:rsidRDefault="00156EC2" w:rsidP="00387669">
            <w:pPr>
              <w:spacing w:after="0" w:line="240" w:lineRule="auto"/>
              <w:jc w:val="center"/>
              <w:rPr>
                <w:rFonts w:ascii="Arial" w:eastAsia="Times New Roman" w:hAnsi="Arial" w:cs="Arial"/>
                <w:b/>
                <w:color w:val="000000"/>
                <w:sz w:val="20"/>
                <w:szCs w:val="20"/>
              </w:rPr>
            </w:pPr>
            <w:proofErr w:type="gramStart"/>
            <w:r w:rsidRPr="006435D7">
              <w:rPr>
                <w:rFonts w:ascii="Arial" w:eastAsia="Times New Roman" w:hAnsi="Arial" w:cs="Arial"/>
                <w:b/>
                <w:color w:val="000000"/>
                <w:sz w:val="20"/>
                <w:szCs w:val="20"/>
              </w:rPr>
              <w:t>ln(</w:t>
            </w:r>
            <w:proofErr w:type="gramEnd"/>
            <w:r w:rsidRPr="006435D7">
              <w:rPr>
                <w:rFonts w:ascii="Arial" w:eastAsia="Times New Roman" w:hAnsi="Arial" w:cs="Arial"/>
                <w:b/>
                <w:color w:val="000000"/>
                <w:sz w:val="20"/>
                <w:szCs w:val="20"/>
              </w:rPr>
              <w:t>COAL)</w:t>
            </w:r>
          </w:p>
        </w:tc>
        <w:tc>
          <w:tcPr>
            <w:tcW w:w="1589" w:type="dxa"/>
            <w:tcBorders>
              <w:top w:val="nil"/>
              <w:left w:val="nil"/>
              <w:bottom w:val="single" w:sz="4" w:space="0" w:color="auto"/>
              <w:right w:val="single" w:sz="4" w:space="0" w:color="auto"/>
            </w:tcBorders>
            <w:vAlign w:val="bottom"/>
            <w:hideMark/>
          </w:tcPr>
          <w:p w14:paraId="147F9860"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–6.024</w:t>
            </w:r>
          </w:p>
        </w:tc>
        <w:tc>
          <w:tcPr>
            <w:tcW w:w="1530" w:type="dxa"/>
            <w:tcBorders>
              <w:top w:val="nil"/>
              <w:left w:val="nil"/>
              <w:bottom w:val="single" w:sz="4" w:space="0" w:color="auto"/>
              <w:right w:val="single" w:sz="4" w:space="0" w:color="auto"/>
            </w:tcBorders>
            <w:vAlign w:val="bottom"/>
            <w:hideMark/>
          </w:tcPr>
          <w:p w14:paraId="7E054E92"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2000</w:t>
            </w:r>
          </w:p>
        </w:tc>
        <w:tc>
          <w:tcPr>
            <w:tcW w:w="2520" w:type="dxa"/>
            <w:tcBorders>
              <w:top w:val="nil"/>
              <w:left w:val="nil"/>
              <w:bottom w:val="single" w:sz="4" w:space="0" w:color="auto"/>
              <w:right w:val="single" w:sz="4" w:space="0" w:color="auto"/>
            </w:tcBorders>
            <w:vAlign w:val="bottom"/>
            <w:hideMark/>
          </w:tcPr>
          <w:p w14:paraId="2CA443FB"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–5.57</w:t>
            </w:r>
          </w:p>
        </w:tc>
        <w:tc>
          <w:tcPr>
            <w:tcW w:w="2610" w:type="dxa"/>
            <w:tcBorders>
              <w:top w:val="nil"/>
              <w:left w:val="nil"/>
              <w:bottom w:val="single" w:sz="4" w:space="0" w:color="auto"/>
              <w:right w:val="single" w:sz="4" w:space="0" w:color="auto"/>
            </w:tcBorders>
            <w:vAlign w:val="bottom"/>
            <w:hideMark/>
          </w:tcPr>
          <w:p w14:paraId="34D0C149"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Stationary with break</w:t>
            </w:r>
          </w:p>
        </w:tc>
      </w:tr>
      <w:tr w:rsidR="00156EC2" w:rsidRPr="006435D7" w14:paraId="3F3C18F9" w14:textId="77777777" w:rsidTr="00387669">
        <w:trPr>
          <w:trHeight w:val="134"/>
        </w:trPr>
        <w:tc>
          <w:tcPr>
            <w:tcW w:w="1576" w:type="dxa"/>
            <w:tcBorders>
              <w:top w:val="nil"/>
              <w:left w:val="single" w:sz="4" w:space="0" w:color="auto"/>
              <w:bottom w:val="single" w:sz="4" w:space="0" w:color="auto"/>
              <w:right w:val="single" w:sz="4" w:space="0" w:color="auto"/>
            </w:tcBorders>
            <w:vAlign w:val="bottom"/>
            <w:hideMark/>
          </w:tcPr>
          <w:p w14:paraId="0F986C2D" w14:textId="77777777" w:rsidR="00156EC2" w:rsidRPr="006435D7" w:rsidRDefault="00156EC2" w:rsidP="00387669">
            <w:pPr>
              <w:spacing w:after="0" w:line="240" w:lineRule="auto"/>
              <w:jc w:val="center"/>
              <w:rPr>
                <w:rFonts w:ascii="Arial" w:eastAsia="Times New Roman" w:hAnsi="Arial" w:cs="Arial"/>
                <w:b/>
                <w:color w:val="000000"/>
                <w:sz w:val="20"/>
                <w:szCs w:val="20"/>
              </w:rPr>
            </w:pPr>
            <w:proofErr w:type="gramStart"/>
            <w:r w:rsidRPr="006435D7">
              <w:rPr>
                <w:rFonts w:ascii="Arial" w:eastAsia="Times New Roman" w:hAnsi="Arial" w:cs="Arial"/>
                <w:b/>
                <w:color w:val="000000"/>
                <w:sz w:val="20"/>
                <w:szCs w:val="20"/>
              </w:rPr>
              <w:t>ln(</w:t>
            </w:r>
            <w:proofErr w:type="gramEnd"/>
            <w:r w:rsidRPr="006435D7">
              <w:rPr>
                <w:rFonts w:ascii="Arial" w:eastAsia="Times New Roman" w:hAnsi="Arial" w:cs="Arial"/>
                <w:b/>
                <w:color w:val="000000"/>
                <w:sz w:val="20"/>
                <w:szCs w:val="20"/>
              </w:rPr>
              <w:t>CAPITAL)</w:t>
            </w:r>
          </w:p>
        </w:tc>
        <w:tc>
          <w:tcPr>
            <w:tcW w:w="1589" w:type="dxa"/>
            <w:tcBorders>
              <w:top w:val="nil"/>
              <w:left w:val="nil"/>
              <w:bottom w:val="single" w:sz="4" w:space="0" w:color="auto"/>
              <w:right w:val="single" w:sz="4" w:space="0" w:color="auto"/>
            </w:tcBorders>
            <w:vAlign w:val="bottom"/>
            <w:hideMark/>
          </w:tcPr>
          <w:p w14:paraId="657AAF3F"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–5.462</w:t>
            </w:r>
          </w:p>
        </w:tc>
        <w:tc>
          <w:tcPr>
            <w:tcW w:w="1530" w:type="dxa"/>
            <w:tcBorders>
              <w:top w:val="nil"/>
              <w:left w:val="nil"/>
              <w:bottom w:val="single" w:sz="4" w:space="0" w:color="auto"/>
              <w:right w:val="single" w:sz="4" w:space="0" w:color="auto"/>
            </w:tcBorders>
            <w:vAlign w:val="bottom"/>
            <w:hideMark/>
          </w:tcPr>
          <w:p w14:paraId="2EA1E6DE"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2005</w:t>
            </w:r>
          </w:p>
        </w:tc>
        <w:tc>
          <w:tcPr>
            <w:tcW w:w="2520" w:type="dxa"/>
            <w:tcBorders>
              <w:top w:val="nil"/>
              <w:left w:val="nil"/>
              <w:bottom w:val="single" w:sz="4" w:space="0" w:color="auto"/>
              <w:right w:val="single" w:sz="4" w:space="0" w:color="auto"/>
            </w:tcBorders>
            <w:vAlign w:val="bottom"/>
            <w:hideMark/>
          </w:tcPr>
          <w:p w14:paraId="1422AA78"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–5.57</w:t>
            </w:r>
          </w:p>
        </w:tc>
        <w:tc>
          <w:tcPr>
            <w:tcW w:w="2610" w:type="dxa"/>
            <w:tcBorders>
              <w:top w:val="nil"/>
              <w:left w:val="nil"/>
              <w:bottom w:val="single" w:sz="4" w:space="0" w:color="auto"/>
              <w:right w:val="single" w:sz="4" w:space="0" w:color="auto"/>
            </w:tcBorders>
            <w:vAlign w:val="bottom"/>
            <w:hideMark/>
          </w:tcPr>
          <w:p w14:paraId="10F26C94"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Stationary with break</w:t>
            </w:r>
          </w:p>
        </w:tc>
      </w:tr>
      <w:tr w:rsidR="00156EC2" w:rsidRPr="006435D7" w14:paraId="620B7A7F" w14:textId="77777777" w:rsidTr="00387669">
        <w:trPr>
          <w:trHeight w:val="64"/>
        </w:trPr>
        <w:tc>
          <w:tcPr>
            <w:tcW w:w="1576" w:type="dxa"/>
            <w:tcBorders>
              <w:top w:val="nil"/>
              <w:left w:val="single" w:sz="4" w:space="0" w:color="auto"/>
              <w:bottom w:val="single" w:sz="4" w:space="0" w:color="auto"/>
              <w:right w:val="single" w:sz="4" w:space="0" w:color="auto"/>
            </w:tcBorders>
            <w:vAlign w:val="bottom"/>
            <w:hideMark/>
          </w:tcPr>
          <w:p w14:paraId="7F96CC90" w14:textId="77777777" w:rsidR="00156EC2" w:rsidRPr="006435D7" w:rsidRDefault="00156EC2" w:rsidP="00387669">
            <w:pPr>
              <w:spacing w:after="0" w:line="240" w:lineRule="auto"/>
              <w:jc w:val="center"/>
              <w:rPr>
                <w:rFonts w:ascii="Arial" w:eastAsia="Times New Roman" w:hAnsi="Arial" w:cs="Arial"/>
                <w:b/>
                <w:color w:val="000000"/>
                <w:sz w:val="20"/>
                <w:szCs w:val="20"/>
              </w:rPr>
            </w:pPr>
            <w:proofErr w:type="gramStart"/>
            <w:r w:rsidRPr="006435D7">
              <w:rPr>
                <w:rFonts w:ascii="Arial" w:eastAsia="Times New Roman" w:hAnsi="Arial" w:cs="Arial"/>
                <w:b/>
                <w:color w:val="000000"/>
                <w:sz w:val="20"/>
                <w:szCs w:val="20"/>
              </w:rPr>
              <w:t>ln(</w:t>
            </w:r>
            <w:proofErr w:type="gramEnd"/>
            <w:r w:rsidRPr="006435D7">
              <w:rPr>
                <w:rFonts w:ascii="Arial" w:eastAsia="Times New Roman" w:hAnsi="Arial" w:cs="Arial"/>
                <w:b/>
                <w:color w:val="000000"/>
                <w:sz w:val="20"/>
                <w:szCs w:val="20"/>
              </w:rPr>
              <w:t>LABOUR)</w:t>
            </w:r>
          </w:p>
        </w:tc>
        <w:tc>
          <w:tcPr>
            <w:tcW w:w="1589" w:type="dxa"/>
            <w:tcBorders>
              <w:top w:val="nil"/>
              <w:left w:val="nil"/>
              <w:bottom w:val="single" w:sz="4" w:space="0" w:color="auto"/>
              <w:right w:val="single" w:sz="4" w:space="0" w:color="auto"/>
            </w:tcBorders>
            <w:vAlign w:val="bottom"/>
            <w:hideMark/>
          </w:tcPr>
          <w:p w14:paraId="5732B4C9"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–4.955</w:t>
            </w:r>
          </w:p>
        </w:tc>
        <w:tc>
          <w:tcPr>
            <w:tcW w:w="1530" w:type="dxa"/>
            <w:tcBorders>
              <w:top w:val="nil"/>
              <w:left w:val="nil"/>
              <w:bottom w:val="single" w:sz="4" w:space="0" w:color="auto"/>
              <w:right w:val="single" w:sz="4" w:space="0" w:color="auto"/>
            </w:tcBorders>
            <w:vAlign w:val="bottom"/>
            <w:hideMark/>
          </w:tcPr>
          <w:p w14:paraId="4F4E6241"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1998</w:t>
            </w:r>
          </w:p>
        </w:tc>
        <w:tc>
          <w:tcPr>
            <w:tcW w:w="2520" w:type="dxa"/>
            <w:tcBorders>
              <w:top w:val="nil"/>
              <w:left w:val="nil"/>
              <w:bottom w:val="single" w:sz="4" w:space="0" w:color="auto"/>
              <w:right w:val="single" w:sz="4" w:space="0" w:color="auto"/>
            </w:tcBorders>
            <w:vAlign w:val="bottom"/>
            <w:hideMark/>
          </w:tcPr>
          <w:p w14:paraId="0D1C2C49"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–5.57</w:t>
            </w:r>
          </w:p>
        </w:tc>
        <w:tc>
          <w:tcPr>
            <w:tcW w:w="2610" w:type="dxa"/>
            <w:tcBorders>
              <w:top w:val="nil"/>
              <w:left w:val="nil"/>
              <w:bottom w:val="single" w:sz="4" w:space="0" w:color="auto"/>
              <w:right w:val="single" w:sz="4" w:space="0" w:color="auto"/>
            </w:tcBorders>
            <w:vAlign w:val="bottom"/>
            <w:hideMark/>
          </w:tcPr>
          <w:p w14:paraId="0CDBA9BD"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Non-stationary</w:t>
            </w:r>
          </w:p>
        </w:tc>
      </w:tr>
    </w:tbl>
    <w:p w14:paraId="6D6734DF" w14:textId="77777777" w:rsidR="00156EC2" w:rsidRPr="006435D7" w:rsidRDefault="00156EC2" w:rsidP="00E14106">
      <w:pPr>
        <w:tabs>
          <w:tab w:val="left" w:pos="930"/>
        </w:tabs>
        <w:spacing w:after="0" w:line="480" w:lineRule="auto"/>
        <w:jc w:val="both"/>
        <w:rPr>
          <w:rFonts w:ascii="Arial" w:hAnsi="Arial" w:cs="Arial"/>
          <w:sz w:val="20"/>
          <w:szCs w:val="20"/>
        </w:rPr>
      </w:pPr>
      <w:r w:rsidRPr="00E14106">
        <w:rPr>
          <w:rFonts w:ascii="Arial" w:hAnsi="Arial" w:cs="Arial"/>
          <w:b/>
        </w:rPr>
        <w:t>Source:</w:t>
      </w:r>
      <w:r w:rsidR="00EE08A9" w:rsidRPr="006435D7">
        <w:rPr>
          <w:rFonts w:ascii="Arial" w:hAnsi="Arial" w:cs="Arial"/>
          <w:sz w:val="20"/>
          <w:szCs w:val="20"/>
        </w:rPr>
        <w:t xml:space="preserve"> Author’s computation using </w:t>
      </w:r>
      <w:proofErr w:type="spellStart"/>
      <w:r w:rsidR="00EE08A9" w:rsidRPr="006435D7">
        <w:rPr>
          <w:rFonts w:ascii="Arial" w:hAnsi="Arial" w:cs="Arial"/>
          <w:sz w:val="20"/>
          <w:szCs w:val="20"/>
        </w:rPr>
        <w:t>Zivot</w:t>
      </w:r>
      <w:proofErr w:type="spellEnd"/>
      <w:r w:rsidR="00EE08A9" w:rsidRPr="006435D7">
        <w:rPr>
          <w:rFonts w:ascii="Arial" w:hAnsi="Arial" w:cs="Arial"/>
          <w:sz w:val="20"/>
          <w:szCs w:val="20"/>
        </w:rPr>
        <w:t>–Andrews test (EViews 12), based on data from RBI, Ministry of Coal, and World Bank (1980–2025).</w:t>
      </w:r>
    </w:p>
    <w:p w14:paraId="2B644DF1" w14:textId="08D09A86" w:rsidR="00EE08A9" w:rsidRPr="006435D7" w:rsidRDefault="008C0AF1" w:rsidP="00E14106">
      <w:pPr>
        <w:tabs>
          <w:tab w:val="left" w:pos="930"/>
        </w:tabs>
        <w:spacing w:after="0" w:line="480" w:lineRule="auto"/>
        <w:jc w:val="both"/>
        <w:rPr>
          <w:rFonts w:ascii="Arial" w:hAnsi="Arial" w:cs="Arial"/>
          <w:b/>
          <w:sz w:val="20"/>
          <w:szCs w:val="20"/>
        </w:rPr>
      </w:pPr>
      <w:r w:rsidRPr="006435D7">
        <w:rPr>
          <w:rFonts w:ascii="Arial" w:hAnsi="Arial" w:cs="Arial"/>
          <w:sz w:val="20"/>
          <w:szCs w:val="20"/>
        </w:rPr>
        <w:tab/>
      </w:r>
      <w:r w:rsidR="00EE08A9" w:rsidRPr="006435D7">
        <w:rPr>
          <w:rFonts w:ascii="Arial" w:hAnsi="Arial" w:cs="Arial"/>
          <w:sz w:val="20"/>
          <w:szCs w:val="20"/>
        </w:rPr>
        <w:t xml:space="preserve">Table 3 reports the </w:t>
      </w:r>
      <w:proofErr w:type="spellStart"/>
      <w:r w:rsidR="00EE08A9" w:rsidRPr="006435D7">
        <w:rPr>
          <w:rFonts w:ascii="Arial" w:hAnsi="Arial" w:cs="Arial"/>
          <w:sz w:val="20"/>
          <w:szCs w:val="20"/>
        </w:rPr>
        <w:t>Zivot</w:t>
      </w:r>
      <w:proofErr w:type="spellEnd"/>
      <w:r w:rsidR="00EE08A9" w:rsidRPr="006435D7">
        <w:rPr>
          <w:rFonts w:ascii="Arial" w:hAnsi="Arial" w:cs="Arial"/>
          <w:sz w:val="20"/>
          <w:szCs w:val="20"/>
        </w:rPr>
        <w:t xml:space="preserve">–Andrews test results, identifying possible structural breaks caused by policy shifts or economic shocks. The test reveals </w:t>
      </w:r>
      <w:proofErr w:type="gramStart"/>
      <w:r w:rsidR="00EE08A9" w:rsidRPr="006435D7">
        <w:rPr>
          <w:rFonts w:ascii="Arial" w:hAnsi="Arial" w:cs="Arial"/>
          <w:sz w:val="20"/>
          <w:szCs w:val="20"/>
        </w:rPr>
        <w:t>breaks</w:t>
      </w:r>
      <w:proofErr w:type="gramEnd"/>
      <w:r w:rsidR="00EE08A9" w:rsidRPr="006435D7">
        <w:rPr>
          <w:rFonts w:ascii="Arial" w:hAnsi="Arial" w:cs="Arial"/>
          <w:sz w:val="20"/>
          <w:szCs w:val="20"/>
        </w:rPr>
        <w:t xml:space="preserve"> in GDP (1991), coal consumption (2000), and capital formation (2005), while </w:t>
      </w:r>
      <w:proofErr w:type="spellStart"/>
      <w:r w:rsidR="00EE08A9" w:rsidRPr="006435D7">
        <w:rPr>
          <w:rFonts w:ascii="Arial" w:hAnsi="Arial" w:cs="Arial"/>
          <w:sz w:val="20"/>
          <w:szCs w:val="20"/>
        </w:rPr>
        <w:t>labour</w:t>
      </w:r>
      <w:proofErr w:type="spellEnd"/>
      <w:r w:rsidR="00EE08A9" w:rsidRPr="006435D7">
        <w:rPr>
          <w:rFonts w:ascii="Arial" w:hAnsi="Arial" w:cs="Arial"/>
          <w:sz w:val="20"/>
          <w:szCs w:val="20"/>
        </w:rPr>
        <w:t xml:space="preserve"> exhibits gradual change without a distinct break. These years correspond to critical economic events, such as India’s 1991 economic liberalization and subsequent energy sector reforms. The results indicate that GDP, coal, and capital variables are stationary with structural breaks at the 1% level, confirming their sensitivity to policy-driven transformations. Accounting for these breaks strengthens the robustness of econometric modeling by reducing bias caused by regime changes. Recognizing these transition points is crucial for interpreting long-term energy–growth dynamics in India’s rapidly evolving economic landscape.</w:t>
      </w:r>
    </w:p>
    <w:p w14:paraId="420EE500" w14:textId="2942C9E4" w:rsidR="00156EC2" w:rsidRPr="00E14106" w:rsidRDefault="00932C5F" w:rsidP="00CC5B04">
      <w:pPr>
        <w:tabs>
          <w:tab w:val="left" w:pos="930"/>
        </w:tabs>
        <w:spacing w:after="0" w:line="240" w:lineRule="auto"/>
        <w:jc w:val="both"/>
        <w:rPr>
          <w:rFonts w:ascii="Arial" w:hAnsi="Arial" w:cs="Arial"/>
          <w:b/>
        </w:rPr>
      </w:pPr>
      <w:r w:rsidRPr="00E14106">
        <w:rPr>
          <w:rFonts w:ascii="Arial" w:hAnsi="Arial" w:cs="Arial"/>
          <w:b/>
        </w:rPr>
        <w:lastRenderedPageBreak/>
        <w:t xml:space="preserve">Table 4: </w:t>
      </w:r>
      <w:r w:rsidR="004536BE" w:rsidRPr="00E14106">
        <w:rPr>
          <w:rFonts w:ascii="Arial" w:hAnsi="Arial" w:cs="Arial"/>
          <w:b/>
        </w:rPr>
        <w:t>Johansen Cointegration Test Results Showing Long-Run Equilibrium Relationships Among Variables.</w:t>
      </w:r>
    </w:p>
    <w:tbl>
      <w:tblPr>
        <w:tblW w:w="9825" w:type="dxa"/>
        <w:tblInd w:w="93" w:type="dxa"/>
        <w:tblLook w:val="04A0" w:firstRow="1" w:lastRow="0" w:firstColumn="1" w:lastColumn="0" w:noHBand="0" w:noVBand="1"/>
      </w:tblPr>
      <w:tblGrid>
        <w:gridCol w:w="1350"/>
        <w:gridCol w:w="1043"/>
        <w:gridCol w:w="1222"/>
        <w:gridCol w:w="1710"/>
        <w:gridCol w:w="2070"/>
        <w:gridCol w:w="2430"/>
      </w:tblGrid>
      <w:tr w:rsidR="00156EC2" w:rsidRPr="006435D7" w14:paraId="060A154D" w14:textId="77777777" w:rsidTr="00CC5B04">
        <w:trPr>
          <w:trHeight w:val="64"/>
        </w:trPr>
        <w:tc>
          <w:tcPr>
            <w:tcW w:w="1350" w:type="dxa"/>
            <w:tcBorders>
              <w:top w:val="single" w:sz="4" w:space="0" w:color="auto"/>
              <w:left w:val="single" w:sz="4" w:space="0" w:color="auto"/>
              <w:bottom w:val="single" w:sz="4" w:space="0" w:color="auto"/>
              <w:right w:val="single" w:sz="4" w:space="0" w:color="auto"/>
            </w:tcBorders>
            <w:vAlign w:val="center"/>
            <w:hideMark/>
          </w:tcPr>
          <w:p w14:paraId="507411A8" w14:textId="77777777" w:rsidR="00156EC2" w:rsidRPr="006435D7" w:rsidRDefault="00156EC2" w:rsidP="00CC5B04">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Null Hypothesis</w:t>
            </w:r>
          </w:p>
        </w:tc>
        <w:tc>
          <w:tcPr>
            <w:tcW w:w="1043" w:type="dxa"/>
            <w:tcBorders>
              <w:top w:val="single" w:sz="4" w:space="0" w:color="auto"/>
              <w:left w:val="nil"/>
              <w:bottom w:val="single" w:sz="4" w:space="0" w:color="auto"/>
              <w:right w:val="single" w:sz="4" w:space="0" w:color="auto"/>
            </w:tcBorders>
            <w:vAlign w:val="center"/>
            <w:hideMark/>
          </w:tcPr>
          <w:p w14:paraId="0FD64003" w14:textId="77777777" w:rsidR="00156EC2" w:rsidRPr="006435D7" w:rsidRDefault="00156EC2" w:rsidP="00CC5B04">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Trace Statistic</w:t>
            </w:r>
          </w:p>
        </w:tc>
        <w:tc>
          <w:tcPr>
            <w:tcW w:w="1222" w:type="dxa"/>
            <w:tcBorders>
              <w:top w:val="single" w:sz="4" w:space="0" w:color="auto"/>
              <w:left w:val="nil"/>
              <w:bottom w:val="single" w:sz="4" w:space="0" w:color="auto"/>
              <w:right w:val="single" w:sz="4" w:space="0" w:color="auto"/>
            </w:tcBorders>
            <w:vAlign w:val="center"/>
            <w:hideMark/>
          </w:tcPr>
          <w:p w14:paraId="29626EBC" w14:textId="77777777" w:rsidR="00156EC2" w:rsidRPr="006435D7" w:rsidRDefault="00156EC2" w:rsidP="00CC5B04">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5% Critical Value</w:t>
            </w:r>
          </w:p>
        </w:tc>
        <w:tc>
          <w:tcPr>
            <w:tcW w:w="1710" w:type="dxa"/>
            <w:tcBorders>
              <w:top w:val="single" w:sz="4" w:space="0" w:color="auto"/>
              <w:left w:val="nil"/>
              <w:bottom w:val="single" w:sz="4" w:space="0" w:color="auto"/>
              <w:right w:val="single" w:sz="4" w:space="0" w:color="auto"/>
            </w:tcBorders>
            <w:vAlign w:val="center"/>
            <w:hideMark/>
          </w:tcPr>
          <w:p w14:paraId="403EEC40" w14:textId="77777777" w:rsidR="00156EC2" w:rsidRPr="006435D7" w:rsidRDefault="00156EC2" w:rsidP="00CC5B04">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Max-Eigen Statistic</w:t>
            </w:r>
          </w:p>
        </w:tc>
        <w:tc>
          <w:tcPr>
            <w:tcW w:w="2070" w:type="dxa"/>
            <w:tcBorders>
              <w:top w:val="single" w:sz="4" w:space="0" w:color="auto"/>
              <w:left w:val="nil"/>
              <w:bottom w:val="single" w:sz="4" w:space="0" w:color="auto"/>
              <w:right w:val="single" w:sz="4" w:space="0" w:color="auto"/>
            </w:tcBorders>
            <w:vAlign w:val="center"/>
            <w:hideMark/>
          </w:tcPr>
          <w:p w14:paraId="48FA37CE" w14:textId="77777777" w:rsidR="00156EC2" w:rsidRPr="006435D7" w:rsidRDefault="00156EC2" w:rsidP="00CC5B04">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5% Critical Value</w:t>
            </w:r>
          </w:p>
        </w:tc>
        <w:tc>
          <w:tcPr>
            <w:tcW w:w="2430" w:type="dxa"/>
            <w:tcBorders>
              <w:top w:val="single" w:sz="4" w:space="0" w:color="auto"/>
              <w:left w:val="nil"/>
              <w:bottom w:val="single" w:sz="4" w:space="0" w:color="auto"/>
              <w:right w:val="single" w:sz="4" w:space="0" w:color="auto"/>
            </w:tcBorders>
            <w:vAlign w:val="center"/>
            <w:hideMark/>
          </w:tcPr>
          <w:p w14:paraId="423BAA89" w14:textId="77777777" w:rsidR="00156EC2" w:rsidRPr="006435D7" w:rsidRDefault="00156EC2" w:rsidP="00CC5B04">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Decision</w:t>
            </w:r>
          </w:p>
        </w:tc>
      </w:tr>
      <w:tr w:rsidR="00156EC2" w:rsidRPr="006435D7" w14:paraId="431038E4" w14:textId="77777777" w:rsidTr="00CC5B04">
        <w:trPr>
          <w:trHeight w:val="64"/>
        </w:trPr>
        <w:tc>
          <w:tcPr>
            <w:tcW w:w="1350" w:type="dxa"/>
            <w:tcBorders>
              <w:top w:val="nil"/>
              <w:left w:val="single" w:sz="4" w:space="0" w:color="auto"/>
              <w:bottom w:val="single" w:sz="4" w:space="0" w:color="auto"/>
              <w:right w:val="single" w:sz="4" w:space="0" w:color="auto"/>
            </w:tcBorders>
            <w:vAlign w:val="bottom"/>
            <w:hideMark/>
          </w:tcPr>
          <w:p w14:paraId="4BDFE20B"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None</w:t>
            </w:r>
          </w:p>
        </w:tc>
        <w:tc>
          <w:tcPr>
            <w:tcW w:w="1043" w:type="dxa"/>
            <w:tcBorders>
              <w:top w:val="nil"/>
              <w:left w:val="nil"/>
              <w:bottom w:val="single" w:sz="4" w:space="0" w:color="auto"/>
              <w:right w:val="single" w:sz="4" w:space="0" w:color="auto"/>
            </w:tcBorders>
            <w:vAlign w:val="bottom"/>
            <w:hideMark/>
          </w:tcPr>
          <w:p w14:paraId="66EFAD3D"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58.27</w:t>
            </w:r>
          </w:p>
        </w:tc>
        <w:tc>
          <w:tcPr>
            <w:tcW w:w="1222" w:type="dxa"/>
            <w:tcBorders>
              <w:top w:val="nil"/>
              <w:left w:val="nil"/>
              <w:bottom w:val="single" w:sz="4" w:space="0" w:color="auto"/>
              <w:right w:val="single" w:sz="4" w:space="0" w:color="auto"/>
            </w:tcBorders>
            <w:vAlign w:val="bottom"/>
            <w:hideMark/>
          </w:tcPr>
          <w:p w14:paraId="13D5F6EC"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47.85</w:t>
            </w:r>
          </w:p>
        </w:tc>
        <w:tc>
          <w:tcPr>
            <w:tcW w:w="1710" w:type="dxa"/>
            <w:tcBorders>
              <w:top w:val="nil"/>
              <w:left w:val="nil"/>
              <w:bottom w:val="single" w:sz="4" w:space="0" w:color="auto"/>
              <w:right w:val="single" w:sz="4" w:space="0" w:color="auto"/>
            </w:tcBorders>
            <w:vAlign w:val="bottom"/>
            <w:hideMark/>
          </w:tcPr>
          <w:p w14:paraId="126E7595"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30.22</w:t>
            </w:r>
          </w:p>
        </w:tc>
        <w:tc>
          <w:tcPr>
            <w:tcW w:w="2070" w:type="dxa"/>
            <w:tcBorders>
              <w:top w:val="nil"/>
              <w:left w:val="nil"/>
              <w:bottom w:val="single" w:sz="4" w:space="0" w:color="auto"/>
              <w:right w:val="single" w:sz="4" w:space="0" w:color="auto"/>
            </w:tcBorders>
            <w:vAlign w:val="bottom"/>
            <w:hideMark/>
          </w:tcPr>
          <w:p w14:paraId="32A1914C"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27.58</w:t>
            </w:r>
          </w:p>
        </w:tc>
        <w:tc>
          <w:tcPr>
            <w:tcW w:w="2430" w:type="dxa"/>
            <w:tcBorders>
              <w:top w:val="nil"/>
              <w:left w:val="nil"/>
              <w:bottom w:val="single" w:sz="4" w:space="0" w:color="auto"/>
              <w:right w:val="single" w:sz="4" w:space="0" w:color="auto"/>
            </w:tcBorders>
            <w:vAlign w:val="bottom"/>
            <w:hideMark/>
          </w:tcPr>
          <w:p w14:paraId="7B4FE4FA"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Cointegrated</w:t>
            </w:r>
          </w:p>
        </w:tc>
      </w:tr>
      <w:tr w:rsidR="00156EC2" w:rsidRPr="006435D7" w14:paraId="60B077A9" w14:textId="77777777" w:rsidTr="00CC5B04">
        <w:trPr>
          <w:trHeight w:val="179"/>
        </w:trPr>
        <w:tc>
          <w:tcPr>
            <w:tcW w:w="1350" w:type="dxa"/>
            <w:tcBorders>
              <w:top w:val="nil"/>
              <w:left w:val="single" w:sz="4" w:space="0" w:color="auto"/>
              <w:bottom w:val="single" w:sz="4" w:space="0" w:color="auto"/>
              <w:right w:val="single" w:sz="4" w:space="0" w:color="auto"/>
            </w:tcBorders>
            <w:vAlign w:val="bottom"/>
            <w:hideMark/>
          </w:tcPr>
          <w:p w14:paraId="60635639"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At most 1</w:t>
            </w:r>
          </w:p>
        </w:tc>
        <w:tc>
          <w:tcPr>
            <w:tcW w:w="1043" w:type="dxa"/>
            <w:tcBorders>
              <w:top w:val="nil"/>
              <w:left w:val="nil"/>
              <w:bottom w:val="single" w:sz="4" w:space="0" w:color="auto"/>
              <w:right w:val="single" w:sz="4" w:space="0" w:color="auto"/>
            </w:tcBorders>
            <w:vAlign w:val="bottom"/>
            <w:hideMark/>
          </w:tcPr>
          <w:p w14:paraId="5DEFA8EA"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28.05</w:t>
            </w:r>
          </w:p>
        </w:tc>
        <w:tc>
          <w:tcPr>
            <w:tcW w:w="1222" w:type="dxa"/>
            <w:tcBorders>
              <w:top w:val="nil"/>
              <w:left w:val="nil"/>
              <w:bottom w:val="single" w:sz="4" w:space="0" w:color="auto"/>
              <w:right w:val="single" w:sz="4" w:space="0" w:color="auto"/>
            </w:tcBorders>
            <w:vAlign w:val="bottom"/>
            <w:hideMark/>
          </w:tcPr>
          <w:p w14:paraId="4E2FFB8A"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29.79</w:t>
            </w:r>
          </w:p>
        </w:tc>
        <w:tc>
          <w:tcPr>
            <w:tcW w:w="1710" w:type="dxa"/>
            <w:tcBorders>
              <w:top w:val="nil"/>
              <w:left w:val="nil"/>
              <w:bottom w:val="single" w:sz="4" w:space="0" w:color="auto"/>
              <w:right w:val="single" w:sz="4" w:space="0" w:color="auto"/>
            </w:tcBorders>
            <w:vAlign w:val="bottom"/>
            <w:hideMark/>
          </w:tcPr>
          <w:p w14:paraId="21D1B181"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14.72</w:t>
            </w:r>
          </w:p>
        </w:tc>
        <w:tc>
          <w:tcPr>
            <w:tcW w:w="2070" w:type="dxa"/>
            <w:tcBorders>
              <w:top w:val="nil"/>
              <w:left w:val="nil"/>
              <w:bottom w:val="single" w:sz="4" w:space="0" w:color="auto"/>
              <w:right w:val="single" w:sz="4" w:space="0" w:color="auto"/>
            </w:tcBorders>
            <w:vAlign w:val="bottom"/>
            <w:hideMark/>
          </w:tcPr>
          <w:p w14:paraId="04936993"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21.13</w:t>
            </w:r>
          </w:p>
        </w:tc>
        <w:tc>
          <w:tcPr>
            <w:tcW w:w="2430" w:type="dxa"/>
            <w:tcBorders>
              <w:top w:val="nil"/>
              <w:left w:val="nil"/>
              <w:bottom w:val="single" w:sz="4" w:space="0" w:color="auto"/>
              <w:right w:val="single" w:sz="4" w:space="0" w:color="auto"/>
            </w:tcBorders>
            <w:vAlign w:val="bottom"/>
            <w:hideMark/>
          </w:tcPr>
          <w:p w14:paraId="2645D95C"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Cointegrated (r = 2)</w:t>
            </w:r>
          </w:p>
        </w:tc>
      </w:tr>
      <w:tr w:rsidR="00156EC2" w:rsidRPr="006435D7" w14:paraId="482A27E3" w14:textId="77777777" w:rsidTr="00CC5B04">
        <w:trPr>
          <w:trHeight w:val="64"/>
        </w:trPr>
        <w:tc>
          <w:tcPr>
            <w:tcW w:w="1350" w:type="dxa"/>
            <w:tcBorders>
              <w:top w:val="nil"/>
              <w:left w:val="single" w:sz="4" w:space="0" w:color="auto"/>
              <w:bottom w:val="single" w:sz="4" w:space="0" w:color="auto"/>
              <w:right w:val="single" w:sz="4" w:space="0" w:color="auto"/>
            </w:tcBorders>
            <w:vAlign w:val="bottom"/>
            <w:hideMark/>
          </w:tcPr>
          <w:p w14:paraId="6CEB750B"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At most 2</w:t>
            </w:r>
          </w:p>
        </w:tc>
        <w:tc>
          <w:tcPr>
            <w:tcW w:w="1043" w:type="dxa"/>
            <w:tcBorders>
              <w:top w:val="nil"/>
              <w:left w:val="nil"/>
              <w:bottom w:val="single" w:sz="4" w:space="0" w:color="auto"/>
              <w:right w:val="single" w:sz="4" w:space="0" w:color="auto"/>
            </w:tcBorders>
            <w:vAlign w:val="bottom"/>
            <w:hideMark/>
          </w:tcPr>
          <w:p w14:paraId="1FF6215B"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10.51</w:t>
            </w:r>
          </w:p>
        </w:tc>
        <w:tc>
          <w:tcPr>
            <w:tcW w:w="1222" w:type="dxa"/>
            <w:tcBorders>
              <w:top w:val="nil"/>
              <w:left w:val="nil"/>
              <w:bottom w:val="single" w:sz="4" w:space="0" w:color="auto"/>
              <w:right w:val="single" w:sz="4" w:space="0" w:color="auto"/>
            </w:tcBorders>
            <w:vAlign w:val="bottom"/>
            <w:hideMark/>
          </w:tcPr>
          <w:p w14:paraId="406A6B5D"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15.49</w:t>
            </w:r>
          </w:p>
        </w:tc>
        <w:tc>
          <w:tcPr>
            <w:tcW w:w="1710" w:type="dxa"/>
            <w:tcBorders>
              <w:top w:val="nil"/>
              <w:left w:val="nil"/>
              <w:bottom w:val="single" w:sz="4" w:space="0" w:color="auto"/>
              <w:right w:val="single" w:sz="4" w:space="0" w:color="auto"/>
            </w:tcBorders>
            <w:vAlign w:val="bottom"/>
            <w:hideMark/>
          </w:tcPr>
          <w:p w14:paraId="4DA59751"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5.33</w:t>
            </w:r>
          </w:p>
        </w:tc>
        <w:tc>
          <w:tcPr>
            <w:tcW w:w="2070" w:type="dxa"/>
            <w:tcBorders>
              <w:top w:val="nil"/>
              <w:left w:val="nil"/>
              <w:bottom w:val="single" w:sz="4" w:space="0" w:color="auto"/>
              <w:right w:val="single" w:sz="4" w:space="0" w:color="auto"/>
            </w:tcBorders>
            <w:vAlign w:val="bottom"/>
            <w:hideMark/>
          </w:tcPr>
          <w:p w14:paraId="64AAD1AB"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14.26</w:t>
            </w:r>
          </w:p>
        </w:tc>
        <w:tc>
          <w:tcPr>
            <w:tcW w:w="2430" w:type="dxa"/>
            <w:tcBorders>
              <w:top w:val="nil"/>
              <w:left w:val="nil"/>
              <w:bottom w:val="single" w:sz="4" w:space="0" w:color="auto"/>
              <w:right w:val="single" w:sz="4" w:space="0" w:color="auto"/>
            </w:tcBorders>
            <w:vAlign w:val="bottom"/>
            <w:hideMark/>
          </w:tcPr>
          <w:p w14:paraId="083A85C2"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Not cointegrated</w:t>
            </w:r>
          </w:p>
        </w:tc>
      </w:tr>
    </w:tbl>
    <w:p w14:paraId="14490316" w14:textId="77777777" w:rsidR="00156EC2" w:rsidRPr="006435D7" w:rsidRDefault="00156EC2" w:rsidP="00E14106">
      <w:pPr>
        <w:tabs>
          <w:tab w:val="left" w:pos="930"/>
        </w:tabs>
        <w:spacing w:after="0" w:line="480" w:lineRule="auto"/>
        <w:jc w:val="both"/>
        <w:rPr>
          <w:rFonts w:ascii="Arial" w:hAnsi="Arial" w:cs="Arial"/>
          <w:sz w:val="20"/>
          <w:szCs w:val="20"/>
        </w:rPr>
      </w:pPr>
      <w:r w:rsidRPr="00E14106">
        <w:rPr>
          <w:rFonts w:ascii="Arial" w:hAnsi="Arial" w:cs="Arial"/>
          <w:b/>
        </w:rPr>
        <w:t>Source:</w:t>
      </w:r>
      <w:r w:rsidR="00EE08A9" w:rsidRPr="006435D7">
        <w:rPr>
          <w:rFonts w:ascii="Arial" w:hAnsi="Arial" w:cs="Arial"/>
          <w:b/>
          <w:sz w:val="20"/>
          <w:szCs w:val="20"/>
        </w:rPr>
        <w:t xml:space="preserve"> </w:t>
      </w:r>
      <w:r w:rsidR="00EE08A9" w:rsidRPr="006435D7">
        <w:rPr>
          <w:rFonts w:ascii="Arial" w:hAnsi="Arial" w:cs="Arial"/>
          <w:sz w:val="20"/>
          <w:szCs w:val="20"/>
        </w:rPr>
        <w:t>Author’s computation using Johansen cointegration method (EViews 12), data from WDI, OECD, and Ministry of Coal (1980–2025).</w:t>
      </w:r>
    </w:p>
    <w:p w14:paraId="500831BE" w14:textId="1F770481" w:rsidR="00EE08A9" w:rsidRPr="006435D7" w:rsidRDefault="008C0AF1" w:rsidP="00E14106">
      <w:pPr>
        <w:tabs>
          <w:tab w:val="left" w:pos="930"/>
        </w:tabs>
        <w:spacing w:after="0" w:line="480" w:lineRule="auto"/>
        <w:jc w:val="both"/>
        <w:rPr>
          <w:rFonts w:ascii="Arial" w:hAnsi="Arial" w:cs="Arial"/>
          <w:sz w:val="20"/>
          <w:szCs w:val="20"/>
        </w:rPr>
      </w:pPr>
      <w:r w:rsidRPr="006435D7">
        <w:rPr>
          <w:rFonts w:ascii="Arial" w:hAnsi="Arial" w:cs="Arial"/>
          <w:sz w:val="20"/>
          <w:szCs w:val="20"/>
        </w:rPr>
        <w:tab/>
      </w:r>
      <w:r w:rsidR="00EE08A9" w:rsidRPr="006435D7">
        <w:rPr>
          <w:rFonts w:ascii="Arial" w:hAnsi="Arial" w:cs="Arial"/>
          <w:sz w:val="20"/>
          <w:szCs w:val="20"/>
        </w:rPr>
        <w:t xml:space="preserve">Table 4 displays the Johansen cointegration results, testing whether GDP, coal consumption, capital, and </w:t>
      </w:r>
      <w:proofErr w:type="spellStart"/>
      <w:r w:rsidR="00EE08A9" w:rsidRPr="006435D7">
        <w:rPr>
          <w:rFonts w:ascii="Arial" w:hAnsi="Arial" w:cs="Arial"/>
          <w:sz w:val="20"/>
          <w:szCs w:val="20"/>
        </w:rPr>
        <w:t>labour</w:t>
      </w:r>
      <w:proofErr w:type="spellEnd"/>
      <w:r w:rsidR="00EE08A9" w:rsidRPr="006435D7">
        <w:rPr>
          <w:rFonts w:ascii="Arial" w:hAnsi="Arial" w:cs="Arial"/>
          <w:sz w:val="20"/>
          <w:szCs w:val="20"/>
        </w:rPr>
        <w:t xml:space="preserve"> share a long-run equilibrium relationship. The trace (58.27) and maximum eigenvalue (30.22) statistics exceed their critical values at the 5% significance level, confirming at least two cointegrating relationships (r = 2). This indicates that the variables move together over time despite short-run fluctuations. Such cointegration suggests that India’s economic growth and coal consumption are interconnected in the long term. The results align with the energy-led growth hypothesis, implying that energy expansion supports sustained economic performance. These findings justify applying an Error Correction Model (ECM) to estimate short-run adjustments toward equilibrium. Thus, long-run stability between coal and growth underscores coal’s enduring role in India’s industrial progress.</w:t>
      </w:r>
    </w:p>
    <w:p w14:paraId="65691C30" w14:textId="1BC71524" w:rsidR="00D5539D" w:rsidRPr="00E14106" w:rsidRDefault="00D5539D" w:rsidP="00156EC2">
      <w:pPr>
        <w:tabs>
          <w:tab w:val="left" w:pos="930"/>
        </w:tabs>
        <w:spacing w:after="0" w:line="360" w:lineRule="auto"/>
        <w:jc w:val="both"/>
        <w:rPr>
          <w:rFonts w:ascii="Arial" w:hAnsi="Arial" w:cs="Arial"/>
          <w:b/>
        </w:rPr>
      </w:pPr>
      <w:r w:rsidRPr="00E14106">
        <w:rPr>
          <w:rFonts w:ascii="Arial" w:hAnsi="Arial" w:cs="Arial"/>
          <w:b/>
        </w:rPr>
        <w:t>Figure 3: Line Graph – Trend of GDP and Coal Consumption (1980–2025)</w:t>
      </w:r>
      <w:r w:rsidR="008E400C" w:rsidRPr="00E14106">
        <w:rPr>
          <w:rFonts w:ascii="Arial" w:hAnsi="Arial" w:cs="Arial"/>
          <w:b/>
        </w:rPr>
        <w:t>.</w:t>
      </w:r>
    </w:p>
    <w:p w14:paraId="0C6B594C" w14:textId="77777777" w:rsidR="00E14106" w:rsidRDefault="00484D22" w:rsidP="00E14106">
      <w:pPr>
        <w:tabs>
          <w:tab w:val="left" w:pos="930"/>
        </w:tabs>
        <w:spacing w:after="0" w:line="360" w:lineRule="auto"/>
        <w:jc w:val="both"/>
        <w:rPr>
          <w:rFonts w:ascii="Arial" w:hAnsi="Arial" w:cs="Arial"/>
          <w:b/>
          <w:sz w:val="20"/>
          <w:szCs w:val="20"/>
        </w:rPr>
      </w:pPr>
      <w:r w:rsidRPr="006435D7">
        <w:rPr>
          <w:rFonts w:ascii="Arial" w:hAnsi="Arial" w:cs="Arial"/>
          <w:b/>
          <w:noProof/>
          <w:sz w:val="20"/>
          <w:szCs w:val="20"/>
        </w:rPr>
        <w:drawing>
          <wp:anchor distT="0" distB="0" distL="114300" distR="114300" simplePos="0" relativeHeight="251661312" behindDoc="0" locked="0" layoutInCell="1" allowOverlap="1" wp14:anchorId="3BF9A8DF" wp14:editId="73D03505">
            <wp:simplePos x="0" y="0"/>
            <wp:positionH relativeFrom="column">
              <wp:posOffset>19050</wp:posOffset>
            </wp:positionH>
            <wp:positionV relativeFrom="paragraph">
              <wp:posOffset>299085</wp:posOffset>
            </wp:positionV>
            <wp:extent cx="5934710" cy="2700020"/>
            <wp:effectExtent l="19050" t="0" r="8890" b="0"/>
            <wp:wrapSquare wrapText="bothSides"/>
            <wp:docPr id="52" name="Picture 52" descr="C:\Users\USER\Downloads\Figure_3.2_Line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ownloads\Figure_3.2_Line_Graph.png"/>
                    <pic:cNvPicPr>
                      <a:picLocks noChangeAspect="1" noChangeArrowheads="1"/>
                    </pic:cNvPicPr>
                  </pic:nvPicPr>
                  <pic:blipFill>
                    <a:blip r:embed="rId10"/>
                    <a:srcRect t="8121"/>
                    <a:stretch>
                      <a:fillRect/>
                    </a:stretch>
                  </pic:blipFill>
                  <pic:spPr bwMode="auto">
                    <a:xfrm>
                      <a:off x="0" y="0"/>
                      <a:ext cx="5934710" cy="2700020"/>
                    </a:xfrm>
                    <a:prstGeom prst="rect">
                      <a:avLst/>
                    </a:prstGeom>
                    <a:noFill/>
                    <a:ln w="9525">
                      <a:noFill/>
                      <a:miter lim="800000"/>
                      <a:headEnd/>
                      <a:tailEnd/>
                    </a:ln>
                  </pic:spPr>
                </pic:pic>
              </a:graphicData>
            </a:graphic>
          </wp:anchor>
        </w:drawing>
      </w:r>
    </w:p>
    <w:p w14:paraId="0D4D75C1" w14:textId="477AE573" w:rsidR="00B277E8" w:rsidRPr="00E14106" w:rsidRDefault="008E400C" w:rsidP="00E14106">
      <w:pPr>
        <w:tabs>
          <w:tab w:val="left" w:pos="930"/>
        </w:tabs>
        <w:spacing w:after="0" w:line="360" w:lineRule="auto"/>
        <w:jc w:val="both"/>
        <w:rPr>
          <w:rFonts w:ascii="Arial" w:hAnsi="Arial" w:cs="Arial"/>
          <w:b/>
        </w:rPr>
      </w:pPr>
      <w:r w:rsidRPr="00E14106">
        <w:rPr>
          <w:rFonts w:ascii="Arial" w:hAnsi="Arial" w:cs="Arial"/>
          <w:b/>
        </w:rPr>
        <w:t xml:space="preserve">Table 5: </w:t>
      </w:r>
      <w:r w:rsidR="00B277E8" w:rsidRPr="00E14106">
        <w:rPr>
          <w:rFonts w:ascii="Arial" w:hAnsi="Arial" w:cs="Arial"/>
          <w:b/>
        </w:rPr>
        <w:t xml:space="preserve">ARDL Bounds Test Results for Long-Run Relationship </w:t>
      </w:r>
      <w:r w:rsidR="00AA64FA" w:rsidRPr="00E14106">
        <w:rPr>
          <w:rFonts w:ascii="Arial" w:hAnsi="Arial" w:cs="Arial"/>
          <w:b/>
        </w:rPr>
        <w:t>between</w:t>
      </w:r>
      <w:r w:rsidR="00B277E8" w:rsidRPr="00E14106">
        <w:rPr>
          <w:rFonts w:ascii="Arial" w:hAnsi="Arial" w:cs="Arial"/>
          <w:b/>
        </w:rPr>
        <w:t xml:space="preserve"> Coal Consumption and Economic Growth.</w:t>
      </w:r>
    </w:p>
    <w:tbl>
      <w:tblPr>
        <w:tblW w:w="9824" w:type="dxa"/>
        <w:tblInd w:w="94" w:type="dxa"/>
        <w:tblLook w:val="04A0" w:firstRow="1" w:lastRow="0" w:firstColumn="1" w:lastColumn="0" w:noHBand="0" w:noVBand="1"/>
      </w:tblPr>
      <w:tblGrid>
        <w:gridCol w:w="1043"/>
        <w:gridCol w:w="2571"/>
        <w:gridCol w:w="1710"/>
        <w:gridCol w:w="1890"/>
        <w:gridCol w:w="2610"/>
      </w:tblGrid>
      <w:tr w:rsidR="00CA42C9" w:rsidRPr="006435D7" w14:paraId="1BAFEABA" w14:textId="77777777" w:rsidTr="003D14D7">
        <w:trPr>
          <w:trHeight w:val="64"/>
        </w:trPr>
        <w:tc>
          <w:tcPr>
            <w:tcW w:w="1043" w:type="dxa"/>
            <w:tcBorders>
              <w:top w:val="single" w:sz="4" w:space="0" w:color="auto"/>
              <w:left w:val="single" w:sz="4" w:space="0" w:color="auto"/>
              <w:bottom w:val="single" w:sz="4" w:space="0" w:color="auto"/>
              <w:right w:val="single" w:sz="4" w:space="0" w:color="auto"/>
            </w:tcBorders>
            <w:vAlign w:val="center"/>
            <w:hideMark/>
          </w:tcPr>
          <w:p w14:paraId="6FAB28FA"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lastRenderedPageBreak/>
              <w:t>F-Statistic</w:t>
            </w:r>
          </w:p>
        </w:tc>
        <w:tc>
          <w:tcPr>
            <w:tcW w:w="2571" w:type="dxa"/>
            <w:tcBorders>
              <w:top w:val="single" w:sz="4" w:space="0" w:color="auto"/>
              <w:left w:val="nil"/>
              <w:bottom w:val="single" w:sz="4" w:space="0" w:color="auto"/>
              <w:right w:val="single" w:sz="4" w:space="0" w:color="auto"/>
            </w:tcBorders>
            <w:vAlign w:val="center"/>
            <w:hideMark/>
          </w:tcPr>
          <w:p w14:paraId="1450040C"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Lower Bound (</w:t>
            </w:r>
            <w:proofErr w:type="gramStart"/>
            <w:r w:rsidRPr="006435D7">
              <w:rPr>
                <w:rFonts w:ascii="Arial" w:eastAsia="Times New Roman" w:hAnsi="Arial" w:cs="Arial"/>
                <w:b/>
                <w:bCs/>
                <w:color w:val="000000"/>
                <w:sz w:val="20"/>
                <w:szCs w:val="20"/>
              </w:rPr>
              <w:t>I(</w:t>
            </w:r>
            <w:proofErr w:type="gramEnd"/>
            <w:r w:rsidRPr="006435D7">
              <w:rPr>
                <w:rFonts w:ascii="Arial" w:eastAsia="Times New Roman" w:hAnsi="Arial" w:cs="Arial"/>
                <w:b/>
                <w:bCs/>
                <w:color w:val="000000"/>
                <w:sz w:val="20"/>
                <w:szCs w:val="20"/>
              </w:rPr>
              <w:t>0))</w:t>
            </w:r>
          </w:p>
        </w:tc>
        <w:tc>
          <w:tcPr>
            <w:tcW w:w="1710" w:type="dxa"/>
            <w:tcBorders>
              <w:top w:val="single" w:sz="4" w:space="0" w:color="auto"/>
              <w:left w:val="nil"/>
              <w:bottom w:val="single" w:sz="4" w:space="0" w:color="auto"/>
              <w:right w:val="single" w:sz="4" w:space="0" w:color="auto"/>
            </w:tcBorders>
            <w:vAlign w:val="center"/>
            <w:hideMark/>
          </w:tcPr>
          <w:p w14:paraId="5CB7F256"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Upper Bound (</w:t>
            </w:r>
            <w:proofErr w:type="gramStart"/>
            <w:r w:rsidRPr="006435D7">
              <w:rPr>
                <w:rFonts w:ascii="Arial" w:eastAsia="Times New Roman" w:hAnsi="Arial" w:cs="Arial"/>
                <w:b/>
                <w:bCs/>
                <w:color w:val="000000"/>
                <w:sz w:val="20"/>
                <w:szCs w:val="20"/>
              </w:rPr>
              <w:t>I(</w:t>
            </w:r>
            <w:proofErr w:type="gramEnd"/>
            <w:r w:rsidRPr="006435D7">
              <w:rPr>
                <w:rFonts w:ascii="Arial" w:eastAsia="Times New Roman" w:hAnsi="Arial" w:cs="Arial"/>
                <w:b/>
                <w:bCs/>
                <w:color w:val="000000"/>
                <w:sz w:val="20"/>
                <w:szCs w:val="20"/>
              </w:rPr>
              <w:t>1))</w:t>
            </w:r>
          </w:p>
        </w:tc>
        <w:tc>
          <w:tcPr>
            <w:tcW w:w="1890" w:type="dxa"/>
            <w:tcBorders>
              <w:top w:val="single" w:sz="4" w:space="0" w:color="auto"/>
              <w:left w:val="nil"/>
              <w:bottom w:val="single" w:sz="4" w:space="0" w:color="auto"/>
              <w:right w:val="single" w:sz="4" w:space="0" w:color="auto"/>
            </w:tcBorders>
            <w:vAlign w:val="center"/>
            <w:hideMark/>
          </w:tcPr>
          <w:p w14:paraId="17D8AD01"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5% Significance</w:t>
            </w:r>
          </w:p>
        </w:tc>
        <w:tc>
          <w:tcPr>
            <w:tcW w:w="2610" w:type="dxa"/>
            <w:tcBorders>
              <w:top w:val="single" w:sz="4" w:space="0" w:color="auto"/>
              <w:left w:val="nil"/>
              <w:bottom w:val="single" w:sz="4" w:space="0" w:color="auto"/>
              <w:right w:val="single" w:sz="4" w:space="0" w:color="auto"/>
            </w:tcBorders>
            <w:vAlign w:val="center"/>
            <w:hideMark/>
          </w:tcPr>
          <w:p w14:paraId="6E71B815"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Decision</w:t>
            </w:r>
          </w:p>
        </w:tc>
      </w:tr>
      <w:tr w:rsidR="00CA42C9" w:rsidRPr="006435D7" w14:paraId="603D7AA8" w14:textId="77777777" w:rsidTr="003D14D7">
        <w:trPr>
          <w:trHeight w:val="64"/>
        </w:trPr>
        <w:tc>
          <w:tcPr>
            <w:tcW w:w="1043" w:type="dxa"/>
            <w:tcBorders>
              <w:top w:val="nil"/>
              <w:left w:val="single" w:sz="4" w:space="0" w:color="auto"/>
              <w:bottom w:val="single" w:sz="4" w:space="0" w:color="auto"/>
              <w:right w:val="single" w:sz="4" w:space="0" w:color="auto"/>
            </w:tcBorders>
            <w:vAlign w:val="bottom"/>
            <w:hideMark/>
          </w:tcPr>
          <w:p w14:paraId="46CCA707"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7.826</w:t>
            </w:r>
          </w:p>
        </w:tc>
        <w:tc>
          <w:tcPr>
            <w:tcW w:w="2571" w:type="dxa"/>
            <w:tcBorders>
              <w:top w:val="nil"/>
              <w:left w:val="nil"/>
              <w:bottom w:val="single" w:sz="4" w:space="0" w:color="auto"/>
              <w:right w:val="single" w:sz="4" w:space="0" w:color="auto"/>
            </w:tcBorders>
            <w:vAlign w:val="bottom"/>
            <w:hideMark/>
          </w:tcPr>
          <w:p w14:paraId="34309FFE"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3.79</w:t>
            </w:r>
          </w:p>
        </w:tc>
        <w:tc>
          <w:tcPr>
            <w:tcW w:w="1710" w:type="dxa"/>
            <w:tcBorders>
              <w:top w:val="nil"/>
              <w:left w:val="nil"/>
              <w:bottom w:val="single" w:sz="4" w:space="0" w:color="auto"/>
              <w:right w:val="single" w:sz="4" w:space="0" w:color="auto"/>
            </w:tcBorders>
            <w:vAlign w:val="bottom"/>
            <w:hideMark/>
          </w:tcPr>
          <w:p w14:paraId="4876B50E"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4.85</w:t>
            </w:r>
          </w:p>
        </w:tc>
        <w:tc>
          <w:tcPr>
            <w:tcW w:w="1890" w:type="dxa"/>
            <w:tcBorders>
              <w:top w:val="nil"/>
              <w:left w:val="nil"/>
              <w:bottom w:val="single" w:sz="4" w:space="0" w:color="auto"/>
              <w:right w:val="single" w:sz="4" w:space="0" w:color="auto"/>
            </w:tcBorders>
            <w:vAlign w:val="bottom"/>
            <w:hideMark/>
          </w:tcPr>
          <w:p w14:paraId="0D0CB580"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0.05</w:t>
            </w:r>
          </w:p>
        </w:tc>
        <w:tc>
          <w:tcPr>
            <w:tcW w:w="2610" w:type="dxa"/>
            <w:tcBorders>
              <w:top w:val="nil"/>
              <w:left w:val="nil"/>
              <w:bottom w:val="single" w:sz="4" w:space="0" w:color="auto"/>
              <w:right w:val="single" w:sz="4" w:space="0" w:color="auto"/>
            </w:tcBorders>
            <w:vAlign w:val="bottom"/>
            <w:hideMark/>
          </w:tcPr>
          <w:p w14:paraId="3B9BBA0E"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Cointegration confirmed</w:t>
            </w:r>
          </w:p>
        </w:tc>
      </w:tr>
    </w:tbl>
    <w:p w14:paraId="31977B7D" w14:textId="77777777" w:rsidR="00E332F8" w:rsidRPr="006435D7" w:rsidRDefault="00CA42C9" w:rsidP="00E332F8">
      <w:pPr>
        <w:tabs>
          <w:tab w:val="left" w:pos="930"/>
        </w:tabs>
        <w:spacing w:after="0" w:line="360" w:lineRule="auto"/>
        <w:jc w:val="both"/>
        <w:rPr>
          <w:rFonts w:ascii="Arial" w:hAnsi="Arial" w:cs="Arial"/>
          <w:sz w:val="20"/>
          <w:szCs w:val="20"/>
        </w:rPr>
      </w:pPr>
      <w:r w:rsidRPr="00E14106">
        <w:rPr>
          <w:rFonts w:ascii="Arial" w:hAnsi="Arial" w:cs="Arial"/>
          <w:b/>
        </w:rPr>
        <w:t>Source:</w:t>
      </w:r>
      <w:r w:rsidR="00E332F8" w:rsidRPr="006435D7">
        <w:rPr>
          <w:rStyle w:val="Strong"/>
          <w:rFonts w:ascii="Arial" w:hAnsi="Arial" w:cs="Arial"/>
          <w:sz w:val="20"/>
          <w:szCs w:val="20"/>
        </w:rPr>
        <w:t xml:space="preserve"> </w:t>
      </w:r>
      <w:r w:rsidR="00E332F8" w:rsidRPr="006435D7">
        <w:rPr>
          <w:rFonts w:ascii="Arial" w:hAnsi="Arial" w:cs="Arial"/>
          <w:sz w:val="20"/>
          <w:szCs w:val="20"/>
        </w:rPr>
        <w:t>Author’s estimation using ARDL bounds testing (</w:t>
      </w:r>
      <w:proofErr w:type="spellStart"/>
      <w:r w:rsidR="00E332F8" w:rsidRPr="006435D7">
        <w:rPr>
          <w:rFonts w:ascii="Arial" w:hAnsi="Arial" w:cs="Arial"/>
          <w:sz w:val="20"/>
          <w:szCs w:val="20"/>
        </w:rPr>
        <w:t>Pesaran</w:t>
      </w:r>
      <w:proofErr w:type="spellEnd"/>
      <w:r w:rsidR="00E332F8" w:rsidRPr="006435D7">
        <w:rPr>
          <w:rFonts w:ascii="Arial" w:hAnsi="Arial" w:cs="Arial"/>
          <w:sz w:val="20"/>
          <w:szCs w:val="20"/>
        </w:rPr>
        <w:t xml:space="preserve"> et al., 2001) with data from World Bank and Ministry of Coal (1980–2025).</w:t>
      </w:r>
    </w:p>
    <w:p w14:paraId="1B6938F0" w14:textId="5BB969DD" w:rsidR="00CA42C9" w:rsidRPr="00E14106" w:rsidRDefault="008C0AF1" w:rsidP="00E14106">
      <w:pPr>
        <w:tabs>
          <w:tab w:val="left" w:pos="930"/>
        </w:tabs>
        <w:spacing w:after="0" w:line="480" w:lineRule="auto"/>
        <w:jc w:val="both"/>
        <w:rPr>
          <w:rFonts w:ascii="Arial" w:hAnsi="Arial" w:cs="Arial"/>
        </w:rPr>
      </w:pPr>
      <w:r w:rsidRPr="006435D7">
        <w:rPr>
          <w:rFonts w:ascii="Arial" w:hAnsi="Arial" w:cs="Arial"/>
          <w:sz w:val="20"/>
          <w:szCs w:val="20"/>
        </w:rPr>
        <w:tab/>
      </w:r>
      <w:r w:rsidR="00E332F8" w:rsidRPr="006435D7">
        <w:rPr>
          <w:rFonts w:ascii="Arial" w:hAnsi="Arial" w:cs="Arial"/>
          <w:sz w:val="20"/>
          <w:szCs w:val="20"/>
        </w:rPr>
        <w:t xml:space="preserve">Table 5 presents results from the ARDL bounds test, confirming a long-run equilibrium relationship among GDP, coal consumption, capital, and </w:t>
      </w:r>
      <w:proofErr w:type="spellStart"/>
      <w:r w:rsidR="00E332F8" w:rsidRPr="006435D7">
        <w:rPr>
          <w:rFonts w:ascii="Arial" w:hAnsi="Arial" w:cs="Arial"/>
          <w:sz w:val="20"/>
          <w:szCs w:val="20"/>
        </w:rPr>
        <w:t>labour</w:t>
      </w:r>
      <w:proofErr w:type="spellEnd"/>
      <w:r w:rsidR="00E332F8" w:rsidRPr="006435D7">
        <w:rPr>
          <w:rFonts w:ascii="Arial" w:hAnsi="Arial" w:cs="Arial"/>
          <w:sz w:val="20"/>
          <w:szCs w:val="20"/>
        </w:rPr>
        <w:t>. The calculated F-statistic (7.826) exceeds the upper bound critical value (4.85) at the 5% level, establishing cointegration. This validates the existence of a stable long-term link between economic growth and coal consumption. The results support the hypothesis that energy, particularly coal, remains a key driver of India’s GDP growth. The ARDL approach is advantageous due to its ability to handle small samples and mixed integration orders. The evidence of long-run stability highlights that energy conservation policies must be balanced with economic growth objectives, ensuring sustainable energy transitions without hampering industrial expansion.</w:t>
      </w:r>
      <w:r w:rsidR="00E332F8" w:rsidRPr="006435D7">
        <w:rPr>
          <w:rFonts w:ascii="Arial" w:hAnsi="Arial" w:cs="Arial"/>
          <w:sz w:val="20"/>
          <w:szCs w:val="20"/>
        </w:rPr>
        <w:br/>
      </w:r>
      <w:r w:rsidR="008E400C" w:rsidRPr="00E14106">
        <w:rPr>
          <w:rFonts w:ascii="Arial" w:hAnsi="Arial" w:cs="Arial"/>
          <w:b/>
        </w:rPr>
        <w:t xml:space="preserve">Table 6: </w:t>
      </w:r>
      <w:r w:rsidR="0015728D" w:rsidRPr="00E14106">
        <w:rPr>
          <w:rFonts w:ascii="Arial" w:hAnsi="Arial" w:cs="Arial"/>
          <w:b/>
        </w:rPr>
        <w:t>Short-Run Error Correction Model (ECM) Results Estimating Adjustment Dynamics Toward Long-Run Equilibrium.</w:t>
      </w:r>
    </w:p>
    <w:tbl>
      <w:tblPr>
        <w:tblW w:w="9824" w:type="dxa"/>
        <w:tblInd w:w="94" w:type="dxa"/>
        <w:tblLook w:val="04A0" w:firstRow="1" w:lastRow="0" w:firstColumn="1" w:lastColumn="0" w:noHBand="0" w:noVBand="1"/>
      </w:tblPr>
      <w:tblGrid>
        <w:gridCol w:w="1731"/>
        <w:gridCol w:w="1336"/>
        <w:gridCol w:w="1087"/>
        <w:gridCol w:w="1260"/>
        <w:gridCol w:w="1260"/>
        <w:gridCol w:w="3150"/>
      </w:tblGrid>
      <w:tr w:rsidR="00CA42C9" w:rsidRPr="006435D7" w14:paraId="2F63876B" w14:textId="77777777" w:rsidTr="005E33C4">
        <w:trPr>
          <w:trHeight w:val="64"/>
        </w:trPr>
        <w:tc>
          <w:tcPr>
            <w:tcW w:w="1731" w:type="dxa"/>
            <w:tcBorders>
              <w:top w:val="single" w:sz="4" w:space="0" w:color="auto"/>
              <w:left w:val="single" w:sz="4" w:space="0" w:color="auto"/>
              <w:bottom w:val="single" w:sz="4" w:space="0" w:color="auto"/>
              <w:right w:val="single" w:sz="4" w:space="0" w:color="auto"/>
            </w:tcBorders>
            <w:vAlign w:val="center"/>
            <w:hideMark/>
          </w:tcPr>
          <w:p w14:paraId="2EBA1074"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Variable</w:t>
            </w:r>
          </w:p>
        </w:tc>
        <w:tc>
          <w:tcPr>
            <w:tcW w:w="1336" w:type="dxa"/>
            <w:tcBorders>
              <w:top w:val="single" w:sz="4" w:space="0" w:color="auto"/>
              <w:left w:val="nil"/>
              <w:bottom w:val="single" w:sz="4" w:space="0" w:color="auto"/>
              <w:right w:val="single" w:sz="4" w:space="0" w:color="auto"/>
            </w:tcBorders>
            <w:vAlign w:val="center"/>
            <w:hideMark/>
          </w:tcPr>
          <w:p w14:paraId="3315EDA3"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Coefficient</w:t>
            </w:r>
          </w:p>
        </w:tc>
        <w:tc>
          <w:tcPr>
            <w:tcW w:w="1087" w:type="dxa"/>
            <w:tcBorders>
              <w:top w:val="single" w:sz="4" w:space="0" w:color="auto"/>
              <w:left w:val="nil"/>
              <w:bottom w:val="single" w:sz="4" w:space="0" w:color="auto"/>
              <w:right w:val="single" w:sz="4" w:space="0" w:color="auto"/>
            </w:tcBorders>
            <w:vAlign w:val="center"/>
            <w:hideMark/>
          </w:tcPr>
          <w:p w14:paraId="6B4A423B"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Std. Error</w:t>
            </w:r>
          </w:p>
        </w:tc>
        <w:tc>
          <w:tcPr>
            <w:tcW w:w="1260" w:type="dxa"/>
            <w:tcBorders>
              <w:top w:val="single" w:sz="4" w:space="0" w:color="auto"/>
              <w:left w:val="nil"/>
              <w:bottom w:val="single" w:sz="4" w:space="0" w:color="auto"/>
              <w:right w:val="single" w:sz="4" w:space="0" w:color="auto"/>
            </w:tcBorders>
            <w:vAlign w:val="center"/>
            <w:hideMark/>
          </w:tcPr>
          <w:p w14:paraId="1ADBBE3B"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t-Statistic</w:t>
            </w:r>
          </w:p>
        </w:tc>
        <w:tc>
          <w:tcPr>
            <w:tcW w:w="1260" w:type="dxa"/>
            <w:tcBorders>
              <w:top w:val="single" w:sz="4" w:space="0" w:color="auto"/>
              <w:left w:val="nil"/>
              <w:bottom w:val="single" w:sz="4" w:space="0" w:color="auto"/>
              <w:right w:val="single" w:sz="4" w:space="0" w:color="auto"/>
            </w:tcBorders>
            <w:vAlign w:val="center"/>
            <w:hideMark/>
          </w:tcPr>
          <w:p w14:paraId="7B1DAD61"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p-Value</w:t>
            </w:r>
          </w:p>
        </w:tc>
        <w:tc>
          <w:tcPr>
            <w:tcW w:w="3150" w:type="dxa"/>
            <w:tcBorders>
              <w:top w:val="single" w:sz="4" w:space="0" w:color="auto"/>
              <w:left w:val="nil"/>
              <w:bottom w:val="single" w:sz="4" w:space="0" w:color="auto"/>
              <w:right w:val="single" w:sz="4" w:space="0" w:color="auto"/>
            </w:tcBorders>
            <w:vAlign w:val="center"/>
            <w:hideMark/>
          </w:tcPr>
          <w:p w14:paraId="3C915B2C"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Remark</w:t>
            </w:r>
          </w:p>
        </w:tc>
      </w:tr>
      <w:tr w:rsidR="00CA42C9" w:rsidRPr="006435D7" w14:paraId="73C40CB0" w14:textId="77777777" w:rsidTr="005E33C4">
        <w:trPr>
          <w:trHeight w:val="64"/>
        </w:trPr>
        <w:tc>
          <w:tcPr>
            <w:tcW w:w="1731" w:type="dxa"/>
            <w:tcBorders>
              <w:top w:val="nil"/>
              <w:left w:val="single" w:sz="4" w:space="0" w:color="auto"/>
              <w:bottom w:val="single" w:sz="4" w:space="0" w:color="auto"/>
              <w:right w:val="single" w:sz="4" w:space="0" w:color="auto"/>
            </w:tcBorders>
            <w:vAlign w:val="bottom"/>
            <w:hideMark/>
          </w:tcPr>
          <w:p w14:paraId="184EE4F2" w14:textId="77777777" w:rsidR="00CA42C9" w:rsidRPr="006435D7" w:rsidRDefault="00CA42C9" w:rsidP="00AA64FA">
            <w:pPr>
              <w:spacing w:after="0" w:line="240" w:lineRule="auto"/>
              <w:jc w:val="center"/>
              <w:rPr>
                <w:rFonts w:ascii="Arial" w:eastAsia="Times New Roman" w:hAnsi="Arial" w:cs="Arial"/>
                <w:color w:val="000000"/>
                <w:sz w:val="20"/>
                <w:szCs w:val="20"/>
              </w:rPr>
            </w:pPr>
            <w:proofErr w:type="spellStart"/>
            <w:r w:rsidRPr="006435D7">
              <w:rPr>
                <w:rFonts w:ascii="Arial" w:eastAsia="Times New Roman" w:hAnsi="Arial" w:cs="Arial"/>
                <w:color w:val="000000"/>
                <w:sz w:val="20"/>
                <w:szCs w:val="20"/>
              </w:rPr>
              <w:t>Δ</w:t>
            </w:r>
            <w:proofErr w:type="gramStart"/>
            <w:r w:rsidRPr="006435D7">
              <w:rPr>
                <w:rFonts w:ascii="Arial" w:eastAsia="Times New Roman" w:hAnsi="Arial" w:cs="Arial"/>
                <w:color w:val="000000"/>
                <w:sz w:val="20"/>
                <w:szCs w:val="20"/>
              </w:rPr>
              <w:t>ln</w:t>
            </w:r>
            <w:proofErr w:type="spellEnd"/>
            <w:r w:rsidRPr="006435D7">
              <w:rPr>
                <w:rFonts w:ascii="Arial" w:eastAsia="Times New Roman" w:hAnsi="Arial" w:cs="Arial"/>
                <w:color w:val="000000"/>
                <w:sz w:val="20"/>
                <w:szCs w:val="20"/>
              </w:rPr>
              <w:t>(</w:t>
            </w:r>
            <w:proofErr w:type="gramEnd"/>
            <w:r w:rsidRPr="006435D7">
              <w:rPr>
                <w:rFonts w:ascii="Arial" w:eastAsia="Times New Roman" w:hAnsi="Arial" w:cs="Arial"/>
                <w:color w:val="000000"/>
                <w:sz w:val="20"/>
                <w:szCs w:val="20"/>
              </w:rPr>
              <w:t>COAL)</w:t>
            </w:r>
          </w:p>
        </w:tc>
        <w:tc>
          <w:tcPr>
            <w:tcW w:w="1336" w:type="dxa"/>
            <w:tcBorders>
              <w:top w:val="nil"/>
              <w:left w:val="nil"/>
              <w:bottom w:val="single" w:sz="4" w:space="0" w:color="auto"/>
              <w:right w:val="single" w:sz="4" w:space="0" w:color="auto"/>
            </w:tcBorders>
            <w:vAlign w:val="bottom"/>
            <w:hideMark/>
          </w:tcPr>
          <w:p w14:paraId="25B1DFEC"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0.235</w:t>
            </w:r>
          </w:p>
        </w:tc>
        <w:tc>
          <w:tcPr>
            <w:tcW w:w="1087" w:type="dxa"/>
            <w:tcBorders>
              <w:top w:val="nil"/>
              <w:left w:val="nil"/>
              <w:bottom w:val="single" w:sz="4" w:space="0" w:color="auto"/>
              <w:right w:val="single" w:sz="4" w:space="0" w:color="auto"/>
            </w:tcBorders>
            <w:vAlign w:val="bottom"/>
            <w:hideMark/>
          </w:tcPr>
          <w:p w14:paraId="33E82991"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0.082</w:t>
            </w:r>
          </w:p>
        </w:tc>
        <w:tc>
          <w:tcPr>
            <w:tcW w:w="1260" w:type="dxa"/>
            <w:tcBorders>
              <w:top w:val="nil"/>
              <w:left w:val="nil"/>
              <w:bottom w:val="single" w:sz="4" w:space="0" w:color="auto"/>
              <w:right w:val="single" w:sz="4" w:space="0" w:color="auto"/>
            </w:tcBorders>
            <w:vAlign w:val="bottom"/>
            <w:hideMark/>
          </w:tcPr>
          <w:p w14:paraId="6C8F686E"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2.861</w:t>
            </w:r>
          </w:p>
        </w:tc>
        <w:tc>
          <w:tcPr>
            <w:tcW w:w="1260" w:type="dxa"/>
            <w:tcBorders>
              <w:top w:val="nil"/>
              <w:left w:val="nil"/>
              <w:bottom w:val="single" w:sz="4" w:space="0" w:color="auto"/>
              <w:right w:val="single" w:sz="4" w:space="0" w:color="auto"/>
            </w:tcBorders>
            <w:vAlign w:val="bottom"/>
            <w:hideMark/>
          </w:tcPr>
          <w:p w14:paraId="54A62C1C"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0.007</w:t>
            </w:r>
          </w:p>
        </w:tc>
        <w:tc>
          <w:tcPr>
            <w:tcW w:w="3150" w:type="dxa"/>
            <w:tcBorders>
              <w:top w:val="nil"/>
              <w:left w:val="nil"/>
              <w:bottom w:val="single" w:sz="4" w:space="0" w:color="auto"/>
              <w:right w:val="single" w:sz="4" w:space="0" w:color="auto"/>
            </w:tcBorders>
            <w:vAlign w:val="bottom"/>
            <w:hideMark/>
          </w:tcPr>
          <w:p w14:paraId="05F71A99"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Significant</w:t>
            </w:r>
          </w:p>
        </w:tc>
      </w:tr>
      <w:tr w:rsidR="00CA42C9" w:rsidRPr="006435D7" w14:paraId="25993715" w14:textId="77777777" w:rsidTr="005E33C4">
        <w:trPr>
          <w:trHeight w:val="64"/>
        </w:trPr>
        <w:tc>
          <w:tcPr>
            <w:tcW w:w="1731" w:type="dxa"/>
            <w:tcBorders>
              <w:top w:val="nil"/>
              <w:left w:val="single" w:sz="4" w:space="0" w:color="auto"/>
              <w:bottom w:val="single" w:sz="4" w:space="0" w:color="auto"/>
              <w:right w:val="single" w:sz="4" w:space="0" w:color="auto"/>
            </w:tcBorders>
            <w:vAlign w:val="bottom"/>
            <w:hideMark/>
          </w:tcPr>
          <w:p w14:paraId="4327A31D" w14:textId="77777777" w:rsidR="00CA42C9" w:rsidRPr="006435D7" w:rsidRDefault="00CA42C9" w:rsidP="00AA64FA">
            <w:pPr>
              <w:spacing w:after="0" w:line="240" w:lineRule="auto"/>
              <w:jc w:val="center"/>
              <w:rPr>
                <w:rFonts w:ascii="Arial" w:eastAsia="Times New Roman" w:hAnsi="Arial" w:cs="Arial"/>
                <w:color w:val="000000"/>
                <w:sz w:val="20"/>
                <w:szCs w:val="20"/>
              </w:rPr>
            </w:pPr>
            <w:proofErr w:type="spellStart"/>
            <w:r w:rsidRPr="006435D7">
              <w:rPr>
                <w:rFonts w:ascii="Arial" w:eastAsia="Times New Roman" w:hAnsi="Arial" w:cs="Arial"/>
                <w:color w:val="000000"/>
                <w:sz w:val="20"/>
                <w:szCs w:val="20"/>
              </w:rPr>
              <w:t>Δ</w:t>
            </w:r>
            <w:proofErr w:type="gramStart"/>
            <w:r w:rsidRPr="006435D7">
              <w:rPr>
                <w:rFonts w:ascii="Arial" w:eastAsia="Times New Roman" w:hAnsi="Arial" w:cs="Arial"/>
                <w:color w:val="000000"/>
                <w:sz w:val="20"/>
                <w:szCs w:val="20"/>
              </w:rPr>
              <w:t>ln</w:t>
            </w:r>
            <w:proofErr w:type="spellEnd"/>
            <w:r w:rsidRPr="006435D7">
              <w:rPr>
                <w:rFonts w:ascii="Arial" w:eastAsia="Times New Roman" w:hAnsi="Arial" w:cs="Arial"/>
                <w:color w:val="000000"/>
                <w:sz w:val="20"/>
                <w:szCs w:val="20"/>
              </w:rPr>
              <w:t>(</w:t>
            </w:r>
            <w:proofErr w:type="gramEnd"/>
            <w:r w:rsidRPr="006435D7">
              <w:rPr>
                <w:rFonts w:ascii="Arial" w:eastAsia="Times New Roman" w:hAnsi="Arial" w:cs="Arial"/>
                <w:color w:val="000000"/>
                <w:sz w:val="20"/>
                <w:szCs w:val="20"/>
              </w:rPr>
              <w:t>CAPITAL)</w:t>
            </w:r>
          </w:p>
        </w:tc>
        <w:tc>
          <w:tcPr>
            <w:tcW w:w="1336" w:type="dxa"/>
            <w:tcBorders>
              <w:top w:val="nil"/>
              <w:left w:val="nil"/>
              <w:bottom w:val="single" w:sz="4" w:space="0" w:color="auto"/>
              <w:right w:val="single" w:sz="4" w:space="0" w:color="auto"/>
            </w:tcBorders>
            <w:vAlign w:val="bottom"/>
            <w:hideMark/>
          </w:tcPr>
          <w:p w14:paraId="62A96E05"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0.102</w:t>
            </w:r>
          </w:p>
        </w:tc>
        <w:tc>
          <w:tcPr>
            <w:tcW w:w="1087" w:type="dxa"/>
            <w:tcBorders>
              <w:top w:val="nil"/>
              <w:left w:val="nil"/>
              <w:bottom w:val="single" w:sz="4" w:space="0" w:color="auto"/>
              <w:right w:val="single" w:sz="4" w:space="0" w:color="auto"/>
            </w:tcBorders>
            <w:vAlign w:val="bottom"/>
            <w:hideMark/>
          </w:tcPr>
          <w:p w14:paraId="18EE9188"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0.041</w:t>
            </w:r>
          </w:p>
        </w:tc>
        <w:tc>
          <w:tcPr>
            <w:tcW w:w="1260" w:type="dxa"/>
            <w:tcBorders>
              <w:top w:val="nil"/>
              <w:left w:val="nil"/>
              <w:bottom w:val="single" w:sz="4" w:space="0" w:color="auto"/>
              <w:right w:val="single" w:sz="4" w:space="0" w:color="auto"/>
            </w:tcBorders>
            <w:vAlign w:val="bottom"/>
            <w:hideMark/>
          </w:tcPr>
          <w:p w14:paraId="1351CE79"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2.478</w:t>
            </w:r>
          </w:p>
        </w:tc>
        <w:tc>
          <w:tcPr>
            <w:tcW w:w="1260" w:type="dxa"/>
            <w:tcBorders>
              <w:top w:val="nil"/>
              <w:left w:val="nil"/>
              <w:bottom w:val="single" w:sz="4" w:space="0" w:color="auto"/>
              <w:right w:val="single" w:sz="4" w:space="0" w:color="auto"/>
            </w:tcBorders>
            <w:vAlign w:val="bottom"/>
            <w:hideMark/>
          </w:tcPr>
          <w:p w14:paraId="446AB70C"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0.019</w:t>
            </w:r>
          </w:p>
        </w:tc>
        <w:tc>
          <w:tcPr>
            <w:tcW w:w="3150" w:type="dxa"/>
            <w:tcBorders>
              <w:top w:val="nil"/>
              <w:left w:val="nil"/>
              <w:bottom w:val="single" w:sz="4" w:space="0" w:color="auto"/>
              <w:right w:val="single" w:sz="4" w:space="0" w:color="auto"/>
            </w:tcBorders>
            <w:vAlign w:val="bottom"/>
            <w:hideMark/>
          </w:tcPr>
          <w:p w14:paraId="4CFD1EF3"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Significant</w:t>
            </w:r>
          </w:p>
        </w:tc>
      </w:tr>
      <w:tr w:rsidR="00CA42C9" w:rsidRPr="006435D7" w14:paraId="3E9BEDD0" w14:textId="77777777" w:rsidTr="005E33C4">
        <w:trPr>
          <w:trHeight w:val="64"/>
        </w:trPr>
        <w:tc>
          <w:tcPr>
            <w:tcW w:w="1731" w:type="dxa"/>
            <w:tcBorders>
              <w:top w:val="nil"/>
              <w:left w:val="single" w:sz="4" w:space="0" w:color="auto"/>
              <w:bottom w:val="single" w:sz="4" w:space="0" w:color="auto"/>
              <w:right w:val="single" w:sz="4" w:space="0" w:color="auto"/>
            </w:tcBorders>
            <w:vAlign w:val="bottom"/>
            <w:hideMark/>
          </w:tcPr>
          <w:p w14:paraId="01E2DC33" w14:textId="77777777" w:rsidR="00CA42C9" w:rsidRPr="006435D7" w:rsidRDefault="00CA42C9" w:rsidP="00AA64FA">
            <w:pPr>
              <w:spacing w:after="0" w:line="240" w:lineRule="auto"/>
              <w:jc w:val="center"/>
              <w:rPr>
                <w:rFonts w:ascii="Arial" w:eastAsia="Times New Roman" w:hAnsi="Arial" w:cs="Arial"/>
                <w:color w:val="000000"/>
                <w:sz w:val="20"/>
                <w:szCs w:val="20"/>
              </w:rPr>
            </w:pPr>
            <w:proofErr w:type="spellStart"/>
            <w:r w:rsidRPr="006435D7">
              <w:rPr>
                <w:rFonts w:ascii="Arial" w:eastAsia="Times New Roman" w:hAnsi="Arial" w:cs="Arial"/>
                <w:color w:val="000000"/>
                <w:sz w:val="20"/>
                <w:szCs w:val="20"/>
              </w:rPr>
              <w:t>Δ</w:t>
            </w:r>
            <w:proofErr w:type="gramStart"/>
            <w:r w:rsidRPr="006435D7">
              <w:rPr>
                <w:rFonts w:ascii="Arial" w:eastAsia="Times New Roman" w:hAnsi="Arial" w:cs="Arial"/>
                <w:color w:val="000000"/>
                <w:sz w:val="20"/>
                <w:szCs w:val="20"/>
              </w:rPr>
              <w:t>ln</w:t>
            </w:r>
            <w:proofErr w:type="spellEnd"/>
            <w:r w:rsidRPr="006435D7">
              <w:rPr>
                <w:rFonts w:ascii="Arial" w:eastAsia="Times New Roman" w:hAnsi="Arial" w:cs="Arial"/>
                <w:color w:val="000000"/>
                <w:sz w:val="20"/>
                <w:szCs w:val="20"/>
              </w:rPr>
              <w:t>(</w:t>
            </w:r>
            <w:proofErr w:type="gramEnd"/>
            <w:r w:rsidRPr="006435D7">
              <w:rPr>
                <w:rFonts w:ascii="Arial" w:eastAsia="Times New Roman" w:hAnsi="Arial" w:cs="Arial"/>
                <w:color w:val="000000"/>
                <w:sz w:val="20"/>
                <w:szCs w:val="20"/>
              </w:rPr>
              <w:t>LABOUR)</w:t>
            </w:r>
          </w:p>
        </w:tc>
        <w:tc>
          <w:tcPr>
            <w:tcW w:w="1336" w:type="dxa"/>
            <w:tcBorders>
              <w:top w:val="nil"/>
              <w:left w:val="nil"/>
              <w:bottom w:val="single" w:sz="4" w:space="0" w:color="auto"/>
              <w:right w:val="single" w:sz="4" w:space="0" w:color="auto"/>
            </w:tcBorders>
            <w:vAlign w:val="bottom"/>
            <w:hideMark/>
          </w:tcPr>
          <w:p w14:paraId="77265383"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0.075</w:t>
            </w:r>
          </w:p>
        </w:tc>
        <w:tc>
          <w:tcPr>
            <w:tcW w:w="1087" w:type="dxa"/>
            <w:tcBorders>
              <w:top w:val="nil"/>
              <w:left w:val="nil"/>
              <w:bottom w:val="single" w:sz="4" w:space="0" w:color="auto"/>
              <w:right w:val="single" w:sz="4" w:space="0" w:color="auto"/>
            </w:tcBorders>
            <w:vAlign w:val="bottom"/>
            <w:hideMark/>
          </w:tcPr>
          <w:p w14:paraId="145EB145"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0.035</w:t>
            </w:r>
          </w:p>
        </w:tc>
        <w:tc>
          <w:tcPr>
            <w:tcW w:w="1260" w:type="dxa"/>
            <w:tcBorders>
              <w:top w:val="nil"/>
              <w:left w:val="nil"/>
              <w:bottom w:val="single" w:sz="4" w:space="0" w:color="auto"/>
              <w:right w:val="single" w:sz="4" w:space="0" w:color="auto"/>
            </w:tcBorders>
            <w:vAlign w:val="bottom"/>
            <w:hideMark/>
          </w:tcPr>
          <w:p w14:paraId="0FC36508"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2.144</w:t>
            </w:r>
          </w:p>
        </w:tc>
        <w:tc>
          <w:tcPr>
            <w:tcW w:w="1260" w:type="dxa"/>
            <w:tcBorders>
              <w:top w:val="nil"/>
              <w:left w:val="nil"/>
              <w:bottom w:val="single" w:sz="4" w:space="0" w:color="auto"/>
              <w:right w:val="single" w:sz="4" w:space="0" w:color="auto"/>
            </w:tcBorders>
            <w:vAlign w:val="bottom"/>
            <w:hideMark/>
          </w:tcPr>
          <w:p w14:paraId="5607A9E3"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0.038</w:t>
            </w:r>
          </w:p>
        </w:tc>
        <w:tc>
          <w:tcPr>
            <w:tcW w:w="3150" w:type="dxa"/>
            <w:tcBorders>
              <w:top w:val="nil"/>
              <w:left w:val="nil"/>
              <w:bottom w:val="single" w:sz="4" w:space="0" w:color="auto"/>
              <w:right w:val="single" w:sz="4" w:space="0" w:color="auto"/>
            </w:tcBorders>
            <w:vAlign w:val="bottom"/>
            <w:hideMark/>
          </w:tcPr>
          <w:p w14:paraId="7F0D5C54"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Significant</w:t>
            </w:r>
          </w:p>
        </w:tc>
      </w:tr>
      <w:tr w:rsidR="00CA42C9" w:rsidRPr="006435D7" w14:paraId="34BF67B1" w14:textId="77777777" w:rsidTr="005E33C4">
        <w:trPr>
          <w:trHeight w:val="89"/>
        </w:trPr>
        <w:tc>
          <w:tcPr>
            <w:tcW w:w="1731" w:type="dxa"/>
            <w:tcBorders>
              <w:top w:val="nil"/>
              <w:left w:val="single" w:sz="4" w:space="0" w:color="auto"/>
              <w:bottom w:val="single" w:sz="4" w:space="0" w:color="auto"/>
              <w:right w:val="single" w:sz="4" w:space="0" w:color="auto"/>
            </w:tcBorders>
            <w:vAlign w:val="bottom"/>
            <w:hideMark/>
          </w:tcPr>
          <w:p w14:paraId="7EFF2298"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EC</w:t>
            </w:r>
            <w:r w:rsidRPr="006435D7">
              <w:rPr>
                <w:rFonts w:ascii="Times New Roman" w:eastAsia="Times New Roman" w:hAnsi="Times New Roman" w:cs="Arial"/>
                <w:color w:val="000000"/>
                <w:sz w:val="20"/>
                <w:szCs w:val="20"/>
              </w:rPr>
              <w:t>ₜ₋₁</w:t>
            </w:r>
          </w:p>
        </w:tc>
        <w:tc>
          <w:tcPr>
            <w:tcW w:w="1336" w:type="dxa"/>
            <w:tcBorders>
              <w:top w:val="nil"/>
              <w:left w:val="nil"/>
              <w:bottom w:val="single" w:sz="4" w:space="0" w:color="auto"/>
              <w:right w:val="single" w:sz="4" w:space="0" w:color="auto"/>
            </w:tcBorders>
            <w:vAlign w:val="bottom"/>
            <w:hideMark/>
          </w:tcPr>
          <w:p w14:paraId="1CDF1FDA"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–0.412</w:t>
            </w:r>
          </w:p>
        </w:tc>
        <w:tc>
          <w:tcPr>
            <w:tcW w:w="1087" w:type="dxa"/>
            <w:tcBorders>
              <w:top w:val="nil"/>
              <w:left w:val="nil"/>
              <w:bottom w:val="single" w:sz="4" w:space="0" w:color="auto"/>
              <w:right w:val="single" w:sz="4" w:space="0" w:color="auto"/>
            </w:tcBorders>
            <w:vAlign w:val="bottom"/>
            <w:hideMark/>
          </w:tcPr>
          <w:p w14:paraId="36D5A0C6"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0.095</w:t>
            </w:r>
          </w:p>
        </w:tc>
        <w:tc>
          <w:tcPr>
            <w:tcW w:w="1260" w:type="dxa"/>
            <w:tcBorders>
              <w:top w:val="nil"/>
              <w:left w:val="nil"/>
              <w:bottom w:val="single" w:sz="4" w:space="0" w:color="auto"/>
              <w:right w:val="single" w:sz="4" w:space="0" w:color="auto"/>
            </w:tcBorders>
            <w:vAlign w:val="bottom"/>
            <w:hideMark/>
          </w:tcPr>
          <w:p w14:paraId="3C8596B5"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–4.336</w:t>
            </w:r>
          </w:p>
        </w:tc>
        <w:tc>
          <w:tcPr>
            <w:tcW w:w="1260" w:type="dxa"/>
            <w:tcBorders>
              <w:top w:val="nil"/>
              <w:left w:val="nil"/>
              <w:bottom w:val="single" w:sz="4" w:space="0" w:color="auto"/>
              <w:right w:val="single" w:sz="4" w:space="0" w:color="auto"/>
            </w:tcBorders>
            <w:vAlign w:val="bottom"/>
            <w:hideMark/>
          </w:tcPr>
          <w:p w14:paraId="6BF3823B"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w:t>
            </w:r>
          </w:p>
        </w:tc>
        <w:tc>
          <w:tcPr>
            <w:tcW w:w="3150" w:type="dxa"/>
            <w:tcBorders>
              <w:top w:val="nil"/>
              <w:left w:val="nil"/>
              <w:bottom w:val="single" w:sz="4" w:space="0" w:color="auto"/>
              <w:right w:val="single" w:sz="4" w:space="0" w:color="auto"/>
            </w:tcBorders>
            <w:vAlign w:val="bottom"/>
            <w:hideMark/>
          </w:tcPr>
          <w:p w14:paraId="77D80186"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Speed of adjustment (41%)</w:t>
            </w:r>
          </w:p>
        </w:tc>
      </w:tr>
    </w:tbl>
    <w:p w14:paraId="2DF9CE70" w14:textId="77777777" w:rsidR="00E332F8" w:rsidRPr="006435D7" w:rsidRDefault="00CA42C9" w:rsidP="00E14106">
      <w:pPr>
        <w:tabs>
          <w:tab w:val="left" w:pos="930"/>
        </w:tabs>
        <w:spacing w:after="0" w:line="480" w:lineRule="auto"/>
        <w:jc w:val="both"/>
        <w:rPr>
          <w:rFonts w:ascii="Arial" w:hAnsi="Arial" w:cs="Arial"/>
          <w:b/>
          <w:sz w:val="20"/>
          <w:szCs w:val="20"/>
        </w:rPr>
      </w:pPr>
      <w:r w:rsidRPr="00E14106">
        <w:rPr>
          <w:rFonts w:ascii="Arial" w:hAnsi="Arial" w:cs="Arial"/>
          <w:b/>
        </w:rPr>
        <w:t>Source:</w:t>
      </w:r>
      <w:r w:rsidR="00E332F8" w:rsidRPr="006435D7">
        <w:rPr>
          <w:rFonts w:ascii="Arial" w:hAnsi="Arial" w:cs="Arial"/>
          <w:b/>
          <w:sz w:val="20"/>
          <w:szCs w:val="20"/>
        </w:rPr>
        <w:t xml:space="preserve"> </w:t>
      </w:r>
      <w:r w:rsidR="00E332F8" w:rsidRPr="006435D7">
        <w:rPr>
          <w:rFonts w:ascii="Arial" w:hAnsi="Arial" w:cs="Arial"/>
          <w:sz w:val="20"/>
          <w:szCs w:val="20"/>
        </w:rPr>
        <w:t>Author’s computation using ECM approach in EViews 12, based on World Bank and RBI macroeconomic data (1980–2025).</w:t>
      </w:r>
    </w:p>
    <w:p w14:paraId="6371700F" w14:textId="4A93823D" w:rsidR="00CA42C9" w:rsidRPr="00E14106" w:rsidRDefault="008C0AF1" w:rsidP="00E14106">
      <w:pPr>
        <w:tabs>
          <w:tab w:val="left" w:pos="930"/>
        </w:tabs>
        <w:spacing w:after="0" w:line="480" w:lineRule="auto"/>
        <w:jc w:val="both"/>
        <w:rPr>
          <w:rFonts w:ascii="Arial" w:hAnsi="Arial" w:cs="Arial"/>
          <w:b/>
        </w:rPr>
      </w:pPr>
      <w:r w:rsidRPr="006435D7">
        <w:rPr>
          <w:rFonts w:ascii="Arial" w:hAnsi="Arial" w:cs="Arial"/>
          <w:sz w:val="20"/>
          <w:szCs w:val="20"/>
        </w:rPr>
        <w:tab/>
      </w:r>
      <w:r w:rsidR="00E332F8" w:rsidRPr="006435D7">
        <w:rPr>
          <w:rFonts w:ascii="Arial" w:hAnsi="Arial" w:cs="Arial"/>
          <w:sz w:val="20"/>
          <w:szCs w:val="20"/>
        </w:rPr>
        <w:t>Table 6 presents the ECM results, capturing short-run adjustments and convergence toward long-run equilibrium. The coefficient of the lagged error correction term (EC</w:t>
      </w:r>
      <w:r w:rsidR="00E332F8" w:rsidRPr="006435D7">
        <w:rPr>
          <w:rFonts w:ascii="Arial" w:hAnsi="Times New Roman" w:cs="Arial"/>
          <w:sz w:val="20"/>
          <w:szCs w:val="20"/>
        </w:rPr>
        <w:t>ₜ₋₁</w:t>
      </w:r>
      <w:r w:rsidR="00E332F8" w:rsidRPr="006435D7">
        <w:rPr>
          <w:rFonts w:ascii="Arial" w:hAnsi="Arial" w:cs="Arial"/>
          <w:sz w:val="20"/>
          <w:szCs w:val="20"/>
        </w:rPr>
        <w:t xml:space="preserve"> = –0.412) is statistically significant at the 1% level, indicating that about 41% of the disequilibrium adjusts annually toward equilibrium. The positive and significant coefficients of </w:t>
      </w:r>
      <w:proofErr w:type="spellStart"/>
      <w:r w:rsidR="00E332F8" w:rsidRPr="006435D7">
        <w:rPr>
          <w:rFonts w:ascii="Arial" w:hAnsi="Arial" w:cs="Arial"/>
          <w:sz w:val="20"/>
          <w:szCs w:val="20"/>
        </w:rPr>
        <w:t>Δ</w:t>
      </w:r>
      <w:proofErr w:type="gramStart"/>
      <w:r w:rsidR="00E332F8" w:rsidRPr="006435D7">
        <w:rPr>
          <w:rFonts w:ascii="Arial" w:hAnsi="Arial" w:cs="Arial"/>
          <w:sz w:val="20"/>
          <w:szCs w:val="20"/>
        </w:rPr>
        <w:t>ln</w:t>
      </w:r>
      <w:proofErr w:type="spellEnd"/>
      <w:r w:rsidR="00E332F8" w:rsidRPr="006435D7">
        <w:rPr>
          <w:rFonts w:ascii="Arial" w:hAnsi="Arial" w:cs="Arial"/>
          <w:sz w:val="20"/>
          <w:szCs w:val="20"/>
        </w:rPr>
        <w:t>(</w:t>
      </w:r>
      <w:proofErr w:type="gramEnd"/>
      <w:r w:rsidR="00E332F8" w:rsidRPr="006435D7">
        <w:rPr>
          <w:rFonts w:ascii="Arial" w:hAnsi="Arial" w:cs="Arial"/>
          <w:sz w:val="20"/>
          <w:szCs w:val="20"/>
        </w:rPr>
        <w:t xml:space="preserve">COAL), </w:t>
      </w:r>
      <w:proofErr w:type="spellStart"/>
      <w:r w:rsidR="00E332F8" w:rsidRPr="006435D7">
        <w:rPr>
          <w:rFonts w:ascii="Arial" w:hAnsi="Arial" w:cs="Arial"/>
          <w:sz w:val="20"/>
          <w:szCs w:val="20"/>
        </w:rPr>
        <w:t>Δln</w:t>
      </w:r>
      <w:proofErr w:type="spellEnd"/>
      <w:r w:rsidR="00E332F8" w:rsidRPr="006435D7">
        <w:rPr>
          <w:rFonts w:ascii="Arial" w:hAnsi="Arial" w:cs="Arial"/>
          <w:sz w:val="20"/>
          <w:szCs w:val="20"/>
        </w:rPr>
        <w:t xml:space="preserve">(CAPITAL), and </w:t>
      </w:r>
      <w:proofErr w:type="spellStart"/>
      <w:r w:rsidR="00E332F8" w:rsidRPr="006435D7">
        <w:rPr>
          <w:rFonts w:ascii="Arial" w:hAnsi="Arial" w:cs="Arial"/>
          <w:sz w:val="20"/>
          <w:szCs w:val="20"/>
        </w:rPr>
        <w:t>Δln</w:t>
      </w:r>
      <w:proofErr w:type="spellEnd"/>
      <w:r w:rsidR="00E332F8" w:rsidRPr="006435D7">
        <w:rPr>
          <w:rFonts w:ascii="Arial" w:hAnsi="Arial" w:cs="Arial"/>
          <w:sz w:val="20"/>
          <w:szCs w:val="20"/>
        </w:rPr>
        <w:t xml:space="preserve">(LABOUR) suggest that coal consumption, capital formation, and </w:t>
      </w:r>
      <w:proofErr w:type="spellStart"/>
      <w:r w:rsidR="00E332F8" w:rsidRPr="006435D7">
        <w:rPr>
          <w:rFonts w:ascii="Arial" w:hAnsi="Arial" w:cs="Arial"/>
          <w:sz w:val="20"/>
          <w:szCs w:val="20"/>
        </w:rPr>
        <w:t>labour</w:t>
      </w:r>
      <w:proofErr w:type="spellEnd"/>
      <w:r w:rsidR="00E332F8" w:rsidRPr="006435D7">
        <w:rPr>
          <w:rFonts w:ascii="Arial" w:hAnsi="Arial" w:cs="Arial"/>
          <w:sz w:val="20"/>
          <w:szCs w:val="20"/>
        </w:rPr>
        <w:t xml:space="preserve"> positively influence short-term GDP growth. These results confirm that short-run fluctuations in India’s economic growth are energy- and resource-dependent. The significant negative error correction term ensures model stability and long-term consistency, affirming the robustness of the cointegration relationship between coal consumption and GDP.</w:t>
      </w:r>
      <w:r w:rsidR="00E332F8" w:rsidRPr="006435D7">
        <w:rPr>
          <w:rFonts w:ascii="Arial" w:hAnsi="Arial" w:cs="Arial"/>
          <w:sz w:val="20"/>
          <w:szCs w:val="20"/>
        </w:rPr>
        <w:br/>
      </w:r>
      <w:r w:rsidR="008E400C" w:rsidRPr="00E14106">
        <w:rPr>
          <w:rFonts w:ascii="Arial" w:hAnsi="Arial" w:cs="Arial"/>
          <w:b/>
        </w:rPr>
        <w:lastRenderedPageBreak/>
        <w:t xml:space="preserve">Table 7: </w:t>
      </w:r>
      <w:r w:rsidR="0015728D" w:rsidRPr="00E14106">
        <w:rPr>
          <w:rFonts w:ascii="Arial" w:hAnsi="Arial" w:cs="Arial"/>
          <w:b/>
        </w:rPr>
        <w:t>Granger Causality Test Results Indicating the Direction of Causality Between Coal Consumption and Economic Growth.</w:t>
      </w:r>
    </w:p>
    <w:tbl>
      <w:tblPr>
        <w:tblW w:w="9825" w:type="dxa"/>
        <w:tblInd w:w="93" w:type="dxa"/>
        <w:tblLayout w:type="fixed"/>
        <w:tblLook w:val="04A0" w:firstRow="1" w:lastRow="0" w:firstColumn="1" w:lastColumn="0" w:noHBand="0" w:noVBand="1"/>
      </w:tblPr>
      <w:tblGrid>
        <w:gridCol w:w="1815"/>
        <w:gridCol w:w="990"/>
        <w:gridCol w:w="810"/>
        <w:gridCol w:w="2160"/>
        <w:gridCol w:w="1350"/>
        <w:gridCol w:w="2700"/>
      </w:tblGrid>
      <w:tr w:rsidR="00730BD2" w:rsidRPr="006435D7" w14:paraId="4705652B" w14:textId="77777777" w:rsidTr="00C066CC">
        <w:trPr>
          <w:trHeight w:val="179"/>
        </w:trPr>
        <w:tc>
          <w:tcPr>
            <w:tcW w:w="1815" w:type="dxa"/>
            <w:tcBorders>
              <w:top w:val="single" w:sz="4" w:space="0" w:color="auto"/>
              <w:left w:val="single" w:sz="4" w:space="0" w:color="auto"/>
              <w:bottom w:val="single" w:sz="4" w:space="0" w:color="auto"/>
              <w:right w:val="single" w:sz="4" w:space="0" w:color="auto"/>
            </w:tcBorders>
            <w:vAlign w:val="center"/>
            <w:hideMark/>
          </w:tcPr>
          <w:p w14:paraId="11E4D355" w14:textId="77777777" w:rsidR="00730BD2" w:rsidRPr="006435D7" w:rsidRDefault="00730BD2" w:rsidP="00730BD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Null Hypothesis (H</w:t>
            </w:r>
            <w:r w:rsidRPr="006435D7">
              <w:rPr>
                <w:rFonts w:ascii="Times New Roman" w:eastAsia="Times New Roman" w:hAnsi="Times New Roman" w:cs="Arial"/>
                <w:b/>
                <w:bCs/>
                <w:color w:val="000000"/>
                <w:sz w:val="20"/>
                <w:szCs w:val="20"/>
              </w:rPr>
              <w:t>₀</w:t>
            </w:r>
            <w:r w:rsidRPr="006435D7">
              <w:rPr>
                <w:rFonts w:ascii="Arial" w:eastAsia="Times New Roman" w:hAnsi="Arial" w:cs="Arial"/>
                <w:b/>
                <w:bCs/>
                <w:color w:val="000000"/>
                <w:sz w:val="20"/>
                <w:szCs w:val="20"/>
              </w:rPr>
              <w:t>)</w:t>
            </w:r>
          </w:p>
        </w:tc>
        <w:tc>
          <w:tcPr>
            <w:tcW w:w="990" w:type="dxa"/>
            <w:tcBorders>
              <w:top w:val="single" w:sz="4" w:space="0" w:color="auto"/>
              <w:left w:val="nil"/>
              <w:bottom w:val="single" w:sz="4" w:space="0" w:color="auto"/>
              <w:right w:val="single" w:sz="4" w:space="0" w:color="auto"/>
            </w:tcBorders>
            <w:vAlign w:val="center"/>
            <w:hideMark/>
          </w:tcPr>
          <w:p w14:paraId="128C1C3A" w14:textId="77777777" w:rsidR="00730BD2" w:rsidRPr="006435D7" w:rsidRDefault="00730BD2" w:rsidP="00730BD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F-Statistic</w:t>
            </w:r>
          </w:p>
        </w:tc>
        <w:tc>
          <w:tcPr>
            <w:tcW w:w="810" w:type="dxa"/>
            <w:tcBorders>
              <w:top w:val="single" w:sz="4" w:space="0" w:color="auto"/>
              <w:left w:val="nil"/>
              <w:bottom w:val="single" w:sz="4" w:space="0" w:color="auto"/>
              <w:right w:val="single" w:sz="4" w:space="0" w:color="auto"/>
            </w:tcBorders>
            <w:vAlign w:val="center"/>
            <w:hideMark/>
          </w:tcPr>
          <w:p w14:paraId="2423A754" w14:textId="77777777" w:rsidR="00730BD2" w:rsidRPr="006435D7" w:rsidRDefault="00730BD2" w:rsidP="00730BD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p-Value</w:t>
            </w:r>
          </w:p>
        </w:tc>
        <w:tc>
          <w:tcPr>
            <w:tcW w:w="2160" w:type="dxa"/>
            <w:tcBorders>
              <w:top w:val="single" w:sz="4" w:space="0" w:color="auto"/>
              <w:left w:val="nil"/>
              <w:bottom w:val="single" w:sz="4" w:space="0" w:color="auto"/>
              <w:right w:val="single" w:sz="4" w:space="0" w:color="auto"/>
            </w:tcBorders>
            <w:vAlign w:val="center"/>
            <w:hideMark/>
          </w:tcPr>
          <w:p w14:paraId="06D6F538" w14:textId="77777777" w:rsidR="00730BD2" w:rsidRPr="006435D7" w:rsidRDefault="00730BD2" w:rsidP="00730BD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Decision (5% Level)</w:t>
            </w:r>
          </w:p>
        </w:tc>
        <w:tc>
          <w:tcPr>
            <w:tcW w:w="1350" w:type="dxa"/>
            <w:tcBorders>
              <w:top w:val="single" w:sz="4" w:space="0" w:color="auto"/>
              <w:left w:val="nil"/>
              <w:bottom w:val="single" w:sz="4" w:space="0" w:color="auto"/>
              <w:right w:val="single" w:sz="4" w:space="0" w:color="auto"/>
            </w:tcBorders>
            <w:vAlign w:val="center"/>
            <w:hideMark/>
          </w:tcPr>
          <w:p w14:paraId="7F8A258E" w14:textId="77777777" w:rsidR="00730BD2" w:rsidRPr="006435D7" w:rsidRDefault="00730BD2" w:rsidP="00730BD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Direction of Causality</w:t>
            </w:r>
          </w:p>
        </w:tc>
        <w:tc>
          <w:tcPr>
            <w:tcW w:w="2700" w:type="dxa"/>
            <w:tcBorders>
              <w:top w:val="single" w:sz="4" w:space="0" w:color="auto"/>
              <w:left w:val="nil"/>
              <w:bottom w:val="single" w:sz="4" w:space="0" w:color="auto"/>
              <w:right w:val="single" w:sz="4" w:space="0" w:color="auto"/>
            </w:tcBorders>
            <w:vAlign w:val="center"/>
            <w:hideMark/>
          </w:tcPr>
          <w:p w14:paraId="71CFABF9" w14:textId="77777777" w:rsidR="00730BD2" w:rsidRPr="006435D7" w:rsidRDefault="00730BD2" w:rsidP="00730BD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Interpretation</w:t>
            </w:r>
          </w:p>
        </w:tc>
      </w:tr>
      <w:tr w:rsidR="00730BD2" w:rsidRPr="006435D7" w14:paraId="2ED9AC31" w14:textId="77777777" w:rsidTr="00C066CC">
        <w:trPr>
          <w:trHeight w:val="233"/>
        </w:trPr>
        <w:tc>
          <w:tcPr>
            <w:tcW w:w="1815" w:type="dxa"/>
            <w:tcBorders>
              <w:top w:val="nil"/>
              <w:left w:val="single" w:sz="4" w:space="0" w:color="auto"/>
              <w:bottom w:val="single" w:sz="4" w:space="0" w:color="auto"/>
              <w:right w:val="single" w:sz="4" w:space="0" w:color="auto"/>
            </w:tcBorders>
            <w:vAlign w:val="bottom"/>
            <w:hideMark/>
          </w:tcPr>
          <w:p w14:paraId="35070A3F"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consumption does not Granger-cause GDP</w:t>
            </w:r>
          </w:p>
        </w:tc>
        <w:tc>
          <w:tcPr>
            <w:tcW w:w="990" w:type="dxa"/>
            <w:tcBorders>
              <w:top w:val="nil"/>
              <w:left w:val="nil"/>
              <w:bottom w:val="single" w:sz="4" w:space="0" w:color="auto"/>
              <w:right w:val="single" w:sz="4" w:space="0" w:color="auto"/>
            </w:tcBorders>
            <w:vAlign w:val="bottom"/>
            <w:hideMark/>
          </w:tcPr>
          <w:p w14:paraId="6A20F4BE"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4.682</w:t>
            </w:r>
          </w:p>
        </w:tc>
        <w:tc>
          <w:tcPr>
            <w:tcW w:w="810" w:type="dxa"/>
            <w:tcBorders>
              <w:top w:val="nil"/>
              <w:left w:val="nil"/>
              <w:bottom w:val="single" w:sz="4" w:space="0" w:color="auto"/>
              <w:right w:val="single" w:sz="4" w:space="0" w:color="auto"/>
            </w:tcBorders>
            <w:vAlign w:val="bottom"/>
            <w:hideMark/>
          </w:tcPr>
          <w:p w14:paraId="0D59FF68"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0.015</w:t>
            </w:r>
          </w:p>
        </w:tc>
        <w:tc>
          <w:tcPr>
            <w:tcW w:w="2160" w:type="dxa"/>
            <w:tcBorders>
              <w:top w:val="nil"/>
              <w:left w:val="nil"/>
              <w:bottom w:val="single" w:sz="4" w:space="0" w:color="auto"/>
              <w:right w:val="single" w:sz="4" w:space="0" w:color="auto"/>
            </w:tcBorders>
            <w:vAlign w:val="bottom"/>
            <w:hideMark/>
          </w:tcPr>
          <w:p w14:paraId="50A7FF37"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Reject H</w:t>
            </w:r>
            <w:r w:rsidRPr="006435D7">
              <w:rPr>
                <w:rFonts w:ascii="Times New Roman" w:eastAsia="Times New Roman" w:hAnsi="Times New Roman" w:cs="Arial"/>
                <w:color w:val="000000"/>
                <w:sz w:val="20"/>
                <w:szCs w:val="20"/>
              </w:rPr>
              <w:t>₀</w:t>
            </w:r>
          </w:p>
        </w:tc>
        <w:tc>
          <w:tcPr>
            <w:tcW w:w="1350" w:type="dxa"/>
            <w:tcBorders>
              <w:top w:val="nil"/>
              <w:left w:val="nil"/>
              <w:bottom w:val="single" w:sz="4" w:space="0" w:color="auto"/>
              <w:right w:val="single" w:sz="4" w:space="0" w:color="auto"/>
            </w:tcBorders>
            <w:vAlign w:val="bottom"/>
            <w:hideMark/>
          </w:tcPr>
          <w:p w14:paraId="57F6B0EE"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 GDP</w:t>
            </w:r>
          </w:p>
        </w:tc>
        <w:tc>
          <w:tcPr>
            <w:tcW w:w="2700" w:type="dxa"/>
            <w:tcBorders>
              <w:top w:val="nil"/>
              <w:left w:val="nil"/>
              <w:bottom w:val="single" w:sz="4" w:space="0" w:color="auto"/>
              <w:right w:val="single" w:sz="4" w:space="0" w:color="auto"/>
            </w:tcBorders>
            <w:vAlign w:val="bottom"/>
            <w:hideMark/>
          </w:tcPr>
          <w:p w14:paraId="2DEE6D09"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consumption significantly affects economic growth.</w:t>
            </w:r>
          </w:p>
        </w:tc>
      </w:tr>
      <w:tr w:rsidR="00730BD2" w:rsidRPr="006435D7" w14:paraId="6CE279C2" w14:textId="77777777" w:rsidTr="00C066CC">
        <w:trPr>
          <w:trHeight w:val="467"/>
        </w:trPr>
        <w:tc>
          <w:tcPr>
            <w:tcW w:w="1815" w:type="dxa"/>
            <w:tcBorders>
              <w:top w:val="nil"/>
              <w:left w:val="single" w:sz="4" w:space="0" w:color="auto"/>
              <w:bottom w:val="single" w:sz="4" w:space="0" w:color="auto"/>
              <w:right w:val="single" w:sz="4" w:space="0" w:color="auto"/>
            </w:tcBorders>
            <w:vAlign w:val="bottom"/>
            <w:hideMark/>
          </w:tcPr>
          <w:p w14:paraId="6FAF96EF"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GDP does not Granger-cause coal consumption</w:t>
            </w:r>
          </w:p>
        </w:tc>
        <w:tc>
          <w:tcPr>
            <w:tcW w:w="990" w:type="dxa"/>
            <w:tcBorders>
              <w:top w:val="nil"/>
              <w:left w:val="nil"/>
              <w:bottom w:val="single" w:sz="4" w:space="0" w:color="auto"/>
              <w:right w:val="single" w:sz="4" w:space="0" w:color="auto"/>
            </w:tcBorders>
            <w:vAlign w:val="bottom"/>
            <w:hideMark/>
          </w:tcPr>
          <w:p w14:paraId="3E3E4570"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5.214</w:t>
            </w:r>
          </w:p>
        </w:tc>
        <w:tc>
          <w:tcPr>
            <w:tcW w:w="810" w:type="dxa"/>
            <w:tcBorders>
              <w:top w:val="nil"/>
              <w:left w:val="nil"/>
              <w:bottom w:val="single" w:sz="4" w:space="0" w:color="auto"/>
              <w:right w:val="single" w:sz="4" w:space="0" w:color="auto"/>
            </w:tcBorders>
            <w:vAlign w:val="bottom"/>
            <w:hideMark/>
          </w:tcPr>
          <w:p w14:paraId="75FAA1D7"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0.01</w:t>
            </w:r>
          </w:p>
        </w:tc>
        <w:tc>
          <w:tcPr>
            <w:tcW w:w="2160" w:type="dxa"/>
            <w:tcBorders>
              <w:top w:val="nil"/>
              <w:left w:val="nil"/>
              <w:bottom w:val="single" w:sz="4" w:space="0" w:color="auto"/>
              <w:right w:val="single" w:sz="4" w:space="0" w:color="auto"/>
            </w:tcBorders>
            <w:vAlign w:val="bottom"/>
            <w:hideMark/>
          </w:tcPr>
          <w:p w14:paraId="2B1FB23D"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Reject H</w:t>
            </w:r>
            <w:r w:rsidRPr="006435D7">
              <w:rPr>
                <w:rFonts w:ascii="Times New Roman" w:eastAsia="Times New Roman" w:hAnsi="Times New Roman" w:cs="Arial"/>
                <w:color w:val="000000"/>
                <w:sz w:val="20"/>
                <w:szCs w:val="20"/>
              </w:rPr>
              <w:t>₀</w:t>
            </w:r>
          </w:p>
        </w:tc>
        <w:tc>
          <w:tcPr>
            <w:tcW w:w="1350" w:type="dxa"/>
            <w:tcBorders>
              <w:top w:val="nil"/>
              <w:left w:val="nil"/>
              <w:bottom w:val="single" w:sz="4" w:space="0" w:color="auto"/>
              <w:right w:val="single" w:sz="4" w:space="0" w:color="auto"/>
            </w:tcBorders>
            <w:vAlign w:val="bottom"/>
            <w:hideMark/>
          </w:tcPr>
          <w:p w14:paraId="7A058ED2"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GDP → COAL</w:t>
            </w:r>
          </w:p>
        </w:tc>
        <w:tc>
          <w:tcPr>
            <w:tcW w:w="2700" w:type="dxa"/>
            <w:tcBorders>
              <w:top w:val="nil"/>
              <w:left w:val="nil"/>
              <w:bottom w:val="single" w:sz="4" w:space="0" w:color="auto"/>
              <w:right w:val="single" w:sz="4" w:space="0" w:color="auto"/>
            </w:tcBorders>
            <w:vAlign w:val="bottom"/>
            <w:hideMark/>
          </w:tcPr>
          <w:p w14:paraId="42450520"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Economic growth significantly increases coal demand.</w:t>
            </w:r>
          </w:p>
        </w:tc>
      </w:tr>
      <w:tr w:rsidR="00730BD2" w:rsidRPr="006435D7" w14:paraId="6D10DC98" w14:textId="77777777" w:rsidTr="00C066CC">
        <w:trPr>
          <w:trHeight w:val="64"/>
        </w:trPr>
        <w:tc>
          <w:tcPr>
            <w:tcW w:w="1815" w:type="dxa"/>
            <w:tcBorders>
              <w:top w:val="nil"/>
              <w:left w:val="single" w:sz="4" w:space="0" w:color="auto"/>
              <w:bottom w:val="single" w:sz="4" w:space="0" w:color="auto"/>
              <w:right w:val="single" w:sz="4" w:space="0" w:color="auto"/>
            </w:tcBorders>
            <w:vAlign w:val="bottom"/>
            <w:hideMark/>
          </w:tcPr>
          <w:p w14:paraId="4765FF36"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t>
            </w:r>
          </w:p>
        </w:tc>
        <w:tc>
          <w:tcPr>
            <w:tcW w:w="990" w:type="dxa"/>
            <w:tcBorders>
              <w:top w:val="nil"/>
              <w:left w:val="nil"/>
              <w:bottom w:val="single" w:sz="4" w:space="0" w:color="auto"/>
              <w:right w:val="single" w:sz="4" w:space="0" w:color="auto"/>
            </w:tcBorders>
            <w:vAlign w:val="bottom"/>
            <w:hideMark/>
          </w:tcPr>
          <w:p w14:paraId="2EFC9EA6"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t>
            </w:r>
          </w:p>
        </w:tc>
        <w:tc>
          <w:tcPr>
            <w:tcW w:w="810" w:type="dxa"/>
            <w:tcBorders>
              <w:top w:val="nil"/>
              <w:left w:val="nil"/>
              <w:bottom w:val="single" w:sz="4" w:space="0" w:color="auto"/>
              <w:right w:val="single" w:sz="4" w:space="0" w:color="auto"/>
            </w:tcBorders>
            <w:vAlign w:val="bottom"/>
            <w:hideMark/>
          </w:tcPr>
          <w:p w14:paraId="2C5F0C97"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t>
            </w:r>
          </w:p>
        </w:tc>
        <w:tc>
          <w:tcPr>
            <w:tcW w:w="2160" w:type="dxa"/>
            <w:tcBorders>
              <w:top w:val="nil"/>
              <w:left w:val="nil"/>
              <w:bottom w:val="single" w:sz="4" w:space="0" w:color="auto"/>
              <w:right w:val="single" w:sz="4" w:space="0" w:color="auto"/>
            </w:tcBorders>
            <w:vAlign w:val="bottom"/>
            <w:hideMark/>
          </w:tcPr>
          <w:p w14:paraId="5572BEDE"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t>
            </w:r>
          </w:p>
        </w:tc>
        <w:tc>
          <w:tcPr>
            <w:tcW w:w="1350" w:type="dxa"/>
            <w:tcBorders>
              <w:top w:val="nil"/>
              <w:left w:val="nil"/>
              <w:bottom w:val="single" w:sz="4" w:space="0" w:color="auto"/>
              <w:right w:val="single" w:sz="4" w:space="0" w:color="auto"/>
            </w:tcBorders>
            <w:vAlign w:val="bottom"/>
            <w:hideMark/>
          </w:tcPr>
          <w:p w14:paraId="2E112577" w14:textId="77777777" w:rsidR="00730BD2" w:rsidRPr="006435D7" w:rsidRDefault="00730BD2" w:rsidP="00E14106">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Bidirectional Causality</w:t>
            </w:r>
          </w:p>
        </w:tc>
        <w:tc>
          <w:tcPr>
            <w:tcW w:w="2700" w:type="dxa"/>
            <w:tcBorders>
              <w:top w:val="nil"/>
              <w:left w:val="nil"/>
              <w:bottom w:val="single" w:sz="4" w:space="0" w:color="auto"/>
              <w:right w:val="single" w:sz="4" w:space="0" w:color="auto"/>
            </w:tcBorders>
            <w:vAlign w:val="bottom"/>
            <w:hideMark/>
          </w:tcPr>
          <w:p w14:paraId="62D6FF66"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Both variables influence each other over time.</w:t>
            </w:r>
          </w:p>
        </w:tc>
      </w:tr>
    </w:tbl>
    <w:p w14:paraId="3AEBACAE" w14:textId="77777777" w:rsidR="00D72CF5" w:rsidRPr="006435D7" w:rsidRDefault="00FA0D70" w:rsidP="00E14106">
      <w:pPr>
        <w:tabs>
          <w:tab w:val="left" w:pos="930"/>
        </w:tabs>
        <w:spacing w:after="0" w:line="480" w:lineRule="auto"/>
        <w:jc w:val="both"/>
        <w:rPr>
          <w:rFonts w:ascii="Arial" w:hAnsi="Arial" w:cs="Arial"/>
          <w:b/>
          <w:sz w:val="20"/>
          <w:szCs w:val="20"/>
        </w:rPr>
      </w:pPr>
      <w:r w:rsidRPr="00E14106">
        <w:rPr>
          <w:rFonts w:ascii="Arial" w:hAnsi="Arial" w:cs="Arial"/>
          <w:b/>
        </w:rPr>
        <w:t>Source:</w:t>
      </w:r>
      <w:r w:rsidR="00D72CF5" w:rsidRPr="006435D7">
        <w:rPr>
          <w:rFonts w:ascii="Arial" w:hAnsi="Arial" w:cs="Arial"/>
          <w:b/>
          <w:sz w:val="20"/>
          <w:szCs w:val="20"/>
        </w:rPr>
        <w:t xml:space="preserve"> </w:t>
      </w:r>
      <w:r w:rsidR="00D72CF5" w:rsidRPr="006435D7">
        <w:rPr>
          <w:rFonts w:ascii="Arial" w:hAnsi="Arial" w:cs="Arial"/>
          <w:sz w:val="20"/>
          <w:szCs w:val="20"/>
        </w:rPr>
        <w:t>Author’s estimation using Granger causality analysis (EViews 12), with data from World Bank and Ministry of Coal (1980–2025).</w:t>
      </w:r>
    </w:p>
    <w:p w14:paraId="7E4C539E" w14:textId="29D69AAC" w:rsidR="00B61608" w:rsidRPr="006435D7" w:rsidRDefault="008C0AF1" w:rsidP="00E14106">
      <w:pPr>
        <w:tabs>
          <w:tab w:val="left" w:pos="930"/>
        </w:tabs>
        <w:spacing w:after="0" w:line="480" w:lineRule="auto"/>
        <w:jc w:val="both"/>
        <w:rPr>
          <w:rFonts w:ascii="Arial" w:hAnsi="Arial" w:cs="Arial"/>
          <w:sz w:val="20"/>
          <w:szCs w:val="20"/>
        </w:rPr>
      </w:pPr>
      <w:r w:rsidRPr="006435D7">
        <w:rPr>
          <w:rFonts w:ascii="Arial" w:hAnsi="Arial" w:cs="Arial"/>
          <w:sz w:val="20"/>
          <w:szCs w:val="20"/>
        </w:rPr>
        <w:tab/>
      </w:r>
      <w:r w:rsidR="00D72CF5" w:rsidRPr="006435D7">
        <w:rPr>
          <w:rFonts w:ascii="Arial" w:hAnsi="Arial" w:cs="Arial"/>
          <w:sz w:val="20"/>
          <w:szCs w:val="20"/>
        </w:rPr>
        <w:t>Table 7 reports Granger causality test results that explore causal direction between coal consumption and economic growth. Both F-statistics—COAL → GDP (4.682, p = 0.015) and GDP → COAL (5.214, p = 0.010)—are significant at the 5% level, leading to rejection of both null hypotheses. This demonstrates bidirectional causality, implying that coal consumption stimulates economic growth and, in turn, growth increases coal demand. The findings validate the feedback hypothesis, showing mutual reinforcement between energy and economic activity. Such results highlight that India’s GDP expansion is deeply reliant on coal energy, while rapid growth fuels higher energy needs. The bidirectional link underscores the necessity for balanced energy and economic policies to ensure long-term sustainability.</w:t>
      </w:r>
    </w:p>
    <w:p w14:paraId="5130CE62" w14:textId="17B03042" w:rsidR="00D72CF5" w:rsidRPr="006435D7" w:rsidRDefault="00CE2B18" w:rsidP="00FA0D70">
      <w:pPr>
        <w:tabs>
          <w:tab w:val="left" w:pos="930"/>
        </w:tabs>
        <w:spacing w:after="0" w:line="360" w:lineRule="auto"/>
        <w:jc w:val="both"/>
        <w:rPr>
          <w:rFonts w:ascii="Arial" w:hAnsi="Arial" w:cs="Arial"/>
          <w:b/>
          <w:sz w:val="20"/>
          <w:szCs w:val="20"/>
        </w:rPr>
      </w:pPr>
      <w:r w:rsidRPr="006435D7">
        <w:rPr>
          <w:rFonts w:ascii="Arial" w:hAnsi="Arial" w:cs="Arial"/>
          <w:b/>
          <w:noProof/>
          <w:sz w:val="20"/>
          <w:szCs w:val="20"/>
        </w:rPr>
        <w:lastRenderedPageBreak/>
        <w:drawing>
          <wp:anchor distT="0" distB="0" distL="114300" distR="114300" simplePos="0" relativeHeight="251663360" behindDoc="0" locked="0" layoutInCell="1" allowOverlap="1" wp14:anchorId="158F01FF" wp14:editId="2A4C4CCF">
            <wp:simplePos x="0" y="0"/>
            <wp:positionH relativeFrom="column">
              <wp:posOffset>19050</wp:posOffset>
            </wp:positionH>
            <wp:positionV relativeFrom="paragraph">
              <wp:posOffset>361950</wp:posOffset>
            </wp:positionV>
            <wp:extent cx="5939155" cy="3362960"/>
            <wp:effectExtent l="19050" t="0" r="4445" b="0"/>
            <wp:wrapSquare wrapText="bothSides"/>
            <wp:docPr id="54" name="Picture 54" descr="C:\Users\USER\Downloads\Figure_3.4_Scatter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wnloads\Figure_3.4_Scatter_Plot.png"/>
                    <pic:cNvPicPr>
                      <a:picLocks noChangeAspect="1" noChangeArrowheads="1"/>
                    </pic:cNvPicPr>
                  </pic:nvPicPr>
                  <pic:blipFill>
                    <a:blip r:embed="rId11"/>
                    <a:srcRect t="6729"/>
                    <a:stretch>
                      <a:fillRect/>
                    </a:stretch>
                  </pic:blipFill>
                  <pic:spPr bwMode="auto">
                    <a:xfrm>
                      <a:off x="0" y="0"/>
                      <a:ext cx="5939155" cy="3362960"/>
                    </a:xfrm>
                    <a:prstGeom prst="rect">
                      <a:avLst/>
                    </a:prstGeom>
                    <a:noFill/>
                    <a:ln w="9525">
                      <a:noFill/>
                      <a:miter lim="800000"/>
                      <a:headEnd/>
                      <a:tailEnd/>
                    </a:ln>
                  </pic:spPr>
                </pic:pic>
              </a:graphicData>
            </a:graphic>
          </wp:anchor>
        </w:drawing>
      </w:r>
      <w:r w:rsidR="00B61608" w:rsidRPr="006435D7">
        <w:rPr>
          <w:rFonts w:ascii="Arial" w:hAnsi="Arial" w:cs="Arial"/>
          <w:b/>
          <w:sz w:val="20"/>
          <w:szCs w:val="20"/>
        </w:rPr>
        <w:t>Figure 4: Scatter (</w:t>
      </w:r>
      <w:r w:rsidR="000D3474">
        <w:rPr>
          <w:rFonts w:ascii="Arial" w:hAnsi="Arial" w:cs="Arial"/>
          <w:b/>
          <w:sz w:val="20"/>
          <w:szCs w:val="20"/>
        </w:rPr>
        <w:t>Dotted) Diagram – Relationship b</w:t>
      </w:r>
      <w:r w:rsidR="00B61608" w:rsidRPr="006435D7">
        <w:rPr>
          <w:rFonts w:ascii="Arial" w:hAnsi="Arial" w:cs="Arial"/>
          <w:b/>
          <w:sz w:val="20"/>
          <w:szCs w:val="20"/>
        </w:rPr>
        <w:t>etween Coal Consumption and GDP.</w:t>
      </w:r>
      <w:r w:rsidR="00D72CF5" w:rsidRPr="006435D7">
        <w:rPr>
          <w:rFonts w:ascii="Arial" w:hAnsi="Arial" w:cs="Arial"/>
          <w:b/>
          <w:sz w:val="20"/>
          <w:szCs w:val="20"/>
        </w:rPr>
        <w:br/>
      </w:r>
    </w:p>
    <w:p w14:paraId="586A545A" w14:textId="605AAB1F" w:rsidR="00FA0D70" w:rsidRPr="00E14106" w:rsidRDefault="008E400C" w:rsidP="00173F03">
      <w:pPr>
        <w:tabs>
          <w:tab w:val="left" w:pos="930"/>
        </w:tabs>
        <w:spacing w:after="0" w:line="240" w:lineRule="auto"/>
        <w:jc w:val="both"/>
        <w:rPr>
          <w:rFonts w:ascii="Arial" w:hAnsi="Arial" w:cs="Arial"/>
          <w:b/>
        </w:rPr>
      </w:pPr>
      <w:r w:rsidRPr="00E14106">
        <w:rPr>
          <w:rFonts w:ascii="Arial" w:hAnsi="Arial" w:cs="Arial"/>
          <w:b/>
        </w:rPr>
        <w:t xml:space="preserve">Table 8: </w:t>
      </w:r>
      <w:r w:rsidR="0075007D" w:rsidRPr="00E14106">
        <w:rPr>
          <w:rFonts w:ascii="Arial" w:hAnsi="Arial" w:cs="Arial"/>
          <w:b/>
        </w:rPr>
        <w:t>Ordinary Least Squares (OLS) Regression Results Showing the Relationship Between Coal Consumption and Economic Growth.</w:t>
      </w:r>
    </w:p>
    <w:tbl>
      <w:tblPr>
        <w:tblW w:w="9825" w:type="dxa"/>
        <w:tblInd w:w="93" w:type="dxa"/>
        <w:tblLook w:val="04A0" w:firstRow="1" w:lastRow="0" w:firstColumn="1" w:lastColumn="0" w:noHBand="0" w:noVBand="1"/>
      </w:tblPr>
      <w:tblGrid>
        <w:gridCol w:w="1576"/>
        <w:gridCol w:w="1336"/>
        <w:gridCol w:w="1513"/>
        <w:gridCol w:w="1350"/>
        <w:gridCol w:w="1260"/>
        <w:gridCol w:w="2790"/>
      </w:tblGrid>
      <w:tr w:rsidR="00FA0D70" w:rsidRPr="006435D7" w14:paraId="525E6682" w14:textId="77777777" w:rsidTr="00173F03">
        <w:trPr>
          <w:trHeight w:val="64"/>
        </w:trPr>
        <w:tc>
          <w:tcPr>
            <w:tcW w:w="1576" w:type="dxa"/>
            <w:tcBorders>
              <w:top w:val="single" w:sz="4" w:space="0" w:color="auto"/>
              <w:left w:val="single" w:sz="4" w:space="0" w:color="auto"/>
              <w:bottom w:val="single" w:sz="4" w:space="0" w:color="auto"/>
              <w:right w:val="single" w:sz="4" w:space="0" w:color="auto"/>
            </w:tcBorders>
            <w:vAlign w:val="center"/>
            <w:hideMark/>
          </w:tcPr>
          <w:p w14:paraId="0232D6DE" w14:textId="77777777" w:rsidR="00FA0D70" w:rsidRPr="006435D7" w:rsidRDefault="00FA0D70" w:rsidP="00173F03">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Variable</w:t>
            </w:r>
          </w:p>
        </w:tc>
        <w:tc>
          <w:tcPr>
            <w:tcW w:w="1336" w:type="dxa"/>
            <w:tcBorders>
              <w:top w:val="single" w:sz="4" w:space="0" w:color="auto"/>
              <w:left w:val="nil"/>
              <w:bottom w:val="single" w:sz="4" w:space="0" w:color="auto"/>
              <w:right w:val="single" w:sz="4" w:space="0" w:color="auto"/>
            </w:tcBorders>
            <w:vAlign w:val="center"/>
            <w:hideMark/>
          </w:tcPr>
          <w:p w14:paraId="7369B1C7" w14:textId="77777777" w:rsidR="00FA0D70" w:rsidRPr="006435D7" w:rsidRDefault="00FA0D70" w:rsidP="00173F03">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Coefficient</w:t>
            </w:r>
          </w:p>
        </w:tc>
        <w:tc>
          <w:tcPr>
            <w:tcW w:w="1513" w:type="dxa"/>
            <w:tcBorders>
              <w:top w:val="single" w:sz="4" w:space="0" w:color="auto"/>
              <w:left w:val="nil"/>
              <w:bottom w:val="single" w:sz="4" w:space="0" w:color="auto"/>
              <w:right w:val="single" w:sz="4" w:space="0" w:color="auto"/>
            </w:tcBorders>
            <w:vAlign w:val="center"/>
            <w:hideMark/>
          </w:tcPr>
          <w:p w14:paraId="38D602CD" w14:textId="77777777" w:rsidR="00FA0D70" w:rsidRPr="006435D7" w:rsidRDefault="00FA0D70" w:rsidP="00173F03">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Std. Error</w:t>
            </w:r>
          </w:p>
        </w:tc>
        <w:tc>
          <w:tcPr>
            <w:tcW w:w="1350" w:type="dxa"/>
            <w:tcBorders>
              <w:top w:val="single" w:sz="4" w:space="0" w:color="auto"/>
              <w:left w:val="nil"/>
              <w:bottom w:val="single" w:sz="4" w:space="0" w:color="auto"/>
              <w:right w:val="single" w:sz="4" w:space="0" w:color="auto"/>
            </w:tcBorders>
            <w:vAlign w:val="center"/>
            <w:hideMark/>
          </w:tcPr>
          <w:p w14:paraId="0536456C" w14:textId="77777777" w:rsidR="00FA0D70" w:rsidRPr="006435D7" w:rsidRDefault="00FA0D70" w:rsidP="00173F03">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t-Statistic</w:t>
            </w:r>
          </w:p>
        </w:tc>
        <w:tc>
          <w:tcPr>
            <w:tcW w:w="1260" w:type="dxa"/>
            <w:tcBorders>
              <w:top w:val="single" w:sz="4" w:space="0" w:color="auto"/>
              <w:left w:val="nil"/>
              <w:bottom w:val="single" w:sz="4" w:space="0" w:color="auto"/>
              <w:right w:val="single" w:sz="4" w:space="0" w:color="auto"/>
            </w:tcBorders>
            <w:vAlign w:val="center"/>
            <w:hideMark/>
          </w:tcPr>
          <w:p w14:paraId="0E11F6A3" w14:textId="77777777" w:rsidR="00FA0D70" w:rsidRPr="006435D7" w:rsidRDefault="00FA0D70" w:rsidP="00173F03">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p-Value</w:t>
            </w:r>
          </w:p>
        </w:tc>
        <w:tc>
          <w:tcPr>
            <w:tcW w:w="2790" w:type="dxa"/>
            <w:tcBorders>
              <w:top w:val="single" w:sz="4" w:space="0" w:color="auto"/>
              <w:left w:val="nil"/>
              <w:bottom w:val="single" w:sz="4" w:space="0" w:color="auto"/>
              <w:right w:val="single" w:sz="4" w:space="0" w:color="auto"/>
            </w:tcBorders>
            <w:vAlign w:val="center"/>
            <w:hideMark/>
          </w:tcPr>
          <w:p w14:paraId="622F79BE" w14:textId="77777777" w:rsidR="00FA0D70" w:rsidRPr="006435D7" w:rsidRDefault="00FA0D70" w:rsidP="00173F03">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Interpretation</w:t>
            </w:r>
          </w:p>
        </w:tc>
      </w:tr>
      <w:tr w:rsidR="00FA0D70" w:rsidRPr="006435D7" w14:paraId="73648B3B" w14:textId="77777777" w:rsidTr="00173F03">
        <w:trPr>
          <w:trHeight w:val="64"/>
        </w:trPr>
        <w:tc>
          <w:tcPr>
            <w:tcW w:w="1576" w:type="dxa"/>
            <w:tcBorders>
              <w:top w:val="nil"/>
              <w:left w:val="single" w:sz="4" w:space="0" w:color="auto"/>
              <w:bottom w:val="single" w:sz="4" w:space="0" w:color="auto"/>
              <w:right w:val="single" w:sz="4" w:space="0" w:color="auto"/>
            </w:tcBorders>
            <w:vAlign w:val="bottom"/>
            <w:hideMark/>
          </w:tcPr>
          <w:p w14:paraId="0A8F6611"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Constant</w:t>
            </w:r>
          </w:p>
        </w:tc>
        <w:tc>
          <w:tcPr>
            <w:tcW w:w="1336" w:type="dxa"/>
            <w:tcBorders>
              <w:top w:val="nil"/>
              <w:left w:val="nil"/>
              <w:bottom w:val="single" w:sz="4" w:space="0" w:color="auto"/>
              <w:right w:val="single" w:sz="4" w:space="0" w:color="auto"/>
            </w:tcBorders>
            <w:vAlign w:val="bottom"/>
            <w:hideMark/>
          </w:tcPr>
          <w:p w14:paraId="3A4B4FAD"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2.146</w:t>
            </w:r>
          </w:p>
        </w:tc>
        <w:tc>
          <w:tcPr>
            <w:tcW w:w="1513" w:type="dxa"/>
            <w:tcBorders>
              <w:top w:val="nil"/>
              <w:left w:val="nil"/>
              <w:bottom w:val="single" w:sz="4" w:space="0" w:color="auto"/>
              <w:right w:val="single" w:sz="4" w:space="0" w:color="auto"/>
            </w:tcBorders>
            <w:vAlign w:val="bottom"/>
            <w:hideMark/>
          </w:tcPr>
          <w:p w14:paraId="763C6DD8"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0.512</w:t>
            </w:r>
          </w:p>
        </w:tc>
        <w:tc>
          <w:tcPr>
            <w:tcW w:w="1350" w:type="dxa"/>
            <w:tcBorders>
              <w:top w:val="nil"/>
              <w:left w:val="nil"/>
              <w:bottom w:val="single" w:sz="4" w:space="0" w:color="auto"/>
              <w:right w:val="single" w:sz="4" w:space="0" w:color="auto"/>
            </w:tcBorders>
            <w:vAlign w:val="bottom"/>
            <w:hideMark/>
          </w:tcPr>
          <w:p w14:paraId="074EFB0C"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4.191</w:t>
            </w:r>
          </w:p>
        </w:tc>
        <w:tc>
          <w:tcPr>
            <w:tcW w:w="1260" w:type="dxa"/>
            <w:tcBorders>
              <w:top w:val="nil"/>
              <w:left w:val="nil"/>
              <w:bottom w:val="single" w:sz="4" w:space="0" w:color="auto"/>
              <w:right w:val="single" w:sz="4" w:space="0" w:color="auto"/>
            </w:tcBorders>
            <w:vAlign w:val="bottom"/>
            <w:hideMark/>
          </w:tcPr>
          <w:p w14:paraId="7C01AD55"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w:t>
            </w:r>
          </w:p>
        </w:tc>
        <w:tc>
          <w:tcPr>
            <w:tcW w:w="2790" w:type="dxa"/>
            <w:tcBorders>
              <w:top w:val="nil"/>
              <w:left w:val="nil"/>
              <w:bottom w:val="single" w:sz="4" w:space="0" w:color="auto"/>
              <w:right w:val="single" w:sz="4" w:space="0" w:color="auto"/>
            </w:tcBorders>
            <w:vAlign w:val="bottom"/>
            <w:hideMark/>
          </w:tcPr>
          <w:p w14:paraId="67639C00"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Intercept</w:t>
            </w:r>
          </w:p>
        </w:tc>
      </w:tr>
      <w:tr w:rsidR="00FA0D70" w:rsidRPr="006435D7" w14:paraId="415F5478" w14:textId="77777777" w:rsidTr="00173F03">
        <w:trPr>
          <w:trHeight w:val="64"/>
        </w:trPr>
        <w:tc>
          <w:tcPr>
            <w:tcW w:w="1576" w:type="dxa"/>
            <w:tcBorders>
              <w:top w:val="nil"/>
              <w:left w:val="single" w:sz="4" w:space="0" w:color="auto"/>
              <w:bottom w:val="single" w:sz="4" w:space="0" w:color="auto"/>
              <w:right w:val="single" w:sz="4" w:space="0" w:color="auto"/>
            </w:tcBorders>
            <w:vAlign w:val="bottom"/>
            <w:hideMark/>
          </w:tcPr>
          <w:p w14:paraId="733E5177" w14:textId="77777777" w:rsidR="00FA0D70" w:rsidRPr="006435D7" w:rsidRDefault="00FA0D70" w:rsidP="00173F03">
            <w:pPr>
              <w:spacing w:after="0" w:line="240" w:lineRule="auto"/>
              <w:jc w:val="center"/>
              <w:rPr>
                <w:rFonts w:ascii="Arial" w:eastAsia="Times New Roman" w:hAnsi="Arial" w:cs="Arial"/>
                <w:color w:val="000000"/>
                <w:sz w:val="20"/>
                <w:szCs w:val="20"/>
              </w:rPr>
            </w:pPr>
            <w:proofErr w:type="gramStart"/>
            <w:r w:rsidRPr="006435D7">
              <w:rPr>
                <w:rFonts w:ascii="Arial" w:eastAsia="Times New Roman" w:hAnsi="Arial" w:cs="Arial"/>
                <w:color w:val="000000"/>
                <w:sz w:val="20"/>
                <w:szCs w:val="20"/>
              </w:rPr>
              <w:t>ln(</w:t>
            </w:r>
            <w:proofErr w:type="gramEnd"/>
            <w:r w:rsidRPr="006435D7">
              <w:rPr>
                <w:rFonts w:ascii="Arial" w:eastAsia="Times New Roman" w:hAnsi="Arial" w:cs="Arial"/>
                <w:color w:val="000000"/>
                <w:sz w:val="20"/>
                <w:szCs w:val="20"/>
              </w:rPr>
              <w:t>COAL)</w:t>
            </w:r>
          </w:p>
        </w:tc>
        <w:tc>
          <w:tcPr>
            <w:tcW w:w="1336" w:type="dxa"/>
            <w:tcBorders>
              <w:top w:val="nil"/>
              <w:left w:val="nil"/>
              <w:bottom w:val="single" w:sz="4" w:space="0" w:color="auto"/>
              <w:right w:val="single" w:sz="4" w:space="0" w:color="auto"/>
            </w:tcBorders>
            <w:vAlign w:val="bottom"/>
            <w:hideMark/>
          </w:tcPr>
          <w:p w14:paraId="38C825F6"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0.582</w:t>
            </w:r>
          </w:p>
        </w:tc>
        <w:tc>
          <w:tcPr>
            <w:tcW w:w="1513" w:type="dxa"/>
            <w:tcBorders>
              <w:top w:val="nil"/>
              <w:left w:val="nil"/>
              <w:bottom w:val="single" w:sz="4" w:space="0" w:color="auto"/>
              <w:right w:val="single" w:sz="4" w:space="0" w:color="auto"/>
            </w:tcBorders>
            <w:vAlign w:val="bottom"/>
            <w:hideMark/>
          </w:tcPr>
          <w:p w14:paraId="71651F36"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0.123</w:t>
            </w:r>
          </w:p>
        </w:tc>
        <w:tc>
          <w:tcPr>
            <w:tcW w:w="1350" w:type="dxa"/>
            <w:tcBorders>
              <w:top w:val="nil"/>
              <w:left w:val="nil"/>
              <w:bottom w:val="single" w:sz="4" w:space="0" w:color="auto"/>
              <w:right w:val="single" w:sz="4" w:space="0" w:color="auto"/>
            </w:tcBorders>
            <w:vAlign w:val="bottom"/>
            <w:hideMark/>
          </w:tcPr>
          <w:p w14:paraId="4F6B5A72"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4.731</w:t>
            </w:r>
          </w:p>
        </w:tc>
        <w:tc>
          <w:tcPr>
            <w:tcW w:w="1260" w:type="dxa"/>
            <w:tcBorders>
              <w:top w:val="nil"/>
              <w:left w:val="nil"/>
              <w:bottom w:val="single" w:sz="4" w:space="0" w:color="auto"/>
              <w:right w:val="single" w:sz="4" w:space="0" w:color="auto"/>
            </w:tcBorders>
            <w:vAlign w:val="bottom"/>
            <w:hideMark/>
          </w:tcPr>
          <w:p w14:paraId="64799CC1"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w:t>
            </w:r>
          </w:p>
        </w:tc>
        <w:tc>
          <w:tcPr>
            <w:tcW w:w="2790" w:type="dxa"/>
            <w:tcBorders>
              <w:top w:val="nil"/>
              <w:left w:val="nil"/>
              <w:bottom w:val="single" w:sz="4" w:space="0" w:color="auto"/>
              <w:right w:val="single" w:sz="4" w:space="0" w:color="auto"/>
            </w:tcBorders>
            <w:vAlign w:val="bottom"/>
            <w:hideMark/>
          </w:tcPr>
          <w:p w14:paraId="287F940C"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significantly boosts GDP</w:t>
            </w:r>
          </w:p>
        </w:tc>
      </w:tr>
      <w:tr w:rsidR="00FA0D70" w:rsidRPr="006435D7" w14:paraId="5DE3ABE9" w14:textId="77777777" w:rsidTr="00173F03">
        <w:trPr>
          <w:trHeight w:val="64"/>
        </w:trPr>
        <w:tc>
          <w:tcPr>
            <w:tcW w:w="1576" w:type="dxa"/>
            <w:tcBorders>
              <w:top w:val="nil"/>
              <w:left w:val="single" w:sz="4" w:space="0" w:color="auto"/>
              <w:bottom w:val="single" w:sz="4" w:space="0" w:color="auto"/>
              <w:right w:val="single" w:sz="4" w:space="0" w:color="auto"/>
            </w:tcBorders>
            <w:vAlign w:val="bottom"/>
            <w:hideMark/>
          </w:tcPr>
          <w:p w14:paraId="01385DB5" w14:textId="77777777" w:rsidR="00FA0D70" w:rsidRPr="006435D7" w:rsidRDefault="00FA0D70" w:rsidP="00173F03">
            <w:pPr>
              <w:spacing w:after="0" w:line="240" w:lineRule="auto"/>
              <w:jc w:val="center"/>
              <w:rPr>
                <w:rFonts w:ascii="Arial" w:eastAsia="Times New Roman" w:hAnsi="Arial" w:cs="Arial"/>
                <w:color w:val="000000"/>
                <w:sz w:val="20"/>
                <w:szCs w:val="20"/>
              </w:rPr>
            </w:pPr>
            <w:proofErr w:type="gramStart"/>
            <w:r w:rsidRPr="006435D7">
              <w:rPr>
                <w:rFonts w:ascii="Arial" w:eastAsia="Times New Roman" w:hAnsi="Arial" w:cs="Arial"/>
                <w:color w:val="000000"/>
                <w:sz w:val="20"/>
                <w:szCs w:val="20"/>
              </w:rPr>
              <w:t>ln(</w:t>
            </w:r>
            <w:proofErr w:type="gramEnd"/>
            <w:r w:rsidRPr="006435D7">
              <w:rPr>
                <w:rFonts w:ascii="Arial" w:eastAsia="Times New Roman" w:hAnsi="Arial" w:cs="Arial"/>
                <w:color w:val="000000"/>
                <w:sz w:val="20"/>
                <w:szCs w:val="20"/>
              </w:rPr>
              <w:t>CAPITAL)</w:t>
            </w:r>
          </w:p>
        </w:tc>
        <w:tc>
          <w:tcPr>
            <w:tcW w:w="1336" w:type="dxa"/>
            <w:tcBorders>
              <w:top w:val="nil"/>
              <w:left w:val="nil"/>
              <w:bottom w:val="single" w:sz="4" w:space="0" w:color="auto"/>
              <w:right w:val="single" w:sz="4" w:space="0" w:color="auto"/>
            </w:tcBorders>
            <w:vAlign w:val="bottom"/>
            <w:hideMark/>
          </w:tcPr>
          <w:p w14:paraId="6A6FA19F"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0.265</w:t>
            </w:r>
          </w:p>
        </w:tc>
        <w:tc>
          <w:tcPr>
            <w:tcW w:w="1513" w:type="dxa"/>
            <w:tcBorders>
              <w:top w:val="nil"/>
              <w:left w:val="nil"/>
              <w:bottom w:val="single" w:sz="4" w:space="0" w:color="auto"/>
              <w:right w:val="single" w:sz="4" w:space="0" w:color="auto"/>
            </w:tcBorders>
            <w:vAlign w:val="bottom"/>
            <w:hideMark/>
          </w:tcPr>
          <w:p w14:paraId="57984BCB"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0.095</w:t>
            </w:r>
          </w:p>
        </w:tc>
        <w:tc>
          <w:tcPr>
            <w:tcW w:w="1350" w:type="dxa"/>
            <w:tcBorders>
              <w:top w:val="nil"/>
              <w:left w:val="nil"/>
              <w:bottom w:val="single" w:sz="4" w:space="0" w:color="auto"/>
              <w:right w:val="single" w:sz="4" w:space="0" w:color="auto"/>
            </w:tcBorders>
            <w:vAlign w:val="bottom"/>
            <w:hideMark/>
          </w:tcPr>
          <w:p w14:paraId="08A099CB"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2.789</w:t>
            </w:r>
          </w:p>
        </w:tc>
        <w:tc>
          <w:tcPr>
            <w:tcW w:w="1260" w:type="dxa"/>
            <w:tcBorders>
              <w:top w:val="nil"/>
              <w:left w:val="nil"/>
              <w:bottom w:val="single" w:sz="4" w:space="0" w:color="auto"/>
              <w:right w:val="single" w:sz="4" w:space="0" w:color="auto"/>
            </w:tcBorders>
            <w:vAlign w:val="bottom"/>
            <w:hideMark/>
          </w:tcPr>
          <w:p w14:paraId="1438BB91"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0.008</w:t>
            </w:r>
          </w:p>
        </w:tc>
        <w:tc>
          <w:tcPr>
            <w:tcW w:w="2790" w:type="dxa"/>
            <w:tcBorders>
              <w:top w:val="nil"/>
              <w:left w:val="nil"/>
              <w:bottom w:val="single" w:sz="4" w:space="0" w:color="auto"/>
              <w:right w:val="single" w:sz="4" w:space="0" w:color="auto"/>
            </w:tcBorders>
            <w:vAlign w:val="bottom"/>
            <w:hideMark/>
          </w:tcPr>
          <w:p w14:paraId="5F8073B4"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Positive impact</w:t>
            </w:r>
          </w:p>
        </w:tc>
      </w:tr>
      <w:tr w:rsidR="00FA0D70" w:rsidRPr="006435D7" w14:paraId="04F7F1A1" w14:textId="77777777" w:rsidTr="00173F03">
        <w:trPr>
          <w:trHeight w:val="64"/>
        </w:trPr>
        <w:tc>
          <w:tcPr>
            <w:tcW w:w="1576" w:type="dxa"/>
            <w:tcBorders>
              <w:top w:val="nil"/>
              <w:left w:val="single" w:sz="4" w:space="0" w:color="auto"/>
              <w:bottom w:val="single" w:sz="4" w:space="0" w:color="auto"/>
              <w:right w:val="single" w:sz="4" w:space="0" w:color="auto"/>
            </w:tcBorders>
            <w:vAlign w:val="bottom"/>
            <w:hideMark/>
          </w:tcPr>
          <w:p w14:paraId="0246FC97" w14:textId="77777777" w:rsidR="00FA0D70" w:rsidRPr="006435D7" w:rsidRDefault="00FA0D70" w:rsidP="00173F03">
            <w:pPr>
              <w:spacing w:after="0" w:line="240" w:lineRule="auto"/>
              <w:jc w:val="center"/>
              <w:rPr>
                <w:rFonts w:ascii="Arial" w:eastAsia="Times New Roman" w:hAnsi="Arial" w:cs="Arial"/>
                <w:color w:val="000000"/>
                <w:sz w:val="20"/>
                <w:szCs w:val="20"/>
              </w:rPr>
            </w:pPr>
            <w:proofErr w:type="gramStart"/>
            <w:r w:rsidRPr="006435D7">
              <w:rPr>
                <w:rFonts w:ascii="Arial" w:eastAsia="Times New Roman" w:hAnsi="Arial" w:cs="Arial"/>
                <w:color w:val="000000"/>
                <w:sz w:val="20"/>
                <w:szCs w:val="20"/>
              </w:rPr>
              <w:t>ln(</w:t>
            </w:r>
            <w:proofErr w:type="gramEnd"/>
            <w:r w:rsidRPr="006435D7">
              <w:rPr>
                <w:rFonts w:ascii="Arial" w:eastAsia="Times New Roman" w:hAnsi="Arial" w:cs="Arial"/>
                <w:color w:val="000000"/>
                <w:sz w:val="20"/>
                <w:szCs w:val="20"/>
              </w:rPr>
              <w:t>LABOUR)</w:t>
            </w:r>
          </w:p>
        </w:tc>
        <w:tc>
          <w:tcPr>
            <w:tcW w:w="1336" w:type="dxa"/>
            <w:tcBorders>
              <w:top w:val="nil"/>
              <w:left w:val="nil"/>
              <w:bottom w:val="single" w:sz="4" w:space="0" w:color="auto"/>
              <w:right w:val="single" w:sz="4" w:space="0" w:color="auto"/>
            </w:tcBorders>
            <w:vAlign w:val="bottom"/>
            <w:hideMark/>
          </w:tcPr>
          <w:p w14:paraId="7854D264"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0.192</w:t>
            </w:r>
          </w:p>
        </w:tc>
        <w:tc>
          <w:tcPr>
            <w:tcW w:w="1513" w:type="dxa"/>
            <w:tcBorders>
              <w:top w:val="nil"/>
              <w:left w:val="nil"/>
              <w:bottom w:val="single" w:sz="4" w:space="0" w:color="auto"/>
              <w:right w:val="single" w:sz="4" w:space="0" w:color="auto"/>
            </w:tcBorders>
            <w:vAlign w:val="bottom"/>
            <w:hideMark/>
          </w:tcPr>
          <w:p w14:paraId="6918469B"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0.087</w:t>
            </w:r>
          </w:p>
        </w:tc>
        <w:tc>
          <w:tcPr>
            <w:tcW w:w="1350" w:type="dxa"/>
            <w:tcBorders>
              <w:top w:val="nil"/>
              <w:left w:val="nil"/>
              <w:bottom w:val="single" w:sz="4" w:space="0" w:color="auto"/>
              <w:right w:val="single" w:sz="4" w:space="0" w:color="auto"/>
            </w:tcBorders>
            <w:vAlign w:val="bottom"/>
            <w:hideMark/>
          </w:tcPr>
          <w:p w14:paraId="63599806"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2.207</w:t>
            </w:r>
          </w:p>
        </w:tc>
        <w:tc>
          <w:tcPr>
            <w:tcW w:w="1260" w:type="dxa"/>
            <w:tcBorders>
              <w:top w:val="nil"/>
              <w:left w:val="nil"/>
              <w:bottom w:val="single" w:sz="4" w:space="0" w:color="auto"/>
              <w:right w:val="single" w:sz="4" w:space="0" w:color="auto"/>
            </w:tcBorders>
            <w:vAlign w:val="bottom"/>
            <w:hideMark/>
          </w:tcPr>
          <w:p w14:paraId="7F2A17B6"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0.034</w:t>
            </w:r>
          </w:p>
        </w:tc>
        <w:tc>
          <w:tcPr>
            <w:tcW w:w="2790" w:type="dxa"/>
            <w:tcBorders>
              <w:top w:val="nil"/>
              <w:left w:val="nil"/>
              <w:bottom w:val="single" w:sz="4" w:space="0" w:color="auto"/>
              <w:right w:val="single" w:sz="4" w:space="0" w:color="auto"/>
            </w:tcBorders>
            <w:vAlign w:val="bottom"/>
            <w:hideMark/>
          </w:tcPr>
          <w:p w14:paraId="0CDC92C9"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Significant</w:t>
            </w:r>
          </w:p>
        </w:tc>
      </w:tr>
      <w:tr w:rsidR="00FA0D70" w:rsidRPr="006435D7" w14:paraId="0514F125" w14:textId="77777777" w:rsidTr="00173F03">
        <w:trPr>
          <w:trHeight w:val="64"/>
        </w:trPr>
        <w:tc>
          <w:tcPr>
            <w:tcW w:w="1576" w:type="dxa"/>
            <w:tcBorders>
              <w:top w:val="nil"/>
              <w:left w:val="single" w:sz="4" w:space="0" w:color="auto"/>
              <w:bottom w:val="single" w:sz="4" w:space="0" w:color="auto"/>
              <w:right w:val="single" w:sz="4" w:space="0" w:color="auto"/>
            </w:tcBorders>
            <w:vAlign w:val="bottom"/>
            <w:hideMark/>
          </w:tcPr>
          <w:p w14:paraId="36FD6157"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R² = 0.951</w:t>
            </w:r>
          </w:p>
        </w:tc>
        <w:tc>
          <w:tcPr>
            <w:tcW w:w="1336" w:type="dxa"/>
            <w:tcBorders>
              <w:top w:val="nil"/>
              <w:left w:val="nil"/>
              <w:bottom w:val="single" w:sz="4" w:space="0" w:color="auto"/>
              <w:right w:val="single" w:sz="4" w:space="0" w:color="auto"/>
            </w:tcBorders>
            <w:vAlign w:val="bottom"/>
            <w:hideMark/>
          </w:tcPr>
          <w:p w14:paraId="318C14C2"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Adj. R² = 0.946</w:t>
            </w:r>
          </w:p>
        </w:tc>
        <w:tc>
          <w:tcPr>
            <w:tcW w:w="1513" w:type="dxa"/>
            <w:tcBorders>
              <w:top w:val="nil"/>
              <w:left w:val="nil"/>
              <w:bottom w:val="single" w:sz="4" w:space="0" w:color="auto"/>
              <w:right w:val="single" w:sz="4" w:space="0" w:color="auto"/>
            </w:tcBorders>
            <w:vAlign w:val="bottom"/>
            <w:hideMark/>
          </w:tcPr>
          <w:p w14:paraId="66051B42"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F = 215.82</w:t>
            </w:r>
          </w:p>
        </w:tc>
        <w:tc>
          <w:tcPr>
            <w:tcW w:w="1350" w:type="dxa"/>
            <w:tcBorders>
              <w:top w:val="nil"/>
              <w:left w:val="nil"/>
              <w:bottom w:val="single" w:sz="4" w:space="0" w:color="auto"/>
              <w:right w:val="single" w:sz="4" w:space="0" w:color="auto"/>
            </w:tcBorders>
            <w:vAlign w:val="bottom"/>
            <w:hideMark/>
          </w:tcPr>
          <w:p w14:paraId="6CF3A970"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Prob(F) &lt; 0.01</w:t>
            </w:r>
          </w:p>
        </w:tc>
        <w:tc>
          <w:tcPr>
            <w:tcW w:w="1260" w:type="dxa"/>
            <w:tcBorders>
              <w:top w:val="nil"/>
              <w:left w:val="nil"/>
              <w:bottom w:val="single" w:sz="4" w:space="0" w:color="auto"/>
              <w:right w:val="single" w:sz="4" w:space="0" w:color="auto"/>
            </w:tcBorders>
            <w:vAlign w:val="bottom"/>
            <w:hideMark/>
          </w:tcPr>
          <w:p w14:paraId="5AB80E32"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Model fits well</w:t>
            </w:r>
          </w:p>
        </w:tc>
        <w:tc>
          <w:tcPr>
            <w:tcW w:w="2790" w:type="dxa"/>
            <w:tcBorders>
              <w:top w:val="nil"/>
              <w:left w:val="nil"/>
              <w:bottom w:val="single" w:sz="4" w:space="0" w:color="auto"/>
              <w:right w:val="single" w:sz="4" w:space="0" w:color="auto"/>
            </w:tcBorders>
            <w:vAlign w:val="bottom"/>
            <w:hideMark/>
          </w:tcPr>
          <w:p w14:paraId="62056C34" w14:textId="77777777" w:rsidR="00FA0D70" w:rsidRPr="006435D7" w:rsidRDefault="00FA0D70" w:rsidP="00173F03">
            <w:pPr>
              <w:spacing w:after="0" w:line="240" w:lineRule="auto"/>
              <w:jc w:val="center"/>
              <w:rPr>
                <w:rFonts w:ascii="Arial" w:eastAsia="Times New Roman" w:hAnsi="Arial" w:cs="Arial"/>
                <w:color w:val="000000"/>
                <w:sz w:val="20"/>
                <w:szCs w:val="20"/>
              </w:rPr>
            </w:pPr>
          </w:p>
        </w:tc>
      </w:tr>
    </w:tbl>
    <w:p w14:paraId="0F73BB49" w14:textId="77777777" w:rsidR="001308CF" w:rsidRPr="006435D7" w:rsidRDefault="00FA0D70" w:rsidP="00E14106">
      <w:pPr>
        <w:tabs>
          <w:tab w:val="left" w:pos="930"/>
        </w:tabs>
        <w:spacing w:after="0" w:line="480" w:lineRule="auto"/>
        <w:jc w:val="both"/>
        <w:rPr>
          <w:rFonts w:ascii="Arial" w:hAnsi="Arial" w:cs="Arial"/>
          <w:b/>
          <w:sz w:val="20"/>
          <w:szCs w:val="20"/>
        </w:rPr>
      </w:pPr>
      <w:r w:rsidRPr="00E14106">
        <w:rPr>
          <w:rFonts w:ascii="Arial" w:hAnsi="Arial" w:cs="Arial"/>
          <w:b/>
        </w:rPr>
        <w:t>Source:</w:t>
      </w:r>
      <w:r w:rsidR="001308CF" w:rsidRPr="006435D7">
        <w:rPr>
          <w:rFonts w:ascii="Arial" w:hAnsi="Arial" w:cs="Arial"/>
          <w:b/>
          <w:sz w:val="20"/>
          <w:szCs w:val="20"/>
        </w:rPr>
        <w:t xml:space="preserve"> </w:t>
      </w:r>
      <w:r w:rsidR="001308CF" w:rsidRPr="006435D7">
        <w:rPr>
          <w:rFonts w:ascii="Arial" w:hAnsi="Arial" w:cs="Arial"/>
          <w:sz w:val="20"/>
          <w:szCs w:val="20"/>
        </w:rPr>
        <w:t>Author’s regression analysis using OLS model (EViews 12), with data from World Bank, RBI, and Ministry of Coal (1980–2025).</w:t>
      </w:r>
    </w:p>
    <w:p w14:paraId="65E4A4C0" w14:textId="359E1E27" w:rsidR="001308CF" w:rsidRPr="006435D7" w:rsidRDefault="008C0AF1" w:rsidP="00E14106">
      <w:pPr>
        <w:tabs>
          <w:tab w:val="left" w:pos="930"/>
        </w:tabs>
        <w:spacing w:after="0" w:line="480" w:lineRule="auto"/>
        <w:jc w:val="both"/>
        <w:rPr>
          <w:rFonts w:ascii="Arial" w:hAnsi="Arial" w:cs="Arial"/>
          <w:sz w:val="20"/>
          <w:szCs w:val="20"/>
        </w:rPr>
      </w:pPr>
      <w:r w:rsidRPr="006435D7">
        <w:rPr>
          <w:rFonts w:ascii="Arial" w:hAnsi="Arial" w:cs="Arial"/>
          <w:sz w:val="20"/>
          <w:szCs w:val="20"/>
        </w:rPr>
        <w:tab/>
      </w:r>
      <w:r w:rsidR="001308CF" w:rsidRPr="006435D7">
        <w:rPr>
          <w:rFonts w:ascii="Arial" w:hAnsi="Arial" w:cs="Arial"/>
          <w:sz w:val="20"/>
          <w:szCs w:val="20"/>
        </w:rPr>
        <w:t xml:space="preserve">Table 8 shows the OLS regression results explaining how GDP responds to changes in coal consumption, capital, and </w:t>
      </w:r>
      <w:proofErr w:type="spellStart"/>
      <w:r w:rsidR="001308CF" w:rsidRPr="006435D7">
        <w:rPr>
          <w:rFonts w:ascii="Arial" w:hAnsi="Arial" w:cs="Arial"/>
          <w:sz w:val="20"/>
          <w:szCs w:val="20"/>
        </w:rPr>
        <w:t>labour</w:t>
      </w:r>
      <w:proofErr w:type="spellEnd"/>
      <w:r w:rsidR="001308CF" w:rsidRPr="006435D7">
        <w:rPr>
          <w:rFonts w:ascii="Arial" w:hAnsi="Arial" w:cs="Arial"/>
          <w:sz w:val="20"/>
          <w:szCs w:val="20"/>
        </w:rPr>
        <w:t xml:space="preserve">. The coefficients for </w:t>
      </w:r>
      <w:proofErr w:type="gramStart"/>
      <w:r w:rsidR="001308CF" w:rsidRPr="006435D7">
        <w:rPr>
          <w:rFonts w:ascii="Arial" w:hAnsi="Arial" w:cs="Arial"/>
          <w:sz w:val="20"/>
          <w:szCs w:val="20"/>
        </w:rPr>
        <w:t>ln(</w:t>
      </w:r>
      <w:proofErr w:type="gramEnd"/>
      <w:r w:rsidR="001308CF" w:rsidRPr="006435D7">
        <w:rPr>
          <w:rFonts w:ascii="Arial" w:hAnsi="Arial" w:cs="Arial"/>
          <w:sz w:val="20"/>
          <w:szCs w:val="20"/>
        </w:rPr>
        <w:t xml:space="preserve">COAL) (0.582, p &lt; 0.01), ln(CAPITAL) (0.265, p &lt; 0.01), and ln(LABOUR) (0.192, p &lt; 0.05) are all positive and statistically significant, demonstrating that these variables contribute positively to economic growth. The model exhibits a strong fit (R² = 0.951), explaining 95% of GDP variation. The results suggest that coal remains a primary energy source driving industrial and GDP growth in India. Although OLS provides a static snapshot, it reinforces the dynamic </w:t>
      </w:r>
      <w:r w:rsidR="001308CF" w:rsidRPr="006435D7">
        <w:rPr>
          <w:rFonts w:ascii="Arial" w:hAnsi="Arial" w:cs="Arial"/>
          <w:sz w:val="20"/>
          <w:szCs w:val="20"/>
        </w:rPr>
        <w:lastRenderedPageBreak/>
        <w:t>findings from ARDL and ECM models. Thus, energy investment continues to be a critical component of India’s growth framework.</w:t>
      </w:r>
    </w:p>
    <w:p w14:paraId="0F9153A9" w14:textId="49E47A6A" w:rsidR="00441C14" w:rsidRPr="00E14106" w:rsidRDefault="00441C14" w:rsidP="00FA0D70">
      <w:pPr>
        <w:tabs>
          <w:tab w:val="left" w:pos="930"/>
        </w:tabs>
        <w:spacing w:after="0" w:line="360" w:lineRule="auto"/>
        <w:jc w:val="both"/>
        <w:rPr>
          <w:rFonts w:ascii="Arial" w:hAnsi="Arial" w:cs="Arial"/>
          <w:b/>
        </w:rPr>
      </w:pPr>
      <w:r w:rsidRPr="00E14106">
        <w:rPr>
          <w:rFonts w:ascii="Arial" w:hAnsi="Arial" w:cs="Arial"/>
          <w:b/>
        </w:rPr>
        <w:t xml:space="preserve">Figure </w:t>
      </w:r>
      <w:r w:rsidR="00AA71E7">
        <w:rPr>
          <w:rFonts w:ascii="Arial" w:hAnsi="Arial" w:cs="Arial"/>
          <w:b/>
        </w:rPr>
        <w:t>5</w:t>
      </w:r>
      <w:r w:rsidRPr="00E14106">
        <w:rPr>
          <w:rFonts w:ascii="Arial" w:hAnsi="Arial" w:cs="Arial"/>
          <w:b/>
        </w:rPr>
        <w:t>: Pie Chart – Contribution of Key Factors to GDP Growth in India.</w:t>
      </w:r>
    </w:p>
    <w:p w14:paraId="5543422D" w14:textId="77777777" w:rsidR="00441C14" w:rsidRPr="006435D7" w:rsidRDefault="00441C14" w:rsidP="00FA0D70">
      <w:pPr>
        <w:tabs>
          <w:tab w:val="left" w:pos="930"/>
        </w:tabs>
        <w:spacing w:after="0" w:line="360" w:lineRule="auto"/>
        <w:jc w:val="both"/>
        <w:rPr>
          <w:rFonts w:ascii="Arial" w:hAnsi="Arial" w:cs="Arial"/>
          <w:b/>
          <w:sz w:val="20"/>
          <w:szCs w:val="20"/>
        </w:rPr>
      </w:pPr>
      <w:r w:rsidRPr="006435D7">
        <w:rPr>
          <w:rFonts w:ascii="Arial" w:hAnsi="Arial" w:cs="Arial"/>
          <w:b/>
          <w:noProof/>
          <w:sz w:val="20"/>
          <w:szCs w:val="20"/>
        </w:rPr>
        <w:drawing>
          <wp:anchor distT="0" distB="0" distL="114300" distR="114300" simplePos="0" relativeHeight="251662336" behindDoc="0" locked="0" layoutInCell="1" allowOverlap="1" wp14:anchorId="4C2B6B61" wp14:editId="38C33B56">
            <wp:simplePos x="0" y="0"/>
            <wp:positionH relativeFrom="column">
              <wp:posOffset>96520</wp:posOffset>
            </wp:positionH>
            <wp:positionV relativeFrom="paragraph">
              <wp:posOffset>181610</wp:posOffset>
            </wp:positionV>
            <wp:extent cx="4923155" cy="2907030"/>
            <wp:effectExtent l="19050" t="0" r="0" b="0"/>
            <wp:wrapSquare wrapText="bothSides"/>
            <wp:docPr id="53" name="Picture 53" descr="C:\Users\USER\Downloads\Figure_3.3_Pie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ownloads\Figure_3.3_Pie_Chart.png"/>
                    <pic:cNvPicPr>
                      <a:picLocks noChangeAspect="1" noChangeArrowheads="1"/>
                    </pic:cNvPicPr>
                  </pic:nvPicPr>
                  <pic:blipFill>
                    <a:blip r:embed="rId12"/>
                    <a:srcRect t="16794"/>
                    <a:stretch>
                      <a:fillRect/>
                    </a:stretch>
                  </pic:blipFill>
                  <pic:spPr bwMode="auto">
                    <a:xfrm>
                      <a:off x="0" y="0"/>
                      <a:ext cx="4923155" cy="2907030"/>
                    </a:xfrm>
                    <a:prstGeom prst="rect">
                      <a:avLst/>
                    </a:prstGeom>
                    <a:noFill/>
                    <a:ln w="9525">
                      <a:noFill/>
                      <a:miter lim="800000"/>
                      <a:headEnd/>
                      <a:tailEnd/>
                    </a:ln>
                  </pic:spPr>
                </pic:pic>
              </a:graphicData>
            </a:graphic>
          </wp:anchor>
        </w:drawing>
      </w:r>
    </w:p>
    <w:p w14:paraId="104E92A4" w14:textId="77777777" w:rsidR="00441C14" w:rsidRPr="006435D7" w:rsidRDefault="00441C14" w:rsidP="00FA0D70">
      <w:pPr>
        <w:tabs>
          <w:tab w:val="left" w:pos="930"/>
        </w:tabs>
        <w:spacing w:after="0" w:line="360" w:lineRule="auto"/>
        <w:jc w:val="both"/>
        <w:rPr>
          <w:rFonts w:ascii="Arial" w:hAnsi="Arial" w:cs="Arial"/>
          <w:b/>
          <w:sz w:val="20"/>
          <w:szCs w:val="20"/>
        </w:rPr>
      </w:pPr>
    </w:p>
    <w:p w14:paraId="315C4C56" w14:textId="77777777" w:rsidR="00441C14" w:rsidRPr="006435D7" w:rsidRDefault="00441C14" w:rsidP="00FA0D70">
      <w:pPr>
        <w:tabs>
          <w:tab w:val="left" w:pos="930"/>
        </w:tabs>
        <w:spacing w:after="0" w:line="360" w:lineRule="auto"/>
        <w:jc w:val="both"/>
        <w:rPr>
          <w:rFonts w:ascii="Arial" w:hAnsi="Arial" w:cs="Arial"/>
          <w:b/>
          <w:sz w:val="20"/>
          <w:szCs w:val="20"/>
        </w:rPr>
      </w:pPr>
    </w:p>
    <w:p w14:paraId="3CE93FE8" w14:textId="77777777" w:rsidR="00441C14" w:rsidRPr="006435D7" w:rsidRDefault="00441C14" w:rsidP="00FA0D70">
      <w:pPr>
        <w:tabs>
          <w:tab w:val="left" w:pos="930"/>
        </w:tabs>
        <w:spacing w:after="0" w:line="360" w:lineRule="auto"/>
        <w:jc w:val="both"/>
        <w:rPr>
          <w:rFonts w:ascii="Arial" w:hAnsi="Arial" w:cs="Arial"/>
          <w:b/>
          <w:sz w:val="20"/>
          <w:szCs w:val="20"/>
        </w:rPr>
      </w:pPr>
    </w:p>
    <w:p w14:paraId="5B4577C1" w14:textId="77777777" w:rsidR="00441C14" w:rsidRPr="006435D7" w:rsidRDefault="00441C14" w:rsidP="00FA0D70">
      <w:pPr>
        <w:tabs>
          <w:tab w:val="left" w:pos="930"/>
        </w:tabs>
        <w:spacing w:after="0" w:line="360" w:lineRule="auto"/>
        <w:jc w:val="both"/>
        <w:rPr>
          <w:rFonts w:ascii="Arial" w:hAnsi="Arial" w:cs="Arial"/>
          <w:b/>
          <w:sz w:val="20"/>
          <w:szCs w:val="20"/>
        </w:rPr>
      </w:pPr>
    </w:p>
    <w:p w14:paraId="1310041A" w14:textId="77777777" w:rsidR="00441C14" w:rsidRPr="006435D7" w:rsidRDefault="00441C14" w:rsidP="00FA0D70">
      <w:pPr>
        <w:tabs>
          <w:tab w:val="left" w:pos="930"/>
        </w:tabs>
        <w:spacing w:after="0" w:line="360" w:lineRule="auto"/>
        <w:jc w:val="both"/>
        <w:rPr>
          <w:rFonts w:ascii="Arial" w:hAnsi="Arial" w:cs="Arial"/>
          <w:b/>
          <w:sz w:val="20"/>
          <w:szCs w:val="20"/>
        </w:rPr>
      </w:pPr>
    </w:p>
    <w:p w14:paraId="687A1CE1" w14:textId="77777777" w:rsidR="00441C14" w:rsidRPr="006435D7" w:rsidRDefault="00441C14" w:rsidP="00FA0D70">
      <w:pPr>
        <w:tabs>
          <w:tab w:val="left" w:pos="930"/>
        </w:tabs>
        <w:spacing w:after="0" w:line="360" w:lineRule="auto"/>
        <w:jc w:val="both"/>
        <w:rPr>
          <w:rFonts w:ascii="Arial" w:hAnsi="Arial" w:cs="Arial"/>
          <w:b/>
          <w:sz w:val="20"/>
          <w:szCs w:val="20"/>
        </w:rPr>
      </w:pPr>
    </w:p>
    <w:p w14:paraId="2FB2CFDC" w14:textId="77777777" w:rsidR="00441C14" w:rsidRPr="006435D7" w:rsidRDefault="00441C14" w:rsidP="00FA0D70">
      <w:pPr>
        <w:tabs>
          <w:tab w:val="left" w:pos="930"/>
        </w:tabs>
        <w:spacing w:after="0" w:line="360" w:lineRule="auto"/>
        <w:jc w:val="both"/>
        <w:rPr>
          <w:rFonts w:ascii="Arial" w:hAnsi="Arial" w:cs="Arial"/>
          <w:b/>
          <w:sz w:val="20"/>
          <w:szCs w:val="20"/>
        </w:rPr>
      </w:pPr>
    </w:p>
    <w:p w14:paraId="79DD08E1" w14:textId="77777777" w:rsidR="00441C14" w:rsidRPr="006435D7" w:rsidRDefault="00441C14" w:rsidP="00FA0D70">
      <w:pPr>
        <w:tabs>
          <w:tab w:val="left" w:pos="930"/>
        </w:tabs>
        <w:spacing w:after="0" w:line="360" w:lineRule="auto"/>
        <w:jc w:val="both"/>
        <w:rPr>
          <w:rFonts w:ascii="Arial" w:hAnsi="Arial" w:cs="Arial"/>
          <w:b/>
          <w:sz w:val="20"/>
          <w:szCs w:val="20"/>
        </w:rPr>
      </w:pPr>
    </w:p>
    <w:p w14:paraId="2FAA9766" w14:textId="77777777" w:rsidR="00441C14" w:rsidRPr="006435D7" w:rsidRDefault="00441C14" w:rsidP="00FA0D70">
      <w:pPr>
        <w:tabs>
          <w:tab w:val="left" w:pos="930"/>
        </w:tabs>
        <w:spacing w:after="0" w:line="360" w:lineRule="auto"/>
        <w:jc w:val="both"/>
        <w:rPr>
          <w:rFonts w:ascii="Arial" w:hAnsi="Arial" w:cs="Arial"/>
          <w:b/>
          <w:sz w:val="20"/>
          <w:szCs w:val="20"/>
        </w:rPr>
      </w:pPr>
    </w:p>
    <w:p w14:paraId="3E7F010B" w14:textId="77777777" w:rsidR="00441C14" w:rsidRPr="006435D7" w:rsidRDefault="00441C14" w:rsidP="00FA0D70">
      <w:pPr>
        <w:tabs>
          <w:tab w:val="left" w:pos="930"/>
        </w:tabs>
        <w:spacing w:after="0" w:line="360" w:lineRule="auto"/>
        <w:jc w:val="both"/>
        <w:rPr>
          <w:rFonts w:ascii="Arial" w:hAnsi="Arial" w:cs="Arial"/>
          <w:b/>
          <w:sz w:val="20"/>
          <w:szCs w:val="20"/>
        </w:rPr>
      </w:pPr>
    </w:p>
    <w:p w14:paraId="2957C66F" w14:textId="77777777" w:rsidR="00441C14" w:rsidRPr="006435D7" w:rsidRDefault="00441C14" w:rsidP="00FA0D70">
      <w:pPr>
        <w:tabs>
          <w:tab w:val="left" w:pos="930"/>
        </w:tabs>
        <w:spacing w:after="0" w:line="360" w:lineRule="auto"/>
        <w:jc w:val="both"/>
        <w:rPr>
          <w:rFonts w:ascii="Arial" w:hAnsi="Arial" w:cs="Arial"/>
          <w:b/>
          <w:sz w:val="20"/>
          <w:szCs w:val="20"/>
        </w:rPr>
      </w:pPr>
    </w:p>
    <w:p w14:paraId="27645616" w14:textId="77777777" w:rsidR="00E14106" w:rsidRDefault="00E14106" w:rsidP="00FA0D70">
      <w:pPr>
        <w:tabs>
          <w:tab w:val="left" w:pos="930"/>
        </w:tabs>
        <w:spacing w:after="0" w:line="360" w:lineRule="auto"/>
        <w:jc w:val="both"/>
        <w:rPr>
          <w:rFonts w:ascii="Arial" w:hAnsi="Arial" w:cs="Arial"/>
          <w:b/>
          <w:sz w:val="20"/>
          <w:szCs w:val="20"/>
        </w:rPr>
      </w:pPr>
    </w:p>
    <w:p w14:paraId="4F474197" w14:textId="77777777" w:rsidR="00E14106" w:rsidRDefault="00E14106" w:rsidP="00FA0D70">
      <w:pPr>
        <w:tabs>
          <w:tab w:val="left" w:pos="930"/>
        </w:tabs>
        <w:spacing w:after="0" w:line="360" w:lineRule="auto"/>
        <w:jc w:val="both"/>
        <w:rPr>
          <w:rFonts w:ascii="Arial" w:hAnsi="Arial" w:cs="Arial"/>
          <w:b/>
          <w:sz w:val="20"/>
          <w:szCs w:val="20"/>
        </w:rPr>
      </w:pPr>
    </w:p>
    <w:p w14:paraId="7BAC0F26" w14:textId="77777777" w:rsidR="00E14106" w:rsidRDefault="00E14106" w:rsidP="00FA0D70">
      <w:pPr>
        <w:tabs>
          <w:tab w:val="left" w:pos="930"/>
        </w:tabs>
        <w:spacing w:after="0" w:line="360" w:lineRule="auto"/>
        <w:jc w:val="both"/>
        <w:rPr>
          <w:rFonts w:ascii="Arial" w:hAnsi="Arial" w:cs="Arial"/>
          <w:b/>
          <w:sz w:val="20"/>
          <w:szCs w:val="20"/>
        </w:rPr>
      </w:pPr>
    </w:p>
    <w:p w14:paraId="12CE2815" w14:textId="6DAF207C" w:rsidR="00FA0D70" w:rsidRPr="00E14106" w:rsidRDefault="008E400C" w:rsidP="00FA0D70">
      <w:pPr>
        <w:tabs>
          <w:tab w:val="left" w:pos="930"/>
        </w:tabs>
        <w:spacing w:after="0" w:line="360" w:lineRule="auto"/>
        <w:jc w:val="both"/>
        <w:rPr>
          <w:rFonts w:ascii="Arial" w:hAnsi="Arial" w:cs="Arial"/>
          <w:b/>
        </w:rPr>
      </w:pPr>
      <w:r w:rsidRPr="00E14106">
        <w:rPr>
          <w:rFonts w:ascii="Arial" w:hAnsi="Arial" w:cs="Arial"/>
          <w:b/>
        </w:rPr>
        <w:t xml:space="preserve">Table 9: </w:t>
      </w:r>
      <w:r w:rsidR="00485F0F" w:rsidRPr="00E14106">
        <w:rPr>
          <w:rFonts w:ascii="Arial" w:hAnsi="Arial" w:cs="Arial"/>
          <w:b/>
        </w:rPr>
        <w:t>Diagnostic and Stability Test Results Ensuring the Validity of the Econometric Model.</w:t>
      </w:r>
    </w:p>
    <w:tbl>
      <w:tblPr>
        <w:tblW w:w="9464" w:type="dxa"/>
        <w:tblInd w:w="94" w:type="dxa"/>
        <w:tblLook w:val="04A0" w:firstRow="1" w:lastRow="0" w:firstColumn="1" w:lastColumn="0" w:noHBand="0" w:noVBand="1"/>
      </w:tblPr>
      <w:tblGrid>
        <w:gridCol w:w="3254"/>
        <w:gridCol w:w="1890"/>
        <w:gridCol w:w="1440"/>
        <w:gridCol w:w="2880"/>
      </w:tblGrid>
      <w:tr w:rsidR="005F1E1C" w:rsidRPr="006435D7" w14:paraId="6B1E6705" w14:textId="77777777" w:rsidTr="00342A80">
        <w:trPr>
          <w:trHeight w:val="64"/>
        </w:trPr>
        <w:tc>
          <w:tcPr>
            <w:tcW w:w="3254" w:type="dxa"/>
            <w:tcBorders>
              <w:top w:val="single" w:sz="4" w:space="0" w:color="auto"/>
              <w:left w:val="single" w:sz="4" w:space="0" w:color="auto"/>
              <w:bottom w:val="single" w:sz="4" w:space="0" w:color="auto"/>
              <w:right w:val="single" w:sz="4" w:space="0" w:color="auto"/>
            </w:tcBorders>
            <w:vAlign w:val="center"/>
            <w:hideMark/>
          </w:tcPr>
          <w:p w14:paraId="09E46A1A" w14:textId="77777777" w:rsidR="005F1E1C" w:rsidRPr="006435D7" w:rsidRDefault="005F1E1C" w:rsidP="00342A80">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Diagnostic Test</w:t>
            </w:r>
          </w:p>
        </w:tc>
        <w:tc>
          <w:tcPr>
            <w:tcW w:w="1890" w:type="dxa"/>
            <w:tcBorders>
              <w:top w:val="single" w:sz="4" w:space="0" w:color="auto"/>
              <w:left w:val="nil"/>
              <w:bottom w:val="single" w:sz="4" w:space="0" w:color="auto"/>
              <w:right w:val="single" w:sz="4" w:space="0" w:color="auto"/>
            </w:tcBorders>
            <w:vAlign w:val="center"/>
            <w:hideMark/>
          </w:tcPr>
          <w:p w14:paraId="1AC70AF7" w14:textId="77777777" w:rsidR="005F1E1C" w:rsidRPr="006435D7" w:rsidRDefault="005F1E1C" w:rsidP="00342A80">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Statistic</w:t>
            </w:r>
          </w:p>
        </w:tc>
        <w:tc>
          <w:tcPr>
            <w:tcW w:w="1440" w:type="dxa"/>
            <w:tcBorders>
              <w:top w:val="single" w:sz="4" w:space="0" w:color="auto"/>
              <w:left w:val="nil"/>
              <w:bottom w:val="single" w:sz="4" w:space="0" w:color="auto"/>
              <w:right w:val="single" w:sz="4" w:space="0" w:color="auto"/>
            </w:tcBorders>
            <w:vAlign w:val="center"/>
            <w:hideMark/>
          </w:tcPr>
          <w:p w14:paraId="60FC5CF3" w14:textId="77777777" w:rsidR="005F1E1C" w:rsidRPr="006435D7" w:rsidRDefault="005F1E1C" w:rsidP="00342A80">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p-Value</w:t>
            </w:r>
          </w:p>
        </w:tc>
        <w:tc>
          <w:tcPr>
            <w:tcW w:w="2880" w:type="dxa"/>
            <w:tcBorders>
              <w:top w:val="single" w:sz="4" w:space="0" w:color="auto"/>
              <w:left w:val="nil"/>
              <w:bottom w:val="single" w:sz="4" w:space="0" w:color="auto"/>
              <w:right w:val="single" w:sz="4" w:space="0" w:color="auto"/>
            </w:tcBorders>
            <w:vAlign w:val="center"/>
            <w:hideMark/>
          </w:tcPr>
          <w:p w14:paraId="4C86D176" w14:textId="77777777" w:rsidR="005F1E1C" w:rsidRPr="006435D7" w:rsidRDefault="005F1E1C" w:rsidP="00342A80">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Interpretation</w:t>
            </w:r>
          </w:p>
        </w:tc>
      </w:tr>
      <w:tr w:rsidR="005F1E1C" w:rsidRPr="006435D7" w14:paraId="75534050" w14:textId="77777777" w:rsidTr="00342A80">
        <w:trPr>
          <w:trHeight w:val="314"/>
        </w:trPr>
        <w:tc>
          <w:tcPr>
            <w:tcW w:w="3254" w:type="dxa"/>
            <w:tcBorders>
              <w:top w:val="nil"/>
              <w:left w:val="single" w:sz="4" w:space="0" w:color="auto"/>
              <w:bottom w:val="single" w:sz="4" w:space="0" w:color="auto"/>
              <w:right w:val="single" w:sz="4" w:space="0" w:color="auto"/>
            </w:tcBorders>
            <w:vAlign w:val="bottom"/>
            <w:hideMark/>
          </w:tcPr>
          <w:p w14:paraId="08630BC7"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Breusch–Godfrey Serial Correlation</w:t>
            </w:r>
          </w:p>
        </w:tc>
        <w:tc>
          <w:tcPr>
            <w:tcW w:w="1890" w:type="dxa"/>
            <w:tcBorders>
              <w:top w:val="nil"/>
              <w:left w:val="nil"/>
              <w:bottom w:val="single" w:sz="4" w:space="0" w:color="auto"/>
              <w:right w:val="single" w:sz="4" w:space="0" w:color="auto"/>
            </w:tcBorders>
            <w:vAlign w:val="bottom"/>
            <w:hideMark/>
          </w:tcPr>
          <w:p w14:paraId="5AC78691"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1.025</w:t>
            </w:r>
          </w:p>
        </w:tc>
        <w:tc>
          <w:tcPr>
            <w:tcW w:w="1440" w:type="dxa"/>
            <w:tcBorders>
              <w:top w:val="nil"/>
              <w:left w:val="nil"/>
              <w:bottom w:val="single" w:sz="4" w:space="0" w:color="auto"/>
              <w:right w:val="single" w:sz="4" w:space="0" w:color="auto"/>
            </w:tcBorders>
            <w:vAlign w:val="bottom"/>
            <w:hideMark/>
          </w:tcPr>
          <w:p w14:paraId="33824823"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0.317</w:t>
            </w:r>
          </w:p>
        </w:tc>
        <w:tc>
          <w:tcPr>
            <w:tcW w:w="2880" w:type="dxa"/>
            <w:tcBorders>
              <w:top w:val="nil"/>
              <w:left w:val="nil"/>
              <w:bottom w:val="single" w:sz="4" w:space="0" w:color="auto"/>
              <w:right w:val="single" w:sz="4" w:space="0" w:color="auto"/>
            </w:tcBorders>
            <w:vAlign w:val="bottom"/>
            <w:hideMark/>
          </w:tcPr>
          <w:p w14:paraId="281629ED"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No serial correlation</w:t>
            </w:r>
          </w:p>
        </w:tc>
      </w:tr>
      <w:tr w:rsidR="005F1E1C" w:rsidRPr="006435D7" w14:paraId="2D10176A" w14:textId="77777777" w:rsidTr="00342A80">
        <w:trPr>
          <w:trHeight w:val="116"/>
        </w:trPr>
        <w:tc>
          <w:tcPr>
            <w:tcW w:w="3254" w:type="dxa"/>
            <w:tcBorders>
              <w:top w:val="nil"/>
              <w:left w:val="single" w:sz="4" w:space="0" w:color="auto"/>
              <w:bottom w:val="single" w:sz="4" w:space="0" w:color="auto"/>
              <w:right w:val="single" w:sz="4" w:space="0" w:color="auto"/>
            </w:tcBorders>
            <w:vAlign w:val="bottom"/>
            <w:hideMark/>
          </w:tcPr>
          <w:p w14:paraId="15D72763"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White Heteroskedasticity</w:t>
            </w:r>
          </w:p>
        </w:tc>
        <w:tc>
          <w:tcPr>
            <w:tcW w:w="1890" w:type="dxa"/>
            <w:tcBorders>
              <w:top w:val="nil"/>
              <w:left w:val="nil"/>
              <w:bottom w:val="single" w:sz="4" w:space="0" w:color="auto"/>
              <w:right w:val="single" w:sz="4" w:space="0" w:color="auto"/>
            </w:tcBorders>
            <w:vAlign w:val="bottom"/>
            <w:hideMark/>
          </w:tcPr>
          <w:p w14:paraId="7A0ED136"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0.892</w:t>
            </w:r>
          </w:p>
        </w:tc>
        <w:tc>
          <w:tcPr>
            <w:tcW w:w="1440" w:type="dxa"/>
            <w:tcBorders>
              <w:top w:val="nil"/>
              <w:left w:val="nil"/>
              <w:bottom w:val="single" w:sz="4" w:space="0" w:color="auto"/>
              <w:right w:val="single" w:sz="4" w:space="0" w:color="auto"/>
            </w:tcBorders>
            <w:vAlign w:val="bottom"/>
            <w:hideMark/>
          </w:tcPr>
          <w:p w14:paraId="257CF310"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0.412</w:t>
            </w:r>
          </w:p>
        </w:tc>
        <w:tc>
          <w:tcPr>
            <w:tcW w:w="2880" w:type="dxa"/>
            <w:tcBorders>
              <w:top w:val="nil"/>
              <w:left w:val="nil"/>
              <w:bottom w:val="single" w:sz="4" w:space="0" w:color="auto"/>
              <w:right w:val="single" w:sz="4" w:space="0" w:color="auto"/>
            </w:tcBorders>
            <w:vAlign w:val="bottom"/>
            <w:hideMark/>
          </w:tcPr>
          <w:p w14:paraId="45857CC3" w14:textId="77777777" w:rsidR="005F1E1C" w:rsidRPr="006435D7" w:rsidRDefault="005F1E1C" w:rsidP="00342A80">
            <w:pPr>
              <w:spacing w:after="0" w:line="240" w:lineRule="auto"/>
              <w:jc w:val="center"/>
              <w:rPr>
                <w:rFonts w:ascii="Arial" w:eastAsia="Times New Roman" w:hAnsi="Arial" w:cs="Arial"/>
                <w:color w:val="000000"/>
                <w:sz w:val="20"/>
                <w:szCs w:val="20"/>
              </w:rPr>
            </w:pPr>
            <w:proofErr w:type="spellStart"/>
            <w:r w:rsidRPr="006435D7">
              <w:rPr>
                <w:rFonts w:ascii="Arial" w:eastAsia="Times New Roman" w:hAnsi="Arial" w:cs="Arial"/>
                <w:color w:val="000000"/>
                <w:sz w:val="20"/>
                <w:szCs w:val="20"/>
              </w:rPr>
              <w:t>Homoskedastic</w:t>
            </w:r>
            <w:proofErr w:type="spellEnd"/>
          </w:p>
        </w:tc>
      </w:tr>
      <w:tr w:rsidR="005F1E1C" w:rsidRPr="006435D7" w14:paraId="0554CA2C" w14:textId="77777777" w:rsidTr="00342A80">
        <w:trPr>
          <w:trHeight w:val="64"/>
        </w:trPr>
        <w:tc>
          <w:tcPr>
            <w:tcW w:w="3254" w:type="dxa"/>
            <w:tcBorders>
              <w:top w:val="nil"/>
              <w:left w:val="single" w:sz="4" w:space="0" w:color="auto"/>
              <w:bottom w:val="single" w:sz="4" w:space="0" w:color="auto"/>
              <w:right w:val="single" w:sz="4" w:space="0" w:color="auto"/>
            </w:tcBorders>
            <w:vAlign w:val="bottom"/>
            <w:hideMark/>
          </w:tcPr>
          <w:p w14:paraId="5D5EF76D"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Jarque–Bera Normality</w:t>
            </w:r>
          </w:p>
        </w:tc>
        <w:tc>
          <w:tcPr>
            <w:tcW w:w="1890" w:type="dxa"/>
            <w:tcBorders>
              <w:top w:val="nil"/>
              <w:left w:val="nil"/>
              <w:bottom w:val="single" w:sz="4" w:space="0" w:color="auto"/>
              <w:right w:val="single" w:sz="4" w:space="0" w:color="auto"/>
            </w:tcBorders>
            <w:vAlign w:val="bottom"/>
            <w:hideMark/>
          </w:tcPr>
          <w:p w14:paraId="1F46FA19"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2.153</w:t>
            </w:r>
          </w:p>
        </w:tc>
        <w:tc>
          <w:tcPr>
            <w:tcW w:w="1440" w:type="dxa"/>
            <w:tcBorders>
              <w:top w:val="nil"/>
              <w:left w:val="nil"/>
              <w:bottom w:val="single" w:sz="4" w:space="0" w:color="auto"/>
              <w:right w:val="single" w:sz="4" w:space="0" w:color="auto"/>
            </w:tcBorders>
            <w:vAlign w:val="bottom"/>
            <w:hideMark/>
          </w:tcPr>
          <w:p w14:paraId="00F56156"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0.341</w:t>
            </w:r>
          </w:p>
        </w:tc>
        <w:tc>
          <w:tcPr>
            <w:tcW w:w="2880" w:type="dxa"/>
            <w:tcBorders>
              <w:top w:val="nil"/>
              <w:left w:val="nil"/>
              <w:bottom w:val="single" w:sz="4" w:space="0" w:color="auto"/>
              <w:right w:val="single" w:sz="4" w:space="0" w:color="auto"/>
            </w:tcBorders>
            <w:vAlign w:val="bottom"/>
            <w:hideMark/>
          </w:tcPr>
          <w:p w14:paraId="60A3C1F5"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Residuals are normal</w:t>
            </w:r>
          </w:p>
        </w:tc>
      </w:tr>
      <w:tr w:rsidR="005F1E1C" w:rsidRPr="006435D7" w14:paraId="5A5B0810" w14:textId="77777777" w:rsidTr="00342A80">
        <w:trPr>
          <w:trHeight w:val="64"/>
        </w:trPr>
        <w:tc>
          <w:tcPr>
            <w:tcW w:w="3254" w:type="dxa"/>
            <w:tcBorders>
              <w:top w:val="nil"/>
              <w:left w:val="single" w:sz="4" w:space="0" w:color="auto"/>
              <w:bottom w:val="single" w:sz="4" w:space="0" w:color="auto"/>
              <w:right w:val="single" w:sz="4" w:space="0" w:color="auto"/>
            </w:tcBorders>
            <w:vAlign w:val="bottom"/>
            <w:hideMark/>
          </w:tcPr>
          <w:p w14:paraId="20DCA3B9"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CUSUM</w:t>
            </w:r>
          </w:p>
        </w:tc>
        <w:tc>
          <w:tcPr>
            <w:tcW w:w="1890" w:type="dxa"/>
            <w:tcBorders>
              <w:top w:val="nil"/>
              <w:left w:val="nil"/>
              <w:bottom w:val="single" w:sz="4" w:space="0" w:color="auto"/>
              <w:right w:val="single" w:sz="4" w:space="0" w:color="auto"/>
            </w:tcBorders>
            <w:vAlign w:val="bottom"/>
            <w:hideMark/>
          </w:tcPr>
          <w:p w14:paraId="4B81AA5A"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t>
            </w:r>
          </w:p>
        </w:tc>
        <w:tc>
          <w:tcPr>
            <w:tcW w:w="1440" w:type="dxa"/>
            <w:tcBorders>
              <w:top w:val="nil"/>
              <w:left w:val="nil"/>
              <w:bottom w:val="single" w:sz="4" w:space="0" w:color="auto"/>
              <w:right w:val="single" w:sz="4" w:space="0" w:color="auto"/>
            </w:tcBorders>
            <w:vAlign w:val="bottom"/>
            <w:hideMark/>
          </w:tcPr>
          <w:p w14:paraId="487116BC"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Stable</w:t>
            </w:r>
          </w:p>
        </w:tc>
        <w:tc>
          <w:tcPr>
            <w:tcW w:w="2880" w:type="dxa"/>
            <w:tcBorders>
              <w:top w:val="nil"/>
              <w:left w:val="nil"/>
              <w:bottom w:val="single" w:sz="4" w:space="0" w:color="auto"/>
              <w:right w:val="single" w:sz="4" w:space="0" w:color="auto"/>
            </w:tcBorders>
            <w:vAlign w:val="bottom"/>
            <w:hideMark/>
          </w:tcPr>
          <w:p w14:paraId="3582148C"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Model stable</w:t>
            </w:r>
          </w:p>
        </w:tc>
      </w:tr>
      <w:tr w:rsidR="005F1E1C" w:rsidRPr="006435D7" w14:paraId="4C17AB61" w14:textId="77777777" w:rsidTr="00342A80">
        <w:trPr>
          <w:trHeight w:val="64"/>
        </w:trPr>
        <w:tc>
          <w:tcPr>
            <w:tcW w:w="3254" w:type="dxa"/>
            <w:tcBorders>
              <w:top w:val="nil"/>
              <w:left w:val="single" w:sz="4" w:space="0" w:color="auto"/>
              <w:bottom w:val="single" w:sz="4" w:space="0" w:color="auto"/>
              <w:right w:val="single" w:sz="4" w:space="0" w:color="auto"/>
            </w:tcBorders>
            <w:vAlign w:val="bottom"/>
            <w:hideMark/>
          </w:tcPr>
          <w:p w14:paraId="71513968"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CUSUMSQ</w:t>
            </w:r>
          </w:p>
        </w:tc>
        <w:tc>
          <w:tcPr>
            <w:tcW w:w="1890" w:type="dxa"/>
            <w:tcBorders>
              <w:top w:val="nil"/>
              <w:left w:val="nil"/>
              <w:bottom w:val="single" w:sz="4" w:space="0" w:color="auto"/>
              <w:right w:val="single" w:sz="4" w:space="0" w:color="auto"/>
            </w:tcBorders>
            <w:vAlign w:val="bottom"/>
            <w:hideMark/>
          </w:tcPr>
          <w:p w14:paraId="541444B0"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t>
            </w:r>
          </w:p>
        </w:tc>
        <w:tc>
          <w:tcPr>
            <w:tcW w:w="1440" w:type="dxa"/>
            <w:tcBorders>
              <w:top w:val="nil"/>
              <w:left w:val="nil"/>
              <w:bottom w:val="single" w:sz="4" w:space="0" w:color="auto"/>
              <w:right w:val="single" w:sz="4" w:space="0" w:color="auto"/>
            </w:tcBorders>
            <w:vAlign w:val="bottom"/>
            <w:hideMark/>
          </w:tcPr>
          <w:p w14:paraId="289C0229"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Stable</w:t>
            </w:r>
          </w:p>
        </w:tc>
        <w:tc>
          <w:tcPr>
            <w:tcW w:w="2880" w:type="dxa"/>
            <w:tcBorders>
              <w:top w:val="nil"/>
              <w:left w:val="nil"/>
              <w:bottom w:val="single" w:sz="4" w:space="0" w:color="auto"/>
              <w:right w:val="single" w:sz="4" w:space="0" w:color="auto"/>
            </w:tcBorders>
            <w:vAlign w:val="bottom"/>
            <w:hideMark/>
          </w:tcPr>
          <w:p w14:paraId="040B99CB"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Model stable</w:t>
            </w:r>
          </w:p>
        </w:tc>
      </w:tr>
    </w:tbl>
    <w:p w14:paraId="43168FA4" w14:textId="77777777" w:rsidR="003501DB" w:rsidRPr="006435D7" w:rsidRDefault="005F1E1C" w:rsidP="00E14106">
      <w:pPr>
        <w:tabs>
          <w:tab w:val="left" w:pos="930"/>
        </w:tabs>
        <w:spacing w:after="0" w:line="480" w:lineRule="auto"/>
        <w:jc w:val="both"/>
        <w:rPr>
          <w:rFonts w:ascii="Arial" w:hAnsi="Arial" w:cs="Arial"/>
          <w:b/>
          <w:sz w:val="20"/>
          <w:szCs w:val="20"/>
        </w:rPr>
      </w:pPr>
      <w:r w:rsidRPr="00E14106">
        <w:rPr>
          <w:rFonts w:ascii="Arial" w:hAnsi="Arial" w:cs="Arial"/>
          <w:b/>
        </w:rPr>
        <w:t>Source:</w:t>
      </w:r>
      <w:r w:rsidR="003501DB" w:rsidRPr="006435D7">
        <w:rPr>
          <w:rFonts w:ascii="Arial" w:hAnsi="Arial" w:cs="Arial"/>
          <w:b/>
          <w:sz w:val="20"/>
          <w:szCs w:val="20"/>
        </w:rPr>
        <w:t xml:space="preserve"> </w:t>
      </w:r>
      <w:r w:rsidR="003501DB" w:rsidRPr="006435D7">
        <w:rPr>
          <w:rFonts w:ascii="Arial" w:hAnsi="Arial" w:cs="Arial"/>
          <w:sz w:val="20"/>
          <w:szCs w:val="20"/>
        </w:rPr>
        <w:t>Author’s post-estimation diagnostics using EViews 12, based on World Bank and Ministry of Coal data (1980–2025).</w:t>
      </w:r>
    </w:p>
    <w:p w14:paraId="53915387" w14:textId="6B2A53E5" w:rsidR="0056076F" w:rsidRPr="006435D7" w:rsidRDefault="00E14106" w:rsidP="00E14106">
      <w:pPr>
        <w:tabs>
          <w:tab w:val="left" w:pos="930"/>
        </w:tabs>
        <w:spacing w:after="0" w:line="480" w:lineRule="auto"/>
        <w:jc w:val="both"/>
        <w:rPr>
          <w:rFonts w:ascii="Arial" w:hAnsi="Arial" w:cs="Arial"/>
          <w:sz w:val="20"/>
          <w:szCs w:val="20"/>
        </w:rPr>
      </w:pPr>
      <w:r>
        <w:rPr>
          <w:rFonts w:ascii="Arial" w:hAnsi="Arial" w:cs="Arial"/>
          <w:sz w:val="20"/>
          <w:szCs w:val="20"/>
        </w:rPr>
        <w:tab/>
      </w:r>
      <w:r w:rsidR="003501DB" w:rsidRPr="006435D7">
        <w:rPr>
          <w:rFonts w:ascii="Arial" w:hAnsi="Arial" w:cs="Arial"/>
          <w:sz w:val="20"/>
          <w:szCs w:val="20"/>
        </w:rPr>
        <w:t xml:space="preserve">Table 9 summarizes diagnostic and stability test outcomes verifying the robustness of the econometric model. The Breusch–Godfrey LM test (p = 0.317) shows no serial correlation, while White’s heteroskedasticity test (p = 0.412) confirms homoskedasticity. The Jarque–Bera test (p = 0.341) indicates normal residuals, ensuring model reliability. The CUSUM and CUSUMSQ tests fall within critical boundaries, confirming model stability at the 1% level. These diagnostics prove that the estimated models are free from statistical violations, unbiased, and consistent over time. The stability results imply that the </w:t>
      </w:r>
      <w:r w:rsidR="003501DB" w:rsidRPr="006435D7">
        <w:rPr>
          <w:rFonts w:ascii="Arial" w:hAnsi="Arial" w:cs="Arial"/>
          <w:sz w:val="20"/>
          <w:szCs w:val="20"/>
        </w:rPr>
        <w:lastRenderedPageBreak/>
        <w:t>relationship between coal consumption and GDP is persistent and structurally sound, even amid economic changes.</w:t>
      </w:r>
    </w:p>
    <w:p w14:paraId="093E50CA" w14:textId="77777777" w:rsidR="00E14106" w:rsidRDefault="00E14106" w:rsidP="00FA0D70">
      <w:pPr>
        <w:tabs>
          <w:tab w:val="left" w:pos="930"/>
        </w:tabs>
        <w:spacing w:after="0" w:line="360" w:lineRule="auto"/>
        <w:jc w:val="both"/>
        <w:rPr>
          <w:rFonts w:ascii="Arial" w:hAnsi="Arial" w:cs="Arial"/>
          <w:b/>
          <w:sz w:val="20"/>
          <w:szCs w:val="20"/>
        </w:rPr>
      </w:pPr>
    </w:p>
    <w:p w14:paraId="36AE1AB1" w14:textId="72D6A7C2" w:rsidR="00337625" w:rsidRDefault="00337625" w:rsidP="00FA0D70">
      <w:pPr>
        <w:tabs>
          <w:tab w:val="left" w:pos="930"/>
        </w:tabs>
        <w:spacing w:after="0" w:line="360" w:lineRule="auto"/>
        <w:jc w:val="both"/>
        <w:rPr>
          <w:rFonts w:ascii="Arial" w:hAnsi="Arial" w:cs="Arial"/>
          <w:b/>
          <w:sz w:val="20"/>
          <w:szCs w:val="20"/>
        </w:rPr>
      </w:pPr>
      <w:r w:rsidRPr="006435D7">
        <w:rPr>
          <w:rFonts w:ascii="Arial" w:hAnsi="Arial" w:cs="Arial"/>
          <w:b/>
          <w:sz w:val="20"/>
          <w:szCs w:val="20"/>
        </w:rPr>
        <w:t xml:space="preserve">Figure </w:t>
      </w:r>
      <w:r w:rsidR="00AA71E7">
        <w:rPr>
          <w:rFonts w:ascii="Arial" w:hAnsi="Arial" w:cs="Arial"/>
          <w:b/>
          <w:sz w:val="20"/>
          <w:szCs w:val="20"/>
        </w:rPr>
        <w:t>6</w:t>
      </w:r>
      <w:r w:rsidRPr="006435D7">
        <w:rPr>
          <w:rFonts w:ascii="Arial" w:hAnsi="Arial" w:cs="Arial"/>
          <w:b/>
          <w:sz w:val="20"/>
          <w:szCs w:val="20"/>
        </w:rPr>
        <w:t>: Histogram – Distribution of GDP Growth Rates (1980–2025).</w:t>
      </w:r>
    </w:p>
    <w:p w14:paraId="5042D2D0" w14:textId="77777777" w:rsidR="00E14106" w:rsidRDefault="00E14106" w:rsidP="00FA0D70">
      <w:pPr>
        <w:tabs>
          <w:tab w:val="left" w:pos="930"/>
        </w:tabs>
        <w:spacing w:after="0" w:line="360" w:lineRule="auto"/>
        <w:jc w:val="both"/>
        <w:rPr>
          <w:rFonts w:ascii="Arial" w:hAnsi="Arial" w:cs="Arial"/>
          <w:b/>
          <w:sz w:val="20"/>
          <w:szCs w:val="20"/>
        </w:rPr>
      </w:pPr>
      <w:r w:rsidRPr="00E14106">
        <w:rPr>
          <w:rFonts w:ascii="Arial" w:hAnsi="Arial" w:cs="Arial"/>
          <w:b/>
          <w:noProof/>
          <w:sz w:val="20"/>
          <w:szCs w:val="20"/>
        </w:rPr>
        <w:drawing>
          <wp:anchor distT="0" distB="0" distL="114300" distR="114300" simplePos="0" relativeHeight="251665408" behindDoc="0" locked="0" layoutInCell="1" allowOverlap="1" wp14:anchorId="34C81694" wp14:editId="7B16F86A">
            <wp:simplePos x="0" y="0"/>
            <wp:positionH relativeFrom="column">
              <wp:posOffset>372110</wp:posOffset>
            </wp:positionH>
            <wp:positionV relativeFrom="paragraph">
              <wp:posOffset>99060</wp:posOffset>
            </wp:positionV>
            <wp:extent cx="4845685" cy="3105150"/>
            <wp:effectExtent l="19050" t="0" r="0" b="0"/>
            <wp:wrapSquare wrapText="bothSides"/>
            <wp:docPr id="3" name="Picture 55" descr="C:\Users\USER\Downloads\Figure_3.5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ownloads\Figure_3.5_Histogram.png"/>
                    <pic:cNvPicPr>
                      <a:picLocks noChangeAspect="1" noChangeArrowheads="1"/>
                    </pic:cNvPicPr>
                  </pic:nvPicPr>
                  <pic:blipFill>
                    <a:blip r:embed="rId13"/>
                    <a:srcRect t="7425"/>
                    <a:stretch>
                      <a:fillRect/>
                    </a:stretch>
                  </pic:blipFill>
                  <pic:spPr bwMode="auto">
                    <a:xfrm>
                      <a:off x="0" y="0"/>
                      <a:ext cx="4845685" cy="3105150"/>
                    </a:xfrm>
                    <a:prstGeom prst="rect">
                      <a:avLst/>
                    </a:prstGeom>
                    <a:noFill/>
                    <a:ln w="9525">
                      <a:noFill/>
                      <a:miter lim="800000"/>
                      <a:headEnd/>
                      <a:tailEnd/>
                    </a:ln>
                  </pic:spPr>
                </pic:pic>
              </a:graphicData>
            </a:graphic>
          </wp:anchor>
        </w:drawing>
      </w:r>
    </w:p>
    <w:p w14:paraId="2E9E5F96" w14:textId="77777777" w:rsidR="00E14106" w:rsidRDefault="00E14106" w:rsidP="00FA0D70">
      <w:pPr>
        <w:tabs>
          <w:tab w:val="left" w:pos="930"/>
        </w:tabs>
        <w:spacing w:after="0" w:line="360" w:lineRule="auto"/>
        <w:jc w:val="both"/>
        <w:rPr>
          <w:rFonts w:ascii="Arial" w:hAnsi="Arial" w:cs="Arial"/>
          <w:b/>
          <w:sz w:val="20"/>
          <w:szCs w:val="20"/>
        </w:rPr>
      </w:pPr>
    </w:p>
    <w:p w14:paraId="0CC5D829" w14:textId="77777777" w:rsidR="00E14106" w:rsidRDefault="00E14106" w:rsidP="00FA0D70">
      <w:pPr>
        <w:tabs>
          <w:tab w:val="left" w:pos="930"/>
        </w:tabs>
        <w:spacing w:after="0" w:line="360" w:lineRule="auto"/>
        <w:jc w:val="both"/>
        <w:rPr>
          <w:rFonts w:ascii="Arial" w:hAnsi="Arial" w:cs="Arial"/>
          <w:b/>
          <w:sz w:val="20"/>
          <w:szCs w:val="20"/>
        </w:rPr>
      </w:pPr>
    </w:p>
    <w:p w14:paraId="1D024821" w14:textId="77777777" w:rsidR="00E14106" w:rsidRDefault="00E14106" w:rsidP="00FA0D70">
      <w:pPr>
        <w:tabs>
          <w:tab w:val="left" w:pos="930"/>
        </w:tabs>
        <w:spacing w:after="0" w:line="360" w:lineRule="auto"/>
        <w:jc w:val="both"/>
        <w:rPr>
          <w:rFonts w:ascii="Arial" w:hAnsi="Arial" w:cs="Arial"/>
          <w:b/>
          <w:sz w:val="20"/>
          <w:szCs w:val="20"/>
        </w:rPr>
      </w:pPr>
    </w:p>
    <w:p w14:paraId="7B95EC68" w14:textId="77777777" w:rsidR="00E14106" w:rsidRDefault="00E14106" w:rsidP="00FA0D70">
      <w:pPr>
        <w:tabs>
          <w:tab w:val="left" w:pos="930"/>
        </w:tabs>
        <w:spacing w:after="0" w:line="360" w:lineRule="auto"/>
        <w:jc w:val="both"/>
        <w:rPr>
          <w:rFonts w:ascii="Arial" w:hAnsi="Arial" w:cs="Arial"/>
          <w:b/>
          <w:sz w:val="20"/>
          <w:szCs w:val="20"/>
        </w:rPr>
      </w:pPr>
    </w:p>
    <w:p w14:paraId="419B4A7E" w14:textId="77777777" w:rsidR="00E14106" w:rsidRDefault="00E14106" w:rsidP="00FA0D70">
      <w:pPr>
        <w:tabs>
          <w:tab w:val="left" w:pos="930"/>
        </w:tabs>
        <w:spacing w:after="0" w:line="360" w:lineRule="auto"/>
        <w:jc w:val="both"/>
        <w:rPr>
          <w:rFonts w:ascii="Arial" w:hAnsi="Arial" w:cs="Arial"/>
          <w:b/>
          <w:sz w:val="20"/>
          <w:szCs w:val="20"/>
        </w:rPr>
      </w:pPr>
    </w:p>
    <w:p w14:paraId="7D858F39" w14:textId="77777777" w:rsidR="00E14106" w:rsidRDefault="00E14106" w:rsidP="00FA0D70">
      <w:pPr>
        <w:tabs>
          <w:tab w:val="left" w:pos="930"/>
        </w:tabs>
        <w:spacing w:after="0" w:line="360" w:lineRule="auto"/>
        <w:jc w:val="both"/>
        <w:rPr>
          <w:rFonts w:ascii="Arial" w:hAnsi="Arial" w:cs="Arial"/>
          <w:b/>
          <w:sz w:val="20"/>
          <w:szCs w:val="20"/>
        </w:rPr>
      </w:pPr>
    </w:p>
    <w:p w14:paraId="07D47A8B" w14:textId="77777777" w:rsidR="00E14106" w:rsidRDefault="00E14106" w:rsidP="00FA0D70">
      <w:pPr>
        <w:tabs>
          <w:tab w:val="left" w:pos="930"/>
        </w:tabs>
        <w:spacing w:after="0" w:line="360" w:lineRule="auto"/>
        <w:jc w:val="both"/>
        <w:rPr>
          <w:rFonts w:ascii="Arial" w:hAnsi="Arial" w:cs="Arial"/>
          <w:b/>
          <w:sz w:val="20"/>
          <w:szCs w:val="20"/>
        </w:rPr>
      </w:pPr>
    </w:p>
    <w:p w14:paraId="7D6DCB48" w14:textId="77777777" w:rsidR="00E14106" w:rsidRDefault="00E14106" w:rsidP="00FA0D70">
      <w:pPr>
        <w:tabs>
          <w:tab w:val="left" w:pos="930"/>
        </w:tabs>
        <w:spacing w:after="0" w:line="360" w:lineRule="auto"/>
        <w:jc w:val="both"/>
        <w:rPr>
          <w:rFonts w:ascii="Arial" w:hAnsi="Arial" w:cs="Arial"/>
          <w:b/>
          <w:sz w:val="20"/>
          <w:szCs w:val="20"/>
        </w:rPr>
      </w:pPr>
    </w:p>
    <w:p w14:paraId="781C9079" w14:textId="77777777" w:rsidR="00E14106" w:rsidRDefault="00E14106" w:rsidP="00FA0D70">
      <w:pPr>
        <w:tabs>
          <w:tab w:val="left" w:pos="930"/>
        </w:tabs>
        <w:spacing w:after="0" w:line="360" w:lineRule="auto"/>
        <w:jc w:val="both"/>
        <w:rPr>
          <w:rFonts w:ascii="Arial" w:hAnsi="Arial" w:cs="Arial"/>
          <w:b/>
          <w:sz w:val="20"/>
          <w:szCs w:val="20"/>
        </w:rPr>
      </w:pPr>
    </w:p>
    <w:p w14:paraId="7ADF73F4" w14:textId="77777777" w:rsidR="00E14106" w:rsidRDefault="00E14106" w:rsidP="00FA0D70">
      <w:pPr>
        <w:tabs>
          <w:tab w:val="left" w:pos="930"/>
        </w:tabs>
        <w:spacing w:after="0" w:line="360" w:lineRule="auto"/>
        <w:jc w:val="both"/>
        <w:rPr>
          <w:rFonts w:ascii="Arial" w:hAnsi="Arial" w:cs="Arial"/>
          <w:b/>
          <w:sz w:val="20"/>
          <w:szCs w:val="20"/>
        </w:rPr>
      </w:pPr>
    </w:p>
    <w:p w14:paraId="69705D89" w14:textId="77777777" w:rsidR="00E14106" w:rsidRDefault="00E14106" w:rsidP="00FA0D70">
      <w:pPr>
        <w:tabs>
          <w:tab w:val="left" w:pos="930"/>
        </w:tabs>
        <w:spacing w:after="0" w:line="360" w:lineRule="auto"/>
        <w:jc w:val="both"/>
        <w:rPr>
          <w:rFonts w:ascii="Arial" w:hAnsi="Arial" w:cs="Arial"/>
          <w:b/>
          <w:sz w:val="20"/>
          <w:szCs w:val="20"/>
        </w:rPr>
      </w:pPr>
    </w:p>
    <w:p w14:paraId="16C14164" w14:textId="77777777" w:rsidR="00E14106" w:rsidRDefault="00E14106" w:rsidP="00FA0D70">
      <w:pPr>
        <w:tabs>
          <w:tab w:val="left" w:pos="930"/>
        </w:tabs>
        <w:spacing w:after="0" w:line="360" w:lineRule="auto"/>
        <w:jc w:val="both"/>
        <w:rPr>
          <w:rFonts w:ascii="Arial" w:hAnsi="Arial" w:cs="Arial"/>
          <w:b/>
          <w:sz w:val="20"/>
          <w:szCs w:val="20"/>
        </w:rPr>
      </w:pPr>
    </w:p>
    <w:p w14:paraId="0EF64D08" w14:textId="77777777" w:rsidR="00E14106" w:rsidRDefault="00E14106" w:rsidP="00FA0D70">
      <w:pPr>
        <w:tabs>
          <w:tab w:val="left" w:pos="930"/>
        </w:tabs>
        <w:spacing w:after="0" w:line="360" w:lineRule="auto"/>
        <w:jc w:val="both"/>
        <w:rPr>
          <w:rFonts w:ascii="Arial" w:hAnsi="Arial" w:cs="Arial"/>
          <w:b/>
          <w:sz w:val="20"/>
          <w:szCs w:val="20"/>
        </w:rPr>
      </w:pPr>
    </w:p>
    <w:p w14:paraId="19F5EC1F" w14:textId="77777777" w:rsidR="00E14106" w:rsidRDefault="00E14106" w:rsidP="00FA0D70">
      <w:pPr>
        <w:tabs>
          <w:tab w:val="left" w:pos="930"/>
        </w:tabs>
        <w:spacing w:after="0" w:line="360" w:lineRule="auto"/>
        <w:jc w:val="both"/>
        <w:rPr>
          <w:rFonts w:ascii="Arial" w:hAnsi="Arial" w:cs="Arial"/>
          <w:b/>
          <w:sz w:val="20"/>
          <w:szCs w:val="20"/>
        </w:rPr>
      </w:pPr>
    </w:p>
    <w:p w14:paraId="0A702E4B" w14:textId="77777777" w:rsidR="00E14106" w:rsidRPr="006435D7" w:rsidRDefault="00E14106" w:rsidP="00FA0D70">
      <w:pPr>
        <w:tabs>
          <w:tab w:val="left" w:pos="930"/>
        </w:tabs>
        <w:spacing w:after="0" w:line="360" w:lineRule="auto"/>
        <w:jc w:val="both"/>
        <w:rPr>
          <w:rFonts w:ascii="Arial" w:hAnsi="Arial" w:cs="Arial"/>
          <w:b/>
          <w:sz w:val="20"/>
          <w:szCs w:val="20"/>
        </w:rPr>
      </w:pPr>
    </w:p>
    <w:p w14:paraId="0CAC9C3C" w14:textId="77777777" w:rsidR="00337625" w:rsidRPr="006435D7" w:rsidRDefault="00337625" w:rsidP="00FA0D70">
      <w:pPr>
        <w:tabs>
          <w:tab w:val="left" w:pos="930"/>
        </w:tabs>
        <w:spacing w:after="0" w:line="360" w:lineRule="auto"/>
        <w:jc w:val="both"/>
        <w:rPr>
          <w:rFonts w:ascii="Arial" w:hAnsi="Arial" w:cs="Arial"/>
          <w:b/>
          <w:sz w:val="20"/>
          <w:szCs w:val="20"/>
        </w:rPr>
      </w:pPr>
    </w:p>
    <w:p w14:paraId="54F26AFC" w14:textId="51B20DFD" w:rsidR="005F1E1C" w:rsidRPr="00E14106" w:rsidRDefault="008E400C" w:rsidP="008C0AF1">
      <w:pPr>
        <w:tabs>
          <w:tab w:val="left" w:pos="930"/>
        </w:tabs>
        <w:spacing w:after="0" w:line="360" w:lineRule="auto"/>
        <w:jc w:val="both"/>
        <w:rPr>
          <w:rFonts w:ascii="Arial" w:hAnsi="Arial" w:cs="Arial"/>
          <w:b/>
        </w:rPr>
      </w:pPr>
      <w:r w:rsidRPr="00E14106">
        <w:rPr>
          <w:rStyle w:val="Strong"/>
          <w:rFonts w:ascii="Arial" w:hAnsi="Arial" w:cs="Arial"/>
        </w:rPr>
        <w:t xml:space="preserve">Table 10: </w:t>
      </w:r>
      <w:r w:rsidR="004F218A" w:rsidRPr="00E14106">
        <w:rPr>
          <w:rStyle w:val="Strong"/>
          <w:rFonts w:ascii="Arial" w:hAnsi="Arial" w:cs="Arial"/>
        </w:rPr>
        <w:t>Hypothesis Testing Analysis for Causal and Long-Run Relationships Between Coal Consumption and Economic Growth</w:t>
      </w:r>
      <w:r w:rsidR="00485F0F" w:rsidRPr="00E14106">
        <w:rPr>
          <w:rStyle w:val="Strong"/>
          <w:rFonts w:ascii="Arial" w:hAnsi="Arial" w:cs="Arial"/>
        </w:rPr>
        <w:t>.</w:t>
      </w:r>
    </w:p>
    <w:tbl>
      <w:tblPr>
        <w:tblW w:w="9464" w:type="dxa"/>
        <w:tblInd w:w="94" w:type="dxa"/>
        <w:tblLook w:val="04A0" w:firstRow="1" w:lastRow="0" w:firstColumn="1" w:lastColumn="0" w:noHBand="0" w:noVBand="1"/>
      </w:tblPr>
      <w:tblGrid>
        <w:gridCol w:w="1350"/>
        <w:gridCol w:w="1456"/>
        <w:gridCol w:w="1123"/>
        <w:gridCol w:w="1043"/>
        <w:gridCol w:w="816"/>
        <w:gridCol w:w="1246"/>
        <w:gridCol w:w="2430"/>
      </w:tblGrid>
      <w:tr w:rsidR="005F1E1C" w:rsidRPr="006435D7" w14:paraId="2AE8C274" w14:textId="77777777" w:rsidTr="00F13939">
        <w:trPr>
          <w:trHeight w:val="1260"/>
        </w:trPr>
        <w:tc>
          <w:tcPr>
            <w:tcW w:w="1350" w:type="dxa"/>
            <w:tcBorders>
              <w:top w:val="single" w:sz="4" w:space="0" w:color="auto"/>
              <w:left w:val="single" w:sz="4" w:space="0" w:color="auto"/>
              <w:bottom w:val="single" w:sz="4" w:space="0" w:color="auto"/>
              <w:right w:val="single" w:sz="4" w:space="0" w:color="auto"/>
            </w:tcBorders>
            <w:vAlign w:val="center"/>
            <w:hideMark/>
          </w:tcPr>
          <w:p w14:paraId="72FF206F"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Hypothesis No.</w:t>
            </w:r>
          </w:p>
        </w:tc>
        <w:tc>
          <w:tcPr>
            <w:tcW w:w="1456" w:type="dxa"/>
            <w:tcBorders>
              <w:top w:val="single" w:sz="4" w:space="0" w:color="auto"/>
              <w:left w:val="nil"/>
              <w:bottom w:val="single" w:sz="4" w:space="0" w:color="auto"/>
              <w:right w:val="single" w:sz="4" w:space="0" w:color="auto"/>
            </w:tcBorders>
            <w:vAlign w:val="center"/>
            <w:hideMark/>
          </w:tcPr>
          <w:p w14:paraId="408C28D4"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Null Hypothesis (H</w:t>
            </w:r>
            <w:r w:rsidRPr="006435D7">
              <w:rPr>
                <w:rFonts w:ascii="Times New Roman" w:eastAsia="Times New Roman" w:hAnsi="Times New Roman" w:cs="Arial"/>
                <w:b/>
                <w:bCs/>
                <w:color w:val="000000"/>
                <w:sz w:val="20"/>
                <w:szCs w:val="20"/>
              </w:rPr>
              <w:t>₀</w:t>
            </w:r>
            <w:r w:rsidRPr="006435D7">
              <w:rPr>
                <w:rFonts w:ascii="Arial" w:eastAsia="Times New Roman" w:hAnsi="Arial" w:cs="Arial"/>
                <w:b/>
                <w:bCs/>
                <w:color w:val="000000"/>
                <w:sz w:val="20"/>
                <w:szCs w:val="20"/>
              </w:rPr>
              <w:t>)</w:t>
            </w:r>
          </w:p>
        </w:tc>
        <w:tc>
          <w:tcPr>
            <w:tcW w:w="1123" w:type="dxa"/>
            <w:tcBorders>
              <w:top w:val="single" w:sz="4" w:space="0" w:color="auto"/>
              <w:left w:val="nil"/>
              <w:bottom w:val="single" w:sz="4" w:space="0" w:color="auto"/>
              <w:right w:val="single" w:sz="4" w:space="0" w:color="auto"/>
            </w:tcBorders>
            <w:vAlign w:val="center"/>
            <w:hideMark/>
          </w:tcPr>
          <w:p w14:paraId="5C071312"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Test Applied</w:t>
            </w:r>
          </w:p>
        </w:tc>
        <w:tc>
          <w:tcPr>
            <w:tcW w:w="1043" w:type="dxa"/>
            <w:tcBorders>
              <w:top w:val="single" w:sz="4" w:space="0" w:color="auto"/>
              <w:left w:val="nil"/>
              <w:bottom w:val="single" w:sz="4" w:space="0" w:color="auto"/>
              <w:right w:val="single" w:sz="4" w:space="0" w:color="auto"/>
            </w:tcBorders>
            <w:vAlign w:val="center"/>
            <w:hideMark/>
          </w:tcPr>
          <w:p w14:paraId="16739360"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Test Statistic / F-Value</w:t>
            </w:r>
          </w:p>
        </w:tc>
        <w:tc>
          <w:tcPr>
            <w:tcW w:w="816" w:type="dxa"/>
            <w:tcBorders>
              <w:top w:val="single" w:sz="4" w:space="0" w:color="auto"/>
              <w:left w:val="nil"/>
              <w:bottom w:val="single" w:sz="4" w:space="0" w:color="auto"/>
              <w:right w:val="single" w:sz="4" w:space="0" w:color="auto"/>
            </w:tcBorders>
            <w:vAlign w:val="center"/>
            <w:hideMark/>
          </w:tcPr>
          <w:p w14:paraId="6AE98AB0"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p-Value</w:t>
            </w:r>
          </w:p>
        </w:tc>
        <w:tc>
          <w:tcPr>
            <w:tcW w:w="1246" w:type="dxa"/>
            <w:tcBorders>
              <w:top w:val="single" w:sz="4" w:space="0" w:color="auto"/>
              <w:left w:val="nil"/>
              <w:bottom w:val="single" w:sz="4" w:space="0" w:color="auto"/>
              <w:right w:val="single" w:sz="4" w:space="0" w:color="auto"/>
            </w:tcBorders>
            <w:vAlign w:val="center"/>
            <w:hideMark/>
          </w:tcPr>
          <w:p w14:paraId="1C7A605A"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Decision Rule</w:t>
            </w:r>
          </w:p>
        </w:tc>
        <w:tc>
          <w:tcPr>
            <w:tcW w:w="2430" w:type="dxa"/>
            <w:tcBorders>
              <w:top w:val="single" w:sz="4" w:space="0" w:color="auto"/>
              <w:left w:val="nil"/>
              <w:bottom w:val="single" w:sz="4" w:space="0" w:color="auto"/>
              <w:right w:val="single" w:sz="4" w:space="0" w:color="auto"/>
            </w:tcBorders>
            <w:vAlign w:val="center"/>
            <w:hideMark/>
          </w:tcPr>
          <w:p w14:paraId="1DCF0B14"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Result / Interpretation</w:t>
            </w:r>
          </w:p>
        </w:tc>
      </w:tr>
      <w:tr w:rsidR="005F1E1C" w:rsidRPr="006435D7" w14:paraId="349B73B9" w14:textId="77777777" w:rsidTr="00F13939">
        <w:trPr>
          <w:trHeight w:val="64"/>
        </w:trPr>
        <w:tc>
          <w:tcPr>
            <w:tcW w:w="1350" w:type="dxa"/>
            <w:tcBorders>
              <w:top w:val="nil"/>
              <w:left w:val="single" w:sz="4" w:space="0" w:color="auto"/>
              <w:bottom w:val="single" w:sz="4" w:space="0" w:color="auto"/>
              <w:right w:val="single" w:sz="4" w:space="0" w:color="auto"/>
            </w:tcBorders>
            <w:vAlign w:val="bottom"/>
            <w:hideMark/>
          </w:tcPr>
          <w:p w14:paraId="3E789ADB"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H</w:t>
            </w:r>
            <w:r w:rsidRPr="006435D7">
              <w:rPr>
                <w:rFonts w:ascii="Times New Roman" w:eastAsia="Times New Roman" w:hAnsi="Times New Roman" w:cs="Arial"/>
                <w:color w:val="000000"/>
                <w:sz w:val="20"/>
                <w:szCs w:val="20"/>
              </w:rPr>
              <w:t>₁</w:t>
            </w:r>
          </w:p>
        </w:tc>
        <w:tc>
          <w:tcPr>
            <w:tcW w:w="1456" w:type="dxa"/>
            <w:tcBorders>
              <w:top w:val="nil"/>
              <w:left w:val="nil"/>
              <w:bottom w:val="single" w:sz="4" w:space="0" w:color="auto"/>
              <w:right w:val="single" w:sz="4" w:space="0" w:color="auto"/>
            </w:tcBorders>
            <w:vAlign w:val="bottom"/>
            <w:hideMark/>
          </w:tcPr>
          <w:p w14:paraId="33D99EAC"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consumption does not Granger-cause economic growth in India.</w:t>
            </w:r>
          </w:p>
        </w:tc>
        <w:tc>
          <w:tcPr>
            <w:tcW w:w="1123" w:type="dxa"/>
            <w:tcBorders>
              <w:top w:val="nil"/>
              <w:left w:val="nil"/>
              <w:bottom w:val="single" w:sz="4" w:space="0" w:color="auto"/>
              <w:right w:val="single" w:sz="4" w:space="0" w:color="auto"/>
            </w:tcBorders>
            <w:vAlign w:val="bottom"/>
            <w:hideMark/>
          </w:tcPr>
          <w:p w14:paraId="3EA90187"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Granger Causality Test</w:t>
            </w:r>
          </w:p>
        </w:tc>
        <w:tc>
          <w:tcPr>
            <w:tcW w:w="1043" w:type="dxa"/>
            <w:tcBorders>
              <w:top w:val="nil"/>
              <w:left w:val="nil"/>
              <w:bottom w:val="single" w:sz="4" w:space="0" w:color="auto"/>
              <w:right w:val="single" w:sz="4" w:space="0" w:color="auto"/>
            </w:tcBorders>
            <w:vAlign w:val="bottom"/>
            <w:hideMark/>
          </w:tcPr>
          <w:p w14:paraId="74AC7819"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F = 4.682</w:t>
            </w:r>
          </w:p>
        </w:tc>
        <w:tc>
          <w:tcPr>
            <w:tcW w:w="816" w:type="dxa"/>
            <w:tcBorders>
              <w:top w:val="nil"/>
              <w:left w:val="nil"/>
              <w:bottom w:val="single" w:sz="4" w:space="0" w:color="auto"/>
              <w:right w:val="single" w:sz="4" w:space="0" w:color="auto"/>
            </w:tcBorders>
            <w:vAlign w:val="bottom"/>
            <w:hideMark/>
          </w:tcPr>
          <w:p w14:paraId="1788520B"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0.015</w:t>
            </w:r>
          </w:p>
        </w:tc>
        <w:tc>
          <w:tcPr>
            <w:tcW w:w="1246" w:type="dxa"/>
            <w:tcBorders>
              <w:top w:val="nil"/>
              <w:left w:val="nil"/>
              <w:bottom w:val="single" w:sz="4" w:space="0" w:color="auto"/>
              <w:right w:val="single" w:sz="4" w:space="0" w:color="auto"/>
            </w:tcBorders>
            <w:vAlign w:val="bottom"/>
            <w:hideMark/>
          </w:tcPr>
          <w:p w14:paraId="63C02651"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Reject H</w:t>
            </w:r>
            <w:r w:rsidRPr="006435D7">
              <w:rPr>
                <w:rFonts w:ascii="Times New Roman" w:eastAsia="Times New Roman" w:hAnsi="Times New Roman" w:cs="Arial"/>
                <w:color w:val="000000"/>
                <w:sz w:val="20"/>
                <w:szCs w:val="20"/>
              </w:rPr>
              <w:t>₀</w:t>
            </w:r>
            <w:r w:rsidRPr="006435D7">
              <w:rPr>
                <w:rFonts w:ascii="Arial" w:eastAsia="Times New Roman" w:hAnsi="Arial" w:cs="Arial"/>
                <w:color w:val="000000"/>
                <w:sz w:val="20"/>
                <w:szCs w:val="20"/>
              </w:rPr>
              <w:t xml:space="preserve"> if p &lt; 0.05</w:t>
            </w:r>
          </w:p>
        </w:tc>
        <w:tc>
          <w:tcPr>
            <w:tcW w:w="2430" w:type="dxa"/>
            <w:tcBorders>
              <w:top w:val="nil"/>
              <w:left w:val="nil"/>
              <w:bottom w:val="single" w:sz="4" w:space="0" w:color="auto"/>
              <w:right w:val="single" w:sz="4" w:space="0" w:color="auto"/>
            </w:tcBorders>
            <w:vAlign w:val="bottom"/>
            <w:hideMark/>
          </w:tcPr>
          <w:p w14:paraId="5D8AE5B7"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Since p = 0.015 &lt; 0.05, the null hypothesis is rejected, indicating that coal consumption Granger-causes economic growth in India.</w:t>
            </w:r>
          </w:p>
        </w:tc>
      </w:tr>
      <w:tr w:rsidR="005F1E1C" w:rsidRPr="006435D7" w14:paraId="0894E8B4" w14:textId="77777777" w:rsidTr="00F13939">
        <w:trPr>
          <w:trHeight w:val="64"/>
        </w:trPr>
        <w:tc>
          <w:tcPr>
            <w:tcW w:w="1350" w:type="dxa"/>
            <w:tcBorders>
              <w:top w:val="nil"/>
              <w:left w:val="single" w:sz="4" w:space="0" w:color="auto"/>
              <w:bottom w:val="single" w:sz="4" w:space="0" w:color="auto"/>
              <w:right w:val="single" w:sz="4" w:space="0" w:color="auto"/>
            </w:tcBorders>
            <w:vAlign w:val="bottom"/>
            <w:hideMark/>
          </w:tcPr>
          <w:p w14:paraId="4AB35CAB"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H</w:t>
            </w:r>
            <w:r w:rsidRPr="006435D7">
              <w:rPr>
                <w:rFonts w:ascii="Times New Roman" w:eastAsia="Times New Roman" w:hAnsi="Times New Roman" w:cs="Arial"/>
                <w:color w:val="000000"/>
                <w:sz w:val="20"/>
                <w:szCs w:val="20"/>
              </w:rPr>
              <w:t>₂</w:t>
            </w:r>
          </w:p>
        </w:tc>
        <w:tc>
          <w:tcPr>
            <w:tcW w:w="1456" w:type="dxa"/>
            <w:tcBorders>
              <w:top w:val="nil"/>
              <w:left w:val="nil"/>
              <w:bottom w:val="single" w:sz="4" w:space="0" w:color="auto"/>
              <w:right w:val="single" w:sz="4" w:space="0" w:color="auto"/>
            </w:tcBorders>
            <w:vAlign w:val="bottom"/>
            <w:hideMark/>
          </w:tcPr>
          <w:p w14:paraId="5DF6EB81"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Economic growth does not Granger-cause coal consumption in India.</w:t>
            </w:r>
          </w:p>
        </w:tc>
        <w:tc>
          <w:tcPr>
            <w:tcW w:w="1123" w:type="dxa"/>
            <w:tcBorders>
              <w:top w:val="nil"/>
              <w:left w:val="nil"/>
              <w:bottom w:val="single" w:sz="4" w:space="0" w:color="auto"/>
              <w:right w:val="single" w:sz="4" w:space="0" w:color="auto"/>
            </w:tcBorders>
            <w:vAlign w:val="bottom"/>
            <w:hideMark/>
          </w:tcPr>
          <w:p w14:paraId="64B59678"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Granger Causality Test</w:t>
            </w:r>
          </w:p>
        </w:tc>
        <w:tc>
          <w:tcPr>
            <w:tcW w:w="1043" w:type="dxa"/>
            <w:tcBorders>
              <w:top w:val="nil"/>
              <w:left w:val="nil"/>
              <w:bottom w:val="single" w:sz="4" w:space="0" w:color="auto"/>
              <w:right w:val="single" w:sz="4" w:space="0" w:color="auto"/>
            </w:tcBorders>
            <w:vAlign w:val="bottom"/>
            <w:hideMark/>
          </w:tcPr>
          <w:p w14:paraId="255A54EF"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F = 5.214</w:t>
            </w:r>
          </w:p>
        </w:tc>
        <w:tc>
          <w:tcPr>
            <w:tcW w:w="816" w:type="dxa"/>
            <w:tcBorders>
              <w:top w:val="nil"/>
              <w:left w:val="nil"/>
              <w:bottom w:val="single" w:sz="4" w:space="0" w:color="auto"/>
              <w:right w:val="single" w:sz="4" w:space="0" w:color="auto"/>
            </w:tcBorders>
            <w:vAlign w:val="bottom"/>
            <w:hideMark/>
          </w:tcPr>
          <w:p w14:paraId="1579186A"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0.01</w:t>
            </w:r>
          </w:p>
        </w:tc>
        <w:tc>
          <w:tcPr>
            <w:tcW w:w="1246" w:type="dxa"/>
            <w:tcBorders>
              <w:top w:val="nil"/>
              <w:left w:val="nil"/>
              <w:bottom w:val="single" w:sz="4" w:space="0" w:color="auto"/>
              <w:right w:val="single" w:sz="4" w:space="0" w:color="auto"/>
            </w:tcBorders>
            <w:vAlign w:val="bottom"/>
            <w:hideMark/>
          </w:tcPr>
          <w:p w14:paraId="61AA47D6"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Reject H</w:t>
            </w:r>
            <w:r w:rsidRPr="006435D7">
              <w:rPr>
                <w:rFonts w:ascii="Times New Roman" w:eastAsia="Times New Roman" w:hAnsi="Times New Roman" w:cs="Arial"/>
                <w:color w:val="000000"/>
                <w:sz w:val="20"/>
                <w:szCs w:val="20"/>
              </w:rPr>
              <w:t>₀</w:t>
            </w:r>
            <w:r w:rsidRPr="006435D7">
              <w:rPr>
                <w:rFonts w:ascii="Arial" w:eastAsia="Times New Roman" w:hAnsi="Arial" w:cs="Arial"/>
                <w:color w:val="000000"/>
                <w:sz w:val="20"/>
                <w:szCs w:val="20"/>
              </w:rPr>
              <w:t xml:space="preserve"> if p &lt; 0.05</w:t>
            </w:r>
          </w:p>
        </w:tc>
        <w:tc>
          <w:tcPr>
            <w:tcW w:w="2430" w:type="dxa"/>
            <w:tcBorders>
              <w:top w:val="nil"/>
              <w:left w:val="nil"/>
              <w:bottom w:val="single" w:sz="4" w:space="0" w:color="auto"/>
              <w:right w:val="single" w:sz="4" w:space="0" w:color="auto"/>
            </w:tcBorders>
            <w:vAlign w:val="bottom"/>
            <w:hideMark/>
          </w:tcPr>
          <w:p w14:paraId="5C92D8D2"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The null hypothesis is rejected (p = 0.010 &lt; 0.05), implying that economic growth also Granger-causes coal consumption.</w:t>
            </w:r>
          </w:p>
        </w:tc>
      </w:tr>
      <w:tr w:rsidR="005F1E1C" w:rsidRPr="006435D7" w14:paraId="533DCC79" w14:textId="77777777" w:rsidTr="00F13939">
        <w:trPr>
          <w:trHeight w:val="74"/>
        </w:trPr>
        <w:tc>
          <w:tcPr>
            <w:tcW w:w="1350" w:type="dxa"/>
            <w:tcBorders>
              <w:top w:val="nil"/>
              <w:left w:val="single" w:sz="4" w:space="0" w:color="auto"/>
              <w:bottom w:val="single" w:sz="4" w:space="0" w:color="auto"/>
              <w:right w:val="single" w:sz="4" w:space="0" w:color="auto"/>
            </w:tcBorders>
            <w:vAlign w:val="bottom"/>
            <w:hideMark/>
          </w:tcPr>
          <w:p w14:paraId="53AFF0E5"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lastRenderedPageBreak/>
              <w:t>H</w:t>
            </w:r>
            <w:r w:rsidRPr="006435D7">
              <w:rPr>
                <w:rFonts w:ascii="Times New Roman" w:eastAsia="Times New Roman" w:hAnsi="Times New Roman" w:cs="Arial"/>
                <w:color w:val="000000"/>
                <w:sz w:val="20"/>
                <w:szCs w:val="20"/>
              </w:rPr>
              <w:t>₃</w:t>
            </w:r>
          </w:p>
        </w:tc>
        <w:tc>
          <w:tcPr>
            <w:tcW w:w="1456" w:type="dxa"/>
            <w:tcBorders>
              <w:top w:val="nil"/>
              <w:left w:val="nil"/>
              <w:bottom w:val="single" w:sz="4" w:space="0" w:color="auto"/>
              <w:right w:val="single" w:sz="4" w:space="0" w:color="auto"/>
            </w:tcBorders>
            <w:vAlign w:val="bottom"/>
            <w:hideMark/>
          </w:tcPr>
          <w:p w14:paraId="1FB9612D"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No long-run relationship exists between coal consumption and economic growth.</w:t>
            </w:r>
          </w:p>
        </w:tc>
        <w:tc>
          <w:tcPr>
            <w:tcW w:w="1123" w:type="dxa"/>
            <w:tcBorders>
              <w:top w:val="nil"/>
              <w:left w:val="nil"/>
              <w:bottom w:val="single" w:sz="4" w:space="0" w:color="auto"/>
              <w:right w:val="single" w:sz="4" w:space="0" w:color="auto"/>
            </w:tcBorders>
            <w:vAlign w:val="bottom"/>
            <w:hideMark/>
          </w:tcPr>
          <w:p w14:paraId="25D1C8FA"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ARDL Bounds Test</w:t>
            </w:r>
          </w:p>
        </w:tc>
        <w:tc>
          <w:tcPr>
            <w:tcW w:w="1043" w:type="dxa"/>
            <w:tcBorders>
              <w:top w:val="nil"/>
              <w:left w:val="nil"/>
              <w:bottom w:val="single" w:sz="4" w:space="0" w:color="auto"/>
              <w:right w:val="single" w:sz="4" w:space="0" w:color="auto"/>
            </w:tcBorders>
            <w:vAlign w:val="bottom"/>
            <w:hideMark/>
          </w:tcPr>
          <w:p w14:paraId="7C17D930"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F = 7.826</w:t>
            </w:r>
          </w:p>
        </w:tc>
        <w:tc>
          <w:tcPr>
            <w:tcW w:w="816" w:type="dxa"/>
            <w:tcBorders>
              <w:top w:val="nil"/>
              <w:left w:val="nil"/>
              <w:bottom w:val="single" w:sz="4" w:space="0" w:color="auto"/>
              <w:right w:val="single" w:sz="4" w:space="0" w:color="auto"/>
            </w:tcBorders>
            <w:vAlign w:val="bottom"/>
            <w:hideMark/>
          </w:tcPr>
          <w:p w14:paraId="39F3F362"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w:t>
            </w:r>
          </w:p>
        </w:tc>
        <w:tc>
          <w:tcPr>
            <w:tcW w:w="1246" w:type="dxa"/>
            <w:tcBorders>
              <w:top w:val="nil"/>
              <w:left w:val="nil"/>
              <w:bottom w:val="single" w:sz="4" w:space="0" w:color="auto"/>
              <w:right w:val="single" w:sz="4" w:space="0" w:color="auto"/>
            </w:tcBorders>
            <w:vAlign w:val="bottom"/>
            <w:hideMark/>
          </w:tcPr>
          <w:p w14:paraId="5ECCD4A3"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Reject H</w:t>
            </w:r>
            <w:r w:rsidRPr="006435D7">
              <w:rPr>
                <w:rFonts w:ascii="Times New Roman" w:eastAsia="Times New Roman" w:hAnsi="Times New Roman" w:cs="Arial"/>
                <w:color w:val="000000"/>
                <w:sz w:val="20"/>
                <w:szCs w:val="20"/>
              </w:rPr>
              <w:t>₀</w:t>
            </w:r>
            <w:r w:rsidRPr="006435D7">
              <w:rPr>
                <w:rFonts w:ascii="Arial" w:eastAsia="Times New Roman" w:hAnsi="Arial" w:cs="Arial"/>
                <w:color w:val="000000"/>
                <w:sz w:val="20"/>
                <w:szCs w:val="20"/>
              </w:rPr>
              <w:t xml:space="preserve"> if F &gt; Upper Bound (4.85)</w:t>
            </w:r>
          </w:p>
        </w:tc>
        <w:tc>
          <w:tcPr>
            <w:tcW w:w="2430" w:type="dxa"/>
            <w:tcBorders>
              <w:top w:val="nil"/>
              <w:left w:val="nil"/>
              <w:bottom w:val="single" w:sz="4" w:space="0" w:color="auto"/>
              <w:right w:val="single" w:sz="4" w:space="0" w:color="auto"/>
            </w:tcBorders>
            <w:vAlign w:val="bottom"/>
            <w:hideMark/>
          </w:tcPr>
          <w:p w14:paraId="7306497A"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Since the F-statistic (7.826) exceeds the upper bound, the null is rejected, confirming a long-run equilibrium relationship between the variables.</w:t>
            </w:r>
          </w:p>
        </w:tc>
      </w:tr>
    </w:tbl>
    <w:p w14:paraId="04DA213E" w14:textId="77777777" w:rsidR="0056076F" w:rsidRPr="006435D7" w:rsidRDefault="005F1E1C" w:rsidP="00E14106">
      <w:pPr>
        <w:tabs>
          <w:tab w:val="left" w:pos="930"/>
        </w:tabs>
        <w:spacing w:after="0" w:line="480" w:lineRule="auto"/>
        <w:jc w:val="both"/>
        <w:rPr>
          <w:rFonts w:ascii="Arial" w:hAnsi="Arial" w:cs="Arial"/>
          <w:b/>
          <w:sz w:val="20"/>
          <w:szCs w:val="20"/>
        </w:rPr>
      </w:pPr>
      <w:r w:rsidRPr="00E14106">
        <w:rPr>
          <w:rFonts w:ascii="Arial" w:hAnsi="Arial" w:cs="Arial"/>
          <w:b/>
        </w:rPr>
        <w:t>Source:</w:t>
      </w:r>
      <w:r w:rsidR="0056076F" w:rsidRPr="006435D7">
        <w:rPr>
          <w:rFonts w:ascii="Arial" w:hAnsi="Arial" w:cs="Arial"/>
          <w:b/>
          <w:sz w:val="20"/>
          <w:szCs w:val="20"/>
        </w:rPr>
        <w:t xml:space="preserve"> </w:t>
      </w:r>
      <w:r w:rsidR="0056076F" w:rsidRPr="006435D7">
        <w:rPr>
          <w:rFonts w:ascii="Arial" w:hAnsi="Arial" w:cs="Arial"/>
          <w:sz w:val="20"/>
          <w:szCs w:val="20"/>
        </w:rPr>
        <w:t>Author’s computation from Granger and ARDL results using EViews 12, with data from WDI, RBI, and Ministry of Coal (1980–2025).</w:t>
      </w:r>
    </w:p>
    <w:p w14:paraId="3F39EE7D" w14:textId="53952508" w:rsidR="009F303D" w:rsidRPr="006435D7" w:rsidRDefault="009F303D" w:rsidP="00E14106">
      <w:pPr>
        <w:tabs>
          <w:tab w:val="left" w:pos="930"/>
        </w:tabs>
        <w:spacing w:after="0" w:line="480" w:lineRule="auto"/>
        <w:jc w:val="both"/>
        <w:rPr>
          <w:rFonts w:ascii="Arial" w:hAnsi="Arial" w:cs="Arial"/>
          <w:sz w:val="20"/>
          <w:szCs w:val="20"/>
        </w:rPr>
      </w:pPr>
      <w:r w:rsidRPr="006435D7">
        <w:rPr>
          <w:rFonts w:ascii="Arial" w:hAnsi="Arial" w:cs="Arial"/>
          <w:sz w:val="20"/>
          <w:szCs w:val="20"/>
        </w:rPr>
        <w:tab/>
      </w:r>
      <w:r w:rsidR="0056076F" w:rsidRPr="006435D7">
        <w:rPr>
          <w:rFonts w:ascii="Arial" w:hAnsi="Arial" w:cs="Arial"/>
          <w:sz w:val="20"/>
          <w:szCs w:val="20"/>
        </w:rPr>
        <w:t>Table 10 summarizes hypothesis testing outcomes based on Granger causality and ARDL bounds results. The null hypotheses for H</w:t>
      </w:r>
      <w:r w:rsidR="0056076F" w:rsidRPr="006435D7">
        <w:rPr>
          <w:rFonts w:ascii="Times New Roman" w:hAnsi="Times New Roman" w:cs="Arial"/>
          <w:sz w:val="20"/>
          <w:szCs w:val="20"/>
        </w:rPr>
        <w:t>₁</w:t>
      </w:r>
      <w:r w:rsidR="0056076F" w:rsidRPr="006435D7">
        <w:rPr>
          <w:rFonts w:ascii="Arial" w:hAnsi="Arial" w:cs="Arial"/>
          <w:sz w:val="20"/>
          <w:szCs w:val="20"/>
        </w:rPr>
        <w:t xml:space="preserve"> (coal does not cause GDP) and H</w:t>
      </w:r>
      <w:r w:rsidR="0056076F" w:rsidRPr="006435D7">
        <w:rPr>
          <w:rFonts w:ascii="Times New Roman" w:hAnsi="Times New Roman" w:cs="Arial"/>
          <w:sz w:val="20"/>
          <w:szCs w:val="20"/>
        </w:rPr>
        <w:t>₂</w:t>
      </w:r>
      <w:r w:rsidR="0056076F" w:rsidRPr="006435D7">
        <w:rPr>
          <w:rFonts w:ascii="Arial" w:hAnsi="Arial" w:cs="Arial"/>
          <w:sz w:val="20"/>
          <w:szCs w:val="20"/>
        </w:rPr>
        <w:t xml:space="preserve"> (GDP does not cause coal) are both rejected at the 5% significance level, confirming bidirectional causality. The ARDL F-statistic (7.826 &gt; 4.85) leads to the rejection of H</w:t>
      </w:r>
      <w:r w:rsidR="0056076F" w:rsidRPr="006435D7">
        <w:rPr>
          <w:rFonts w:ascii="Times New Roman" w:hAnsi="Times New Roman" w:cs="Arial"/>
          <w:sz w:val="20"/>
          <w:szCs w:val="20"/>
        </w:rPr>
        <w:t>₃</w:t>
      </w:r>
      <w:r w:rsidR="0056076F" w:rsidRPr="006435D7">
        <w:rPr>
          <w:rFonts w:ascii="Arial" w:hAnsi="Arial" w:cs="Arial"/>
          <w:sz w:val="20"/>
          <w:szCs w:val="20"/>
        </w:rPr>
        <w:t>, establishing a long-run equilibrium. Together, these findings indicate that coal consumption and economic growth reinforce each other both in the short and long run. This supports the feedback hypothesis, emphasizing that policies restricting coal use may dampen growth, whereas economic expansion without energy reform could raise dependency.</w:t>
      </w:r>
    </w:p>
    <w:p w14:paraId="2C7EF645" w14:textId="77777777" w:rsidR="00774A46" w:rsidRDefault="00774A46" w:rsidP="00586193">
      <w:pPr>
        <w:tabs>
          <w:tab w:val="left" w:pos="930"/>
        </w:tabs>
        <w:spacing w:after="0" w:line="240" w:lineRule="auto"/>
        <w:jc w:val="both"/>
        <w:rPr>
          <w:rFonts w:ascii="Arial" w:hAnsi="Arial" w:cs="Arial"/>
          <w:b/>
        </w:rPr>
      </w:pPr>
    </w:p>
    <w:p w14:paraId="1DBA8C23" w14:textId="77777777" w:rsidR="00586193" w:rsidRPr="00E14106" w:rsidRDefault="00711351" w:rsidP="00586193">
      <w:pPr>
        <w:tabs>
          <w:tab w:val="left" w:pos="930"/>
        </w:tabs>
        <w:spacing w:after="0" w:line="240" w:lineRule="auto"/>
        <w:jc w:val="both"/>
        <w:rPr>
          <w:rFonts w:ascii="Arial" w:hAnsi="Arial" w:cs="Arial"/>
          <w:b/>
        </w:rPr>
      </w:pPr>
      <w:r w:rsidRPr="00E14106">
        <w:rPr>
          <w:rFonts w:ascii="Arial" w:hAnsi="Arial" w:cs="Arial"/>
          <w:b/>
        </w:rPr>
        <w:t xml:space="preserve">4.0 </w:t>
      </w:r>
      <w:r w:rsidR="00586193" w:rsidRPr="00E14106">
        <w:rPr>
          <w:rFonts w:ascii="Arial" w:hAnsi="Arial" w:cs="Arial"/>
          <w:b/>
        </w:rPr>
        <w:t>MAJOR FINDINGS OF THE STUDY</w:t>
      </w:r>
    </w:p>
    <w:p w14:paraId="189ED0BE" w14:textId="77777777" w:rsidR="00586193" w:rsidRPr="00E14106" w:rsidRDefault="00586193" w:rsidP="00586193">
      <w:pPr>
        <w:pStyle w:val="Heading3"/>
        <w:spacing w:before="0" w:line="240" w:lineRule="auto"/>
        <w:jc w:val="both"/>
        <w:rPr>
          <w:rFonts w:ascii="Arial" w:hAnsi="Arial" w:cs="Arial"/>
          <w:b w:val="0"/>
          <w:color w:val="auto"/>
        </w:rPr>
      </w:pPr>
      <w:r w:rsidRPr="00E14106">
        <w:rPr>
          <w:rStyle w:val="Strong"/>
          <w:rFonts w:ascii="Arial" w:hAnsi="Arial" w:cs="Arial"/>
          <w:b/>
          <w:bCs/>
          <w:color w:val="auto"/>
        </w:rPr>
        <w:t>1. Existence of a Long-Run Equilibrium Relationship</w:t>
      </w:r>
    </w:p>
    <w:p w14:paraId="1FBABB14" w14:textId="77777777" w:rsidR="00586193" w:rsidRPr="006435D7" w:rsidRDefault="00586193" w:rsidP="00586193">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The study confirms a long-run equilibrium relationship between coal consumption, economic growth, capital formation, and </w:t>
      </w:r>
      <w:proofErr w:type="spellStart"/>
      <w:r w:rsidRPr="006435D7">
        <w:rPr>
          <w:rFonts w:ascii="Arial" w:hAnsi="Arial" w:cs="Arial"/>
          <w:sz w:val="20"/>
          <w:szCs w:val="20"/>
        </w:rPr>
        <w:t>labour</w:t>
      </w:r>
      <w:proofErr w:type="spellEnd"/>
      <w:r w:rsidRPr="006435D7">
        <w:rPr>
          <w:rFonts w:ascii="Arial" w:hAnsi="Arial" w:cs="Arial"/>
          <w:sz w:val="20"/>
          <w:szCs w:val="20"/>
        </w:rPr>
        <w:t xml:space="preserve"> in India through Johansen cointegration and ARDL bounds tests. The F-statistic (7.826) surpasses the upper bound critical value, affirming cointegration at the 1% level. This implies that the variables move together over time, reflecting structural dependence between energy and economic activity. Coal consumption, being a primary energy source, continues to underpin India’s industrial expansion and GDP growth. The long-run relationship highlights the persistence of coal as a critical input for development, despite India’s gradual transition toward renewable energy.</w:t>
      </w:r>
    </w:p>
    <w:p w14:paraId="59A7AEA1" w14:textId="77777777" w:rsidR="00586193" w:rsidRPr="00E14106" w:rsidRDefault="00586193" w:rsidP="00586193">
      <w:pPr>
        <w:pStyle w:val="NormalWeb"/>
        <w:spacing w:before="0" w:beforeAutospacing="0" w:after="0" w:afterAutospacing="0"/>
        <w:jc w:val="both"/>
        <w:rPr>
          <w:rFonts w:ascii="Arial" w:hAnsi="Arial" w:cs="Arial"/>
          <w:sz w:val="22"/>
          <w:szCs w:val="22"/>
        </w:rPr>
      </w:pPr>
      <w:r w:rsidRPr="00E14106">
        <w:rPr>
          <w:rStyle w:val="Strong"/>
          <w:rFonts w:ascii="Arial" w:hAnsi="Arial" w:cs="Arial"/>
          <w:bCs w:val="0"/>
          <w:sz w:val="22"/>
          <w:szCs w:val="22"/>
        </w:rPr>
        <w:t>2. Bidirectional Causality between Coal Consumption and Economic Growth</w:t>
      </w:r>
    </w:p>
    <w:p w14:paraId="10E33174" w14:textId="77777777" w:rsidR="00586193" w:rsidRPr="006435D7" w:rsidRDefault="00586193" w:rsidP="00586193">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Granger causality test results reveal a bidirectional causal relationship between coal consumption and GDP growth at the 5% significance level. This finding validates the </w:t>
      </w:r>
      <w:r w:rsidRPr="006435D7">
        <w:rPr>
          <w:rStyle w:val="Strong"/>
          <w:rFonts w:ascii="Arial" w:hAnsi="Arial" w:cs="Arial"/>
          <w:b w:val="0"/>
          <w:sz w:val="20"/>
          <w:szCs w:val="20"/>
        </w:rPr>
        <w:t>energy–growth feedback hypothesis</w:t>
      </w:r>
      <w:r w:rsidRPr="006435D7">
        <w:rPr>
          <w:rFonts w:ascii="Arial" w:hAnsi="Arial" w:cs="Arial"/>
          <w:sz w:val="20"/>
          <w:szCs w:val="20"/>
        </w:rPr>
        <w:t xml:space="preserve">, indicating mutual reinforcement between energy use and economic performance. In other words, increases in coal consumption stimulate industrial production and GDP growth, while economic expansion subsequently raises energy demand. Such feedback suggests that coal remains an essential </w:t>
      </w:r>
      <w:r w:rsidRPr="006435D7">
        <w:rPr>
          <w:rFonts w:ascii="Arial" w:hAnsi="Arial" w:cs="Arial"/>
          <w:sz w:val="20"/>
          <w:szCs w:val="20"/>
        </w:rPr>
        <w:lastRenderedPageBreak/>
        <w:t>driver of India’s growth engine, particularly in manufacturing, electricity generation, and infrastructure sectors.</w:t>
      </w:r>
    </w:p>
    <w:p w14:paraId="76ECF63F" w14:textId="77777777" w:rsidR="00586193" w:rsidRPr="00670327" w:rsidRDefault="00586193" w:rsidP="00670327">
      <w:pPr>
        <w:pStyle w:val="NormalWeb"/>
        <w:spacing w:before="0" w:beforeAutospacing="0" w:after="0" w:afterAutospacing="0"/>
        <w:jc w:val="both"/>
        <w:rPr>
          <w:rFonts w:ascii="Arial" w:hAnsi="Arial" w:cs="Arial"/>
          <w:sz w:val="22"/>
          <w:szCs w:val="22"/>
        </w:rPr>
      </w:pPr>
      <w:r w:rsidRPr="00670327">
        <w:rPr>
          <w:rStyle w:val="Strong"/>
          <w:rFonts w:ascii="Arial" w:hAnsi="Arial" w:cs="Arial"/>
          <w:bCs w:val="0"/>
          <w:sz w:val="22"/>
          <w:szCs w:val="22"/>
        </w:rPr>
        <w:t>3. Positive Short-Run Impact and Speed of Adjustment</w:t>
      </w:r>
    </w:p>
    <w:p w14:paraId="7BAFB72F" w14:textId="77777777" w:rsidR="00670327" w:rsidRDefault="00586193" w:rsidP="00670327">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The Error Correction Model (ECM) results show that short-term fluctuations in coal consumption have a significant positive effect on GDP. The error correction term (–0.412) is statistically significant at the 1% level, suggesting that approximately 41% of the deviation from long-run equilibrium is corrected annually. This finding reflects stable convergence between energy consumption and economic growth. It indicates that short-run increases in coal usage accelerate GDP growth, while the system naturally restores equilibrium following shocks. This dynamic reinforces coal’s pivotal role in sustaining India’s short-term economic momentum.</w:t>
      </w:r>
    </w:p>
    <w:p w14:paraId="1F138049" w14:textId="77777777" w:rsidR="00586193" w:rsidRPr="00670327" w:rsidRDefault="00586193" w:rsidP="00670327">
      <w:pPr>
        <w:pStyle w:val="NormalWeb"/>
        <w:spacing w:before="0" w:beforeAutospacing="0" w:after="0" w:afterAutospacing="0"/>
        <w:jc w:val="both"/>
        <w:rPr>
          <w:rFonts w:ascii="Arial" w:hAnsi="Arial" w:cs="Arial"/>
          <w:sz w:val="22"/>
          <w:szCs w:val="22"/>
        </w:rPr>
      </w:pPr>
      <w:r w:rsidRPr="00670327">
        <w:rPr>
          <w:rStyle w:val="Strong"/>
          <w:rFonts w:ascii="Arial" w:hAnsi="Arial" w:cs="Arial"/>
          <w:bCs w:val="0"/>
          <w:sz w:val="22"/>
          <w:szCs w:val="22"/>
        </w:rPr>
        <w:t>4. Model Reliability and Statistical Stability</w:t>
      </w:r>
      <w:r w:rsidRPr="00670327">
        <w:rPr>
          <w:rFonts w:ascii="Arial" w:hAnsi="Arial" w:cs="Arial"/>
          <w:sz w:val="22"/>
          <w:szCs w:val="22"/>
        </w:rPr>
        <w:t xml:space="preserve"> </w:t>
      </w:r>
    </w:p>
    <w:p w14:paraId="4A2D2DE3" w14:textId="77777777" w:rsidR="00670327" w:rsidRDefault="00586193" w:rsidP="00670327">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The OLS and diagnostic test results confirm the model’s robustness and reliability. The regression model shows a strong fit (R² = 0.951), explaining over 95% of GDP variation. Diagnostic tests such as the Breusch–Godfrey LM (p = 0.317) and White test (p = 0.412) indicate no serial correlation or heteroskedasticity. Additionally, the CUSUM and CUSUMSQ stability tests demonstrate that model parameters remain stable within the 1% confidence interval throughout the period. These results confirm that India’s coal–growth relationship has been consistent and statistically valid over time, strengthening the credibility of the study’s empirical findings.</w:t>
      </w:r>
    </w:p>
    <w:p w14:paraId="42462E3D" w14:textId="77777777" w:rsidR="00586193" w:rsidRPr="00670327" w:rsidRDefault="00586193" w:rsidP="00670327">
      <w:pPr>
        <w:pStyle w:val="NormalWeb"/>
        <w:spacing w:before="0" w:beforeAutospacing="0" w:after="0" w:afterAutospacing="0"/>
        <w:jc w:val="both"/>
        <w:rPr>
          <w:rFonts w:ascii="Arial" w:hAnsi="Arial" w:cs="Arial"/>
          <w:sz w:val="22"/>
          <w:szCs w:val="22"/>
        </w:rPr>
      </w:pPr>
      <w:r w:rsidRPr="00670327">
        <w:rPr>
          <w:rStyle w:val="Strong"/>
          <w:rFonts w:ascii="Arial" w:hAnsi="Arial" w:cs="Arial"/>
          <w:bCs w:val="0"/>
          <w:sz w:val="22"/>
          <w:szCs w:val="22"/>
        </w:rPr>
        <w:t>5. Policy Implications for Sustainable and Inclusive Growth</w:t>
      </w:r>
    </w:p>
    <w:p w14:paraId="1968ACA9" w14:textId="77777777" w:rsidR="00586193" w:rsidRPr="006435D7" w:rsidRDefault="00586193" w:rsidP="00670327">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The findings indicate that coal consumption significantly drives India’s economic growth, but excessive dependence raises sustainability concerns. As the country advances toward net-zero commitments, energy diversification becomes crucial. Policymakers must focus on improving coal efficiency, investing in clean technologies, and promoting renewable alternatives without undermining economic progress. Balanced energy strategies will ensure sustainable growth while maintaining industrial productivity and employment. Thus, India’s long-term policy must integrate energy security with environmental stewardship to sustain economic expansion in an ecologically responsible manner.</w:t>
      </w:r>
    </w:p>
    <w:p w14:paraId="5FB48258" w14:textId="77777777" w:rsidR="00E2173C" w:rsidRPr="00670327" w:rsidRDefault="00711351" w:rsidP="008C4AE3">
      <w:pPr>
        <w:tabs>
          <w:tab w:val="left" w:pos="930"/>
        </w:tabs>
        <w:spacing w:after="0" w:line="240" w:lineRule="auto"/>
        <w:jc w:val="both"/>
        <w:rPr>
          <w:rFonts w:ascii="Arial" w:hAnsi="Arial" w:cs="Arial"/>
          <w:b/>
          <w:bCs/>
        </w:rPr>
      </w:pPr>
      <w:r w:rsidRPr="00670327">
        <w:rPr>
          <w:rFonts w:ascii="Arial" w:hAnsi="Arial" w:cs="Arial"/>
          <w:b/>
          <w:bCs/>
        </w:rPr>
        <w:t xml:space="preserve">5.0 </w:t>
      </w:r>
      <w:r w:rsidR="00E2173C" w:rsidRPr="00670327">
        <w:rPr>
          <w:rFonts w:ascii="Arial" w:hAnsi="Arial" w:cs="Arial"/>
          <w:b/>
          <w:bCs/>
        </w:rPr>
        <w:t>POLICY SUGGESTION</w:t>
      </w:r>
    </w:p>
    <w:p w14:paraId="2AF95797" w14:textId="77777777" w:rsidR="008C4AE3" w:rsidRPr="00670327" w:rsidRDefault="008C4AE3" w:rsidP="008C4AE3">
      <w:pPr>
        <w:pStyle w:val="Heading3"/>
        <w:spacing w:before="0" w:line="240" w:lineRule="auto"/>
        <w:jc w:val="both"/>
        <w:rPr>
          <w:rFonts w:ascii="Arial" w:hAnsi="Arial" w:cs="Arial"/>
          <w:color w:val="auto"/>
        </w:rPr>
      </w:pPr>
      <w:r w:rsidRPr="00670327">
        <w:rPr>
          <w:rStyle w:val="Strong"/>
          <w:rFonts w:ascii="Arial" w:hAnsi="Arial" w:cs="Arial"/>
          <w:b/>
          <w:bCs/>
          <w:color w:val="auto"/>
        </w:rPr>
        <w:t>1. Promote Clean Coal Technologies and Efficiency Improvements</w:t>
      </w:r>
    </w:p>
    <w:p w14:paraId="3AA20BBB" w14:textId="77777777" w:rsidR="008C4AE3" w:rsidRPr="006435D7" w:rsidRDefault="008C4AE3" w:rsidP="00670327">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Given the long-run dependence of India’s economic growth on coal consumption, the government should invest in cleaner and more efficient coal technologies. Upgrading existing thermal power plants </w:t>
      </w:r>
      <w:r w:rsidRPr="006435D7">
        <w:rPr>
          <w:rFonts w:ascii="Arial" w:hAnsi="Arial" w:cs="Arial"/>
          <w:sz w:val="20"/>
          <w:szCs w:val="20"/>
        </w:rPr>
        <w:lastRenderedPageBreak/>
        <w:t>with supercritical and ultra-supercritical technologies can reduce emissions while maintaining energy output. Encouraging coal gasification, carbon capture, and storage (CCS) technologies can help minimize environmental impact. These technological improvements will allow India to sustain industrial growth while meeting its international climate commitments under the Paris Agreement.</w:t>
      </w:r>
    </w:p>
    <w:p w14:paraId="75A8D089" w14:textId="77777777" w:rsidR="008C4AE3" w:rsidRPr="00670327" w:rsidRDefault="008C4AE3" w:rsidP="008C4AE3">
      <w:pPr>
        <w:pStyle w:val="NormalWeb"/>
        <w:spacing w:before="0" w:beforeAutospacing="0" w:after="0" w:afterAutospacing="0"/>
        <w:jc w:val="both"/>
        <w:rPr>
          <w:rFonts w:ascii="Arial" w:hAnsi="Arial" w:cs="Arial"/>
          <w:sz w:val="22"/>
          <w:szCs w:val="22"/>
        </w:rPr>
      </w:pPr>
      <w:r w:rsidRPr="006435D7">
        <w:rPr>
          <w:rFonts w:ascii="Arial" w:hAnsi="Arial" w:cs="Arial"/>
          <w:sz w:val="20"/>
          <w:szCs w:val="20"/>
        </w:rPr>
        <w:br/>
      </w:r>
      <w:r w:rsidRPr="00670327">
        <w:rPr>
          <w:rStyle w:val="Strong"/>
          <w:rFonts w:ascii="Arial" w:hAnsi="Arial" w:cs="Arial"/>
          <w:bCs w:val="0"/>
          <w:sz w:val="22"/>
          <w:szCs w:val="22"/>
        </w:rPr>
        <w:t>2. Diversify India’s Energy Mix to Reduce Overdependence on Coal</w:t>
      </w:r>
    </w:p>
    <w:p w14:paraId="6854FC2C" w14:textId="77777777" w:rsidR="008C4AE3" w:rsidRPr="006435D7" w:rsidRDefault="008C4AE3" w:rsidP="00CE25D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The bidirectional causality between coal consumption and GDP growth highlights coal’s importance but also signals vulnerability to energy shocks. Policymakers should accelerate diversification by promoting renewable energy sources—solar, wind, hydro, and biomass—to gradually reduce overdependence on coal. Strategic energy diversification will enhance resilience, stabilize energy supply, and support sustainable growth. Introducing financial incentives and tax reforms for renewable energy investments can facilitate this transition without disrupting economic expansion.</w:t>
      </w:r>
    </w:p>
    <w:p w14:paraId="1F5B0D1C" w14:textId="77777777" w:rsidR="008C4AE3" w:rsidRPr="00670327" w:rsidRDefault="008C4AE3" w:rsidP="008C4AE3">
      <w:pPr>
        <w:pStyle w:val="NormalWeb"/>
        <w:spacing w:before="0" w:beforeAutospacing="0" w:after="0" w:afterAutospacing="0"/>
        <w:ind w:firstLine="720"/>
        <w:jc w:val="both"/>
        <w:rPr>
          <w:rFonts w:ascii="Arial" w:hAnsi="Arial" w:cs="Arial"/>
          <w:sz w:val="22"/>
          <w:szCs w:val="22"/>
        </w:rPr>
      </w:pPr>
      <w:r w:rsidRPr="006435D7">
        <w:rPr>
          <w:rFonts w:ascii="Arial" w:hAnsi="Arial" w:cs="Arial"/>
          <w:sz w:val="20"/>
          <w:szCs w:val="20"/>
        </w:rPr>
        <w:br/>
      </w:r>
      <w:r w:rsidRPr="00670327">
        <w:rPr>
          <w:rStyle w:val="Strong"/>
          <w:rFonts w:ascii="Arial" w:hAnsi="Arial" w:cs="Arial"/>
          <w:bCs w:val="0"/>
          <w:sz w:val="22"/>
          <w:szCs w:val="22"/>
        </w:rPr>
        <w:t>3. Strengthen Energy Governance and Integrated Policy Planning</w:t>
      </w:r>
    </w:p>
    <w:p w14:paraId="0312BEF2" w14:textId="77777777" w:rsidR="008C4AE3" w:rsidRPr="006435D7" w:rsidRDefault="008C4AE3" w:rsidP="00CE25D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India requires a comprehensive and integrated energy policy framework that aligns coal production, renewable energy development, and environmental goals. Coordination among the Ministry of Coal, Ministry of Power, and NITI Aayog is essential for implementing efficient energy transition policies. Strengthening regulatory oversight, improving data transparency, and ensuring efficient coal allocation will improve sectoral performance. Integrated energy planning will also prevent supply bottlenecks, reduce import dependence, and enhance energy security in the long term.</w:t>
      </w:r>
    </w:p>
    <w:p w14:paraId="0134003E" w14:textId="77777777" w:rsidR="008C4AE3" w:rsidRPr="00670327" w:rsidRDefault="008C4AE3" w:rsidP="008C4AE3">
      <w:pPr>
        <w:pStyle w:val="NormalWeb"/>
        <w:spacing w:before="0" w:beforeAutospacing="0" w:after="0" w:afterAutospacing="0"/>
        <w:ind w:firstLine="720"/>
        <w:jc w:val="both"/>
        <w:rPr>
          <w:rFonts w:ascii="Arial" w:hAnsi="Arial" w:cs="Arial"/>
          <w:sz w:val="22"/>
          <w:szCs w:val="22"/>
        </w:rPr>
      </w:pPr>
      <w:r w:rsidRPr="006435D7">
        <w:rPr>
          <w:rFonts w:ascii="Arial" w:hAnsi="Arial" w:cs="Arial"/>
          <w:sz w:val="20"/>
          <w:szCs w:val="20"/>
        </w:rPr>
        <w:br/>
      </w:r>
      <w:r w:rsidRPr="00670327">
        <w:rPr>
          <w:rStyle w:val="Strong"/>
          <w:rFonts w:ascii="Arial" w:hAnsi="Arial" w:cs="Arial"/>
          <w:bCs w:val="0"/>
          <w:sz w:val="22"/>
          <w:szCs w:val="22"/>
        </w:rPr>
        <w:t>4. Encourage Sustainable Industrial and Infrastructure Growth</w:t>
      </w:r>
    </w:p>
    <w:p w14:paraId="42F9F217" w14:textId="77777777" w:rsidR="008C4AE3" w:rsidRPr="006435D7" w:rsidRDefault="008C4AE3" w:rsidP="00CE25D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Since economic growth significantly influences coal consumption, industrial and infrastructure policies should emphasize energy-efficient operations. Promoting green industrial corridors, energy audits, and mandatory efficiency standards will reduce coal intensity without affecting productivity. Public–private partnerships (PPPs) can mobilize investments in sustainable technologies and cleaner transport systems. Encouraging industries to adopt renewable power sources for partial operations can gradually reduce the carbon footprint of economic growth.</w:t>
      </w:r>
    </w:p>
    <w:p w14:paraId="09C9233C" w14:textId="77777777" w:rsidR="008C4AE3" w:rsidRPr="00670327" w:rsidRDefault="008C4AE3" w:rsidP="008C4AE3">
      <w:pPr>
        <w:pStyle w:val="NormalWeb"/>
        <w:spacing w:before="0" w:beforeAutospacing="0" w:after="0" w:afterAutospacing="0"/>
        <w:ind w:firstLine="720"/>
        <w:jc w:val="both"/>
        <w:rPr>
          <w:rFonts w:ascii="Arial" w:hAnsi="Arial" w:cs="Arial"/>
          <w:sz w:val="22"/>
          <w:szCs w:val="22"/>
        </w:rPr>
      </w:pPr>
      <w:r w:rsidRPr="006435D7">
        <w:rPr>
          <w:rFonts w:ascii="Arial" w:hAnsi="Arial" w:cs="Arial"/>
          <w:b/>
          <w:sz w:val="20"/>
          <w:szCs w:val="20"/>
        </w:rPr>
        <w:br/>
      </w:r>
      <w:r w:rsidRPr="00670327">
        <w:rPr>
          <w:rStyle w:val="Strong"/>
          <w:rFonts w:ascii="Arial" w:hAnsi="Arial" w:cs="Arial"/>
          <w:bCs w:val="0"/>
          <w:sz w:val="22"/>
          <w:szCs w:val="22"/>
        </w:rPr>
        <w:t>5. Invest in Research, Innovation, and Workforce Transition Programs</w:t>
      </w:r>
    </w:p>
    <w:p w14:paraId="04597517" w14:textId="77777777" w:rsidR="008C4AE3" w:rsidRPr="006435D7" w:rsidRDefault="008C4AE3" w:rsidP="00CE25D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As India moves toward a low-carbon future, substantial investment in research and development (R&amp;D) for alternative energy technologies is crucial. Parallelly, workforce transition programs should </w:t>
      </w:r>
      <w:r w:rsidRPr="006435D7">
        <w:rPr>
          <w:rFonts w:ascii="Arial" w:hAnsi="Arial" w:cs="Arial"/>
          <w:sz w:val="20"/>
          <w:szCs w:val="20"/>
        </w:rPr>
        <w:lastRenderedPageBreak/>
        <w:t>support workers in coal-dependent sectors through retraining and skill development for emerging green industries. This dual approach will balance social and economic priorities, preventing job losses while fostering innovation in the energy sector. Encouraging academic–industry collaboration can accelerate clean energy advancements and promote sustainable economic resilience.</w:t>
      </w:r>
    </w:p>
    <w:p w14:paraId="76EDA0FC" w14:textId="77777777" w:rsidR="00E2173C" w:rsidRPr="00670327" w:rsidRDefault="00711351" w:rsidP="001C3031">
      <w:pPr>
        <w:spacing w:after="0" w:line="240" w:lineRule="auto"/>
        <w:jc w:val="both"/>
        <w:rPr>
          <w:rFonts w:ascii="Arial" w:hAnsi="Arial" w:cs="Arial"/>
          <w:b/>
          <w:bCs/>
        </w:rPr>
      </w:pPr>
      <w:r w:rsidRPr="00670327">
        <w:rPr>
          <w:rFonts w:ascii="Arial" w:hAnsi="Arial" w:cs="Arial"/>
          <w:b/>
          <w:bCs/>
        </w:rPr>
        <w:t xml:space="preserve">6.0 </w:t>
      </w:r>
      <w:r w:rsidR="00E2173C" w:rsidRPr="00670327">
        <w:rPr>
          <w:rFonts w:ascii="Arial" w:hAnsi="Arial" w:cs="Arial"/>
          <w:b/>
          <w:bCs/>
        </w:rPr>
        <w:t>CONCLUSION</w:t>
      </w:r>
    </w:p>
    <w:p w14:paraId="1545D524" w14:textId="77777777" w:rsidR="001C3031" w:rsidRPr="006435D7" w:rsidRDefault="001C3031" w:rsidP="00CE25D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The present study, </w:t>
      </w:r>
      <w:r w:rsidRPr="006435D7">
        <w:rPr>
          <w:rStyle w:val="Emphasis"/>
          <w:rFonts w:ascii="Arial" w:hAnsi="Arial" w:cs="Arial"/>
          <w:i w:val="0"/>
          <w:sz w:val="20"/>
          <w:szCs w:val="20"/>
        </w:rPr>
        <w:t>“Coal Consumption and Economic Growth in Indian Economy: An Empirical Study (1980–2025),”</w:t>
      </w:r>
      <w:r w:rsidRPr="006435D7">
        <w:rPr>
          <w:rFonts w:ascii="Arial" w:hAnsi="Arial" w:cs="Arial"/>
          <w:sz w:val="20"/>
          <w:szCs w:val="20"/>
        </w:rPr>
        <w:t xml:space="preserve"> aimed to examine the causal and long-term relationship between coal consumption and economic growth in India. The research was motivated by India’s growing dependence on coal as a primary energy source and its pivotal role in sustaining industrial development and economic expansion. Using annual time-series data from 1980 to 2025, the study employed advanced econometric techniques, including the Augmented Dickey–Fuller test, Johansen cointegration analysis, ARDL bounds testing, Error Correction Model (ECM), and Granger causality tests to ensure robustness and reliability.</w:t>
      </w:r>
    </w:p>
    <w:p w14:paraId="330E87A4" w14:textId="77777777" w:rsidR="001C3031" w:rsidRPr="006435D7" w:rsidRDefault="001C3031" w:rsidP="00CE25D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The empirical results revealed a strong long-run equilibrium relationship between coal consumption, GDP, capital formation, and </w:t>
      </w:r>
      <w:proofErr w:type="spellStart"/>
      <w:r w:rsidRPr="006435D7">
        <w:rPr>
          <w:rFonts w:ascii="Arial" w:hAnsi="Arial" w:cs="Arial"/>
          <w:sz w:val="20"/>
          <w:szCs w:val="20"/>
        </w:rPr>
        <w:t>labour</w:t>
      </w:r>
      <w:proofErr w:type="spellEnd"/>
      <w:r w:rsidRPr="006435D7">
        <w:rPr>
          <w:rFonts w:ascii="Arial" w:hAnsi="Arial" w:cs="Arial"/>
          <w:sz w:val="20"/>
          <w:szCs w:val="20"/>
        </w:rPr>
        <w:t xml:space="preserve"> force, confirming that energy use and economic activity are closely linked. The Granger causality test further established a </w:t>
      </w:r>
      <w:r w:rsidRPr="006435D7">
        <w:rPr>
          <w:rStyle w:val="Strong"/>
          <w:rFonts w:ascii="Arial" w:hAnsi="Arial" w:cs="Arial"/>
          <w:b w:val="0"/>
          <w:sz w:val="20"/>
          <w:szCs w:val="20"/>
        </w:rPr>
        <w:t>bidirectional causal relationship</w:t>
      </w:r>
      <w:r w:rsidRPr="006435D7">
        <w:rPr>
          <w:rFonts w:ascii="Arial" w:hAnsi="Arial" w:cs="Arial"/>
          <w:sz w:val="20"/>
          <w:szCs w:val="20"/>
        </w:rPr>
        <w:t>, implying that coal consumption drives economic growth while economic expansion simultaneously increases coal demand. The ECM results confirmed short-run adjustments toward long-run equilibrium, while diagnostic tests verified model stability and validity. Overall, the study concludes that coal remains a vital driver of India’s economic progress, but its excessive reliance poses sustainability and environmental challenges. Therefore, policymakers must balance energy security with green transition goals by promoting clean coal technologies, diversifying the energy mix, and investing in renewable alternatives. Achieving this balance will enable India to sustain robust economic growth while aligning with global sustainability commitments and long-term energy security objectives.</w:t>
      </w:r>
    </w:p>
    <w:p w14:paraId="4F7675F2" w14:textId="77777777" w:rsidR="001C3031" w:rsidRPr="006435D7" w:rsidRDefault="001C3031" w:rsidP="001C3031">
      <w:pPr>
        <w:spacing w:after="0" w:line="240" w:lineRule="auto"/>
        <w:jc w:val="both"/>
        <w:rPr>
          <w:rFonts w:ascii="Arial" w:hAnsi="Arial" w:cs="Arial"/>
          <w:b/>
          <w:bCs/>
          <w:sz w:val="20"/>
          <w:szCs w:val="20"/>
        </w:rPr>
      </w:pPr>
    </w:p>
    <w:p w14:paraId="0E9796D0" w14:textId="77777777" w:rsidR="00E2173C" w:rsidRPr="00670327" w:rsidRDefault="00711351" w:rsidP="00EB0D04">
      <w:pPr>
        <w:spacing w:after="0" w:line="240" w:lineRule="auto"/>
        <w:jc w:val="both"/>
        <w:rPr>
          <w:rFonts w:ascii="Arial" w:hAnsi="Arial" w:cs="Arial"/>
          <w:b/>
          <w:bCs/>
        </w:rPr>
      </w:pPr>
      <w:r w:rsidRPr="00670327">
        <w:rPr>
          <w:rFonts w:ascii="Arial" w:hAnsi="Arial" w:cs="Arial"/>
          <w:b/>
          <w:bCs/>
        </w:rPr>
        <w:t xml:space="preserve">7.0 </w:t>
      </w:r>
      <w:r w:rsidR="00E2173C" w:rsidRPr="00670327">
        <w:rPr>
          <w:rFonts w:ascii="Arial" w:hAnsi="Arial" w:cs="Arial"/>
          <w:b/>
          <w:bCs/>
        </w:rPr>
        <w:t>LIMITATIONS OF THE STUDY</w:t>
      </w:r>
    </w:p>
    <w:p w14:paraId="6881717E" w14:textId="77777777" w:rsidR="00EB0D04" w:rsidRPr="006435D7" w:rsidRDefault="00EB0D04" w:rsidP="00CE25D5">
      <w:pPr>
        <w:spacing w:after="0" w:line="480" w:lineRule="auto"/>
        <w:ind w:firstLine="720"/>
        <w:jc w:val="both"/>
        <w:rPr>
          <w:rFonts w:ascii="Arial" w:hAnsi="Arial" w:cs="Arial"/>
          <w:b/>
          <w:bCs/>
          <w:sz w:val="20"/>
          <w:szCs w:val="20"/>
        </w:rPr>
      </w:pPr>
      <w:r w:rsidRPr="006435D7">
        <w:rPr>
          <w:rFonts w:ascii="Arial" w:hAnsi="Arial" w:cs="Arial"/>
          <w:sz w:val="20"/>
          <w:szCs w:val="20"/>
        </w:rPr>
        <w:t xml:space="preserve">This study is limited by its reliance on secondary data from national and international sources, which may contain measurement or reporting inconsistencies. The analysis focuses only on aggregate coal consumption and GDP, without accounting for sectoral variations or regional disparities across Indian states. Environmental and policy variables such as carbon emissions, renewable energy expansion, and technological innovation were not explicitly included. Furthermore, the study’s time-series </w:t>
      </w:r>
      <w:r w:rsidRPr="006435D7">
        <w:rPr>
          <w:rFonts w:ascii="Arial" w:hAnsi="Arial" w:cs="Arial"/>
          <w:sz w:val="20"/>
          <w:szCs w:val="20"/>
        </w:rPr>
        <w:lastRenderedPageBreak/>
        <w:t>models assume linear relationships and may not fully capture structural shifts or nonlinear dynamics in India’s evolving energy market. These limitations suggest scope for future research using advanced and broader datasets.</w:t>
      </w:r>
    </w:p>
    <w:p w14:paraId="48EBD700" w14:textId="77777777" w:rsidR="00E2173C" w:rsidRPr="00670327" w:rsidRDefault="00711351" w:rsidP="00002B0E">
      <w:pPr>
        <w:spacing w:after="0" w:line="240" w:lineRule="auto"/>
        <w:jc w:val="both"/>
        <w:rPr>
          <w:rFonts w:ascii="Arial" w:hAnsi="Arial" w:cs="Arial"/>
          <w:b/>
          <w:bCs/>
        </w:rPr>
      </w:pPr>
      <w:r w:rsidRPr="00670327">
        <w:rPr>
          <w:rFonts w:ascii="Arial" w:hAnsi="Arial" w:cs="Arial"/>
          <w:b/>
          <w:bCs/>
        </w:rPr>
        <w:t xml:space="preserve">8.0 </w:t>
      </w:r>
      <w:r w:rsidR="00E2173C" w:rsidRPr="00670327">
        <w:rPr>
          <w:rFonts w:ascii="Arial" w:hAnsi="Arial" w:cs="Arial"/>
          <w:b/>
          <w:bCs/>
        </w:rPr>
        <w:t>SCOPE FOR FURTHER RESEARCH</w:t>
      </w:r>
    </w:p>
    <w:p w14:paraId="1AA3E7E1" w14:textId="77777777" w:rsidR="00BB3A37" w:rsidRPr="006435D7" w:rsidRDefault="00002B0E" w:rsidP="00CE25D5">
      <w:pPr>
        <w:spacing w:after="0" w:line="480" w:lineRule="auto"/>
        <w:ind w:firstLine="720"/>
        <w:jc w:val="both"/>
        <w:rPr>
          <w:rFonts w:ascii="Arial" w:hAnsi="Arial" w:cs="Arial"/>
          <w:sz w:val="20"/>
          <w:szCs w:val="20"/>
        </w:rPr>
      </w:pPr>
      <w:r w:rsidRPr="006435D7">
        <w:rPr>
          <w:rFonts w:ascii="Arial" w:hAnsi="Arial" w:cs="Arial"/>
          <w:sz w:val="20"/>
          <w:szCs w:val="20"/>
        </w:rPr>
        <w:t>Future research can extend this study by incorporating additional energy variables such as renewable energy consumption, oil, and natural gas to provide a comparative analysis of India’s overall energy-growth nexus. Incorporating environmental indicators like CO</w:t>
      </w:r>
      <w:r w:rsidRPr="006435D7">
        <w:rPr>
          <w:rFonts w:ascii="Times New Roman" w:hAnsi="Times New Roman" w:cs="Arial"/>
          <w:sz w:val="20"/>
          <w:szCs w:val="20"/>
        </w:rPr>
        <w:t>₂</w:t>
      </w:r>
      <w:r w:rsidRPr="006435D7">
        <w:rPr>
          <w:rFonts w:ascii="Arial" w:hAnsi="Arial" w:cs="Arial"/>
          <w:sz w:val="20"/>
          <w:szCs w:val="20"/>
        </w:rPr>
        <w:t xml:space="preserve"> emissions and energy efficiency could enhance policy relevance. Advanced econometric techniques, such as nonlinear ARDL or panel data models, can capture regional and sectoral differences across states. Future studies may also examine the impact of government energy policies, technological innovations, and green transitions on economic performance, offering deeper insights into India’s path toward sustainable and inclusive growth.</w:t>
      </w:r>
    </w:p>
    <w:p w14:paraId="1D036427" w14:textId="77777777" w:rsidR="00BB3A37" w:rsidRPr="006435D7" w:rsidRDefault="00BB3A37" w:rsidP="00BB3A37">
      <w:pPr>
        <w:spacing w:after="0" w:line="240" w:lineRule="auto"/>
        <w:jc w:val="both"/>
        <w:rPr>
          <w:rFonts w:ascii="Arial" w:hAnsi="Arial" w:cs="Arial"/>
          <w:sz w:val="20"/>
          <w:szCs w:val="20"/>
        </w:rPr>
      </w:pPr>
    </w:p>
    <w:p w14:paraId="4BB69E7B" w14:textId="77777777" w:rsidR="00D04BC5" w:rsidRPr="00670327" w:rsidRDefault="00EA3021" w:rsidP="00E93089">
      <w:pPr>
        <w:spacing w:after="0" w:line="240" w:lineRule="auto"/>
        <w:jc w:val="both"/>
        <w:rPr>
          <w:rFonts w:ascii="Arial" w:hAnsi="Arial" w:cs="Arial"/>
          <w:b/>
          <w:bCs/>
        </w:rPr>
      </w:pPr>
      <w:bookmarkStart w:id="0" w:name="_GoBack"/>
      <w:bookmarkEnd w:id="0"/>
      <w:r w:rsidRPr="00670327">
        <w:rPr>
          <w:rFonts w:ascii="Arial" w:hAnsi="Arial" w:cs="Arial"/>
          <w:b/>
          <w:bCs/>
        </w:rPr>
        <w:t>CONSENT</w:t>
      </w:r>
    </w:p>
    <w:p w14:paraId="37EAB32B" w14:textId="77777777" w:rsidR="00E93089" w:rsidRPr="006435D7" w:rsidRDefault="00E93089" w:rsidP="00CE25D5">
      <w:pPr>
        <w:spacing w:after="0" w:line="480" w:lineRule="auto"/>
        <w:ind w:firstLine="720"/>
        <w:jc w:val="both"/>
        <w:rPr>
          <w:rFonts w:ascii="Arial" w:hAnsi="Arial" w:cs="Arial"/>
          <w:b/>
          <w:bCs/>
          <w:sz w:val="20"/>
          <w:szCs w:val="20"/>
        </w:rPr>
      </w:pPr>
      <w:r w:rsidRPr="006435D7">
        <w:rPr>
          <w:rFonts w:ascii="Arial" w:hAnsi="Arial" w:cs="Arial"/>
          <w:sz w:val="20"/>
          <w:szCs w:val="20"/>
        </w:rPr>
        <w:t>Both authors, Dr. B. Mathavan and Sanjiv Sarkar, have given their full consent for the publication of this research work and approved the final version of the manuscript.</w:t>
      </w:r>
    </w:p>
    <w:p w14:paraId="41E85455" w14:textId="77777777" w:rsidR="00D04BC5" w:rsidRPr="00670327" w:rsidRDefault="00EA3021" w:rsidP="00E93089">
      <w:pPr>
        <w:spacing w:after="0" w:line="240" w:lineRule="auto"/>
        <w:jc w:val="both"/>
        <w:rPr>
          <w:rFonts w:ascii="Arial" w:hAnsi="Arial" w:cs="Arial"/>
          <w:b/>
          <w:bCs/>
        </w:rPr>
      </w:pPr>
      <w:r w:rsidRPr="00670327">
        <w:rPr>
          <w:rFonts w:ascii="Arial" w:hAnsi="Arial" w:cs="Arial"/>
          <w:b/>
          <w:bCs/>
        </w:rPr>
        <w:t>ETHICAL APPROVAL</w:t>
      </w:r>
    </w:p>
    <w:p w14:paraId="08F8274F" w14:textId="77777777" w:rsidR="00E93089" w:rsidRDefault="00E93089" w:rsidP="00CE25D5">
      <w:pPr>
        <w:spacing w:after="0" w:line="480" w:lineRule="auto"/>
        <w:ind w:firstLine="720"/>
        <w:jc w:val="both"/>
        <w:rPr>
          <w:rFonts w:ascii="Arial" w:hAnsi="Arial" w:cs="Arial"/>
          <w:sz w:val="20"/>
          <w:szCs w:val="20"/>
        </w:rPr>
      </w:pPr>
      <w:r w:rsidRPr="006435D7">
        <w:rPr>
          <w:rFonts w:ascii="Arial" w:hAnsi="Arial" w:cs="Arial"/>
          <w:sz w:val="20"/>
          <w:szCs w:val="20"/>
        </w:rPr>
        <w:t>This study was conducted following academic and research ethics guidelines. Ethical approval was obtained from the Department of Economics, Annamalai University, prior to the commencement of the research work.</w:t>
      </w:r>
    </w:p>
    <w:p w14:paraId="5859B576" w14:textId="77777777" w:rsidR="00DD0CE5" w:rsidRDefault="00DD0CE5" w:rsidP="00CE25D5">
      <w:pPr>
        <w:spacing w:after="0" w:line="480" w:lineRule="auto"/>
        <w:ind w:firstLine="720"/>
        <w:jc w:val="both"/>
        <w:rPr>
          <w:rFonts w:ascii="Arial" w:hAnsi="Arial" w:cs="Arial"/>
          <w:sz w:val="20"/>
          <w:szCs w:val="20"/>
        </w:rPr>
      </w:pPr>
    </w:p>
    <w:p w14:paraId="42705C31" w14:textId="77777777" w:rsidR="00DD0CE5" w:rsidRPr="00DD0CE5" w:rsidRDefault="00DD0CE5" w:rsidP="00DD0CE5">
      <w:pPr>
        <w:jc w:val="both"/>
        <w:outlineLvl w:val="0"/>
        <w:rPr>
          <w:rFonts w:ascii="Arial" w:eastAsiaTheme="minorEastAsia" w:hAnsi="Arial" w:cs="Arial"/>
          <w:lang w:val="en-GB" w:eastAsia="en-GB"/>
        </w:rPr>
      </w:pPr>
      <w:r w:rsidRPr="00DD0CE5">
        <w:rPr>
          <w:rFonts w:ascii="Arial" w:eastAsiaTheme="minorEastAsia" w:hAnsi="Arial" w:cs="Arial"/>
          <w:b/>
          <w:bCs/>
          <w:lang w:val="en-GB" w:eastAsia="en-GB"/>
        </w:rPr>
        <w:t>COMPETING INTERESTS DISCLAIMER:</w:t>
      </w:r>
    </w:p>
    <w:p w14:paraId="6B8DABCD" w14:textId="77777777" w:rsidR="00DD0CE5" w:rsidRPr="00DD0CE5" w:rsidRDefault="00DD0CE5" w:rsidP="00DD0CE5">
      <w:pPr>
        <w:rPr>
          <w:rFonts w:eastAsiaTheme="minorEastAsia"/>
          <w:lang w:val="en-GB" w:eastAsia="en-GB"/>
        </w:rPr>
      </w:pPr>
      <w:r w:rsidRPr="00DD0CE5">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210C7B9A" w14:textId="77777777" w:rsidR="00DD0CE5" w:rsidRPr="006435D7" w:rsidRDefault="00DD0CE5" w:rsidP="00CE25D5">
      <w:pPr>
        <w:spacing w:after="0" w:line="480" w:lineRule="auto"/>
        <w:ind w:firstLine="720"/>
        <w:jc w:val="both"/>
        <w:rPr>
          <w:rFonts w:ascii="Arial" w:hAnsi="Arial" w:cs="Arial"/>
          <w:b/>
          <w:sz w:val="20"/>
          <w:szCs w:val="20"/>
          <w:lang w:val="en-IN"/>
        </w:rPr>
      </w:pPr>
    </w:p>
    <w:p w14:paraId="3308C0CA" w14:textId="77777777" w:rsidR="00C01EC5" w:rsidRPr="006435D7" w:rsidRDefault="00C01EC5" w:rsidP="00E2173C">
      <w:pPr>
        <w:tabs>
          <w:tab w:val="left" w:pos="930"/>
        </w:tabs>
        <w:spacing w:after="0" w:line="240" w:lineRule="auto"/>
        <w:jc w:val="both"/>
        <w:rPr>
          <w:rFonts w:ascii="Arial" w:hAnsi="Arial" w:cs="Arial"/>
          <w:b/>
          <w:bCs/>
          <w:sz w:val="20"/>
          <w:szCs w:val="20"/>
        </w:rPr>
      </w:pPr>
    </w:p>
    <w:p w14:paraId="71D8DCF9" w14:textId="77777777" w:rsidR="00E14628" w:rsidRPr="00670327" w:rsidRDefault="00E2173C" w:rsidP="00E14628">
      <w:pPr>
        <w:tabs>
          <w:tab w:val="left" w:pos="930"/>
        </w:tabs>
        <w:spacing w:after="0" w:line="240" w:lineRule="auto"/>
        <w:jc w:val="both"/>
        <w:rPr>
          <w:rFonts w:ascii="Arial" w:hAnsi="Arial" w:cs="Arial"/>
          <w:b/>
          <w:bCs/>
        </w:rPr>
      </w:pPr>
      <w:r w:rsidRPr="00670327">
        <w:rPr>
          <w:rFonts w:ascii="Arial" w:hAnsi="Arial" w:cs="Arial"/>
          <w:b/>
          <w:bCs/>
        </w:rPr>
        <w:t>REFERENCES</w:t>
      </w:r>
    </w:p>
    <w:p w14:paraId="27A22343" w14:textId="77777777" w:rsidR="00C97CF4" w:rsidRPr="00C97CF4" w:rsidRDefault="00C97CF4" w:rsidP="00A136F8">
      <w:pPr>
        <w:pStyle w:val="NormalWeb"/>
        <w:ind w:left="720" w:hanging="720"/>
        <w:jc w:val="both"/>
        <w:rPr>
          <w:rFonts w:ascii="Arial" w:hAnsi="Arial" w:cs="Arial"/>
          <w:sz w:val="20"/>
          <w:szCs w:val="20"/>
        </w:rPr>
      </w:pPr>
      <w:r w:rsidRPr="00C97CF4">
        <w:rPr>
          <w:rFonts w:ascii="Arial" w:hAnsi="Arial" w:cs="Arial"/>
          <w:sz w:val="20"/>
          <w:szCs w:val="20"/>
          <w:shd w:val="clear" w:color="auto" w:fill="FFFFFF"/>
        </w:rPr>
        <w:t>Ahmad, A., Zhao, Y., Shahbaz, M., Bano, S., Zhang, Z., Wang, S., &amp; Liu, Y. (2016). Carbon emissions, energy consumption and economic growth: An aggregate and disaggregate analysis of the Indian economy. </w:t>
      </w:r>
      <w:r w:rsidRPr="00C97CF4">
        <w:rPr>
          <w:rFonts w:ascii="Arial" w:hAnsi="Arial" w:cs="Arial"/>
          <w:i/>
          <w:iCs/>
          <w:sz w:val="20"/>
          <w:szCs w:val="20"/>
          <w:shd w:val="clear" w:color="auto" w:fill="FFFFFF"/>
        </w:rPr>
        <w:t>Energy policy</w:t>
      </w:r>
      <w:r w:rsidRPr="00C97CF4">
        <w:rPr>
          <w:rFonts w:ascii="Arial" w:hAnsi="Arial" w:cs="Arial"/>
          <w:sz w:val="20"/>
          <w:szCs w:val="20"/>
          <w:shd w:val="clear" w:color="auto" w:fill="FFFFFF"/>
        </w:rPr>
        <w:t>, </w:t>
      </w:r>
      <w:r w:rsidRPr="00C97CF4">
        <w:rPr>
          <w:rFonts w:ascii="Arial" w:hAnsi="Arial" w:cs="Arial"/>
          <w:i/>
          <w:iCs/>
          <w:sz w:val="20"/>
          <w:szCs w:val="20"/>
          <w:shd w:val="clear" w:color="auto" w:fill="FFFFFF"/>
        </w:rPr>
        <w:t>96</w:t>
      </w:r>
      <w:r w:rsidRPr="00C97CF4">
        <w:rPr>
          <w:rFonts w:ascii="Arial" w:hAnsi="Arial" w:cs="Arial"/>
          <w:sz w:val="20"/>
          <w:szCs w:val="20"/>
          <w:shd w:val="clear" w:color="auto" w:fill="FFFFFF"/>
        </w:rPr>
        <w:t>, 131-143.</w:t>
      </w:r>
    </w:p>
    <w:p w14:paraId="122F7CE9" w14:textId="77777777" w:rsidR="00C97CF4" w:rsidRPr="00C97CF4" w:rsidRDefault="00C97CF4" w:rsidP="00A136F8">
      <w:pPr>
        <w:pStyle w:val="NormalWeb"/>
        <w:ind w:left="720" w:hanging="720"/>
        <w:jc w:val="both"/>
        <w:rPr>
          <w:rFonts w:ascii="Arial" w:hAnsi="Arial" w:cs="Arial"/>
          <w:sz w:val="20"/>
          <w:szCs w:val="20"/>
        </w:rPr>
      </w:pPr>
      <w:r w:rsidRPr="00C97CF4">
        <w:rPr>
          <w:rFonts w:ascii="Arial" w:hAnsi="Arial" w:cs="Arial"/>
          <w:sz w:val="20"/>
          <w:szCs w:val="20"/>
          <w:shd w:val="clear" w:color="auto" w:fill="FFFFFF"/>
        </w:rPr>
        <w:t>Apergis, N., &amp; Payne, J. E. (2010). Coal consumption and economic growth: Evidence from a panel of OECD countries. </w:t>
      </w:r>
      <w:r w:rsidRPr="00C97CF4">
        <w:rPr>
          <w:rFonts w:ascii="Arial" w:hAnsi="Arial" w:cs="Arial"/>
          <w:i/>
          <w:iCs/>
          <w:sz w:val="20"/>
          <w:szCs w:val="20"/>
          <w:shd w:val="clear" w:color="auto" w:fill="FFFFFF"/>
        </w:rPr>
        <w:t>Energy Policy</w:t>
      </w:r>
      <w:r w:rsidRPr="00C97CF4">
        <w:rPr>
          <w:rFonts w:ascii="Arial" w:hAnsi="Arial" w:cs="Arial"/>
          <w:sz w:val="20"/>
          <w:szCs w:val="20"/>
          <w:shd w:val="clear" w:color="auto" w:fill="FFFFFF"/>
        </w:rPr>
        <w:t>, </w:t>
      </w:r>
      <w:r w:rsidRPr="00C97CF4">
        <w:rPr>
          <w:rFonts w:ascii="Arial" w:hAnsi="Arial" w:cs="Arial"/>
          <w:i/>
          <w:iCs/>
          <w:sz w:val="20"/>
          <w:szCs w:val="20"/>
          <w:shd w:val="clear" w:color="auto" w:fill="FFFFFF"/>
        </w:rPr>
        <w:t>38</w:t>
      </w:r>
      <w:r w:rsidRPr="00C97CF4">
        <w:rPr>
          <w:rFonts w:ascii="Arial" w:hAnsi="Arial" w:cs="Arial"/>
          <w:sz w:val="20"/>
          <w:szCs w:val="20"/>
          <w:shd w:val="clear" w:color="auto" w:fill="FFFFFF"/>
        </w:rPr>
        <w:t>(3), 1353-1359.</w:t>
      </w:r>
    </w:p>
    <w:p w14:paraId="42D7B9A1" w14:textId="77777777" w:rsidR="00C97CF4" w:rsidRPr="00C97CF4" w:rsidRDefault="00C97CF4" w:rsidP="00A136F8">
      <w:pPr>
        <w:pStyle w:val="NormalWeb"/>
        <w:ind w:left="720" w:hanging="720"/>
        <w:jc w:val="both"/>
        <w:rPr>
          <w:rFonts w:ascii="Arial" w:hAnsi="Arial" w:cs="Arial"/>
          <w:sz w:val="20"/>
          <w:szCs w:val="20"/>
        </w:rPr>
      </w:pPr>
      <w:r w:rsidRPr="00C97CF4">
        <w:rPr>
          <w:rFonts w:ascii="Arial" w:hAnsi="Arial" w:cs="Arial"/>
          <w:sz w:val="20"/>
          <w:szCs w:val="20"/>
          <w:shd w:val="clear" w:color="auto" w:fill="FFFFFF"/>
        </w:rPr>
        <w:lastRenderedPageBreak/>
        <w:t>Govindaraju, V. C., &amp; Tang, C. F. (2013). The dynamic links between CO2 emissions, economic growth and coal consumption in China and India. </w:t>
      </w:r>
      <w:r w:rsidRPr="00C97CF4">
        <w:rPr>
          <w:rFonts w:ascii="Arial" w:hAnsi="Arial" w:cs="Arial"/>
          <w:i/>
          <w:iCs/>
          <w:sz w:val="20"/>
          <w:szCs w:val="20"/>
          <w:shd w:val="clear" w:color="auto" w:fill="FFFFFF"/>
        </w:rPr>
        <w:t>Applied Energy</w:t>
      </w:r>
      <w:r w:rsidRPr="00C97CF4">
        <w:rPr>
          <w:rFonts w:ascii="Arial" w:hAnsi="Arial" w:cs="Arial"/>
          <w:sz w:val="20"/>
          <w:szCs w:val="20"/>
          <w:shd w:val="clear" w:color="auto" w:fill="FFFFFF"/>
        </w:rPr>
        <w:t>, </w:t>
      </w:r>
      <w:r w:rsidRPr="00C97CF4">
        <w:rPr>
          <w:rFonts w:ascii="Arial" w:hAnsi="Arial" w:cs="Arial"/>
          <w:i/>
          <w:iCs/>
          <w:sz w:val="20"/>
          <w:szCs w:val="20"/>
          <w:shd w:val="clear" w:color="auto" w:fill="FFFFFF"/>
        </w:rPr>
        <w:t>104</w:t>
      </w:r>
      <w:r w:rsidRPr="00C97CF4">
        <w:rPr>
          <w:rFonts w:ascii="Arial" w:hAnsi="Arial" w:cs="Arial"/>
          <w:sz w:val="20"/>
          <w:szCs w:val="20"/>
          <w:shd w:val="clear" w:color="auto" w:fill="FFFFFF"/>
        </w:rPr>
        <w:t>, 310-318.</w:t>
      </w:r>
    </w:p>
    <w:p w14:paraId="68F93E29" w14:textId="77777777" w:rsidR="00C97CF4" w:rsidRPr="00C97CF4" w:rsidRDefault="00C97CF4" w:rsidP="00A136F8">
      <w:pPr>
        <w:pStyle w:val="NormalWeb"/>
        <w:ind w:left="720" w:hanging="720"/>
        <w:jc w:val="both"/>
        <w:rPr>
          <w:rStyle w:val="Hyperlink"/>
          <w:rFonts w:ascii="Arial" w:hAnsi="Arial" w:cs="Arial"/>
          <w:sz w:val="20"/>
          <w:szCs w:val="20"/>
        </w:rPr>
      </w:pPr>
      <w:r w:rsidRPr="00C97CF4">
        <w:rPr>
          <w:rFonts w:ascii="Arial" w:hAnsi="Arial" w:cs="Arial"/>
          <w:sz w:val="20"/>
          <w:szCs w:val="20"/>
        </w:rPr>
        <w:t xml:space="preserve">International Energy Agency. (2023a). </w:t>
      </w:r>
      <w:r w:rsidRPr="00C97CF4">
        <w:rPr>
          <w:rStyle w:val="Emphasis"/>
          <w:rFonts w:ascii="Arial" w:hAnsi="Arial" w:cs="Arial"/>
          <w:sz w:val="20"/>
          <w:szCs w:val="20"/>
        </w:rPr>
        <w:t>India to be the main engine of global coal demand growth</w:t>
      </w:r>
      <w:r w:rsidRPr="00C97CF4">
        <w:rPr>
          <w:rFonts w:ascii="Arial" w:hAnsi="Arial" w:cs="Arial"/>
          <w:sz w:val="20"/>
          <w:szCs w:val="20"/>
        </w:rPr>
        <w:t xml:space="preserve">. Paris, France: International Energy Agency. Available from </w:t>
      </w:r>
      <w:hyperlink r:id="rId14" w:tgtFrame="_new" w:history="1">
        <w:r w:rsidRPr="00C97CF4">
          <w:rPr>
            <w:rStyle w:val="Hyperlink"/>
            <w:rFonts w:ascii="Arial" w:hAnsi="Arial" w:cs="Arial"/>
            <w:color w:val="FF3399"/>
            <w:sz w:val="20"/>
            <w:szCs w:val="20"/>
          </w:rPr>
          <w:t>https://timesofindia.indiatimes.com/business/india-business/india-to-be-main-engine-of-global-coal-demand-growth-iea/articleshow/106031591.cms</w:t>
        </w:r>
      </w:hyperlink>
    </w:p>
    <w:p w14:paraId="3CD2A195" w14:textId="77777777" w:rsidR="00C97CF4" w:rsidRPr="00C97CF4" w:rsidRDefault="00C97CF4" w:rsidP="00A136F8">
      <w:pPr>
        <w:pStyle w:val="NormalWeb"/>
        <w:ind w:left="720" w:hanging="720"/>
        <w:jc w:val="both"/>
        <w:rPr>
          <w:rStyle w:val="Hyperlink"/>
          <w:rFonts w:ascii="Arial" w:hAnsi="Arial" w:cs="Arial"/>
          <w:color w:val="FF3399"/>
          <w:sz w:val="20"/>
          <w:szCs w:val="20"/>
        </w:rPr>
      </w:pPr>
      <w:r w:rsidRPr="00C97CF4">
        <w:rPr>
          <w:rFonts w:ascii="Arial" w:hAnsi="Arial" w:cs="Arial"/>
          <w:sz w:val="20"/>
          <w:szCs w:val="20"/>
        </w:rPr>
        <w:t xml:space="preserve">International Energy Agency. (2023a). </w:t>
      </w:r>
      <w:r w:rsidRPr="00C97CF4">
        <w:rPr>
          <w:rStyle w:val="Emphasis"/>
          <w:rFonts w:ascii="Arial" w:hAnsi="Arial" w:cs="Arial"/>
          <w:sz w:val="20"/>
          <w:szCs w:val="20"/>
        </w:rPr>
        <w:t>India to be the main engine of global coal demand growth.</w:t>
      </w:r>
      <w:r w:rsidRPr="00C97CF4">
        <w:rPr>
          <w:rFonts w:ascii="Arial" w:hAnsi="Arial" w:cs="Arial"/>
          <w:sz w:val="20"/>
          <w:szCs w:val="20"/>
        </w:rPr>
        <w:t xml:space="preserve"> Paris, France: International Energy Agency (IEA). Retrieved from </w:t>
      </w:r>
      <w:hyperlink r:id="rId15" w:tgtFrame="_new" w:history="1">
        <w:r w:rsidRPr="00C97CF4">
          <w:rPr>
            <w:rStyle w:val="Hyperlink"/>
            <w:rFonts w:ascii="Arial" w:hAnsi="Arial" w:cs="Arial"/>
            <w:color w:val="FF3399"/>
            <w:sz w:val="20"/>
            <w:szCs w:val="20"/>
          </w:rPr>
          <w:t>https://timesofindia.indiatimes.com/business/india-business/india-to-be-main-engine-of-global-coal-demand-growth-iea/articleshow/106031591.cms</w:t>
        </w:r>
      </w:hyperlink>
    </w:p>
    <w:p w14:paraId="778DA02D" w14:textId="77777777" w:rsidR="00C97CF4" w:rsidRPr="00C97CF4" w:rsidRDefault="00C97CF4" w:rsidP="00A136F8">
      <w:pPr>
        <w:pStyle w:val="NormalWeb"/>
        <w:ind w:left="720" w:hanging="720"/>
        <w:jc w:val="both"/>
        <w:rPr>
          <w:rStyle w:val="Hyperlink"/>
          <w:rFonts w:ascii="Arial" w:hAnsi="Arial" w:cs="Arial"/>
          <w:color w:val="FF3399"/>
          <w:sz w:val="20"/>
          <w:szCs w:val="20"/>
        </w:rPr>
      </w:pPr>
      <w:r w:rsidRPr="00C97CF4">
        <w:rPr>
          <w:rFonts w:ascii="Arial" w:hAnsi="Arial" w:cs="Arial"/>
          <w:sz w:val="20"/>
          <w:szCs w:val="20"/>
        </w:rPr>
        <w:t xml:space="preserve">International Energy Agency. (2023b). </w:t>
      </w:r>
      <w:r w:rsidRPr="00C97CF4">
        <w:rPr>
          <w:rStyle w:val="Emphasis"/>
          <w:rFonts w:ascii="Arial" w:hAnsi="Arial" w:cs="Arial"/>
          <w:sz w:val="20"/>
          <w:szCs w:val="20"/>
        </w:rPr>
        <w:t>Coal market update 2023: India will drive global demand through 2026.</w:t>
      </w:r>
      <w:r w:rsidRPr="00C97CF4">
        <w:rPr>
          <w:rFonts w:ascii="Arial" w:hAnsi="Arial" w:cs="Arial"/>
          <w:sz w:val="20"/>
          <w:szCs w:val="20"/>
        </w:rPr>
        <w:t xml:space="preserve"> Paris, France: International Energy Agency (IEA). </w:t>
      </w:r>
      <w:hyperlink r:id="rId16" w:history="1">
        <w:r w:rsidRPr="00C97CF4">
          <w:rPr>
            <w:rStyle w:val="Hyperlink"/>
            <w:rFonts w:ascii="Arial" w:hAnsi="Arial" w:cs="Arial"/>
            <w:color w:val="FF3399"/>
            <w:sz w:val="20"/>
            <w:szCs w:val="20"/>
          </w:rPr>
          <w:t>https://www.iea.org/reports/coal-market-update-2023</w:t>
        </w:r>
      </w:hyperlink>
    </w:p>
    <w:p w14:paraId="0F46D064" w14:textId="77777777" w:rsidR="00C97CF4" w:rsidRPr="00C97CF4" w:rsidRDefault="00C97CF4" w:rsidP="00A136F8">
      <w:pPr>
        <w:pStyle w:val="NormalWeb"/>
        <w:ind w:left="720" w:hanging="720"/>
        <w:jc w:val="both"/>
        <w:rPr>
          <w:rFonts w:ascii="Arial" w:hAnsi="Arial" w:cs="Arial"/>
          <w:sz w:val="20"/>
          <w:szCs w:val="20"/>
        </w:rPr>
      </w:pPr>
      <w:r w:rsidRPr="00C97CF4">
        <w:rPr>
          <w:rFonts w:ascii="Arial" w:hAnsi="Arial" w:cs="Arial"/>
          <w:sz w:val="20"/>
          <w:szCs w:val="20"/>
          <w:shd w:val="clear" w:color="auto" w:fill="FFFFFF"/>
        </w:rPr>
        <w:t>Kulshreshtha, M., &amp; Parikh, J. K. (2000). Modeling demand for coal in India: vector autoregressive models with cointegrated variables. </w:t>
      </w:r>
      <w:r w:rsidRPr="00C97CF4">
        <w:rPr>
          <w:rFonts w:ascii="Arial" w:hAnsi="Arial" w:cs="Arial"/>
          <w:i/>
          <w:iCs/>
          <w:sz w:val="20"/>
          <w:szCs w:val="20"/>
          <w:shd w:val="clear" w:color="auto" w:fill="FFFFFF"/>
        </w:rPr>
        <w:t>Energy</w:t>
      </w:r>
      <w:r w:rsidRPr="00C97CF4">
        <w:rPr>
          <w:rFonts w:ascii="Arial" w:hAnsi="Arial" w:cs="Arial"/>
          <w:sz w:val="20"/>
          <w:szCs w:val="20"/>
          <w:shd w:val="clear" w:color="auto" w:fill="FFFFFF"/>
        </w:rPr>
        <w:t>, </w:t>
      </w:r>
      <w:r w:rsidRPr="00C97CF4">
        <w:rPr>
          <w:rFonts w:ascii="Arial" w:hAnsi="Arial" w:cs="Arial"/>
          <w:i/>
          <w:iCs/>
          <w:sz w:val="20"/>
          <w:szCs w:val="20"/>
          <w:shd w:val="clear" w:color="auto" w:fill="FFFFFF"/>
        </w:rPr>
        <w:t>25</w:t>
      </w:r>
      <w:r w:rsidRPr="00C97CF4">
        <w:rPr>
          <w:rFonts w:ascii="Arial" w:hAnsi="Arial" w:cs="Arial"/>
          <w:sz w:val="20"/>
          <w:szCs w:val="20"/>
          <w:shd w:val="clear" w:color="auto" w:fill="FFFFFF"/>
        </w:rPr>
        <w:t>(2), 149-168.</w:t>
      </w:r>
    </w:p>
    <w:p w14:paraId="2AB5517D" w14:textId="77777777" w:rsidR="00C97CF4" w:rsidRPr="00C97CF4" w:rsidRDefault="00C97CF4" w:rsidP="00A136F8">
      <w:pPr>
        <w:pStyle w:val="NormalWeb"/>
        <w:ind w:left="720" w:hanging="720"/>
        <w:jc w:val="both"/>
        <w:rPr>
          <w:rFonts w:ascii="Arial" w:hAnsi="Arial" w:cs="Arial"/>
          <w:sz w:val="20"/>
          <w:szCs w:val="20"/>
        </w:rPr>
      </w:pPr>
      <w:r w:rsidRPr="00C97CF4">
        <w:rPr>
          <w:rFonts w:ascii="Arial" w:hAnsi="Arial" w:cs="Arial"/>
          <w:sz w:val="20"/>
          <w:szCs w:val="20"/>
        </w:rPr>
        <w:t xml:space="preserve">Ministry of Coal, Government of India. (2024). </w:t>
      </w:r>
      <w:r w:rsidRPr="00C97CF4">
        <w:rPr>
          <w:rStyle w:val="Emphasis"/>
          <w:rFonts w:ascii="Arial" w:hAnsi="Arial" w:cs="Arial"/>
          <w:sz w:val="20"/>
          <w:szCs w:val="20"/>
        </w:rPr>
        <w:t>Coal statistics and performance reports.</w:t>
      </w:r>
      <w:r w:rsidRPr="00C97CF4">
        <w:rPr>
          <w:rFonts w:ascii="Arial" w:hAnsi="Arial" w:cs="Arial"/>
          <w:sz w:val="20"/>
          <w:szCs w:val="20"/>
        </w:rPr>
        <w:t xml:space="preserve"> New Delhi, India: Ministry of Coal, Government of India.</w:t>
      </w:r>
    </w:p>
    <w:p w14:paraId="0903F4FE" w14:textId="77777777" w:rsidR="00C97CF4" w:rsidRPr="00C97CF4" w:rsidRDefault="00C97CF4" w:rsidP="00A136F8">
      <w:pPr>
        <w:pStyle w:val="NormalWeb"/>
        <w:ind w:left="720" w:hanging="720"/>
        <w:jc w:val="both"/>
        <w:rPr>
          <w:rFonts w:ascii="Arial" w:hAnsi="Arial" w:cs="Arial"/>
          <w:sz w:val="20"/>
          <w:szCs w:val="20"/>
        </w:rPr>
      </w:pPr>
      <w:r w:rsidRPr="00C97CF4">
        <w:rPr>
          <w:rFonts w:ascii="Arial" w:hAnsi="Arial" w:cs="Arial"/>
          <w:sz w:val="20"/>
          <w:szCs w:val="20"/>
        </w:rPr>
        <w:t xml:space="preserve">Ministry of Coal, Government of India. (2024a). </w:t>
      </w:r>
      <w:r w:rsidRPr="00C97CF4">
        <w:rPr>
          <w:rStyle w:val="Emphasis"/>
          <w:rFonts w:ascii="Arial" w:hAnsi="Arial" w:cs="Arial"/>
          <w:sz w:val="20"/>
          <w:szCs w:val="20"/>
        </w:rPr>
        <w:t>Annual report 2023–24.</w:t>
      </w:r>
      <w:r w:rsidRPr="00C97CF4">
        <w:rPr>
          <w:rFonts w:ascii="Arial" w:hAnsi="Arial" w:cs="Arial"/>
          <w:sz w:val="20"/>
          <w:szCs w:val="20"/>
        </w:rPr>
        <w:t xml:space="preserve"> New Delhi, India: Ministry of Coal (</w:t>
      </w:r>
      <w:proofErr w:type="spellStart"/>
      <w:r w:rsidRPr="00C97CF4">
        <w:rPr>
          <w:rFonts w:ascii="Arial" w:hAnsi="Arial" w:cs="Arial"/>
          <w:sz w:val="20"/>
          <w:szCs w:val="20"/>
        </w:rPr>
        <w:t>MoC</w:t>
      </w:r>
      <w:proofErr w:type="spellEnd"/>
      <w:r w:rsidRPr="00C97CF4">
        <w:rPr>
          <w:rFonts w:ascii="Arial" w:hAnsi="Arial" w:cs="Arial"/>
          <w:sz w:val="20"/>
          <w:szCs w:val="20"/>
        </w:rPr>
        <w:t>).</w:t>
      </w:r>
    </w:p>
    <w:p w14:paraId="77DA59CF" w14:textId="77777777" w:rsidR="00C97CF4" w:rsidRPr="00C97CF4" w:rsidRDefault="00C97CF4" w:rsidP="00A136F8">
      <w:pPr>
        <w:pStyle w:val="NormalWeb"/>
        <w:ind w:left="720" w:hanging="720"/>
        <w:jc w:val="both"/>
        <w:rPr>
          <w:rFonts w:ascii="Arial" w:hAnsi="Arial" w:cs="Arial"/>
          <w:sz w:val="20"/>
          <w:szCs w:val="20"/>
        </w:rPr>
      </w:pPr>
      <w:r w:rsidRPr="00C97CF4">
        <w:rPr>
          <w:rFonts w:ascii="Arial" w:hAnsi="Arial" w:cs="Arial"/>
          <w:sz w:val="20"/>
          <w:szCs w:val="20"/>
        </w:rPr>
        <w:t xml:space="preserve">Ministry of Coal, Government of India. (2024b). </w:t>
      </w:r>
      <w:r w:rsidRPr="00C97CF4">
        <w:rPr>
          <w:rStyle w:val="Emphasis"/>
          <w:rFonts w:ascii="Arial" w:hAnsi="Arial" w:cs="Arial"/>
          <w:sz w:val="20"/>
          <w:szCs w:val="20"/>
        </w:rPr>
        <w:t xml:space="preserve">Coal production reaches an unprecedented milestone of 893.19 million </w:t>
      </w:r>
      <w:proofErr w:type="spellStart"/>
      <w:r w:rsidRPr="00C97CF4">
        <w:rPr>
          <w:rStyle w:val="Emphasis"/>
          <w:rFonts w:ascii="Arial" w:hAnsi="Arial" w:cs="Arial"/>
          <w:sz w:val="20"/>
          <w:szCs w:val="20"/>
        </w:rPr>
        <w:t>tonnes</w:t>
      </w:r>
      <w:proofErr w:type="spellEnd"/>
      <w:r w:rsidRPr="00C97CF4">
        <w:rPr>
          <w:rStyle w:val="Emphasis"/>
          <w:rFonts w:ascii="Arial" w:hAnsi="Arial" w:cs="Arial"/>
          <w:sz w:val="20"/>
          <w:szCs w:val="20"/>
        </w:rPr>
        <w:t xml:space="preserve"> in FY 2022–23.</w:t>
      </w:r>
      <w:r w:rsidRPr="00C97CF4">
        <w:rPr>
          <w:rFonts w:ascii="Arial" w:hAnsi="Arial" w:cs="Arial"/>
          <w:sz w:val="20"/>
          <w:szCs w:val="20"/>
        </w:rPr>
        <w:t xml:space="preserve"> Press Information Bureau, Government of India.</w:t>
      </w:r>
    </w:p>
    <w:p w14:paraId="0EB45A7B" w14:textId="77777777" w:rsidR="00C97CF4" w:rsidRPr="00C97CF4" w:rsidRDefault="00C97CF4" w:rsidP="00A136F8">
      <w:pPr>
        <w:pStyle w:val="NormalWeb"/>
        <w:ind w:left="720" w:hanging="720"/>
        <w:jc w:val="both"/>
        <w:rPr>
          <w:rFonts w:ascii="Arial" w:hAnsi="Arial" w:cs="Arial"/>
          <w:sz w:val="20"/>
          <w:szCs w:val="20"/>
        </w:rPr>
      </w:pPr>
      <w:r w:rsidRPr="00C97CF4">
        <w:rPr>
          <w:rFonts w:ascii="Arial" w:hAnsi="Arial" w:cs="Arial"/>
          <w:sz w:val="20"/>
          <w:szCs w:val="20"/>
        </w:rPr>
        <w:t xml:space="preserve">NITI Aayog. (2023). </w:t>
      </w:r>
      <w:r w:rsidRPr="00C97CF4">
        <w:rPr>
          <w:rStyle w:val="Emphasis"/>
          <w:rFonts w:ascii="Arial" w:hAnsi="Arial" w:cs="Arial"/>
          <w:sz w:val="20"/>
          <w:szCs w:val="20"/>
        </w:rPr>
        <w:t>India energy outlook 2023: Towards a clean energy future.</w:t>
      </w:r>
      <w:r w:rsidRPr="00C97CF4">
        <w:rPr>
          <w:rFonts w:ascii="Arial" w:hAnsi="Arial" w:cs="Arial"/>
          <w:sz w:val="20"/>
          <w:szCs w:val="20"/>
        </w:rPr>
        <w:t xml:space="preserve"> New Delhi, India: Government of India.</w:t>
      </w:r>
    </w:p>
    <w:p w14:paraId="37FFD2F6" w14:textId="77777777" w:rsidR="00C97CF4" w:rsidRPr="00C97CF4" w:rsidRDefault="00C97CF4" w:rsidP="00A136F8">
      <w:pPr>
        <w:pStyle w:val="NormalWeb"/>
        <w:ind w:left="720" w:hanging="720"/>
        <w:jc w:val="both"/>
        <w:rPr>
          <w:rFonts w:ascii="Arial" w:hAnsi="Arial" w:cs="Arial"/>
          <w:color w:val="FF3399"/>
          <w:sz w:val="20"/>
          <w:szCs w:val="20"/>
        </w:rPr>
      </w:pPr>
      <w:r w:rsidRPr="00C97CF4">
        <w:rPr>
          <w:rFonts w:ascii="Arial" w:hAnsi="Arial" w:cs="Arial"/>
          <w:sz w:val="20"/>
          <w:szCs w:val="20"/>
        </w:rPr>
        <w:t xml:space="preserve">Reserve Bank of India. (2024). </w:t>
      </w:r>
      <w:r w:rsidRPr="00C97CF4">
        <w:rPr>
          <w:rStyle w:val="Emphasis"/>
          <w:rFonts w:ascii="Arial" w:hAnsi="Arial" w:cs="Arial"/>
          <w:sz w:val="20"/>
          <w:szCs w:val="20"/>
        </w:rPr>
        <w:t>Handbook of statistics on the Indian economy 2023–24.</w:t>
      </w:r>
      <w:r w:rsidRPr="00C97CF4">
        <w:rPr>
          <w:rFonts w:ascii="Arial" w:hAnsi="Arial" w:cs="Arial"/>
          <w:sz w:val="20"/>
          <w:szCs w:val="20"/>
        </w:rPr>
        <w:t xml:space="preserve"> Mumbai, India: Reserve Bank of India (RBI). </w:t>
      </w:r>
      <w:hyperlink r:id="rId17" w:tgtFrame="_new" w:history="1">
        <w:r w:rsidRPr="00C97CF4">
          <w:rPr>
            <w:rStyle w:val="Hyperlink"/>
            <w:rFonts w:ascii="Arial" w:hAnsi="Arial" w:cs="Arial"/>
            <w:color w:val="FF3399"/>
            <w:sz w:val="20"/>
            <w:szCs w:val="20"/>
          </w:rPr>
          <w:t>https://www.rbi.org.in</w:t>
        </w:r>
      </w:hyperlink>
    </w:p>
    <w:p w14:paraId="6C4CFCA2" w14:textId="77777777" w:rsidR="00C97CF4" w:rsidRPr="00C97CF4" w:rsidRDefault="00C97CF4" w:rsidP="00A136F8">
      <w:pPr>
        <w:spacing w:after="0" w:line="240" w:lineRule="auto"/>
        <w:ind w:left="720" w:hanging="720"/>
        <w:jc w:val="both"/>
        <w:rPr>
          <w:rStyle w:val="Hyperlink"/>
          <w:rFonts w:ascii="Arial" w:hAnsi="Arial" w:cs="Arial"/>
          <w:color w:val="FF3399"/>
          <w:sz w:val="20"/>
          <w:szCs w:val="20"/>
        </w:rPr>
      </w:pPr>
      <w:r w:rsidRPr="00C97CF4">
        <w:rPr>
          <w:rFonts w:ascii="Arial" w:hAnsi="Arial" w:cs="Arial"/>
          <w:sz w:val="20"/>
          <w:szCs w:val="20"/>
        </w:rPr>
        <w:t xml:space="preserve">Sarkar, S., &amp; Mathavan, B. (2024). </w:t>
      </w:r>
      <w:r w:rsidRPr="00C97CF4">
        <w:rPr>
          <w:rFonts w:ascii="Arial" w:hAnsi="Arial" w:cs="Arial"/>
          <w:noProof/>
          <w:sz w:val="20"/>
          <w:szCs w:val="20"/>
        </w:rPr>
        <w:t xml:space="preserve">Energy Consumption and Economic Growth in India: A Granger </w:t>
      </w:r>
      <w:r w:rsidRPr="00C97CF4">
        <w:rPr>
          <w:rFonts w:ascii="Arial" w:hAnsi="Arial" w:cs="Arial"/>
          <w:sz w:val="20"/>
          <w:szCs w:val="20"/>
        </w:rPr>
        <w:t>Causality Approach</w:t>
      </w:r>
      <w:r w:rsidRPr="00C97CF4">
        <w:rPr>
          <w:rFonts w:ascii="Arial" w:hAnsi="Arial" w:cs="Arial"/>
          <w:noProof/>
          <w:sz w:val="20"/>
          <w:szCs w:val="20"/>
        </w:rPr>
        <w:t xml:space="preserve">. </w:t>
      </w:r>
      <w:r w:rsidRPr="00C97CF4">
        <w:rPr>
          <w:rFonts w:ascii="Arial" w:hAnsi="Arial" w:cs="Arial"/>
          <w:iCs/>
          <w:noProof/>
          <w:sz w:val="20"/>
          <w:szCs w:val="20"/>
        </w:rPr>
        <w:t>Indian Journal of Natural Sciences, 15 (87),</w:t>
      </w:r>
      <w:r w:rsidRPr="00C97CF4">
        <w:rPr>
          <w:rFonts w:ascii="Arial" w:hAnsi="Arial" w:cs="Arial"/>
          <w:noProof/>
          <w:sz w:val="20"/>
          <w:szCs w:val="20"/>
        </w:rPr>
        <w:t xml:space="preserve"> 85356-85363. </w:t>
      </w:r>
      <w:hyperlink r:id="rId18" w:history="1">
        <w:r w:rsidRPr="00C97CF4">
          <w:rPr>
            <w:rStyle w:val="Hyperlink"/>
            <w:rFonts w:ascii="Arial" w:hAnsi="Arial" w:cs="Arial"/>
            <w:color w:val="FF3399"/>
            <w:sz w:val="20"/>
            <w:szCs w:val="20"/>
          </w:rPr>
          <w:t>https://tnsroindia.org.in/journals.html</w:t>
        </w:r>
      </w:hyperlink>
      <w:r w:rsidRPr="00C97CF4">
        <w:rPr>
          <w:rStyle w:val="Hyperlink"/>
          <w:rFonts w:ascii="Arial" w:hAnsi="Arial" w:cs="Arial"/>
          <w:color w:val="FF3399"/>
          <w:sz w:val="20"/>
          <w:szCs w:val="20"/>
        </w:rPr>
        <w:t>.</w:t>
      </w:r>
    </w:p>
    <w:p w14:paraId="6084C7D0" w14:textId="77777777" w:rsidR="00C97CF4" w:rsidRDefault="00C97CF4" w:rsidP="00A136F8">
      <w:pPr>
        <w:spacing w:after="0" w:line="240" w:lineRule="auto"/>
        <w:ind w:left="720" w:hanging="720"/>
        <w:jc w:val="both"/>
        <w:rPr>
          <w:rStyle w:val="Hyperlink"/>
          <w:rFonts w:ascii="Arial" w:hAnsi="Arial" w:cs="Arial"/>
          <w:sz w:val="20"/>
          <w:szCs w:val="20"/>
        </w:rPr>
      </w:pPr>
    </w:p>
    <w:p w14:paraId="60F2653B" w14:textId="77777777" w:rsidR="00C97CF4" w:rsidRPr="00C97CF4" w:rsidRDefault="00C97CF4" w:rsidP="00A136F8">
      <w:pPr>
        <w:spacing w:after="0" w:line="240" w:lineRule="auto"/>
        <w:ind w:left="720" w:hanging="720"/>
        <w:jc w:val="both"/>
        <w:rPr>
          <w:rStyle w:val="Hyperlink"/>
          <w:rFonts w:ascii="Arial" w:hAnsi="Arial" w:cs="Arial"/>
          <w:color w:val="FF3399"/>
          <w:sz w:val="20"/>
          <w:szCs w:val="20"/>
        </w:rPr>
      </w:pPr>
      <w:r w:rsidRPr="00C97CF4">
        <w:rPr>
          <w:rFonts w:ascii="Arial" w:hAnsi="Arial" w:cs="Arial"/>
          <w:sz w:val="20"/>
          <w:szCs w:val="20"/>
        </w:rPr>
        <w:t>Sarkar, S., &amp; Mathavan, B. (2025). Economic analysis of energy consumption in Agriculture sector of Indian Economy</w:t>
      </w:r>
      <w:r w:rsidRPr="00C97CF4">
        <w:rPr>
          <w:rFonts w:ascii="Arial" w:hAnsi="Arial" w:cs="Arial"/>
          <w:noProof/>
          <w:sz w:val="20"/>
          <w:szCs w:val="20"/>
        </w:rPr>
        <w:t xml:space="preserve">. </w:t>
      </w:r>
      <w:r w:rsidRPr="00C97CF4">
        <w:rPr>
          <w:rFonts w:ascii="Arial" w:hAnsi="Arial" w:cs="Arial"/>
          <w:iCs/>
          <w:noProof/>
          <w:sz w:val="20"/>
          <w:szCs w:val="20"/>
        </w:rPr>
        <w:t>Indian Journal of Applied and Pure Biology, 40 (2),</w:t>
      </w:r>
      <w:r w:rsidRPr="00C97CF4">
        <w:rPr>
          <w:rFonts w:ascii="Arial" w:hAnsi="Arial" w:cs="Arial"/>
          <w:noProof/>
          <w:sz w:val="20"/>
          <w:szCs w:val="20"/>
        </w:rPr>
        <w:t xml:space="preserve"> 1162-1174. </w:t>
      </w:r>
      <w:hyperlink r:id="rId19" w:history="1">
        <w:r w:rsidRPr="00C97CF4">
          <w:rPr>
            <w:rStyle w:val="Hyperlink"/>
            <w:rFonts w:ascii="Arial" w:hAnsi="Arial" w:cs="Arial"/>
            <w:color w:val="FF3399"/>
            <w:sz w:val="20"/>
            <w:szCs w:val="20"/>
          </w:rPr>
          <w:t>https://biology-journal.org/journal/volume40/issue83/?pg=4</w:t>
        </w:r>
      </w:hyperlink>
      <w:r w:rsidRPr="00C97CF4">
        <w:rPr>
          <w:rStyle w:val="Hyperlink"/>
          <w:rFonts w:ascii="Arial" w:hAnsi="Arial" w:cs="Arial"/>
          <w:color w:val="FF3399"/>
          <w:sz w:val="20"/>
          <w:szCs w:val="20"/>
        </w:rPr>
        <w:t>.</w:t>
      </w:r>
    </w:p>
    <w:p w14:paraId="4E226D23" w14:textId="77777777" w:rsidR="00C97CF4" w:rsidRPr="00C97CF4" w:rsidRDefault="00C97CF4" w:rsidP="00A136F8">
      <w:pPr>
        <w:pStyle w:val="NormalWeb"/>
        <w:ind w:left="720" w:hanging="720"/>
        <w:jc w:val="both"/>
        <w:rPr>
          <w:rStyle w:val="Hyperlink"/>
          <w:rFonts w:ascii="Arial" w:hAnsi="Arial" w:cs="Arial"/>
          <w:sz w:val="20"/>
          <w:szCs w:val="20"/>
        </w:rPr>
      </w:pPr>
      <w:r w:rsidRPr="00C97CF4">
        <w:rPr>
          <w:rFonts w:ascii="Arial" w:hAnsi="Arial" w:cs="Arial"/>
          <w:sz w:val="20"/>
          <w:szCs w:val="20"/>
        </w:rPr>
        <w:t xml:space="preserve">U.S. Energy Information Administration. (2024). </w:t>
      </w:r>
      <w:r w:rsidRPr="00C97CF4">
        <w:rPr>
          <w:rStyle w:val="Emphasis"/>
          <w:rFonts w:ascii="Arial" w:hAnsi="Arial" w:cs="Arial"/>
          <w:sz w:val="20"/>
          <w:szCs w:val="20"/>
        </w:rPr>
        <w:t>Country analysis brief: India.</w:t>
      </w:r>
      <w:r w:rsidRPr="00C97CF4">
        <w:rPr>
          <w:rFonts w:ascii="Arial" w:hAnsi="Arial" w:cs="Arial"/>
          <w:sz w:val="20"/>
          <w:szCs w:val="20"/>
        </w:rPr>
        <w:t xml:space="preserve"> Washington, DC: U.S. Energy Information Administration (EIA). </w:t>
      </w:r>
      <w:hyperlink r:id="rId20" w:tgtFrame="_new" w:history="1">
        <w:r w:rsidRPr="00C97CF4">
          <w:rPr>
            <w:rStyle w:val="Hyperlink"/>
            <w:rFonts w:ascii="Arial" w:hAnsi="Arial" w:cs="Arial"/>
            <w:color w:val="FF3399"/>
            <w:sz w:val="20"/>
            <w:szCs w:val="20"/>
          </w:rPr>
          <w:t>https://www.eia.gov/international/content/analysis/countries_long/India/pdf/India.pdf</w:t>
        </w:r>
      </w:hyperlink>
    </w:p>
    <w:p w14:paraId="19C1B65A" w14:textId="77777777" w:rsidR="00C97CF4" w:rsidRPr="00C97CF4" w:rsidRDefault="00C97CF4" w:rsidP="00A136F8">
      <w:pPr>
        <w:ind w:left="720" w:hanging="720"/>
        <w:jc w:val="both"/>
        <w:rPr>
          <w:rFonts w:ascii="Arial" w:hAnsi="Arial" w:cs="Arial"/>
          <w:sz w:val="20"/>
          <w:szCs w:val="20"/>
          <w:shd w:val="clear" w:color="auto" w:fill="FFFFFF"/>
        </w:rPr>
      </w:pPr>
      <w:r w:rsidRPr="00C97CF4">
        <w:rPr>
          <w:rFonts w:ascii="Arial" w:hAnsi="Arial" w:cs="Arial"/>
          <w:sz w:val="20"/>
          <w:szCs w:val="20"/>
          <w:shd w:val="clear" w:color="auto" w:fill="FFFFFF"/>
        </w:rPr>
        <w:t>Wolde-Rufael, Y. (2010). Coal consumption and economic growth revisited. </w:t>
      </w:r>
      <w:r w:rsidRPr="00C97CF4">
        <w:rPr>
          <w:rFonts w:ascii="Arial" w:hAnsi="Arial" w:cs="Arial"/>
          <w:i/>
          <w:iCs/>
          <w:sz w:val="20"/>
          <w:szCs w:val="20"/>
          <w:shd w:val="clear" w:color="auto" w:fill="FFFFFF"/>
        </w:rPr>
        <w:t>Applied Energy</w:t>
      </w:r>
      <w:r w:rsidRPr="00C97CF4">
        <w:rPr>
          <w:rFonts w:ascii="Arial" w:hAnsi="Arial" w:cs="Arial"/>
          <w:sz w:val="20"/>
          <w:szCs w:val="20"/>
          <w:shd w:val="clear" w:color="auto" w:fill="FFFFFF"/>
        </w:rPr>
        <w:t>, </w:t>
      </w:r>
      <w:r w:rsidRPr="00C97CF4">
        <w:rPr>
          <w:rFonts w:ascii="Arial" w:hAnsi="Arial" w:cs="Arial"/>
          <w:i/>
          <w:iCs/>
          <w:sz w:val="20"/>
          <w:szCs w:val="20"/>
          <w:shd w:val="clear" w:color="auto" w:fill="FFFFFF"/>
        </w:rPr>
        <w:t>87</w:t>
      </w:r>
      <w:r w:rsidRPr="00C97CF4">
        <w:rPr>
          <w:rFonts w:ascii="Arial" w:hAnsi="Arial" w:cs="Arial"/>
          <w:sz w:val="20"/>
          <w:szCs w:val="20"/>
          <w:shd w:val="clear" w:color="auto" w:fill="FFFFFF"/>
        </w:rPr>
        <w:t>(1), 160-167.</w:t>
      </w:r>
    </w:p>
    <w:p w14:paraId="377D5DFB" w14:textId="77777777" w:rsidR="00C97CF4" w:rsidRPr="00C97CF4" w:rsidRDefault="00C97CF4" w:rsidP="00A136F8">
      <w:pPr>
        <w:pStyle w:val="NormalWeb"/>
        <w:ind w:left="720" w:hanging="720"/>
        <w:jc w:val="both"/>
        <w:rPr>
          <w:rFonts w:ascii="Arial" w:hAnsi="Arial" w:cs="Arial"/>
          <w:color w:val="FF3399"/>
          <w:sz w:val="20"/>
          <w:szCs w:val="20"/>
        </w:rPr>
      </w:pPr>
      <w:r w:rsidRPr="00C97CF4">
        <w:rPr>
          <w:rFonts w:ascii="Arial" w:hAnsi="Arial" w:cs="Arial"/>
          <w:sz w:val="20"/>
          <w:szCs w:val="20"/>
        </w:rPr>
        <w:t xml:space="preserve">World Bank. (2024). </w:t>
      </w:r>
      <w:r w:rsidRPr="00C97CF4">
        <w:rPr>
          <w:rStyle w:val="Emphasis"/>
          <w:rFonts w:ascii="Arial" w:hAnsi="Arial" w:cs="Arial"/>
          <w:sz w:val="20"/>
          <w:szCs w:val="20"/>
        </w:rPr>
        <w:t>World development indicators.</w:t>
      </w:r>
      <w:r w:rsidRPr="00C97CF4">
        <w:rPr>
          <w:rFonts w:ascii="Arial" w:hAnsi="Arial" w:cs="Arial"/>
          <w:sz w:val="20"/>
          <w:szCs w:val="20"/>
        </w:rPr>
        <w:t xml:space="preserve"> Washington, DC: The World Bank. </w:t>
      </w:r>
      <w:hyperlink r:id="rId21" w:tgtFrame="_new" w:history="1">
        <w:r w:rsidRPr="00C97CF4">
          <w:rPr>
            <w:rStyle w:val="Hyperlink"/>
            <w:rFonts w:ascii="Arial" w:hAnsi="Arial" w:cs="Arial"/>
            <w:color w:val="FF3399"/>
            <w:sz w:val="20"/>
            <w:szCs w:val="20"/>
          </w:rPr>
          <w:t>https://databank.worldbank.org/source/world-development-indicators</w:t>
        </w:r>
      </w:hyperlink>
    </w:p>
    <w:sectPr w:rsidR="00C97CF4" w:rsidRPr="00C97CF4" w:rsidSect="00531A19">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4FB72" w14:textId="77777777" w:rsidR="006D7544" w:rsidRDefault="006D7544" w:rsidP="00793A1A">
      <w:pPr>
        <w:spacing w:after="0" w:line="240" w:lineRule="auto"/>
      </w:pPr>
      <w:r>
        <w:separator/>
      </w:r>
    </w:p>
  </w:endnote>
  <w:endnote w:type="continuationSeparator" w:id="0">
    <w:p w14:paraId="08A249B9" w14:textId="77777777" w:rsidR="006D7544" w:rsidRDefault="006D7544" w:rsidP="00793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0996A" w14:textId="77777777" w:rsidR="00793A1A" w:rsidRDefault="00793A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38EBD" w14:textId="77777777" w:rsidR="00793A1A" w:rsidRDefault="00793A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6B506" w14:textId="77777777" w:rsidR="00793A1A" w:rsidRDefault="00793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D116B" w14:textId="77777777" w:rsidR="006D7544" w:rsidRDefault="006D7544" w:rsidP="00793A1A">
      <w:pPr>
        <w:spacing w:after="0" w:line="240" w:lineRule="auto"/>
      </w:pPr>
      <w:r>
        <w:separator/>
      </w:r>
    </w:p>
  </w:footnote>
  <w:footnote w:type="continuationSeparator" w:id="0">
    <w:p w14:paraId="083C32A0" w14:textId="77777777" w:rsidR="006D7544" w:rsidRDefault="006D7544" w:rsidP="00793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DFBEC" w14:textId="57041698" w:rsidR="00793A1A" w:rsidRDefault="00793A1A">
    <w:pPr>
      <w:pStyle w:val="Header"/>
    </w:pPr>
    <w:r>
      <w:rPr>
        <w:noProof/>
      </w:rPr>
      <w:pict w14:anchorId="567163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559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EE3F8" w14:textId="33ABEB21" w:rsidR="00793A1A" w:rsidRDefault="00793A1A">
    <w:pPr>
      <w:pStyle w:val="Header"/>
    </w:pPr>
    <w:r>
      <w:rPr>
        <w:noProof/>
      </w:rPr>
      <w:pict w14:anchorId="2A3E5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559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701FD" w14:textId="15322A1E" w:rsidR="00793A1A" w:rsidRDefault="00793A1A">
    <w:pPr>
      <w:pStyle w:val="Header"/>
    </w:pPr>
    <w:r>
      <w:rPr>
        <w:noProof/>
      </w:rPr>
      <w:pict w14:anchorId="0E0FF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559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1AC"/>
    <w:multiLevelType w:val="multilevel"/>
    <w:tmpl w:val="4C16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B3735"/>
    <w:multiLevelType w:val="multilevel"/>
    <w:tmpl w:val="7146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E7410"/>
    <w:multiLevelType w:val="multilevel"/>
    <w:tmpl w:val="C798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3755A"/>
    <w:multiLevelType w:val="multilevel"/>
    <w:tmpl w:val="B7FE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B2475"/>
    <w:multiLevelType w:val="multilevel"/>
    <w:tmpl w:val="8EA8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C31552"/>
    <w:multiLevelType w:val="multilevel"/>
    <w:tmpl w:val="3E08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D05739"/>
    <w:multiLevelType w:val="multilevel"/>
    <w:tmpl w:val="DE4CCE6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630F04B9"/>
    <w:multiLevelType w:val="multilevel"/>
    <w:tmpl w:val="C2526E2C"/>
    <w:lvl w:ilvl="0">
      <w:start w:val="1"/>
      <w:numFmt w:val="decimal"/>
      <w:lvlText w:val="%1.0"/>
      <w:lvlJc w:val="left"/>
      <w:pPr>
        <w:ind w:left="371" w:hanging="371"/>
      </w:pPr>
      <w:rPr>
        <w:rFonts w:hint="default"/>
      </w:rPr>
    </w:lvl>
    <w:lvl w:ilvl="1">
      <w:start w:val="1"/>
      <w:numFmt w:val="decimal"/>
      <w:lvlText w:val="%1.%2"/>
      <w:lvlJc w:val="left"/>
      <w:pPr>
        <w:ind w:left="1091" w:hanging="371"/>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173C"/>
    <w:rsid w:val="000014F6"/>
    <w:rsid w:val="00002B0E"/>
    <w:rsid w:val="000056D7"/>
    <w:rsid w:val="00055E3B"/>
    <w:rsid w:val="00074C47"/>
    <w:rsid w:val="00090D5F"/>
    <w:rsid w:val="00091142"/>
    <w:rsid w:val="000B7A62"/>
    <w:rsid w:val="000C30A0"/>
    <w:rsid w:val="000D3474"/>
    <w:rsid w:val="000E1791"/>
    <w:rsid w:val="000E3AD3"/>
    <w:rsid w:val="001308CF"/>
    <w:rsid w:val="001319C3"/>
    <w:rsid w:val="00146AC1"/>
    <w:rsid w:val="00156EC2"/>
    <w:rsid w:val="0015728D"/>
    <w:rsid w:val="00173F03"/>
    <w:rsid w:val="00183B3E"/>
    <w:rsid w:val="001A034A"/>
    <w:rsid w:val="001C3031"/>
    <w:rsid w:val="001D0E37"/>
    <w:rsid w:val="00206BF3"/>
    <w:rsid w:val="00251FB8"/>
    <w:rsid w:val="002636D7"/>
    <w:rsid w:val="002B43AF"/>
    <w:rsid w:val="002C69B8"/>
    <w:rsid w:val="00337625"/>
    <w:rsid w:val="00342A80"/>
    <w:rsid w:val="003501DB"/>
    <w:rsid w:val="0036783F"/>
    <w:rsid w:val="00387669"/>
    <w:rsid w:val="0039094B"/>
    <w:rsid w:val="003D11F9"/>
    <w:rsid w:val="003D14D7"/>
    <w:rsid w:val="00441C14"/>
    <w:rsid w:val="004536BE"/>
    <w:rsid w:val="00472A7A"/>
    <w:rsid w:val="00475668"/>
    <w:rsid w:val="00484D22"/>
    <w:rsid w:val="00485F0F"/>
    <w:rsid w:val="00494B57"/>
    <w:rsid w:val="004E0AA1"/>
    <w:rsid w:val="004F218A"/>
    <w:rsid w:val="00531A19"/>
    <w:rsid w:val="005433DE"/>
    <w:rsid w:val="0056076F"/>
    <w:rsid w:val="00566E18"/>
    <w:rsid w:val="0057713E"/>
    <w:rsid w:val="00581539"/>
    <w:rsid w:val="00586193"/>
    <w:rsid w:val="00593408"/>
    <w:rsid w:val="005B5874"/>
    <w:rsid w:val="005D1BBB"/>
    <w:rsid w:val="005E33C4"/>
    <w:rsid w:val="005E4919"/>
    <w:rsid w:val="005E7DC5"/>
    <w:rsid w:val="005F1E1C"/>
    <w:rsid w:val="0061554C"/>
    <w:rsid w:val="006435D7"/>
    <w:rsid w:val="00654BF2"/>
    <w:rsid w:val="00665669"/>
    <w:rsid w:val="00670327"/>
    <w:rsid w:val="006B6E5E"/>
    <w:rsid w:val="006D7544"/>
    <w:rsid w:val="0070287B"/>
    <w:rsid w:val="00711351"/>
    <w:rsid w:val="00730BD2"/>
    <w:rsid w:val="0075007D"/>
    <w:rsid w:val="00773771"/>
    <w:rsid w:val="007746D5"/>
    <w:rsid w:val="00774A46"/>
    <w:rsid w:val="0078448B"/>
    <w:rsid w:val="00791796"/>
    <w:rsid w:val="00793A1A"/>
    <w:rsid w:val="007C4781"/>
    <w:rsid w:val="007C7755"/>
    <w:rsid w:val="00804553"/>
    <w:rsid w:val="00804AC3"/>
    <w:rsid w:val="00830A8B"/>
    <w:rsid w:val="008751F4"/>
    <w:rsid w:val="008C0AF1"/>
    <w:rsid w:val="008C4AE3"/>
    <w:rsid w:val="008C6CF8"/>
    <w:rsid w:val="008D49F6"/>
    <w:rsid w:val="008E02CC"/>
    <w:rsid w:val="008E400C"/>
    <w:rsid w:val="00926D76"/>
    <w:rsid w:val="009304E4"/>
    <w:rsid w:val="00932C5F"/>
    <w:rsid w:val="00985BEF"/>
    <w:rsid w:val="009D55DD"/>
    <w:rsid w:val="009F303D"/>
    <w:rsid w:val="009F3298"/>
    <w:rsid w:val="00A136F8"/>
    <w:rsid w:val="00A16A15"/>
    <w:rsid w:val="00A366A7"/>
    <w:rsid w:val="00A82CCA"/>
    <w:rsid w:val="00A90CF3"/>
    <w:rsid w:val="00AA64FA"/>
    <w:rsid w:val="00AA71E7"/>
    <w:rsid w:val="00AC524A"/>
    <w:rsid w:val="00AD271C"/>
    <w:rsid w:val="00B277E8"/>
    <w:rsid w:val="00B52C7F"/>
    <w:rsid w:val="00B61608"/>
    <w:rsid w:val="00BB3A37"/>
    <w:rsid w:val="00BF02FB"/>
    <w:rsid w:val="00C01EC5"/>
    <w:rsid w:val="00C066CC"/>
    <w:rsid w:val="00C71C8D"/>
    <w:rsid w:val="00C956EF"/>
    <w:rsid w:val="00C97CF4"/>
    <w:rsid w:val="00CA42C9"/>
    <w:rsid w:val="00CC5A1B"/>
    <w:rsid w:val="00CC5B04"/>
    <w:rsid w:val="00CD5385"/>
    <w:rsid w:val="00CD6FA0"/>
    <w:rsid w:val="00CE0211"/>
    <w:rsid w:val="00CE25D5"/>
    <w:rsid w:val="00CE2B18"/>
    <w:rsid w:val="00CF3911"/>
    <w:rsid w:val="00D04BC5"/>
    <w:rsid w:val="00D14814"/>
    <w:rsid w:val="00D37361"/>
    <w:rsid w:val="00D5539D"/>
    <w:rsid w:val="00D66983"/>
    <w:rsid w:val="00D67C73"/>
    <w:rsid w:val="00D72CF5"/>
    <w:rsid w:val="00D84BE6"/>
    <w:rsid w:val="00D85664"/>
    <w:rsid w:val="00DA3545"/>
    <w:rsid w:val="00DA44C3"/>
    <w:rsid w:val="00DD0CE5"/>
    <w:rsid w:val="00E14106"/>
    <w:rsid w:val="00E14628"/>
    <w:rsid w:val="00E14795"/>
    <w:rsid w:val="00E2173C"/>
    <w:rsid w:val="00E272CC"/>
    <w:rsid w:val="00E332F8"/>
    <w:rsid w:val="00E93089"/>
    <w:rsid w:val="00EA3021"/>
    <w:rsid w:val="00EA7B80"/>
    <w:rsid w:val="00EB0D04"/>
    <w:rsid w:val="00EE08A9"/>
    <w:rsid w:val="00EF0BEE"/>
    <w:rsid w:val="00EF5B83"/>
    <w:rsid w:val="00F13939"/>
    <w:rsid w:val="00F41C48"/>
    <w:rsid w:val="00FA0D70"/>
    <w:rsid w:val="00FC7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3A0214"/>
  <w15:docId w15:val="{373AEAE0-1ADD-46A9-896E-8723594D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034A"/>
  </w:style>
  <w:style w:type="paragraph" w:styleId="Heading3">
    <w:name w:val="heading 3"/>
    <w:basedOn w:val="Normal"/>
    <w:next w:val="Normal"/>
    <w:link w:val="Heading3Char"/>
    <w:uiPriority w:val="9"/>
    <w:unhideWhenUsed/>
    <w:qFormat/>
    <w:rsid w:val="00E2173C"/>
    <w:pPr>
      <w:keepNext/>
      <w:keepLines/>
      <w:spacing w:before="200" w:after="0" w:line="259" w:lineRule="auto"/>
      <w:outlineLvl w:val="2"/>
    </w:pPr>
    <w:rPr>
      <w:rFonts w:asciiTheme="majorHAnsi" w:eastAsiaTheme="majorEastAsia" w:hAnsiTheme="majorHAnsi" w:cstheme="majorBidi"/>
      <w:b/>
      <w:bCs/>
      <w:color w:val="4F81BD" w:themeColor="accent1"/>
      <w:lang w:val="en-IN"/>
    </w:rPr>
  </w:style>
  <w:style w:type="paragraph" w:styleId="Heading4">
    <w:name w:val="heading 4"/>
    <w:basedOn w:val="Normal"/>
    <w:next w:val="Normal"/>
    <w:link w:val="Heading4Char"/>
    <w:uiPriority w:val="9"/>
    <w:semiHidden/>
    <w:unhideWhenUsed/>
    <w:qFormat/>
    <w:rsid w:val="001319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sid w:val="00E2173C"/>
    <w:rPr>
      <w:color w:val="0000FF"/>
      <w:u w:val="single"/>
    </w:rPr>
  </w:style>
  <w:style w:type="character" w:styleId="Strong">
    <w:name w:val="Strong"/>
    <w:basedOn w:val="DefaultParagraphFont"/>
    <w:uiPriority w:val="22"/>
    <w:qFormat/>
    <w:rsid w:val="00E2173C"/>
    <w:rPr>
      <w:b/>
      <w:bCs/>
    </w:rPr>
  </w:style>
  <w:style w:type="paragraph" w:styleId="ListParagraph">
    <w:name w:val="List Paragraph"/>
    <w:basedOn w:val="Normal"/>
    <w:uiPriority w:val="34"/>
    <w:qFormat/>
    <w:rsid w:val="00E2173C"/>
    <w:pPr>
      <w:spacing w:after="160" w:line="259" w:lineRule="auto"/>
      <w:ind w:left="720"/>
      <w:contextualSpacing/>
    </w:pPr>
    <w:rPr>
      <w:lang w:val="en-IN"/>
    </w:rPr>
  </w:style>
  <w:style w:type="character" w:customStyle="1" w:styleId="Heading3Char">
    <w:name w:val="Heading 3 Char"/>
    <w:basedOn w:val="DefaultParagraphFont"/>
    <w:link w:val="Heading3"/>
    <w:uiPriority w:val="9"/>
    <w:rsid w:val="00E2173C"/>
    <w:rPr>
      <w:rFonts w:asciiTheme="majorHAnsi" w:eastAsiaTheme="majorEastAsia" w:hAnsiTheme="majorHAnsi" w:cstheme="majorBidi"/>
      <w:b/>
      <w:bCs/>
      <w:color w:val="4F81BD" w:themeColor="accent1"/>
      <w:lang w:val="en-IN"/>
    </w:rPr>
  </w:style>
  <w:style w:type="paragraph" w:styleId="NormalWeb">
    <w:name w:val="Normal (Web)"/>
    <w:basedOn w:val="Normal"/>
    <w:uiPriority w:val="99"/>
    <w:unhideWhenUsed/>
    <w:rsid w:val="00C01EC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1EC5"/>
    <w:rPr>
      <w:i/>
      <w:iCs/>
    </w:rPr>
  </w:style>
  <w:style w:type="character" w:customStyle="1" w:styleId="katex-mathml">
    <w:name w:val="katex-mathml"/>
    <w:basedOn w:val="DefaultParagraphFont"/>
    <w:rsid w:val="001319C3"/>
  </w:style>
  <w:style w:type="character" w:customStyle="1" w:styleId="mord">
    <w:name w:val="mord"/>
    <w:basedOn w:val="DefaultParagraphFont"/>
    <w:rsid w:val="001319C3"/>
  </w:style>
  <w:style w:type="character" w:customStyle="1" w:styleId="vlist-s">
    <w:name w:val="vlist-s"/>
    <w:basedOn w:val="DefaultParagraphFont"/>
    <w:rsid w:val="001319C3"/>
  </w:style>
  <w:style w:type="character" w:customStyle="1" w:styleId="mrel">
    <w:name w:val="mrel"/>
    <w:basedOn w:val="DefaultParagraphFont"/>
    <w:rsid w:val="001319C3"/>
  </w:style>
  <w:style w:type="character" w:customStyle="1" w:styleId="mop">
    <w:name w:val="mop"/>
    <w:basedOn w:val="DefaultParagraphFont"/>
    <w:rsid w:val="001319C3"/>
  </w:style>
  <w:style w:type="character" w:customStyle="1" w:styleId="mopen">
    <w:name w:val="mopen"/>
    <w:basedOn w:val="DefaultParagraphFont"/>
    <w:rsid w:val="001319C3"/>
  </w:style>
  <w:style w:type="character" w:customStyle="1" w:styleId="mclose">
    <w:name w:val="mclose"/>
    <w:basedOn w:val="DefaultParagraphFont"/>
    <w:rsid w:val="001319C3"/>
  </w:style>
  <w:style w:type="character" w:customStyle="1" w:styleId="mbin">
    <w:name w:val="mbin"/>
    <w:basedOn w:val="DefaultParagraphFont"/>
    <w:rsid w:val="001319C3"/>
  </w:style>
  <w:style w:type="character" w:customStyle="1" w:styleId="mpunct">
    <w:name w:val="mpunct"/>
    <w:basedOn w:val="DefaultParagraphFont"/>
    <w:rsid w:val="001319C3"/>
  </w:style>
  <w:style w:type="character" w:customStyle="1" w:styleId="Heading4Char">
    <w:name w:val="Heading 4 Char"/>
    <w:basedOn w:val="DefaultParagraphFont"/>
    <w:link w:val="Heading4"/>
    <w:uiPriority w:val="9"/>
    <w:semiHidden/>
    <w:rsid w:val="001319C3"/>
    <w:rPr>
      <w:rFonts w:asciiTheme="majorHAnsi" w:eastAsiaTheme="majorEastAsia" w:hAnsiTheme="majorHAnsi" w:cstheme="majorBidi"/>
      <w:b/>
      <w:bCs/>
      <w:i/>
      <w:iCs/>
      <w:color w:val="4F81BD" w:themeColor="accent1"/>
    </w:rPr>
  </w:style>
  <w:style w:type="character" w:customStyle="1" w:styleId="delimsizing">
    <w:name w:val="delimsizing"/>
    <w:basedOn w:val="DefaultParagraphFont"/>
    <w:rsid w:val="001319C3"/>
  </w:style>
  <w:style w:type="paragraph" w:styleId="BalloonText">
    <w:name w:val="Balloon Text"/>
    <w:basedOn w:val="Normal"/>
    <w:link w:val="BalloonTextChar"/>
    <w:uiPriority w:val="99"/>
    <w:semiHidden/>
    <w:unhideWhenUsed/>
    <w:rsid w:val="00875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1F4"/>
    <w:rPr>
      <w:rFonts w:ascii="Tahoma" w:hAnsi="Tahoma" w:cs="Tahoma"/>
      <w:sz w:val="16"/>
      <w:szCs w:val="16"/>
    </w:rPr>
  </w:style>
  <w:style w:type="paragraph" w:customStyle="1" w:styleId="ReferHead">
    <w:name w:val="Refer Head"/>
    <w:basedOn w:val="Normal"/>
    <w:rsid w:val="00D04BC5"/>
    <w:pPr>
      <w:keepNext/>
      <w:spacing w:after="240" w:line="240" w:lineRule="auto"/>
    </w:pPr>
    <w:rPr>
      <w:rFonts w:ascii="Helvetica" w:eastAsia="Times New Roman" w:hAnsi="Helvetica" w:cs="Times New Roman"/>
      <w:b/>
      <w:caps/>
      <w:szCs w:val="20"/>
    </w:rPr>
  </w:style>
  <w:style w:type="character" w:styleId="UnresolvedMention">
    <w:name w:val="Unresolved Mention"/>
    <w:basedOn w:val="DefaultParagraphFont"/>
    <w:uiPriority w:val="99"/>
    <w:semiHidden/>
    <w:unhideWhenUsed/>
    <w:rsid w:val="0078448B"/>
    <w:rPr>
      <w:color w:val="605E5C"/>
      <w:shd w:val="clear" w:color="auto" w:fill="E1DFDD"/>
    </w:rPr>
  </w:style>
  <w:style w:type="paragraph" w:styleId="Header">
    <w:name w:val="header"/>
    <w:basedOn w:val="Normal"/>
    <w:link w:val="HeaderChar"/>
    <w:uiPriority w:val="99"/>
    <w:unhideWhenUsed/>
    <w:rsid w:val="00793A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A1A"/>
  </w:style>
  <w:style w:type="paragraph" w:styleId="Footer">
    <w:name w:val="footer"/>
    <w:basedOn w:val="Normal"/>
    <w:link w:val="FooterChar"/>
    <w:uiPriority w:val="99"/>
    <w:unhideWhenUsed/>
    <w:rsid w:val="00793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58357">
      <w:bodyDiv w:val="1"/>
      <w:marLeft w:val="0"/>
      <w:marRight w:val="0"/>
      <w:marTop w:val="0"/>
      <w:marBottom w:val="0"/>
      <w:divBdr>
        <w:top w:val="none" w:sz="0" w:space="0" w:color="auto"/>
        <w:left w:val="none" w:sz="0" w:space="0" w:color="auto"/>
        <w:bottom w:val="none" w:sz="0" w:space="0" w:color="auto"/>
        <w:right w:val="none" w:sz="0" w:space="0" w:color="auto"/>
      </w:divBdr>
    </w:div>
    <w:div w:id="169953184">
      <w:bodyDiv w:val="1"/>
      <w:marLeft w:val="0"/>
      <w:marRight w:val="0"/>
      <w:marTop w:val="0"/>
      <w:marBottom w:val="0"/>
      <w:divBdr>
        <w:top w:val="none" w:sz="0" w:space="0" w:color="auto"/>
        <w:left w:val="none" w:sz="0" w:space="0" w:color="auto"/>
        <w:bottom w:val="none" w:sz="0" w:space="0" w:color="auto"/>
        <w:right w:val="none" w:sz="0" w:space="0" w:color="auto"/>
      </w:divBdr>
    </w:div>
    <w:div w:id="263461598">
      <w:bodyDiv w:val="1"/>
      <w:marLeft w:val="0"/>
      <w:marRight w:val="0"/>
      <w:marTop w:val="0"/>
      <w:marBottom w:val="0"/>
      <w:divBdr>
        <w:top w:val="none" w:sz="0" w:space="0" w:color="auto"/>
        <w:left w:val="none" w:sz="0" w:space="0" w:color="auto"/>
        <w:bottom w:val="none" w:sz="0" w:space="0" w:color="auto"/>
        <w:right w:val="none" w:sz="0" w:space="0" w:color="auto"/>
      </w:divBdr>
    </w:div>
    <w:div w:id="365180195">
      <w:bodyDiv w:val="1"/>
      <w:marLeft w:val="0"/>
      <w:marRight w:val="0"/>
      <w:marTop w:val="0"/>
      <w:marBottom w:val="0"/>
      <w:divBdr>
        <w:top w:val="none" w:sz="0" w:space="0" w:color="auto"/>
        <w:left w:val="none" w:sz="0" w:space="0" w:color="auto"/>
        <w:bottom w:val="none" w:sz="0" w:space="0" w:color="auto"/>
        <w:right w:val="none" w:sz="0" w:space="0" w:color="auto"/>
      </w:divBdr>
    </w:div>
    <w:div w:id="399132422">
      <w:bodyDiv w:val="1"/>
      <w:marLeft w:val="0"/>
      <w:marRight w:val="0"/>
      <w:marTop w:val="0"/>
      <w:marBottom w:val="0"/>
      <w:divBdr>
        <w:top w:val="none" w:sz="0" w:space="0" w:color="auto"/>
        <w:left w:val="none" w:sz="0" w:space="0" w:color="auto"/>
        <w:bottom w:val="none" w:sz="0" w:space="0" w:color="auto"/>
        <w:right w:val="none" w:sz="0" w:space="0" w:color="auto"/>
      </w:divBdr>
    </w:div>
    <w:div w:id="471170327">
      <w:bodyDiv w:val="1"/>
      <w:marLeft w:val="0"/>
      <w:marRight w:val="0"/>
      <w:marTop w:val="0"/>
      <w:marBottom w:val="0"/>
      <w:divBdr>
        <w:top w:val="none" w:sz="0" w:space="0" w:color="auto"/>
        <w:left w:val="none" w:sz="0" w:space="0" w:color="auto"/>
        <w:bottom w:val="none" w:sz="0" w:space="0" w:color="auto"/>
        <w:right w:val="none" w:sz="0" w:space="0" w:color="auto"/>
      </w:divBdr>
    </w:div>
    <w:div w:id="524949106">
      <w:bodyDiv w:val="1"/>
      <w:marLeft w:val="0"/>
      <w:marRight w:val="0"/>
      <w:marTop w:val="0"/>
      <w:marBottom w:val="0"/>
      <w:divBdr>
        <w:top w:val="none" w:sz="0" w:space="0" w:color="auto"/>
        <w:left w:val="none" w:sz="0" w:space="0" w:color="auto"/>
        <w:bottom w:val="none" w:sz="0" w:space="0" w:color="auto"/>
        <w:right w:val="none" w:sz="0" w:space="0" w:color="auto"/>
      </w:divBdr>
    </w:div>
    <w:div w:id="527183070">
      <w:bodyDiv w:val="1"/>
      <w:marLeft w:val="0"/>
      <w:marRight w:val="0"/>
      <w:marTop w:val="0"/>
      <w:marBottom w:val="0"/>
      <w:divBdr>
        <w:top w:val="none" w:sz="0" w:space="0" w:color="auto"/>
        <w:left w:val="none" w:sz="0" w:space="0" w:color="auto"/>
        <w:bottom w:val="none" w:sz="0" w:space="0" w:color="auto"/>
        <w:right w:val="none" w:sz="0" w:space="0" w:color="auto"/>
      </w:divBdr>
    </w:div>
    <w:div w:id="576941227">
      <w:bodyDiv w:val="1"/>
      <w:marLeft w:val="0"/>
      <w:marRight w:val="0"/>
      <w:marTop w:val="0"/>
      <w:marBottom w:val="0"/>
      <w:divBdr>
        <w:top w:val="none" w:sz="0" w:space="0" w:color="auto"/>
        <w:left w:val="none" w:sz="0" w:space="0" w:color="auto"/>
        <w:bottom w:val="none" w:sz="0" w:space="0" w:color="auto"/>
        <w:right w:val="none" w:sz="0" w:space="0" w:color="auto"/>
      </w:divBdr>
    </w:div>
    <w:div w:id="591668875">
      <w:bodyDiv w:val="1"/>
      <w:marLeft w:val="0"/>
      <w:marRight w:val="0"/>
      <w:marTop w:val="0"/>
      <w:marBottom w:val="0"/>
      <w:divBdr>
        <w:top w:val="none" w:sz="0" w:space="0" w:color="auto"/>
        <w:left w:val="none" w:sz="0" w:space="0" w:color="auto"/>
        <w:bottom w:val="none" w:sz="0" w:space="0" w:color="auto"/>
        <w:right w:val="none" w:sz="0" w:space="0" w:color="auto"/>
      </w:divBdr>
    </w:div>
    <w:div w:id="611592597">
      <w:bodyDiv w:val="1"/>
      <w:marLeft w:val="0"/>
      <w:marRight w:val="0"/>
      <w:marTop w:val="0"/>
      <w:marBottom w:val="0"/>
      <w:divBdr>
        <w:top w:val="none" w:sz="0" w:space="0" w:color="auto"/>
        <w:left w:val="none" w:sz="0" w:space="0" w:color="auto"/>
        <w:bottom w:val="none" w:sz="0" w:space="0" w:color="auto"/>
        <w:right w:val="none" w:sz="0" w:space="0" w:color="auto"/>
      </w:divBdr>
    </w:div>
    <w:div w:id="714082081">
      <w:bodyDiv w:val="1"/>
      <w:marLeft w:val="0"/>
      <w:marRight w:val="0"/>
      <w:marTop w:val="0"/>
      <w:marBottom w:val="0"/>
      <w:divBdr>
        <w:top w:val="none" w:sz="0" w:space="0" w:color="auto"/>
        <w:left w:val="none" w:sz="0" w:space="0" w:color="auto"/>
        <w:bottom w:val="none" w:sz="0" w:space="0" w:color="auto"/>
        <w:right w:val="none" w:sz="0" w:space="0" w:color="auto"/>
      </w:divBdr>
    </w:div>
    <w:div w:id="768235285">
      <w:bodyDiv w:val="1"/>
      <w:marLeft w:val="0"/>
      <w:marRight w:val="0"/>
      <w:marTop w:val="0"/>
      <w:marBottom w:val="0"/>
      <w:divBdr>
        <w:top w:val="none" w:sz="0" w:space="0" w:color="auto"/>
        <w:left w:val="none" w:sz="0" w:space="0" w:color="auto"/>
        <w:bottom w:val="none" w:sz="0" w:space="0" w:color="auto"/>
        <w:right w:val="none" w:sz="0" w:space="0" w:color="auto"/>
      </w:divBdr>
    </w:div>
    <w:div w:id="829831279">
      <w:bodyDiv w:val="1"/>
      <w:marLeft w:val="0"/>
      <w:marRight w:val="0"/>
      <w:marTop w:val="0"/>
      <w:marBottom w:val="0"/>
      <w:divBdr>
        <w:top w:val="none" w:sz="0" w:space="0" w:color="auto"/>
        <w:left w:val="none" w:sz="0" w:space="0" w:color="auto"/>
        <w:bottom w:val="none" w:sz="0" w:space="0" w:color="auto"/>
        <w:right w:val="none" w:sz="0" w:space="0" w:color="auto"/>
      </w:divBdr>
    </w:div>
    <w:div w:id="857037325">
      <w:bodyDiv w:val="1"/>
      <w:marLeft w:val="0"/>
      <w:marRight w:val="0"/>
      <w:marTop w:val="0"/>
      <w:marBottom w:val="0"/>
      <w:divBdr>
        <w:top w:val="none" w:sz="0" w:space="0" w:color="auto"/>
        <w:left w:val="none" w:sz="0" w:space="0" w:color="auto"/>
        <w:bottom w:val="none" w:sz="0" w:space="0" w:color="auto"/>
        <w:right w:val="none" w:sz="0" w:space="0" w:color="auto"/>
      </w:divBdr>
    </w:div>
    <w:div w:id="906259425">
      <w:bodyDiv w:val="1"/>
      <w:marLeft w:val="0"/>
      <w:marRight w:val="0"/>
      <w:marTop w:val="0"/>
      <w:marBottom w:val="0"/>
      <w:divBdr>
        <w:top w:val="none" w:sz="0" w:space="0" w:color="auto"/>
        <w:left w:val="none" w:sz="0" w:space="0" w:color="auto"/>
        <w:bottom w:val="none" w:sz="0" w:space="0" w:color="auto"/>
        <w:right w:val="none" w:sz="0" w:space="0" w:color="auto"/>
      </w:divBdr>
    </w:div>
    <w:div w:id="972951992">
      <w:bodyDiv w:val="1"/>
      <w:marLeft w:val="0"/>
      <w:marRight w:val="0"/>
      <w:marTop w:val="0"/>
      <w:marBottom w:val="0"/>
      <w:divBdr>
        <w:top w:val="none" w:sz="0" w:space="0" w:color="auto"/>
        <w:left w:val="none" w:sz="0" w:space="0" w:color="auto"/>
        <w:bottom w:val="none" w:sz="0" w:space="0" w:color="auto"/>
        <w:right w:val="none" w:sz="0" w:space="0" w:color="auto"/>
      </w:divBdr>
    </w:div>
    <w:div w:id="985163450">
      <w:bodyDiv w:val="1"/>
      <w:marLeft w:val="0"/>
      <w:marRight w:val="0"/>
      <w:marTop w:val="0"/>
      <w:marBottom w:val="0"/>
      <w:divBdr>
        <w:top w:val="none" w:sz="0" w:space="0" w:color="auto"/>
        <w:left w:val="none" w:sz="0" w:space="0" w:color="auto"/>
        <w:bottom w:val="none" w:sz="0" w:space="0" w:color="auto"/>
        <w:right w:val="none" w:sz="0" w:space="0" w:color="auto"/>
      </w:divBdr>
    </w:div>
    <w:div w:id="1019039221">
      <w:bodyDiv w:val="1"/>
      <w:marLeft w:val="0"/>
      <w:marRight w:val="0"/>
      <w:marTop w:val="0"/>
      <w:marBottom w:val="0"/>
      <w:divBdr>
        <w:top w:val="none" w:sz="0" w:space="0" w:color="auto"/>
        <w:left w:val="none" w:sz="0" w:space="0" w:color="auto"/>
        <w:bottom w:val="none" w:sz="0" w:space="0" w:color="auto"/>
        <w:right w:val="none" w:sz="0" w:space="0" w:color="auto"/>
      </w:divBdr>
    </w:div>
    <w:div w:id="1049449791">
      <w:bodyDiv w:val="1"/>
      <w:marLeft w:val="0"/>
      <w:marRight w:val="0"/>
      <w:marTop w:val="0"/>
      <w:marBottom w:val="0"/>
      <w:divBdr>
        <w:top w:val="none" w:sz="0" w:space="0" w:color="auto"/>
        <w:left w:val="none" w:sz="0" w:space="0" w:color="auto"/>
        <w:bottom w:val="none" w:sz="0" w:space="0" w:color="auto"/>
        <w:right w:val="none" w:sz="0" w:space="0" w:color="auto"/>
      </w:divBdr>
    </w:div>
    <w:div w:id="1213347894">
      <w:bodyDiv w:val="1"/>
      <w:marLeft w:val="0"/>
      <w:marRight w:val="0"/>
      <w:marTop w:val="0"/>
      <w:marBottom w:val="0"/>
      <w:divBdr>
        <w:top w:val="none" w:sz="0" w:space="0" w:color="auto"/>
        <w:left w:val="none" w:sz="0" w:space="0" w:color="auto"/>
        <w:bottom w:val="none" w:sz="0" w:space="0" w:color="auto"/>
        <w:right w:val="none" w:sz="0" w:space="0" w:color="auto"/>
      </w:divBdr>
    </w:div>
    <w:div w:id="1331373747">
      <w:bodyDiv w:val="1"/>
      <w:marLeft w:val="0"/>
      <w:marRight w:val="0"/>
      <w:marTop w:val="0"/>
      <w:marBottom w:val="0"/>
      <w:divBdr>
        <w:top w:val="none" w:sz="0" w:space="0" w:color="auto"/>
        <w:left w:val="none" w:sz="0" w:space="0" w:color="auto"/>
        <w:bottom w:val="none" w:sz="0" w:space="0" w:color="auto"/>
        <w:right w:val="none" w:sz="0" w:space="0" w:color="auto"/>
      </w:divBdr>
    </w:div>
    <w:div w:id="1349598485">
      <w:bodyDiv w:val="1"/>
      <w:marLeft w:val="0"/>
      <w:marRight w:val="0"/>
      <w:marTop w:val="0"/>
      <w:marBottom w:val="0"/>
      <w:divBdr>
        <w:top w:val="none" w:sz="0" w:space="0" w:color="auto"/>
        <w:left w:val="none" w:sz="0" w:space="0" w:color="auto"/>
        <w:bottom w:val="none" w:sz="0" w:space="0" w:color="auto"/>
        <w:right w:val="none" w:sz="0" w:space="0" w:color="auto"/>
      </w:divBdr>
    </w:div>
    <w:div w:id="1370952718">
      <w:bodyDiv w:val="1"/>
      <w:marLeft w:val="0"/>
      <w:marRight w:val="0"/>
      <w:marTop w:val="0"/>
      <w:marBottom w:val="0"/>
      <w:divBdr>
        <w:top w:val="none" w:sz="0" w:space="0" w:color="auto"/>
        <w:left w:val="none" w:sz="0" w:space="0" w:color="auto"/>
        <w:bottom w:val="none" w:sz="0" w:space="0" w:color="auto"/>
        <w:right w:val="none" w:sz="0" w:space="0" w:color="auto"/>
      </w:divBdr>
    </w:div>
    <w:div w:id="1377463131">
      <w:bodyDiv w:val="1"/>
      <w:marLeft w:val="0"/>
      <w:marRight w:val="0"/>
      <w:marTop w:val="0"/>
      <w:marBottom w:val="0"/>
      <w:divBdr>
        <w:top w:val="none" w:sz="0" w:space="0" w:color="auto"/>
        <w:left w:val="none" w:sz="0" w:space="0" w:color="auto"/>
        <w:bottom w:val="none" w:sz="0" w:space="0" w:color="auto"/>
        <w:right w:val="none" w:sz="0" w:space="0" w:color="auto"/>
      </w:divBdr>
    </w:div>
    <w:div w:id="1479028626">
      <w:bodyDiv w:val="1"/>
      <w:marLeft w:val="0"/>
      <w:marRight w:val="0"/>
      <w:marTop w:val="0"/>
      <w:marBottom w:val="0"/>
      <w:divBdr>
        <w:top w:val="none" w:sz="0" w:space="0" w:color="auto"/>
        <w:left w:val="none" w:sz="0" w:space="0" w:color="auto"/>
        <w:bottom w:val="none" w:sz="0" w:space="0" w:color="auto"/>
        <w:right w:val="none" w:sz="0" w:space="0" w:color="auto"/>
      </w:divBdr>
    </w:div>
    <w:div w:id="1631865458">
      <w:bodyDiv w:val="1"/>
      <w:marLeft w:val="0"/>
      <w:marRight w:val="0"/>
      <w:marTop w:val="0"/>
      <w:marBottom w:val="0"/>
      <w:divBdr>
        <w:top w:val="none" w:sz="0" w:space="0" w:color="auto"/>
        <w:left w:val="none" w:sz="0" w:space="0" w:color="auto"/>
        <w:bottom w:val="none" w:sz="0" w:space="0" w:color="auto"/>
        <w:right w:val="none" w:sz="0" w:space="0" w:color="auto"/>
      </w:divBdr>
    </w:div>
    <w:div w:id="1736051073">
      <w:bodyDiv w:val="1"/>
      <w:marLeft w:val="0"/>
      <w:marRight w:val="0"/>
      <w:marTop w:val="0"/>
      <w:marBottom w:val="0"/>
      <w:divBdr>
        <w:top w:val="none" w:sz="0" w:space="0" w:color="auto"/>
        <w:left w:val="none" w:sz="0" w:space="0" w:color="auto"/>
        <w:bottom w:val="none" w:sz="0" w:space="0" w:color="auto"/>
        <w:right w:val="none" w:sz="0" w:space="0" w:color="auto"/>
      </w:divBdr>
    </w:div>
    <w:div w:id="1819302243">
      <w:bodyDiv w:val="1"/>
      <w:marLeft w:val="0"/>
      <w:marRight w:val="0"/>
      <w:marTop w:val="0"/>
      <w:marBottom w:val="0"/>
      <w:divBdr>
        <w:top w:val="none" w:sz="0" w:space="0" w:color="auto"/>
        <w:left w:val="none" w:sz="0" w:space="0" w:color="auto"/>
        <w:bottom w:val="none" w:sz="0" w:space="0" w:color="auto"/>
        <w:right w:val="none" w:sz="0" w:space="0" w:color="auto"/>
      </w:divBdr>
    </w:div>
    <w:div w:id="1850021110">
      <w:bodyDiv w:val="1"/>
      <w:marLeft w:val="0"/>
      <w:marRight w:val="0"/>
      <w:marTop w:val="0"/>
      <w:marBottom w:val="0"/>
      <w:divBdr>
        <w:top w:val="none" w:sz="0" w:space="0" w:color="auto"/>
        <w:left w:val="none" w:sz="0" w:space="0" w:color="auto"/>
        <w:bottom w:val="none" w:sz="0" w:space="0" w:color="auto"/>
        <w:right w:val="none" w:sz="0" w:space="0" w:color="auto"/>
      </w:divBdr>
    </w:div>
    <w:div w:id="1856728321">
      <w:bodyDiv w:val="1"/>
      <w:marLeft w:val="0"/>
      <w:marRight w:val="0"/>
      <w:marTop w:val="0"/>
      <w:marBottom w:val="0"/>
      <w:divBdr>
        <w:top w:val="none" w:sz="0" w:space="0" w:color="auto"/>
        <w:left w:val="none" w:sz="0" w:space="0" w:color="auto"/>
        <w:bottom w:val="none" w:sz="0" w:space="0" w:color="auto"/>
        <w:right w:val="none" w:sz="0" w:space="0" w:color="auto"/>
      </w:divBdr>
    </w:div>
    <w:div w:id="1923491095">
      <w:bodyDiv w:val="1"/>
      <w:marLeft w:val="0"/>
      <w:marRight w:val="0"/>
      <w:marTop w:val="0"/>
      <w:marBottom w:val="0"/>
      <w:divBdr>
        <w:top w:val="none" w:sz="0" w:space="0" w:color="auto"/>
        <w:left w:val="none" w:sz="0" w:space="0" w:color="auto"/>
        <w:bottom w:val="none" w:sz="0" w:space="0" w:color="auto"/>
        <w:right w:val="none" w:sz="0" w:space="0" w:color="auto"/>
      </w:divBdr>
    </w:div>
    <w:div w:id="1944150620">
      <w:bodyDiv w:val="1"/>
      <w:marLeft w:val="0"/>
      <w:marRight w:val="0"/>
      <w:marTop w:val="0"/>
      <w:marBottom w:val="0"/>
      <w:divBdr>
        <w:top w:val="none" w:sz="0" w:space="0" w:color="auto"/>
        <w:left w:val="none" w:sz="0" w:space="0" w:color="auto"/>
        <w:bottom w:val="none" w:sz="0" w:space="0" w:color="auto"/>
        <w:right w:val="none" w:sz="0" w:space="0" w:color="auto"/>
      </w:divBdr>
    </w:div>
    <w:div w:id="1955407153">
      <w:bodyDiv w:val="1"/>
      <w:marLeft w:val="0"/>
      <w:marRight w:val="0"/>
      <w:marTop w:val="0"/>
      <w:marBottom w:val="0"/>
      <w:divBdr>
        <w:top w:val="none" w:sz="0" w:space="0" w:color="auto"/>
        <w:left w:val="none" w:sz="0" w:space="0" w:color="auto"/>
        <w:bottom w:val="none" w:sz="0" w:space="0" w:color="auto"/>
        <w:right w:val="none" w:sz="0" w:space="0" w:color="auto"/>
      </w:divBdr>
    </w:div>
    <w:div w:id="1994095602">
      <w:bodyDiv w:val="1"/>
      <w:marLeft w:val="0"/>
      <w:marRight w:val="0"/>
      <w:marTop w:val="0"/>
      <w:marBottom w:val="0"/>
      <w:divBdr>
        <w:top w:val="none" w:sz="0" w:space="0" w:color="auto"/>
        <w:left w:val="none" w:sz="0" w:space="0" w:color="auto"/>
        <w:bottom w:val="none" w:sz="0" w:space="0" w:color="auto"/>
        <w:right w:val="none" w:sz="0" w:space="0" w:color="auto"/>
      </w:divBdr>
    </w:div>
    <w:div w:id="2043314102">
      <w:bodyDiv w:val="1"/>
      <w:marLeft w:val="0"/>
      <w:marRight w:val="0"/>
      <w:marTop w:val="0"/>
      <w:marBottom w:val="0"/>
      <w:divBdr>
        <w:top w:val="none" w:sz="0" w:space="0" w:color="auto"/>
        <w:left w:val="none" w:sz="0" w:space="0" w:color="auto"/>
        <w:bottom w:val="none" w:sz="0" w:space="0" w:color="auto"/>
        <w:right w:val="none" w:sz="0" w:space="0" w:color="auto"/>
      </w:divBdr>
    </w:div>
    <w:div w:id="2075083760">
      <w:bodyDiv w:val="1"/>
      <w:marLeft w:val="0"/>
      <w:marRight w:val="0"/>
      <w:marTop w:val="0"/>
      <w:marBottom w:val="0"/>
      <w:divBdr>
        <w:top w:val="none" w:sz="0" w:space="0" w:color="auto"/>
        <w:left w:val="none" w:sz="0" w:space="0" w:color="auto"/>
        <w:bottom w:val="none" w:sz="0" w:space="0" w:color="auto"/>
        <w:right w:val="none" w:sz="0" w:space="0" w:color="auto"/>
      </w:divBdr>
    </w:div>
    <w:div w:id="2077776171">
      <w:bodyDiv w:val="1"/>
      <w:marLeft w:val="0"/>
      <w:marRight w:val="0"/>
      <w:marTop w:val="0"/>
      <w:marBottom w:val="0"/>
      <w:divBdr>
        <w:top w:val="none" w:sz="0" w:space="0" w:color="auto"/>
        <w:left w:val="none" w:sz="0" w:space="0" w:color="auto"/>
        <w:bottom w:val="none" w:sz="0" w:space="0" w:color="auto"/>
        <w:right w:val="none" w:sz="0" w:space="0" w:color="auto"/>
      </w:divBdr>
    </w:div>
    <w:div w:id="211440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nsroindia.org.in/journals.htm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atabank.worldbank.org/source/world-development-indicator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bi.org.in"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ea.org/reports/coal-market-update-2023" TargetMode="External"/><Relationship Id="rId20" Type="http://schemas.openxmlformats.org/officeDocument/2006/relationships/hyperlink" Target="https://www.eia.gov/international/content/analysis/countries_long/India/pdf/India.pdf?utm_source=chatgpt.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imesofindia.indiatimes.com/business/india-business/india-to-be-main-engine-of-global-coal-demand-growth-iea/articleshow/106031591.cms?utm_source=chatgpt.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biology-journal.org/journal/volume40/issue83/?pg=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imesofindia.indiatimes.com/business/india-business/india-to-be-main-engine-of-global-coal-demand-growth-iea/articleshow/106031591.cms?utm_source=chatgpt.com"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0DBDA-6874-4F27-9B5A-821EBE14D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24</Pages>
  <Words>6940</Words>
  <Characters>39563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164</cp:revision>
  <dcterms:created xsi:type="dcterms:W3CDTF">2025-10-28T10:50:00Z</dcterms:created>
  <dcterms:modified xsi:type="dcterms:W3CDTF">2025-11-01T10:15:00Z</dcterms:modified>
</cp:coreProperties>
</file>