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07CC3" w14:textId="77777777" w:rsidR="00F1794B" w:rsidRPr="00F1794B" w:rsidRDefault="00F1794B" w:rsidP="00F1794B">
      <w:pPr>
        <w:spacing w:before="240" w:after="0" w:line="240" w:lineRule="auto"/>
        <w:jc w:val="center"/>
        <w:rPr>
          <w:rFonts w:ascii="Arial" w:eastAsia="Times New Roman" w:hAnsi="Arial" w:cs="Arial"/>
          <w:b/>
          <w:sz w:val="40"/>
          <w:szCs w:val="40"/>
          <w:lang w:eastAsia="en-US"/>
        </w:rPr>
      </w:pPr>
      <w:bookmarkStart w:id="0" w:name="_2et92p0" w:colFirst="0" w:colLast="0"/>
      <w:bookmarkStart w:id="1" w:name="_1t3h5sf" w:colFirst="0" w:colLast="0"/>
      <w:bookmarkStart w:id="2" w:name="_4d34og8" w:colFirst="0" w:colLast="0"/>
      <w:bookmarkEnd w:id="0"/>
      <w:bookmarkEnd w:id="1"/>
      <w:bookmarkEnd w:id="2"/>
      <w:r w:rsidRPr="00F1794B">
        <w:rPr>
          <w:rFonts w:ascii="Arial" w:eastAsia="Times New Roman" w:hAnsi="Arial" w:cs="Arial"/>
          <w:b/>
          <w:sz w:val="40"/>
          <w:szCs w:val="40"/>
          <w:lang w:eastAsia="en-US"/>
        </w:rPr>
        <w:t>The Impact of Corporate Governance on Financial Risk Management in Ghana's Pension Industry: A Comparative Study of Public and Private Pension Scheme</w:t>
      </w:r>
    </w:p>
    <w:p w14:paraId="467C996E" w14:textId="3FFD753A" w:rsidR="00F1794B" w:rsidRDefault="00F1794B" w:rsidP="00F1794B">
      <w:pPr>
        <w:rPr>
          <w:rFonts w:ascii="Arial" w:eastAsia="Times New Roman" w:hAnsi="Arial" w:cs="Arial"/>
          <w:b/>
          <w:sz w:val="24"/>
          <w:szCs w:val="24"/>
        </w:rPr>
      </w:pPr>
    </w:p>
    <w:p w14:paraId="7986FE45" w14:textId="77777777" w:rsidR="00E076BC" w:rsidRPr="00F1794B" w:rsidRDefault="00E076BC" w:rsidP="00F1794B">
      <w:pPr>
        <w:rPr>
          <w:rFonts w:ascii="Arial" w:eastAsia="Times New Roman" w:hAnsi="Arial" w:cs="Arial"/>
          <w:b/>
          <w:sz w:val="24"/>
          <w:szCs w:val="24"/>
        </w:rPr>
      </w:pPr>
    </w:p>
    <w:p w14:paraId="3516F764" w14:textId="77777777" w:rsidR="00F1794B" w:rsidRPr="00F1794B" w:rsidRDefault="00F1794B" w:rsidP="00F1794B">
      <w:pPr>
        <w:keepNext/>
        <w:keepLines/>
        <w:spacing w:before="360" w:after="120" w:line="480" w:lineRule="auto"/>
        <w:jc w:val="center"/>
        <w:outlineLvl w:val="0"/>
        <w:rPr>
          <w:rFonts w:ascii="Arial" w:eastAsia="Times New Roman" w:hAnsi="Arial" w:cs="Arial"/>
          <w:b/>
        </w:rPr>
      </w:pPr>
      <w:bookmarkStart w:id="3" w:name="_3znysh7" w:colFirst="0" w:colLast="0"/>
      <w:bookmarkEnd w:id="3"/>
      <w:r w:rsidRPr="00F1794B">
        <w:rPr>
          <w:rFonts w:ascii="Arial" w:eastAsia="Times New Roman" w:hAnsi="Arial" w:cs="Arial"/>
          <w:b/>
        </w:rPr>
        <w:t>ABSTRACT</w:t>
      </w:r>
    </w:p>
    <w:p w14:paraId="4D1D766B" w14:textId="77777777" w:rsidR="00F1794B" w:rsidRPr="00F1794B" w:rsidRDefault="00F1794B" w:rsidP="00F1794B">
      <w:pPr>
        <w:spacing w:after="0" w:line="240" w:lineRule="auto"/>
        <w:jc w:val="both"/>
        <w:rPr>
          <w:rFonts w:ascii="Arial" w:eastAsia="Times New Roman" w:hAnsi="Arial" w:cs="Arial"/>
        </w:rPr>
      </w:pPr>
      <w:r w:rsidRPr="00F1794B">
        <w:rPr>
          <w:rFonts w:ascii="Arial" w:eastAsia="Times New Roman" w:hAnsi="Arial" w:cs="Arial"/>
        </w:rPr>
        <w:t>The pension industry in Ghana is facing numerous challenges, including poor investment returns, market volatility, and inadequate corporate governance practices. This study assessed the impact of corporate governance on financial risk management in Ghana's pension industry, with a specific focus on comparing public and private employer-sponsored pension schemes. Data were obtained from pension fund managers, investment officers, risk managers, trustees, and investment committee members of both public and private employer-sponsored pension schemes. The findings suggest that corporate governance has a significant positive impact on financial risk management and that public employer-sponsored pension schemes exhibit stronger governance practices compared to private employer-sponsored pension schemes. The study recommends that regulators establish robust corporate governance standards, conduct regular assessments, and consider adopting governance structures in public employer-sponsored pension schemes as a model for the industry. Additionally, pension scheme trustees and managers should prioritize corporate governance practices, and industry stakeholders should develop a code of conduct for pension scheme governance. The study's findings and recommendations aim to improve the governance and sustainability of pension schemes in Ghana, ultimately protecting the interests of pension fund members and beneficiaries.</w:t>
      </w:r>
    </w:p>
    <w:p w14:paraId="7E54BE75" w14:textId="77777777" w:rsidR="00F1794B" w:rsidRPr="00F1794B" w:rsidRDefault="00F1794B" w:rsidP="00F1794B">
      <w:pPr>
        <w:spacing w:after="0" w:line="240" w:lineRule="auto"/>
        <w:rPr>
          <w:rFonts w:ascii="Arial" w:eastAsia="Times New Roman" w:hAnsi="Arial" w:cs="Arial"/>
          <w:sz w:val="24"/>
          <w:szCs w:val="24"/>
        </w:rPr>
      </w:pPr>
    </w:p>
    <w:p w14:paraId="141B9BAC" w14:textId="77777777" w:rsidR="00F1794B" w:rsidRPr="00F1794B" w:rsidRDefault="00F1794B" w:rsidP="00F1794B">
      <w:pPr>
        <w:spacing w:after="0" w:line="480" w:lineRule="auto"/>
        <w:jc w:val="both"/>
        <w:rPr>
          <w:rFonts w:ascii="Arial" w:eastAsia="Times New Roman" w:hAnsi="Arial" w:cs="Arial"/>
          <w:i/>
          <w:sz w:val="20"/>
          <w:szCs w:val="20"/>
        </w:rPr>
      </w:pPr>
      <w:r w:rsidRPr="00F1794B">
        <w:rPr>
          <w:rFonts w:ascii="Arial" w:eastAsia="Times New Roman" w:hAnsi="Arial" w:cs="Arial"/>
          <w:i/>
          <w:sz w:val="20"/>
          <w:szCs w:val="20"/>
        </w:rPr>
        <w:t>Keywords: Corporate Governance, Financial Risk Management, Public Sector Pension Scheme, Private Sector Pension Scheme, Risk Management Practices</w:t>
      </w:r>
    </w:p>
    <w:p w14:paraId="4278E2FB" w14:textId="022FD10E" w:rsidR="00810699" w:rsidRDefault="00810699" w:rsidP="00A042C4">
      <w:pPr>
        <w:spacing w:line="240" w:lineRule="auto"/>
        <w:rPr>
          <w:rFonts w:ascii="Arial" w:hAnsi="Arial" w:cs="Arial"/>
          <w:sz w:val="24"/>
          <w:szCs w:val="24"/>
        </w:rPr>
      </w:pPr>
    </w:p>
    <w:p w14:paraId="7F73C911" w14:textId="17F5A038" w:rsidR="00F1794B" w:rsidRDefault="00F1794B" w:rsidP="00A042C4">
      <w:pPr>
        <w:spacing w:line="240" w:lineRule="auto"/>
        <w:rPr>
          <w:rFonts w:ascii="Arial" w:hAnsi="Arial" w:cs="Arial"/>
          <w:sz w:val="24"/>
          <w:szCs w:val="24"/>
        </w:rPr>
      </w:pPr>
    </w:p>
    <w:p w14:paraId="4510454E" w14:textId="77777777" w:rsidR="00F1794B" w:rsidRDefault="00F1794B" w:rsidP="00A042C4">
      <w:pPr>
        <w:spacing w:line="240" w:lineRule="auto"/>
        <w:rPr>
          <w:rFonts w:ascii="Arial" w:hAnsi="Arial" w:cs="Arial"/>
          <w:sz w:val="24"/>
          <w:szCs w:val="24"/>
        </w:rPr>
      </w:pPr>
    </w:p>
    <w:p w14:paraId="2098E99A" w14:textId="4AD592DA" w:rsidR="00F1794B" w:rsidRDefault="00F1794B" w:rsidP="00A042C4">
      <w:pPr>
        <w:spacing w:line="240" w:lineRule="auto"/>
        <w:rPr>
          <w:rFonts w:ascii="Arial" w:hAnsi="Arial" w:cs="Arial"/>
          <w:sz w:val="24"/>
          <w:szCs w:val="24"/>
        </w:rPr>
      </w:pPr>
    </w:p>
    <w:p w14:paraId="7E6FA3B6" w14:textId="1BE87A40" w:rsidR="00E076BC" w:rsidRDefault="00E076BC" w:rsidP="00A042C4">
      <w:pPr>
        <w:spacing w:line="240" w:lineRule="auto"/>
        <w:rPr>
          <w:rFonts w:ascii="Arial" w:hAnsi="Arial" w:cs="Arial"/>
          <w:sz w:val="24"/>
          <w:szCs w:val="24"/>
        </w:rPr>
      </w:pPr>
    </w:p>
    <w:p w14:paraId="40A6A9EA" w14:textId="54D1467B" w:rsidR="00E076BC" w:rsidRDefault="00E076BC" w:rsidP="00A042C4">
      <w:pPr>
        <w:spacing w:line="240" w:lineRule="auto"/>
        <w:rPr>
          <w:rFonts w:ascii="Arial" w:hAnsi="Arial" w:cs="Arial"/>
          <w:sz w:val="24"/>
          <w:szCs w:val="24"/>
        </w:rPr>
      </w:pPr>
    </w:p>
    <w:p w14:paraId="7B89B9AB" w14:textId="6DA4BEEB" w:rsidR="00E076BC" w:rsidRDefault="00E076BC" w:rsidP="00A042C4">
      <w:pPr>
        <w:spacing w:line="240" w:lineRule="auto"/>
        <w:rPr>
          <w:rFonts w:ascii="Arial" w:hAnsi="Arial" w:cs="Arial"/>
          <w:sz w:val="24"/>
          <w:szCs w:val="24"/>
        </w:rPr>
      </w:pPr>
    </w:p>
    <w:p w14:paraId="643D297E" w14:textId="77777777" w:rsidR="00E076BC" w:rsidRDefault="00E076BC" w:rsidP="00A042C4">
      <w:pPr>
        <w:spacing w:line="240" w:lineRule="auto"/>
        <w:rPr>
          <w:rFonts w:ascii="Arial" w:hAnsi="Arial" w:cs="Arial"/>
          <w:sz w:val="24"/>
          <w:szCs w:val="24"/>
        </w:rPr>
      </w:pPr>
      <w:bookmarkStart w:id="4" w:name="_GoBack"/>
      <w:bookmarkEnd w:id="4"/>
    </w:p>
    <w:p w14:paraId="1A63D547" w14:textId="77777777" w:rsidR="00F1794B" w:rsidRPr="00B40A16" w:rsidRDefault="00F1794B" w:rsidP="00A042C4">
      <w:pPr>
        <w:spacing w:line="240" w:lineRule="auto"/>
        <w:rPr>
          <w:rFonts w:ascii="Arial" w:hAnsi="Arial" w:cs="Arial"/>
          <w:sz w:val="24"/>
          <w:szCs w:val="24"/>
        </w:rPr>
      </w:pPr>
    </w:p>
    <w:p w14:paraId="0560A0EB" w14:textId="114F9528" w:rsidR="00810699" w:rsidRPr="00B40A16" w:rsidRDefault="00701FD7" w:rsidP="00A042C4">
      <w:pPr>
        <w:pStyle w:val="Heading2"/>
        <w:numPr>
          <w:ilvl w:val="0"/>
          <w:numId w:val="14"/>
        </w:numPr>
        <w:spacing w:line="240" w:lineRule="auto"/>
        <w:rPr>
          <w:rFonts w:ascii="Arial" w:hAnsi="Arial" w:cs="Arial"/>
          <w:color w:val="auto"/>
        </w:rPr>
      </w:pPr>
      <w:bookmarkStart w:id="5" w:name="_2s8eyo1" w:colFirst="0" w:colLast="0"/>
      <w:bookmarkEnd w:id="5"/>
      <w:r w:rsidRPr="00B40A16">
        <w:rPr>
          <w:rFonts w:ascii="Arial" w:hAnsi="Arial" w:cs="Arial"/>
          <w:color w:val="auto"/>
        </w:rPr>
        <w:lastRenderedPageBreak/>
        <w:t>INTRODUCTION</w:t>
      </w:r>
      <w:bookmarkStart w:id="6" w:name="_17dp8vu" w:colFirst="0" w:colLast="0"/>
      <w:bookmarkEnd w:id="6"/>
    </w:p>
    <w:p w14:paraId="670A164F"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Corporate governance has become a crucial aspect of organizational management in recent years, with stakeholders increasingly concerned about how firms are governed (</w:t>
      </w:r>
      <w:proofErr w:type="spellStart"/>
      <w:r w:rsidRPr="00B40A16">
        <w:rPr>
          <w:rFonts w:ascii="Arial" w:eastAsia="Times New Roman" w:hAnsi="Arial" w:cs="Arial"/>
        </w:rPr>
        <w:t>Claessens</w:t>
      </w:r>
      <w:proofErr w:type="spellEnd"/>
      <w:r w:rsidRPr="00B40A16">
        <w:rPr>
          <w:rFonts w:ascii="Arial" w:eastAsia="Times New Roman" w:hAnsi="Arial" w:cs="Arial"/>
        </w:rPr>
        <w:t xml:space="preserve"> &amp; </w:t>
      </w:r>
      <w:proofErr w:type="spellStart"/>
      <w:r w:rsidRPr="00B40A16">
        <w:rPr>
          <w:rFonts w:ascii="Arial" w:eastAsia="Times New Roman" w:hAnsi="Arial" w:cs="Arial"/>
        </w:rPr>
        <w:t>Yurtoglu</w:t>
      </w:r>
      <w:proofErr w:type="spellEnd"/>
      <w:r w:rsidRPr="00B40A16">
        <w:rPr>
          <w:rFonts w:ascii="Arial" w:eastAsia="Times New Roman" w:hAnsi="Arial" w:cs="Arial"/>
        </w:rPr>
        <w:t xml:space="preserve">, 2013; </w:t>
      </w:r>
      <w:proofErr w:type="spellStart"/>
      <w:r w:rsidRPr="00B40A16">
        <w:rPr>
          <w:rFonts w:ascii="Arial" w:eastAsia="Times New Roman" w:hAnsi="Arial" w:cs="Arial"/>
        </w:rPr>
        <w:t>Cocco</w:t>
      </w:r>
      <w:proofErr w:type="spellEnd"/>
      <w:r w:rsidRPr="00B40A16">
        <w:rPr>
          <w:rFonts w:ascii="Arial" w:eastAsia="Times New Roman" w:hAnsi="Arial" w:cs="Arial"/>
        </w:rPr>
        <w:t xml:space="preserve"> &amp; </w:t>
      </w:r>
      <w:proofErr w:type="spellStart"/>
      <w:r w:rsidRPr="00B40A16">
        <w:rPr>
          <w:rFonts w:ascii="Arial" w:eastAsia="Times New Roman" w:hAnsi="Arial" w:cs="Arial"/>
        </w:rPr>
        <w:t>Volpin</w:t>
      </w:r>
      <w:proofErr w:type="spellEnd"/>
      <w:r w:rsidRPr="00B40A16">
        <w:rPr>
          <w:rFonts w:ascii="Arial" w:eastAsia="Times New Roman" w:hAnsi="Arial" w:cs="Arial"/>
        </w:rPr>
        <w:t>, 2007; Phan &amp; Hegde, 2012). Effective corporate governance mechanisms contribute to corporate success, maximize shareholder wealth, promote a positive corporate image, and maintain investors' confidence (Abor, 2007). Corporate governance refers to the system of rules, practices, and processes by which a company is directed and controlled (OECD, 2015). It involves the relationships among a company's management, its board of directors, its shareholders, and its other stakeholders, such as employees, customers, and suppliers (OECD, 2015).</w:t>
      </w:r>
    </w:p>
    <w:p w14:paraId="0906C4B8"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The pension industry in Ghana is still evolving, with challenges such as poor investment decisions and market volatilities in the investment market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 The industry is characterized by a three-tier pension scheme, with the first tier being the mandatory Basic National Social Security Scheme managed by the Social Security and National Insurance Trust (SSNIT), the second tier being the mandatory occupational pension scheme managed by approved private pension fund managers, and the third tier being a voluntary provident fund and personal pension scheme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w:t>
      </w:r>
    </w:p>
    <w:p w14:paraId="63B58F86"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Despite the growth of the pension industry in Ghana, there is limited research on the impact of corporate governance on financial risk management in the industry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 This study aims to assess the impact of corporate governance on financial risk management in Ghana's pension industry, with a comparative analysis of public and private sector pension schemes.</w:t>
      </w:r>
    </w:p>
    <w:p w14:paraId="474FE8DD"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Ghana's pension industry has undergone significant reforms in recent years, with the passage of the National Pensions Act in 2008 (Act 766) and the National Pensions (Amendment) Act in 2014 (Act 883)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 These reforms aimed to improve the governance and management of pension funds in Ghana, but challenges still persist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w:t>
      </w:r>
    </w:p>
    <w:p w14:paraId="5FA53050"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Corporate governance is essential in the pension industry, as it ensures that pension funds are managed in the best interests of beneficiaries (OECD, 2015). Effective corporate governance mechanisms can help mitigate financial risks in the pension industry, such as investment risks, liquidity risks, and operational risks (</w:t>
      </w:r>
      <w:proofErr w:type="spellStart"/>
      <w:r w:rsidRPr="00B40A16">
        <w:rPr>
          <w:rFonts w:ascii="Arial" w:eastAsia="Times New Roman" w:hAnsi="Arial" w:cs="Arial"/>
        </w:rPr>
        <w:t>Cocco</w:t>
      </w:r>
      <w:proofErr w:type="spellEnd"/>
      <w:r w:rsidRPr="00B40A16">
        <w:rPr>
          <w:rFonts w:ascii="Arial" w:eastAsia="Times New Roman" w:hAnsi="Arial" w:cs="Arial"/>
        </w:rPr>
        <w:t xml:space="preserve"> &amp; </w:t>
      </w:r>
      <w:proofErr w:type="spellStart"/>
      <w:r w:rsidRPr="00B40A16">
        <w:rPr>
          <w:rFonts w:ascii="Arial" w:eastAsia="Times New Roman" w:hAnsi="Arial" w:cs="Arial"/>
        </w:rPr>
        <w:t>Volpin</w:t>
      </w:r>
      <w:proofErr w:type="spellEnd"/>
      <w:r w:rsidRPr="00B40A16">
        <w:rPr>
          <w:rFonts w:ascii="Arial" w:eastAsia="Times New Roman" w:hAnsi="Arial" w:cs="Arial"/>
        </w:rPr>
        <w:t>, 2007). However, the pension industry in Ghana faces challenges in implementing effective corporate governance mechanisms, such as inadequate regulatory frameworks, lack of transparency and accountability, and limited stakeholder engagement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w:t>
      </w:r>
    </w:p>
    <w:p w14:paraId="5F3B5895"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Public and private sector pension schemes in Ghana have different governance structures and investment strategies, which can impact their financial risk management practices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 Public sector pension schemes, such as the SSNIT, are governed by a board of directors appointed by the government, while private sector pension schemes are governed by a board of directors appointed by the shareholders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 Public-sector pension schemes are also subject to stricter regulatory requirements and investment restrictions than private sector pension schemes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w:t>
      </w:r>
    </w:p>
    <w:p w14:paraId="02C23F13"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Despite these differences, both public and private sector pension schemes in Ghana face challenges in managing financial risks, such as investment risks, liquidity risks, and operational risks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 Effective corporate governance mechanisms can help mitigate these risks, but the pension industry in Ghana lacks a comprehensive framework for corporate governance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w:t>
      </w:r>
    </w:p>
    <w:p w14:paraId="70FA6170" w14:textId="31C440C6"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lastRenderedPageBreak/>
        <w:t xml:space="preserve">This study aims to contribute to the existing literature on corporate governance and financial risk management in the pension industry, with a focus on Ghana's pension industry. </w:t>
      </w:r>
    </w:p>
    <w:p w14:paraId="507905F7" w14:textId="77777777" w:rsidR="00810699" w:rsidRPr="00B40A16" w:rsidRDefault="00701FD7" w:rsidP="00A042C4">
      <w:pPr>
        <w:pStyle w:val="Heading3"/>
        <w:spacing w:line="240" w:lineRule="auto"/>
        <w:rPr>
          <w:rFonts w:ascii="Arial" w:hAnsi="Arial" w:cs="Arial"/>
          <w:color w:val="auto"/>
          <w:sz w:val="22"/>
          <w:szCs w:val="22"/>
        </w:rPr>
      </w:pPr>
      <w:bookmarkStart w:id="7" w:name="_3rdcrjn" w:colFirst="0" w:colLast="0"/>
      <w:bookmarkEnd w:id="7"/>
      <w:r w:rsidRPr="00B40A16">
        <w:rPr>
          <w:rFonts w:ascii="Arial" w:hAnsi="Arial" w:cs="Arial"/>
          <w:color w:val="auto"/>
          <w:sz w:val="22"/>
          <w:szCs w:val="22"/>
        </w:rPr>
        <w:t>1.2 Problem Statement</w:t>
      </w:r>
    </w:p>
    <w:p w14:paraId="4DE6C44C"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The pension industry in Ghana is facing numerous challenges, including poor investment decisions, market volatilities, and inadequate corporate governance practices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 These challenges have resulted in significant financial losses for pension funds, undermining the financial security of retirees and threatening the sustainability of the industry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w:t>
      </w:r>
    </w:p>
    <w:p w14:paraId="29058335"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One of the key factors contributing to these challenges is the lack of effective corporate governance practices in the pension industry (Abor, 2007). Corporate governance refers to the systems and processes used to manage and oversee the activities of an organization (</w:t>
      </w:r>
      <w:proofErr w:type="spellStart"/>
      <w:r w:rsidRPr="00B40A16">
        <w:rPr>
          <w:rFonts w:ascii="Arial" w:eastAsia="Times New Roman" w:hAnsi="Arial" w:cs="Arial"/>
        </w:rPr>
        <w:t>Claessens</w:t>
      </w:r>
      <w:proofErr w:type="spellEnd"/>
      <w:r w:rsidRPr="00B40A16">
        <w:rPr>
          <w:rFonts w:ascii="Arial" w:eastAsia="Times New Roman" w:hAnsi="Arial" w:cs="Arial"/>
        </w:rPr>
        <w:t xml:space="preserve"> &amp; </w:t>
      </w:r>
      <w:proofErr w:type="spellStart"/>
      <w:r w:rsidRPr="00B40A16">
        <w:rPr>
          <w:rFonts w:ascii="Arial" w:eastAsia="Times New Roman" w:hAnsi="Arial" w:cs="Arial"/>
        </w:rPr>
        <w:t>Yurtoglu</w:t>
      </w:r>
      <w:proofErr w:type="spellEnd"/>
      <w:r w:rsidRPr="00B40A16">
        <w:rPr>
          <w:rFonts w:ascii="Arial" w:eastAsia="Times New Roman" w:hAnsi="Arial" w:cs="Arial"/>
        </w:rPr>
        <w:t>, 2013). Effective corporate governance is essential for ensuring that organizations are managed in a way that maximizes shareholder value and minimizes risk (</w:t>
      </w:r>
      <w:proofErr w:type="spellStart"/>
      <w:r w:rsidRPr="00B40A16">
        <w:rPr>
          <w:rFonts w:ascii="Arial" w:eastAsia="Times New Roman" w:hAnsi="Arial" w:cs="Arial"/>
        </w:rPr>
        <w:t>Cocco</w:t>
      </w:r>
      <w:proofErr w:type="spellEnd"/>
      <w:r w:rsidRPr="00B40A16">
        <w:rPr>
          <w:rFonts w:ascii="Arial" w:eastAsia="Times New Roman" w:hAnsi="Arial" w:cs="Arial"/>
        </w:rPr>
        <w:t xml:space="preserve"> &amp; </w:t>
      </w:r>
      <w:proofErr w:type="spellStart"/>
      <w:r w:rsidRPr="00B40A16">
        <w:rPr>
          <w:rFonts w:ascii="Arial" w:eastAsia="Times New Roman" w:hAnsi="Arial" w:cs="Arial"/>
        </w:rPr>
        <w:t>Volpin</w:t>
      </w:r>
      <w:proofErr w:type="spellEnd"/>
      <w:r w:rsidRPr="00B40A16">
        <w:rPr>
          <w:rFonts w:ascii="Arial" w:eastAsia="Times New Roman" w:hAnsi="Arial" w:cs="Arial"/>
        </w:rPr>
        <w:t>, 2007).</w:t>
      </w:r>
    </w:p>
    <w:p w14:paraId="53875BCC"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In the context of the pension industry, corporate governance is critical for ensuring that pension funds are managed in a way that maximizes returns and minimizes risk (Phan &amp; Hegde, 2012). However, research has shown that many pension funds in Ghana lack effective corporate governance practices, including inadequate board composition, lack of transparency and accountability, and inadequate risk management practices (</w:t>
      </w:r>
      <w:proofErr w:type="spellStart"/>
      <w:r w:rsidRPr="00B40A16">
        <w:rPr>
          <w:rFonts w:ascii="Arial" w:eastAsia="Times New Roman" w:hAnsi="Arial" w:cs="Arial"/>
        </w:rPr>
        <w:t>Akomea</w:t>
      </w:r>
      <w:proofErr w:type="spellEnd"/>
      <w:r w:rsidRPr="00B40A16">
        <w:rPr>
          <w:rFonts w:ascii="Arial" w:eastAsia="Times New Roman" w:hAnsi="Arial" w:cs="Arial"/>
        </w:rPr>
        <w:t>-Frimpong et al., 2022).</w:t>
      </w:r>
    </w:p>
    <w:p w14:paraId="0AD98F42"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The lack of effective corporate governance practices in the pension industry in Ghana has significant implications for the financial security of retirees and the sustainability of the industry. Poor investment decisions and market volatilities can result in significant financial losses for pension funds, reducing the amount of money available to pay retirement benefits (</w:t>
      </w:r>
      <w:proofErr w:type="spellStart"/>
      <w:r w:rsidRPr="00B40A16">
        <w:rPr>
          <w:rFonts w:ascii="Arial" w:eastAsia="Times New Roman" w:hAnsi="Arial" w:cs="Arial"/>
        </w:rPr>
        <w:t>Kpessa</w:t>
      </w:r>
      <w:proofErr w:type="spellEnd"/>
      <w:r w:rsidRPr="00B40A16">
        <w:rPr>
          <w:rFonts w:ascii="Arial" w:eastAsia="Times New Roman" w:hAnsi="Arial" w:cs="Arial"/>
        </w:rPr>
        <w:t xml:space="preserve">-Whyte &amp; </w:t>
      </w:r>
      <w:proofErr w:type="spellStart"/>
      <w:r w:rsidRPr="00B40A16">
        <w:rPr>
          <w:rFonts w:ascii="Arial" w:eastAsia="Times New Roman" w:hAnsi="Arial" w:cs="Arial"/>
        </w:rPr>
        <w:t>Tsekpo</w:t>
      </w:r>
      <w:proofErr w:type="spellEnd"/>
      <w:r w:rsidRPr="00B40A16">
        <w:rPr>
          <w:rFonts w:ascii="Arial" w:eastAsia="Times New Roman" w:hAnsi="Arial" w:cs="Arial"/>
        </w:rPr>
        <w:t>, 2020). This can have a significant impact on the financial security of retirees, who rely on their pension benefits to support themselves in retirement.</w:t>
      </w:r>
    </w:p>
    <w:p w14:paraId="57598AE7"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Furthermore, the lack of effective corporate governance practices in the pension industry can also undermine the sustainability of the industry. Pension funds that are poorly managed may not be able to generate sufficient returns to meet their liabilities, leading to a shortfall in funding (Abor, 2007). This can result in a significant burden on the government and the economy as a whole, as the government may be required to step in to bail out the pension fund (</w:t>
      </w:r>
      <w:proofErr w:type="spellStart"/>
      <w:r w:rsidRPr="00B40A16">
        <w:rPr>
          <w:rFonts w:ascii="Arial" w:eastAsia="Times New Roman" w:hAnsi="Arial" w:cs="Arial"/>
        </w:rPr>
        <w:t>Claessens</w:t>
      </w:r>
      <w:proofErr w:type="spellEnd"/>
      <w:r w:rsidRPr="00B40A16">
        <w:rPr>
          <w:rFonts w:ascii="Arial" w:eastAsia="Times New Roman" w:hAnsi="Arial" w:cs="Arial"/>
        </w:rPr>
        <w:t xml:space="preserve"> &amp; </w:t>
      </w:r>
      <w:proofErr w:type="spellStart"/>
      <w:r w:rsidRPr="00B40A16">
        <w:rPr>
          <w:rFonts w:ascii="Arial" w:eastAsia="Times New Roman" w:hAnsi="Arial" w:cs="Arial"/>
        </w:rPr>
        <w:t>Yurtoglu</w:t>
      </w:r>
      <w:proofErr w:type="spellEnd"/>
      <w:r w:rsidRPr="00B40A16">
        <w:rPr>
          <w:rFonts w:ascii="Arial" w:eastAsia="Times New Roman" w:hAnsi="Arial" w:cs="Arial"/>
        </w:rPr>
        <w:t>, 2013).</w:t>
      </w:r>
    </w:p>
    <w:p w14:paraId="2132950A"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One empirical gap in the literature is the limited investigation of specific corporate governance mechanisms that are most effective in managing financial risk in Ghana's pension industry (Addo et al., 2019). While studies have shown that good corporate governance practices positively impact pension fund performance, there is a need for more research on the specific mechanisms that drive this relationship (Amoako et al., 2020).</w:t>
      </w:r>
    </w:p>
    <w:p w14:paraId="2C8C614C"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The literature also reveals a bias towards public sector pension schemes, with limited research on private sector schemes (Agyemang et al., 2019). This gap is significant, as private employer-sponsored pension schemes face unique challenges and may require different corporate governance mechanisms to manage financial risk effectively (Osei et al., 2020).</w:t>
      </w:r>
    </w:p>
    <w:p w14:paraId="207D7116" w14:textId="77777777" w:rsidR="00810699" w:rsidRPr="00B40A16" w:rsidRDefault="00701FD7" w:rsidP="00A042C4">
      <w:pPr>
        <w:spacing w:line="240" w:lineRule="auto"/>
        <w:jc w:val="both"/>
        <w:rPr>
          <w:rFonts w:ascii="Arial" w:eastAsia="Times New Roman" w:hAnsi="Arial" w:cs="Arial"/>
        </w:rPr>
      </w:pPr>
      <w:r w:rsidRPr="00B40A16">
        <w:rPr>
          <w:rFonts w:ascii="Arial" w:eastAsia="Times New Roman" w:hAnsi="Arial" w:cs="Arial"/>
        </w:rPr>
        <w:t xml:space="preserve">Furthermore, the impact of external factors, such as regulatory reforms and economic downturns, on corporate governance and financial risk management in Ghana's pension industry has not been thoroughly explored (Addo et al., 2019). This gap is significant, as external factors can significantly influence the relationship between corporate governance and financial risk management (Amoako et al., 2020). In addition, there is a need for more quantitative studies using robust methodologies to provide generalizable results (Boateng et al., 2018). Many studies </w:t>
      </w:r>
      <w:r w:rsidRPr="00B40A16">
        <w:rPr>
          <w:rFonts w:ascii="Arial" w:eastAsia="Times New Roman" w:hAnsi="Arial" w:cs="Arial"/>
        </w:rPr>
        <w:lastRenderedPageBreak/>
        <w:t xml:space="preserve">have relied on descriptive statistics and bivariate analysis, neglecting the potential benefits of more advanced statistical techniques (Owusu-Agyei, 2020). To address these gaps, this aims to conduct a comparative analysis of public and private employer-sponsored pension schemes in Ghana. </w:t>
      </w:r>
    </w:p>
    <w:p w14:paraId="07680F9E" w14:textId="1AB7F31F" w:rsidR="00810699" w:rsidRPr="00B671B3" w:rsidRDefault="00701FD7" w:rsidP="00A042C4">
      <w:pPr>
        <w:pStyle w:val="Heading3"/>
        <w:spacing w:line="240" w:lineRule="auto"/>
        <w:rPr>
          <w:rFonts w:ascii="Arial" w:hAnsi="Arial" w:cs="Arial"/>
          <w:color w:val="auto"/>
          <w:sz w:val="22"/>
          <w:szCs w:val="22"/>
        </w:rPr>
      </w:pPr>
      <w:bookmarkStart w:id="8" w:name="_26in1rg" w:colFirst="0" w:colLast="0"/>
      <w:bookmarkEnd w:id="8"/>
      <w:r w:rsidRPr="00B671B3">
        <w:rPr>
          <w:rFonts w:ascii="Arial" w:hAnsi="Arial" w:cs="Arial"/>
          <w:color w:val="auto"/>
          <w:sz w:val="22"/>
          <w:szCs w:val="22"/>
        </w:rPr>
        <w:t>1.3 Objectives of the Study</w:t>
      </w:r>
    </w:p>
    <w:p w14:paraId="36606276" w14:textId="77777777" w:rsidR="00810699" w:rsidRPr="00B671B3" w:rsidRDefault="00701FD7" w:rsidP="00A042C4">
      <w:pPr>
        <w:numPr>
          <w:ilvl w:val="0"/>
          <w:numId w:val="8"/>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rPr>
        <w:t>To examine the impact of corporate governance in financial risk management in the employer-sponsored pension schemes in Ghana.</w:t>
      </w:r>
    </w:p>
    <w:p w14:paraId="2AAE1A2A" w14:textId="77777777" w:rsidR="00810699" w:rsidRPr="00B671B3" w:rsidRDefault="00701FD7" w:rsidP="00A042C4">
      <w:pPr>
        <w:numPr>
          <w:ilvl w:val="0"/>
          <w:numId w:val="8"/>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rPr>
        <w:t>To find out the statistical difference between corporate governance practices in the public and private employer-sponsored pension schemes in Ghana.</w:t>
      </w:r>
    </w:p>
    <w:p w14:paraId="742E9A2B" w14:textId="77777777" w:rsidR="00810699" w:rsidRPr="00B671B3" w:rsidRDefault="00701FD7" w:rsidP="00A042C4">
      <w:pPr>
        <w:numPr>
          <w:ilvl w:val="0"/>
          <w:numId w:val="8"/>
        </w:numPr>
        <w:pBdr>
          <w:top w:val="nil"/>
          <w:left w:val="nil"/>
          <w:bottom w:val="nil"/>
          <w:right w:val="nil"/>
          <w:between w:val="nil"/>
        </w:pBdr>
        <w:spacing w:line="240" w:lineRule="auto"/>
        <w:jc w:val="both"/>
        <w:rPr>
          <w:rFonts w:ascii="Arial" w:eastAsia="Times New Roman" w:hAnsi="Arial" w:cs="Arial"/>
        </w:rPr>
      </w:pPr>
      <w:r w:rsidRPr="00B671B3">
        <w:rPr>
          <w:rFonts w:ascii="Arial" w:eastAsia="Times New Roman" w:hAnsi="Arial" w:cs="Arial"/>
        </w:rPr>
        <w:t>Determine the effectiveness of corporate governance systems in public employer-sponsored pensions in managing financial risk in the industry, relative to the private sector pensions.</w:t>
      </w:r>
    </w:p>
    <w:p w14:paraId="3ADD4674" w14:textId="77777777" w:rsidR="00810699" w:rsidRPr="00B671B3" w:rsidRDefault="00701FD7" w:rsidP="00A042C4">
      <w:pPr>
        <w:pStyle w:val="Heading3"/>
        <w:numPr>
          <w:ilvl w:val="1"/>
          <w:numId w:val="9"/>
        </w:numPr>
        <w:spacing w:line="240" w:lineRule="auto"/>
        <w:rPr>
          <w:rFonts w:ascii="Arial" w:hAnsi="Arial" w:cs="Arial"/>
          <w:color w:val="auto"/>
          <w:sz w:val="22"/>
          <w:szCs w:val="22"/>
        </w:rPr>
      </w:pPr>
      <w:bookmarkStart w:id="9" w:name="_lnxbz9" w:colFirst="0" w:colLast="0"/>
      <w:bookmarkEnd w:id="9"/>
      <w:r w:rsidRPr="00B671B3">
        <w:rPr>
          <w:rFonts w:ascii="Arial" w:hAnsi="Arial" w:cs="Arial"/>
          <w:color w:val="auto"/>
          <w:sz w:val="22"/>
          <w:szCs w:val="22"/>
        </w:rPr>
        <w:t>Hypotheses</w:t>
      </w:r>
    </w:p>
    <w:p w14:paraId="55E49A18" w14:textId="77777777" w:rsidR="00810699" w:rsidRPr="00B671B3" w:rsidRDefault="00701FD7" w:rsidP="00A042C4">
      <w:pPr>
        <w:numPr>
          <w:ilvl w:val="0"/>
          <w:numId w:val="4"/>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rPr>
        <w:t>H</w:t>
      </w:r>
      <w:r w:rsidRPr="00B671B3">
        <w:rPr>
          <w:rFonts w:ascii="Arial" w:eastAsia="Times New Roman" w:hAnsi="Arial" w:cs="Arial"/>
          <w:vertAlign w:val="subscript"/>
        </w:rPr>
        <w:t>0</w:t>
      </w:r>
      <w:r w:rsidRPr="00B671B3">
        <w:rPr>
          <w:rFonts w:ascii="Arial" w:eastAsia="Times New Roman" w:hAnsi="Arial" w:cs="Arial"/>
        </w:rPr>
        <w:t>1: Corporate governance has no impact on financial risk management in the employer-sponsored pension schemes in Ghana.</w:t>
      </w:r>
    </w:p>
    <w:p w14:paraId="7ED1A120" w14:textId="77777777" w:rsidR="00810699" w:rsidRPr="00B671B3" w:rsidRDefault="00701FD7" w:rsidP="00A042C4">
      <w:pPr>
        <w:numPr>
          <w:ilvl w:val="0"/>
          <w:numId w:val="4"/>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rPr>
        <w:t>H</w:t>
      </w:r>
      <w:r w:rsidRPr="00B671B3">
        <w:rPr>
          <w:rFonts w:ascii="Arial" w:eastAsia="Times New Roman" w:hAnsi="Arial" w:cs="Arial"/>
          <w:vertAlign w:val="subscript"/>
        </w:rPr>
        <w:t>0</w:t>
      </w:r>
      <w:r w:rsidRPr="00B671B3">
        <w:rPr>
          <w:rFonts w:ascii="Arial" w:eastAsia="Times New Roman" w:hAnsi="Arial" w:cs="Arial"/>
        </w:rPr>
        <w:t>2: There is no statistical difference between corporate governance practices in the public and private employer-sponsored pension schemes in Ghana.</w:t>
      </w:r>
    </w:p>
    <w:p w14:paraId="0814B764" w14:textId="77777777" w:rsidR="00810699" w:rsidRPr="00B671B3" w:rsidRDefault="00701FD7" w:rsidP="00A042C4">
      <w:pPr>
        <w:numPr>
          <w:ilvl w:val="0"/>
          <w:numId w:val="4"/>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rPr>
        <w:t>H</w:t>
      </w:r>
      <w:r w:rsidRPr="00B671B3">
        <w:rPr>
          <w:rFonts w:ascii="Arial" w:eastAsia="Times New Roman" w:hAnsi="Arial" w:cs="Arial"/>
          <w:vertAlign w:val="subscript"/>
        </w:rPr>
        <w:t>0</w:t>
      </w:r>
      <w:r w:rsidRPr="00B671B3">
        <w:rPr>
          <w:rFonts w:ascii="Arial" w:eastAsia="Times New Roman" w:hAnsi="Arial" w:cs="Arial"/>
        </w:rPr>
        <w:t xml:space="preserve">3: Corporate governance systems in public sector pensions are ineffective in managing the industry's financial risk compared to private employer-sponsored pensions. </w:t>
      </w:r>
    </w:p>
    <w:p w14:paraId="25A89FC8" w14:textId="77777777" w:rsidR="00810699" w:rsidRPr="00B40A16" w:rsidRDefault="00810699" w:rsidP="00A042C4">
      <w:pPr>
        <w:spacing w:line="240" w:lineRule="auto"/>
        <w:jc w:val="both"/>
        <w:rPr>
          <w:rFonts w:ascii="Arial" w:eastAsia="Times New Roman" w:hAnsi="Arial" w:cs="Arial"/>
          <w:sz w:val="24"/>
          <w:szCs w:val="24"/>
        </w:rPr>
      </w:pPr>
      <w:bookmarkStart w:id="10" w:name="_35nkun2" w:colFirst="0" w:colLast="0"/>
      <w:bookmarkEnd w:id="10"/>
    </w:p>
    <w:p w14:paraId="14ACCD02" w14:textId="77777777" w:rsidR="00810699" w:rsidRPr="00B671B3" w:rsidRDefault="00701FD7" w:rsidP="00A042C4">
      <w:pPr>
        <w:pStyle w:val="Heading2"/>
        <w:spacing w:line="240" w:lineRule="auto"/>
        <w:jc w:val="left"/>
        <w:rPr>
          <w:rFonts w:ascii="Arial" w:hAnsi="Arial" w:cs="Arial"/>
          <w:color w:val="auto"/>
          <w:sz w:val="22"/>
          <w:szCs w:val="22"/>
        </w:rPr>
      </w:pPr>
      <w:bookmarkStart w:id="11" w:name="_44sinio" w:colFirst="0" w:colLast="0"/>
      <w:bookmarkStart w:id="12" w:name="_2jxsxqh" w:colFirst="0" w:colLast="0"/>
      <w:bookmarkStart w:id="13" w:name="_z337ya" w:colFirst="0" w:colLast="0"/>
      <w:bookmarkStart w:id="14" w:name="_3j2qqm3" w:colFirst="0" w:colLast="0"/>
      <w:bookmarkEnd w:id="11"/>
      <w:bookmarkEnd w:id="12"/>
      <w:bookmarkEnd w:id="13"/>
      <w:bookmarkEnd w:id="14"/>
      <w:r w:rsidRPr="00B671B3">
        <w:rPr>
          <w:rFonts w:ascii="Arial" w:hAnsi="Arial" w:cs="Arial"/>
          <w:color w:val="auto"/>
          <w:sz w:val="22"/>
          <w:szCs w:val="22"/>
        </w:rPr>
        <w:t>LITERATURE REVIEW</w:t>
      </w:r>
    </w:p>
    <w:p w14:paraId="40649FF1" w14:textId="4136A20D" w:rsidR="00810699" w:rsidRPr="00B671B3" w:rsidRDefault="00701FD7" w:rsidP="00A042C4">
      <w:pPr>
        <w:pStyle w:val="Heading3"/>
        <w:spacing w:line="240" w:lineRule="auto"/>
        <w:rPr>
          <w:rFonts w:ascii="Arial" w:hAnsi="Arial" w:cs="Arial"/>
          <w:color w:val="auto"/>
          <w:sz w:val="22"/>
          <w:szCs w:val="22"/>
        </w:rPr>
      </w:pPr>
      <w:bookmarkStart w:id="15" w:name="_1y810tw" w:colFirst="0" w:colLast="0"/>
      <w:bookmarkStart w:id="16" w:name="_4i7ojhp" w:colFirst="0" w:colLast="0"/>
      <w:bookmarkEnd w:id="15"/>
      <w:bookmarkEnd w:id="16"/>
      <w:r w:rsidRPr="00B671B3">
        <w:rPr>
          <w:rFonts w:ascii="Arial" w:hAnsi="Arial" w:cs="Arial"/>
          <w:color w:val="auto"/>
          <w:sz w:val="22"/>
          <w:szCs w:val="22"/>
        </w:rPr>
        <w:t xml:space="preserve">2.1 Theoretical </w:t>
      </w:r>
      <w:r w:rsidR="00F82568" w:rsidRPr="00B671B3">
        <w:rPr>
          <w:rFonts w:ascii="Arial" w:hAnsi="Arial" w:cs="Arial"/>
          <w:color w:val="auto"/>
          <w:sz w:val="22"/>
          <w:szCs w:val="22"/>
        </w:rPr>
        <w:t>Review</w:t>
      </w:r>
    </w:p>
    <w:p w14:paraId="6F58B5AB" w14:textId="096321E7" w:rsidR="00810699" w:rsidRPr="00B671B3" w:rsidRDefault="000B3DC1" w:rsidP="00A042C4">
      <w:pPr>
        <w:spacing w:line="240" w:lineRule="auto"/>
        <w:jc w:val="both"/>
        <w:rPr>
          <w:rFonts w:ascii="Arial" w:eastAsia="Times New Roman" w:hAnsi="Arial" w:cs="Arial"/>
        </w:rPr>
      </w:pPr>
      <w:r w:rsidRPr="00B671B3">
        <w:rPr>
          <w:rFonts w:ascii="Arial" w:eastAsia="Times New Roman" w:hAnsi="Arial" w:cs="Arial"/>
        </w:rPr>
        <w:t>The theories underpinning this study are Agency Theory and Risk Management Theory</w:t>
      </w:r>
    </w:p>
    <w:p w14:paraId="393E4826" w14:textId="24511A14" w:rsidR="00810699" w:rsidRPr="00B671B3" w:rsidRDefault="00701FD7" w:rsidP="00A042C4">
      <w:pPr>
        <w:pStyle w:val="Heading4"/>
        <w:spacing w:line="240" w:lineRule="auto"/>
        <w:rPr>
          <w:rFonts w:ascii="Arial" w:hAnsi="Arial" w:cs="Arial"/>
          <w:color w:val="auto"/>
          <w:sz w:val="22"/>
          <w:szCs w:val="22"/>
        </w:rPr>
      </w:pPr>
      <w:r w:rsidRPr="00B671B3">
        <w:rPr>
          <w:rFonts w:ascii="Arial" w:hAnsi="Arial" w:cs="Arial"/>
          <w:color w:val="auto"/>
          <w:sz w:val="22"/>
          <w:szCs w:val="22"/>
        </w:rPr>
        <w:t>Agency Theory</w:t>
      </w:r>
    </w:p>
    <w:p w14:paraId="2562AA5B"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Agency Theory was proposed by Stephen Ross and Barry Mitnick in 1973. Ross is responsible for the economic theory of agency (Jensen &amp; Meckling, 1976).  while Mitnick is responsible for the institutional theory of agency (Mitnick, 2006; Ross, 1973)</w:t>
      </w:r>
    </w:p>
    <w:p w14:paraId="552E22A6"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Agency theory posits that the separation of ownership and control in firms leads to conflicts between shareholders (principals) and managers (agents). This theory is relevant to corporate governance, as it highlights the need for mechanisms to align manager interests with those of shareholders. According to Jensen and Meckling (1976), the agency problem arises when managers prioritize their own interests over those of shareholders, leading to inefficient decision-making.</w:t>
      </w:r>
    </w:p>
    <w:p w14:paraId="65F41FFB"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agency problem can be mitigated through various mechanisms, such as board oversight, executive compensation, and shareholder activism (Fama, 1980). Board oversight involves the board of directors monitoring managerial decisions to ensure they align with shareholder interests. Executive compensation involves tying manager pay to performance metrics that align with shareholder interests. Shareholder activism involves shareholders actively engaging with managers to influence decision-making.</w:t>
      </w:r>
    </w:p>
    <w:p w14:paraId="656809A6"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lastRenderedPageBreak/>
        <w:t>According to the agency theory, the principal and agent have different interests, and the agent's decisions may not always align with the principal's goals (Jensen &amp; Meckling, 1976). In the context of pension funds, the agency theory suggests that pension fund managers may prioritize their own interests over those of the beneficiaries, potentially leading to poor financial risk management decisions (Ross, 1973).</w:t>
      </w:r>
    </w:p>
    <w:p w14:paraId="6347085C" w14:textId="6A553A15"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Effective corporate governance can help mitigate this agency problem by ensuring that pension fund managers are held accountable for their decisions (Shleifer &amp; </w:t>
      </w:r>
      <w:proofErr w:type="spellStart"/>
      <w:r w:rsidRPr="00B671B3">
        <w:rPr>
          <w:rFonts w:ascii="Arial" w:eastAsia="Times New Roman" w:hAnsi="Arial" w:cs="Arial"/>
        </w:rPr>
        <w:t>Vishny</w:t>
      </w:r>
      <w:proofErr w:type="spellEnd"/>
      <w:r w:rsidRPr="00B671B3">
        <w:rPr>
          <w:rFonts w:ascii="Arial" w:eastAsia="Times New Roman" w:hAnsi="Arial" w:cs="Arial"/>
        </w:rPr>
        <w:t>, 1997). This can be achieved through mechanisms such as board composition, audit committees, and risk management practices (OECD, 2016).</w:t>
      </w:r>
    </w:p>
    <w:p w14:paraId="37189035"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In the pension industry, corporate governance plays a crucial role in ensuring that financial risk management practices align with the interests of beneficiaries (Hauptmann &amp; Becker, 2016). Therefore, the agency theory provides a framework for understanding the importance of effective corporate governance in managing financial risk in the pension industry.</w:t>
      </w:r>
    </w:p>
    <w:p w14:paraId="2D8CCA89" w14:textId="4FA84B6B" w:rsidR="00810699" w:rsidRPr="00B671B3" w:rsidRDefault="00701FD7" w:rsidP="00A042C4">
      <w:pPr>
        <w:pStyle w:val="Heading4"/>
        <w:spacing w:line="240" w:lineRule="auto"/>
        <w:rPr>
          <w:rFonts w:ascii="Arial" w:hAnsi="Arial" w:cs="Arial"/>
          <w:color w:val="auto"/>
          <w:sz w:val="22"/>
          <w:szCs w:val="22"/>
        </w:rPr>
      </w:pPr>
      <w:r w:rsidRPr="00B671B3">
        <w:rPr>
          <w:rFonts w:ascii="Arial" w:hAnsi="Arial" w:cs="Arial"/>
          <w:color w:val="auto"/>
          <w:sz w:val="22"/>
          <w:szCs w:val="22"/>
        </w:rPr>
        <w:t xml:space="preserve"> Risk Management Theory</w:t>
      </w:r>
    </w:p>
    <w:p w14:paraId="0D42B1DB"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Risk Management Theory was proposed by International Organization for Standardization (ISO, 2009) and later developed by various scholars such as Hillson (2013) and Olson and Wu (2017). This theory emphasizes the importance of identifying, assessing, and mitigating potential risks to achieve organizational objectives.</w:t>
      </w:r>
    </w:p>
    <w:p w14:paraId="52ADC7FE"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Risk management theory views risk as an inherent aspect of business operations. Firms must identify, assess, and mitigate risks to ensure financial stability. This theory is fundamental to financial risk management, highlighting the need for effective risk management practices.</w:t>
      </w:r>
    </w:p>
    <w:p w14:paraId="3D3AAD98" w14:textId="7E9365E1"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Pension funds are exposed to various risks such as investment risk, liquidity risk, and operational risk, which can impact their ability to meet their financial obligations (Hillson, 2013). Effective corporate governance practices such as risk management committees, internal controls, and audit practices can help identify and mitigate these risks (Olson &amp; Wu, 2017).</w:t>
      </w:r>
    </w:p>
    <w:p w14:paraId="35308B79"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In the pension industry, the Risk Management Theory provides a framework for understanding the importance of corporate governance in managing financial risk. By adopting a risk management approach, pension funds can ensure that financial risks are identified and mitigated, and that the interests of beneficiaries are protected.</w:t>
      </w:r>
    </w:p>
    <w:p w14:paraId="3DB7E178" w14:textId="52518A31" w:rsidR="00187BF2" w:rsidRDefault="00187BF2" w:rsidP="004714C7">
      <w:pPr>
        <w:pStyle w:val="NoSpacing"/>
        <w:jc w:val="both"/>
        <w:rPr>
          <w:rFonts w:ascii="Arial" w:hAnsi="Arial" w:cs="Arial"/>
          <w:b/>
        </w:rPr>
      </w:pPr>
      <w:bookmarkStart w:id="17" w:name="_2xcytpi" w:colFirst="0" w:colLast="0"/>
      <w:bookmarkStart w:id="18" w:name="_3as4poj" w:colFirst="0" w:colLast="0"/>
      <w:bookmarkEnd w:id="17"/>
      <w:bookmarkEnd w:id="18"/>
    </w:p>
    <w:p w14:paraId="025008B1" w14:textId="77777777" w:rsidR="00187BF2" w:rsidRPr="00187BF2" w:rsidRDefault="00187BF2" w:rsidP="00187BF2">
      <w:pPr>
        <w:spacing w:before="120" w:after="280" w:line="240" w:lineRule="auto"/>
        <w:jc w:val="both"/>
        <w:outlineLvl w:val="2"/>
        <w:rPr>
          <w:rFonts w:ascii="Arial" w:eastAsia="Times New Roman" w:hAnsi="Arial" w:cs="Arial"/>
          <w:b/>
        </w:rPr>
      </w:pPr>
      <w:r w:rsidRPr="00187BF2">
        <w:rPr>
          <w:rFonts w:ascii="Arial" w:eastAsia="Times New Roman" w:hAnsi="Arial" w:cs="Arial"/>
          <w:b/>
        </w:rPr>
        <w:t>2.2 Empirical Review</w:t>
      </w:r>
    </w:p>
    <w:p w14:paraId="14EB4A10" w14:textId="299B54FB" w:rsidR="00187BF2" w:rsidRPr="004714C7" w:rsidRDefault="005F1A36" w:rsidP="004714C7">
      <w:pPr>
        <w:pStyle w:val="NoSpacing"/>
        <w:jc w:val="both"/>
        <w:rPr>
          <w:rFonts w:ascii="Arial" w:hAnsi="Arial" w:cs="Arial"/>
          <w:b/>
        </w:rPr>
      </w:pPr>
      <w:r w:rsidRPr="005F1A36">
        <w:rPr>
          <w:rFonts w:ascii="Arial" w:eastAsia="Times New Roman" w:hAnsi="Arial" w:cs="Arial"/>
        </w:rPr>
        <w:t xml:space="preserve">The empirical literature on board size and financial risk management presents mixed findings. Some studies indicate a positive relationship, suggesting that larger boards enhance financial risk management (Mohammadi &amp; </w:t>
      </w:r>
      <w:proofErr w:type="spellStart"/>
      <w:r w:rsidRPr="005F1A36">
        <w:rPr>
          <w:rFonts w:ascii="Arial" w:eastAsia="Times New Roman" w:hAnsi="Arial" w:cs="Arial"/>
        </w:rPr>
        <w:t>Lotfi</w:t>
      </w:r>
      <w:proofErr w:type="spellEnd"/>
      <w:r w:rsidRPr="005F1A36">
        <w:rPr>
          <w:rFonts w:ascii="Arial" w:eastAsia="Times New Roman" w:hAnsi="Arial" w:cs="Arial"/>
        </w:rPr>
        <w:t xml:space="preserve">, 2013; </w:t>
      </w:r>
      <w:proofErr w:type="spellStart"/>
      <w:r w:rsidRPr="005F1A36">
        <w:rPr>
          <w:rFonts w:ascii="Arial" w:eastAsia="Times New Roman" w:hAnsi="Arial" w:cs="Arial"/>
        </w:rPr>
        <w:t>Maruhun</w:t>
      </w:r>
      <w:proofErr w:type="spellEnd"/>
      <w:r w:rsidRPr="005F1A36">
        <w:rPr>
          <w:rFonts w:ascii="Arial" w:eastAsia="Times New Roman" w:hAnsi="Arial" w:cs="Arial"/>
        </w:rPr>
        <w:t xml:space="preserve"> et al., 2018). Conversely, Tarus (2021) found no significant correlation between board size and risk management, indicating that this relationship may depend on contextual factors and the presence of other governance </w:t>
      </w:r>
      <w:proofErr w:type="spellStart"/>
      <w:proofErr w:type="gramStart"/>
      <w:r w:rsidRPr="005F1A36">
        <w:rPr>
          <w:rFonts w:ascii="Arial" w:eastAsia="Times New Roman" w:hAnsi="Arial" w:cs="Arial"/>
        </w:rPr>
        <w:t>mechanisms.Board</w:t>
      </w:r>
      <w:proofErr w:type="spellEnd"/>
      <w:proofErr w:type="gramEnd"/>
      <w:r w:rsidRPr="005F1A36">
        <w:rPr>
          <w:rFonts w:ascii="Arial" w:eastAsia="Times New Roman" w:hAnsi="Arial" w:cs="Arial"/>
        </w:rPr>
        <w:t xml:space="preserve"> tenure has also been positively correlated with effective corporate risk management (Kanene et al., 2023). Fu and Li (2014) suggest that a board's mandate positively influences risk management when managers possess private knowledge of their capabilities. The presence of independent non-executive directors is crucial, as studies illustrate a link between board independence and firm performance (</w:t>
      </w:r>
      <w:proofErr w:type="spellStart"/>
      <w:r w:rsidRPr="005F1A36">
        <w:rPr>
          <w:rFonts w:ascii="Arial" w:eastAsia="Times New Roman" w:hAnsi="Arial" w:cs="Arial"/>
        </w:rPr>
        <w:t>Madhani</w:t>
      </w:r>
      <w:proofErr w:type="spellEnd"/>
      <w:r w:rsidRPr="005F1A36">
        <w:rPr>
          <w:rFonts w:ascii="Arial" w:eastAsia="Times New Roman" w:hAnsi="Arial" w:cs="Arial"/>
        </w:rPr>
        <w:t xml:space="preserve">, 2017; </w:t>
      </w:r>
      <w:proofErr w:type="spellStart"/>
      <w:r w:rsidRPr="005F1A36">
        <w:rPr>
          <w:rFonts w:ascii="Arial" w:eastAsia="Times New Roman" w:hAnsi="Arial" w:cs="Arial"/>
        </w:rPr>
        <w:t>Tulung</w:t>
      </w:r>
      <w:proofErr w:type="spellEnd"/>
      <w:r w:rsidRPr="005F1A36">
        <w:rPr>
          <w:rFonts w:ascii="Arial" w:eastAsia="Times New Roman" w:hAnsi="Arial" w:cs="Arial"/>
        </w:rPr>
        <w:t xml:space="preserve"> &amp; </w:t>
      </w:r>
      <w:proofErr w:type="spellStart"/>
      <w:r w:rsidRPr="005F1A36">
        <w:rPr>
          <w:rFonts w:ascii="Arial" w:eastAsia="Times New Roman" w:hAnsi="Arial" w:cs="Arial"/>
        </w:rPr>
        <w:t>Ramdani</w:t>
      </w:r>
      <w:proofErr w:type="spellEnd"/>
      <w:r w:rsidRPr="005F1A36">
        <w:rPr>
          <w:rFonts w:ascii="Arial" w:eastAsia="Times New Roman" w:hAnsi="Arial" w:cs="Arial"/>
        </w:rPr>
        <w:t xml:space="preserve">, 2018). However, conflicting results exist; for example, Wahba (2015) found that an increase in non-executive directors could negatively impact financial </w:t>
      </w:r>
      <w:proofErr w:type="spellStart"/>
      <w:proofErr w:type="gramStart"/>
      <w:r w:rsidRPr="005F1A36">
        <w:rPr>
          <w:rFonts w:ascii="Arial" w:eastAsia="Times New Roman" w:hAnsi="Arial" w:cs="Arial"/>
        </w:rPr>
        <w:t>performance.Research</w:t>
      </w:r>
      <w:proofErr w:type="spellEnd"/>
      <w:proofErr w:type="gramEnd"/>
      <w:r w:rsidRPr="005F1A36">
        <w:rPr>
          <w:rFonts w:ascii="Arial" w:eastAsia="Times New Roman" w:hAnsi="Arial" w:cs="Arial"/>
        </w:rPr>
        <w:t xml:space="preserve"> indicates that frequent board meetings improve financial risk management (Liu et al., 2020). El-Masry et al. (2020) noted that </w:t>
      </w:r>
      <w:r w:rsidRPr="005F1A36">
        <w:rPr>
          <w:rFonts w:ascii="Arial" w:eastAsia="Times New Roman" w:hAnsi="Arial" w:cs="Arial"/>
        </w:rPr>
        <w:lastRenderedPageBreak/>
        <w:t>firms with more frequent meetings experienced lower market risks and better liquidity. Studies also explore the impact of CEO duality on risk management, showing mixed results. While some studies found CEO duality linked to lower credit risk (El-Masry et al., 2019), others (Ahmed et al., 2018) found no significant relationship. Recent research by Abu et al. (2022) emphasizes that board characteristics like independence and meeting frequency significantly impact risk management practices.</w:t>
      </w:r>
    </w:p>
    <w:p w14:paraId="0B68CF95" w14:textId="156E9894" w:rsidR="00810699" w:rsidRPr="00B671B3" w:rsidRDefault="00701FD7" w:rsidP="004714C7">
      <w:pPr>
        <w:pStyle w:val="Heading3"/>
        <w:spacing w:line="240" w:lineRule="auto"/>
        <w:rPr>
          <w:rFonts w:ascii="Arial" w:hAnsi="Arial" w:cs="Arial"/>
          <w:color w:val="auto"/>
          <w:sz w:val="22"/>
          <w:szCs w:val="22"/>
        </w:rPr>
      </w:pPr>
      <w:r w:rsidRPr="00B671B3">
        <w:rPr>
          <w:rFonts w:ascii="Arial" w:hAnsi="Arial" w:cs="Arial"/>
          <w:color w:val="auto"/>
          <w:sz w:val="22"/>
          <w:szCs w:val="22"/>
        </w:rPr>
        <w:t>2.</w:t>
      </w:r>
      <w:r w:rsidR="004714C7">
        <w:rPr>
          <w:rFonts w:ascii="Arial" w:hAnsi="Arial" w:cs="Arial"/>
          <w:color w:val="auto"/>
          <w:sz w:val="22"/>
          <w:szCs w:val="22"/>
        </w:rPr>
        <w:t>3</w:t>
      </w:r>
      <w:r w:rsidRPr="00B671B3">
        <w:rPr>
          <w:rFonts w:ascii="Arial" w:hAnsi="Arial" w:cs="Arial"/>
          <w:color w:val="auto"/>
          <w:sz w:val="22"/>
          <w:szCs w:val="22"/>
        </w:rPr>
        <w:t xml:space="preserve"> Conceptual Framework</w:t>
      </w:r>
    </w:p>
    <w:p w14:paraId="4EF03941" w14:textId="62D9192D"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conceptual framework as illustrated in Figure 1 is grounded in the agency theory, which posits that the relationship between the pension fund manager and the beneficiaries is one of agency, where the manager has a fiduciary duty to act in the best interests of the beneficiaries (Jensen &amp; Meckling, 1976). </w:t>
      </w:r>
    </w:p>
    <w:p w14:paraId="2B688D8B"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Independent Variable: Corporate Governance</w:t>
      </w:r>
    </w:p>
    <w:p w14:paraId="650AD50D"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Corporate governance refers to the system of rules, practices, and processes that govern a company's operations and ensure accountability to stakeholders (OECD, 2019). Effective corporate governance is essential for ensuring that companies are managed in a way that benefits all stakeholders, including shareholders, employees, and customers.</w:t>
      </w:r>
    </w:p>
    <w:p w14:paraId="6B9C3F78" w14:textId="77777777" w:rsidR="00810699" w:rsidRPr="00B671B3" w:rsidRDefault="00701FD7" w:rsidP="00A042C4">
      <w:pPr>
        <w:numPr>
          <w:ilvl w:val="0"/>
          <w:numId w:val="1"/>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b/>
        </w:rPr>
        <w:t>Board Size:</w:t>
      </w:r>
      <w:r w:rsidRPr="00B671B3">
        <w:rPr>
          <w:rFonts w:ascii="Arial" w:eastAsia="Times New Roman" w:hAnsi="Arial" w:cs="Arial"/>
        </w:rPr>
        <w:t xml:space="preserve"> The number of board members can impact the effectiveness of oversight and decision-making (Klein, 2017). A larger board may provide diverse perspectives and expertise, but may also lead to inefficiencies and conflicts.</w:t>
      </w:r>
    </w:p>
    <w:p w14:paraId="643BC013" w14:textId="77777777" w:rsidR="00810699" w:rsidRPr="00B671B3" w:rsidRDefault="00701FD7" w:rsidP="00A042C4">
      <w:pPr>
        <w:numPr>
          <w:ilvl w:val="0"/>
          <w:numId w:val="1"/>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b/>
        </w:rPr>
        <w:t>Board Independence:</w:t>
      </w:r>
      <w:r w:rsidRPr="00B671B3">
        <w:rPr>
          <w:rFonts w:ascii="Arial" w:eastAsia="Times New Roman" w:hAnsi="Arial" w:cs="Arial"/>
        </w:rPr>
        <w:t xml:space="preserve"> The percentage of independent directors can influence the board's ability to make objective decisions (Cohen et al., 2019). Independent directors can provide checks and balances on management and ensure that the company is managed in the best interests of all stakeholders.</w:t>
      </w:r>
    </w:p>
    <w:p w14:paraId="63447EE1" w14:textId="77777777" w:rsidR="00810699" w:rsidRPr="00B671B3" w:rsidRDefault="00701FD7" w:rsidP="00A042C4">
      <w:pPr>
        <w:numPr>
          <w:ilvl w:val="0"/>
          <w:numId w:val="1"/>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b/>
        </w:rPr>
        <w:t>Board Meetings:</w:t>
      </w:r>
      <w:r w:rsidRPr="00B671B3">
        <w:rPr>
          <w:rFonts w:ascii="Arial" w:eastAsia="Times New Roman" w:hAnsi="Arial" w:cs="Arial"/>
        </w:rPr>
        <w:t xml:space="preserve"> The frequency of board meetings can affect the board's ability to monitor and address risk management issues (Liu et al., 2020). Regular board meetings can ensure that risk management is a regular agenda item and that the board is informed and engaged in risk management decisions.</w:t>
      </w:r>
    </w:p>
    <w:p w14:paraId="55C45FBE" w14:textId="77777777" w:rsidR="00810699" w:rsidRPr="00B671B3" w:rsidRDefault="00701FD7" w:rsidP="00A042C4">
      <w:pPr>
        <w:numPr>
          <w:ilvl w:val="0"/>
          <w:numId w:val="1"/>
        </w:numPr>
        <w:pBdr>
          <w:top w:val="nil"/>
          <w:left w:val="nil"/>
          <w:bottom w:val="nil"/>
          <w:right w:val="nil"/>
          <w:between w:val="nil"/>
        </w:pBdr>
        <w:spacing w:line="240" w:lineRule="auto"/>
        <w:jc w:val="both"/>
        <w:rPr>
          <w:rFonts w:ascii="Arial" w:eastAsia="Times New Roman" w:hAnsi="Arial" w:cs="Arial"/>
        </w:rPr>
      </w:pPr>
      <w:r w:rsidRPr="00B671B3">
        <w:rPr>
          <w:rFonts w:ascii="Arial" w:eastAsia="Times New Roman" w:hAnsi="Arial" w:cs="Arial"/>
          <w:b/>
        </w:rPr>
        <w:t>CEO Duality:</w:t>
      </w:r>
      <w:r w:rsidRPr="00B671B3">
        <w:rPr>
          <w:rFonts w:ascii="Arial" w:eastAsia="Times New Roman" w:hAnsi="Arial" w:cs="Arial"/>
        </w:rPr>
        <w:t xml:space="preserve"> Whether the CEO also serves as Chairman can impact the balance of power and oversight (Klein, 2017). CEO duality can lead to a concentration of power and reduce the effectiveness of board oversight.</w:t>
      </w:r>
    </w:p>
    <w:p w14:paraId="6999EC57"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Dependent Variable: Financial Risk Management</w:t>
      </w:r>
    </w:p>
    <w:p w14:paraId="510CAA29"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Financial risk management refers to the processes and strategies used to identify, assess, and mitigate financial risks that could impact the pension fund's assets and liabilities (CFA Institute, 2020).</w:t>
      </w:r>
    </w:p>
    <w:p w14:paraId="6DE8B797" w14:textId="77777777" w:rsidR="00810699" w:rsidRPr="00B671B3" w:rsidRDefault="00701FD7" w:rsidP="00A042C4">
      <w:pPr>
        <w:numPr>
          <w:ilvl w:val="0"/>
          <w:numId w:val="2"/>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b/>
        </w:rPr>
        <w:t>Market Risk</w:t>
      </w:r>
      <w:r w:rsidRPr="00B671B3">
        <w:rPr>
          <w:rFonts w:ascii="Arial" w:eastAsia="Times New Roman" w:hAnsi="Arial" w:cs="Arial"/>
        </w:rPr>
        <w:t xml:space="preserve"> - a measure of the risk of losses due to changes in market prices or rates (OECD, 2019).</w:t>
      </w:r>
    </w:p>
    <w:p w14:paraId="13D80DC0" w14:textId="77777777" w:rsidR="00810699" w:rsidRPr="00B671B3" w:rsidRDefault="00701FD7" w:rsidP="00A042C4">
      <w:pPr>
        <w:numPr>
          <w:ilvl w:val="0"/>
          <w:numId w:val="2"/>
        </w:numPr>
        <w:pBdr>
          <w:top w:val="nil"/>
          <w:left w:val="nil"/>
          <w:bottom w:val="nil"/>
          <w:right w:val="nil"/>
          <w:between w:val="nil"/>
        </w:pBdr>
        <w:spacing w:after="0" w:line="240" w:lineRule="auto"/>
        <w:jc w:val="both"/>
        <w:rPr>
          <w:rFonts w:ascii="Arial" w:eastAsia="Times New Roman" w:hAnsi="Arial" w:cs="Arial"/>
        </w:rPr>
      </w:pPr>
      <w:r w:rsidRPr="00B671B3">
        <w:rPr>
          <w:rFonts w:ascii="Arial" w:eastAsia="Times New Roman" w:hAnsi="Arial" w:cs="Arial"/>
          <w:b/>
        </w:rPr>
        <w:t>Liquidity Risk</w:t>
      </w:r>
      <w:r w:rsidRPr="00B671B3">
        <w:rPr>
          <w:rFonts w:ascii="Arial" w:eastAsia="Times New Roman" w:hAnsi="Arial" w:cs="Arial"/>
        </w:rPr>
        <w:t xml:space="preserve"> - a measure of the risk of not having sufficient liquidity to meet obligations (OECD, 2019).</w:t>
      </w:r>
    </w:p>
    <w:p w14:paraId="629435D2" w14:textId="77777777" w:rsidR="00810699" w:rsidRPr="00B671B3" w:rsidRDefault="00701FD7" w:rsidP="00A042C4">
      <w:pPr>
        <w:numPr>
          <w:ilvl w:val="0"/>
          <w:numId w:val="2"/>
        </w:numPr>
        <w:pBdr>
          <w:top w:val="nil"/>
          <w:left w:val="nil"/>
          <w:bottom w:val="nil"/>
          <w:right w:val="nil"/>
          <w:between w:val="nil"/>
        </w:pBdr>
        <w:spacing w:line="240" w:lineRule="auto"/>
        <w:jc w:val="both"/>
        <w:rPr>
          <w:rFonts w:ascii="Arial" w:eastAsia="Times New Roman" w:hAnsi="Arial" w:cs="Arial"/>
        </w:rPr>
      </w:pPr>
      <w:r w:rsidRPr="00B671B3">
        <w:rPr>
          <w:rFonts w:ascii="Arial" w:eastAsia="Times New Roman" w:hAnsi="Arial" w:cs="Arial"/>
          <w:b/>
        </w:rPr>
        <w:t>Operational Risk</w:t>
      </w:r>
      <w:r w:rsidRPr="00B671B3">
        <w:rPr>
          <w:rFonts w:ascii="Arial" w:eastAsia="Times New Roman" w:hAnsi="Arial" w:cs="Arial"/>
        </w:rPr>
        <w:t xml:space="preserve"> - a measure of the risk of losses due to inadequate or failed internal processes, systems, and people, or from external events (OECD, 2019).</w:t>
      </w:r>
    </w:p>
    <w:p w14:paraId="6AE1A688"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Moderating Variables: Firm and Industry Factors</w:t>
      </w:r>
    </w:p>
    <w:p w14:paraId="5452E1F8" w14:textId="2ED9EE03"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Firm size and industry regulation can moderate the impact of corporate governance on financial risk management in the pension industry. Firm size can impact the resources and expertise </w:t>
      </w:r>
      <w:r w:rsidRPr="00B671B3">
        <w:rPr>
          <w:rFonts w:ascii="Arial" w:eastAsia="Times New Roman" w:hAnsi="Arial" w:cs="Arial"/>
        </w:rPr>
        <w:lastRenderedPageBreak/>
        <w:t>available for risk management (Baxter et al., 2017). Also, industry regulation can impact the stringency of regulatory requirements and oversight (OECD, 2019).</w:t>
      </w:r>
    </w:p>
    <w:p w14:paraId="24972589" w14:textId="77777777" w:rsidR="002A73D7" w:rsidRDefault="002A73D7" w:rsidP="00A042C4">
      <w:pPr>
        <w:spacing w:line="240" w:lineRule="auto"/>
        <w:rPr>
          <w:rFonts w:ascii="Arial" w:eastAsia="Times New Roman" w:hAnsi="Arial" w:cs="Arial"/>
        </w:rPr>
      </w:pPr>
    </w:p>
    <w:p w14:paraId="4F74D1D9" w14:textId="77777777" w:rsidR="002A73D7" w:rsidRDefault="002A73D7" w:rsidP="00A042C4">
      <w:pPr>
        <w:spacing w:line="240" w:lineRule="auto"/>
        <w:rPr>
          <w:rFonts w:ascii="Arial" w:eastAsia="Times New Roman" w:hAnsi="Arial" w:cs="Arial"/>
        </w:rPr>
      </w:pPr>
    </w:p>
    <w:p w14:paraId="0AB3D16C" w14:textId="1EC6E611" w:rsidR="00810699" w:rsidRPr="00B671B3" w:rsidRDefault="008A5FC2" w:rsidP="00A042C4">
      <w:pPr>
        <w:spacing w:line="240" w:lineRule="auto"/>
        <w:rPr>
          <w:rFonts w:ascii="Arial" w:eastAsia="Times New Roman" w:hAnsi="Arial" w:cs="Arial"/>
        </w:rPr>
      </w:pPr>
      <w:r w:rsidRPr="00B671B3">
        <w:rPr>
          <w:rFonts w:ascii="Arial" w:hAnsi="Arial" w:cs="Arial"/>
          <w:noProof/>
          <w:lang w:val="en-US" w:eastAsia="en-US"/>
        </w:rPr>
        <mc:AlternateContent>
          <mc:Choice Requires="wpg">
            <w:drawing>
              <wp:anchor distT="0" distB="0" distL="114300" distR="114300" simplePos="0" relativeHeight="251658240" behindDoc="0" locked="0" layoutInCell="1" hidden="0" allowOverlap="1" wp14:anchorId="668F8E3F" wp14:editId="32946B64">
                <wp:simplePos x="0" y="0"/>
                <wp:positionH relativeFrom="column">
                  <wp:posOffset>99060</wp:posOffset>
                </wp:positionH>
                <wp:positionV relativeFrom="paragraph">
                  <wp:posOffset>8890</wp:posOffset>
                </wp:positionV>
                <wp:extent cx="5547995" cy="3840479"/>
                <wp:effectExtent l="0" t="0" r="14605" b="27305"/>
                <wp:wrapNone/>
                <wp:docPr id="2" name="Group 2"/>
                <wp:cNvGraphicFramePr/>
                <a:graphic xmlns:a="http://schemas.openxmlformats.org/drawingml/2006/main">
                  <a:graphicData uri="http://schemas.microsoft.com/office/word/2010/wordprocessingGroup">
                    <wpg:wgp>
                      <wpg:cNvGrpSpPr/>
                      <wpg:grpSpPr>
                        <a:xfrm>
                          <a:off x="0" y="0"/>
                          <a:ext cx="5547995" cy="3840479"/>
                          <a:chOff x="0" y="0"/>
                          <a:chExt cx="5548313" cy="3638216"/>
                        </a:xfrm>
                      </wpg:grpSpPr>
                      <wps:wsp>
                        <wps:cNvPr id="725678932" name="Rounded Rectangle 725678932"/>
                        <wps:cNvSpPr/>
                        <wps:spPr>
                          <a:xfrm>
                            <a:off x="2017400" y="3304841"/>
                            <a:ext cx="1704975" cy="3333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3F48B9E" w14:textId="77777777" w:rsidR="00B049BD" w:rsidRPr="00C10936" w:rsidRDefault="00B049BD" w:rsidP="00AD2204">
                              <w:pPr>
                                <w:jc w:val="center"/>
                                <w:rPr>
                                  <w:rFonts w:ascii="Times New Roman" w:hAnsi="Times New Roman" w:cs="Times New Roman"/>
                                  <w:b/>
                                  <w:sz w:val="24"/>
                                  <w:szCs w:val="24"/>
                                </w:rPr>
                              </w:pPr>
                              <w:r>
                                <w:rPr>
                                  <w:rFonts w:ascii="Times New Roman" w:hAnsi="Times New Roman" w:cs="Times New Roman"/>
                                  <w:b/>
                                  <w:sz w:val="24"/>
                                  <w:szCs w:val="24"/>
                                </w:rPr>
                                <w:t>Moderating</w:t>
                              </w:r>
                              <w:r w:rsidRPr="00C10936">
                                <w:rPr>
                                  <w:rFonts w:ascii="Times New Roman" w:hAnsi="Times New Roman" w:cs="Times New Roman"/>
                                  <w:b/>
                                  <w:sz w:val="24"/>
                                  <w:szCs w:val="24"/>
                                </w:rPr>
                                <w:t xml:space="preserve">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95616557" name="Group 1695616557"/>
                        <wpg:cNvGrpSpPr/>
                        <wpg:grpSpPr>
                          <a:xfrm>
                            <a:off x="0" y="0"/>
                            <a:ext cx="5548313" cy="3269232"/>
                            <a:chOff x="0" y="0"/>
                            <a:chExt cx="5548313" cy="3269232"/>
                          </a:xfrm>
                        </wpg:grpSpPr>
                        <wps:wsp>
                          <wps:cNvPr id="14491650" name="Rounded Rectangle 14491650"/>
                          <wps:cNvSpPr/>
                          <wps:spPr>
                            <a:xfrm>
                              <a:off x="30482" y="380969"/>
                              <a:ext cx="1526849" cy="2744721"/>
                            </a:xfrm>
                            <a:prstGeom prst="roundRect">
                              <a:avLst/>
                            </a:prstGeom>
                          </wps:spPr>
                          <wps:style>
                            <a:lnRef idx="2">
                              <a:schemeClr val="dk1"/>
                            </a:lnRef>
                            <a:fillRef idx="1">
                              <a:schemeClr val="lt1"/>
                            </a:fillRef>
                            <a:effectRef idx="0">
                              <a:schemeClr val="dk1"/>
                            </a:effectRef>
                            <a:fontRef idx="minor">
                              <a:schemeClr val="dk1"/>
                            </a:fontRef>
                          </wps:style>
                          <wps:txbx>
                            <w:txbxContent>
                              <w:p w14:paraId="6E16630E" w14:textId="77777777" w:rsidR="00B049BD" w:rsidRPr="00C10936" w:rsidRDefault="00B049BD" w:rsidP="00AD2204">
                                <w:pPr>
                                  <w:rPr>
                                    <w:rFonts w:ascii="Times New Roman" w:hAnsi="Times New Roman" w:cs="Times New Roman"/>
                                    <w:b/>
                                    <w:sz w:val="24"/>
                                    <w:szCs w:val="24"/>
                                  </w:rPr>
                                </w:pPr>
                                <w:r w:rsidRPr="00C10936">
                                  <w:rPr>
                                    <w:rFonts w:ascii="Times New Roman" w:hAnsi="Times New Roman" w:cs="Times New Roman"/>
                                    <w:b/>
                                    <w:sz w:val="24"/>
                                    <w:szCs w:val="24"/>
                                  </w:rPr>
                                  <w:t>Corporate Governance</w:t>
                                </w:r>
                                <w:r>
                                  <w:rPr>
                                    <w:rFonts w:ascii="Times New Roman" w:hAnsi="Times New Roman" w:cs="Times New Roman"/>
                                    <w:b/>
                                    <w:sz w:val="24"/>
                                    <w:szCs w:val="24"/>
                                  </w:rPr>
                                  <w:t>:</w:t>
                                </w:r>
                              </w:p>
                              <w:p w14:paraId="6BE2F71C" w14:textId="77777777" w:rsidR="00B049BD" w:rsidRDefault="00B049BD" w:rsidP="00AD2204">
                                <w:pPr>
                                  <w:numPr>
                                    <w:ilvl w:val="0"/>
                                    <w:numId w:val="7"/>
                                  </w:numPr>
                                </w:pPr>
                                <w:r w:rsidRPr="00C10936">
                                  <w:rPr>
                                    <w:rFonts w:ascii="Times New Roman" w:hAnsi="Times New Roman" w:cs="Times New Roman"/>
                                    <w:sz w:val="24"/>
                                    <w:szCs w:val="24"/>
                                  </w:rPr>
                                  <w:t>Board Size</w:t>
                                </w:r>
                              </w:p>
                              <w:p w14:paraId="7D2EE414" w14:textId="77777777" w:rsidR="00B049BD" w:rsidRDefault="00B049BD" w:rsidP="00AD2204">
                                <w:pPr>
                                  <w:numPr>
                                    <w:ilvl w:val="0"/>
                                    <w:numId w:val="7"/>
                                  </w:numPr>
                                </w:pPr>
                                <w:r w:rsidRPr="00C10936">
                                  <w:rPr>
                                    <w:rFonts w:ascii="Times New Roman" w:hAnsi="Times New Roman" w:cs="Times New Roman"/>
                                    <w:sz w:val="24"/>
                                    <w:szCs w:val="24"/>
                                  </w:rPr>
                                  <w:t>Board Independence</w:t>
                                </w:r>
                              </w:p>
                              <w:p w14:paraId="0AF0DDA9" w14:textId="77777777" w:rsidR="00B049BD" w:rsidRPr="00510708" w:rsidRDefault="00B049BD" w:rsidP="00AD2204">
                                <w:pPr>
                                  <w:numPr>
                                    <w:ilvl w:val="0"/>
                                    <w:numId w:val="7"/>
                                  </w:numPr>
                                </w:pPr>
                                <w:r w:rsidRPr="00C10936">
                                  <w:rPr>
                                    <w:rFonts w:ascii="Times New Roman" w:hAnsi="Times New Roman" w:cs="Times New Roman"/>
                                    <w:sz w:val="24"/>
                                    <w:szCs w:val="24"/>
                                  </w:rPr>
                                  <w:t>Board Meetings</w:t>
                                </w:r>
                              </w:p>
                              <w:p w14:paraId="557462C0" w14:textId="77777777" w:rsidR="00B049BD" w:rsidRDefault="00B049BD" w:rsidP="00AD2204">
                                <w:pPr>
                                  <w:numPr>
                                    <w:ilvl w:val="0"/>
                                    <w:numId w:val="7"/>
                                  </w:numPr>
                                </w:pPr>
                                <w:r w:rsidRPr="00510708">
                                  <w:rPr>
                                    <w:rFonts w:ascii="Times New Roman" w:hAnsi="Times New Roman" w:cs="Times New Roman"/>
                                    <w:sz w:val="24"/>
                                    <w:szCs w:val="24"/>
                                  </w:rPr>
                                  <w:t>CEO Duality</w:t>
                                </w:r>
                              </w:p>
                              <w:p w14:paraId="6CFD4F17" w14:textId="77777777" w:rsidR="00B049BD" w:rsidRDefault="00B049BD" w:rsidP="00AD2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361514" name="Rounded Rectangle 1751361514"/>
                          <wps:cNvSpPr/>
                          <wps:spPr>
                            <a:xfrm>
                              <a:off x="4013834" y="419064"/>
                              <a:ext cx="1488121" cy="2389005"/>
                            </a:xfrm>
                            <a:prstGeom prst="roundRect">
                              <a:avLst/>
                            </a:prstGeom>
                          </wps:spPr>
                          <wps:style>
                            <a:lnRef idx="2">
                              <a:schemeClr val="dk1"/>
                            </a:lnRef>
                            <a:fillRef idx="1">
                              <a:schemeClr val="lt1"/>
                            </a:fillRef>
                            <a:effectRef idx="0">
                              <a:schemeClr val="dk1"/>
                            </a:effectRef>
                            <a:fontRef idx="minor">
                              <a:schemeClr val="dk1"/>
                            </a:fontRef>
                          </wps:style>
                          <wps:txbx>
                            <w:txbxContent>
                              <w:p w14:paraId="67C4F620" w14:textId="77777777" w:rsidR="00B049BD" w:rsidRPr="00B5503E" w:rsidRDefault="00B049BD" w:rsidP="00AD2204">
                                <w:pPr>
                                  <w:rPr>
                                    <w:rFonts w:ascii="Times New Roman" w:hAnsi="Times New Roman" w:cs="Times New Roman"/>
                                    <w:b/>
                                    <w:sz w:val="24"/>
                                    <w:szCs w:val="24"/>
                                  </w:rPr>
                                </w:pPr>
                                <w:r w:rsidRPr="00B5503E">
                                  <w:rPr>
                                    <w:rFonts w:ascii="Times New Roman" w:hAnsi="Times New Roman" w:cs="Times New Roman"/>
                                    <w:b/>
                                    <w:sz w:val="24"/>
                                    <w:szCs w:val="24"/>
                                  </w:rPr>
                                  <w:t>Financial Risk Management:</w:t>
                                </w:r>
                              </w:p>
                              <w:p w14:paraId="0A231D9E" w14:textId="77777777" w:rsidR="00B049BD" w:rsidRDefault="00B049BD" w:rsidP="00AD2204">
                                <w:pPr>
                                  <w:numPr>
                                    <w:ilvl w:val="0"/>
                                    <w:numId w:val="6"/>
                                  </w:numPr>
                                </w:pPr>
                                <w:r w:rsidRPr="00C10936">
                                  <w:rPr>
                                    <w:rFonts w:ascii="Times New Roman" w:hAnsi="Times New Roman" w:cs="Times New Roman"/>
                                    <w:sz w:val="24"/>
                                    <w:szCs w:val="24"/>
                                  </w:rPr>
                                  <w:t xml:space="preserve">Market Risk </w:t>
                                </w:r>
                              </w:p>
                              <w:p w14:paraId="0033F0C6" w14:textId="77777777" w:rsidR="00B049BD" w:rsidRDefault="00B049BD" w:rsidP="00AD2204">
                                <w:pPr>
                                  <w:numPr>
                                    <w:ilvl w:val="0"/>
                                    <w:numId w:val="6"/>
                                  </w:numPr>
                                </w:pPr>
                                <w:r w:rsidRPr="00C10936">
                                  <w:rPr>
                                    <w:rFonts w:ascii="Times New Roman" w:hAnsi="Times New Roman" w:cs="Times New Roman"/>
                                    <w:sz w:val="24"/>
                                    <w:szCs w:val="24"/>
                                  </w:rPr>
                                  <w:t xml:space="preserve">Liquidity Risk </w:t>
                                </w:r>
                              </w:p>
                              <w:p w14:paraId="63A87C26" w14:textId="77777777" w:rsidR="00B049BD" w:rsidRDefault="00B049BD" w:rsidP="00AD2204">
                                <w:pPr>
                                  <w:numPr>
                                    <w:ilvl w:val="0"/>
                                    <w:numId w:val="6"/>
                                  </w:numPr>
                                </w:pPr>
                                <w:r w:rsidRPr="00C10936">
                                  <w:rPr>
                                    <w:rFonts w:ascii="Times New Roman" w:hAnsi="Times New Roman" w:cs="Times New Roman"/>
                                    <w:sz w:val="24"/>
                                    <w:szCs w:val="24"/>
                                  </w:rPr>
                                  <w:t xml:space="preserve">Operational Risk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322924" name="Rounded Rectangle 2035322924"/>
                          <wps:cNvSpPr/>
                          <wps:spPr>
                            <a:xfrm>
                              <a:off x="1985962" y="1710828"/>
                              <a:ext cx="1801394" cy="1558404"/>
                            </a:xfrm>
                            <a:prstGeom prst="roundRect">
                              <a:avLst/>
                            </a:prstGeom>
                          </wps:spPr>
                          <wps:style>
                            <a:lnRef idx="2">
                              <a:schemeClr val="dk1"/>
                            </a:lnRef>
                            <a:fillRef idx="1">
                              <a:schemeClr val="lt1"/>
                            </a:fillRef>
                            <a:effectRef idx="0">
                              <a:schemeClr val="dk1"/>
                            </a:effectRef>
                            <a:fontRef idx="minor">
                              <a:schemeClr val="dk1"/>
                            </a:fontRef>
                          </wps:style>
                          <wps:txbx>
                            <w:txbxContent>
                              <w:p w14:paraId="58F4AE04" w14:textId="77777777" w:rsidR="00B049BD" w:rsidRPr="00C10936" w:rsidRDefault="00B049BD" w:rsidP="00AD2204">
                                <w:pPr>
                                  <w:rPr>
                                    <w:rFonts w:ascii="Times New Roman" w:hAnsi="Times New Roman" w:cs="Times New Roman"/>
                                    <w:b/>
                                    <w:sz w:val="24"/>
                                    <w:szCs w:val="24"/>
                                  </w:rPr>
                                </w:pPr>
                                <w:r>
                                  <w:rPr>
                                    <w:rFonts w:ascii="Times New Roman" w:hAnsi="Times New Roman" w:cs="Times New Roman"/>
                                    <w:b/>
                                    <w:sz w:val="24"/>
                                    <w:szCs w:val="24"/>
                                  </w:rPr>
                                  <w:t>Firm &amp; Industry Factors:</w:t>
                                </w:r>
                              </w:p>
                              <w:p w14:paraId="3DC4ABB1" w14:textId="77777777" w:rsidR="00B049BD" w:rsidRDefault="00B049BD" w:rsidP="00AD2204">
                                <w:pPr>
                                  <w:numPr>
                                    <w:ilvl w:val="0"/>
                                    <w:numId w:val="8"/>
                                  </w:numPr>
                                </w:pPr>
                                <w:r>
                                  <w:rPr>
                                    <w:rFonts w:ascii="Times New Roman" w:hAnsi="Times New Roman" w:cs="Times New Roman"/>
                                    <w:sz w:val="24"/>
                                    <w:szCs w:val="24"/>
                                  </w:rPr>
                                  <w:t xml:space="preserve">Firm Size </w:t>
                                </w:r>
                              </w:p>
                              <w:p w14:paraId="3CFB6FC8" w14:textId="77777777" w:rsidR="00B049BD" w:rsidRDefault="00B049BD" w:rsidP="00AD2204">
                                <w:pPr>
                                  <w:numPr>
                                    <w:ilvl w:val="0"/>
                                    <w:numId w:val="8"/>
                                  </w:numPr>
                                </w:pPr>
                                <w:r w:rsidRPr="00C10936">
                                  <w:rPr>
                                    <w:rFonts w:ascii="Times New Roman" w:hAnsi="Times New Roman" w:cs="Times New Roman"/>
                                    <w:sz w:val="24"/>
                                    <w:szCs w:val="24"/>
                                  </w:rPr>
                                  <w:t xml:space="preserve">Industry regulation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171560" name="Rounded Rectangle 1226171560"/>
                          <wps:cNvSpPr/>
                          <wps:spPr>
                            <a:xfrm>
                              <a:off x="0" y="0"/>
                              <a:ext cx="1814195" cy="3333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5A2288E" w14:textId="77777777" w:rsidR="00B049BD" w:rsidRPr="00C10936" w:rsidRDefault="00B049BD" w:rsidP="00AD2204">
                                <w:pPr>
                                  <w:rPr>
                                    <w:rFonts w:ascii="Times New Roman" w:hAnsi="Times New Roman" w:cs="Times New Roman"/>
                                    <w:b/>
                                    <w:sz w:val="24"/>
                                    <w:szCs w:val="24"/>
                                  </w:rPr>
                                </w:pPr>
                                <w:r w:rsidRPr="00C10936">
                                  <w:rPr>
                                    <w:rFonts w:ascii="Times New Roman" w:hAnsi="Times New Roman" w:cs="Times New Roman"/>
                                    <w:b/>
                                    <w:sz w:val="24"/>
                                    <w:szCs w:val="24"/>
                                  </w:rPr>
                                  <w:t>Independent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936191" name="Rounded Rectangle 1247936191"/>
                          <wps:cNvSpPr/>
                          <wps:spPr>
                            <a:xfrm>
                              <a:off x="3962400" y="0"/>
                              <a:ext cx="1585913" cy="33337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1822072" w14:textId="77777777" w:rsidR="00B049BD" w:rsidRPr="00C10936" w:rsidRDefault="00B049BD" w:rsidP="00AD2204">
                                <w:pPr>
                                  <w:rPr>
                                    <w:rFonts w:ascii="Times New Roman" w:hAnsi="Times New Roman" w:cs="Times New Roman"/>
                                    <w:b/>
                                    <w:sz w:val="24"/>
                                    <w:szCs w:val="24"/>
                                  </w:rPr>
                                </w:pPr>
                                <w:r w:rsidRPr="00C10936">
                                  <w:rPr>
                                    <w:rFonts w:ascii="Times New Roman" w:hAnsi="Times New Roman" w:cs="Times New Roman"/>
                                    <w:b/>
                                    <w:sz w:val="24"/>
                                    <w:szCs w:val="24"/>
                                  </w:rPr>
                                  <w:t>Dependent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4191270" name="Straight Arrow Connector 1444191270"/>
                          <wps:cNvCnPr/>
                          <wps:spPr>
                            <a:xfrm>
                              <a:off x="1557338" y="1323975"/>
                              <a:ext cx="247173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668321168" name="Straight Arrow Connector 1668321168"/>
                          <wps:cNvCnPr/>
                          <wps:spPr>
                            <a:xfrm flipV="1">
                              <a:off x="2771775" y="1323976"/>
                              <a:ext cx="1" cy="394071"/>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668F8E3F" id="Group 2" o:spid="_x0000_s1026" style="position:absolute;margin-left:7.8pt;margin-top:.7pt;width:436.85pt;height:302.4pt;z-index:251658240;mso-height-relative:margin" coordsize="55483,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">
                <v:roundrect id="Rounded Rectangle 725678932" o:spid="_x0000_s1027" style="position:absolute;left:20174;top:33048;width:1704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" fillcolor="white [3201]" strokecolor="white [3212]" strokeweight="2pt">
                  <v:textbox>
                    <w:txbxContent>
                      <w:p w14:paraId="33F48B9E" w14:textId="77777777" w:rsidR="00B049BD" w:rsidRPr="00C10936" w:rsidRDefault="00B049BD" w:rsidP="00AD2204">
                        <w:pPr>
                          <w:jc w:val="center"/>
                          <w:rPr>
                            <w:rFonts w:ascii="Times New Roman" w:hAnsi="Times New Roman" w:cs="Times New Roman"/>
                            <w:b/>
                            <w:sz w:val="24"/>
                            <w:szCs w:val="24"/>
                          </w:rPr>
                        </w:pPr>
                        <w:r>
                          <w:rPr>
                            <w:rFonts w:ascii="Times New Roman" w:hAnsi="Times New Roman" w:cs="Times New Roman"/>
                            <w:b/>
                            <w:sz w:val="24"/>
                            <w:szCs w:val="24"/>
                          </w:rPr>
                          <w:t>Moderating</w:t>
                        </w:r>
                        <w:r w:rsidRPr="00C10936">
                          <w:rPr>
                            <w:rFonts w:ascii="Times New Roman" w:hAnsi="Times New Roman" w:cs="Times New Roman"/>
                            <w:b/>
                            <w:sz w:val="24"/>
                            <w:szCs w:val="24"/>
                          </w:rPr>
                          <w:t xml:space="preserve"> Variable</w:t>
                        </w:r>
                      </w:p>
                    </w:txbxContent>
                  </v:textbox>
                </v:roundrect>
                <v:group id="Group 1695616557" o:spid="_x0000_s1028" style="position:absolute;width:55483;height:32692" coordsize="55483,3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">
                  <v:roundrect id="Rounded Rectangle 14491650" o:spid="_x0000_s1029" style="position:absolute;left:304;top:3809;width:15269;height:274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" fillcolor="white [3201]" strokecolor="black [3200]" strokeweight="2pt">
                    <v:textbox>
                      <w:txbxContent>
                        <w:p w14:paraId="6E16630E" w14:textId="77777777" w:rsidR="00B049BD" w:rsidRPr="00C10936" w:rsidRDefault="00B049BD" w:rsidP="00AD2204">
                          <w:pPr>
                            <w:rPr>
                              <w:rFonts w:ascii="Times New Roman" w:hAnsi="Times New Roman" w:cs="Times New Roman"/>
                              <w:b/>
                              <w:sz w:val="24"/>
                              <w:szCs w:val="24"/>
                            </w:rPr>
                          </w:pPr>
                          <w:r w:rsidRPr="00C10936">
                            <w:rPr>
                              <w:rFonts w:ascii="Times New Roman" w:hAnsi="Times New Roman" w:cs="Times New Roman"/>
                              <w:b/>
                              <w:sz w:val="24"/>
                              <w:szCs w:val="24"/>
                            </w:rPr>
                            <w:t>Corporate Governance</w:t>
                          </w:r>
                          <w:r>
                            <w:rPr>
                              <w:rFonts w:ascii="Times New Roman" w:hAnsi="Times New Roman" w:cs="Times New Roman"/>
                              <w:b/>
                              <w:sz w:val="24"/>
                              <w:szCs w:val="24"/>
                            </w:rPr>
                            <w:t>:</w:t>
                          </w:r>
                        </w:p>
                        <w:p w14:paraId="6BE2F71C" w14:textId="77777777" w:rsidR="00B049BD" w:rsidRDefault="00B049BD" w:rsidP="00AD2204">
                          <w:pPr>
                            <w:numPr>
                              <w:ilvl w:val="0"/>
                              <w:numId w:val="7"/>
                            </w:numPr>
                          </w:pPr>
                          <w:r w:rsidRPr="00C10936">
                            <w:rPr>
                              <w:rFonts w:ascii="Times New Roman" w:hAnsi="Times New Roman" w:cs="Times New Roman"/>
                              <w:sz w:val="24"/>
                              <w:szCs w:val="24"/>
                            </w:rPr>
                            <w:t>Board Size</w:t>
                          </w:r>
                        </w:p>
                        <w:p w14:paraId="7D2EE414" w14:textId="77777777" w:rsidR="00B049BD" w:rsidRDefault="00B049BD" w:rsidP="00AD2204">
                          <w:pPr>
                            <w:numPr>
                              <w:ilvl w:val="0"/>
                              <w:numId w:val="7"/>
                            </w:numPr>
                          </w:pPr>
                          <w:r w:rsidRPr="00C10936">
                            <w:rPr>
                              <w:rFonts w:ascii="Times New Roman" w:hAnsi="Times New Roman" w:cs="Times New Roman"/>
                              <w:sz w:val="24"/>
                              <w:szCs w:val="24"/>
                            </w:rPr>
                            <w:t>Board Independence</w:t>
                          </w:r>
                        </w:p>
                        <w:p w14:paraId="0AF0DDA9" w14:textId="77777777" w:rsidR="00B049BD" w:rsidRPr="00510708" w:rsidRDefault="00B049BD" w:rsidP="00AD2204">
                          <w:pPr>
                            <w:numPr>
                              <w:ilvl w:val="0"/>
                              <w:numId w:val="7"/>
                            </w:numPr>
                          </w:pPr>
                          <w:r w:rsidRPr="00C10936">
                            <w:rPr>
                              <w:rFonts w:ascii="Times New Roman" w:hAnsi="Times New Roman" w:cs="Times New Roman"/>
                              <w:sz w:val="24"/>
                              <w:szCs w:val="24"/>
                            </w:rPr>
                            <w:t>Board Meetings</w:t>
                          </w:r>
                        </w:p>
                        <w:p w14:paraId="557462C0" w14:textId="77777777" w:rsidR="00B049BD" w:rsidRDefault="00B049BD" w:rsidP="00AD2204">
                          <w:pPr>
                            <w:numPr>
                              <w:ilvl w:val="0"/>
                              <w:numId w:val="7"/>
                            </w:numPr>
                          </w:pPr>
                          <w:r w:rsidRPr="00510708">
                            <w:rPr>
                              <w:rFonts w:ascii="Times New Roman" w:hAnsi="Times New Roman" w:cs="Times New Roman"/>
                              <w:sz w:val="24"/>
                              <w:szCs w:val="24"/>
                            </w:rPr>
                            <w:t>CEO Duality</w:t>
                          </w:r>
                        </w:p>
                        <w:p w14:paraId="6CFD4F17" w14:textId="77777777" w:rsidR="00B049BD" w:rsidRDefault="00B049BD" w:rsidP="00AD2204">
                          <w:pPr>
                            <w:jc w:val="center"/>
                          </w:pPr>
                        </w:p>
                      </w:txbxContent>
                    </v:textbox>
                  </v:roundrect>
                  <v:roundrect id="Rounded Rectangle 1751361514" o:spid="_x0000_s1030" style="position:absolute;left:40138;top:4190;width:14881;height:238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" fillcolor="white [3201]" strokecolor="black [3200]" strokeweight="2pt">
                    <v:textbox>
                      <w:txbxContent>
                        <w:p w14:paraId="67C4F620" w14:textId="77777777" w:rsidR="00B049BD" w:rsidRPr="00B5503E" w:rsidRDefault="00B049BD" w:rsidP="00AD2204">
                          <w:pPr>
                            <w:rPr>
                              <w:rFonts w:ascii="Times New Roman" w:hAnsi="Times New Roman" w:cs="Times New Roman"/>
                              <w:b/>
                              <w:sz w:val="24"/>
                              <w:szCs w:val="24"/>
                            </w:rPr>
                          </w:pPr>
                          <w:r w:rsidRPr="00B5503E">
                            <w:rPr>
                              <w:rFonts w:ascii="Times New Roman" w:hAnsi="Times New Roman" w:cs="Times New Roman"/>
                              <w:b/>
                              <w:sz w:val="24"/>
                              <w:szCs w:val="24"/>
                            </w:rPr>
                            <w:t>Financial Risk Management:</w:t>
                          </w:r>
                        </w:p>
                        <w:p w14:paraId="0A231D9E" w14:textId="77777777" w:rsidR="00B049BD" w:rsidRDefault="00B049BD" w:rsidP="00AD2204">
                          <w:pPr>
                            <w:numPr>
                              <w:ilvl w:val="0"/>
                              <w:numId w:val="6"/>
                            </w:numPr>
                          </w:pPr>
                          <w:r w:rsidRPr="00C10936">
                            <w:rPr>
                              <w:rFonts w:ascii="Times New Roman" w:hAnsi="Times New Roman" w:cs="Times New Roman"/>
                              <w:sz w:val="24"/>
                              <w:szCs w:val="24"/>
                            </w:rPr>
                            <w:t xml:space="preserve">Market Risk </w:t>
                          </w:r>
                        </w:p>
                        <w:p w14:paraId="0033F0C6" w14:textId="77777777" w:rsidR="00B049BD" w:rsidRDefault="00B049BD" w:rsidP="00AD2204">
                          <w:pPr>
                            <w:numPr>
                              <w:ilvl w:val="0"/>
                              <w:numId w:val="6"/>
                            </w:numPr>
                          </w:pPr>
                          <w:r w:rsidRPr="00C10936">
                            <w:rPr>
                              <w:rFonts w:ascii="Times New Roman" w:hAnsi="Times New Roman" w:cs="Times New Roman"/>
                              <w:sz w:val="24"/>
                              <w:szCs w:val="24"/>
                            </w:rPr>
                            <w:t xml:space="preserve">Liquidity Risk </w:t>
                          </w:r>
                        </w:p>
                        <w:p w14:paraId="63A87C26" w14:textId="77777777" w:rsidR="00B049BD" w:rsidRDefault="00B049BD" w:rsidP="00AD2204">
                          <w:pPr>
                            <w:numPr>
                              <w:ilvl w:val="0"/>
                              <w:numId w:val="6"/>
                            </w:numPr>
                          </w:pPr>
                          <w:r w:rsidRPr="00C10936">
                            <w:rPr>
                              <w:rFonts w:ascii="Times New Roman" w:hAnsi="Times New Roman" w:cs="Times New Roman"/>
                              <w:sz w:val="24"/>
                              <w:szCs w:val="24"/>
                            </w:rPr>
                            <w:t xml:space="preserve">Operational Risk </w:t>
                          </w:r>
                        </w:p>
                      </w:txbxContent>
                    </v:textbox>
                  </v:roundrect>
                  <v:roundrect id="Rounded Rectangle 2035322924" o:spid="_x0000_s1031" style="position:absolute;left:19859;top:17108;width:18014;height:155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" fillcolor="white [3201]" strokecolor="black [3200]" strokeweight="2pt">
                    <v:textbox>
                      <w:txbxContent>
                        <w:p w14:paraId="58F4AE04" w14:textId="77777777" w:rsidR="00B049BD" w:rsidRPr="00C10936" w:rsidRDefault="00B049BD" w:rsidP="00AD2204">
                          <w:pPr>
                            <w:rPr>
                              <w:rFonts w:ascii="Times New Roman" w:hAnsi="Times New Roman" w:cs="Times New Roman"/>
                              <w:b/>
                              <w:sz w:val="24"/>
                              <w:szCs w:val="24"/>
                            </w:rPr>
                          </w:pPr>
                          <w:r>
                            <w:rPr>
                              <w:rFonts w:ascii="Times New Roman" w:hAnsi="Times New Roman" w:cs="Times New Roman"/>
                              <w:b/>
                              <w:sz w:val="24"/>
                              <w:szCs w:val="24"/>
                            </w:rPr>
                            <w:t>Firm &amp; Industry Factors:</w:t>
                          </w:r>
                        </w:p>
                        <w:p w14:paraId="3DC4ABB1" w14:textId="77777777" w:rsidR="00B049BD" w:rsidRDefault="00B049BD" w:rsidP="00AD2204">
                          <w:pPr>
                            <w:numPr>
                              <w:ilvl w:val="0"/>
                              <w:numId w:val="8"/>
                            </w:numPr>
                          </w:pPr>
                          <w:r>
                            <w:rPr>
                              <w:rFonts w:ascii="Times New Roman" w:hAnsi="Times New Roman" w:cs="Times New Roman"/>
                              <w:sz w:val="24"/>
                              <w:szCs w:val="24"/>
                            </w:rPr>
                            <w:t xml:space="preserve">Firm Size </w:t>
                          </w:r>
                        </w:p>
                        <w:p w14:paraId="3CFB6FC8" w14:textId="77777777" w:rsidR="00B049BD" w:rsidRDefault="00B049BD" w:rsidP="00AD2204">
                          <w:pPr>
                            <w:numPr>
                              <w:ilvl w:val="0"/>
                              <w:numId w:val="8"/>
                            </w:numPr>
                          </w:pPr>
                          <w:r w:rsidRPr="00C10936">
                            <w:rPr>
                              <w:rFonts w:ascii="Times New Roman" w:hAnsi="Times New Roman" w:cs="Times New Roman"/>
                              <w:sz w:val="24"/>
                              <w:szCs w:val="24"/>
                            </w:rPr>
                            <w:t xml:space="preserve">Industry regulation </w:t>
                          </w:r>
                        </w:p>
                      </w:txbxContent>
                    </v:textbox>
                  </v:roundrect>
                  <v:roundrect id="Rounded Rectangle 1226171560" o:spid="_x0000_s1032" style="position:absolute;width:18141;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" fillcolor="white [3201]" strokecolor="white [3212]" strokeweight="2pt">
                    <v:textbox>
                      <w:txbxContent>
                        <w:p w14:paraId="25A2288E" w14:textId="77777777" w:rsidR="00B049BD" w:rsidRPr="00C10936" w:rsidRDefault="00B049BD" w:rsidP="00AD2204">
                          <w:pPr>
                            <w:rPr>
                              <w:rFonts w:ascii="Times New Roman" w:hAnsi="Times New Roman" w:cs="Times New Roman"/>
                              <w:b/>
                              <w:sz w:val="24"/>
                              <w:szCs w:val="24"/>
                            </w:rPr>
                          </w:pPr>
                          <w:r w:rsidRPr="00C10936">
                            <w:rPr>
                              <w:rFonts w:ascii="Times New Roman" w:hAnsi="Times New Roman" w:cs="Times New Roman"/>
                              <w:b/>
                              <w:sz w:val="24"/>
                              <w:szCs w:val="24"/>
                            </w:rPr>
                            <w:t>Independent Variable</w:t>
                          </w:r>
                        </w:p>
                      </w:txbxContent>
                    </v:textbox>
                  </v:roundrect>
                  <v:roundrect id="Rounded Rectangle 1247936191" o:spid="_x0000_s1033" style="position:absolute;left:39624;width:158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" fillcolor="white [3201]" strokecolor="white [3212]" strokeweight="2pt">
                    <v:textbox>
                      <w:txbxContent>
                        <w:p w14:paraId="21822072" w14:textId="77777777" w:rsidR="00B049BD" w:rsidRPr="00C10936" w:rsidRDefault="00B049BD" w:rsidP="00AD2204">
                          <w:pPr>
                            <w:rPr>
                              <w:rFonts w:ascii="Times New Roman" w:hAnsi="Times New Roman" w:cs="Times New Roman"/>
                              <w:b/>
                              <w:sz w:val="24"/>
                              <w:szCs w:val="24"/>
                            </w:rPr>
                          </w:pPr>
                          <w:r w:rsidRPr="00C10936">
                            <w:rPr>
                              <w:rFonts w:ascii="Times New Roman" w:hAnsi="Times New Roman" w:cs="Times New Roman"/>
                              <w:b/>
                              <w:sz w:val="24"/>
                              <w:szCs w:val="24"/>
                            </w:rPr>
                            <w:t>Dependent Variable</w:t>
                          </w:r>
                        </w:p>
                      </w:txbxContent>
                    </v:textbox>
                  </v:roundrect>
                  <v:shapetype id="_x0000_t32" coordsize="21600,21600" o:spt="32" o:oned="t" path="m,l21600,21600e" filled="f">
                    <v:path arrowok="t" fillok="f" o:connecttype="none"/>
                    <o:lock v:ext="edit" shapetype="t"/>
                  </v:shapetype>
                  <v:shape id="Straight Arrow Connector 1444191270" o:spid="_x0000_s1034" type="#_x0000_t32" style="position:absolute;left:15573;top:13239;width:247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" strokecolor="black [3040]" strokeweight="1pt">
                    <v:stroke endarrow="block"/>
                  </v:shape>
                  <v:shape id="Straight Arrow Connector 1668321168" o:spid="_x0000_s1035" type="#_x0000_t32" style="position:absolute;left:27717;top:13239;width:0;height:39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" strokecolor="black [3040]">
                    <v:stroke endarrow="block"/>
                  </v:shape>
                </v:group>
              </v:group>
            </w:pict>
          </mc:Fallback>
        </mc:AlternateContent>
      </w:r>
    </w:p>
    <w:p w14:paraId="2F75C60C" w14:textId="77777777" w:rsidR="00810699" w:rsidRPr="00B671B3" w:rsidRDefault="00810699" w:rsidP="00A042C4">
      <w:pPr>
        <w:spacing w:line="240" w:lineRule="auto"/>
        <w:rPr>
          <w:rFonts w:ascii="Arial" w:eastAsia="Times New Roman" w:hAnsi="Arial" w:cs="Arial"/>
        </w:rPr>
      </w:pPr>
    </w:p>
    <w:p w14:paraId="543B7B79" w14:textId="77777777" w:rsidR="00810699" w:rsidRPr="00B671B3" w:rsidRDefault="00810699" w:rsidP="00A042C4">
      <w:pPr>
        <w:spacing w:line="240" w:lineRule="auto"/>
        <w:rPr>
          <w:rFonts w:ascii="Arial" w:eastAsia="Times New Roman" w:hAnsi="Arial" w:cs="Arial"/>
        </w:rPr>
      </w:pPr>
    </w:p>
    <w:p w14:paraId="08FCA4E1" w14:textId="77777777" w:rsidR="00810699" w:rsidRPr="00B671B3" w:rsidRDefault="00810699" w:rsidP="00A042C4">
      <w:pPr>
        <w:spacing w:line="240" w:lineRule="auto"/>
        <w:rPr>
          <w:rFonts w:ascii="Arial" w:eastAsia="Times New Roman" w:hAnsi="Arial" w:cs="Arial"/>
        </w:rPr>
      </w:pPr>
    </w:p>
    <w:p w14:paraId="5F4E0FFF" w14:textId="77777777" w:rsidR="00810699" w:rsidRPr="00B671B3" w:rsidRDefault="00810699" w:rsidP="00A042C4">
      <w:pPr>
        <w:spacing w:line="240" w:lineRule="auto"/>
        <w:rPr>
          <w:rFonts w:ascii="Arial" w:eastAsia="Times New Roman" w:hAnsi="Arial" w:cs="Arial"/>
        </w:rPr>
      </w:pPr>
    </w:p>
    <w:p w14:paraId="50C895AF" w14:textId="77777777" w:rsidR="00810699" w:rsidRPr="00B671B3" w:rsidRDefault="00810699" w:rsidP="00A042C4">
      <w:pPr>
        <w:spacing w:line="240" w:lineRule="auto"/>
        <w:rPr>
          <w:rFonts w:ascii="Arial" w:eastAsia="Times New Roman" w:hAnsi="Arial" w:cs="Arial"/>
        </w:rPr>
      </w:pPr>
    </w:p>
    <w:p w14:paraId="3A233191" w14:textId="77777777" w:rsidR="00810699" w:rsidRPr="00B671B3" w:rsidRDefault="00810699" w:rsidP="00A042C4">
      <w:pPr>
        <w:spacing w:line="240" w:lineRule="auto"/>
        <w:rPr>
          <w:rFonts w:ascii="Arial" w:eastAsia="Times New Roman" w:hAnsi="Arial" w:cs="Arial"/>
        </w:rPr>
      </w:pPr>
    </w:p>
    <w:p w14:paraId="73315D17" w14:textId="77777777" w:rsidR="00810699" w:rsidRPr="00B671B3" w:rsidRDefault="00810699" w:rsidP="00A042C4">
      <w:pPr>
        <w:spacing w:line="240" w:lineRule="auto"/>
        <w:rPr>
          <w:rFonts w:ascii="Arial" w:eastAsia="Times New Roman" w:hAnsi="Arial" w:cs="Arial"/>
        </w:rPr>
      </w:pPr>
    </w:p>
    <w:p w14:paraId="47CD3E41" w14:textId="77777777" w:rsidR="00810699" w:rsidRPr="00B671B3" w:rsidRDefault="00810699" w:rsidP="00A042C4">
      <w:pPr>
        <w:spacing w:line="240" w:lineRule="auto"/>
        <w:rPr>
          <w:rFonts w:ascii="Arial" w:eastAsia="Times New Roman" w:hAnsi="Arial" w:cs="Arial"/>
        </w:rPr>
      </w:pPr>
    </w:p>
    <w:p w14:paraId="27DA2A0B" w14:textId="77777777" w:rsidR="00810699" w:rsidRPr="00B671B3" w:rsidRDefault="00810699" w:rsidP="00A042C4">
      <w:pPr>
        <w:spacing w:line="240" w:lineRule="auto"/>
        <w:rPr>
          <w:rFonts w:ascii="Arial" w:eastAsia="Times New Roman" w:hAnsi="Arial" w:cs="Arial"/>
        </w:rPr>
      </w:pPr>
    </w:p>
    <w:p w14:paraId="778BA715" w14:textId="77777777" w:rsidR="00810699" w:rsidRPr="00B671B3" w:rsidRDefault="00810699" w:rsidP="00A042C4">
      <w:pPr>
        <w:spacing w:line="240" w:lineRule="auto"/>
        <w:rPr>
          <w:rFonts w:ascii="Arial" w:eastAsia="Times New Roman" w:hAnsi="Arial" w:cs="Arial"/>
        </w:rPr>
      </w:pPr>
    </w:p>
    <w:p w14:paraId="4395CE95" w14:textId="77777777" w:rsidR="00810699" w:rsidRPr="00B671B3" w:rsidRDefault="00810699" w:rsidP="00A042C4">
      <w:pPr>
        <w:spacing w:line="240" w:lineRule="auto"/>
        <w:rPr>
          <w:rFonts w:ascii="Arial" w:eastAsia="Times New Roman" w:hAnsi="Arial" w:cs="Arial"/>
        </w:rPr>
      </w:pPr>
    </w:p>
    <w:p w14:paraId="65231101" w14:textId="77777777" w:rsidR="00810699" w:rsidRPr="00B671B3" w:rsidRDefault="00810699" w:rsidP="00A042C4">
      <w:pPr>
        <w:spacing w:line="240" w:lineRule="auto"/>
        <w:jc w:val="both"/>
        <w:rPr>
          <w:rFonts w:ascii="Arial" w:eastAsia="Times New Roman" w:hAnsi="Arial" w:cs="Arial"/>
        </w:rPr>
      </w:pPr>
    </w:p>
    <w:p w14:paraId="649526F3" w14:textId="77777777" w:rsidR="00A042C4" w:rsidRDefault="00A042C4" w:rsidP="00A042C4">
      <w:pPr>
        <w:pBdr>
          <w:top w:val="nil"/>
          <w:left w:val="nil"/>
          <w:bottom w:val="nil"/>
          <w:right w:val="nil"/>
          <w:between w:val="nil"/>
        </w:pBdr>
        <w:spacing w:after="200" w:line="240" w:lineRule="auto"/>
        <w:rPr>
          <w:rFonts w:ascii="Arial" w:eastAsia="Times New Roman" w:hAnsi="Arial" w:cs="Arial"/>
          <w:b/>
        </w:rPr>
      </w:pPr>
    </w:p>
    <w:p w14:paraId="0D503C44" w14:textId="49042440"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r w:rsidRPr="00B671B3">
        <w:rPr>
          <w:rFonts w:ascii="Arial" w:eastAsia="Times New Roman" w:hAnsi="Arial" w:cs="Arial"/>
          <w:b/>
        </w:rPr>
        <w:t>Figure 1 -Conceptual Framework</w:t>
      </w:r>
    </w:p>
    <w:p w14:paraId="04D5B660" w14:textId="1D6AD093" w:rsidR="00810699" w:rsidRPr="00A042C4" w:rsidRDefault="00701FD7" w:rsidP="00A042C4">
      <w:pPr>
        <w:spacing w:line="240" w:lineRule="auto"/>
        <w:rPr>
          <w:rFonts w:ascii="Arial" w:hAnsi="Arial" w:cs="Arial"/>
          <w:b/>
        </w:rPr>
      </w:pPr>
      <w:r w:rsidRPr="00B671B3">
        <w:rPr>
          <w:rFonts w:ascii="Arial" w:hAnsi="Arial" w:cs="Arial"/>
        </w:rPr>
        <w:br w:type="page"/>
      </w:r>
      <w:bookmarkStart w:id="19" w:name="_2p2csry" w:colFirst="0" w:colLast="0"/>
      <w:bookmarkStart w:id="20" w:name="_147n2zr" w:colFirst="0" w:colLast="0"/>
      <w:bookmarkEnd w:id="19"/>
      <w:bookmarkEnd w:id="20"/>
      <w:r w:rsidRPr="00A042C4">
        <w:rPr>
          <w:rFonts w:ascii="Arial" w:hAnsi="Arial" w:cs="Arial"/>
          <w:b/>
        </w:rPr>
        <w:lastRenderedPageBreak/>
        <w:t>METHODOLOGY</w:t>
      </w:r>
    </w:p>
    <w:p w14:paraId="179F7F7E" w14:textId="6B9BF857" w:rsidR="00810699" w:rsidRPr="00B671B3" w:rsidRDefault="00701FD7" w:rsidP="00A042C4">
      <w:pPr>
        <w:spacing w:line="240" w:lineRule="auto"/>
        <w:jc w:val="both"/>
        <w:rPr>
          <w:rFonts w:ascii="Arial" w:eastAsia="Times New Roman" w:hAnsi="Arial" w:cs="Arial"/>
        </w:rPr>
      </w:pPr>
      <w:bookmarkStart w:id="21" w:name="_3o7alnk" w:colFirst="0" w:colLast="0"/>
      <w:bookmarkStart w:id="22" w:name="_23ckvvd" w:colFirst="0" w:colLast="0"/>
      <w:bookmarkEnd w:id="21"/>
      <w:bookmarkEnd w:id="22"/>
      <w:r w:rsidRPr="00B671B3">
        <w:rPr>
          <w:rFonts w:ascii="Arial" w:eastAsia="Times New Roman" w:hAnsi="Arial" w:cs="Arial"/>
        </w:rPr>
        <w:t>The</w:t>
      </w:r>
      <w:r w:rsidR="00601778" w:rsidRPr="00B671B3">
        <w:rPr>
          <w:rFonts w:ascii="Arial" w:eastAsia="Times New Roman" w:hAnsi="Arial" w:cs="Arial"/>
        </w:rPr>
        <w:t xml:space="preserve"> Philosophy that underpin this study was Positivism</w:t>
      </w:r>
      <w:r w:rsidR="004E2B28" w:rsidRPr="00B671B3">
        <w:rPr>
          <w:rFonts w:ascii="Arial" w:eastAsia="Times New Roman" w:hAnsi="Arial" w:cs="Arial"/>
        </w:rPr>
        <w:t xml:space="preserve">, </w:t>
      </w:r>
      <w:r w:rsidRPr="00B671B3">
        <w:rPr>
          <w:rFonts w:ascii="Arial" w:eastAsia="Times New Roman" w:hAnsi="Arial" w:cs="Arial"/>
        </w:rPr>
        <w:t>which seeks to identify patterns and correlations between variables</w:t>
      </w:r>
      <w:r w:rsidR="004E2B28" w:rsidRPr="00B671B3">
        <w:rPr>
          <w:rFonts w:ascii="Arial" w:eastAsia="Times New Roman" w:hAnsi="Arial" w:cs="Arial"/>
        </w:rPr>
        <w:t>.</w:t>
      </w:r>
    </w:p>
    <w:p w14:paraId="6CB810A3" w14:textId="73F9E7F2"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This study employed a descriptive research design, characterized by a formalized and structured approach, with clear hypotheses and investigative questions. The primary goal was to answer the research questions and test the relationships between the dependent variable (Financial Risk Management) and independent variables (Corporate Governance) using hypotheses.</w:t>
      </w:r>
    </w:p>
    <w:p w14:paraId="4A138765" w14:textId="0F5E1743" w:rsidR="00810699" w:rsidRPr="00B671B3" w:rsidRDefault="00701FD7" w:rsidP="00A042C4">
      <w:pPr>
        <w:spacing w:line="240" w:lineRule="auto"/>
        <w:jc w:val="both"/>
        <w:rPr>
          <w:rFonts w:ascii="Arial" w:eastAsia="Times New Roman" w:hAnsi="Arial" w:cs="Arial"/>
        </w:rPr>
      </w:pPr>
      <w:bookmarkStart w:id="23" w:name="_32hioqz" w:colFirst="0" w:colLast="0"/>
      <w:bookmarkEnd w:id="23"/>
      <w:r w:rsidRPr="00B671B3">
        <w:rPr>
          <w:rFonts w:ascii="Arial" w:eastAsia="Times New Roman" w:hAnsi="Arial" w:cs="Arial"/>
        </w:rPr>
        <w:t xml:space="preserve">A quantitative research approach </w:t>
      </w:r>
      <w:r w:rsidR="008359C5" w:rsidRPr="00B671B3">
        <w:rPr>
          <w:rFonts w:ascii="Arial" w:eastAsia="Times New Roman" w:hAnsi="Arial" w:cs="Arial"/>
        </w:rPr>
        <w:t>was</w:t>
      </w:r>
      <w:r w:rsidRPr="00B671B3">
        <w:rPr>
          <w:rFonts w:ascii="Arial" w:eastAsia="Times New Roman" w:hAnsi="Arial" w:cs="Arial"/>
        </w:rPr>
        <w:t xml:space="preserve"> employed to assess the impact of corporate governance on financial risk management in Ghana's pension industry. </w:t>
      </w:r>
    </w:p>
    <w:p w14:paraId="3A66EDB7" w14:textId="65E17A4F" w:rsidR="00810699" w:rsidRPr="00B671B3" w:rsidRDefault="00701FD7" w:rsidP="00A042C4">
      <w:pPr>
        <w:spacing w:line="240" w:lineRule="auto"/>
        <w:jc w:val="both"/>
        <w:rPr>
          <w:rFonts w:ascii="Arial" w:eastAsia="Times New Roman" w:hAnsi="Arial" w:cs="Arial"/>
        </w:rPr>
      </w:pPr>
      <w:bookmarkStart w:id="24" w:name="_1hmsyys" w:colFirst="0" w:colLast="0"/>
      <w:bookmarkEnd w:id="24"/>
      <w:r w:rsidRPr="00B671B3">
        <w:rPr>
          <w:rFonts w:ascii="Arial" w:eastAsia="Times New Roman" w:hAnsi="Arial" w:cs="Arial"/>
        </w:rPr>
        <w:t xml:space="preserve">The target population for this study </w:t>
      </w:r>
      <w:r w:rsidR="008359C5" w:rsidRPr="00B671B3">
        <w:rPr>
          <w:rFonts w:ascii="Arial" w:eastAsia="Times New Roman" w:hAnsi="Arial" w:cs="Arial"/>
        </w:rPr>
        <w:t>were</w:t>
      </w:r>
      <w:r w:rsidRPr="00B671B3">
        <w:rPr>
          <w:rFonts w:ascii="Arial" w:eastAsia="Times New Roman" w:hAnsi="Arial" w:cs="Arial"/>
        </w:rPr>
        <w:t xml:space="preserve"> pension funds and their management teams, including pension fund managers, investment officers, risk managers, trustees, and investment committee members. </w:t>
      </w:r>
    </w:p>
    <w:p w14:paraId="1ACE4228" w14:textId="7CE81CEA"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w:t>
      </w:r>
      <w:r w:rsidR="004E2B28" w:rsidRPr="00B671B3">
        <w:rPr>
          <w:rFonts w:ascii="Arial" w:eastAsia="Times New Roman" w:hAnsi="Arial" w:cs="Arial"/>
        </w:rPr>
        <w:t>research</w:t>
      </w:r>
      <w:r w:rsidRPr="00B671B3">
        <w:rPr>
          <w:rFonts w:ascii="Arial" w:eastAsia="Times New Roman" w:hAnsi="Arial" w:cs="Arial"/>
        </w:rPr>
        <w:t xml:space="preserve"> employed a stratified sampling technique to select participants from both public and private employer-sponsored pension schemes in Ghana. This technique ensures that the sample is representative of the population, with equal proportions of public and private sector schemes (Bryman, 2016).</w:t>
      </w:r>
    </w:p>
    <w:p w14:paraId="75CCC46E"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population consists of 225 pension schemes in Ghana, comprising both public and private employer-sponsored schemes (Ghana Pension Regulatory Authority, 2020). To determine the sample size, the study used Cochran's Formula (Cochran, 1977) as follows:</w:t>
      </w:r>
    </w:p>
    <w:p w14:paraId="4B98B03D"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n = (Z^2 * p * (1-p) * N) / (E^2 * (N-1) + Z^2 * p * (1-p))</w:t>
      </w:r>
    </w:p>
    <w:p w14:paraId="3BADECCD"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Where n = sample size, Z = 1.96 (95% confidence level), p = 0.5 (estimated proportion of schemes with effective corporate governance), N = 225 (population size), and E = 0.05 (margin of error).</w:t>
      </w:r>
    </w:p>
    <w:p w14:paraId="1A6249BE"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computed sample size was 145 (n = 145).</w:t>
      </w:r>
    </w:p>
    <w:p w14:paraId="15C51C81" w14:textId="72ECD318" w:rsidR="00810699" w:rsidRPr="00B671B3" w:rsidRDefault="00701FD7" w:rsidP="00A042C4">
      <w:pPr>
        <w:spacing w:line="240" w:lineRule="auto"/>
        <w:jc w:val="both"/>
        <w:rPr>
          <w:rFonts w:ascii="Arial" w:eastAsia="Times New Roman" w:hAnsi="Arial" w:cs="Arial"/>
        </w:rPr>
      </w:pPr>
      <w:bookmarkStart w:id="25" w:name="_2grqrue" w:colFirst="0" w:colLast="0"/>
      <w:bookmarkEnd w:id="25"/>
      <w:r w:rsidRPr="00B671B3">
        <w:rPr>
          <w:rFonts w:ascii="Arial" w:eastAsia="Times New Roman" w:hAnsi="Arial" w:cs="Arial"/>
        </w:rPr>
        <w:t xml:space="preserve">The questionnaire employed a Likert-scale questions to capture quantitative data. The Likert-scale questions are designed to measure the respondents' perceptions and attitudes towards corporate governance and financial risk management practices. </w:t>
      </w:r>
    </w:p>
    <w:p w14:paraId="3AABE4A3" w14:textId="01E48909" w:rsidR="00810699" w:rsidRPr="00B671B3" w:rsidRDefault="00D36760" w:rsidP="00A042C4">
      <w:pPr>
        <w:spacing w:line="240" w:lineRule="auto"/>
        <w:jc w:val="both"/>
        <w:rPr>
          <w:rFonts w:ascii="Arial" w:eastAsia="Times New Roman" w:hAnsi="Arial" w:cs="Arial"/>
        </w:rPr>
      </w:pPr>
      <w:bookmarkStart w:id="26" w:name="_vx1227" w:colFirst="0" w:colLast="0"/>
      <w:bookmarkEnd w:id="26"/>
      <w:r w:rsidRPr="00B671B3">
        <w:rPr>
          <w:rFonts w:ascii="Arial" w:eastAsia="Times New Roman" w:hAnsi="Arial" w:cs="Arial"/>
        </w:rPr>
        <w:t>D</w:t>
      </w:r>
      <w:r w:rsidR="00701FD7" w:rsidRPr="00B671B3">
        <w:rPr>
          <w:rFonts w:ascii="Arial" w:eastAsia="Times New Roman" w:hAnsi="Arial" w:cs="Arial"/>
        </w:rPr>
        <w:t xml:space="preserve">escriptive statistics, inferential statistics, and regression analysis </w:t>
      </w:r>
      <w:r w:rsidRPr="00B671B3">
        <w:rPr>
          <w:rFonts w:ascii="Arial" w:eastAsia="Times New Roman" w:hAnsi="Arial" w:cs="Arial"/>
        </w:rPr>
        <w:t xml:space="preserve">were employed </w:t>
      </w:r>
      <w:r w:rsidR="00701FD7" w:rsidRPr="00B671B3">
        <w:rPr>
          <w:rFonts w:ascii="Arial" w:eastAsia="Times New Roman" w:hAnsi="Arial" w:cs="Arial"/>
        </w:rPr>
        <w:t>to examine the impact of corporate governance on financial risk management in Ghana's pension industry</w:t>
      </w:r>
      <w:r w:rsidRPr="00B671B3">
        <w:rPr>
          <w:rFonts w:ascii="Arial" w:eastAsia="Times New Roman" w:hAnsi="Arial" w:cs="Arial"/>
        </w:rPr>
        <w:t>.</w:t>
      </w:r>
    </w:p>
    <w:p w14:paraId="4CAE58BD" w14:textId="5A7470D8"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A correlation matrix was examined to show the interrelationships within the variables under study. This helped show any serial correlations. A multiple regression analysis was then carried out. ANOVA and F-test showed the fitness of the model used in the study. The coefficients showed how each of the variables influence performance. The results of significance </w:t>
      </w:r>
      <w:r w:rsidR="00D36760" w:rsidRPr="00B671B3">
        <w:rPr>
          <w:rFonts w:ascii="Arial" w:eastAsia="Times New Roman" w:hAnsi="Arial" w:cs="Arial"/>
        </w:rPr>
        <w:t>were</w:t>
      </w:r>
      <w:r w:rsidRPr="00B671B3">
        <w:rPr>
          <w:rFonts w:ascii="Arial" w:eastAsia="Times New Roman" w:hAnsi="Arial" w:cs="Arial"/>
        </w:rPr>
        <w:t xml:space="preserve"> interpreted at 5% level of significance. Both p-values and t-tests were interpreted.</w:t>
      </w:r>
    </w:p>
    <w:p w14:paraId="1BC2C09B" w14:textId="7FE939E2" w:rsidR="00C1179F" w:rsidRPr="00B671B3" w:rsidRDefault="00C1179F" w:rsidP="00A042C4">
      <w:pPr>
        <w:spacing w:line="240" w:lineRule="auto"/>
        <w:rPr>
          <w:rFonts w:ascii="Arial" w:eastAsia="Times New Roman" w:hAnsi="Arial" w:cs="Arial"/>
        </w:rPr>
      </w:pPr>
      <w:bookmarkStart w:id="27" w:name="_3fwokq0" w:colFirst="0" w:colLast="0"/>
      <w:bookmarkEnd w:id="27"/>
      <w:r w:rsidRPr="00B671B3">
        <w:rPr>
          <w:rFonts w:ascii="Arial" w:eastAsia="Times New Roman" w:hAnsi="Arial" w:cs="Arial"/>
        </w:rPr>
        <w:t xml:space="preserve">The Empirical model specification for the study is given as follows </w:t>
      </w:r>
    </w:p>
    <w:p w14:paraId="296F7490"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FRM = β</w:t>
      </w:r>
      <w:r w:rsidRPr="00B671B3">
        <w:rPr>
          <w:rFonts w:ascii="Arial" w:eastAsia="Times New Roman" w:hAnsi="Arial" w:cs="Arial"/>
          <w:vertAlign w:val="subscript"/>
        </w:rPr>
        <w:t>0</w:t>
      </w:r>
      <w:r w:rsidRPr="00B671B3">
        <w:rPr>
          <w:rFonts w:ascii="Arial" w:eastAsia="Times New Roman" w:hAnsi="Arial" w:cs="Arial"/>
        </w:rPr>
        <w:t xml:space="preserve"> + β</w:t>
      </w:r>
      <w:r w:rsidRPr="00B671B3">
        <w:rPr>
          <w:rFonts w:ascii="Arial" w:eastAsia="Times New Roman" w:hAnsi="Arial" w:cs="Arial"/>
          <w:vertAlign w:val="subscript"/>
        </w:rPr>
        <w:t>1</w:t>
      </w:r>
      <w:r w:rsidRPr="00B671B3">
        <w:rPr>
          <w:rFonts w:ascii="Arial" w:eastAsia="Times New Roman" w:hAnsi="Arial" w:cs="Arial"/>
        </w:rPr>
        <w:t>BS + β</w:t>
      </w:r>
      <w:r w:rsidRPr="00B671B3">
        <w:rPr>
          <w:rFonts w:ascii="Arial" w:eastAsia="Times New Roman" w:hAnsi="Arial" w:cs="Arial"/>
          <w:vertAlign w:val="subscript"/>
        </w:rPr>
        <w:t>2</w:t>
      </w:r>
      <w:r w:rsidRPr="00B671B3">
        <w:rPr>
          <w:rFonts w:ascii="Arial" w:eastAsia="Times New Roman" w:hAnsi="Arial" w:cs="Arial"/>
        </w:rPr>
        <w:t>BI + β</w:t>
      </w:r>
      <w:r w:rsidRPr="00B671B3">
        <w:rPr>
          <w:rFonts w:ascii="Arial" w:eastAsia="Times New Roman" w:hAnsi="Arial" w:cs="Arial"/>
          <w:vertAlign w:val="subscript"/>
        </w:rPr>
        <w:t>3</w:t>
      </w:r>
      <w:r w:rsidRPr="00B671B3">
        <w:rPr>
          <w:rFonts w:ascii="Arial" w:eastAsia="Times New Roman" w:hAnsi="Arial" w:cs="Arial"/>
        </w:rPr>
        <w:t>BM + β</w:t>
      </w:r>
      <w:r w:rsidRPr="00B671B3">
        <w:rPr>
          <w:rFonts w:ascii="Arial" w:eastAsia="Times New Roman" w:hAnsi="Arial" w:cs="Arial"/>
          <w:vertAlign w:val="subscript"/>
        </w:rPr>
        <w:t>4</w:t>
      </w:r>
      <w:r w:rsidRPr="00B671B3">
        <w:rPr>
          <w:rFonts w:ascii="Arial" w:eastAsia="Times New Roman" w:hAnsi="Arial" w:cs="Arial"/>
        </w:rPr>
        <w:t>CD + β</w:t>
      </w:r>
      <w:r w:rsidRPr="00B671B3">
        <w:rPr>
          <w:rFonts w:ascii="Arial" w:eastAsia="Times New Roman" w:hAnsi="Arial" w:cs="Arial"/>
          <w:vertAlign w:val="subscript"/>
        </w:rPr>
        <w:t>5</w:t>
      </w:r>
      <w:r w:rsidRPr="00B671B3">
        <w:rPr>
          <w:rFonts w:ascii="Arial" w:eastAsia="Times New Roman" w:hAnsi="Arial" w:cs="Arial"/>
        </w:rPr>
        <w:t>FS + β</w:t>
      </w:r>
      <w:r w:rsidRPr="00B671B3">
        <w:rPr>
          <w:rFonts w:ascii="Arial" w:eastAsia="Times New Roman" w:hAnsi="Arial" w:cs="Arial"/>
          <w:vertAlign w:val="subscript"/>
        </w:rPr>
        <w:t>6</w:t>
      </w:r>
      <w:r w:rsidRPr="00B671B3">
        <w:rPr>
          <w:rFonts w:ascii="Arial" w:eastAsia="Times New Roman" w:hAnsi="Arial" w:cs="Arial"/>
        </w:rPr>
        <w:t>IR + ε</w:t>
      </w:r>
    </w:p>
    <w:p w14:paraId="33D777B4"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Where:</w:t>
      </w:r>
    </w:p>
    <w:p w14:paraId="6C18017D"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FRM = Financial Risk Management (dependent variable)</w:t>
      </w:r>
    </w:p>
    <w:p w14:paraId="6FFE1517"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BS = Board Size (independent variable)</w:t>
      </w:r>
    </w:p>
    <w:p w14:paraId="017BF6CA"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BI = Board Independence (independent variable)</w:t>
      </w:r>
    </w:p>
    <w:p w14:paraId="0BB7585C"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BM = Board Meetings (independent variable)</w:t>
      </w:r>
    </w:p>
    <w:p w14:paraId="13C58503"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CD = CEO Duality (independent variable)</w:t>
      </w:r>
    </w:p>
    <w:p w14:paraId="1B8C7CED"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lastRenderedPageBreak/>
        <w:t>FS = Firm Size (moderating variable)</w:t>
      </w:r>
    </w:p>
    <w:p w14:paraId="77A14E19"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IR = Industry Regulation (moderating variable)</w:t>
      </w:r>
    </w:p>
    <w:p w14:paraId="023E0DE8"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β0 = intercept</w:t>
      </w:r>
    </w:p>
    <w:p w14:paraId="21A83FE5" w14:textId="77777777" w:rsidR="00810699" w:rsidRPr="00B671B3" w:rsidRDefault="00701FD7" w:rsidP="00A042C4">
      <w:pPr>
        <w:numPr>
          <w:ilvl w:val="0"/>
          <w:numId w:val="3"/>
        </w:numPr>
        <w:pBdr>
          <w:top w:val="nil"/>
          <w:left w:val="nil"/>
          <w:bottom w:val="nil"/>
          <w:right w:val="nil"/>
          <w:between w:val="nil"/>
        </w:pBdr>
        <w:spacing w:after="0" w:line="240" w:lineRule="auto"/>
        <w:jc w:val="both"/>
        <w:rPr>
          <w:rFonts w:ascii="Arial" w:hAnsi="Arial" w:cs="Arial"/>
        </w:rPr>
      </w:pPr>
      <w:r w:rsidRPr="00B671B3">
        <w:rPr>
          <w:rFonts w:ascii="Arial" w:eastAsia="Times New Roman" w:hAnsi="Arial" w:cs="Arial"/>
        </w:rPr>
        <w:t>β1-β9 = regression coefficients</w:t>
      </w:r>
    </w:p>
    <w:p w14:paraId="67A70D08" w14:textId="6CEACB03" w:rsidR="00AF5468" w:rsidRPr="00B671B3" w:rsidRDefault="00701FD7" w:rsidP="00A042C4">
      <w:pPr>
        <w:numPr>
          <w:ilvl w:val="0"/>
          <w:numId w:val="3"/>
        </w:numPr>
        <w:pBdr>
          <w:top w:val="nil"/>
          <w:left w:val="nil"/>
          <w:bottom w:val="nil"/>
          <w:right w:val="nil"/>
          <w:between w:val="nil"/>
        </w:pBdr>
        <w:spacing w:line="240" w:lineRule="auto"/>
        <w:jc w:val="both"/>
        <w:rPr>
          <w:rFonts w:ascii="Arial" w:hAnsi="Arial" w:cs="Arial"/>
        </w:rPr>
      </w:pPr>
      <w:r w:rsidRPr="00B671B3">
        <w:rPr>
          <w:rFonts w:ascii="Arial" w:eastAsia="Times New Roman" w:hAnsi="Arial" w:cs="Arial"/>
        </w:rPr>
        <w:t>ε = error term</w:t>
      </w:r>
    </w:p>
    <w:p w14:paraId="2082F4E6" w14:textId="77777777" w:rsidR="00810699" w:rsidRPr="00B671B3" w:rsidRDefault="00701FD7" w:rsidP="00A042C4">
      <w:pPr>
        <w:pStyle w:val="Heading2"/>
        <w:spacing w:line="240" w:lineRule="auto"/>
        <w:rPr>
          <w:rFonts w:ascii="Arial" w:hAnsi="Arial" w:cs="Arial"/>
          <w:color w:val="auto"/>
          <w:sz w:val="22"/>
          <w:szCs w:val="22"/>
        </w:rPr>
      </w:pPr>
      <w:bookmarkStart w:id="28" w:name="_1v1yuxt" w:colFirst="0" w:colLast="0"/>
      <w:bookmarkStart w:id="29" w:name="_4f1mdlm" w:colFirst="0" w:colLast="0"/>
      <w:bookmarkStart w:id="30" w:name="_2u6wntf" w:colFirst="0" w:colLast="0"/>
      <w:bookmarkStart w:id="31" w:name="_19c6y18" w:colFirst="0" w:colLast="0"/>
      <w:bookmarkEnd w:id="28"/>
      <w:bookmarkEnd w:id="29"/>
      <w:bookmarkEnd w:id="30"/>
      <w:bookmarkEnd w:id="31"/>
      <w:r w:rsidRPr="00B671B3">
        <w:rPr>
          <w:rFonts w:ascii="Arial" w:hAnsi="Arial" w:cs="Arial"/>
          <w:color w:val="auto"/>
          <w:sz w:val="22"/>
          <w:szCs w:val="22"/>
        </w:rPr>
        <w:t>RESULTS AND DISCUSSIONS</w:t>
      </w:r>
    </w:p>
    <w:p w14:paraId="073D1803" w14:textId="77777777" w:rsidR="00810699" w:rsidRPr="00B671B3" w:rsidRDefault="00701FD7" w:rsidP="00A042C4">
      <w:pPr>
        <w:pStyle w:val="Heading3"/>
        <w:spacing w:line="240" w:lineRule="auto"/>
        <w:rPr>
          <w:rFonts w:ascii="Arial" w:hAnsi="Arial" w:cs="Arial"/>
          <w:color w:val="auto"/>
          <w:sz w:val="22"/>
          <w:szCs w:val="22"/>
        </w:rPr>
      </w:pPr>
      <w:bookmarkStart w:id="32" w:name="_3tbugp1" w:colFirst="0" w:colLast="0"/>
      <w:bookmarkStart w:id="33" w:name="_28h4qwu" w:colFirst="0" w:colLast="0"/>
      <w:bookmarkStart w:id="34" w:name="_nmf14n" w:colFirst="0" w:colLast="0"/>
      <w:bookmarkEnd w:id="32"/>
      <w:bookmarkEnd w:id="33"/>
      <w:bookmarkEnd w:id="34"/>
      <w:r w:rsidRPr="00B671B3">
        <w:rPr>
          <w:rFonts w:ascii="Arial" w:hAnsi="Arial" w:cs="Arial"/>
          <w:color w:val="auto"/>
          <w:sz w:val="22"/>
          <w:szCs w:val="22"/>
        </w:rPr>
        <w:t xml:space="preserve">4.2 Descriptive Statistics </w:t>
      </w:r>
    </w:p>
    <w:p w14:paraId="4DCED1C1" w14:textId="407F4296"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data as shown in Table </w:t>
      </w:r>
      <w:r w:rsidR="002B4C2B">
        <w:rPr>
          <w:rFonts w:ascii="Arial" w:eastAsia="Times New Roman" w:hAnsi="Arial" w:cs="Arial"/>
        </w:rPr>
        <w:t>1</w:t>
      </w:r>
      <w:r w:rsidRPr="00B671B3">
        <w:rPr>
          <w:rFonts w:ascii="Arial" w:eastAsia="Times New Roman" w:hAnsi="Arial" w:cs="Arial"/>
        </w:rPr>
        <w:t xml:space="preserve"> includes responses from 145 participants on various aspects of corporate governance, including board size, board independence, board meetings, CEO duality, firm size, and industry regulation.</w:t>
      </w:r>
    </w:p>
    <w:p w14:paraId="61B89E6B"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By examining the descriptive statistics, we can gain a better understanding of the characteristics of the respondents and the organizations they represent, and identify potential areas for further investigation. This analysis will also help to ensure that the data is reliable and valid, and that the results are generalizable to the broader population of public and private employer-sponsored pension schemes in Ghana.</w:t>
      </w:r>
    </w:p>
    <w:p w14:paraId="02A249C3"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Board Size</w:t>
      </w:r>
    </w:p>
    <w:p w14:paraId="26F47DFB" w14:textId="0999153D"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According to Table </w:t>
      </w:r>
      <w:r w:rsidR="002B4C2B">
        <w:rPr>
          <w:rFonts w:ascii="Arial" w:eastAsia="Times New Roman" w:hAnsi="Arial" w:cs="Arial"/>
        </w:rPr>
        <w:t>1</w:t>
      </w:r>
      <w:r w:rsidRPr="00B671B3">
        <w:rPr>
          <w:rFonts w:ascii="Arial" w:eastAsia="Times New Roman" w:hAnsi="Arial" w:cs="Arial"/>
        </w:rPr>
        <w:t>, the board size ranges from a minimum of 1 to a maximum of 5, with a mean of 4.29 and a standard deviation of 0.73. The skewness value of -1.404 indicates that the data is slightly skewed to the left, while the kurtosis value of 3.638 indicates that the data is platykurtic (Bryman, 2016). The standard error of 0.248 suggests that the mean is a reliable estimate of the population mean.</w:t>
      </w:r>
    </w:p>
    <w:p w14:paraId="0C91CC3F"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Board Independence</w:t>
      </w:r>
    </w:p>
    <w:p w14:paraId="505550FF" w14:textId="67D0A0F9" w:rsidR="00810699"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Table </w:t>
      </w:r>
      <w:r w:rsidR="002B4C2B">
        <w:rPr>
          <w:rFonts w:ascii="Arial" w:eastAsia="Times New Roman" w:hAnsi="Arial" w:cs="Arial"/>
        </w:rPr>
        <w:t>1</w:t>
      </w:r>
      <w:r w:rsidRPr="00B671B3">
        <w:rPr>
          <w:rFonts w:ascii="Arial" w:eastAsia="Times New Roman" w:hAnsi="Arial" w:cs="Arial"/>
        </w:rPr>
        <w:t xml:space="preserve"> show that the board independence scores range from 1 to 5, with a mean of 4.35 and a standard deviation of 0.80. The skewness value of -1.706 indicates that the data is slightly skewed to the left, while the kurtosis value of 4.011 indicates that the data is leptokurtic (</w:t>
      </w:r>
      <w:proofErr w:type="spellStart"/>
      <w:r w:rsidRPr="00B671B3">
        <w:rPr>
          <w:rFonts w:ascii="Arial" w:eastAsia="Times New Roman" w:hAnsi="Arial" w:cs="Arial"/>
        </w:rPr>
        <w:t>Gravetter</w:t>
      </w:r>
      <w:proofErr w:type="spellEnd"/>
      <w:r w:rsidRPr="00B671B3">
        <w:rPr>
          <w:rFonts w:ascii="Arial" w:eastAsia="Times New Roman" w:hAnsi="Arial" w:cs="Arial"/>
        </w:rPr>
        <w:t xml:space="preserve"> &amp; </w:t>
      </w:r>
      <w:proofErr w:type="spellStart"/>
      <w:r w:rsidRPr="00B671B3">
        <w:rPr>
          <w:rFonts w:ascii="Arial" w:eastAsia="Times New Roman" w:hAnsi="Arial" w:cs="Arial"/>
        </w:rPr>
        <w:t>Forzano</w:t>
      </w:r>
      <w:proofErr w:type="spellEnd"/>
      <w:r w:rsidRPr="00B671B3">
        <w:rPr>
          <w:rFonts w:ascii="Arial" w:eastAsia="Times New Roman" w:hAnsi="Arial" w:cs="Arial"/>
        </w:rPr>
        <w:t>, 2015). The standard error of 0.248 suggests that the mean is a reliable estimate of the population mean.</w:t>
      </w:r>
    </w:p>
    <w:p w14:paraId="43178870" w14:textId="77777777" w:rsidR="00A042C4" w:rsidRPr="00B671B3" w:rsidRDefault="00A042C4" w:rsidP="00A042C4">
      <w:pPr>
        <w:spacing w:line="240" w:lineRule="auto"/>
        <w:jc w:val="both"/>
        <w:rPr>
          <w:rFonts w:ascii="Arial" w:eastAsia="Times New Roman" w:hAnsi="Arial" w:cs="Arial"/>
        </w:rPr>
      </w:pPr>
    </w:p>
    <w:p w14:paraId="741124BE"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Board Meetings</w:t>
      </w:r>
    </w:p>
    <w:p w14:paraId="50BB929F" w14:textId="59977EF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It is shown in Table </w:t>
      </w:r>
      <w:r w:rsidR="002B4C2B">
        <w:rPr>
          <w:rFonts w:ascii="Arial" w:eastAsia="Times New Roman" w:hAnsi="Arial" w:cs="Arial"/>
        </w:rPr>
        <w:t>1</w:t>
      </w:r>
      <w:r w:rsidRPr="00B671B3">
        <w:rPr>
          <w:rFonts w:ascii="Arial" w:eastAsia="Times New Roman" w:hAnsi="Arial" w:cs="Arial"/>
        </w:rPr>
        <w:t xml:space="preserve"> that the board meeting scores range from 1 to 5, with a mean of 4.35 and a standard deviation of 0.75. The skewness value of -1.496 indicates that the data is slightly skewed to the left, while the kurtosis value of 3.437 indicates that the data is platykurtic (Bryman, 2016). The standard error of 0.249 suggests that the mean is a reliable estimate of the population mean.</w:t>
      </w:r>
    </w:p>
    <w:p w14:paraId="46F4B281"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CEO Duality</w:t>
      </w:r>
    </w:p>
    <w:p w14:paraId="3470E96A" w14:textId="1994F535"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results in Table </w:t>
      </w:r>
      <w:r w:rsidR="002B4C2B">
        <w:rPr>
          <w:rFonts w:ascii="Arial" w:eastAsia="Times New Roman" w:hAnsi="Arial" w:cs="Arial"/>
        </w:rPr>
        <w:t>1</w:t>
      </w:r>
      <w:r w:rsidRPr="00B671B3">
        <w:rPr>
          <w:rFonts w:ascii="Arial" w:eastAsia="Times New Roman" w:hAnsi="Arial" w:cs="Arial"/>
        </w:rPr>
        <w:t xml:space="preserve"> indicate CEO duality scores range from 1 to 5, with a mean of 4.32 and a standard deviation of 0.77. The skewness value of -1.579 indicates that the data is slightly skewed to the left, while the kurtosis value of 3.801 indicates that the data is platykurtic (Bryman, 2016). The standard error of 0.248 suggests that the mean is a reliable estimate of the population mean.</w:t>
      </w:r>
    </w:p>
    <w:p w14:paraId="6AB74638"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Firm Size</w:t>
      </w:r>
    </w:p>
    <w:p w14:paraId="140DD3D3" w14:textId="5DFDAFC6"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lastRenderedPageBreak/>
        <w:t xml:space="preserve">According to the results in Table </w:t>
      </w:r>
      <w:r w:rsidR="002B4C2B">
        <w:rPr>
          <w:rFonts w:ascii="Arial" w:eastAsia="Times New Roman" w:hAnsi="Arial" w:cs="Arial"/>
        </w:rPr>
        <w:t>1</w:t>
      </w:r>
      <w:r w:rsidRPr="00B671B3">
        <w:rPr>
          <w:rFonts w:ascii="Arial" w:eastAsia="Times New Roman" w:hAnsi="Arial" w:cs="Arial"/>
        </w:rPr>
        <w:t>, the firm size scores range from 1 to 5, with a mean of 4.27 and a standard deviation of 0.80. The skewness value of -1.740 indicates that the data is slightly skewed to the left, while the kurtosis value of 4.644 indicates that the data is leptokurtic (</w:t>
      </w:r>
      <w:proofErr w:type="spellStart"/>
      <w:r w:rsidRPr="00B671B3">
        <w:rPr>
          <w:rFonts w:ascii="Arial" w:eastAsia="Times New Roman" w:hAnsi="Arial" w:cs="Arial"/>
        </w:rPr>
        <w:t>Gravetter</w:t>
      </w:r>
      <w:proofErr w:type="spellEnd"/>
      <w:r w:rsidRPr="00B671B3">
        <w:rPr>
          <w:rFonts w:ascii="Arial" w:eastAsia="Times New Roman" w:hAnsi="Arial" w:cs="Arial"/>
        </w:rPr>
        <w:t xml:space="preserve"> &amp; </w:t>
      </w:r>
      <w:proofErr w:type="spellStart"/>
      <w:r w:rsidRPr="00B671B3">
        <w:rPr>
          <w:rFonts w:ascii="Arial" w:eastAsia="Times New Roman" w:hAnsi="Arial" w:cs="Arial"/>
        </w:rPr>
        <w:t>Forzano</w:t>
      </w:r>
      <w:proofErr w:type="spellEnd"/>
      <w:r w:rsidRPr="00B671B3">
        <w:rPr>
          <w:rFonts w:ascii="Arial" w:eastAsia="Times New Roman" w:hAnsi="Arial" w:cs="Arial"/>
        </w:rPr>
        <w:t>, 2015). The standard error of 0.248 suggests that the mean is a reliable estimate of the population mean.</w:t>
      </w:r>
    </w:p>
    <w:p w14:paraId="7183F454"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Industry Regulation</w:t>
      </w:r>
    </w:p>
    <w:p w14:paraId="6E4140EF" w14:textId="72D2CE2F"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Per the results as in Table </w:t>
      </w:r>
      <w:r w:rsidR="002B4C2B">
        <w:rPr>
          <w:rFonts w:ascii="Arial" w:eastAsia="Times New Roman" w:hAnsi="Arial" w:cs="Arial"/>
        </w:rPr>
        <w:t>1</w:t>
      </w:r>
      <w:r w:rsidRPr="00B671B3">
        <w:rPr>
          <w:rFonts w:ascii="Arial" w:eastAsia="Times New Roman" w:hAnsi="Arial" w:cs="Arial"/>
        </w:rPr>
        <w:t>, the industry regulation scores range from 1 to 5, with a mean of 4.26 and a standard deviation of 0.79. The skewness value of -1.637 indicates that the data is slightly skewed to the left, while the kurtosis value of 4.188 indicates that the data is leptokurtic (</w:t>
      </w:r>
      <w:proofErr w:type="spellStart"/>
      <w:r w:rsidRPr="00B671B3">
        <w:rPr>
          <w:rFonts w:ascii="Arial" w:eastAsia="Times New Roman" w:hAnsi="Arial" w:cs="Arial"/>
        </w:rPr>
        <w:t>Gravetter</w:t>
      </w:r>
      <w:proofErr w:type="spellEnd"/>
      <w:r w:rsidRPr="00B671B3">
        <w:rPr>
          <w:rFonts w:ascii="Arial" w:eastAsia="Times New Roman" w:hAnsi="Arial" w:cs="Arial"/>
        </w:rPr>
        <w:t xml:space="preserve"> &amp; </w:t>
      </w:r>
      <w:proofErr w:type="spellStart"/>
      <w:r w:rsidRPr="00B671B3">
        <w:rPr>
          <w:rFonts w:ascii="Arial" w:eastAsia="Times New Roman" w:hAnsi="Arial" w:cs="Arial"/>
        </w:rPr>
        <w:t>Forzano</w:t>
      </w:r>
      <w:proofErr w:type="spellEnd"/>
      <w:r w:rsidRPr="00B671B3">
        <w:rPr>
          <w:rFonts w:ascii="Arial" w:eastAsia="Times New Roman" w:hAnsi="Arial" w:cs="Arial"/>
        </w:rPr>
        <w:t>, 2015). The standard error of 0.248 suggests that the mean is a reliable estimate of the population mean.</w:t>
      </w:r>
    </w:p>
    <w:p w14:paraId="58650BC8"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Valid N (listwise)</w:t>
      </w:r>
    </w:p>
    <w:p w14:paraId="3781D458"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valid N (listwise) indicates that all 145 respondents completed all the questions, suggesting a high response rate and a reliable dataset.</w:t>
      </w:r>
    </w:p>
    <w:p w14:paraId="0ABC01E6" w14:textId="77777777" w:rsidR="00810699" w:rsidRPr="00B671B3" w:rsidRDefault="00810699" w:rsidP="00A042C4">
      <w:pPr>
        <w:spacing w:line="240" w:lineRule="auto"/>
        <w:rPr>
          <w:rFonts w:ascii="Arial" w:eastAsia="Times New Roman" w:hAnsi="Arial" w:cs="Arial"/>
        </w:rPr>
      </w:pPr>
    </w:p>
    <w:p w14:paraId="69A1846F" w14:textId="77777777" w:rsidR="00810699" w:rsidRPr="00B671B3" w:rsidRDefault="00701FD7" w:rsidP="00A042C4">
      <w:pPr>
        <w:spacing w:line="240" w:lineRule="auto"/>
        <w:rPr>
          <w:rFonts w:ascii="Arial" w:eastAsia="Times New Roman" w:hAnsi="Arial" w:cs="Arial"/>
          <w:b/>
        </w:rPr>
        <w:sectPr w:rsidR="00810699" w:rsidRPr="00B671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1"/>
          <w:cols w:space="720"/>
        </w:sectPr>
      </w:pPr>
      <w:r w:rsidRPr="00B671B3">
        <w:rPr>
          <w:rFonts w:ascii="Arial" w:hAnsi="Arial" w:cs="Arial"/>
        </w:rPr>
        <w:br w:type="page"/>
      </w:r>
    </w:p>
    <w:p w14:paraId="746272C8" w14:textId="654AE1BE"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bookmarkStart w:id="35" w:name="_2r0uhxc" w:colFirst="0" w:colLast="0"/>
      <w:bookmarkEnd w:id="35"/>
      <w:r w:rsidRPr="00B671B3">
        <w:rPr>
          <w:rFonts w:ascii="Arial" w:eastAsia="Times New Roman" w:hAnsi="Arial" w:cs="Arial"/>
          <w:b/>
        </w:rPr>
        <w:lastRenderedPageBreak/>
        <w:t xml:space="preserve">Table </w:t>
      </w:r>
      <w:r w:rsidR="002B4C2B">
        <w:rPr>
          <w:rFonts w:ascii="Arial" w:eastAsia="Times New Roman" w:hAnsi="Arial" w:cs="Arial"/>
          <w:b/>
        </w:rPr>
        <w:t>1</w:t>
      </w:r>
      <w:r w:rsidRPr="00B671B3">
        <w:rPr>
          <w:rFonts w:ascii="Arial" w:eastAsia="Times New Roman" w:hAnsi="Arial" w:cs="Arial"/>
          <w:b/>
        </w:rPr>
        <w:t xml:space="preserve"> - Descriptive Statistics</w:t>
      </w:r>
    </w:p>
    <w:tbl>
      <w:tblPr>
        <w:tblStyle w:val="a0"/>
        <w:tblW w:w="12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6"/>
        <w:gridCol w:w="1060"/>
        <w:gridCol w:w="1135"/>
        <w:gridCol w:w="1114"/>
        <w:gridCol w:w="1193"/>
        <w:gridCol w:w="1360"/>
        <w:gridCol w:w="1062"/>
        <w:gridCol w:w="1314"/>
        <w:gridCol w:w="1098"/>
        <w:gridCol w:w="877"/>
        <w:gridCol w:w="241"/>
      </w:tblGrid>
      <w:tr w:rsidR="00810699" w:rsidRPr="00B671B3" w14:paraId="35ADADCF"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5"/>
        </w:trPr>
        <w:tc>
          <w:tcPr>
            <w:cnfStyle w:val="000010000000" w:firstRow="0" w:lastRow="0" w:firstColumn="0" w:lastColumn="0" w:oddVBand="1" w:evenVBand="0" w:oddHBand="0" w:evenHBand="0" w:firstRowFirstColumn="0" w:firstRowLastColumn="0" w:lastRowFirstColumn="0" w:lastRowLastColumn="0"/>
            <w:tcW w:w="1756" w:type="dxa"/>
            <w:vMerge w:val="restart"/>
            <w:shd w:val="clear" w:color="auto" w:fill="auto"/>
          </w:tcPr>
          <w:p w14:paraId="7FDA6866" w14:textId="77777777" w:rsidR="00810699" w:rsidRPr="00B671B3" w:rsidRDefault="00810699" w:rsidP="00A042C4">
            <w:pPr>
              <w:rPr>
                <w:rFonts w:ascii="Arial" w:eastAsia="Times New Roman" w:hAnsi="Arial" w:cs="Arial"/>
                <w:color w:val="auto"/>
              </w:rPr>
            </w:pPr>
          </w:p>
        </w:tc>
        <w:tc>
          <w:tcPr>
            <w:tcW w:w="1060" w:type="dxa"/>
            <w:shd w:val="clear" w:color="auto" w:fill="auto"/>
          </w:tcPr>
          <w:p w14:paraId="78E41A18"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61CA1376"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Min.</w:t>
            </w:r>
          </w:p>
        </w:tc>
        <w:tc>
          <w:tcPr>
            <w:tcW w:w="1114" w:type="dxa"/>
            <w:shd w:val="clear" w:color="auto" w:fill="auto"/>
          </w:tcPr>
          <w:p w14:paraId="205982BE"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Max.</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4F96394"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Mean</w:t>
            </w:r>
          </w:p>
        </w:tc>
        <w:tc>
          <w:tcPr>
            <w:tcW w:w="1360" w:type="dxa"/>
            <w:shd w:val="clear" w:color="auto" w:fill="auto"/>
          </w:tcPr>
          <w:p w14:paraId="0E6DF338"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Std. Deviation</w:t>
            </w:r>
          </w:p>
        </w:tc>
        <w:tc>
          <w:tcPr>
            <w:cnfStyle w:val="000010000000" w:firstRow="0" w:lastRow="0" w:firstColumn="0" w:lastColumn="0" w:oddVBand="1" w:evenVBand="0" w:oddHBand="0" w:evenHBand="0" w:firstRowFirstColumn="0" w:firstRowLastColumn="0" w:lastRowFirstColumn="0" w:lastRowLastColumn="0"/>
            <w:tcW w:w="2376" w:type="dxa"/>
            <w:gridSpan w:val="2"/>
            <w:shd w:val="clear" w:color="auto" w:fill="auto"/>
          </w:tcPr>
          <w:p w14:paraId="2B1865A4"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Skewness</w:t>
            </w:r>
          </w:p>
        </w:tc>
        <w:tc>
          <w:tcPr>
            <w:tcW w:w="1975" w:type="dxa"/>
            <w:gridSpan w:val="2"/>
            <w:shd w:val="clear" w:color="auto" w:fill="auto"/>
          </w:tcPr>
          <w:p w14:paraId="62000431"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Kurtosis</w:t>
            </w:r>
          </w:p>
        </w:tc>
      </w:tr>
      <w:tr w:rsidR="00810699" w:rsidRPr="00B671B3" w14:paraId="23F33C90" w14:textId="77777777" w:rsidTr="00810699">
        <w:trPr>
          <w:trHeight w:val="155"/>
        </w:trPr>
        <w:tc>
          <w:tcPr>
            <w:cnfStyle w:val="000010000000" w:firstRow="0" w:lastRow="0" w:firstColumn="0" w:lastColumn="0" w:oddVBand="1" w:evenVBand="0" w:oddHBand="0" w:evenHBand="0" w:firstRowFirstColumn="0" w:firstRowLastColumn="0" w:lastRowFirstColumn="0" w:lastRowLastColumn="0"/>
            <w:tcW w:w="1756" w:type="dxa"/>
            <w:vMerge/>
            <w:shd w:val="clear" w:color="auto" w:fill="auto"/>
          </w:tcPr>
          <w:p w14:paraId="62F1A827"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1060" w:type="dxa"/>
            <w:tcBorders>
              <w:bottom w:val="single" w:sz="4" w:space="0" w:color="000000"/>
            </w:tcBorders>
          </w:tcPr>
          <w:p w14:paraId="6BCCC4B8"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Statistic</w:t>
            </w:r>
          </w:p>
        </w:tc>
        <w:tc>
          <w:tcPr>
            <w:cnfStyle w:val="000010000000" w:firstRow="0" w:lastRow="0" w:firstColumn="0" w:lastColumn="0" w:oddVBand="1" w:evenVBand="0" w:oddHBand="0" w:evenHBand="0" w:firstRowFirstColumn="0" w:firstRowLastColumn="0" w:lastRowFirstColumn="0" w:lastRowLastColumn="0"/>
            <w:tcW w:w="1135" w:type="dxa"/>
            <w:tcBorders>
              <w:bottom w:val="single" w:sz="4" w:space="0" w:color="000000"/>
            </w:tcBorders>
            <w:shd w:val="clear" w:color="auto" w:fill="auto"/>
          </w:tcPr>
          <w:p w14:paraId="29A3BDE8"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Statistic</w:t>
            </w:r>
          </w:p>
        </w:tc>
        <w:tc>
          <w:tcPr>
            <w:tcW w:w="1114" w:type="dxa"/>
            <w:tcBorders>
              <w:bottom w:val="single" w:sz="4" w:space="0" w:color="000000"/>
            </w:tcBorders>
          </w:tcPr>
          <w:p w14:paraId="09B938E3"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Statistic</w:t>
            </w:r>
          </w:p>
        </w:tc>
        <w:tc>
          <w:tcPr>
            <w:cnfStyle w:val="000010000000" w:firstRow="0" w:lastRow="0" w:firstColumn="0" w:lastColumn="0" w:oddVBand="1" w:evenVBand="0" w:oddHBand="0" w:evenHBand="0" w:firstRowFirstColumn="0" w:firstRowLastColumn="0" w:lastRowFirstColumn="0" w:lastRowLastColumn="0"/>
            <w:tcW w:w="1193" w:type="dxa"/>
            <w:tcBorders>
              <w:bottom w:val="single" w:sz="4" w:space="0" w:color="000000"/>
            </w:tcBorders>
            <w:shd w:val="clear" w:color="auto" w:fill="auto"/>
          </w:tcPr>
          <w:p w14:paraId="21C81A82"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Statistic</w:t>
            </w:r>
          </w:p>
        </w:tc>
        <w:tc>
          <w:tcPr>
            <w:tcW w:w="1360" w:type="dxa"/>
            <w:tcBorders>
              <w:bottom w:val="single" w:sz="4" w:space="0" w:color="000000"/>
            </w:tcBorders>
          </w:tcPr>
          <w:p w14:paraId="14ADAFFE"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Statistic</w:t>
            </w:r>
          </w:p>
        </w:tc>
        <w:tc>
          <w:tcPr>
            <w:cnfStyle w:val="000010000000" w:firstRow="0" w:lastRow="0" w:firstColumn="0" w:lastColumn="0" w:oddVBand="1" w:evenVBand="0" w:oddHBand="0" w:evenHBand="0" w:firstRowFirstColumn="0" w:firstRowLastColumn="0" w:lastRowFirstColumn="0" w:lastRowLastColumn="0"/>
            <w:tcW w:w="1062" w:type="dxa"/>
            <w:tcBorders>
              <w:bottom w:val="single" w:sz="4" w:space="0" w:color="000000"/>
            </w:tcBorders>
            <w:shd w:val="clear" w:color="auto" w:fill="auto"/>
          </w:tcPr>
          <w:p w14:paraId="664550AE"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Statistic</w:t>
            </w:r>
          </w:p>
        </w:tc>
        <w:tc>
          <w:tcPr>
            <w:tcW w:w="1314" w:type="dxa"/>
            <w:tcBorders>
              <w:bottom w:val="single" w:sz="4" w:space="0" w:color="000000"/>
            </w:tcBorders>
          </w:tcPr>
          <w:p w14:paraId="0C34FFE7"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Std. Error</w:t>
            </w:r>
          </w:p>
        </w:tc>
        <w:tc>
          <w:tcPr>
            <w:cnfStyle w:val="000010000000" w:firstRow="0" w:lastRow="0" w:firstColumn="0" w:lastColumn="0" w:oddVBand="1" w:evenVBand="0" w:oddHBand="0" w:evenHBand="0" w:firstRowFirstColumn="0" w:firstRowLastColumn="0" w:lastRowFirstColumn="0" w:lastRowLastColumn="0"/>
            <w:tcW w:w="1098" w:type="dxa"/>
            <w:tcBorders>
              <w:bottom w:val="single" w:sz="4" w:space="0" w:color="000000"/>
            </w:tcBorders>
            <w:shd w:val="clear" w:color="auto" w:fill="auto"/>
          </w:tcPr>
          <w:p w14:paraId="6849E87A"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Statistic</w:t>
            </w:r>
          </w:p>
        </w:tc>
        <w:tc>
          <w:tcPr>
            <w:tcW w:w="1118" w:type="dxa"/>
            <w:gridSpan w:val="2"/>
            <w:tcBorders>
              <w:bottom w:val="single" w:sz="4" w:space="0" w:color="000000"/>
            </w:tcBorders>
          </w:tcPr>
          <w:p w14:paraId="76688CEC"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Std. Error</w:t>
            </w:r>
          </w:p>
        </w:tc>
      </w:tr>
      <w:tr w:rsidR="00810699" w:rsidRPr="00B671B3" w14:paraId="78CE4B9E"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2"/>
        </w:trPr>
        <w:tc>
          <w:tcPr>
            <w:cnfStyle w:val="000010000000" w:firstRow="0" w:lastRow="0" w:firstColumn="0" w:lastColumn="0" w:oddVBand="1" w:evenVBand="0" w:oddHBand="0" w:evenHBand="0" w:firstRowFirstColumn="0" w:firstRowLastColumn="0" w:lastRowFirstColumn="0" w:lastRowLastColumn="0"/>
            <w:tcW w:w="1756" w:type="dxa"/>
            <w:tcBorders>
              <w:top w:val="single" w:sz="4" w:space="0" w:color="000000"/>
            </w:tcBorders>
            <w:shd w:val="clear" w:color="auto" w:fill="auto"/>
          </w:tcPr>
          <w:p w14:paraId="45671955"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Board Size</w:t>
            </w:r>
          </w:p>
        </w:tc>
        <w:tc>
          <w:tcPr>
            <w:tcW w:w="1060" w:type="dxa"/>
            <w:tcBorders>
              <w:top w:val="single" w:sz="4" w:space="0" w:color="000000"/>
            </w:tcBorders>
            <w:shd w:val="clear" w:color="auto" w:fill="auto"/>
          </w:tcPr>
          <w:p w14:paraId="1F43B47D"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tcBorders>
              <w:top w:val="single" w:sz="4" w:space="0" w:color="000000"/>
            </w:tcBorders>
            <w:shd w:val="clear" w:color="auto" w:fill="auto"/>
          </w:tcPr>
          <w:p w14:paraId="036FD463"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1.00</w:t>
            </w:r>
          </w:p>
        </w:tc>
        <w:tc>
          <w:tcPr>
            <w:tcW w:w="1114" w:type="dxa"/>
            <w:tcBorders>
              <w:top w:val="single" w:sz="4" w:space="0" w:color="000000"/>
            </w:tcBorders>
            <w:shd w:val="clear" w:color="auto" w:fill="auto"/>
          </w:tcPr>
          <w:p w14:paraId="74339D8C"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tcBorders>
              <w:top w:val="single" w:sz="4" w:space="0" w:color="000000"/>
            </w:tcBorders>
            <w:shd w:val="clear" w:color="auto" w:fill="auto"/>
          </w:tcPr>
          <w:p w14:paraId="7B2FFDEA"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4.2891</w:t>
            </w:r>
          </w:p>
        </w:tc>
        <w:tc>
          <w:tcPr>
            <w:tcW w:w="1360" w:type="dxa"/>
            <w:tcBorders>
              <w:top w:val="single" w:sz="4" w:space="0" w:color="000000"/>
            </w:tcBorders>
            <w:shd w:val="clear" w:color="auto" w:fill="auto"/>
          </w:tcPr>
          <w:p w14:paraId="7B2CF629"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0.72787</w:t>
            </w:r>
          </w:p>
        </w:tc>
        <w:tc>
          <w:tcPr>
            <w:cnfStyle w:val="000010000000" w:firstRow="0" w:lastRow="0" w:firstColumn="0" w:lastColumn="0" w:oddVBand="1" w:evenVBand="0" w:oddHBand="0" w:evenHBand="0" w:firstRowFirstColumn="0" w:firstRowLastColumn="0" w:lastRowFirstColumn="0" w:lastRowLastColumn="0"/>
            <w:tcW w:w="1062" w:type="dxa"/>
            <w:tcBorders>
              <w:top w:val="single" w:sz="4" w:space="0" w:color="000000"/>
            </w:tcBorders>
            <w:shd w:val="clear" w:color="auto" w:fill="auto"/>
          </w:tcPr>
          <w:p w14:paraId="06EC825A"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-1.404</w:t>
            </w:r>
          </w:p>
        </w:tc>
        <w:tc>
          <w:tcPr>
            <w:tcW w:w="1314" w:type="dxa"/>
            <w:tcBorders>
              <w:top w:val="single" w:sz="4" w:space="0" w:color="000000"/>
            </w:tcBorders>
            <w:shd w:val="clear" w:color="auto" w:fill="auto"/>
          </w:tcPr>
          <w:p w14:paraId="3A51691F"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tcBorders>
              <w:top w:val="single" w:sz="4" w:space="0" w:color="000000"/>
            </w:tcBorders>
            <w:shd w:val="clear" w:color="auto" w:fill="auto"/>
          </w:tcPr>
          <w:p w14:paraId="603AAD77"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3.638</w:t>
            </w:r>
          </w:p>
        </w:tc>
        <w:tc>
          <w:tcPr>
            <w:tcW w:w="877" w:type="dxa"/>
            <w:tcBorders>
              <w:top w:val="single" w:sz="4" w:space="0" w:color="000000"/>
            </w:tcBorders>
            <w:shd w:val="clear" w:color="auto" w:fill="auto"/>
          </w:tcPr>
          <w:p w14:paraId="461D9AF4"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0.248</w:t>
            </w:r>
          </w:p>
        </w:tc>
      </w:tr>
      <w:tr w:rsidR="00810699" w:rsidRPr="00B671B3" w14:paraId="07AAF280" w14:textId="77777777" w:rsidTr="00810699">
        <w:trPr>
          <w:gridAfter w:val="1"/>
          <w:wAfter w:w="241" w:type="dxa"/>
          <w:trHeight w:val="287"/>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1D37E975"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Board Independence</w:t>
            </w:r>
          </w:p>
        </w:tc>
        <w:tc>
          <w:tcPr>
            <w:tcW w:w="1060" w:type="dxa"/>
          </w:tcPr>
          <w:p w14:paraId="0503E721" w14:textId="77777777" w:rsidR="00810699" w:rsidRPr="00B671B3" w:rsidRDefault="00701FD7" w:rsidP="00A042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01C68441"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1.00</w:t>
            </w:r>
          </w:p>
        </w:tc>
        <w:tc>
          <w:tcPr>
            <w:tcW w:w="1114" w:type="dxa"/>
          </w:tcPr>
          <w:p w14:paraId="37CC6BFC"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38576922"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4.3490</w:t>
            </w:r>
          </w:p>
        </w:tc>
        <w:tc>
          <w:tcPr>
            <w:tcW w:w="1360" w:type="dxa"/>
          </w:tcPr>
          <w:p w14:paraId="0C690BE1"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0.79693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34F97800"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-1.706</w:t>
            </w:r>
          </w:p>
        </w:tc>
        <w:tc>
          <w:tcPr>
            <w:tcW w:w="1314" w:type="dxa"/>
          </w:tcPr>
          <w:p w14:paraId="617D79DB"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25B8A8F1"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4.011</w:t>
            </w:r>
          </w:p>
        </w:tc>
        <w:tc>
          <w:tcPr>
            <w:tcW w:w="877" w:type="dxa"/>
          </w:tcPr>
          <w:p w14:paraId="3835EBFC"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0.248</w:t>
            </w:r>
          </w:p>
        </w:tc>
      </w:tr>
      <w:tr w:rsidR="00810699" w:rsidRPr="00B671B3" w14:paraId="28BD88C8"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2"/>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4425C4B5"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Board Meetings</w:t>
            </w:r>
          </w:p>
        </w:tc>
        <w:tc>
          <w:tcPr>
            <w:tcW w:w="1060" w:type="dxa"/>
            <w:shd w:val="clear" w:color="auto" w:fill="auto"/>
          </w:tcPr>
          <w:p w14:paraId="77F83409" w14:textId="77777777" w:rsidR="00810699" w:rsidRPr="00B671B3" w:rsidRDefault="00701FD7" w:rsidP="00A042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07F126C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1.00</w:t>
            </w:r>
          </w:p>
        </w:tc>
        <w:tc>
          <w:tcPr>
            <w:tcW w:w="1114" w:type="dxa"/>
            <w:shd w:val="clear" w:color="auto" w:fill="auto"/>
          </w:tcPr>
          <w:p w14:paraId="496923D0"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618FD101"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4.3499</w:t>
            </w:r>
          </w:p>
        </w:tc>
        <w:tc>
          <w:tcPr>
            <w:tcW w:w="1360" w:type="dxa"/>
            <w:shd w:val="clear" w:color="auto" w:fill="auto"/>
          </w:tcPr>
          <w:p w14:paraId="65520986"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0.75042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174444AE"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-1.496</w:t>
            </w:r>
          </w:p>
        </w:tc>
        <w:tc>
          <w:tcPr>
            <w:tcW w:w="1314" w:type="dxa"/>
            <w:shd w:val="clear" w:color="auto" w:fill="auto"/>
          </w:tcPr>
          <w:p w14:paraId="310B8960"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22A1EA43"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3.437</w:t>
            </w:r>
          </w:p>
        </w:tc>
        <w:tc>
          <w:tcPr>
            <w:tcW w:w="877" w:type="dxa"/>
            <w:shd w:val="clear" w:color="auto" w:fill="auto"/>
          </w:tcPr>
          <w:p w14:paraId="38A4E3A2"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0.249</w:t>
            </w:r>
          </w:p>
        </w:tc>
      </w:tr>
      <w:tr w:rsidR="00810699" w:rsidRPr="00B671B3" w14:paraId="3D211926" w14:textId="77777777" w:rsidTr="00810699">
        <w:trPr>
          <w:gridAfter w:val="1"/>
          <w:wAfter w:w="241" w:type="dxa"/>
          <w:trHeight w:val="152"/>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0A352CB6"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CEO Duality</w:t>
            </w:r>
          </w:p>
        </w:tc>
        <w:tc>
          <w:tcPr>
            <w:tcW w:w="1060" w:type="dxa"/>
          </w:tcPr>
          <w:p w14:paraId="3501039B" w14:textId="77777777" w:rsidR="00810699" w:rsidRPr="00B671B3" w:rsidRDefault="00701FD7" w:rsidP="00A042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02F421B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1.00</w:t>
            </w:r>
          </w:p>
        </w:tc>
        <w:tc>
          <w:tcPr>
            <w:tcW w:w="1114" w:type="dxa"/>
          </w:tcPr>
          <w:p w14:paraId="6ABDF2C5"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14175D7E"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4.3177</w:t>
            </w:r>
          </w:p>
        </w:tc>
        <w:tc>
          <w:tcPr>
            <w:tcW w:w="1360" w:type="dxa"/>
          </w:tcPr>
          <w:p w14:paraId="5F6A60CC"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0.77027</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0F104A87"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-1.579</w:t>
            </w:r>
          </w:p>
        </w:tc>
        <w:tc>
          <w:tcPr>
            <w:tcW w:w="1314" w:type="dxa"/>
          </w:tcPr>
          <w:p w14:paraId="7F07DD67"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6BC5B9BE"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3.801</w:t>
            </w:r>
          </w:p>
        </w:tc>
        <w:tc>
          <w:tcPr>
            <w:tcW w:w="877" w:type="dxa"/>
          </w:tcPr>
          <w:p w14:paraId="1B739B7F"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0.248</w:t>
            </w:r>
          </w:p>
        </w:tc>
      </w:tr>
      <w:tr w:rsidR="00810699" w:rsidRPr="00B671B3" w14:paraId="028AF29F"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5"/>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39CEA19E"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Firm Size</w:t>
            </w:r>
          </w:p>
        </w:tc>
        <w:tc>
          <w:tcPr>
            <w:tcW w:w="1060" w:type="dxa"/>
            <w:shd w:val="clear" w:color="auto" w:fill="auto"/>
          </w:tcPr>
          <w:p w14:paraId="471B09EF" w14:textId="77777777" w:rsidR="00810699" w:rsidRPr="00B671B3" w:rsidRDefault="00701FD7" w:rsidP="00A042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7358E000"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1.00</w:t>
            </w:r>
          </w:p>
        </w:tc>
        <w:tc>
          <w:tcPr>
            <w:tcW w:w="1114" w:type="dxa"/>
            <w:shd w:val="clear" w:color="auto" w:fill="auto"/>
          </w:tcPr>
          <w:p w14:paraId="33965976"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9F2C847"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4.2708</w:t>
            </w:r>
          </w:p>
        </w:tc>
        <w:tc>
          <w:tcPr>
            <w:tcW w:w="1360" w:type="dxa"/>
            <w:shd w:val="clear" w:color="auto" w:fill="auto"/>
          </w:tcPr>
          <w:p w14:paraId="61FA1F69"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0.80442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5393F442"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-1.740</w:t>
            </w:r>
          </w:p>
        </w:tc>
        <w:tc>
          <w:tcPr>
            <w:tcW w:w="1314" w:type="dxa"/>
            <w:shd w:val="clear" w:color="auto" w:fill="auto"/>
          </w:tcPr>
          <w:p w14:paraId="6E0E5E24"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383E86EF"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4.644</w:t>
            </w:r>
          </w:p>
        </w:tc>
        <w:tc>
          <w:tcPr>
            <w:tcW w:w="877" w:type="dxa"/>
            <w:shd w:val="clear" w:color="auto" w:fill="auto"/>
          </w:tcPr>
          <w:p w14:paraId="51CB6267"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0.248</w:t>
            </w:r>
          </w:p>
        </w:tc>
      </w:tr>
      <w:tr w:rsidR="00810699" w:rsidRPr="00B671B3" w14:paraId="61517438" w14:textId="77777777" w:rsidTr="00810699">
        <w:trPr>
          <w:gridAfter w:val="1"/>
          <w:wAfter w:w="241" w:type="dxa"/>
          <w:trHeight w:val="310"/>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278A7223"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Industry Regulation</w:t>
            </w:r>
          </w:p>
        </w:tc>
        <w:tc>
          <w:tcPr>
            <w:tcW w:w="1060" w:type="dxa"/>
          </w:tcPr>
          <w:p w14:paraId="05498149" w14:textId="77777777" w:rsidR="00810699" w:rsidRPr="00B671B3" w:rsidRDefault="00701FD7" w:rsidP="00A042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6FF18C75"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1.00</w:t>
            </w:r>
          </w:p>
        </w:tc>
        <w:tc>
          <w:tcPr>
            <w:tcW w:w="1114" w:type="dxa"/>
          </w:tcPr>
          <w:p w14:paraId="20A65486"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5.00</w:t>
            </w: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28056170"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4.2552</w:t>
            </w:r>
          </w:p>
        </w:tc>
        <w:tc>
          <w:tcPr>
            <w:tcW w:w="1360" w:type="dxa"/>
          </w:tcPr>
          <w:p w14:paraId="7177C779"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0.78993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1B2C593B"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-1.637</w:t>
            </w:r>
          </w:p>
        </w:tc>
        <w:tc>
          <w:tcPr>
            <w:tcW w:w="1314" w:type="dxa"/>
          </w:tcPr>
          <w:p w14:paraId="0F67F20C"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0.125</w:t>
            </w: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21BD600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4.188</w:t>
            </w:r>
          </w:p>
        </w:tc>
        <w:tc>
          <w:tcPr>
            <w:tcW w:w="877" w:type="dxa"/>
          </w:tcPr>
          <w:p w14:paraId="7919795A"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0.248</w:t>
            </w:r>
          </w:p>
        </w:tc>
      </w:tr>
      <w:tr w:rsidR="00810699" w:rsidRPr="00B671B3" w14:paraId="1956946E" w14:textId="77777777" w:rsidTr="00810699">
        <w:trPr>
          <w:gridAfter w:val="1"/>
          <w:cnfStyle w:val="000000100000" w:firstRow="0" w:lastRow="0" w:firstColumn="0" w:lastColumn="0" w:oddVBand="0" w:evenVBand="0" w:oddHBand="1" w:evenHBand="0" w:firstRowFirstColumn="0" w:firstRowLastColumn="0" w:lastRowFirstColumn="0" w:lastRowLastColumn="0"/>
          <w:wAfter w:w="241" w:type="dxa"/>
          <w:trHeight w:val="155"/>
        </w:trPr>
        <w:tc>
          <w:tcPr>
            <w:cnfStyle w:val="000010000000" w:firstRow="0" w:lastRow="0" w:firstColumn="0" w:lastColumn="0" w:oddVBand="1" w:evenVBand="0" w:oddHBand="0" w:evenHBand="0" w:firstRowFirstColumn="0" w:firstRowLastColumn="0" w:lastRowFirstColumn="0" w:lastRowLastColumn="0"/>
            <w:tcW w:w="1756" w:type="dxa"/>
            <w:shd w:val="clear" w:color="auto" w:fill="auto"/>
          </w:tcPr>
          <w:p w14:paraId="0CE47239"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Valid N (listwise)</w:t>
            </w:r>
          </w:p>
        </w:tc>
        <w:tc>
          <w:tcPr>
            <w:tcW w:w="1060" w:type="dxa"/>
            <w:shd w:val="clear" w:color="auto" w:fill="auto"/>
          </w:tcPr>
          <w:p w14:paraId="32FE9B12" w14:textId="77777777" w:rsidR="00810699" w:rsidRPr="00B671B3" w:rsidRDefault="00701FD7" w:rsidP="00A042C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35" w:type="dxa"/>
            <w:shd w:val="clear" w:color="auto" w:fill="auto"/>
          </w:tcPr>
          <w:p w14:paraId="6C8FDB60" w14:textId="77777777" w:rsidR="00810699" w:rsidRPr="00B671B3" w:rsidRDefault="00810699" w:rsidP="00A042C4">
            <w:pPr>
              <w:rPr>
                <w:rFonts w:ascii="Arial" w:eastAsia="Times New Roman" w:hAnsi="Arial" w:cs="Arial"/>
                <w:color w:val="auto"/>
              </w:rPr>
            </w:pPr>
          </w:p>
        </w:tc>
        <w:tc>
          <w:tcPr>
            <w:tcW w:w="1114" w:type="dxa"/>
            <w:shd w:val="clear" w:color="auto" w:fill="auto"/>
          </w:tcPr>
          <w:p w14:paraId="65DFE9E8" w14:textId="77777777" w:rsidR="00810699" w:rsidRPr="00B671B3"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93" w:type="dxa"/>
            <w:shd w:val="clear" w:color="auto" w:fill="auto"/>
          </w:tcPr>
          <w:p w14:paraId="5A1D6908" w14:textId="77777777" w:rsidR="00810699" w:rsidRPr="00B671B3" w:rsidRDefault="00810699" w:rsidP="00A042C4">
            <w:pPr>
              <w:rPr>
                <w:rFonts w:ascii="Arial" w:eastAsia="Times New Roman" w:hAnsi="Arial" w:cs="Arial"/>
                <w:color w:val="auto"/>
              </w:rPr>
            </w:pPr>
          </w:p>
        </w:tc>
        <w:tc>
          <w:tcPr>
            <w:tcW w:w="1360" w:type="dxa"/>
            <w:shd w:val="clear" w:color="auto" w:fill="auto"/>
          </w:tcPr>
          <w:p w14:paraId="35534C7F" w14:textId="77777777" w:rsidR="00810699" w:rsidRPr="00B671B3"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auto"/>
          </w:tcPr>
          <w:p w14:paraId="57AA6FE3" w14:textId="77777777" w:rsidR="00810699" w:rsidRPr="00B671B3" w:rsidRDefault="00810699" w:rsidP="00A042C4">
            <w:pPr>
              <w:rPr>
                <w:rFonts w:ascii="Arial" w:eastAsia="Times New Roman" w:hAnsi="Arial" w:cs="Arial"/>
                <w:color w:val="auto"/>
              </w:rPr>
            </w:pPr>
          </w:p>
        </w:tc>
        <w:tc>
          <w:tcPr>
            <w:tcW w:w="1314" w:type="dxa"/>
            <w:shd w:val="clear" w:color="auto" w:fill="auto"/>
          </w:tcPr>
          <w:p w14:paraId="409349CE" w14:textId="77777777" w:rsidR="00810699" w:rsidRPr="00B671B3"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098" w:type="dxa"/>
            <w:shd w:val="clear" w:color="auto" w:fill="auto"/>
          </w:tcPr>
          <w:p w14:paraId="6D8344B7" w14:textId="77777777" w:rsidR="00810699" w:rsidRPr="00B671B3" w:rsidRDefault="00810699" w:rsidP="00A042C4">
            <w:pPr>
              <w:rPr>
                <w:rFonts w:ascii="Arial" w:eastAsia="Times New Roman" w:hAnsi="Arial" w:cs="Arial"/>
                <w:color w:val="auto"/>
              </w:rPr>
            </w:pPr>
          </w:p>
        </w:tc>
        <w:tc>
          <w:tcPr>
            <w:tcW w:w="877" w:type="dxa"/>
            <w:shd w:val="clear" w:color="auto" w:fill="auto"/>
          </w:tcPr>
          <w:p w14:paraId="5FF01B5C" w14:textId="77777777" w:rsidR="00810699" w:rsidRPr="00B671B3"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r>
    </w:tbl>
    <w:p w14:paraId="29890B0A" w14:textId="5D5BEBF3" w:rsidR="00810699" w:rsidRPr="00B671B3" w:rsidRDefault="00701FD7" w:rsidP="00A042C4">
      <w:pPr>
        <w:spacing w:line="240" w:lineRule="auto"/>
        <w:rPr>
          <w:rFonts w:ascii="Arial" w:eastAsia="Times New Roman" w:hAnsi="Arial" w:cs="Arial"/>
        </w:rPr>
        <w:sectPr w:rsidR="00810699" w:rsidRPr="00B671B3">
          <w:pgSz w:w="15840" w:h="12240" w:orient="landscape"/>
          <w:pgMar w:top="1440" w:right="1440" w:bottom="1440" w:left="1440" w:header="706" w:footer="706" w:gutter="0"/>
          <w:cols w:space="720"/>
        </w:sectPr>
      </w:pPr>
      <w:r w:rsidRPr="00B671B3">
        <w:rPr>
          <w:rFonts w:ascii="Arial" w:eastAsia="Times New Roman" w:hAnsi="Arial" w:cs="Arial"/>
        </w:rPr>
        <w:t>Source: Field Survey, 202</w:t>
      </w:r>
      <w:r w:rsidR="000E3763" w:rsidRPr="00B671B3">
        <w:rPr>
          <w:rFonts w:ascii="Arial" w:eastAsia="Times New Roman" w:hAnsi="Arial" w:cs="Arial"/>
        </w:rPr>
        <w:t>5</w:t>
      </w:r>
    </w:p>
    <w:p w14:paraId="097958A0" w14:textId="77777777" w:rsidR="00810699" w:rsidRPr="00B671B3" w:rsidRDefault="00701FD7" w:rsidP="00A042C4">
      <w:pPr>
        <w:pStyle w:val="Heading3"/>
        <w:spacing w:line="240" w:lineRule="auto"/>
        <w:rPr>
          <w:rFonts w:ascii="Arial" w:hAnsi="Arial" w:cs="Arial"/>
          <w:color w:val="auto"/>
          <w:sz w:val="22"/>
          <w:szCs w:val="22"/>
        </w:rPr>
      </w:pPr>
      <w:bookmarkStart w:id="36" w:name="_37m2jsg" w:colFirst="0" w:colLast="0"/>
      <w:bookmarkEnd w:id="36"/>
      <w:r w:rsidRPr="00B671B3">
        <w:rPr>
          <w:rFonts w:ascii="Arial" w:hAnsi="Arial" w:cs="Arial"/>
          <w:color w:val="auto"/>
          <w:sz w:val="22"/>
          <w:szCs w:val="22"/>
        </w:rPr>
        <w:lastRenderedPageBreak/>
        <w:t>4.3 Diagnostic Testing</w:t>
      </w:r>
    </w:p>
    <w:p w14:paraId="0F49AB60" w14:textId="4F8E460B"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correlation matrix analysis is used to test the variable to find out issues of collinearity. The correlation matrix reveals significant positive correlations among the independent variables, indicating that they are related to each other. Specifically, Board Size is positively correlated with Board Independence (r = 0.314, p &lt; 0.01) and CEO Duality (r = 0.438, p &lt; 0.05). Board Independence is positively correlated with Board Meetings (r = 0.543, p &lt; 0.06) and Firm Size (r = 0.440, p &lt; 0.06). CEO Duality is positively correlated with Board Meetings (r = 0.515, p &lt; 0.06) and Firm Size (r = 0.266, p &lt; 0.10). Firm Size is positively correlated with Industry Regulation (r = 0.410, p &lt; 0.05). The results are shown in Table </w:t>
      </w:r>
      <w:r w:rsidR="002B4C2B">
        <w:rPr>
          <w:rFonts w:ascii="Arial" w:eastAsia="Times New Roman" w:hAnsi="Arial" w:cs="Arial"/>
        </w:rPr>
        <w:t>2</w:t>
      </w:r>
      <w:r w:rsidRPr="00B671B3">
        <w:rPr>
          <w:rFonts w:ascii="Arial" w:eastAsia="Times New Roman" w:hAnsi="Arial" w:cs="Arial"/>
        </w:rPr>
        <w:t xml:space="preserve"> and it reveals several key insights into the relationships between the independent variables. Firstly, the positive correlation between Board Size and Board Independence suggests that larger boards tend to be more independent, which is consistent with the idea that larger boards are more likely to have a greater diversity of perspectives and experiences.</w:t>
      </w:r>
    </w:p>
    <w:p w14:paraId="18402CA9"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Secondly, the positive correlation between Board Independence and Board Meetings suggests that more independent boards tend to meet more frequently, which is consistent with the idea that independent boards are more active and engaged in oversight. Thirdly, the positive correlation between CEO Duality and Board Meetings suggests that CEOs who also serve as chairmen tend to have more frequent board meetings, which may indicate a more centralized decision-making process. Fourthly, the positive correlation between Firm Size and Industry Regulation suggests that larger firms tend to be more heavily regulated, which is consistent with the idea that larger firms have a greater impact on the industry and are therefore subject to more scrutiny.</w:t>
      </w:r>
    </w:p>
    <w:p w14:paraId="70FE1E5E"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Finally, the correlations between Board Size, Board Independence, CEO Duality, Firm Size, and Industry Regulation suggest that these variables are interrelated and may influence each other. For example, a larger board size may lead to more independence, which in turn may lead to more frequent board meetings. Similarly, a larger firm size may lead to more regulation, which in turn may lead to a greater need for independent oversight.</w:t>
      </w:r>
    </w:p>
    <w:p w14:paraId="5FDFE738" w14:textId="52EFC26B"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bookmarkStart w:id="37" w:name="_1664s55" w:colFirst="0" w:colLast="0"/>
      <w:bookmarkEnd w:id="37"/>
      <w:r w:rsidRPr="00B671B3">
        <w:rPr>
          <w:rFonts w:ascii="Arial" w:eastAsia="Times New Roman" w:hAnsi="Arial" w:cs="Arial"/>
          <w:b/>
        </w:rPr>
        <w:t xml:space="preserve">Table </w:t>
      </w:r>
      <w:r w:rsidR="002B4C2B">
        <w:rPr>
          <w:rFonts w:ascii="Arial" w:eastAsia="Times New Roman" w:hAnsi="Arial" w:cs="Arial"/>
          <w:b/>
        </w:rPr>
        <w:t>2</w:t>
      </w:r>
      <w:r w:rsidRPr="00B671B3">
        <w:rPr>
          <w:rFonts w:ascii="Arial" w:eastAsia="Times New Roman" w:hAnsi="Arial" w:cs="Arial"/>
          <w:b/>
        </w:rPr>
        <w:t xml:space="preserve"> - Correlation Matrix</w:t>
      </w:r>
    </w:p>
    <w:tbl>
      <w:tblPr>
        <w:tblStyle w:val="a1"/>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9"/>
        <w:gridCol w:w="2285"/>
        <w:gridCol w:w="1178"/>
        <w:gridCol w:w="1178"/>
        <w:gridCol w:w="1178"/>
        <w:gridCol w:w="1178"/>
        <w:gridCol w:w="1178"/>
      </w:tblGrid>
      <w:tr w:rsidR="00810699" w:rsidRPr="00B671B3" w14:paraId="38FFEAA1" w14:textId="77777777" w:rsidTr="00810699">
        <w:trPr>
          <w:cnfStyle w:val="000000100000" w:firstRow="0" w:lastRow="0" w:firstColumn="0" w:lastColumn="0" w:oddVBand="0" w:evenVBand="0" w:oddHBand="1" w:evenHBand="0" w:firstRowFirstColumn="0" w:firstRowLastColumn="0" w:lastRowFirstColumn="0" w:lastRowLastColumn="0"/>
          <w:trHeight w:val="1118"/>
        </w:trPr>
        <w:tc>
          <w:tcPr>
            <w:cnfStyle w:val="000010000000" w:firstRow="0" w:lastRow="0" w:firstColumn="0" w:lastColumn="0" w:oddVBand="1" w:evenVBand="0" w:oddHBand="0" w:evenHBand="0" w:firstRowFirstColumn="0" w:firstRowLastColumn="0" w:lastRowFirstColumn="0" w:lastRowLastColumn="0"/>
            <w:tcW w:w="3445" w:type="dxa"/>
            <w:gridSpan w:val="2"/>
            <w:tcBorders>
              <w:bottom w:val="single" w:sz="4" w:space="0" w:color="000000"/>
            </w:tcBorders>
            <w:shd w:val="clear" w:color="auto" w:fill="auto"/>
          </w:tcPr>
          <w:p w14:paraId="2BB63EEA" w14:textId="77777777" w:rsidR="00810699" w:rsidRPr="00B671B3" w:rsidRDefault="00810699" w:rsidP="00A042C4">
            <w:pPr>
              <w:rPr>
                <w:rFonts w:ascii="Arial" w:eastAsia="Times New Roman" w:hAnsi="Arial" w:cs="Arial"/>
                <w:color w:val="auto"/>
              </w:rPr>
            </w:pPr>
          </w:p>
        </w:tc>
        <w:tc>
          <w:tcPr>
            <w:tcW w:w="1178" w:type="dxa"/>
            <w:tcBorders>
              <w:bottom w:val="single" w:sz="4" w:space="0" w:color="000000"/>
            </w:tcBorders>
            <w:shd w:val="clear" w:color="auto" w:fill="auto"/>
          </w:tcPr>
          <w:p w14:paraId="09985C3F"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Board Size</w:t>
            </w:r>
          </w:p>
        </w:tc>
        <w:tc>
          <w:tcPr>
            <w:cnfStyle w:val="000010000000" w:firstRow="0" w:lastRow="0" w:firstColumn="0" w:lastColumn="0" w:oddVBand="1" w:evenVBand="0" w:oddHBand="0" w:evenHBand="0" w:firstRowFirstColumn="0" w:firstRowLastColumn="0" w:lastRowFirstColumn="0" w:lastRowLastColumn="0"/>
            <w:tcW w:w="1178" w:type="dxa"/>
            <w:tcBorders>
              <w:bottom w:val="single" w:sz="4" w:space="0" w:color="000000"/>
            </w:tcBorders>
            <w:shd w:val="clear" w:color="auto" w:fill="auto"/>
          </w:tcPr>
          <w:p w14:paraId="35178A12"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Board Independence</w:t>
            </w:r>
          </w:p>
        </w:tc>
        <w:tc>
          <w:tcPr>
            <w:tcW w:w="1178" w:type="dxa"/>
            <w:tcBorders>
              <w:bottom w:val="single" w:sz="4" w:space="0" w:color="000000"/>
            </w:tcBorders>
            <w:shd w:val="clear" w:color="auto" w:fill="auto"/>
          </w:tcPr>
          <w:p w14:paraId="63189C52"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CEO Duality</w:t>
            </w:r>
          </w:p>
        </w:tc>
        <w:tc>
          <w:tcPr>
            <w:cnfStyle w:val="000010000000" w:firstRow="0" w:lastRow="0" w:firstColumn="0" w:lastColumn="0" w:oddVBand="1" w:evenVBand="0" w:oddHBand="0" w:evenHBand="0" w:firstRowFirstColumn="0" w:firstRowLastColumn="0" w:lastRowFirstColumn="0" w:lastRowLastColumn="0"/>
            <w:tcW w:w="1178" w:type="dxa"/>
            <w:tcBorders>
              <w:bottom w:val="single" w:sz="4" w:space="0" w:color="000000"/>
            </w:tcBorders>
            <w:shd w:val="clear" w:color="auto" w:fill="auto"/>
          </w:tcPr>
          <w:p w14:paraId="4231D014"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Firm Size</w:t>
            </w:r>
          </w:p>
        </w:tc>
        <w:tc>
          <w:tcPr>
            <w:tcW w:w="1178" w:type="dxa"/>
            <w:tcBorders>
              <w:bottom w:val="single" w:sz="4" w:space="0" w:color="000000"/>
            </w:tcBorders>
            <w:shd w:val="clear" w:color="auto" w:fill="auto"/>
          </w:tcPr>
          <w:p w14:paraId="0C086463"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Industry Regulation</w:t>
            </w:r>
          </w:p>
        </w:tc>
      </w:tr>
      <w:tr w:rsidR="00810699" w:rsidRPr="00B671B3" w14:paraId="183FC41E" w14:textId="77777777" w:rsidTr="00810699">
        <w:trPr>
          <w:trHeight w:val="562"/>
        </w:trPr>
        <w:tc>
          <w:tcPr>
            <w:cnfStyle w:val="000010000000" w:firstRow="0" w:lastRow="0" w:firstColumn="0" w:lastColumn="0" w:oddVBand="1" w:evenVBand="0" w:oddHBand="0" w:evenHBand="0" w:firstRowFirstColumn="0" w:firstRowLastColumn="0" w:lastRowFirstColumn="0" w:lastRowLastColumn="0"/>
            <w:tcW w:w="1160" w:type="dxa"/>
            <w:vMerge w:val="restart"/>
            <w:tcBorders>
              <w:top w:val="single" w:sz="4" w:space="0" w:color="000000"/>
            </w:tcBorders>
            <w:shd w:val="clear" w:color="auto" w:fill="auto"/>
          </w:tcPr>
          <w:p w14:paraId="4CD8F2F6"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Board Size</w:t>
            </w:r>
          </w:p>
        </w:tc>
        <w:tc>
          <w:tcPr>
            <w:tcW w:w="2285" w:type="dxa"/>
            <w:tcBorders>
              <w:top w:val="single" w:sz="4" w:space="0" w:color="000000"/>
            </w:tcBorders>
          </w:tcPr>
          <w:p w14:paraId="39EDA45B"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tcBorders>
              <w:top w:val="single" w:sz="4" w:space="0" w:color="000000"/>
            </w:tcBorders>
            <w:shd w:val="clear" w:color="auto" w:fill="auto"/>
          </w:tcPr>
          <w:p w14:paraId="6CC6FA7E"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w:t>
            </w:r>
          </w:p>
        </w:tc>
        <w:tc>
          <w:tcPr>
            <w:tcW w:w="1178" w:type="dxa"/>
            <w:tcBorders>
              <w:top w:val="single" w:sz="4" w:space="0" w:color="000000"/>
            </w:tcBorders>
          </w:tcPr>
          <w:p w14:paraId="28849FE6" w14:textId="77777777" w:rsidR="00810699" w:rsidRPr="00B671B3"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tcBorders>
              <w:top w:val="single" w:sz="4" w:space="0" w:color="000000"/>
            </w:tcBorders>
            <w:shd w:val="clear" w:color="auto" w:fill="auto"/>
          </w:tcPr>
          <w:p w14:paraId="02F6F23B" w14:textId="77777777" w:rsidR="00810699" w:rsidRPr="00B671B3" w:rsidRDefault="00810699" w:rsidP="00A042C4">
            <w:pPr>
              <w:ind w:left="60" w:right="60"/>
              <w:jc w:val="right"/>
              <w:rPr>
                <w:rFonts w:ascii="Arial" w:eastAsia="Times New Roman" w:hAnsi="Arial" w:cs="Arial"/>
                <w:color w:val="auto"/>
              </w:rPr>
            </w:pPr>
          </w:p>
        </w:tc>
        <w:tc>
          <w:tcPr>
            <w:tcW w:w="1178" w:type="dxa"/>
            <w:tcBorders>
              <w:top w:val="single" w:sz="4" w:space="0" w:color="000000"/>
            </w:tcBorders>
          </w:tcPr>
          <w:p w14:paraId="56B77356" w14:textId="77777777" w:rsidR="00810699" w:rsidRPr="00B671B3"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tcBorders>
              <w:top w:val="single" w:sz="4" w:space="0" w:color="000000"/>
            </w:tcBorders>
            <w:shd w:val="clear" w:color="auto" w:fill="auto"/>
          </w:tcPr>
          <w:p w14:paraId="56D08309"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5B8F42C0" w14:textId="77777777" w:rsidTr="00810699">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1160" w:type="dxa"/>
            <w:vMerge/>
            <w:tcBorders>
              <w:top w:val="single" w:sz="4" w:space="0" w:color="000000"/>
            </w:tcBorders>
            <w:shd w:val="clear" w:color="auto" w:fill="auto"/>
          </w:tcPr>
          <w:p w14:paraId="61537030"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5903D19B"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28CFDEE" w14:textId="77777777" w:rsidR="00810699" w:rsidRPr="00B671B3" w:rsidRDefault="00810699" w:rsidP="00A042C4">
            <w:pPr>
              <w:rPr>
                <w:rFonts w:ascii="Arial" w:eastAsia="Times New Roman" w:hAnsi="Arial" w:cs="Arial"/>
                <w:color w:val="auto"/>
              </w:rPr>
            </w:pPr>
          </w:p>
        </w:tc>
        <w:tc>
          <w:tcPr>
            <w:tcW w:w="1178" w:type="dxa"/>
            <w:shd w:val="clear" w:color="auto" w:fill="auto"/>
          </w:tcPr>
          <w:p w14:paraId="75F64609" w14:textId="77777777" w:rsidR="00810699" w:rsidRPr="00B671B3"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3E9B86B" w14:textId="77777777" w:rsidR="00810699" w:rsidRPr="00B671B3" w:rsidRDefault="00810699" w:rsidP="00A042C4">
            <w:pPr>
              <w:ind w:left="60" w:right="60"/>
              <w:jc w:val="right"/>
              <w:rPr>
                <w:rFonts w:ascii="Arial" w:eastAsia="Times New Roman" w:hAnsi="Arial" w:cs="Arial"/>
                <w:color w:val="auto"/>
              </w:rPr>
            </w:pPr>
          </w:p>
        </w:tc>
        <w:tc>
          <w:tcPr>
            <w:tcW w:w="1178" w:type="dxa"/>
            <w:shd w:val="clear" w:color="auto" w:fill="auto"/>
          </w:tcPr>
          <w:p w14:paraId="38548F8D" w14:textId="77777777" w:rsidR="00810699" w:rsidRPr="00B671B3"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1F13F448"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2A72AE3A" w14:textId="77777777" w:rsidTr="00810699">
        <w:trPr>
          <w:trHeight w:val="281"/>
        </w:trPr>
        <w:tc>
          <w:tcPr>
            <w:cnfStyle w:val="000010000000" w:firstRow="0" w:lastRow="0" w:firstColumn="0" w:lastColumn="0" w:oddVBand="1" w:evenVBand="0" w:oddHBand="0" w:evenHBand="0" w:firstRowFirstColumn="0" w:firstRowLastColumn="0" w:lastRowFirstColumn="0" w:lastRowLastColumn="0"/>
            <w:tcW w:w="1160" w:type="dxa"/>
            <w:vMerge/>
            <w:tcBorders>
              <w:top w:val="single" w:sz="4" w:space="0" w:color="000000"/>
            </w:tcBorders>
            <w:shd w:val="clear" w:color="auto" w:fill="auto"/>
          </w:tcPr>
          <w:p w14:paraId="22009C5D"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0C7B62BF"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487ED62"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145</w:t>
            </w:r>
          </w:p>
        </w:tc>
        <w:tc>
          <w:tcPr>
            <w:tcW w:w="1178" w:type="dxa"/>
          </w:tcPr>
          <w:p w14:paraId="1DAACB0E" w14:textId="77777777" w:rsidR="00810699" w:rsidRPr="00B671B3"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C3C94B4" w14:textId="77777777" w:rsidR="00810699" w:rsidRPr="00B671B3" w:rsidRDefault="00810699" w:rsidP="00A042C4">
            <w:pPr>
              <w:rPr>
                <w:rFonts w:ascii="Arial" w:eastAsia="Times New Roman" w:hAnsi="Arial" w:cs="Arial"/>
                <w:color w:val="auto"/>
              </w:rPr>
            </w:pPr>
          </w:p>
        </w:tc>
        <w:tc>
          <w:tcPr>
            <w:tcW w:w="1178" w:type="dxa"/>
          </w:tcPr>
          <w:p w14:paraId="7B219534" w14:textId="77777777" w:rsidR="00810699" w:rsidRPr="00B671B3"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265E799" w14:textId="77777777" w:rsidR="00810699" w:rsidRPr="00B671B3" w:rsidRDefault="00810699" w:rsidP="00A042C4">
            <w:pPr>
              <w:rPr>
                <w:rFonts w:ascii="Arial" w:eastAsia="Times New Roman" w:hAnsi="Arial" w:cs="Arial"/>
                <w:color w:val="auto"/>
              </w:rPr>
            </w:pPr>
          </w:p>
        </w:tc>
      </w:tr>
      <w:tr w:rsidR="00810699" w:rsidRPr="00B671B3" w14:paraId="2DF1D5AB" w14:textId="77777777" w:rsidTr="00810699">
        <w:trPr>
          <w:cnfStyle w:val="000000100000" w:firstRow="0" w:lastRow="0" w:firstColumn="0" w:lastColumn="0" w:oddVBand="0" w:evenVBand="0" w:oddHBand="1" w:evenHBand="0" w:firstRowFirstColumn="0" w:firstRowLastColumn="0" w:lastRowFirstColumn="0" w:lastRowLastColumn="0"/>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0C92B227"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Board Independence</w:t>
            </w:r>
          </w:p>
        </w:tc>
        <w:tc>
          <w:tcPr>
            <w:tcW w:w="2285" w:type="dxa"/>
            <w:shd w:val="clear" w:color="auto" w:fill="auto"/>
          </w:tcPr>
          <w:p w14:paraId="72C935CA"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C218C5B"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.314</w:t>
            </w:r>
            <w:r w:rsidRPr="00B671B3">
              <w:rPr>
                <w:rFonts w:ascii="Arial" w:eastAsia="Times New Roman" w:hAnsi="Arial" w:cs="Arial"/>
                <w:color w:val="auto"/>
                <w:vertAlign w:val="superscript"/>
              </w:rPr>
              <w:t>**</w:t>
            </w:r>
          </w:p>
        </w:tc>
        <w:tc>
          <w:tcPr>
            <w:tcW w:w="1178" w:type="dxa"/>
            <w:shd w:val="clear" w:color="auto" w:fill="auto"/>
          </w:tcPr>
          <w:p w14:paraId="1E125035"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F9BD03B" w14:textId="77777777" w:rsidR="00810699" w:rsidRPr="00B671B3" w:rsidRDefault="00810699" w:rsidP="00A042C4">
            <w:pPr>
              <w:ind w:left="60" w:right="60"/>
              <w:jc w:val="right"/>
              <w:rPr>
                <w:rFonts w:ascii="Arial" w:eastAsia="Times New Roman" w:hAnsi="Arial" w:cs="Arial"/>
                <w:color w:val="auto"/>
              </w:rPr>
            </w:pPr>
          </w:p>
        </w:tc>
        <w:tc>
          <w:tcPr>
            <w:tcW w:w="1178" w:type="dxa"/>
            <w:shd w:val="clear" w:color="auto" w:fill="auto"/>
          </w:tcPr>
          <w:p w14:paraId="57902C24" w14:textId="77777777" w:rsidR="00810699" w:rsidRPr="00B671B3"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0FA5092"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51C376D1" w14:textId="77777777" w:rsidTr="00810699">
        <w:trPr>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319ED8CA"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35EF84CA"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0C61731"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.000</w:t>
            </w:r>
          </w:p>
        </w:tc>
        <w:tc>
          <w:tcPr>
            <w:tcW w:w="1178" w:type="dxa"/>
          </w:tcPr>
          <w:p w14:paraId="0A749C87" w14:textId="77777777" w:rsidR="00810699" w:rsidRPr="00B671B3"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6A5A5D5" w14:textId="77777777" w:rsidR="00810699" w:rsidRPr="00B671B3" w:rsidRDefault="00810699" w:rsidP="00A042C4">
            <w:pPr>
              <w:ind w:left="60" w:right="60"/>
              <w:jc w:val="right"/>
              <w:rPr>
                <w:rFonts w:ascii="Arial" w:eastAsia="Times New Roman" w:hAnsi="Arial" w:cs="Arial"/>
                <w:color w:val="auto"/>
              </w:rPr>
            </w:pPr>
          </w:p>
        </w:tc>
        <w:tc>
          <w:tcPr>
            <w:tcW w:w="1178" w:type="dxa"/>
          </w:tcPr>
          <w:p w14:paraId="0BD7BE77" w14:textId="77777777" w:rsidR="00810699" w:rsidRPr="00B671B3"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EB285CA"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56741B67"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52B20113"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11E004E1"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A27F072"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shd w:val="clear" w:color="auto" w:fill="auto"/>
          </w:tcPr>
          <w:p w14:paraId="494034E8" w14:textId="77777777" w:rsidR="00810699" w:rsidRPr="00B671B3"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F3A8CE9" w14:textId="77777777" w:rsidR="00810699" w:rsidRPr="00B671B3" w:rsidRDefault="00810699" w:rsidP="00A042C4">
            <w:pPr>
              <w:rPr>
                <w:rFonts w:ascii="Arial" w:eastAsia="Times New Roman" w:hAnsi="Arial" w:cs="Arial"/>
                <w:color w:val="auto"/>
              </w:rPr>
            </w:pPr>
          </w:p>
        </w:tc>
        <w:tc>
          <w:tcPr>
            <w:tcW w:w="1178" w:type="dxa"/>
            <w:shd w:val="clear" w:color="auto" w:fill="auto"/>
          </w:tcPr>
          <w:p w14:paraId="443C9E50" w14:textId="77777777" w:rsidR="00810699" w:rsidRPr="00B671B3"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4922A78" w14:textId="77777777" w:rsidR="00810699" w:rsidRPr="00B671B3" w:rsidRDefault="00810699" w:rsidP="00A042C4">
            <w:pPr>
              <w:rPr>
                <w:rFonts w:ascii="Arial" w:eastAsia="Times New Roman" w:hAnsi="Arial" w:cs="Arial"/>
                <w:color w:val="auto"/>
              </w:rPr>
            </w:pPr>
          </w:p>
        </w:tc>
      </w:tr>
      <w:tr w:rsidR="00810699" w:rsidRPr="00B671B3" w14:paraId="62A5BC84" w14:textId="77777777" w:rsidTr="00810699">
        <w:trPr>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3F4C2824"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Board Meetings</w:t>
            </w:r>
          </w:p>
        </w:tc>
        <w:tc>
          <w:tcPr>
            <w:tcW w:w="2285" w:type="dxa"/>
          </w:tcPr>
          <w:p w14:paraId="67ACD23B"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C0A0383"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.488</w:t>
            </w:r>
            <w:r w:rsidRPr="00B671B3">
              <w:rPr>
                <w:rFonts w:ascii="Arial" w:eastAsia="Times New Roman" w:hAnsi="Arial" w:cs="Arial"/>
                <w:color w:val="auto"/>
                <w:vertAlign w:val="superscript"/>
              </w:rPr>
              <w:t>**</w:t>
            </w:r>
          </w:p>
        </w:tc>
        <w:tc>
          <w:tcPr>
            <w:tcW w:w="1178" w:type="dxa"/>
          </w:tcPr>
          <w:p w14:paraId="5735AFE0"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.543</w:t>
            </w:r>
            <w:r w:rsidRPr="00B671B3">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1A904CF"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w:t>
            </w:r>
          </w:p>
        </w:tc>
        <w:tc>
          <w:tcPr>
            <w:tcW w:w="1178" w:type="dxa"/>
          </w:tcPr>
          <w:p w14:paraId="0C2A4A46" w14:textId="77777777" w:rsidR="00810699" w:rsidRPr="00B671B3" w:rsidRDefault="00810699"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D70276F"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104A2A39"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0B3E0313"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6508B1B0"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1995993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.200</w:t>
            </w:r>
          </w:p>
        </w:tc>
        <w:tc>
          <w:tcPr>
            <w:tcW w:w="1178" w:type="dxa"/>
            <w:shd w:val="clear" w:color="auto" w:fill="auto"/>
          </w:tcPr>
          <w:p w14:paraId="1B237227"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.060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9DF0B39" w14:textId="77777777" w:rsidR="00810699" w:rsidRPr="00B671B3" w:rsidRDefault="00810699" w:rsidP="00A042C4">
            <w:pPr>
              <w:rPr>
                <w:rFonts w:ascii="Arial" w:eastAsia="Times New Roman" w:hAnsi="Arial" w:cs="Arial"/>
                <w:color w:val="auto"/>
              </w:rPr>
            </w:pPr>
          </w:p>
        </w:tc>
        <w:tc>
          <w:tcPr>
            <w:tcW w:w="1178" w:type="dxa"/>
            <w:shd w:val="clear" w:color="auto" w:fill="auto"/>
          </w:tcPr>
          <w:p w14:paraId="3CBE675E" w14:textId="77777777" w:rsidR="00810699" w:rsidRPr="00B671B3" w:rsidRDefault="00810699"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F905CEF"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043395F2" w14:textId="77777777" w:rsidTr="00810699">
        <w:trPr>
          <w:trHeight w:val="274"/>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084287AE"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7B5BCFCF"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C4041D9"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tcPr>
          <w:p w14:paraId="182AC8DF" w14:textId="77777777" w:rsidR="00810699" w:rsidRPr="00B671B3"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C68DED7"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tcPr>
          <w:p w14:paraId="1E39B10E" w14:textId="77777777" w:rsidR="00810699" w:rsidRPr="00B671B3"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64A1C7C" w14:textId="77777777" w:rsidR="00810699" w:rsidRPr="00B671B3" w:rsidRDefault="00810699" w:rsidP="00A042C4">
            <w:pPr>
              <w:rPr>
                <w:rFonts w:ascii="Arial" w:eastAsia="Times New Roman" w:hAnsi="Arial" w:cs="Arial"/>
                <w:color w:val="auto"/>
              </w:rPr>
            </w:pPr>
          </w:p>
        </w:tc>
      </w:tr>
      <w:tr w:rsidR="00810699" w:rsidRPr="00B671B3" w14:paraId="2B267688" w14:textId="77777777" w:rsidTr="00810699">
        <w:trPr>
          <w:cnfStyle w:val="000000100000" w:firstRow="0" w:lastRow="0" w:firstColumn="0" w:lastColumn="0" w:oddVBand="0" w:evenVBand="0" w:oddHBand="1" w:evenHBand="0" w:firstRowFirstColumn="0" w:firstRowLastColumn="0" w:lastRowFirstColumn="0" w:lastRowLastColumn="0"/>
          <w:trHeight w:val="562"/>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4A0C10AC"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CEO Duality</w:t>
            </w:r>
          </w:p>
        </w:tc>
        <w:tc>
          <w:tcPr>
            <w:tcW w:w="2285" w:type="dxa"/>
            <w:shd w:val="clear" w:color="auto" w:fill="auto"/>
          </w:tcPr>
          <w:p w14:paraId="4BE87352"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F9CECA7"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.438</w:t>
            </w:r>
            <w:r w:rsidRPr="00B671B3">
              <w:rPr>
                <w:rFonts w:ascii="Arial" w:eastAsia="Times New Roman" w:hAnsi="Arial" w:cs="Arial"/>
                <w:color w:val="auto"/>
                <w:vertAlign w:val="superscript"/>
              </w:rPr>
              <w:t>**</w:t>
            </w:r>
          </w:p>
        </w:tc>
        <w:tc>
          <w:tcPr>
            <w:tcW w:w="1178" w:type="dxa"/>
            <w:shd w:val="clear" w:color="auto" w:fill="auto"/>
          </w:tcPr>
          <w:p w14:paraId="322F90AB"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.412</w:t>
            </w:r>
            <w:r w:rsidRPr="00B671B3">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5CDCD54"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.515</w:t>
            </w:r>
            <w:r w:rsidRPr="00B671B3">
              <w:rPr>
                <w:rFonts w:ascii="Arial" w:eastAsia="Times New Roman" w:hAnsi="Arial" w:cs="Arial"/>
                <w:color w:val="auto"/>
                <w:vertAlign w:val="superscript"/>
              </w:rPr>
              <w:t>**</w:t>
            </w:r>
          </w:p>
        </w:tc>
        <w:tc>
          <w:tcPr>
            <w:tcW w:w="1178" w:type="dxa"/>
            <w:shd w:val="clear" w:color="auto" w:fill="auto"/>
          </w:tcPr>
          <w:p w14:paraId="234B0E39"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116D5A1B"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2BFBB417" w14:textId="77777777" w:rsidTr="00810699">
        <w:trPr>
          <w:trHeight w:val="274"/>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7D9E0623"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325E588A"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877684B"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.230</w:t>
            </w:r>
          </w:p>
        </w:tc>
        <w:tc>
          <w:tcPr>
            <w:tcW w:w="1178" w:type="dxa"/>
          </w:tcPr>
          <w:p w14:paraId="47E8EDFF"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.0510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DFF26ED"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.062</w:t>
            </w:r>
          </w:p>
        </w:tc>
        <w:tc>
          <w:tcPr>
            <w:tcW w:w="1178" w:type="dxa"/>
          </w:tcPr>
          <w:p w14:paraId="50854363" w14:textId="77777777" w:rsidR="00810699" w:rsidRPr="00B671B3"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3771F62"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w:t>
            </w:r>
          </w:p>
        </w:tc>
      </w:tr>
      <w:tr w:rsidR="00810699" w:rsidRPr="00B671B3" w14:paraId="5AFF2FB6"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7238A6C0"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02621023"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711AFE9"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shd w:val="clear" w:color="auto" w:fill="auto"/>
          </w:tcPr>
          <w:p w14:paraId="4C964308" w14:textId="77777777" w:rsidR="00810699" w:rsidRPr="00B671B3"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B965C05"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shd w:val="clear" w:color="auto" w:fill="auto"/>
          </w:tcPr>
          <w:p w14:paraId="1254F95F" w14:textId="77777777" w:rsidR="00810699" w:rsidRPr="00B671B3"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0EF64E9" w14:textId="77777777" w:rsidR="00810699" w:rsidRPr="00B671B3" w:rsidRDefault="00810699" w:rsidP="00A042C4">
            <w:pPr>
              <w:ind w:left="60" w:right="60"/>
              <w:jc w:val="right"/>
              <w:rPr>
                <w:rFonts w:ascii="Arial" w:eastAsia="Times New Roman" w:hAnsi="Arial" w:cs="Arial"/>
                <w:color w:val="auto"/>
              </w:rPr>
            </w:pPr>
          </w:p>
        </w:tc>
      </w:tr>
      <w:tr w:rsidR="00810699" w:rsidRPr="00B671B3" w14:paraId="702E8808" w14:textId="77777777" w:rsidTr="00810699">
        <w:trPr>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0AD636A2"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Firm Size</w:t>
            </w:r>
          </w:p>
        </w:tc>
        <w:tc>
          <w:tcPr>
            <w:tcW w:w="2285" w:type="dxa"/>
          </w:tcPr>
          <w:p w14:paraId="56FA8C56"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4E6B4E1"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.329</w:t>
            </w:r>
            <w:r w:rsidRPr="00B671B3">
              <w:rPr>
                <w:rFonts w:ascii="Arial" w:eastAsia="Times New Roman" w:hAnsi="Arial" w:cs="Arial"/>
                <w:color w:val="auto"/>
                <w:vertAlign w:val="superscript"/>
              </w:rPr>
              <w:t>**</w:t>
            </w:r>
          </w:p>
        </w:tc>
        <w:tc>
          <w:tcPr>
            <w:tcW w:w="1178" w:type="dxa"/>
          </w:tcPr>
          <w:p w14:paraId="01B5FC53"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.440</w:t>
            </w:r>
            <w:r w:rsidRPr="00B671B3">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3D9DB4CC"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.413</w:t>
            </w:r>
            <w:r w:rsidRPr="00B671B3">
              <w:rPr>
                <w:rFonts w:ascii="Arial" w:eastAsia="Times New Roman" w:hAnsi="Arial" w:cs="Arial"/>
                <w:color w:val="auto"/>
                <w:vertAlign w:val="superscript"/>
              </w:rPr>
              <w:t>**</w:t>
            </w:r>
          </w:p>
        </w:tc>
        <w:tc>
          <w:tcPr>
            <w:tcW w:w="1178" w:type="dxa"/>
          </w:tcPr>
          <w:p w14:paraId="662DDC3D"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.266</w:t>
            </w:r>
            <w:r w:rsidRPr="00B671B3">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0866F0BF"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w:t>
            </w:r>
          </w:p>
        </w:tc>
      </w:tr>
      <w:tr w:rsidR="00810699" w:rsidRPr="00B671B3" w14:paraId="0AF589D3" w14:textId="77777777" w:rsidTr="00810699">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44258109"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6DD3FFEC"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90DEFC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.080</w:t>
            </w:r>
          </w:p>
        </w:tc>
        <w:tc>
          <w:tcPr>
            <w:tcW w:w="1178" w:type="dxa"/>
            <w:shd w:val="clear" w:color="auto" w:fill="auto"/>
          </w:tcPr>
          <w:p w14:paraId="26B4867A"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.630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697C06C"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.120</w:t>
            </w:r>
          </w:p>
        </w:tc>
        <w:tc>
          <w:tcPr>
            <w:tcW w:w="1178" w:type="dxa"/>
            <w:shd w:val="clear" w:color="auto" w:fill="auto"/>
          </w:tcPr>
          <w:p w14:paraId="36BDE1BA"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.102</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D896507" w14:textId="77777777" w:rsidR="00810699" w:rsidRPr="00B671B3" w:rsidRDefault="00810699" w:rsidP="00A042C4">
            <w:pPr>
              <w:rPr>
                <w:rFonts w:ascii="Arial" w:eastAsia="Times New Roman" w:hAnsi="Arial" w:cs="Arial"/>
                <w:color w:val="auto"/>
              </w:rPr>
            </w:pPr>
          </w:p>
        </w:tc>
      </w:tr>
      <w:tr w:rsidR="00810699" w:rsidRPr="00B671B3" w14:paraId="51C516D2" w14:textId="77777777" w:rsidTr="00810699">
        <w:trPr>
          <w:trHeight w:val="556"/>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08B513AF"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25C0E49C"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40F0BD0"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tcPr>
          <w:p w14:paraId="00450DEC" w14:textId="77777777" w:rsidR="00810699" w:rsidRPr="00B671B3"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433C4AA"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tcPr>
          <w:p w14:paraId="010C94DD" w14:textId="77777777" w:rsidR="00810699" w:rsidRPr="00B671B3" w:rsidRDefault="00701FD7"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5AB7A1C0"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r>
      <w:tr w:rsidR="00810699" w:rsidRPr="00B671B3" w14:paraId="7059B264" w14:textId="77777777" w:rsidTr="00810699">
        <w:trPr>
          <w:cnfStyle w:val="000000100000" w:firstRow="0" w:lastRow="0" w:firstColumn="0" w:lastColumn="0" w:oddVBand="0" w:evenVBand="0" w:oddHBand="1" w:evenHBand="0" w:firstRowFirstColumn="0" w:firstRowLastColumn="0" w:lastRowFirstColumn="0" w:lastRowLastColumn="0"/>
          <w:trHeight w:val="556"/>
        </w:trPr>
        <w:tc>
          <w:tcPr>
            <w:cnfStyle w:val="000010000000" w:firstRow="0" w:lastRow="0" w:firstColumn="0" w:lastColumn="0" w:oddVBand="1" w:evenVBand="0" w:oddHBand="0" w:evenHBand="0" w:firstRowFirstColumn="0" w:firstRowLastColumn="0" w:lastRowFirstColumn="0" w:lastRowLastColumn="0"/>
            <w:tcW w:w="1160" w:type="dxa"/>
            <w:vMerge w:val="restart"/>
            <w:shd w:val="clear" w:color="auto" w:fill="auto"/>
          </w:tcPr>
          <w:p w14:paraId="110953F4"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Industry Regulation</w:t>
            </w:r>
          </w:p>
        </w:tc>
        <w:tc>
          <w:tcPr>
            <w:tcW w:w="2285" w:type="dxa"/>
            <w:shd w:val="clear" w:color="auto" w:fill="auto"/>
          </w:tcPr>
          <w:p w14:paraId="2DE66D11"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Pearson Correlation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BF2EC34"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.333</w:t>
            </w:r>
            <w:r w:rsidRPr="00B671B3">
              <w:rPr>
                <w:rFonts w:ascii="Arial" w:eastAsia="Times New Roman" w:hAnsi="Arial" w:cs="Arial"/>
                <w:color w:val="auto"/>
                <w:vertAlign w:val="superscript"/>
              </w:rPr>
              <w:t>**</w:t>
            </w:r>
          </w:p>
        </w:tc>
        <w:tc>
          <w:tcPr>
            <w:tcW w:w="1178" w:type="dxa"/>
            <w:shd w:val="clear" w:color="auto" w:fill="auto"/>
          </w:tcPr>
          <w:p w14:paraId="315C8E96"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.451</w:t>
            </w:r>
            <w:r w:rsidRPr="00B671B3">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6D6E888"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.504</w:t>
            </w:r>
            <w:r w:rsidRPr="00B671B3">
              <w:rPr>
                <w:rFonts w:ascii="Arial" w:eastAsia="Times New Roman" w:hAnsi="Arial" w:cs="Arial"/>
                <w:color w:val="auto"/>
                <w:vertAlign w:val="superscript"/>
              </w:rPr>
              <w:t>**</w:t>
            </w:r>
          </w:p>
        </w:tc>
        <w:tc>
          <w:tcPr>
            <w:tcW w:w="1178" w:type="dxa"/>
            <w:shd w:val="clear" w:color="auto" w:fill="auto"/>
          </w:tcPr>
          <w:p w14:paraId="3DA393A8"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.278</w:t>
            </w:r>
            <w:r w:rsidRPr="00B671B3">
              <w:rPr>
                <w:rFonts w:ascii="Arial" w:eastAsia="Times New Roman" w:hAnsi="Arial" w:cs="Arial"/>
                <w:color w:val="auto"/>
                <w:vertAlign w:val="superscript"/>
              </w:rPr>
              <w:t>**</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7645D3C"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.410</w:t>
            </w:r>
            <w:r w:rsidRPr="00B671B3">
              <w:rPr>
                <w:rFonts w:ascii="Arial" w:eastAsia="Times New Roman" w:hAnsi="Arial" w:cs="Arial"/>
                <w:color w:val="auto"/>
                <w:vertAlign w:val="superscript"/>
              </w:rPr>
              <w:t>**</w:t>
            </w:r>
          </w:p>
        </w:tc>
      </w:tr>
      <w:tr w:rsidR="00810699" w:rsidRPr="00B671B3" w14:paraId="54B2D12D" w14:textId="77777777" w:rsidTr="00810699">
        <w:trPr>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3C1DA03D"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tcPr>
          <w:p w14:paraId="57990C04"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 (2-tailed)</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256ED6B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.950</w:t>
            </w:r>
          </w:p>
        </w:tc>
        <w:tc>
          <w:tcPr>
            <w:tcW w:w="1178" w:type="dxa"/>
          </w:tcPr>
          <w:p w14:paraId="282FD51E"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.070</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E0FA0F0"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.0078</w:t>
            </w:r>
          </w:p>
        </w:tc>
        <w:tc>
          <w:tcPr>
            <w:tcW w:w="1178" w:type="dxa"/>
          </w:tcPr>
          <w:p w14:paraId="489DE423"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.006</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6C460175"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.013</w:t>
            </w:r>
          </w:p>
        </w:tc>
      </w:tr>
      <w:tr w:rsidR="00810699" w:rsidRPr="00B671B3" w14:paraId="22ECABA7" w14:textId="77777777" w:rsidTr="00810699">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1160" w:type="dxa"/>
            <w:vMerge/>
            <w:shd w:val="clear" w:color="auto" w:fill="auto"/>
          </w:tcPr>
          <w:p w14:paraId="6B0F85EF"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85" w:type="dxa"/>
            <w:shd w:val="clear" w:color="auto" w:fill="auto"/>
          </w:tcPr>
          <w:p w14:paraId="4D9212D1"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N</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7E8B277"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shd w:val="clear" w:color="auto" w:fill="auto"/>
          </w:tcPr>
          <w:p w14:paraId="35137791" w14:textId="77777777" w:rsidR="00810699" w:rsidRPr="00B671B3"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46DEC493"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c>
          <w:tcPr>
            <w:tcW w:w="1178" w:type="dxa"/>
            <w:shd w:val="clear" w:color="auto" w:fill="auto"/>
          </w:tcPr>
          <w:p w14:paraId="6B281F81" w14:textId="77777777" w:rsidR="00810699" w:rsidRPr="00B671B3" w:rsidRDefault="00701FD7"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178" w:type="dxa"/>
            <w:shd w:val="clear" w:color="auto" w:fill="auto"/>
          </w:tcPr>
          <w:p w14:paraId="7D4D8B79"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145</w:t>
            </w:r>
          </w:p>
        </w:tc>
      </w:tr>
    </w:tbl>
    <w:p w14:paraId="6C81E189" w14:textId="4BFB7916"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Source: Field Survey, 202</w:t>
      </w:r>
      <w:r w:rsidR="000E3763" w:rsidRPr="00B671B3">
        <w:rPr>
          <w:rFonts w:ascii="Arial" w:eastAsia="Times New Roman" w:hAnsi="Arial" w:cs="Arial"/>
        </w:rPr>
        <w:t>5</w:t>
      </w:r>
    </w:p>
    <w:p w14:paraId="4DB623A1" w14:textId="10CE0756"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Overall, the correlation matrix analysis suggests that the independent variables are related in complex ways and that a more detailed analysis is needed to fully understand the relationships between these variables. This analysis can be used to inform the development of a regression model that </w:t>
      </w:r>
      <w:r w:rsidR="00A13593" w:rsidRPr="00B671B3">
        <w:rPr>
          <w:rFonts w:ascii="Arial" w:eastAsia="Times New Roman" w:hAnsi="Arial" w:cs="Arial"/>
        </w:rPr>
        <w:t>considers</w:t>
      </w:r>
      <w:r w:rsidRPr="00B671B3">
        <w:rPr>
          <w:rFonts w:ascii="Arial" w:eastAsia="Times New Roman" w:hAnsi="Arial" w:cs="Arial"/>
        </w:rPr>
        <w:t xml:space="preserve"> the interrelationships between these variables.</w:t>
      </w:r>
    </w:p>
    <w:p w14:paraId="5F81AFAD" w14:textId="77777777" w:rsidR="00810699" w:rsidRPr="00B671B3" w:rsidRDefault="00701FD7" w:rsidP="00A042C4">
      <w:pPr>
        <w:pStyle w:val="Heading3"/>
        <w:spacing w:line="240" w:lineRule="auto"/>
        <w:rPr>
          <w:rFonts w:ascii="Arial" w:hAnsi="Arial" w:cs="Arial"/>
          <w:color w:val="auto"/>
          <w:sz w:val="22"/>
          <w:szCs w:val="22"/>
        </w:rPr>
      </w:pPr>
      <w:bookmarkStart w:id="38" w:name="_1mrcu09" w:colFirst="0" w:colLast="0"/>
      <w:bookmarkEnd w:id="38"/>
      <w:r w:rsidRPr="00B671B3">
        <w:rPr>
          <w:rFonts w:ascii="Arial" w:hAnsi="Arial" w:cs="Arial"/>
          <w:color w:val="auto"/>
          <w:sz w:val="22"/>
          <w:szCs w:val="22"/>
        </w:rPr>
        <w:t>4.4 The Impact of Corporate Governance in Financial Risk Management</w:t>
      </w:r>
    </w:p>
    <w:p w14:paraId="0D3D7809" w14:textId="1EF3098A"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regression results in Table </w:t>
      </w:r>
      <w:r w:rsidR="002B4C2B">
        <w:rPr>
          <w:rFonts w:ascii="Arial" w:eastAsia="Times New Roman" w:hAnsi="Arial" w:cs="Arial"/>
        </w:rPr>
        <w:t>3</w:t>
      </w:r>
      <w:r w:rsidRPr="00B671B3">
        <w:rPr>
          <w:rFonts w:ascii="Arial" w:eastAsia="Times New Roman" w:hAnsi="Arial" w:cs="Arial"/>
        </w:rPr>
        <w:t xml:space="preserve"> regarding the model summary reveal a strong fit between the predictors and the outcome variable, with an R-value of 0.784 and an R-square value of 0.615. This indicates that approximately 61.5% of the variation in financial risk management can be explained by the predictors. The adjusted R square value of 0.608 suggests that the model is a good fit even after accounting for the number of predictors.</w:t>
      </w:r>
    </w:p>
    <w:p w14:paraId="0A32B23C" w14:textId="77777777" w:rsidR="00810699" w:rsidRPr="00B671B3" w:rsidRDefault="00701FD7" w:rsidP="00A042C4">
      <w:pPr>
        <w:spacing w:after="0" w:line="240" w:lineRule="auto"/>
        <w:jc w:val="both"/>
        <w:rPr>
          <w:rFonts w:ascii="Arial" w:eastAsia="Times New Roman" w:hAnsi="Arial" w:cs="Arial"/>
        </w:rPr>
      </w:pPr>
      <w:r w:rsidRPr="00B671B3">
        <w:rPr>
          <w:rFonts w:ascii="Arial" w:eastAsia="Times New Roman" w:hAnsi="Arial" w:cs="Arial"/>
        </w:rPr>
        <w:t>The model includes seven predictors: Board Size, Board Independence, Board Meetings, CEO Duality, Firm Size, Industry Regulation, and a constant term. The coefficients of these predictors are not shown in this summary, but they can be examined in the coefficients table to determine the direction and significance of their relationships with financial risk management.</w:t>
      </w:r>
    </w:p>
    <w:p w14:paraId="55EC6DC7" w14:textId="77777777" w:rsidR="00810699" w:rsidRPr="00B671B3" w:rsidRDefault="00701FD7" w:rsidP="00A042C4">
      <w:pPr>
        <w:spacing w:before="240" w:line="240" w:lineRule="auto"/>
        <w:jc w:val="both"/>
        <w:rPr>
          <w:rFonts w:ascii="Arial" w:eastAsia="Times New Roman" w:hAnsi="Arial" w:cs="Arial"/>
        </w:rPr>
      </w:pPr>
      <w:r w:rsidRPr="00B671B3">
        <w:rPr>
          <w:rFonts w:ascii="Arial" w:eastAsia="Times New Roman" w:hAnsi="Arial" w:cs="Arial"/>
        </w:rPr>
        <w:t>The standard error of the estimate is 0.50383, which indicates the average amount of variation in financial risk management that is not explained by the predictors. This value can be used to construct confidence intervals and perform hypothesis tests.</w:t>
      </w:r>
    </w:p>
    <w:p w14:paraId="6A3C5E28" w14:textId="77777777" w:rsidR="00810699" w:rsidRPr="00B671B3" w:rsidRDefault="00701FD7" w:rsidP="00A042C4">
      <w:pPr>
        <w:spacing w:after="0" w:line="240" w:lineRule="auto"/>
        <w:jc w:val="both"/>
        <w:rPr>
          <w:rFonts w:ascii="Arial" w:eastAsia="Times New Roman" w:hAnsi="Arial" w:cs="Arial"/>
        </w:rPr>
      </w:pPr>
      <w:r w:rsidRPr="00B671B3">
        <w:rPr>
          <w:rFonts w:ascii="Arial" w:eastAsia="Times New Roman" w:hAnsi="Arial" w:cs="Arial"/>
        </w:rPr>
        <w:t>The model summary suggests that the predictors have a significant impact on financial risk management, and that the model is a good fit to the data. The results of this analysis can be used to inform the development of corporate governance practices that are effective in managing financial risk.</w:t>
      </w:r>
    </w:p>
    <w:p w14:paraId="28F50FD5" w14:textId="77777777" w:rsidR="00810699" w:rsidRPr="00B671B3" w:rsidRDefault="00810699" w:rsidP="00A042C4">
      <w:pPr>
        <w:spacing w:after="0" w:line="240" w:lineRule="auto"/>
        <w:rPr>
          <w:rFonts w:ascii="Arial" w:eastAsia="Times New Roman" w:hAnsi="Arial" w:cs="Arial"/>
        </w:rPr>
      </w:pPr>
    </w:p>
    <w:p w14:paraId="5C6D160D" w14:textId="5D2CD451"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bookmarkStart w:id="39" w:name="_3q5sasy" w:colFirst="0" w:colLast="0"/>
      <w:bookmarkEnd w:id="39"/>
      <w:r w:rsidRPr="00B671B3">
        <w:rPr>
          <w:rFonts w:ascii="Arial" w:eastAsia="Times New Roman" w:hAnsi="Arial" w:cs="Arial"/>
          <w:b/>
        </w:rPr>
        <w:t xml:space="preserve">Table </w:t>
      </w:r>
      <w:r w:rsidR="002B4C2B">
        <w:rPr>
          <w:rFonts w:ascii="Arial" w:eastAsia="Times New Roman" w:hAnsi="Arial" w:cs="Arial"/>
          <w:b/>
        </w:rPr>
        <w:t>3</w:t>
      </w:r>
      <w:r w:rsidRPr="00B671B3">
        <w:rPr>
          <w:rFonts w:ascii="Arial" w:eastAsia="Times New Roman" w:hAnsi="Arial" w:cs="Arial"/>
          <w:b/>
        </w:rPr>
        <w:t xml:space="preserve"> - Model Summary</w:t>
      </w:r>
    </w:p>
    <w:tbl>
      <w:tblPr>
        <w:tblStyle w:val="a2"/>
        <w:tblW w:w="8569" w:type="dxa"/>
        <w:tblLayout w:type="fixed"/>
        <w:tblLook w:val="0000" w:firstRow="0" w:lastRow="0" w:firstColumn="0" w:lastColumn="0" w:noHBand="0" w:noVBand="0"/>
      </w:tblPr>
      <w:tblGrid>
        <w:gridCol w:w="1165"/>
        <w:gridCol w:w="1501"/>
        <w:gridCol w:w="1592"/>
        <w:gridCol w:w="2154"/>
        <w:gridCol w:w="2157"/>
      </w:tblGrid>
      <w:tr w:rsidR="00810699" w:rsidRPr="00B671B3" w14:paraId="084CBF49" w14:textId="77777777">
        <w:trPr>
          <w:cantSplit/>
          <w:trHeight w:val="489"/>
        </w:trPr>
        <w:tc>
          <w:tcPr>
            <w:tcW w:w="1165" w:type="dxa"/>
            <w:tcBorders>
              <w:top w:val="single" w:sz="4" w:space="0" w:color="000000"/>
              <w:left w:val="nil"/>
              <w:bottom w:val="single" w:sz="8" w:space="0" w:color="152935"/>
              <w:right w:val="nil"/>
            </w:tcBorders>
            <w:vAlign w:val="bottom"/>
          </w:tcPr>
          <w:p w14:paraId="5FF3C8FD"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Model</w:t>
            </w:r>
          </w:p>
        </w:tc>
        <w:tc>
          <w:tcPr>
            <w:tcW w:w="1501" w:type="dxa"/>
            <w:tcBorders>
              <w:top w:val="single" w:sz="4" w:space="0" w:color="000000"/>
              <w:left w:val="nil"/>
              <w:bottom w:val="single" w:sz="8" w:space="0" w:color="152935"/>
              <w:right w:val="single" w:sz="8" w:space="0" w:color="E0E0E0"/>
            </w:tcBorders>
            <w:vAlign w:val="bottom"/>
          </w:tcPr>
          <w:p w14:paraId="26726AB4"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R</w:t>
            </w:r>
          </w:p>
        </w:tc>
        <w:tc>
          <w:tcPr>
            <w:tcW w:w="1592" w:type="dxa"/>
            <w:tcBorders>
              <w:top w:val="single" w:sz="4" w:space="0" w:color="000000"/>
              <w:left w:val="single" w:sz="8" w:space="0" w:color="E0E0E0"/>
              <w:bottom w:val="single" w:sz="8" w:space="0" w:color="152935"/>
              <w:right w:val="single" w:sz="8" w:space="0" w:color="E0E0E0"/>
            </w:tcBorders>
            <w:vAlign w:val="bottom"/>
          </w:tcPr>
          <w:p w14:paraId="0E74383C"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R Square</w:t>
            </w:r>
          </w:p>
        </w:tc>
        <w:tc>
          <w:tcPr>
            <w:tcW w:w="2154" w:type="dxa"/>
            <w:tcBorders>
              <w:top w:val="single" w:sz="4" w:space="0" w:color="000000"/>
              <w:left w:val="single" w:sz="8" w:space="0" w:color="E0E0E0"/>
              <w:bottom w:val="single" w:sz="8" w:space="0" w:color="152935"/>
              <w:right w:val="single" w:sz="8" w:space="0" w:color="E0E0E0"/>
            </w:tcBorders>
            <w:vAlign w:val="bottom"/>
          </w:tcPr>
          <w:p w14:paraId="1B9E1C28"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Adjusted R Square</w:t>
            </w:r>
          </w:p>
        </w:tc>
        <w:tc>
          <w:tcPr>
            <w:tcW w:w="2157" w:type="dxa"/>
            <w:tcBorders>
              <w:top w:val="single" w:sz="4" w:space="0" w:color="000000"/>
              <w:left w:val="single" w:sz="8" w:space="0" w:color="E0E0E0"/>
              <w:bottom w:val="single" w:sz="8" w:space="0" w:color="152935"/>
              <w:right w:val="nil"/>
            </w:tcBorders>
            <w:vAlign w:val="bottom"/>
          </w:tcPr>
          <w:p w14:paraId="1BAAF384"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Std. Error of the Estimate</w:t>
            </w:r>
          </w:p>
        </w:tc>
      </w:tr>
      <w:tr w:rsidR="00810699" w:rsidRPr="00B671B3" w14:paraId="117ADAF0" w14:textId="77777777">
        <w:trPr>
          <w:cantSplit/>
          <w:trHeight w:val="236"/>
        </w:trPr>
        <w:tc>
          <w:tcPr>
            <w:tcW w:w="1165" w:type="dxa"/>
            <w:tcBorders>
              <w:top w:val="single" w:sz="8" w:space="0" w:color="152935"/>
              <w:left w:val="nil"/>
              <w:bottom w:val="single" w:sz="8" w:space="0" w:color="152935"/>
              <w:right w:val="nil"/>
            </w:tcBorders>
          </w:tcPr>
          <w:p w14:paraId="03530D12"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1</w:t>
            </w:r>
          </w:p>
        </w:tc>
        <w:tc>
          <w:tcPr>
            <w:tcW w:w="1501" w:type="dxa"/>
            <w:tcBorders>
              <w:top w:val="single" w:sz="8" w:space="0" w:color="152935"/>
              <w:left w:val="nil"/>
              <w:bottom w:val="single" w:sz="8" w:space="0" w:color="152935"/>
              <w:right w:val="single" w:sz="8" w:space="0" w:color="E0E0E0"/>
            </w:tcBorders>
          </w:tcPr>
          <w:p w14:paraId="24290BD6"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0.784</w:t>
            </w:r>
            <w:r w:rsidRPr="00B671B3">
              <w:rPr>
                <w:rFonts w:ascii="Arial" w:eastAsia="Times New Roman" w:hAnsi="Arial" w:cs="Arial"/>
                <w:vertAlign w:val="superscript"/>
              </w:rPr>
              <w:t>a</w:t>
            </w:r>
          </w:p>
        </w:tc>
        <w:tc>
          <w:tcPr>
            <w:tcW w:w="1592" w:type="dxa"/>
            <w:tcBorders>
              <w:top w:val="single" w:sz="8" w:space="0" w:color="152935"/>
              <w:left w:val="single" w:sz="8" w:space="0" w:color="E0E0E0"/>
              <w:bottom w:val="single" w:sz="8" w:space="0" w:color="152935"/>
              <w:right w:val="single" w:sz="8" w:space="0" w:color="E0E0E0"/>
            </w:tcBorders>
          </w:tcPr>
          <w:p w14:paraId="55B7CF3C"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0.615</w:t>
            </w:r>
          </w:p>
        </w:tc>
        <w:tc>
          <w:tcPr>
            <w:tcW w:w="2154" w:type="dxa"/>
            <w:tcBorders>
              <w:top w:val="single" w:sz="8" w:space="0" w:color="152935"/>
              <w:left w:val="single" w:sz="8" w:space="0" w:color="E0E0E0"/>
              <w:bottom w:val="single" w:sz="8" w:space="0" w:color="152935"/>
              <w:right w:val="single" w:sz="8" w:space="0" w:color="E0E0E0"/>
            </w:tcBorders>
          </w:tcPr>
          <w:p w14:paraId="07960E03"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0.608</w:t>
            </w:r>
          </w:p>
        </w:tc>
        <w:tc>
          <w:tcPr>
            <w:tcW w:w="2157" w:type="dxa"/>
            <w:tcBorders>
              <w:top w:val="single" w:sz="8" w:space="0" w:color="152935"/>
              <w:left w:val="single" w:sz="8" w:space="0" w:color="E0E0E0"/>
              <w:bottom w:val="single" w:sz="8" w:space="0" w:color="152935"/>
              <w:right w:val="nil"/>
            </w:tcBorders>
          </w:tcPr>
          <w:p w14:paraId="22A43B12"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0.50383</w:t>
            </w:r>
          </w:p>
        </w:tc>
      </w:tr>
      <w:tr w:rsidR="00810699" w:rsidRPr="00B671B3" w14:paraId="48406E60" w14:textId="77777777">
        <w:trPr>
          <w:cantSplit/>
          <w:trHeight w:val="804"/>
        </w:trPr>
        <w:tc>
          <w:tcPr>
            <w:tcW w:w="8569" w:type="dxa"/>
            <w:gridSpan w:val="5"/>
            <w:tcBorders>
              <w:top w:val="nil"/>
              <w:left w:val="nil"/>
              <w:bottom w:val="nil"/>
              <w:right w:val="nil"/>
            </w:tcBorders>
          </w:tcPr>
          <w:p w14:paraId="312DE1E9" w14:textId="77777777" w:rsidR="00810699" w:rsidRPr="00B671B3" w:rsidRDefault="00701FD7" w:rsidP="00A042C4">
            <w:pPr>
              <w:spacing w:line="240" w:lineRule="auto"/>
              <w:rPr>
                <w:rFonts w:ascii="Arial" w:eastAsia="Times New Roman" w:hAnsi="Arial" w:cs="Arial"/>
              </w:rPr>
            </w:pPr>
            <w:r w:rsidRPr="00B671B3">
              <w:rPr>
                <w:rFonts w:ascii="Arial" w:eastAsia="Times New Roman" w:hAnsi="Arial" w:cs="Arial"/>
              </w:rPr>
              <w:t xml:space="preserve">a. Predictors: (Constant), </w:t>
            </w:r>
            <w:r w:rsidRPr="00B671B3">
              <w:rPr>
                <w:rFonts w:ascii="Arial" w:eastAsia="Times New Roman" w:hAnsi="Arial" w:cs="Arial"/>
                <w:i/>
              </w:rPr>
              <w:t>Board Size, Board Independence, Board Meetings, CEO Duality, Firm Size, Industry Regulation</w:t>
            </w:r>
          </w:p>
        </w:tc>
      </w:tr>
    </w:tbl>
    <w:p w14:paraId="6AD744B2" w14:textId="77777777" w:rsidR="00810699" w:rsidRPr="00B671B3" w:rsidRDefault="00810699" w:rsidP="00A042C4">
      <w:pPr>
        <w:spacing w:after="0" w:line="240" w:lineRule="auto"/>
        <w:rPr>
          <w:rFonts w:ascii="Arial" w:eastAsia="Times New Roman" w:hAnsi="Arial" w:cs="Arial"/>
        </w:rPr>
      </w:pPr>
    </w:p>
    <w:p w14:paraId="5F73491D" w14:textId="156F5F61" w:rsidR="00810699" w:rsidRPr="00B671B3" w:rsidRDefault="00701FD7" w:rsidP="00A042C4">
      <w:pPr>
        <w:spacing w:after="0" w:line="240" w:lineRule="auto"/>
        <w:jc w:val="both"/>
        <w:rPr>
          <w:rFonts w:ascii="Arial" w:eastAsia="Times New Roman" w:hAnsi="Arial" w:cs="Arial"/>
        </w:rPr>
      </w:pPr>
      <w:r w:rsidRPr="00B671B3">
        <w:rPr>
          <w:rFonts w:ascii="Arial" w:eastAsia="Times New Roman" w:hAnsi="Arial" w:cs="Arial"/>
        </w:rPr>
        <w:lastRenderedPageBreak/>
        <w:t xml:space="preserve">The ANOVA table (Table </w:t>
      </w:r>
      <w:r w:rsidR="002B4C2B">
        <w:rPr>
          <w:rFonts w:ascii="Arial" w:eastAsia="Times New Roman" w:hAnsi="Arial" w:cs="Arial"/>
        </w:rPr>
        <w:t>4</w:t>
      </w:r>
      <w:r w:rsidRPr="00B671B3">
        <w:rPr>
          <w:rFonts w:ascii="Arial" w:eastAsia="Times New Roman" w:hAnsi="Arial" w:cs="Arial"/>
        </w:rPr>
        <w:t>) shows the results of the regression model, with the dependent variable being Financial Risk Management and the predictors being Board Size, Board Independence, Board Meetings, CEO Duality, Firm Size, and Industry Regulation. The model explains a significant amount of variation in Financial Risk Management, with an R square value of 0.615 (from the model summary table).</w:t>
      </w:r>
    </w:p>
    <w:p w14:paraId="64C8BF51" w14:textId="6D7861ED" w:rsidR="00810699" w:rsidRPr="00B671B3" w:rsidRDefault="00701FD7" w:rsidP="00A042C4">
      <w:pPr>
        <w:spacing w:after="0" w:line="240" w:lineRule="auto"/>
        <w:jc w:val="both"/>
        <w:rPr>
          <w:rFonts w:ascii="Arial" w:eastAsia="Times New Roman" w:hAnsi="Arial" w:cs="Arial"/>
        </w:rPr>
      </w:pPr>
      <w:r w:rsidRPr="00B671B3">
        <w:rPr>
          <w:rFonts w:ascii="Arial" w:eastAsia="Times New Roman" w:hAnsi="Arial" w:cs="Arial"/>
        </w:rPr>
        <w:t xml:space="preserve">The regression model in Table </w:t>
      </w:r>
      <w:r w:rsidR="002B4C2B">
        <w:rPr>
          <w:rFonts w:ascii="Arial" w:eastAsia="Times New Roman" w:hAnsi="Arial" w:cs="Arial"/>
        </w:rPr>
        <w:t>4</w:t>
      </w:r>
      <w:r w:rsidRPr="00B671B3">
        <w:rPr>
          <w:rFonts w:ascii="Arial" w:eastAsia="Times New Roman" w:hAnsi="Arial" w:cs="Arial"/>
        </w:rPr>
        <w:t xml:space="preserve"> has a sum of squares of 152.058, with a mean square of 21.723. The residual sum of squares is 95.190, with a mean square of 0.254. The F statistic is 85.575, which is significant at the 0.000 level. The significance test indicates that the regression model is significant, with a p-value of 0.000. This suggests that the predictors have a significant impact on Financial Risk Management.</w:t>
      </w:r>
    </w:p>
    <w:p w14:paraId="046061D8" w14:textId="77777777" w:rsidR="00810699" w:rsidRPr="00B671B3" w:rsidRDefault="00701FD7" w:rsidP="00A042C4">
      <w:pPr>
        <w:spacing w:after="0" w:line="240" w:lineRule="auto"/>
        <w:jc w:val="both"/>
        <w:rPr>
          <w:rFonts w:ascii="Arial" w:eastAsia="Times New Roman" w:hAnsi="Arial" w:cs="Arial"/>
        </w:rPr>
      </w:pPr>
      <w:r w:rsidRPr="00B671B3">
        <w:rPr>
          <w:rFonts w:ascii="Arial" w:eastAsia="Times New Roman" w:hAnsi="Arial" w:cs="Arial"/>
        </w:rPr>
        <w:t>The hypothesis "Corporate governance has no impact on financial risk management in the sector pension schemes in Ghana" can be rejected. The results of the ANOVA analysis show that the predictors have a significant impact on Financial Risk Management, indicating that corporate governance does have an impact on financial risk management in the sector pension schemes in Ghana. The decision to reject the hypothesis is based on the significant F statistic and the low p value. According to Cohen (1988), a p-value of less than 0.05 indicates statistical significance. In this case, the p-value is 0.000, which is much lower than the critical value of 0.05. Therefore, the null hypothesis can be rejected, and it can be concluded that corporate governance has a significant impact on financial risk management in the sector pension schemes in Ghana.</w:t>
      </w:r>
    </w:p>
    <w:p w14:paraId="00963FAA" w14:textId="77777777" w:rsidR="00810699" w:rsidRPr="00B671B3" w:rsidRDefault="00810699" w:rsidP="00A042C4">
      <w:pPr>
        <w:spacing w:after="0" w:line="240" w:lineRule="auto"/>
        <w:rPr>
          <w:rFonts w:ascii="Arial" w:eastAsia="Times New Roman" w:hAnsi="Arial" w:cs="Arial"/>
        </w:rPr>
      </w:pPr>
    </w:p>
    <w:p w14:paraId="1F1505F9" w14:textId="5F551108"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bookmarkStart w:id="40" w:name="_25b2l0r" w:colFirst="0" w:colLast="0"/>
      <w:bookmarkEnd w:id="40"/>
      <w:r w:rsidRPr="00B671B3">
        <w:rPr>
          <w:rFonts w:ascii="Arial" w:eastAsia="Times New Roman" w:hAnsi="Arial" w:cs="Arial"/>
          <w:b/>
        </w:rPr>
        <w:t xml:space="preserve">Table </w:t>
      </w:r>
      <w:r w:rsidR="002B4C2B">
        <w:rPr>
          <w:rFonts w:ascii="Arial" w:eastAsia="Times New Roman" w:hAnsi="Arial" w:cs="Arial"/>
          <w:b/>
        </w:rPr>
        <w:t>4</w:t>
      </w:r>
      <w:r w:rsidRPr="00B671B3">
        <w:rPr>
          <w:rFonts w:ascii="Arial" w:eastAsia="Times New Roman" w:hAnsi="Arial" w:cs="Arial"/>
          <w:b/>
        </w:rPr>
        <w:t xml:space="preserve"> - </w:t>
      </w:r>
      <w:proofErr w:type="spellStart"/>
      <w:r w:rsidRPr="00B671B3">
        <w:rPr>
          <w:rFonts w:ascii="Arial" w:eastAsia="Times New Roman" w:hAnsi="Arial" w:cs="Arial"/>
          <w:b/>
        </w:rPr>
        <w:t>ANOVA</w:t>
      </w:r>
      <w:r w:rsidRPr="00B671B3">
        <w:rPr>
          <w:rFonts w:ascii="Arial" w:eastAsia="Times New Roman" w:hAnsi="Arial" w:cs="Arial"/>
          <w:b/>
          <w:vertAlign w:val="subscript"/>
        </w:rPr>
        <w:t>a</w:t>
      </w:r>
      <w:proofErr w:type="spellEnd"/>
    </w:p>
    <w:tbl>
      <w:tblPr>
        <w:tblStyle w:val="a3"/>
        <w:tblW w:w="8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445"/>
        <w:gridCol w:w="1653"/>
        <w:gridCol w:w="1153"/>
        <w:gridCol w:w="1584"/>
        <w:gridCol w:w="1153"/>
        <w:gridCol w:w="1155"/>
      </w:tblGrid>
      <w:tr w:rsidR="00810699" w:rsidRPr="00B671B3" w14:paraId="15BDCEF3" w14:textId="77777777" w:rsidTr="00810699">
        <w:trPr>
          <w:cnfStyle w:val="000000100000" w:firstRow="0" w:lastRow="0" w:firstColumn="0" w:lastColumn="0" w:oddVBand="0" w:evenVBand="0" w:oddHBand="1" w:evenHBand="0" w:firstRowFirstColumn="0" w:firstRowLastColumn="0" w:lastRowFirstColumn="0" w:lastRowLastColumn="0"/>
          <w:trHeight w:val="590"/>
        </w:trPr>
        <w:tc>
          <w:tcPr>
            <w:cnfStyle w:val="000010000000" w:firstRow="0" w:lastRow="0" w:firstColumn="0" w:lastColumn="0" w:oddVBand="1" w:evenVBand="0" w:oddHBand="0" w:evenHBand="0" w:firstRowFirstColumn="0" w:firstRowLastColumn="0" w:lastRowFirstColumn="0" w:lastRowLastColumn="0"/>
            <w:tcW w:w="2269" w:type="dxa"/>
            <w:gridSpan w:val="2"/>
            <w:tcBorders>
              <w:bottom w:val="single" w:sz="4" w:space="0" w:color="000000"/>
            </w:tcBorders>
            <w:shd w:val="clear" w:color="auto" w:fill="auto"/>
          </w:tcPr>
          <w:p w14:paraId="0492D131"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Model</w:t>
            </w:r>
          </w:p>
        </w:tc>
        <w:tc>
          <w:tcPr>
            <w:tcW w:w="1653" w:type="dxa"/>
            <w:tcBorders>
              <w:bottom w:val="single" w:sz="4" w:space="0" w:color="000000"/>
            </w:tcBorders>
            <w:shd w:val="clear" w:color="auto" w:fill="auto"/>
          </w:tcPr>
          <w:p w14:paraId="0F6FF878"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Sum of Squares</w:t>
            </w:r>
          </w:p>
        </w:tc>
        <w:tc>
          <w:tcPr>
            <w:cnfStyle w:val="000010000000" w:firstRow="0" w:lastRow="0" w:firstColumn="0" w:lastColumn="0" w:oddVBand="1" w:evenVBand="0" w:oddHBand="0" w:evenHBand="0" w:firstRowFirstColumn="0" w:firstRowLastColumn="0" w:lastRowFirstColumn="0" w:lastRowLastColumn="0"/>
            <w:tcW w:w="1153" w:type="dxa"/>
            <w:tcBorders>
              <w:bottom w:val="single" w:sz="4" w:space="0" w:color="000000"/>
            </w:tcBorders>
            <w:shd w:val="clear" w:color="auto" w:fill="auto"/>
          </w:tcPr>
          <w:p w14:paraId="559BBD24"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df</w:t>
            </w:r>
          </w:p>
        </w:tc>
        <w:tc>
          <w:tcPr>
            <w:tcW w:w="1584" w:type="dxa"/>
            <w:tcBorders>
              <w:bottom w:val="single" w:sz="4" w:space="0" w:color="000000"/>
            </w:tcBorders>
            <w:shd w:val="clear" w:color="auto" w:fill="auto"/>
          </w:tcPr>
          <w:p w14:paraId="52B3F059"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Mean Square</w:t>
            </w:r>
          </w:p>
        </w:tc>
        <w:tc>
          <w:tcPr>
            <w:cnfStyle w:val="000010000000" w:firstRow="0" w:lastRow="0" w:firstColumn="0" w:lastColumn="0" w:oddVBand="1" w:evenVBand="0" w:oddHBand="0" w:evenHBand="0" w:firstRowFirstColumn="0" w:firstRowLastColumn="0" w:lastRowFirstColumn="0" w:lastRowLastColumn="0"/>
            <w:tcW w:w="1153" w:type="dxa"/>
            <w:tcBorders>
              <w:bottom w:val="single" w:sz="4" w:space="0" w:color="000000"/>
            </w:tcBorders>
            <w:shd w:val="clear" w:color="auto" w:fill="auto"/>
          </w:tcPr>
          <w:p w14:paraId="5C185588"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F</w:t>
            </w:r>
          </w:p>
        </w:tc>
        <w:tc>
          <w:tcPr>
            <w:tcW w:w="1155" w:type="dxa"/>
            <w:shd w:val="clear" w:color="auto" w:fill="auto"/>
          </w:tcPr>
          <w:p w14:paraId="2C961C06"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Sig.</w:t>
            </w:r>
          </w:p>
        </w:tc>
      </w:tr>
      <w:tr w:rsidR="00810699" w:rsidRPr="00B671B3" w14:paraId="159401E3" w14:textId="77777777" w:rsidTr="00810699">
        <w:trPr>
          <w:trHeight w:val="291"/>
        </w:trPr>
        <w:tc>
          <w:tcPr>
            <w:cnfStyle w:val="000010000000" w:firstRow="0" w:lastRow="0" w:firstColumn="0" w:lastColumn="0" w:oddVBand="1" w:evenVBand="0" w:oddHBand="0" w:evenHBand="0" w:firstRowFirstColumn="0" w:firstRowLastColumn="0" w:lastRowFirstColumn="0" w:lastRowLastColumn="0"/>
            <w:tcW w:w="824" w:type="dxa"/>
            <w:vMerge w:val="restart"/>
            <w:tcBorders>
              <w:top w:val="single" w:sz="4" w:space="0" w:color="000000"/>
            </w:tcBorders>
            <w:shd w:val="clear" w:color="auto" w:fill="auto"/>
          </w:tcPr>
          <w:p w14:paraId="2DB8FFAB"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1</w:t>
            </w:r>
          </w:p>
        </w:tc>
        <w:tc>
          <w:tcPr>
            <w:tcW w:w="1445" w:type="dxa"/>
            <w:tcBorders>
              <w:top w:val="single" w:sz="4" w:space="0" w:color="000000"/>
            </w:tcBorders>
          </w:tcPr>
          <w:p w14:paraId="2D351039"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Regression</w:t>
            </w:r>
          </w:p>
        </w:tc>
        <w:tc>
          <w:tcPr>
            <w:cnfStyle w:val="000010000000" w:firstRow="0" w:lastRow="0" w:firstColumn="0" w:lastColumn="0" w:oddVBand="1" w:evenVBand="0" w:oddHBand="0" w:evenHBand="0" w:firstRowFirstColumn="0" w:firstRowLastColumn="0" w:lastRowFirstColumn="0" w:lastRowLastColumn="0"/>
            <w:tcW w:w="1653" w:type="dxa"/>
            <w:tcBorders>
              <w:top w:val="single" w:sz="4" w:space="0" w:color="000000"/>
            </w:tcBorders>
            <w:shd w:val="clear" w:color="auto" w:fill="auto"/>
          </w:tcPr>
          <w:p w14:paraId="67BC3106"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152.058</w:t>
            </w:r>
          </w:p>
        </w:tc>
        <w:tc>
          <w:tcPr>
            <w:tcW w:w="1153" w:type="dxa"/>
            <w:tcBorders>
              <w:top w:val="single" w:sz="4" w:space="0" w:color="000000"/>
            </w:tcBorders>
          </w:tcPr>
          <w:p w14:paraId="39B1969C"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7</w:t>
            </w:r>
          </w:p>
        </w:tc>
        <w:tc>
          <w:tcPr>
            <w:cnfStyle w:val="000010000000" w:firstRow="0" w:lastRow="0" w:firstColumn="0" w:lastColumn="0" w:oddVBand="1" w:evenVBand="0" w:oddHBand="0" w:evenHBand="0" w:firstRowFirstColumn="0" w:firstRowLastColumn="0" w:lastRowFirstColumn="0" w:lastRowLastColumn="0"/>
            <w:tcW w:w="1584" w:type="dxa"/>
            <w:tcBorders>
              <w:top w:val="single" w:sz="4" w:space="0" w:color="000000"/>
            </w:tcBorders>
            <w:shd w:val="clear" w:color="auto" w:fill="auto"/>
          </w:tcPr>
          <w:p w14:paraId="6CEBB9EF"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21.723</w:t>
            </w:r>
          </w:p>
        </w:tc>
        <w:tc>
          <w:tcPr>
            <w:tcW w:w="1153" w:type="dxa"/>
            <w:tcBorders>
              <w:top w:val="single" w:sz="4" w:space="0" w:color="000000"/>
            </w:tcBorders>
          </w:tcPr>
          <w:p w14:paraId="2A48E8CE"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85.575</w:t>
            </w:r>
          </w:p>
        </w:tc>
        <w:tc>
          <w:tcPr>
            <w:cnfStyle w:val="000010000000" w:firstRow="0" w:lastRow="0" w:firstColumn="0" w:lastColumn="0" w:oddVBand="1" w:evenVBand="0" w:oddHBand="0" w:evenHBand="0" w:firstRowFirstColumn="0" w:firstRowLastColumn="0" w:lastRowFirstColumn="0" w:lastRowLastColumn="0"/>
            <w:tcW w:w="1155" w:type="dxa"/>
            <w:shd w:val="clear" w:color="auto" w:fill="auto"/>
          </w:tcPr>
          <w:p w14:paraId="4A17FEBA"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0.000</w:t>
            </w:r>
            <w:r w:rsidRPr="00B671B3">
              <w:rPr>
                <w:rFonts w:ascii="Arial" w:eastAsia="Times New Roman" w:hAnsi="Arial" w:cs="Arial"/>
                <w:color w:val="auto"/>
                <w:vertAlign w:val="superscript"/>
              </w:rPr>
              <w:t>b</w:t>
            </w:r>
          </w:p>
        </w:tc>
      </w:tr>
      <w:tr w:rsidR="00810699" w:rsidRPr="00B671B3" w14:paraId="06199CCB" w14:textId="77777777" w:rsidTr="00810699">
        <w:trPr>
          <w:cnfStyle w:val="000000100000" w:firstRow="0" w:lastRow="0" w:firstColumn="0" w:lastColumn="0" w:oddVBand="0" w:evenVBand="0" w:oddHBand="1" w:evenHBand="0" w:firstRowFirstColumn="0" w:firstRowLastColumn="0" w:lastRowFirstColumn="0" w:lastRowLastColumn="0"/>
          <w:trHeight w:val="326"/>
        </w:trPr>
        <w:tc>
          <w:tcPr>
            <w:cnfStyle w:val="000010000000" w:firstRow="0" w:lastRow="0" w:firstColumn="0" w:lastColumn="0" w:oddVBand="1" w:evenVBand="0" w:oddHBand="0" w:evenHBand="0" w:firstRowFirstColumn="0" w:firstRowLastColumn="0" w:lastRowFirstColumn="0" w:lastRowLastColumn="0"/>
            <w:tcW w:w="824" w:type="dxa"/>
            <w:vMerge/>
            <w:tcBorders>
              <w:top w:val="single" w:sz="4" w:space="0" w:color="000000"/>
            </w:tcBorders>
            <w:shd w:val="clear" w:color="auto" w:fill="auto"/>
          </w:tcPr>
          <w:p w14:paraId="6A190C8C"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1445" w:type="dxa"/>
            <w:shd w:val="clear" w:color="auto" w:fill="auto"/>
          </w:tcPr>
          <w:p w14:paraId="5E0341B5" w14:textId="77777777" w:rsidR="00810699" w:rsidRPr="00B671B3" w:rsidRDefault="00701FD7" w:rsidP="00A042C4">
            <w:pPr>
              <w:ind w:left="60" w:right="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Residual</w:t>
            </w:r>
          </w:p>
        </w:tc>
        <w:tc>
          <w:tcPr>
            <w:cnfStyle w:val="000010000000" w:firstRow="0" w:lastRow="0" w:firstColumn="0" w:lastColumn="0" w:oddVBand="1" w:evenVBand="0" w:oddHBand="0" w:evenHBand="0" w:firstRowFirstColumn="0" w:firstRowLastColumn="0" w:lastRowFirstColumn="0" w:lastRowLastColumn="0"/>
            <w:tcW w:w="1653" w:type="dxa"/>
            <w:shd w:val="clear" w:color="auto" w:fill="auto"/>
          </w:tcPr>
          <w:p w14:paraId="3DFC9758"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95.190</w:t>
            </w:r>
          </w:p>
        </w:tc>
        <w:tc>
          <w:tcPr>
            <w:tcW w:w="1153" w:type="dxa"/>
            <w:shd w:val="clear" w:color="auto" w:fill="auto"/>
          </w:tcPr>
          <w:p w14:paraId="1E46D59A" w14:textId="77777777" w:rsidR="00810699" w:rsidRPr="00B671B3" w:rsidRDefault="00701FD7" w:rsidP="00A042C4">
            <w:pPr>
              <w:ind w:left="60" w:right="6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135</w:t>
            </w:r>
          </w:p>
        </w:tc>
        <w:tc>
          <w:tcPr>
            <w:cnfStyle w:val="000010000000" w:firstRow="0" w:lastRow="0" w:firstColumn="0" w:lastColumn="0" w:oddVBand="1" w:evenVBand="0" w:oddHBand="0" w:evenHBand="0" w:firstRowFirstColumn="0" w:firstRowLastColumn="0" w:lastRowFirstColumn="0" w:lastRowLastColumn="0"/>
            <w:tcW w:w="1584" w:type="dxa"/>
            <w:shd w:val="clear" w:color="auto" w:fill="auto"/>
          </w:tcPr>
          <w:p w14:paraId="1E7D2520"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0.254</w:t>
            </w:r>
          </w:p>
        </w:tc>
        <w:tc>
          <w:tcPr>
            <w:tcW w:w="1153" w:type="dxa"/>
            <w:shd w:val="clear" w:color="auto" w:fill="auto"/>
          </w:tcPr>
          <w:p w14:paraId="42060E99" w14:textId="77777777" w:rsidR="00810699" w:rsidRPr="00B671B3" w:rsidRDefault="00810699" w:rsidP="00A042C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55" w:type="dxa"/>
            <w:shd w:val="clear" w:color="auto" w:fill="auto"/>
          </w:tcPr>
          <w:p w14:paraId="7D6AD27A" w14:textId="77777777" w:rsidR="00810699" w:rsidRPr="00B671B3" w:rsidRDefault="00810699" w:rsidP="00A042C4">
            <w:pPr>
              <w:rPr>
                <w:rFonts w:ascii="Arial" w:eastAsia="Times New Roman" w:hAnsi="Arial" w:cs="Arial"/>
                <w:color w:val="auto"/>
              </w:rPr>
            </w:pPr>
          </w:p>
        </w:tc>
      </w:tr>
      <w:tr w:rsidR="00810699" w:rsidRPr="00B671B3" w14:paraId="12AECC5F" w14:textId="77777777" w:rsidTr="00810699">
        <w:trPr>
          <w:trHeight w:val="291"/>
        </w:trPr>
        <w:tc>
          <w:tcPr>
            <w:cnfStyle w:val="000010000000" w:firstRow="0" w:lastRow="0" w:firstColumn="0" w:lastColumn="0" w:oddVBand="1" w:evenVBand="0" w:oddHBand="0" w:evenHBand="0" w:firstRowFirstColumn="0" w:firstRowLastColumn="0" w:lastRowFirstColumn="0" w:lastRowLastColumn="0"/>
            <w:tcW w:w="824" w:type="dxa"/>
            <w:vMerge/>
            <w:tcBorders>
              <w:top w:val="single" w:sz="4" w:space="0" w:color="000000"/>
            </w:tcBorders>
            <w:shd w:val="clear" w:color="auto" w:fill="auto"/>
          </w:tcPr>
          <w:p w14:paraId="1FA0BEA3"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1445" w:type="dxa"/>
            <w:tcBorders>
              <w:bottom w:val="single" w:sz="4" w:space="0" w:color="000000"/>
            </w:tcBorders>
          </w:tcPr>
          <w:p w14:paraId="74BE311A" w14:textId="77777777" w:rsidR="00810699" w:rsidRPr="00B671B3" w:rsidRDefault="00701FD7" w:rsidP="00A042C4">
            <w:pPr>
              <w:ind w:left="60" w:right="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Total</w:t>
            </w:r>
          </w:p>
        </w:tc>
        <w:tc>
          <w:tcPr>
            <w:cnfStyle w:val="000010000000" w:firstRow="0" w:lastRow="0" w:firstColumn="0" w:lastColumn="0" w:oddVBand="1" w:evenVBand="0" w:oddHBand="0" w:evenHBand="0" w:firstRowFirstColumn="0" w:firstRowLastColumn="0" w:lastRowFirstColumn="0" w:lastRowLastColumn="0"/>
            <w:tcW w:w="1653" w:type="dxa"/>
            <w:tcBorders>
              <w:bottom w:val="single" w:sz="4" w:space="0" w:color="000000"/>
            </w:tcBorders>
            <w:shd w:val="clear" w:color="auto" w:fill="auto"/>
          </w:tcPr>
          <w:p w14:paraId="3F6EB3FF" w14:textId="77777777" w:rsidR="00810699" w:rsidRPr="00B671B3" w:rsidRDefault="00701FD7" w:rsidP="00A042C4">
            <w:pPr>
              <w:ind w:left="60" w:right="60"/>
              <w:jc w:val="right"/>
              <w:rPr>
                <w:rFonts w:ascii="Arial" w:eastAsia="Times New Roman" w:hAnsi="Arial" w:cs="Arial"/>
                <w:color w:val="auto"/>
              </w:rPr>
            </w:pPr>
            <w:r w:rsidRPr="00B671B3">
              <w:rPr>
                <w:rFonts w:ascii="Arial" w:eastAsia="Times New Roman" w:hAnsi="Arial" w:cs="Arial"/>
                <w:color w:val="auto"/>
              </w:rPr>
              <w:t>247.248</w:t>
            </w:r>
          </w:p>
        </w:tc>
        <w:tc>
          <w:tcPr>
            <w:tcW w:w="1153" w:type="dxa"/>
            <w:tcBorders>
              <w:bottom w:val="single" w:sz="4" w:space="0" w:color="000000"/>
            </w:tcBorders>
          </w:tcPr>
          <w:p w14:paraId="14FC19BA" w14:textId="77777777" w:rsidR="00810699" w:rsidRPr="00B671B3" w:rsidRDefault="00701FD7" w:rsidP="00A042C4">
            <w:pPr>
              <w:ind w:left="60" w:right="6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145</w:t>
            </w:r>
          </w:p>
        </w:tc>
        <w:tc>
          <w:tcPr>
            <w:cnfStyle w:val="000010000000" w:firstRow="0" w:lastRow="0" w:firstColumn="0" w:lastColumn="0" w:oddVBand="1" w:evenVBand="0" w:oddHBand="0" w:evenHBand="0" w:firstRowFirstColumn="0" w:firstRowLastColumn="0" w:lastRowFirstColumn="0" w:lastRowLastColumn="0"/>
            <w:tcW w:w="1584" w:type="dxa"/>
            <w:tcBorders>
              <w:bottom w:val="single" w:sz="4" w:space="0" w:color="000000"/>
            </w:tcBorders>
            <w:shd w:val="clear" w:color="auto" w:fill="auto"/>
          </w:tcPr>
          <w:p w14:paraId="2673B11D" w14:textId="77777777" w:rsidR="00810699" w:rsidRPr="00B671B3" w:rsidRDefault="00810699" w:rsidP="00A042C4">
            <w:pPr>
              <w:rPr>
                <w:rFonts w:ascii="Arial" w:eastAsia="Times New Roman" w:hAnsi="Arial" w:cs="Arial"/>
                <w:color w:val="auto"/>
              </w:rPr>
            </w:pPr>
          </w:p>
        </w:tc>
        <w:tc>
          <w:tcPr>
            <w:tcW w:w="1153" w:type="dxa"/>
            <w:tcBorders>
              <w:bottom w:val="single" w:sz="4" w:space="0" w:color="000000"/>
            </w:tcBorders>
          </w:tcPr>
          <w:p w14:paraId="3F5E7662" w14:textId="77777777" w:rsidR="00810699" w:rsidRPr="00B671B3" w:rsidRDefault="00810699" w:rsidP="00A042C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p>
        </w:tc>
        <w:tc>
          <w:tcPr>
            <w:cnfStyle w:val="000010000000" w:firstRow="0" w:lastRow="0" w:firstColumn="0" w:lastColumn="0" w:oddVBand="1" w:evenVBand="0" w:oddHBand="0" w:evenHBand="0" w:firstRowFirstColumn="0" w:firstRowLastColumn="0" w:lastRowFirstColumn="0" w:lastRowLastColumn="0"/>
            <w:tcW w:w="1155" w:type="dxa"/>
            <w:tcBorders>
              <w:bottom w:val="single" w:sz="4" w:space="0" w:color="000000"/>
            </w:tcBorders>
            <w:shd w:val="clear" w:color="auto" w:fill="auto"/>
          </w:tcPr>
          <w:p w14:paraId="25F06711" w14:textId="77777777" w:rsidR="00810699" w:rsidRPr="00B671B3" w:rsidRDefault="00810699" w:rsidP="00A042C4">
            <w:pPr>
              <w:rPr>
                <w:rFonts w:ascii="Arial" w:eastAsia="Times New Roman" w:hAnsi="Arial" w:cs="Arial"/>
                <w:color w:val="auto"/>
              </w:rPr>
            </w:pPr>
          </w:p>
        </w:tc>
      </w:tr>
      <w:tr w:rsidR="00810699" w:rsidRPr="00B671B3" w14:paraId="6254F7CB" w14:textId="77777777" w:rsidTr="00810699">
        <w:trPr>
          <w:cnfStyle w:val="000000100000" w:firstRow="0" w:lastRow="0" w:firstColumn="0" w:lastColumn="0" w:oddVBand="0" w:evenVBand="0" w:oddHBand="1" w:evenHBand="0" w:firstRowFirstColumn="0" w:firstRowLastColumn="0" w:lastRowFirstColumn="0" w:lastRowLastColumn="0"/>
          <w:trHeight w:val="298"/>
        </w:trPr>
        <w:tc>
          <w:tcPr>
            <w:cnfStyle w:val="000010000000" w:firstRow="0" w:lastRow="0" w:firstColumn="0" w:lastColumn="0" w:oddVBand="1" w:evenVBand="0" w:oddHBand="0" w:evenHBand="0" w:firstRowFirstColumn="0" w:firstRowLastColumn="0" w:lastRowFirstColumn="0" w:lastRowLastColumn="0"/>
            <w:tcW w:w="8967" w:type="dxa"/>
            <w:gridSpan w:val="7"/>
            <w:tcBorders>
              <w:top w:val="single" w:sz="4" w:space="0" w:color="000000"/>
            </w:tcBorders>
            <w:shd w:val="clear" w:color="auto" w:fill="auto"/>
          </w:tcPr>
          <w:p w14:paraId="56E32024" w14:textId="77777777" w:rsidR="00810699" w:rsidRPr="00B671B3" w:rsidRDefault="00701FD7" w:rsidP="00A042C4">
            <w:pPr>
              <w:ind w:right="60"/>
              <w:rPr>
                <w:rFonts w:ascii="Arial" w:eastAsia="Times New Roman" w:hAnsi="Arial" w:cs="Arial"/>
                <w:color w:val="auto"/>
              </w:rPr>
            </w:pPr>
            <w:r w:rsidRPr="00B671B3">
              <w:rPr>
                <w:rFonts w:ascii="Arial" w:eastAsia="Times New Roman" w:hAnsi="Arial" w:cs="Arial"/>
                <w:color w:val="auto"/>
              </w:rPr>
              <w:t>a. Dependent Variable: Financial Risk Management</w:t>
            </w:r>
          </w:p>
        </w:tc>
      </w:tr>
      <w:tr w:rsidR="00B40A16" w:rsidRPr="00B671B3" w14:paraId="1EB16617" w14:textId="77777777" w:rsidTr="00C47F80">
        <w:trPr>
          <w:trHeight w:val="585"/>
        </w:trPr>
        <w:tc>
          <w:tcPr>
            <w:cnfStyle w:val="000010000000" w:firstRow="0" w:lastRow="0" w:firstColumn="0" w:lastColumn="0" w:oddVBand="1" w:evenVBand="0" w:oddHBand="0" w:evenHBand="0" w:firstRowFirstColumn="0" w:firstRowLastColumn="0" w:lastRowFirstColumn="0" w:lastRowLastColumn="0"/>
            <w:tcW w:w="8967" w:type="dxa"/>
            <w:gridSpan w:val="7"/>
            <w:shd w:val="clear" w:color="auto" w:fill="auto"/>
          </w:tcPr>
          <w:p w14:paraId="70B3041B" w14:textId="77777777" w:rsidR="00810699" w:rsidRPr="00B671B3" w:rsidRDefault="00701FD7" w:rsidP="00A042C4">
            <w:pPr>
              <w:spacing w:after="160"/>
              <w:rPr>
                <w:rFonts w:ascii="Arial" w:eastAsia="Times New Roman" w:hAnsi="Arial" w:cs="Arial"/>
                <w:i/>
                <w:color w:val="auto"/>
              </w:rPr>
            </w:pPr>
            <w:r w:rsidRPr="00B671B3">
              <w:rPr>
                <w:rFonts w:ascii="Arial" w:eastAsia="Times New Roman" w:hAnsi="Arial" w:cs="Arial"/>
                <w:color w:val="auto"/>
              </w:rPr>
              <w:t xml:space="preserve">b. Predictors: (Constant), </w:t>
            </w:r>
            <w:r w:rsidRPr="00B671B3">
              <w:rPr>
                <w:rFonts w:ascii="Arial" w:eastAsia="Times New Roman" w:hAnsi="Arial" w:cs="Arial"/>
                <w:i/>
                <w:color w:val="auto"/>
              </w:rPr>
              <w:t>Board Size, Board Independence, Board Meetings, CEO Duality, Firm Size, Industry Regulation</w:t>
            </w:r>
          </w:p>
        </w:tc>
      </w:tr>
    </w:tbl>
    <w:p w14:paraId="16A63196" w14:textId="77777777" w:rsidR="00810699" w:rsidRPr="00B671B3" w:rsidRDefault="00810699" w:rsidP="00A042C4">
      <w:pPr>
        <w:spacing w:line="240" w:lineRule="auto"/>
        <w:jc w:val="both"/>
        <w:rPr>
          <w:rFonts w:ascii="Arial" w:eastAsia="Times New Roman" w:hAnsi="Arial" w:cs="Arial"/>
        </w:rPr>
      </w:pPr>
    </w:p>
    <w:p w14:paraId="00C907EF"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Regression Coefficients</w:t>
      </w:r>
    </w:p>
    <w:p w14:paraId="3B421765" w14:textId="5D7CADE0"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coefficient</w:t>
      </w:r>
      <w:r w:rsidRPr="00B671B3">
        <w:rPr>
          <w:rFonts w:ascii="Arial" w:eastAsia="Times New Roman" w:hAnsi="Arial" w:cs="Arial"/>
          <w:b/>
        </w:rPr>
        <w:t xml:space="preserve"> </w:t>
      </w:r>
      <w:r w:rsidRPr="00B671B3">
        <w:rPr>
          <w:rFonts w:ascii="Arial" w:eastAsia="Times New Roman" w:hAnsi="Arial" w:cs="Arial"/>
        </w:rPr>
        <w:t xml:space="preserve">in Table </w:t>
      </w:r>
      <w:r w:rsidR="002B4C2B">
        <w:rPr>
          <w:rFonts w:ascii="Arial" w:eastAsia="Times New Roman" w:hAnsi="Arial" w:cs="Arial"/>
        </w:rPr>
        <w:t>5</w:t>
      </w:r>
      <w:r w:rsidRPr="00B671B3">
        <w:rPr>
          <w:rFonts w:ascii="Arial" w:eastAsia="Times New Roman" w:hAnsi="Arial" w:cs="Arial"/>
        </w:rPr>
        <w:t xml:space="preserve"> shows the results of the regression analysis, with the dependent variable being Financial Risk Management. The table provides the unstandardized coefficients (B), standard errors, standardized coefficients (Beta), t-values, and significance levels (Sig.) for each predictor.</w:t>
      </w:r>
    </w:p>
    <w:p w14:paraId="718840AD" w14:textId="77777777"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b/>
        </w:rPr>
        <w:t>Significant Predictors</w:t>
      </w:r>
    </w:p>
    <w:p w14:paraId="132620FD" w14:textId="63DE2A3F" w:rsidR="00810699" w:rsidRPr="00B671B3" w:rsidRDefault="00701FD7" w:rsidP="00A042C4">
      <w:pPr>
        <w:spacing w:line="240" w:lineRule="auto"/>
        <w:jc w:val="both"/>
        <w:rPr>
          <w:rFonts w:ascii="Arial" w:eastAsia="Times New Roman" w:hAnsi="Arial" w:cs="Arial"/>
          <w:b/>
        </w:rPr>
      </w:pPr>
      <w:r w:rsidRPr="00B671B3">
        <w:rPr>
          <w:rFonts w:ascii="Arial" w:eastAsia="Times New Roman" w:hAnsi="Arial" w:cs="Arial"/>
        </w:rPr>
        <w:t>The results</w:t>
      </w:r>
      <w:r w:rsidRPr="00B671B3">
        <w:rPr>
          <w:rFonts w:ascii="Arial" w:eastAsia="Times New Roman" w:hAnsi="Arial" w:cs="Arial"/>
          <w:b/>
        </w:rPr>
        <w:t xml:space="preserve"> </w:t>
      </w:r>
      <w:r w:rsidRPr="00B671B3">
        <w:rPr>
          <w:rFonts w:ascii="Arial" w:eastAsia="Times New Roman" w:hAnsi="Arial" w:cs="Arial"/>
        </w:rPr>
        <w:t xml:space="preserve">in Table </w:t>
      </w:r>
      <w:r w:rsidR="002B4C2B">
        <w:rPr>
          <w:rFonts w:ascii="Arial" w:eastAsia="Times New Roman" w:hAnsi="Arial" w:cs="Arial"/>
        </w:rPr>
        <w:t>5</w:t>
      </w:r>
      <w:r w:rsidRPr="00B671B3">
        <w:rPr>
          <w:rFonts w:ascii="Arial" w:eastAsia="Times New Roman" w:hAnsi="Arial" w:cs="Arial"/>
        </w:rPr>
        <w:t xml:space="preserve"> show that all predictors have significant coefficients, indicating that they have a significant impact on Financial Risk Management. Specifically, Board Size (B = 0.159, p &lt; 0.001), Board Independence (B = 0.349, p &lt; 0.001), Board Meetings (B = 0.377, p &lt; 0.001), CEO Duality (B = 0.285, p &lt; 0.001), Firm Size (B = 0.279, p &lt; 0.001), and Industry Regulation (B = 0.223, p &lt; 0.001) all have significant positive coefficients.</w:t>
      </w:r>
    </w:p>
    <w:p w14:paraId="117AECB0" w14:textId="514A1339" w:rsidR="00810699" w:rsidRPr="00B671B3" w:rsidRDefault="00701FD7" w:rsidP="00A042C4">
      <w:pPr>
        <w:spacing w:line="240" w:lineRule="auto"/>
        <w:rPr>
          <w:rFonts w:ascii="Arial" w:eastAsia="Times New Roman" w:hAnsi="Arial" w:cs="Arial"/>
          <w:b/>
        </w:rPr>
      </w:pPr>
      <w:r w:rsidRPr="00B671B3">
        <w:rPr>
          <w:rFonts w:ascii="Arial" w:eastAsia="Times New Roman" w:hAnsi="Arial" w:cs="Arial"/>
          <w:b/>
        </w:rPr>
        <w:t>Hypothesis Testing</w:t>
      </w:r>
    </w:p>
    <w:p w14:paraId="33D6D436" w14:textId="65D5537C" w:rsidR="00810699" w:rsidRPr="00B671B3" w:rsidRDefault="00A82191" w:rsidP="00A042C4">
      <w:pPr>
        <w:spacing w:line="240" w:lineRule="auto"/>
        <w:jc w:val="both"/>
        <w:rPr>
          <w:rFonts w:ascii="Arial" w:eastAsia="Times New Roman" w:hAnsi="Arial" w:cs="Arial"/>
          <w:b/>
        </w:rPr>
      </w:pPr>
      <w:r w:rsidRPr="00B671B3">
        <w:rPr>
          <w:rFonts w:ascii="Arial" w:eastAsia="Times New Roman" w:hAnsi="Arial" w:cs="Arial"/>
        </w:rPr>
        <w:lastRenderedPageBreak/>
        <w:t>T</w:t>
      </w:r>
      <w:r w:rsidR="00701FD7" w:rsidRPr="00B671B3">
        <w:rPr>
          <w:rFonts w:ascii="Arial" w:eastAsia="Times New Roman" w:hAnsi="Arial" w:cs="Arial"/>
        </w:rPr>
        <w:t xml:space="preserve">he null hypothesis can be rejected, and it can be concluded that corporate governance has a significant impact on financial risk management in the sector pension schemes in Ghana. The decision to reject the hypothesis is based on the significant coefficients of the predictors. According to Cohen (1988), a p-value of less than 0.05 indicates statistical significance. In this case, all predictors have p-values less than 0.001, which is much lower than the critical value of 0.05. </w:t>
      </w:r>
    </w:p>
    <w:p w14:paraId="5397DEE7" w14:textId="085D8E56"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bookmarkStart w:id="41" w:name="_kgcv8k" w:colFirst="0" w:colLast="0"/>
      <w:bookmarkEnd w:id="41"/>
      <w:r w:rsidRPr="00B671B3">
        <w:rPr>
          <w:rFonts w:ascii="Arial" w:eastAsia="Times New Roman" w:hAnsi="Arial" w:cs="Arial"/>
          <w:b/>
        </w:rPr>
        <w:t xml:space="preserve">Table </w:t>
      </w:r>
      <w:r w:rsidR="002B4C2B">
        <w:rPr>
          <w:rFonts w:ascii="Arial" w:eastAsia="Times New Roman" w:hAnsi="Arial" w:cs="Arial"/>
          <w:b/>
        </w:rPr>
        <w:t>5</w:t>
      </w:r>
      <w:r w:rsidRPr="00B671B3">
        <w:rPr>
          <w:rFonts w:ascii="Arial" w:eastAsia="Times New Roman" w:hAnsi="Arial" w:cs="Arial"/>
          <w:b/>
        </w:rPr>
        <w:t xml:space="preserve"> - Coefficients</w:t>
      </w:r>
    </w:p>
    <w:tbl>
      <w:tblPr>
        <w:tblStyle w:val="a4"/>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
        <w:gridCol w:w="2231"/>
        <w:gridCol w:w="1440"/>
        <w:gridCol w:w="1440"/>
        <w:gridCol w:w="1530"/>
        <w:gridCol w:w="990"/>
        <w:gridCol w:w="810"/>
      </w:tblGrid>
      <w:tr w:rsidR="00810699" w:rsidRPr="00B671B3" w14:paraId="45C28C12" w14:textId="77777777" w:rsidTr="00810699">
        <w:trPr>
          <w:cnfStyle w:val="000000100000" w:firstRow="0" w:lastRow="0" w:firstColumn="0" w:lastColumn="0" w:oddVBand="0" w:evenVBand="0" w:oddHBand="1" w:evenHBand="0" w:firstRowFirstColumn="0" w:firstRowLastColumn="0" w:lastRowFirstColumn="0" w:lastRowLastColumn="0"/>
          <w:trHeight w:val="643"/>
        </w:trPr>
        <w:tc>
          <w:tcPr>
            <w:cnfStyle w:val="000010000000" w:firstRow="0" w:lastRow="0" w:firstColumn="0" w:lastColumn="0" w:oddVBand="1" w:evenVBand="0" w:oddHBand="0" w:evenHBand="0" w:firstRowFirstColumn="0" w:firstRowLastColumn="0" w:lastRowFirstColumn="0" w:lastRowLastColumn="0"/>
            <w:tcW w:w="3060" w:type="dxa"/>
            <w:gridSpan w:val="2"/>
            <w:vMerge w:val="restart"/>
            <w:shd w:val="clear" w:color="auto" w:fill="auto"/>
          </w:tcPr>
          <w:p w14:paraId="044F221B" w14:textId="77777777" w:rsidR="00810699" w:rsidRPr="00B671B3" w:rsidRDefault="00701FD7" w:rsidP="00A042C4">
            <w:pPr>
              <w:pBdr>
                <w:top w:val="nil"/>
                <w:left w:val="nil"/>
                <w:bottom w:val="nil"/>
                <w:right w:val="nil"/>
                <w:between w:val="nil"/>
              </w:pBdr>
              <w:jc w:val="center"/>
              <w:rPr>
                <w:rFonts w:ascii="Arial" w:eastAsia="Times New Roman" w:hAnsi="Arial" w:cs="Arial"/>
                <w:b/>
                <w:color w:val="auto"/>
              </w:rPr>
            </w:pPr>
            <w:r w:rsidRPr="00B671B3">
              <w:rPr>
                <w:rFonts w:ascii="Arial" w:eastAsia="Times New Roman" w:hAnsi="Arial" w:cs="Arial"/>
                <w:b/>
                <w:color w:val="auto"/>
              </w:rPr>
              <w:t>Model</w:t>
            </w:r>
          </w:p>
        </w:tc>
        <w:tc>
          <w:tcPr>
            <w:tcW w:w="2880" w:type="dxa"/>
            <w:gridSpan w:val="2"/>
            <w:shd w:val="clear" w:color="auto" w:fill="auto"/>
          </w:tcPr>
          <w:p w14:paraId="6ADC25A5" w14:textId="77777777" w:rsidR="00810699" w:rsidRPr="00B671B3" w:rsidRDefault="00701FD7" w:rsidP="00A042C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Unstandardized Coefficients</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1A9D21DB" w14:textId="77777777" w:rsidR="00810699" w:rsidRPr="00B671B3" w:rsidRDefault="00701FD7" w:rsidP="00A042C4">
            <w:pPr>
              <w:pBdr>
                <w:top w:val="nil"/>
                <w:left w:val="nil"/>
                <w:bottom w:val="nil"/>
                <w:right w:val="nil"/>
                <w:between w:val="nil"/>
              </w:pBdr>
              <w:jc w:val="center"/>
              <w:rPr>
                <w:rFonts w:ascii="Arial" w:eastAsia="Times New Roman" w:hAnsi="Arial" w:cs="Arial"/>
                <w:b/>
                <w:color w:val="auto"/>
              </w:rPr>
            </w:pPr>
            <w:r w:rsidRPr="00B671B3">
              <w:rPr>
                <w:rFonts w:ascii="Arial" w:eastAsia="Times New Roman" w:hAnsi="Arial" w:cs="Arial"/>
                <w:b/>
                <w:color w:val="auto"/>
              </w:rPr>
              <w:t>Standardized Coefficients</w:t>
            </w:r>
          </w:p>
        </w:tc>
        <w:tc>
          <w:tcPr>
            <w:tcW w:w="990" w:type="dxa"/>
            <w:vMerge w:val="restart"/>
            <w:shd w:val="clear" w:color="auto" w:fill="auto"/>
          </w:tcPr>
          <w:p w14:paraId="19288C3A" w14:textId="77777777" w:rsidR="00810699" w:rsidRPr="00B671B3" w:rsidRDefault="00701FD7" w:rsidP="00A042C4">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t</w:t>
            </w:r>
          </w:p>
        </w:tc>
        <w:tc>
          <w:tcPr>
            <w:cnfStyle w:val="000010000000" w:firstRow="0" w:lastRow="0" w:firstColumn="0" w:lastColumn="0" w:oddVBand="1" w:evenVBand="0" w:oddHBand="0" w:evenHBand="0" w:firstRowFirstColumn="0" w:firstRowLastColumn="0" w:lastRowFirstColumn="0" w:lastRowLastColumn="0"/>
            <w:tcW w:w="810" w:type="dxa"/>
            <w:vMerge w:val="restart"/>
            <w:shd w:val="clear" w:color="auto" w:fill="auto"/>
          </w:tcPr>
          <w:p w14:paraId="4398535A" w14:textId="77777777" w:rsidR="00810699" w:rsidRPr="00B671B3" w:rsidRDefault="00701FD7" w:rsidP="00A042C4">
            <w:pPr>
              <w:pBdr>
                <w:top w:val="nil"/>
                <w:left w:val="nil"/>
                <w:bottom w:val="nil"/>
                <w:right w:val="nil"/>
                <w:between w:val="nil"/>
              </w:pBdr>
              <w:jc w:val="center"/>
              <w:rPr>
                <w:rFonts w:ascii="Arial" w:eastAsia="Times New Roman" w:hAnsi="Arial" w:cs="Arial"/>
                <w:b/>
                <w:color w:val="auto"/>
              </w:rPr>
            </w:pPr>
            <w:r w:rsidRPr="00B671B3">
              <w:rPr>
                <w:rFonts w:ascii="Arial" w:eastAsia="Times New Roman" w:hAnsi="Arial" w:cs="Arial"/>
                <w:b/>
                <w:color w:val="auto"/>
              </w:rPr>
              <w:t>Sig.</w:t>
            </w:r>
          </w:p>
        </w:tc>
      </w:tr>
      <w:tr w:rsidR="00810699" w:rsidRPr="00B671B3" w14:paraId="2F02CBBA" w14:textId="77777777" w:rsidTr="00810699">
        <w:trPr>
          <w:trHeight w:val="378"/>
        </w:trPr>
        <w:tc>
          <w:tcPr>
            <w:cnfStyle w:val="000010000000" w:firstRow="0" w:lastRow="0" w:firstColumn="0" w:lastColumn="0" w:oddVBand="1" w:evenVBand="0" w:oddHBand="0" w:evenHBand="0" w:firstRowFirstColumn="0" w:firstRowLastColumn="0" w:lastRowFirstColumn="0" w:lastRowLastColumn="0"/>
            <w:tcW w:w="3060" w:type="dxa"/>
            <w:gridSpan w:val="2"/>
            <w:vMerge/>
            <w:shd w:val="clear" w:color="auto" w:fill="auto"/>
          </w:tcPr>
          <w:p w14:paraId="5384695A" w14:textId="77777777" w:rsidR="00810699" w:rsidRPr="00B671B3" w:rsidRDefault="00810699" w:rsidP="00A042C4">
            <w:pPr>
              <w:widowControl w:val="0"/>
              <w:pBdr>
                <w:top w:val="nil"/>
                <w:left w:val="nil"/>
                <w:bottom w:val="nil"/>
                <w:right w:val="nil"/>
                <w:between w:val="nil"/>
              </w:pBdr>
              <w:rPr>
                <w:rFonts w:ascii="Arial" w:eastAsia="Times New Roman" w:hAnsi="Arial" w:cs="Arial"/>
                <w:b/>
                <w:color w:val="auto"/>
              </w:rPr>
            </w:pPr>
          </w:p>
        </w:tc>
        <w:tc>
          <w:tcPr>
            <w:tcW w:w="1440" w:type="dxa"/>
            <w:tcBorders>
              <w:bottom w:val="single" w:sz="4" w:space="0" w:color="000000"/>
            </w:tcBorders>
          </w:tcPr>
          <w:p w14:paraId="19CA813B" w14:textId="77777777" w:rsidR="00810699" w:rsidRPr="00B671B3" w:rsidRDefault="00701FD7" w:rsidP="00A042C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B</w:t>
            </w:r>
          </w:p>
        </w:tc>
        <w:tc>
          <w:tcPr>
            <w:cnfStyle w:val="000010000000" w:firstRow="0" w:lastRow="0" w:firstColumn="0" w:lastColumn="0" w:oddVBand="1" w:evenVBand="0" w:oddHBand="0" w:evenHBand="0" w:firstRowFirstColumn="0" w:firstRowLastColumn="0" w:lastRowFirstColumn="0" w:lastRowLastColumn="0"/>
            <w:tcW w:w="1440" w:type="dxa"/>
            <w:tcBorders>
              <w:bottom w:val="single" w:sz="4" w:space="0" w:color="000000"/>
            </w:tcBorders>
            <w:shd w:val="clear" w:color="auto" w:fill="auto"/>
          </w:tcPr>
          <w:p w14:paraId="08CC7E9E" w14:textId="77777777" w:rsidR="00810699" w:rsidRPr="00B671B3" w:rsidRDefault="00701FD7" w:rsidP="00A042C4">
            <w:pPr>
              <w:pBdr>
                <w:top w:val="nil"/>
                <w:left w:val="nil"/>
                <w:bottom w:val="nil"/>
                <w:right w:val="nil"/>
                <w:between w:val="nil"/>
              </w:pBdr>
              <w:jc w:val="center"/>
              <w:rPr>
                <w:rFonts w:ascii="Arial" w:eastAsia="Times New Roman" w:hAnsi="Arial" w:cs="Arial"/>
                <w:b/>
                <w:color w:val="auto"/>
              </w:rPr>
            </w:pPr>
            <w:r w:rsidRPr="00B671B3">
              <w:rPr>
                <w:rFonts w:ascii="Arial" w:eastAsia="Times New Roman" w:hAnsi="Arial" w:cs="Arial"/>
                <w:b/>
                <w:color w:val="auto"/>
              </w:rPr>
              <w:t>Std. Error</w:t>
            </w:r>
          </w:p>
        </w:tc>
        <w:tc>
          <w:tcPr>
            <w:tcW w:w="1530" w:type="dxa"/>
            <w:tcBorders>
              <w:bottom w:val="single" w:sz="4" w:space="0" w:color="000000"/>
            </w:tcBorders>
          </w:tcPr>
          <w:p w14:paraId="28222022" w14:textId="77777777" w:rsidR="00810699" w:rsidRPr="00B671B3" w:rsidRDefault="00701FD7" w:rsidP="00A042C4">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Beta</w:t>
            </w: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40377CB0" w14:textId="77777777" w:rsidR="00810699" w:rsidRPr="00B671B3" w:rsidRDefault="00810699" w:rsidP="00A042C4">
            <w:pPr>
              <w:widowControl w:val="0"/>
              <w:pBdr>
                <w:top w:val="nil"/>
                <w:left w:val="nil"/>
                <w:bottom w:val="nil"/>
                <w:right w:val="nil"/>
                <w:between w:val="nil"/>
              </w:pBdr>
              <w:rPr>
                <w:rFonts w:ascii="Arial" w:eastAsia="Times New Roman" w:hAnsi="Arial" w:cs="Arial"/>
                <w:b/>
                <w:color w:val="auto"/>
              </w:rPr>
            </w:pPr>
          </w:p>
        </w:tc>
        <w:tc>
          <w:tcPr>
            <w:tcW w:w="810" w:type="dxa"/>
            <w:vMerge/>
          </w:tcPr>
          <w:p w14:paraId="2BB73897" w14:textId="77777777" w:rsidR="00810699" w:rsidRPr="00B671B3" w:rsidRDefault="00810699" w:rsidP="00A042C4">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rPr>
            </w:pPr>
          </w:p>
        </w:tc>
      </w:tr>
      <w:tr w:rsidR="00810699" w:rsidRPr="00B671B3" w14:paraId="5B5AD28A" w14:textId="77777777" w:rsidTr="00810699">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829" w:type="dxa"/>
            <w:vMerge w:val="restart"/>
            <w:tcBorders>
              <w:top w:val="single" w:sz="4" w:space="0" w:color="000000"/>
            </w:tcBorders>
            <w:shd w:val="clear" w:color="auto" w:fill="auto"/>
          </w:tcPr>
          <w:p w14:paraId="194E745E"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1</w:t>
            </w:r>
          </w:p>
        </w:tc>
        <w:tc>
          <w:tcPr>
            <w:tcW w:w="2231" w:type="dxa"/>
            <w:tcBorders>
              <w:top w:val="single" w:sz="4" w:space="0" w:color="000000"/>
            </w:tcBorders>
            <w:shd w:val="clear" w:color="auto" w:fill="auto"/>
          </w:tcPr>
          <w:p w14:paraId="71D2ECCC"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(Constant)</w:t>
            </w:r>
          </w:p>
        </w:tc>
        <w:tc>
          <w:tcPr>
            <w:cnfStyle w:val="000010000000" w:firstRow="0" w:lastRow="0" w:firstColumn="0" w:lastColumn="0" w:oddVBand="1" w:evenVBand="0" w:oddHBand="0" w:evenHBand="0" w:firstRowFirstColumn="0" w:firstRowLastColumn="0" w:lastRowFirstColumn="0" w:lastRowLastColumn="0"/>
            <w:tcW w:w="1440" w:type="dxa"/>
            <w:tcBorders>
              <w:top w:val="single" w:sz="4" w:space="0" w:color="000000"/>
            </w:tcBorders>
            <w:shd w:val="clear" w:color="auto" w:fill="auto"/>
          </w:tcPr>
          <w:p w14:paraId="43D34638"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0.524</w:t>
            </w:r>
          </w:p>
        </w:tc>
        <w:tc>
          <w:tcPr>
            <w:tcW w:w="1440" w:type="dxa"/>
            <w:tcBorders>
              <w:top w:val="single" w:sz="4" w:space="0" w:color="000000"/>
            </w:tcBorders>
            <w:shd w:val="clear" w:color="auto" w:fill="auto"/>
          </w:tcPr>
          <w:p w14:paraId="1B39B2C7"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0.163</w:t>
            </w:r>
          </w:p>
        </w:tc>
        <w:tc>
          <w:tcPr>
            <w:cnfStyle w:val="000010000000" w:firstRow="0" w:lastRow="0" w:firstColumn="0" w:lastColumn="0" w:oddVBand="1" w:evenVBand="0" w:oddHBand="0" w:evenHBand="0" w:firstRowFirstColumn="0" w:firstRowLastColumn="0" w:lastRowFirstColumn="0" w:lastRowLastColumn="0"/>
            <w:tcW w:w="1530" w:type="dxa"/>
            <w:tcBorders>
              <w:top w:val="single" w:sz="4" w:space="0" w:color="000000"/>
            </w:tcBorders>
            <w:shd w:val="clear" w:color="auto" w:fill="auto"/>
          </w:tcPr>
          <w:p w14:paraId="0F8C4D5E" w14:textId="77777777" w:rsidR="00810699" w:rsidRPr="00B671B3" w:rsidRDefault="00810699" w:rsidP="00A042C4">
            <w:pPr>
              <w:pBdr>
                <w:top w:val="nil"/>
                <w:left w:val="nil"/>
                <w:bottom w:val="nil"/>
                <w:right w:val="nil"/>
                <w:between w:val="nil"/>
              </w:pBdr>
              <w:rPr>
                <w:rFonts w:ascii="Arial" w:eastAsia="Times New Roman" w:hAnsi="Arial" w:cs="Arial"/>
                <w:color w:val="auto"/>
              </w:rPr>
            </w:pPr>
          </w:p>
        </w:tc>
        <w:tc>
          <w:tcPr>
            <w:tcW w:w="990" w:type="dxa"/>
            <w:tcBorders>
              <w:top w:val="single" w:sz="4" w:space="0" w:color="000000"/>
            </w:tcBorders>
            <w:shd w:val="clear" w:color="auto" w:fill="auto"/>
          </w:tcPr>
          <w:p w14:paraId="1480D728"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3.218</w:t>
            </w:r>
          </w:p>
        </w:tc>
        <w:tc>
          <w:tcPr>
            <w:cnfStyle w:val="000010000000" w:firstRow="0" w:lastRow="0" w:firstColumn="0" w:lastColumn="0" w:oddVBand="1" w:evenVBand="0" w:oddHBand="0" w:evenHBand="0" w:firstRowFirstColumn="0" w:firstRowLastColumn="0" w:lastRowFirstColumn="0" w:lastRowLastColumn="0"/>
            <w:tcW w:w="810" w:type="dxa"/>
            <w:tcBorders>
              <w:top w:val="single" w:sz="4" w:space="0" w:color="000000"/>
            </w:tcBorders>
            <w:shd w:val="clear" w:color="auto" w:fill="auto"/>
          </w:tcPr>
          <w:p w14:paraId="2DCAE25D"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0.001</w:t>
            </w:r>
          </w:p>
        </w:tc>
      </w:tr>
      <w:tr w:rsidR="00810699" w:rsidRPr="00B671B3" w14:paraId="62264225" w14:textId="77777777" w:rsidTr="00810699">
        <w:trPr>
          <w:trHeight w:val="395"/>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464BE048"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Pr>
          <w:p w14:paraId="67E8166D"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Board Size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4DB13F7E"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0.159</w:t>
            </w:r>
          </w:p>
        </w:tc>
        <w:tc>
          <w:tcPr>
            <w:tcW w:w="1440" w:type="dxa"/>
          </w:tcPr>
          <w:p w14:paraId="23DDB432"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0.035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0B569977"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0.180</w:t>
            </w:r>
          </w:p>
        </w:tc>
        <w:tc>
          <w:tcPr>
            <w:tcW w:w="990" w:type="dxa"/>
          </w:tcPr>
          <w:p w14:paraId="144A1FA8"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4.507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7AAD370F"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0.000</w:t>
            </w:r>
          </w:p>
        </w:tc>
      </w:tr>
      <w:tr w:rsidR="00810699" w:rsidRPr="00B671B3" w14:paraId="146BFC98" w14:textId="77777777" w:rsidTr="00810699">
        <w:trPr>
          <w:cnfStyle w:val="000000100000" w:firstRow="0" w:lastRow="0" w:firstColumn="0" w:lastColumn="0" w:oddVBand="0" w:evenVBand="0" w:oddHBand="1" w:evenHBand="0" w:firstRowFirstColumn="0" w:firstRowLastColumn="0" w:lastRowFirstColumn="0" w:lastRowLastColumn="0"/>
          <w:trHeight w:val="457"/>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70C45D7B"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shd w:val="clear" w:color="auto" w:fill="auto"/>
          </w:tcPr>
          <w:p w14:paraId="384321EF"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Board Independence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02799709"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0.349</w:t>
            </w:r>
          </w:p>
        </w:tc>
        <w:tc>
          <w:tcPr>
            <w:tcW w:w="1440" w:type="dxa"/>
            <w:shd w:val="clear" w:color="auto" w:fill="auto"/>
          </w:tcPr>
          <w:p w14:paraId="0DA3D325"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0.035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60E7DFA0"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0.413</w:t>
            </w:r>
          </w:p>
        </w:tc>
        <w:tc>
          <w:tcPr>
            <w:tcW w:w="990" w:type="dxa"/>
            <w:shd w:val="clear" w:color="auto" w:fill="auto"/>
          </w:tcPr>
          <w:p w14:paraId="3A7ADBE9"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9.957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6534ADF"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0.000</w:t>
            </w:r>
          </w:p>
        </w:tc>
      </w:tr>
      <w:tr w:rsidR="00810699" w:rsidRPr="00B671B3" w14:paraId="24C45590" w14:textId="77777777" w:rsidTr="00810699">
        <w:trPr>
          <w:trHeight w:val="259"/>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0DC613CF"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Pr>
          <w:p w14:paraId="02F2B5B5"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Board Meetings</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34319B80"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0.377</w:t>
            </w:r>
          </w:p>
        </w:tc>
        <w:tc>
          <w:tcPr>
            <w:tcW w:w="1440" w:type="dxa"/>
          </w:tcPr>
          <w:p w14:paraId="6E274090"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0.055</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72E4B498"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0.397</w:t>
            </w:r>
          </w:p>
        </w:tc>
        <w:tc>
          <w:tcPr>
            <w:tcW w:w="990" w:type="dxa"/>
          </w:tcPr>
          <w:p w14:paraId="4AF114CB"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6.888</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1DB7870A"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0.000</w:t>
            </w:r>
          </w:p>
        </w:tc>
      </w:tr>
      <w:tr w:rsidR="00810699" w:rsidRPr="00B671B3" w14:paraId="672E6AC1" w14:textId="77777777" w:rsidTr="00810699">
        <w:trPr>
          <w:cnfStyle w:val="000000100000" w:firstRow="0" w:lastRow="0" w:firstColumn="0" w:lastColumn="0" w:oddVBand="0" w:evenVBand="0" w:oddHBand="1" w:evenHBand="0" w:firstRowFirstColumn="0" w:firstRowLastColumn="0" w:lastRowFirstColumn="0" w:lastRowLastColumn="0"/>
          <w:trHeight w:val="322"/>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1B13415E"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shd w:val="clear" w:color="auto" w:fill="auto"/>
          </w:tcPr>
          <w:p w14:paraId="4CBF74A3"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CEO Duality</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67EA619C"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0.285</w:t>
            </w:r>
          </w:p>
        </w:tc>
        <w:tc>
          <w:tcPr>
            <w:tcW w:w="1440" w:type="dxa"/>
            <w:shd w:val="clear" w:color="auto" w:fill="auto"/>
          </w:tcPr>
          <w:p w14:paraId="25AF9A0E"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0.051</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5CB5D2A4"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0.294</w:t>
            </w:r>
          </w:p>
        </w:tc>
        <w:tc>
          <w:tcPr>
            <w:tcW w:w="990" w:type="dxa"/>
            <w:shd w:val="clear" w:color="auto" w:fill="auto"/>
          </w:tcPr>
          <w:p w14:paraId="465EC953"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5.647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3D5E56A2"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0.000</w:t>
            </w:r>
          </w:p>
        </w:tc>
      </w:tr>
      <w:tr w:rsidR="00810699" w:rsidRPr="00B671B3" w14:paraId="0D559916" w14:textId="77777777" w:rsidTr="00810699">
        <w:trPr>
          <w:trHeight w:val="383"/>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7AC24926"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Pr>
          <w:p w14:paraId="0A7D2B3F"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Firm Size</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7EF0CDB3"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0.279</w:t>
            </w:r>
          </w:p>
        </w:tc>
        <w:tc>
          <w:tcPr>
            <w:tcW w:w="1440" w:type="dxa"/>
          </w:tcPr>
          <w:p w14:paraId="7710469B"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0.052</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auto"/>
          </w:tcPr>
          <w:p w14:paraId="4671AECE"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0.276</w:t>
            </w:r>
          </w:p>
        </w:tc>
        <w:tc>
          <w:tcPr>
            <w:tcW w:w="990" w:type="dxa"/>
          </w:tcPr>
          <w:p w14:paraId="124BF07A" w14:textId="77777777" w:rsidR="00810699" w:rsidRPr="00B671B3" w:rsidRDefault="00701FD7" w:rsidP="00A042C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5.341</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0655316B"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0.000</w:t>
            </w:r>
          </w:p>
        </w:tc>
      </w:tr>
      <w:tr w:rsidR="00810699" w:rsidRPr="00B671B3" w14:paraId="1F18AD18" w14:textId="77777777" w:rsidTr="00810699">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829" w:type="dxa"/>
            <w:vMerge/>
            <w:tcBorders>
              <w:top w:val="single" w:sz="4" w:space="0" w:color="000000"/>
            </w:tcBorders>
            <w:shd w:val="clear" w:color="auto" w:fill="auto"/>
          </w:tcPr>
          <w:p w14:paraId="27DE91D9"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2231" w:type="dxa"/>
            <w:tcBorders>
              <w:bottom w:val="single" w:sz="4" w:space="0" w:color="000000"/>
            </w:tcBorders>
            <w:shd w:val="clear" w:color="auto" w:fill="auto"/>
          </w:tcPr>
          <w:p w14:paraId="208DF5CB"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 xml:space="preserve">Industry Regulation </w:t>
            </w:r>
          </w:p>
        </w:tc>
        <w:tc>
          <w:tcPr>
            <w:cnfStyle w:val="000010000000" w:firstRow="0" w:lastRow="0" w:firstColumn="0" w:lastColumn="0" w:oddVBand="1" w:evenVBand="0" w:oddHBand="0" w:evenHBand="0" w:firstRowFirstColumn="0" w:firstRowLastColumn="0" w:lastRowFirstColumn="0" w:lastRowLastColumn="0"/>
            <w:tcW w:w="1440" w:type="dxa"/>
            <w:tcBorders>
              <w:bottom w:val="single" w:sz="4" w:space="0" w:color="000000"/>
            </w:tcBorders>
            <w:shd w:val="clear" w:color="auto" w:fill="auto"/>
          </w:tcPr>
          <w:p w14:paraId="011B3CEC"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0.223</w:t>
            </w:r>
          </w:p>
        </w:tc>
        <w:tc>
          <w:tcPr>
            <w:tcW w:w="1440" w:type="dxa"/>
            <w:tcBorders>
              <w:bottom w:val="single" w:sz="4" w:space="0" w:color="000000"/>
            </w:tcBorders>
            <w:shd w:val="clear" w:color="auto" w:fill="auto"/>
          </w:tcPr>
          <w:p w14:paraId="0CFCEADA"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0.058</w:t>
            </w:r>
          </w:p>
        </w:tc>
        <w:tc>
          <w:tcPr>
            <w:cnfStyle w:val="000010000000" w:firstRow="0" w:lastRow="0" w:firstColumn="0" w:lastColumn="0" w:oddVBand="1" w:evenVBand="0" w:oddHBand="0" w:evenHBand="0" w:firstRowFirstColumn="0" w:firstRowLastColumn="0" w:lastRowFirstColumn="0" w:lastRowLastColumn="0"/>
            <w:tcW w:w="1530" w:type="dxa"/>
            <w:tcBorders>
              <w:bottom w:val="single" w:sz="4" w:space="0" w:color="000000"/>
            </w:tcBorders>
            <w:shd w:val="clear" w:color="auto" w:fill="auto"/>
          </w:tcPr>
          <w:p w14:paraId="5DCA5AC0"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0.232</w:t>
            </w:r>
          </w:p>
        </w:tc>
        <w:tc>
          <w:tcPr>
            <w:tcW w:w="990" w:type="dxa"/>
            <w:tcBorders>
              <w:bottom w:val="single" w:sz="4" w:space="0" w:color="000000"/>
            </w:tcBorders>
            <w:shd w:val="clear" w:color="auto" w:fill="auto"/>
          </w:tcPr>
          <w:p w14:paraId="37086DE0" w14:textId="77777777" w:rsidR="00810699" w:rsidRPr="00B671B3" w:rsidRDefault="00701FD7" w:rsidP="00A042C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3.858</w:t>
            </w:r>
          </w:p>
        </w:tc>
        <w:tc>
          <w:tcPr>
            <w:cnfStyle w:val="000010000000" w:firstRow="0" w:lastRow="0" w:firstColumn="0" w:lastColumn="0" w:oddVBand="1" w:evenVBand="0" w:oddHBand="0" w:evenHBand="0" w:firstRowFirstColumn="0" w:firstRowLastColumn="0" w:lastRowFirstColumn="0" w:lastRowLastColumn="0"/>
            <w:tcW w:w="810" w:type="dxa"/>
            <w:tcBorders>
              <w:bottom w:val="single" w:sz="4" w:space="0" w:color="000000"/>
            </w:tcBorders>
            <w:shd w:val="clear" w:color="auto" w:fill="auto"/>
          </w:tcPr>
          <w:p w14:paraId="596BFEBE" w14:textId="77777777" w:rsidR="00810699" w:rsidRPr="00B671B3" w:rsidRDefault="00701FD7" w:rsidP="00A042C4">
            <w:pPr>
              <w:rPr>
                <w:rFonts w:ascii="Arial" w:eastAsia="Times New Roman" w:hAnsi="Arial" w:cs="Arial"/>
                <w:color w:val="auto"/>
              </w:rPr>
            </w:pPr>
            <w:r w:rsidRPr="00B671B3">
              <w:rPr>
                <w:rFonts w:ascii="Arial" w:eastAsia="Times New Roman" w:hAnsi="Arial" w:cs="Arial"/>
                <w:color w:val="auto"/>
              </w:rPr>
              <w:t>0.000</w:t>
            </w:r>
          </w:p>
        </w:tc>
      </w:tr>
      <w:tr w:rsidR="00B40A16" w:rsidRPr="00B671B3" w14:paraId="152669E0" w14:textId="77777777" w:rsidTr="00C47F80">
        <w:trPr>
          <w:trHeight w:val="383"/>
        </w:trPr>
        <w:tc>
          <w:tcPr>
            <w:cnfStyle w:val="000010000000" w:firstRow="0" w:lastRow="0" w:firstColumn="0" w:lastColumn="0" w:oddVBand="1" w:evenVBand="0" w:oddHBand="0" w:evenHBand="0" w:firstRowFirstColumn="0" w:firstRowLastColumn="0" w:lastRowFirstColumn="0" w:lastRowLastColumn="0"/>
            <w:tcW w:w="9270" w:type="dxa"/>
            <w:gridSpan w:val="7"/>
            <w:shd w:val="clear" w:color="auto" w:fill="auto"/>
          </w:tcPr>
          <w:p w14:paraId="10B5450B" w14:textId="77777777" w:rsidR="00810699" w:rsidRPr="00B671B3" w:rsidRDefault="00701FD7" w:rsidP="00A042C4">
            <w:pPr>
              <w:pBdr>
                <w:top w:val="nil"/>
                <w:left w:val="nil"/>
                <w:bottom w:val="nil"/>
                <w:right w:val="nil"/>
                <w:between w:val="nil"/>
              </w:pBdr>
              <w:rPr>
                <w:rFonts w:ascii="Arial" w:eastAsia="Times New Roman" w:hAnsi="Arial" w:cs="Arial"/>
                <w:color w:val="auto"/>
              </w:rPr>
            </w:pPr>
            <w:r w:rsidRPr="00B671B3">
              <w:rPr>
                <w:rFonts w:ascii="Arial" w:eastAsia="Times New Roman" w:hAnsi="Arial" w:cs="Arial"/>
                <w:color w:val="auto"/>
              </w:rPr>
              <w:t>a. Dependent Variable: Financial Risk Management</w:t>
            </w:r>
          </w:p>
        </w:tc>
      </w:tr>
    </w:tbl>
    <w:p w14:paraId="7DB876A9" w14:textId="77777777" w:rsidR="00810699" w:rsidRPr="00B671B3" w:rsidRDefault="00810699" w:rsidP="00A042C4">
      <w:pPr>
        <w:spacing w:line="240" w:lineRule="auto"/>
        <w:rPr>
          <w:rFonts w:ascii="Arial" w:eastAsia="Times New Roman" w:hAnsi="Arial" w:cs="Arial"/>
        </w:rPr>
      </w:pPr>
    </w:p>
    <w:p w14:paraId="28AD2BC1" w14:textId="77777777" w:rsidR="00810699" w:rsidRPr="00B671B3" w:rsidRDefault="00810699" w:rsidP="00A042C4">
      <w:pPr>
        <w:spacing w:line="240" w:lineRule="auto"/>
        <w:rPr>
          <w:rFonts w:ascii="Arial" w:eastAsia="Times New Roman" w:hAnsi="Arial" w:cs="Arial"/>
        </w:rPr>
      </w:pPr>
    </w:p>
    <w:p w14:paraId="1674566B" w14:textId="77777777" w:rsidR="00810699" w:rsidRPr="00B671B3" w:rsidRDefault="00701FD7" w:rsidP="00A042C4">
      <w:pPr>
        <w:pStyle w:val="Heading3"/>
        <w:spacing w:line="240" w:lineRule="auto"/>
        <w:rPr>
          <w:rFonts w:ascii="Arial" w:hAnsi="Arial" w:cs="Arial"/>
          <w:color w:val="auto"/>
          <w:sz w:val="22"/>
          <w:szCs w:val="22"/>
        </w:rPr>
      </w:pPr>
      <w:bookmarkStart w:id="42" w:name="_46r0co2" w:colFirst="0" w:colLast="0"/>
      <w:bookmarkEnd w:id="42"/>
      <w:r w:rsidRPr="00B671B3">
        <w:rPr>
          <w:rFonts w:ascii="Arial" w:hAnsi="Arial" w:cs="Arial"/>
          <w:color w:val="auto"/>
          <w:sz w:val="22"/>
          <w:szCs w:val="22"/>
        </w:rPr>
        <w:t>4.6 Difference between Corporate Governance Practices in the Public and Private Sector Schemes</w:t>
      </w:r>
    </w:p>
    <w:p w14:paraId="08240F68" w14:textId="43F09882"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independent sample t-test was employed to determine the difference between corporate governance practices in the public and private employer-sponsored pension schemes in Ghana. </w:t>
      </w:r>
    </w:p>
    <w:p w14:paraId="7E76FC19" w14:textId="00964BD8" w:rsidR="0064704E" w:rsidRPr="00B671B3" w:rsidRDefault="0064704E" w:rsidP="00A042C4">
      <w:pPr>
        <w:pBdr>
          <w:top w:val="nil"/>
          <w:left w:val="nil"/>
          <w:bottom w:val="nil"/>
          <w:right w:val="nil"/>
          <w:between w:val="nil"/>
        </w:pBdr>
        <w:spacing w:after="200" w:line="240" w:lineRule="auto"/>
        <w:jc w:val="both"/>
        <w:rPr>
          <w:rFonts w:ascii="Arial" w:eastAsia="Times New Roman" w:hAnsi="Arial" w:cs="Arial"/>
        </w:rPr>
      </w:pPr>
      <w:bookmarkStart w:id="43" w:name="_34g0dwd" w:colFirst="0" w:colLast="0"/>
      <w:bookmarkEnd w:id="43"/>
      <w:r w:rsidRPr="00B671B3">
        <w:rPr>
          <w:rFonts w:ascii="Arial" w:eastAsia="Times New Roman" w:hAnsi="Arial" w:cs="Arial"/>
        </w:rPr>
        <w:t xml:space="preserve">Table </w:t>
      </w:r>
      <w:r w:rsidR="002B4C2B">
        <w:rPr>
          <w:rFonts w:ascii="Arial" w:eastAsia="Times New Roman" w:hAnsi="Arial" w:cs="Arial"/>
        </w:rPr>
        <w:t>6</w:t>
      </w:r>
      <w:r w:rsidRPr="00B671B3">
        <w:rPr>
          <w:rFonts w:ascii="Arial" w:eastAsia="Times New Roman" w:hAnsi="Arial" w:cs="Arial"/>
        </w:rPr>
        <w:t xml:space="preserve"> shows that private sector corporate governance has a mean score of 1.3333, a standard deviation of 0.51640, and a standard error of 0.21082. This implies that private employer-sponsored has weaker corporate governance, with modest score fluctuation. </w:t>
      </w:r>
      <w:r w:rsidRPr="00B671B3">
        <w:rPr>
          <w:rFonts w:ascii="Arial" w:eastAsia="Times New Roman" w:hAnsi="Arial" w:cs="Arial"/>
        </w:rPr>
        <w:br/>
        <w:t xml:space="preserve">Table </w:t>
      </w:r>
      <w:r w:rsidR="002B4C2B">
        <w:rPr>
          <w:rFonts w:ascii="Arial" w:eastAsia="Times New Roman" w:hAnsi="Arial" w:cs="Arial"/>
        </w:rPr>
        <w:t>6</w:t>
      </w:r>
      <w:r w:rsidRPr="00B671B3">
        <w:rPr>
          <w:rFonts w:ascii="Arial" w:eastAsia="Times New Roman" w:hAnsi="Arial" w:cs="Arial"/>
        </w:rPr>
        <w:t xml:space="preserve"> shows that public sector corporate governance has a mean score of 1.4333, a standard deviation of 0.70711, and a standard error of 0.23570. The public employer-sponsored has a greater corporate governance structure and more score variation than the private sector. Mean corporate governance scores in private and public employer-sponsored pension systems differ significantly, with the public sector scoring better. This affects corporate governance practices in private employer-sponsored pension systems and calls for more research and regulation. </w:t>
      </w:r>
    </w:p>
    <w:p w14:paraId="5599E70B" w14:textId="0A9E8F4A"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r w:rsidRPr="00B671B3">
        <w:rPr>
          <w:rFonts w:ascii="Arial" w:eastAsia="Times New Roman" w:hAnsi="Arial" w:cs="Arial"/>
          <w:b/>
        </w:rPr>
        <w:t xml:space="preserve">Table </w:t>
      </w:r>
      <w:r w:rsidR="002B4C2B">
        <w:rPr>
          <w:rFonts w:ascii="Arial" w:eastAsia="Times New Roman" w:hAnsi="Arial" w:cs="Arial"/>
          <w:b/>
        </w:rPr>
        <w:t>6</w:t>
      </w:r>
      <w:r w:rsidRPr="00B671B3">
        <w:rPr>
          <w:rFonts w:ascii="Arial" w:eastAsia="Times New Roman" w:hAnsi="Arial" w:cs="Arial"/>
          <w:b/>
        </w:rPr>
        <w:t xml:space="preserve"> - Group Statistics</w:t>
      </w:r>
    </w:p>
    <w:tbl>
      <w:tblPr>
        <w:tblStyle w:val="a5"/>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621"/>
        <w:gridCol w:w="898"/>
        <w:gridCol w:w="1425"/>
        <w:gridCol w:w="2002"/>
        <w:gridCol w:w="2049"/>
      </w:tblGrid>
      <w:tr w:rsidR="00B40A16" w:rsidRPr="00B671B3" w14:paraId="6A5A0FC0" w14:textId="77777777" w:rsidTr="0064704E">
        <w:trPr>
          <w:cnfStyle w:val="000000100000" w:firstRow="0" w:lastRow="0" w:firstColumn="0" w:lastColumn="0" w:oddVBand="0" w:evenVBand="0" w:oddHBand="1" w:evenHBand="0" w:firstRowFirstColumn="0" w:firstRowLastColumn="0" w:lastRowFirstColumn="0" w:lastRowLastColumn="0"/>
          <w:trHeight w:val="1365"/>
        </w:trPr>
        <w:tc>
          <w:tcPr>
            <w:cnfStyle w:val="000010000000" w:firstRow="0" w:lastRow="0" w:firstColumn="0" w:lastColumn="0" w:oddVBand="1" w:evenVBand="0" w:oddHBand="0" w:evenHBand="0" w:firstRowFirstColumn="0" w:firstRowLastColumn="0" w:lastRowFirstColumn="0" w:lastRowLastColumn="0"/>
            <w:tcW w:w="1525" w:type="dxa"/>
            <w:tcBorders>
              <w:bottom w:val="single" w:sz="4" w:space="0" w:color="000000"/>
            </w:tcBorders>
            <w:shd w:val="clear" w:color="auto" w:fill="auto"/>
          </w:tcPr>
          <w:p w14:paraId="0C41861D" w14:textId="77777777" w:rsidR="00810699" w:rsidRPr="00B671B3" w:rsidRDefault="00810699" w:rsidP="00A042C4">
            <w:pPr>
              <w:rPr>
                <w:rFonts w:ascii="Arial" w:eastAsia="Times New Roman" w:hAnsi="Arial" w:cs="Arial"/>
                <w:b/>
                <w:color w:val="auto"/>
              </w:rPr>
            </w:pPr>
          </w:p>
        </w:tc>
        <w:tc>
          <w:tcPr>
            <w:tcW w:w="1621" w:type="dxa"/>
            <w:tcBorders>
              <w:bottom w:val="single" w:sz="4" w:space="0" w:color="000000"/>
            </w:tcBorders>
            <w:shd w:val="clear" w:color="auto" w:fill="auto"/>
          </w:tcPr>
          <w:p w14:paraId="48C2B657"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Corporate Governance in the Private Sector</w:t>
            </w:r>
          </w:p>
        </w:tc>
        <w:tc>
          <w:tcPr>
            <w:cnfStyle w:val="000010000000" w:firstRow="0" w:lastRow="0" w:firstColumn="0" w:lastColumn="0" w:oddVBand="1" w:evenVBand="0" w:oddHBand="0" w:evenHBand="0" w:firstRowFirstColumn="0" w:firstRowLastColumn="0" w:lastRowFirstColumn="0" w:lastRowLastColumn="0"/>
            <w:tcW w:w="898" w:type="dxa"/>
            <w:tcBorders>
              <w:bottom w:val="single" w:sz="4" w:space="0" w:color="000000"/>
            </w:tcBorders>
            <w:shd w:val="clear" w:color="auto" w:fill="auto"/>
          </w:tcPr>
          <w:p w14:paraId="70D9FD19" w14:textId="77777777" w:rsidR="00810699" w:rsidRPr="00B671B3" w:rsidRDefault="00701FD7" w:rsidP="00A042C4">
            <w:pPr>
              <w:ind w:left="60" w:right="60"/>
              <w:jc w:val="center"/>
              <w:rPr>
                <w:rFonts w:ascii="Arial" w:eastAsia="Times New Roman" w:hAnsi="Arial" w:cs="Arial"/>
                <w:b/>
                <w:color w:val="auto"/>
              </w:rPr>
            </w:pPr>
            <w:r w:rsidRPr="00B671B3">
              <w:rPr>
                <w:rFonts w:ascii="Arial" w:eastAsia="Times New Roman" w:hAnsi="Arial" w:cs="Arial"/>
                <w:b/>
                <w:color w:val="auto"/>
              </w:rPr>
              <w:t>N</w:t>
            </w:r>
          </w:p>
          <w:p w14:paraId="75CF8B95" w14:textId="77777777" w:rsidR="00810699" w:rsidRPr="00B671B3" w:rsidRDefault="00810699" w:rsidP="00A042C4">
            <w:pPr>
              <w:ind w:left="60" w:right="60"/>
              <w:jc w:val="center"/>
              <w:rPr>
                <w:rFonts w:ascii="Arial" w:eastAsia="Times New Roman" w:hAnsi="Arial" w:cs="Arial"/>
                <w:b/>
                <w:color w:val="auto"/>
              </w:rPr>
            </w:pPr>
          </w:p>
        </w:tc>
        <w:tc>
          <w:tcPr>
            <w:tcW w:w="1425" w:type="dxa"/>
            <w:tcBorders>
              <w:bottom w:val="single" w:sz="4" w:space="0" w:color="000000"/>
            </w:tcBorders>
            <w:shd w:val="clear" w:color="auto" w:fill="auto"/>
          </w:tcPr>
          <w:p w14:paraId="362ADBB9"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Mean</w:t>
            </w:r>
          </w:p>
          <w:p w14:paraId="253C2725" w14:textId="77777777" w:rsidR="00810699" w:rsidRPr="00B671B3" w:rsidRDefault="00810699"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p>
        </w:tc>
        <w:tc>
          <w:tcPr>
            <w:cnfStyle w:val="000010000000" w:firstRow="0" w:lastRow="0" w:firstColumn="0" w:lastColumn="0" w:oddVBand="1" w:evenVBand="0" w:oddHBand="0" w:evenHBand="0" w:firstRowFirstColumn="0" w:firstRowLastColumn="0" w:lastRowFirstColumn="0" w:lastRowLastColumn="0"/>
            <w:tcW w:w="2002" w:type="dxa"/>
            <w:tcBorders>
              <w:bottom w:val="single" w:sz="4" w:space="0" w:color="000000"/>
            </w:tcBorders>
            <w:shd w:val="clear" w:color="auto" w:fill="auto"/>
          </w:tcPr>
          <w:p w14:paraId="0FB66F3E" w14:textId="77777777" w:rsidR="00810699" w:rsidRPr="00B671B3" w:rsidRDefault="00701FD7" w:rsidP="00A042C4">
            <w:pPr>
              <w:ind w:left="60" w:right="60"/>
              <w:jc w:val="center"/>
              <w:rPr>
                <w:rFonts w:ascii="Arial" w:eastAsia="Times New Roman" w:hAnsi="Arial" w:cs="Arial"/>
                <w:b/>
                <w:color w:val="auto"/>
              </w:rPr>
            </w:pPr>
            <w:r w:rsidRPr="00B671B3">
              <w:rPr>
                <w:rFonts w:ascii="Arial" w:eastAsia="Times New Roman" w:hAnsi="Arial" w:cs="Arial"/>
                <w:b/>
                <w:color w:val="auto"/>
              </w:rPr>
              <w:t>Std. Deviation</w:t>
            </w:r>
          </w:p>
          <w:p w14:paraId="64D644DC" w14:textId="77777777" w:rsidR="00810699" w:rsidRPr="00B671B3" w:rsidRDefault="00810699" w:rsidP="00A042C4">
            <w:pPr>
              <w:ind w:left="60" w:right="60"/>
              <w:jc w:val="center"/>
              <w:rPr>
                <w:rFonts w:ascii="Arial" w:eastAsia="Times New Roman" w:hAnsi="Arial" w:cs="Arial"/>
                <w:b/>
                <w:color w:val="auto"/>
              </w:rPr>
            </w:pPr>
          </w:p>
        </w:tc>
        <w:tc>
          <w:tcPr>
            <w:tcW w:w="2049" w:type="dxa"/>
            <w:tcBorders>
              <w:bottom w:val="single" w:sz="4" w:space="0" w:color="000000"/>
            </w:tcBorders>
            <w:shd w:val="clear" w:color="auto" w:fill="auto"/>
          </w:tcPr>
          <w:p w14:paraId="0B1C93A0"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r w:rsidRPr="00B671B3">
              <w:rPr>
                <w:rFonts w:ascii="Arial" w:eastAsia="Times New Roman" w:hAnsi="Arial" w:cs="Arial"/>
                <w:b/>
                <w:color w:val="auto"/>
              </w:rPr>
              <w:t>Std. Error Mean</w:t>
            </w:r>
          </w:p>
          <w:p w14:paraId="62582396" w14:textId="77777777" w:rsidR="00810699" w:rsidRPr="00B671B3" w:rsidRDefault="00810699"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rPr>
            </w:pPr>
          </w:p>
        </w:tc>
      </w:tr>
      <w:tr w:rsidR="00B40A16" w:rsidRPr="00B671B3" w14:paraId="70EF30D7" w14:textId="77777777" w:rsidTr="0064704E">
        <w:trPr>
          <w:trHeight w:val="367"/>
        </w:trPr>
        <w:tc>
          <w:tcPr>
            <w:cnfStyle w:val="000010000000" w:firstRow="0" w:lastRow="0" w:firstColumn="0" w:lastColumn="0" w:oddVBand="1" w:evenVBand="0" w:oddHBand="0" w:evenHBand="0" w:firstRowFirstColumn="0" w:firstRowLastColumn="0" w:lastRowFirstColumn="0" w:lastRowLastColumn="0"/>
            <w:tcW w:w="1525" w:type="dxa"/>
            <w:vMerge w:val="restart"/>
            <w:tcBorders>
              <w:top w:val="single" w:sz="4" w:space="0" w:color="000000"/>
            </w:tcBorders>
            <w:shd w:val="clear" w:color="auto" w:fill="auto"/>
          </w:tcPr>
          <w:p w14:paraId="1C1B25EC" w14:textId="77777777" w:rsidR="00810699" w:rsidRPr="00B671B3" w:rsidRDefault="00701FD7" w:rsidP="00A042C4">
            <w:pPr>
              <w:ind w:left="60" w:right="60"/>
              <w:rPr>
                <w:rFonts w:ascii="Arial" w:eastAsia="Times New Roman" w:hAnsi="Arial" w:cs="Arial"/>
                <w:color w:val="auto"/>
              </w:rPr>
            </w:pPr>
            <w:r w:rsidRPr="00B671B3">
              <w:rPr>
                <w:rFonts w:ascii="Arial" w:eastAsia="Times New Roman" w:hAnsi="Arial" w:cs="Arial"/>
                <w:color w:val="auto"/>
              </w:rPr>
              <w:t>Corporate Governance in the Public Sector</w:t>
            </w:r>
          </w:p>
        </w:tc>
        <w:tc>
          <w:tcPr>
            <w:tcW w:w="1621" w:type="dxa"/>
            <w:tcBorders>
              <w:top w:val="single" w:sz="4" w:space="0" w:color="000000"/>
            </w:tcBorders>
          </w:tcPr>
          <w:p w14:paraId="588A9B29"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1.00</w:t>
            </w:r>
          </w:p>
        </w:tc>
        <w:tc>
          <w:tcPr>
            <w:cnfStyle w:val="000010000000" w:firstRow="0" w:lastRow="0" w:firstColumn="0" w:lastColumn="0" w:oddVBand="1" w:evenVBand="0" w:oddHBand="0" w:evenHBand="0" w:firstRowFirstColumn="0" w:firstRowLastColumn="0" w:lastRowFirstColumn="0" w:lastRowLastColumn="0"/>
            <w:tcW w:w="898" w:type="dxa"/>
            <w:tcBorders>
              <w:top w:val="single" w:sz="4" w:space="0" w:color="000000"/>
            </w:tcBorders>
            <w:shd w:val="clear" w:color="auto" w:fill="auto"/>
          </w:tcPr>
          <w:p w14:paraId="586F5839"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72</w:t>
            </w:r>
          </w:p>
        </w:tc>
        <w:tc>
          <w:tcPr>
            <w:tcW w:w="1425" w:type="dxa"/>
            <w:tcBorders>
              <w:top w:val="single" w:sz="4" w:space="0" w:color="000000"/>
            </w:tcBorders>
          </w:tcPr>
          <w:p w14:paraId="429864DD"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1.3333</w:t>
            </w:r>
          </w:p>
        </w:tc>
        <w:tc>
          <w:tcPr>
            <w:cnfStyle w:val="000010000000" w:firstRow="0" w:lastRow="0" w:firstColumn="0" w:lastColumn="0" w:oddVBand="1" w:evenVBand="0" w:oddHBand="0" w:evenHBand="0" w:firstRowFirstColumn="0" w:firstRowLastColumn="0" w:lastRowFirstColumn="0" w:lastRowLastColumn="0"/>
            <w:tcW w:w="2002" w:type="dxa"/>
            <w:tcBorders>
              <w:top w:val="single" w:sz="4" w:space="0" w:color="000000"/>
            </w:tcBorders>
            <w:shd w:val="clear" w:color="auto" w:fill="auto"/>
          </w:tcPr>
          <w:p w14:paraId="6B624A2C"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0.51640</w:t>
            </w:r>
          </w:p>
        </w:tc>
        <w:tc>
          <w:tcPr>
            <w:tcW w:w="2049" w:type="dxa"/>
            <w:tcBorders>
              <w:top w:val="single" w:sz="4" w:space="0" w:color="000000"/>
            </w:tcBorders>
          </w:tcPr>
          <w:p w14:paraId="34C47CA9" w14:textId="77777777" w:rsidR="00810699" w:rsidRPr="00B671B3" w:rsidRDefault="00701FD7" w:rsidP="00A042C4">
            <w:pPr>
              <w:ind w:left="60" w:right="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0.21082</w:t>
            </w:r>
          </w:p>
        </w:tc>
      </w:tr>
      <w:tr w:rsidR="00B40A16" w:rsidRPr="00B671B3" w14:paraId="41A425D5" w14:textId="77777777" w:rsidTr="0064704E">
        <w:trPr>
          <w:cnfStyle w:val="000000100000" w:firstRow="0" w:lastRow="0" w:firstColumn="0" w:lastColumn="0" w:oddVBand="0" w:evenVBand="0" w:oddHBand="1" w:evenHBand="0" w:firstRowFirstColumn="0" w:firstRowLastColumn="0" w:lastRowFirstColumn="0" w:lastRowLastColumn="0"/>
          <w:trHeight w:val="998"/>
        </w:trPr>
        <w:tc>
          <w:tcPr>
            <w:cnfStyle w:val="000010000000" w:firstRow="0" w:lastRow="0" w:firstColumn="0" w:lastColumn="0" w:oddVBand="1" w:evenVBand="0" w:oddHBand="0" w:evenHBand="0" w:firstRowFirstColumn="0" w:firstRowLastColumn="0" w:lastRowFirstColumn="0" w:lastRowLastColumn="0"/>
            <w:tcW w:w="1525" w:type="dxa"/>
            <w:vMerge/>
            <w:tcBorders>
              <w:top w:val="single" w:sz="4" w:space="0" w:color="000000"/>
            </w:tcBorders>
            <w:shd w:val="clear" w:color="auto" w:fill="auto"/>
          </w:tcPr>
          <w:p w14:paraId="233192F5" w14:textId="77777777" w:rsidR="00810699" w:rsidRPr="00B671B3" w:rsidRDefault="00810699" w:rsidP="00A042C4">
            <w:pPr>
              <w:widowControl w:val="0"/>
              <w:pBdr>
                <w:top w:val="nil"/>
                <w:left w:val="nil"/>
                <w:bottom w:val="nil"/>
                <w:right w:val="nil"/>
                <w:between w:val="nil"/>
              </w:pBdr>
              <w:rPr>
                <w:rFonts w:ascii="Arial" w:eastAsia="Times New Roman" w:hAnsi="Arial" w:cs="Arial"/>
                <w:color w:val="auto"/>
              </w:rPr>
            </w:pPr>
          </w:p>
        </w:tc>
        <w:tc>
          <w:tcPr>
            <w:tcW w:w="1621" w:type="dxa"/>
            <w:shd w:val="clear" w:color="auto" w:fill="auto"/>
          </w:tcPr>
          <w:p w14:paraId="3FDF753B"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2.00</w:t>
            </w:r>
          </w:p>
        </w:tc>
        <w:tc>
          <w:tcPr>
            <w:cnfStyle w:val="000010000000" w:firstRow="0" w:lastRow="0" w:firstColumn="0" w:lastColumn="0" w:oddVBand="1" w:evenVBand="0" w:oddHBand="0" w:evenHBand="0" w:firstRowFirstColumn="0" w:firstRowLastColumn="0" w:lastRowFirstColumn="0" w:lastRowLastColumn="0"/>
            <w:tcW w:w="898" w:type="dxa"/>
            <w:shd w:val="clear" w:color="auto" w:fill="auto"/>
          </w:tcPr>
          <w:p w14:paraId="7AA1230F"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73</w:t>
            </w:r>
          </w:p>
        </w:tc>
        <w:tc>
          <w:tcPr>
            <w:tcW w:w="1425" w:type="dxa"/>
            <w:shd w:val="clear" w:color="auto" w:fill="auto"/>
          </w:tcPr>
          <w:p w14:paraId="12CAF35C"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1.4333</w:t>
            </w:r>
          </w:p>
        </w:tc>
        <w:tc>
          <w:tcPr>
            <w:cnfStyle w:val="000010000000" w:firstRow="0" w:lastRow="0" w:firstColumn="0" w:lastColumn="0" w:oddVBand="1" w:evenVBand="0" w:oddHBand="0" w:evenHBand="0" w:firstRowFirstColumn="0" w:firstRowLastColumn="0" w:lastRowFirstColumn="0" w:lastRowLastColumn="0"/>
            <w:tcW w:w="2002" w:type="dxa"/>
            <w:shd w:val="clear" w:color="auto" w:fill="auto"/>
          </w:tcPr>
          <w:p w14:paraId="0EE6BC1C" w14:textId="77777777" w:rsidR="00810699" w:rsidRPr="00B671B3" w:rsidRDefault="00701FD7" w:rsidP="00A042C4">
            <w:pPr>
              <w:ind w:left="60" w:right="60"/>
              <w:jc w:val="center"/>
              <w:rPr>
                <w:rFonts w:ascii="Arial" w:eastAsia="Times New Roman" w:hAnsi="Arial" w:cs="Arial"/>
                <w:color w:val="auto"/>
              </w:rPr>
            </w:pPr>
            <w:r w:rsidRPr="00B671B3">
              <w:rPr>
                <w:rFonts w:ascii="Arial" w:eastAsia="Times New Roman" w:hAnsi="Arial" w:cs="Arial"/>
                <w:color w:val="auto"/>
              </w:rPr>
              <w:t>0.70711</w:t>
            </w:r>
          </w:p>
        </w:tc>
        <w:tc>
          <w:tcPr>
            <w:tcW w:w="2049" w:type="dxa"/>
            <w:shd w:val="clear" w:color="auto" w:fill="auto"/>
          </w:tcPr>
          <w:p w14:paraId="44CB2DAD" w14:textId="77777777" w:rsidR="00810699" w:rsidRPr="00B671B3" w:rsidRDefault="00701FD7" w:rsidP="00A042C4">
            <w:pPr>
              <w:ind w:left="60" w:right="6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rPr>
            </w:pPr>
            <w:r w:rsidRPr="00B671B3">
              <w:rPr>
                <w:rFonts w:ascii="Arial" w:eastAsia="Times New Roman" w:hAnsi="Arial" w:cs="Arial"/>
                <w:color w:val="auto"/>
              </w:rPr>
              <w:t>0.23570</w:t>
            </w:r>
          </w:p>
        </w:tc>
      </w:tr>
    </w:tbl>
    <w:p w14:paraId="514C2A01" w14:textId="6D0FF1E5"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Source: Field Survey, 202</w:t>
      </w:r>
      <w:r w:rsidR="000E3763" w:rsidRPr="00B671B3">
        <w:rPr>
          <w:rFonts w:ascii="Arial" w:eastAsia="Times New Roman" w:hAnsi="Arial" w:cs="Arial"/>
        </w:rPr>
        <w:t>5</w:t>
      </w:r>
    </w:p>
    <w:p w14:paraId="43A50AAA" w14:textId="76F42D44"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independent samples test results indicate that there is a significant difference in the means of corporate governance between the public and private employer-sponsored pension schemes. The t-test statistic (-2.962) is significant at the 0.011 level, which is less than the typical significance level of 0.05. This suggests that the difference in means is not due to chance, and that the public employer-sponsored pension schemes has a significantly higher level of corporate governance compared to the private sector. The mean difference of -1.00000 indicates that the public employer-sponsored pension schemes has a higher level of corporate governance by approximately 1 unit compared to the private sector. The standard error of 0.33758 suggests that the estimate is relatively precise, and the 95% confidence interval provides a range within which the true mean difference is likely to lie.</w:t>
      </w:r>
    </w:p>
    <w:p w14:paraId="2D96F9A5" w14:textId="13C79D45"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bookmarkStart w:id="44" w:name="_1jlao46" w:colFirst="0" w:colLast="0"/>
      <w:bookmarkEnd w:id="44"/>
      <w:r w:rsidRPr="00B671B3">
        <w:rPr>
          <w:rFonts w:ascii="Arial" w:eastAsia="Times New Roman" w:hAnsi="Arial" w:cs="Arial"/>
          <w:b/>
        </w:rPr>
        <w:t xml:space="preserve">Table </w:t>
      </w:r>
      <w:r w:rsidR="002B4C2B">
        <w:rPr>
          <w:rFonts w:ascii="Arial" w:eastAsia="Times New Roman" w:hAnsi="Arial" w:cs="Arial"/>
          <w:b/>
        </w:rPr>
        <w:t>7</w:t>
      </w:r>
      <w:r w:rsidRPr="00B671B3">
        <w:rPr>
          <w:rFonts w:ascii="Arial" w:eastAsia="Times New Roman" w:hAnsi="Arial" w:cs="Arial"/>
          <w:b/>
        </w:rPr>
        <w:t xml:space="preserve"> - Independent Samples Test</w:t>
      </w:r>
      <w:r w:rsidRPr="00B671B3">
        <w:rPr>
          <w:rFonts w:ascii="Arial" w:hAnsi="Arial" w:cs="Arial"/>
          <w:noProof/>
          <w:lang w:val="en-US" w:eastAsia="en-US"/>
        </w:rPr>
        <w:drawing>
          <wp:anchor distT="0" distB="0" distL="114300" distR="114300" simplePos="0" relativeHeight="251659264" behindDoc="0" locked="0" layoutInCell="1" hidden="0" allowOverlap="1" wp14:anchorId="3B788FCE" wp14:editId="1B319D97">
            <wp:simplePos x="0" y="0"/>
            <wp:positionH relativeFrom="column">
              <wp:posOffset>-61911</wp:posOffset>
            </wp:positionH>
            <wp:positionV relativeFrom="paragraph">
              <wp:posOffset>385763</wp:posOffset>
            </wp:positionV>
            <wp:extent cx="5919470" cy="295275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6331" t="37510" r="33406" b="20399"/>
                    <a:stretch>
                      <a:fillRect/>
                    </a:stretch>
                  </pic:blipFill>
                  <pic:spPr>
                    <a:xfrm>
                      <a:off x="0" y="0"/>
                      <a:ext cx="5919470" cy="2952750"/>
                    </a:xfrm>
                    <a:prstGeom prst="rect">
                      <a:avLst/>
                    </a:prstGeom>
                    <a:ln/>
                  </pic:spPr>
                </pic:pic>
              </a:graphicData>
            </a:graphic>
          </wp:anchor>
        </w:drawing>
      </w:r>
    </w:p>
    <w:p w14:paraId="13F3F946" w14:textId="77777777" w:rsidR="00810699" w:rsidRPr="00B671B3" w:rsidRDefault="00810699" w:rsidP="00A042C4">
      <w:pPr>
        <w:spacing w:line="240" w:lineRule="auto"/>
        <w:jc w:val="both"/>
        <w:rPr>
          <w:rFonts w:ascii="Arial" w:eastAsia="Times New Roman" w:hAnsi="Arial" w:cs="Arial"/>
        </w:rPr>
      </w:pPr>
    </w:p>
    <w:p w14:paraId="11AEAD1A" w14:textId="77777777" w:rsidR="00810699" w:rsidRPr="00B671B3" w:rsidRDefault="00701FD7" w:rsidP="00A042C4">
      <w:pPr>
        <w:pStyle w:val="Heading3"/>
        <w:spacing w:line="240" w:lineRule="auto"/>
        <w:rPr>
          <w:rFonts w:ascii="Arial" w:hAnsi="Arial" w:cs="Arial"/>
          <w:color w:val="auto"/>
          <w:sz w:val="22"/>
          <w:szCs w:val="22"/>
        </w:rPr>
      </w:pPr>
      <w:bookmarkStart w:id="45" w:name="_2lwamvv" w:colFirst="0" w:colLast="0"/>
      <w:bookmarkEnd w:id="45"/>
      <w:r w:rsidRPr="00B671B3">
        <w:rPr>
          <w:rFonts w:ascii="Arial" w:hAnsi="Arial" w:cs="Arial"/>
          <w:color w:val="auto"/>
          <w:sz w:val="22"/>
          <w:szCs w:val="22"/>
        </w:rPr>
        <w:t>4.7 Effectiveness of Corporate Governance Practices</w:t>
      </w:r>
    </w:p>
    <w:p w14:paraId="75337A89" w14:textId="29AB2C36" w:rsidR="00810699" w:rsidRPr="00B671B3" w:rsidRDefault="00701FD7" w:rsidP="00A042C4">
      <w:pPr>
        <w:spacing w:line="240" w:lineRule="auto"/>
        <w:jc w:val="both"/>
        <w:rPr>
          <w:rFonts w:ascii="Arial" w:eastAsia="Times New Roman" w:hAnsi="Arial" w:cs="Arial"/>
          <w:lang w:val="en-US" w:eastAsia="en-US"/>
        </w:rPr>
      </w:pPr>
      <w:r w:rsidRPr="00B671B3">
        <w:rPr>
          <w:rFonts w:ascii="Arial" w:eastAsia="Times New Roman" w:hAnsi="Arial" w:cs="Arial"/>
          <w:lang w:val="en-US" w:eastAsia="en-US"/>
        </w:rPr>
        <w:t xml:space="preserve">The results in Table </w:t>
      </w:r>
      <w:r w:rsidR="002B4C2B">
        <w:rPr>
          <w:rFonts w:ascii="Arial" w:eastAsia="Times New Roman" w:hAnsi="Arial" w:cs="Arial"/>
          <w:lang w:val="en-US" w:eastAsia="en-US"/>
        </w:rPr>
        <w:t>7</w:t>
      </w:r>
      <w:r w:rsidRPr="00B671B3">
        <w:rPr>
          <w:rFonts w:ascii="Arial" w:eastAsia="Times New Roman" w:hAnsi="Arial" w:cs="Arial"/>
          <w:lang w:val="en-US" w:eastAsia="en-US"/>
        </w:rPr>
        <w:t xml:space="preserve"> suggest that the public employer-sponsored pension schemes </w:t>
      </w:r>
      <w:proofErr w:type="gramStart"/>
      <w:r w:rsidRPr="00B671B3">
        <w:rPr>
          <w:rFonts w:ascii="Arial" w:eastAsia="Times New Roman" w:hAnsi="Arial" w:cs="Arial"/>
          <w:lang w:val="en-US" w:eastAsia="en-US"/>
        </w:rPr>
        <w:t>has</w:t>
      </w:r>
      <w:proofErr w:type="gramEnd"/>
      <w:r w:rsidRPr="00B671B3">
        <w:rPr>
          <w:rFonts w:ascii="Arial" w:eastAsia="Times New Roman" w:hAnsi="Arial" w:cs="Arial"/>
          <w:lang w:val="en-US" w:eastAsia="en-US"/>
        </w:rPr>
        <w:t xml:space="preserve"> a more effective system of corporate governance in place compared to the private employer-sponsored pension schemes. This could be due to various factors such as stricter regulations, greater </w:t>
      </w:r>
      <w:r w:rsidRPr="00B671B3">
        <w:rPr>
          <w:rFonts w:ascii="Arial" w:eastAsia="Times New Roman" w:hAnsi="Arial" w:cs="Arial"/>
          <w:lang w:val="en-US" w:eastAsia="en-US"/>
        </w:rPr>
        <w:lastRenderedPageBreak/>
        <w:t xml:space="preserve">transparency, and accountability in the public employer-sponsored pension schemes. The results in Table </w:t>
      </w:r>
      <w:r w:rsidR="002B4C2B">
        <w:rPr>
          <w:rFonts w:ascii="Arial" w:eastAsia="Times New Roman" w:hAnsi="Arial" w:cs="Arial"/>
          <w:lang w:val="en-US" w:eastAsia="en-US"/>
        </w:rPr>
        <w:t>7</w:t>
      </w:r>
      <w:r w:rsidRPr="00B671B3">
        <w:rPr>
          <w:rFonts w:ascii="Arial" w:eastAsia="Times New Roman" w:hAnsi="Arial" w:cs="Arial"/>
          <w:lang w:val="en-US" w:eastAsia="en-US"/>
        </w:rPr>
        <w:t xml:space="preserve"> show that Levene's test statistic (F = 0.149, Sig. = 0.706) indicates that the assumption of equal variances is not violated. </w:t>
      </w:r>
    </w:p>
    <w:p w14:paraId="52F0CD88" w14:textId="77777777" w:rsidR="00810699" w:rsidRPr="00B671B3" w:rsidRDefault="00701FD7" w:rsidP="00A042C4">
      <w:pPr>
        <w:spacing w:line="240" w:lineRule="auto"/>
        <w:jc w:val="both"/>
        <w:rPr>
          <w:rFonts w:ascii="Arial" w:eastAsia="Times New Roman" w:hAnsi="Arial" w:cs="Arial"/>
          <w:lang w:val="en-US" w:eastAsia="en-US"/>
        </w:rPr>
      </w:pPr>
      <w:r w:rsidRPr="00B671B3">
        <w:rPr>
          <w:rFonts w:ascii="Arial" w:eastAsia="Times New Roman" w:hAnsi="Arial" w:cs="Arial"/>
          <w:lang w:val="en-US" w:eastAsia="en-US"/>
        </w:rPr>
        <w:t xml:space="preserve"> Therefore, the study provides enough evidence to reject the null hypothesis in place of the alternate hypothesis that “corporate governance systems in public employer-sponsored pension schemes are effective in managing financial risk in the industry compared to private employer-sponsored pension schemes.</w:t>
      </w:r>
    </w:p>
    <w:p w14:paraId="4BF4AA03" w14:textId="7B0AEDC7" w:rsidR="000D6F04" w:rsidRPr="00B671B3" w:rsidRDefault="000D6F04" w:rsidP="00A042C4">
      <w:pPr>
        <w:spacing w:line="240" w:lineRule="auto"/>
        <w:jc w:val="both"/>
        <w:rPr>
          <w:rFonts w:ascii="Arial" w:eastAsia="Times New Roman" w:hAnsi="Arial" w:cs="Arial"/>
          <w:lang w:val="en-US" w:eastAsia="en-US"/>
        </w:rPr>
      </w:pPr>
      <w:bookmarkStart w:id="46" w:name="_43ky6rz" w:colFirst="0" w:colLast="0"/>
      <w:bookmarkEnd w:id="46"/>
      <w:r w:rsidRPr="00B671B3">
        <w:rPr>
          <w:rFonts w:ascii="Arial" w:eastAsia="Times New Roman" w:hAnsi="Arial" w:cs="Arial"/>
          <w:lang w:val="en-US" w:eastAsia="en-US"/>
        </w:rPr>
        <w:t xml:space="preserve">Effect size analysis standardizes the difference in corporate governance between public and private employer-sponsored pension plans. Cohen's d is 0.64051, indicating a medium-to-large effect. Table </w:t>
      </w:r>
      <w:r w:rsidR="002B4C2B">
        <w:rPr>
          <w:rFonts w:ascii="Arial" w:eastAsia="Times New Roman" w:hAnsi="Arial" w:cs="Arial"/>
          <w:lang w:val="en-US" w:eastAsia="en-US"/>
        </w:rPr>
        <w:t>8</w:t>
      </w:r>
      <w:r w:rsidRPr="00B671B3">
        <w:rPr>
          <w:rFonts w:ascii="Arial" w:eastAsia="Times New Roman" w:hAnsi="Arial" w:cs="Arial"/>
          <w:lang w:val="en-US" w:eastAsia="en-US"/>
        </w:rPr>
        <w:t xml:space="preserve"> shows the 95% confidence interval is (-1.561, -0.347), indicating the true effect size is within this range. Table </w:t>
      </w:r>
      <w:r w:rsidR="002B4C2B">
        <w:rPr>
          <w:rFonts w:ascii="Arial" w:eastAsia="Times New Roman" w:hAnsi="Arial" w:cs="Arial"/>
          <w:lang w:val="en-US" w:eastAsia="en-US"/>
        </w:rPr>
        <w:t>8</w:t>
      </w:r>
      <w:r w:rsidRPr="00B671B3">
        <w:rPr>
          <w:rFonts w:ascii="Arial" w:eastAsia="Times New Roman" w:hAnsi="Arial" w:cs="Arial"/>
          <w:lang w:val="en-US" w:eastAsia="en-US"/>
        </w:rPr>
        <w:t xml:space="preserve"> shows Hedges' correction statistic 0.68068, similar to Cohen's d. This 95% confidence interval (-1.469, -0.327) suggests the true effect size is within this range. Glass's delta statistic is 0.70711, indicating a substantial effect. The 95% confidence interval is (-1.414, -0.147), implying the true effect size is within this range. The effect size study reveals that public and private corporate governance means differ significantly. Cohen's d predicts a medium to big impact size, while Hedges' correction and Glass's delta suggest high. Confidence intervals represent the anticipated effect size range. The results indicate that public employer-sponsored pension systems have much better corporate governance than private schemes. The findings affect policymakers and regulators trying to strengthen private employer-sponsored pension scheme corporate governance. </w:t>
      </w:r>
    </w:p>
    <w:p w14:paraId="094A1AF0" w14:textId="52AF6CBF" w:rsidR="00810699" w:rsidRPr="00B671B3" w:rsidRDefault="00701FD7" w:rsidP="00A042C4">
      <w:pPr>
        <w:pBdr>
          <w:top w:val="nil"/>
          <w:left w:val="nil"/>
          <w:bottom w:val="nil"/>
          <w:right w:val="nil"/>
          <w:between w:val="nil"/>
        </w:pBdr>
        <w:spacing w:after="200" w:line="240" w:lineRule="auto"/>
        <w:rPr>
          <w:rFonts w:ascii="Arial" w:eastAsia="Times New Roman" w:hAnsi="Arial" w:cs="Arial"/>
          <w:b/>
        </w:rPr>
      </w:pPr>
      <w:r w:rsidRPr="00B671B3">
        <w:rPr>
          <w:rFonts w:ascii="Arial" w:eastAsia="Times New Roman" w:hAnsi="Arial" w:cs="Arial"/>
          <w:b/>
        </w:rPr>
        <w:t xml:space="preserve">Table </w:t>
      </w:r>
      <w:r w:rsidR="002B4C2B">
        <w:rPr>
          <w:rFonts w:ascii="Arial" w:eastAsia="Times New Roman" w:hAnsi="Arial" w:cs="Arial"/>
          <w:b/>
        </w:rPr>
        <w:t>8</w:t>
      </w:r>
      <w:r w:rsidRPr="00B671B3">
        <w:rPr>
          <w:rFonts w:ascii="Arial" w:eastAsia="Times New Roman" w:hAnsi="Arial" w:cs="Arial"/>
          <w:b/>
        </w:rPr>
        <w:t xml:space="preserve"> - Independent Samples Effect Sizes</w:t>
      </w:r>
    </w:p>
    <w:tbl>
      <w:tblPr>
        <w:tblStyle w:val="a6"/>
        <w:tblW w:w="9365" w:type="dxa"/>
        <w:tblLayout w:type="fixed"/>
        <w:tblLook w:val="0000" w:firstRow="0" w:lastRow="0" w:firstColumn="0" w:lastColumn="0" w:noHBand="0" w:noVBand="0"/>
      </w:tblPr>
      <w:tblGrid>
        <w:gridCol w:w="1440"/>
        <w:gridCol w:w="1790"/>
        <w:gridCol w:w="1686"/>
        <w:gridCol w:w="1723"/>
        <w:gridCol w:w="1362"/>
        <w:gridCol w:w="1364"/>
      </w:tblGrid>
      <w:tr w:rsidR="00810699" w:rsidRPr="00B671B3" w14:paraId="506DEA23" w14:textId="77777777">
        <w:trPr>
          <w:cantSplit/>
          <w:trHeight w:val="520"/>
        </w:trPr>
        <w:tc>
          <w:tcPr>
            <w:tcW w:w="3230" w:type="dxa"/>
            <w:gridSpan w:val="2"/>
            <w:vMerge w:val="restart"/>
            <w:tcBorders>
              <w:top w:val="single" w:sz="4" w:space="0" w:color="000000"/>
              <w:left w:val="nil"/>
              <w:bottom w:val="nil"/>
              <w:right w:val="nil"/>
            </w:tcBorders>
            <w:vAlign w:val="bottom"/>
          </w:tcPr>
          <w:p w14:paraId="7AF8116C" w14:textId="77777777" w:rsidR="00810699" w:rsidRPr="00B671B3" w:rsidRDefault="00810699" w:rsidP="00A042C4">
            <w:pPr>
              <w:spacing w:after="0" w:line="240" w:lineRule="auto"/>
              <w:rPr>
                <w:rFonts w:ascii="Arial" w:eastAsia="Times New Roman" w:hAnsi="Arial" w:cs="Arial"/>
              </w:rPr>
            </w:pPr>
          </w:p>
        </w:tc>
        <w:tc>
          <w:tcPr>
            <w:tcW w:w="1686" w:type="dxa"/>
            <w:vMerge w:val="restart"/>
            <w:tcBorders>
              <w:top w:val="single" w:sz="4" w:space="0" w:color="000000"/>
              <w:left w:val="nil"/>
              <w:bottom w:val="nil"/>
              <w:right w:val="single" w:sz="8" w:space="0" w:color="E0E0E0"/>
            </w:tcBorders>
            <w:vAlign w:val="bottom"/>
          </w:tcPr>
          <w:p w14:paraId="19C14AD5" w14:textId="77777777" w:rsidR="00810699" w:rsidRPr="00B671B3" w:rsidRDefault="00701FD7" w:rsidP="00A042C4">
            <w:pPr>
              <w:spacing w:after="0" w:line="240" w:lineRule="auto"/>
              <w:ind w:left="60" w:right="60"/>
              <w:jc w:val="center"/>
              <w:rPr>
                <w:rFonts w:ascii="Arial" w:eastAsia="Times New Roman" w:hAnsi="Arial" w:cs="Arial"/>
              </w:rPr>
            </w:pPr>
            <w:proofErr w:type="spellStart"/>
            <w:r w:rsidRPr="00B671B3">
              <w:rPr>
                <w:rFonts w:ascii="Arial" w:eastAsia="Times New Roman" w:hAnsi="Arial" w:cs="Arial"/>
              </w:rPr>
              <w:t>Standardizer</w:t>
            </w:r>
            <w:r w:rsidRPr="00B671B3">
              <w:rPr>
                <w:rFonts w:ascii="Arial" w:eastAsia="Times New Roman" w:hAnsi="Arial" w:cs="Arial"/>
                <w:vertAlign w:val="superscript"/>
              </w:rPr>
              <w:t>a</w:t>
            </w:r>
            <w:proofErr w:type="spellEnd"/>
          </w:p>
        </w:tc>
        <w:tc>
          <w:tcPr>
            <w:tcW w:w="1723" w:type="dxa"/>
            <w:vMerge w:val="restart"/>
            <w:tcBorders>
              <w:top w:val="single" w:sz="4" w:space="0" w:color="000000"/>
              <w:left w:val="single" w:sz="8" w:space="0" w:color="E0E0E0"/>
              <w:bottom w:val="nil"/>
              <w:right w:val="single" w:sz="8" w:space="0" w:color="E0E0E0"/>
            </w:tcBorders>
            <w:vAlign w:val="bottom"/>
          </w:tcPr>
          <w:p w14:paraId="276084C1"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Point Estimate</w:t>
            </w:r>
          </w:p>
        </w:tc>
        <w:tc>
          <w:tcPr>
            <w:tcW w:w="2726" w:type="dxa"/>
            <w:gridSpan w:val="2"/>
            <w:tcBorders>
              <w:top w:val="single" w:sz="4" w:space="0" w:color="000000"/>
              <w:left w:val="single" w:sz="8" w:space="0" w:color="E0E0E0"/>
              <w:bottom w:val="nil"/>
              <w:right w:val="nil"/>
            </w:tcBorders>
            <w:vAlign w:val="bottom"/>
          </w:tcPr>
          <w:p w14:paraId="3CD19C82"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95% Confidence Interval</w:t>
            </w:r>
          </w:p>
        </w:tc>
      </w:tr>
      <w:tr w:rsidR="00810699" w:rsidRPr="00B671B3" w14:paraId="627643A4" w14:textId="77777777">
        <w:trPr>
          <w:cantSplit/>
          <w:trHeight w:val="248"/>
        </w:trPr>
        <w:tc>
          <w:tcPr>
            <w:tcW w:w="3230" w:type="dxa"/>
            <w:gridSpan w:val="2"/>
            <w:vMerge/>
            <w:tcBorders>
              <w:top w:val="single" w:sz="4" w:space="0" w:color="000000"/>
              <w:left w:val="nil"/>
              <w:bottom w:val="nil"/>
              <w:right w:val="nil"/>
            </w:tcBorders>
            <w:vAlign w:val="bottom"/>
          </w:tcPr>
          <w:p w14:paraId="23BC226C" w14:textId="77777777" w:rsidR="00810699" w:rsidRPr="00B671B3"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686" w:type="dxa"/>
            <w:vMerge/>
            <w:tcBorders>
              <w:top w:val="single" w:sz="4" w:space="0" w:color="000000"/>
              <w:left w:val="nil"/>
              <w:bottom w:val="nil"/>
              <w:right w:val="single" w:sz="8" w:space="0" w:color="E0E0E0"/>
            </w:tcBorders>
            <w:vAlign w:val="bottom"/>
          </w:tcPr>
          <w:p w14:paraId="03815DAF" w14:textId="77777777" w:rsidR="00810699" w:rsidRPr="00B671B3"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723" w:type="dxa"/>
            <w:vMerge/>
            <w:tcBorders>
              <w:top w:val="single" w:sz="4" w:space="0" w:color="000000"/>
              <w:left w:val="single" w:sz="8" w:space="0" w:color="E0E0E0"/>
              <w:bottom w:val="nil"/>
              <w:right w:val="single" w:sz="8" w:space="0" w:color="E0E0E0"/>
            </w:tcBorders>
            <w:vAlign w:val="bottom"/>
          </w:tcPr>
          <w:p w14:paraId="14F3AAE3" w14:textId="77777777" w:rsidR="00810699" w:rsidRPr="00B671B3"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362" w:type="dxa"/>
            <w:tcBorders>
              <w:top w:val="nil"/>
              <w:left w:val="single" w:sz="8" w:space="0" w:color="E0E0E0"/>
              <w:bottom w:val="single" w:sz="8" w:space="0" w:color="152935"/>
              <w:right w:val="single" w:sz="8" w:space="0" w:color="E0E0E0"/>
            </w:tcBorders>
            <w:vAlign w:val="bottom"/>
          </w:tcPr>
          <w:p w14:paraId="62EF95AA"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Lower</w:t>
            </w:r>
          </w:p>
        </w:tc>
        <w:tc>
          <w:tcPr>
            <w:tcW w:w="1364" w:type="dxa"/>
            <w:tcBorders>
              <w:top w:val="nil"/>
              <w:left w:val="single" w:sz="8" w:space="0" w:color="E0E0E0"/>
              <w:bottom w:val="single" w:sz="8" w:space="0" w:color="152935"/>
              <w:right w:val="nil"/>
            </w:tcBorders>
            <w:vAlign w:val="bottom"/>
          </w:tcPr>
          <w:p w14:paraId="1C4D7460" w14:textId="77777777" w:rsidR="00810699" w:rsidRPr="00B671B3" w:rsidRDefault="00701FD7" w:rsidP="00A042C4">
            <w:pPr>
              <w:spacing w:after="0" w:line="240" w:lineRule="auto"/>
              <w:ind w:left="60" w:right="60"/>
              <w:jc w:val="center"/>
              <w:rPr>
                <w:rFonts w:ascii="Arial" w:eastAsia="Times New Roman" w:hAnsi="Arial" w:cs="Arial"/>
              </w:rPr>
            </w:pPr>
            <w:r w:rsidRPr="00B671B3">
              <w:rPr>
                <w:rFonts w:ascii="Arial" w:eastAsia="Times New Roman" w:hAnsi="Arial" w:cs="Arial"/>
              </w:rPr>
              <w:t>Upper</w:t>
            </w:r>
          </w:p>
        </w:tc>
      </w:tr>
      <w:tr w:rsidR="00810699" w:rsidRPr="00B671B3" w14:paraId="62DD569F" w14:textId="77777777">
        <w:trPr>
          <w:cantSplit/>
          <w:trHeight w:val="260"/>
        </w:trPr>
        <w:tc>
          <w:tcPr>
            <w:tcW w:w="1440" w:type="dxa"/>
            <w:vMerge w:val="restart"/>
            <w:tcBorders>
              <w:top w:val="single" w:sz="8" w:space="0" w:color="152935"/>
              <w:left w:val="nil"/>
              <w:bottom w:val="single" w:sz="8" w:space="0" w:color="152935"/>
              <w:right w:val="nil"/>
            </w:tcBorders>
          </w:tcPr>
          <w:p w14:paraId="6E0DD054"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Corporate Governance in the Public Sector</w:t>
            </w:r>
          </w:p>
        </w:tc>
        <w:tc>
          <w:tcPr>
            <w:tcW w:w="1790" w:type="dxa"/>
            <w:tcBorders>
              <w:top w:val="single" w:sz="8" w:space="0" w:color="152935"/>
              <w:left w:val="nil"/>
              <w:bottom w:val="single" w:sz="8" w:space="0" w:color="AEAEAE"/>
              <w:right w:val="nil"/>
            </w:tcBorders>
          </w:tcPr>
          <w:p w14:paraId="22FE19FB"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Cohen's d</w:t>
            </w:r>
          </w:p>
        </w:tc>
        <w:tc>
          <w:tcPr>
            <w:tcW w:w="1686" w:type="dxa"/>
            <w:tcBorders>
              <w:top w:val="single" w:sz="8" w:space="0" w:color="152935"/>
              <w:left w:val="nil"/>
              <w:bottom w:val="single" w:sz="8" w:space="0" w:color="AEAEAE"/>
              <w:right w:val="single" w:sz="8" w:space="0" w:color="E0E0E0"/>
            </w:tcBorders>
          </w:tcPr>
          <w:p w14:paraId="09378894"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0.64051</w:t>
            </w:r>
          </w:p>
        </w:tc>
        <w:tc>
          <w:tcPr>
            <w:tcW w:w="1723" w:type="dxa"/>
            <w:tcBorders>
              <w:top w:val="single" w:sz="8" w:space="0" w:color="152935"/>
              <w:left w:val="single" w:sz="8" w:space="0" w:color="E0E0E0"/>
              <w:bottom w:val="single" w:sz="8" w:space="0" w:color="AEAEAE"/>
              <w:right w:val="single" w:sz="8" w:space="0" w:color="E0E0E0"/>
            </w:tcBorders>
          </w:tcPr>
          <w:p w14:paraId="327F59CD"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-1.561</w:t>
            </w:r>
          </w:p>
        </w:tc>
        <w:tc>
          <w:tcPr>
            <w:tcW w:w="1362" w:type="dxa"/>
            <w:tcBorders>
              <w:top w:val="single" w:sz="8" w:space="0" w:color="152935"/>
              <w:left w:val="single" w:sz="8" w:space="0" w:color="E0E0E0"/>
              <w:bottom w:val="single" w:sz="8" w:space="0" w:color="AEAEAE"/>
              <w:right w:val="single" w:sz="8" w:space="0" w:color="E0E0E0"/>
            </w:tcBorders>
          </w:tcPr>
          <w:p w14:paraId="5AA4E49D"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-2.730</w:t>
            </w:r>
          </w:p>
        </w:tc>
        <w:tc>
          <w:tcPr>
            <w:tcW w:w="1364" w:type="dxa"/>
            <w:tcBorders>
              <w:top w:val="single" w:sz="8" w:space="0" w:color="152935"/>
              <w:left w:val="single" w:sz="8" w:space="0" w:color="E0E0E0"/>
              <w:bottom w:val="single" w:sz="8" w:space="0" w:color="AEAEAE"/>
              <w:right w:val="nil"/>
            </w:tcBorders>
          </w:tcPr>
          <w:p w14:paraId="02E33E65"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-0.347</w:t>
            </w:r>
          </w:p>
        </w:tc>
      </w:tr>
      <w:tr w:rsidR="00810699" w:rsidRPr="00B671B3" w14:paraId="5E2441E6" w14:textId="77777777">
        <w:trPr>
          <w:cantSplit/>
          <w:trHeight w:val="532"/>
        </w:trPr>
        <w:tc>
          <w:tcPr>
            <w:tcW w:w="1440" w:type="dxa"/>
            <w:vMerge/>
            <w:tcBorders>
              <w:top w:val="single" w:sz="8" w:space="0" w:color="152935"/>
              <w:left w:val="nil"/>
              <w:bottom w:val="single" w:sz="8" w:space="0" w:color="152935"/>
              <w:right w:val="nil"/>
            </w:tcBorders>
          </w:tcPr>
          <w:p w14:paraId="6050F8DD" w14:textId="77777777" w:rsidR="00810699" w:rsidRPr="00B671B3"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790" w:type="dxa"/>
            <w:tcBorders>
              <w:top w:val="single" w:sz="8" w:space="0" w:color="AEAEAE"/>
              <w:left w:val="nil"/>
              <w:bottom w:val="single" w:sz="8" w:space="0" w:color="AEAEAE"/>
              <w:right w:val="nil"/>
            </w:tcBorders>
          </w:tcPr>
          <w:p w14:paraId="1D6824BB"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Hedges' correction</w:t>
            </w:r>
          </w:p>
        </w:tc>
        <w:tc>
          <w:tcPr>
            <w:tcW w:w="1686" w:type="dxa"/>
            <w:tcBorders>
              <w:top w:val="single" w:sz="8" w:space="0" w:color="AEAEAE"/>
              <w:left w:val="nil"/>
              <w:bottom w:val="single" w:sz="8" w:space="0" w:color="AEAEAE"/>
              <w:right w:val="single" w:sz="8" w:space="0" w:color="E0E0E0"/>
            </w:tcBorders>
          </w:tcPr>
          <w:p w14:paraId="3F55E9BC"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0.68068</w:t>
            </w:r>
          </w:p>
        </w:tc>
        <w:tc>
          <w:tcPr>
            <w:tcW w:w="1723" w:type="dxa"/>
            <w:tcBorders>
              <w:top w:val="single" w:sz="8" w:space="0" w:color="AEAEAE"/>
              <w:left w:val="single" w:sz="8" w:space="0" w:color="E0E0E0"/>
              <w:bottom w:val="single" w:sz="8" w:space="0" w:color="AEAEAE"/>
              <w:right w:val="single" w:sz="8" w:space="0" w:color="E0E0E0"/>
            </w:tcBorders>
          </w:tcPr>
          <w:p w14:paraId="5DF495EE"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-1.469</w:t>
            </w:r>
          </w:p>
        </w:tc>
        <w:tc>
          <w:tcPr>
            <w:tcW w:w="1362" w:type="dxa"/>
            <w:tcBorders>
              <w:top w:val="single" w:sz="8" w:space="0" w:color="AEAEAE"/>
              <w:left w:val="single" w:sz="8" w:space="0" w:color="E0E0E0"/>
              <w:bottom w:val="single" w:sz="8" w:space="0" w:color="AEAEAE"/>
              <w:right w:val="single" w:sz="8" w:space="0" w:color="E0E0E0"/>
            </w:tcBorders>
          </w:tcPr>
          <w:p w14:paraId="0B28B3FD"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-2.569</w:t>
            </w:r>
          </w:p>
        </w:tc>
        <w:tc>
          <w:tcPr>
            <w:tcW w:w="1364" w:type="dxa"/>
            <w:tcBorders>
              <w:top w:val="single" w:sz="8" w:space="0" w:color="AEAEAE"/>
              <w:left w:val="single" w:sz="8" w:space="0" w:color="E0E0E0"/>
              <w:bottom w:val="single" w:sz="8" w:space="0" w:color="AEAEAE"/>
              <w:right w:val="nil"/>
            </w:tcBorders>
          </w:tcPr>
          <w:p w14:paraId="338DB34C"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-0.327</w:t>
            </w:r>
          </w:p>
        </w:tc>
      </w:tr>
      <w:tr w:rsidR="00810699" w:rsidRPr="00B671B3" w14:paraId="70745074" w14:textId="77777777">
        <w:trPr>
          <w:cantSplit/>
          <w:trHeight w:val="750"/>
        </w:trPr>
        <w:tc>
          <w:tcPr>
            <w:tcW w:w="1440" w:type="dxa"/>
            <w:vMerge/>
            <w:tcBorders>
              <w:top w:val="single" w:sz="8" w:space="0" w:color="152935"/>
              <w:left w:val="nil"/>
              <w:bottom w:val="single" w:sz="8" w:space="0" w:color="152935"/>
              <w:right w:val="nil"/>
            </w:tcBorders>
          </w:tcPr>
          <w:p w14:paraId="300105D9" w14:textId="77777777" w:rsidR="00810699" w:rsidRPr="00B671B3" w:rsidRDefault="00810699" w:rsidP="00A042C4">
            <w:pPr>
              <w:widowControl w:val="0"/>
              <w:pBdr>
                <w:top w:val="nil"/>
                <w:left w:val="nil"/>
                <w:bottom w:val="nil"/>
                <w:right w:val="nil"/>
                <w:between w:val="nil"/>
              </w:pBdr>
              <w:spacing w:after="0" w:line="240" w:lineRule="auto"/>
              <w:rPr>
                <w:rFonts w:ascii="Arial" w:eastAsia="Times New Roman" w:hAnsi="Arial" w:cs="Arial"/>
              </w:rPr>
            </w:pPr>
          </w:p>
        </w:tc>
        <w:tc>
          <w:tcPr>
            <w:tcW w:w="1790" w:type="dxa"/>
            <w:tcBorders>
              <w:top w:val="single" w:sz="8" w:space="0" w:color="AEAEAE"/>
              <w:left w:val="nil"/>
              <w:bottom w:val="single" w:sz="8" w:space="0" w:color="152935"/>
              <w:right w:val="nil"/>
            </w:tcBorders>
          </w:tcPr>
          <w:p w14:paraId="324A21E3"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Glass's delta</w:t>
            </w:r>
          </w:p>
        </w:tc>
        <w:tc>
          <w:tcPr>
            <w:tcW w:w="1686" w:type="dxa"/>
            <w:tcBorders>
              <w:top w:val="single" w:sz="8" w:space="0" w:color="AEAEAE"/>
              <w:left w:val="nil"/>
              <w:bottom w:val="single" w:sz="8" w:space="0" w:color="152935"/>
              <w:right w:val="single" w:sz="8" w:space="0" w:color="E0E0E0"/>
            </w:tcBorders>
          </w:tcPr>
          <w:p w14:paraId="6102C2F3"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0.70711</w:t>
            </w:r>
          </w:p>
        </w:tc>
        <w:tc>
          <w:tcPr>
            <w:tcW w:w="1723" w:type="dxa"/>
            <w:tcBorders>
              <w:top w:val="single" w:sz="8" w:space="0" w:color="AEAEAE"/>
              <w:left w:val="single" w:sz="8" w:space="0" w:color="E0E0E0"/>
              <w:bottom w:val="single" w:sz="8" w:space="0" w:color="152935"/>
              <w:right w:val="single" w:sz="8" w:space="0" w:color="E0E0E0"/>
            </w:tcBorders>
          </w:tcPr>
          <w:p w14:paraId="41FDDB0A"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-1.414</w:t>
            </w:r>
          </w:p>
        </w:tc>
        <w:tc>
          <w:tcPr>
            <w:tcW w:w="1362" w:type="dxa"/>
            <w:tcBorders>
              <w:top w:val="single" w:sz="8" w:space="0" w:color="AEAEAE"/>
              <w:left w:val="single" w:sz="8" w:space="0" w:color="E0E0E0"/>
              <w:bottom w:val="single" w:sz="8" w:space="0" w:color="152935"/>
              <w:right w:val="single" w:sz="8" w:space="0" w:color="E0E0E0"/>
            </w:tcBorders>
          </w:tcPr>
          <w:p w14:paraId="42C8E4A7"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-2.622</w:t>
            </w:r>
          </w:p>
        </w:tc>
        <w:tc>
          <w:tcPr>
            <w:tcW w:w="1364" w:type="dxa"/>
            <w:tcBorders>
              <w:top w:val="single" w:sz="8" w:space="0" w:color="AEAEAE"/>
              <w:left w:val="single" w:sz="8" w:space="0" w:color="E0E0E0"/>
              <w:bottom w:val="single" w:sz="8" w:space="0" w:color="152935"/>
              <w:right w:val="nil"/>
            </w:tcBorders>
          </w:tcPr>
          <w:p w14:paraId="2FF8A23A" w14:textId="77777777" w:rsidR="00810699" w:rsidRPr="00B671B3" w:rsidRDefault="00701FD7" w:rsidP="00A042C4">
            <w:pPr>
              <w:spacing w:after="0" w:line="240" w:lineRule="auto"/>
              <w:ind w:left="60" w:right="60"/>
              <w:jc w:val="right"/>
              <w:rPr>
                <w:rFonts w:ascii="Arial" w:eastAsia="Times New Roman" w:hAnsi="Arial" w:cs="Arial"/>
              </w:rPr>
            </w:pPr>
            <w:r w:rsidRPr="00B671B3">
              <w:rPr>
                <w:rFonts w:ascii="Arial" w:eastAsia="Times New Roman" w:hAnsi="Arial" w:cs="Arial"/>
              </w:rPr>
              <w:t>-0.147</w:t>
            </w:r>
          </w:p>
        </w:tc>
      </w:tr>
      <w:tr w:rsidR="00810699" w:rsidRPr="00B671B3" w14:paraId="00D57376" w14:textId="77777777">
        <w:trPr>
          <w:cantSplit/>
          <w:trHeight w:val="1029"/>
        </w:trPr>
        <w:tc>
          <w:tcPr>
            <w:tcW w:w="9365" w:type="dxa"/>
            <w:gridSpan w:val="6"/>
            <w:tcBorders>
              <w:top w:val="nil"/>
              <w:left w:val="nil"/>
              <w:bottom w:val="nil"/>
              <w:right w:val="nil"/>
            </w:tcBorders>
          </w:tcPr>
          <w:p w14:paraId="393F53A0"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 xml:space="preserve">a. The denominator used in estimating the effect sizes. </w:t>
            </w:r>
          </w:p>
          <w:p w14:paraId="4D77E0BD"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 xml:space="preserve">Cohen's d uses the pooled standard deviation. </w:t>
            </w:r>
          </w:p>
          <w:p w14:paraId="0AF594AC"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 xml:space="preserve">Hedges' correction uses the pooled standard deviation, plus a correction factor. </w:t>
            </w:r>
          </w:p>
          <w:p w14:paraId="0A552E14" w14:textId="77777777" w:rsidR="00810699" w:rsidRPr="00B671B3" w:rsidRDefault="00701FD7" w:rsidP="00A042C4">
            <w:pPr>
              <w:spacing w:after="0" w:line="240" w:lineRule="auto"/>
              <w:ind w:left="60" w:right="60"/>
              <w:rPr>
                <w:rFonts w:ascii="Arial" w:eastAsia="Times New Roman" w:hAnsi="Arial" w:cs="Arial"/>
              </w:rPr>
            </w:pPr>
            <w:r w:rsidRPr="00B671B3">
              <w:rPr>
                <w:rFonts w:ascii="Arial" w:eastAsia="Times New Roman" w:hAnsi="Arial" w:cs="Arial"/>
              </w:rPr>
              <w:t>Glass's delta uses the sample standard deviation of the control group.</w:t>
            </w:r>
          </w:p>
        </w:tc>
      </w:tr>
    </w:tbl>
    <w:p w14:paraId="17BB2034" w14:textId="77777777" w:rsidR="00810699" w:rsidRPr="00B671B3" w:rsidRDefault="00810699" w:rsidP="00A042C4">
      <w:pPr>
        <w:spacing w:line="240" w:lineRule="auto"/>
        <w:rPr>
          <w:rFonts w:ascii="Arial" w:eastAsia="Times New Roman" w:hAnsi="Arial" w:cs="Arial"/>
        </w:rPr>
      </w:pPr>
    </w:p>
    <w:p w14:paraId="00CF366C" w14:textId="77777777" w:rsidR="00810699" w:rsidRPr="00B671B3" w:rsidRDefault="00701FD7" w:rsidP="00A042C4">
      <w:pPr>
        <w:pStyle w:val="Heading3"/>
        <w:spacing w:line="240" w:lineRule="auto"/>
        <w:rPr>
          <w:rFonts w:ascii="Arial" w:hAnsi="Arial" w:cs="Arial"/>
          <w:color w:val="auto"/>
          <w:sz w:val="22"/>
          <w:szCs w:val="22"/>
        </w:rPr>
      </w:pPr>
      <w:bookmarkStart w:id="47" w:name="_111kx3o" w:colFirst="0" w:colLast="0"/>
      <w:bookmarkEnd w:id="47"/>
      <w:r w:rsidRPr="00B671B3">
        <w:rPr>
          <w:rFonts w:ascii="Arial" w:hAnsi="Arial" w:cs="Arial"/>
          <w:color w:val="auto"/>
          <w:sz w:val="22"/>
          <w:szCs w:val="22"/>
        </w:rPr>
        <w:t>4.8 Discussion of Key Findings</w:t>
      </w:r>
    </w:p>
    <w:p w14:paraId="2804CDBC" w14:textId="77777777" w:rsidR="00810699" w:rsidRPr="00B671B3" w:rsidRDefault="00701FD7" w:rsidP="00A042C4">
      <w:pPr>
        <w:pStyle w:val="Heading4"/>
        <w:spacing w:line="240" w:lineRule="auto"/>
        <w:rPr>
          <w:rFonts w:ascii="Arial" w:hAnsi="Arial" w:cs="Arial"/>
          <w:color w:val="auto"/>
          <w:sz w:val="22"/>
          <w:szCs w:val="22"/>
        </w:rPr>
      </w:pPr>
      <w:r w:rsidRPr="00B671B3">
        <w:rPr>
          <w:rFonts w:ascii="Arial" w:hAnsi="Arial" w:cs="Arial"/>
          <w:color w:val="auto"/>
          <w:sz w:val="22"/>
          <w:szCs w:val="22"/>
        </w:rPr>
        <w:t>4.8.1 The Impact of Corporate Governance on Financial Risk Management</w:t>
      </w:r>
    </w:p>
    <w:p w14:paraId="5B555E3E" w14:textId="421C88B4" w:rsidR="00810699" w:rsidRPr="00B671B3" w:rsidRDefault="007C46D8" w:rsidP="00A042C4">
      <w:pPr>
        <w:spacing w:line="240" w:lineRule="auto"/>
        <w:jc w:val="both"/>
        <w:rPr>
          <w:rFonts w:ascii="Arial" w:eastAsia="Times New Roman" w:hAnsi="Arial" w:cs="Arial"/>
        </w:rPr>
      </w:pPr>
      <w:r w:rsidRPr="00B671B3">
        <w:rPr>
          <w:rFonts w:ascii="Arial" w:eastAsia="Times New Roman" w:hAnsi="Arial" w:cs="Arial"/>
        </w:rPr>
        <w:t>C</w:t>
      </w:r>
      <w:r w:rsidR="00701FD7" w:rsidRPr="00B671B3">
        <w:rPr>
          <w:rFonts w:ascii="Arial" w:eastAsia="Times New Roman" w:hAnsi="Arial" w:cs="Arial"/>
        </w:rPr>
        <w:t>orporate governance has a significant positive impact on financial risk management in the employer-sponsored pension schemes in Ghana. The research finding that corporate governance has a significant positive impact on financial risk management in the employer-sponsored pension schemes in Ghana is consistent with existing literature. According to a study by Owusu et al. (2017), effective corporate governance practices are crucial for managing financial risk in pension schemes. The study found that corporate governance variables such as board size, board independence, and audit committee effectiveness are significantly related to financial risk management in pension schemes.</w:t>
      </w:r>
    </w:p>
    <w:p w14:paraId="750D4C28"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lastRenderedPageBreak/>
        <w:t>Another study by Amoako et al. (2020) also found that corporate governance has a positive impact on financial risk management in Ghana's pension industry. The study revealed that pension schemes with strong corporate governance practices tend to have lower levels of financial risk. This finding is supported by a study by Boateng et al. (2018) which found that effective corporate governance is essential for managing financial risk in Ghana's financial sector.</w:t>
      </w:r>
    </w:p>
    <w:p w14:paraId="1A2FA05B"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finding is also consistent with international literature. A study by Brown et al. (2019) found that corporate governance is an important determinant of financial risk management in pension schemes. The study found that effective corporate governance practices can help reduce financial risk and improve the overall performance of pension schemes.</w:t>
      </w:r>
    </w:p>
    <w:p w14:paraId="30278645" w14:textId="1512DF66" w:rsidR="00810699" w:rsidRPr="00016F86" w:rsidRDefault="00701FD7" w:rsidP="00A042C4">
      <w:pPr>
        <w:spacing w:line="240" w:lineRule="auto"/>
        <w:jc w:val="both"/>
        <w:rPr>
          <w:rFonts w:ascii="Arial" w:eastAsia="Times New Roman" w:hAnsi="Arial" w:cs="Arial"/>
        </w:rPr>
      </w:pPr>
      <w:r w:rsidRPr="00B671B3">
        <w:rPr>
          <w:rFonts w:ascii="Arial" w:eastAsia="Times New Roman" w:hAnsi="Arial" w:cs="Arial"/>
        </w:rPr>
        <w:t>The board of directors plays a critical role in corporate governance, and its composition and independence are essential for effective governance. In Ghana, the Companies Act 2019 requires that at least one-third of the board be independent non-executive directors (Ghana Statistical Service, 2020). This requirement is intended to ensure that the board is independent and able to make decisions in the best interests of the company, rather than being influenced by management or other interests</w:t>
      </w:r>
      <w:r w:rsidR="0008637F">
        <w:rPr>
          <w:rFonts w:ascii="Arial" w:eastAsia="Times New Roman" w:hAnsi="Arial" w:cs="Arial"/>
        </w:rPr>
        <w:t>.</w:t>
      </w:r>
      <w:r w:rsidR="00016F86">
        <w:rPr>
          <w:rFonts w:ascii="Arial" w:eastAsia="Times New Roman" w:hAnsi="Arial" w:cs="Arial"/>
        </w:rPr>
        <w:t xml:space="preserve"> </w:t>
      </w:r>
      <w:r w:rsidRPr="00016F86">
        <w:rPr>
          <w:rFonts w:ascii="Arial" w:eastAsia="Times New Roman" w:hAnsi="Arial" w:cs="Arial"/>
        </w:rPr>
        <w:t>The study found that many boards in Ghana are dominated by executive directors, which can lead to a lack of independence and objectivity in decision-making.</w:t>
      </w:r>
    </w:p>
    <w:p w14:paraId="7756DC48"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In conclusion, the research finding that corporate governance has a significant positive impact on financial risk management in the sector pension schemes in Ghana is consistent with existing literature. Effective corporate governance practices are essential for managing financial risk in pension schemes, and this finding is supported by both local and international literature.</w:t>
      </w:r>
    </w:p>
    <w:p w14:paraId="5A4DA07A" w14:textId="27A2BDE4"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With regards to the moderating variables, the study found that firm size is a significant moderator, as larger firms may have more resources and expertise to devote to risk management, making corporate governance more effective in reducing financial risk (Baxter et al., 2017). Additionally, larger firms may have more complex risk management needs, requiring more robust corporate governance practices to manage financial risk effectively (Renders et al., 2022).</w:t>
      </w:r>
    </w:p>
    <w:p w14:paraId="6F125EEE" w14:textId="4AEADA1E"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More so, industry regulation is also a crucial moderator, as stringent regulations may require pension funds to adopt more robust risk management practices, making corporate governance more effective in reducing financial risk (OECD, 2019). Lax regulations, on the other hand, may lead to a lack of accountability and oversight, making corporate governance less effective in managing financial risk (OECD, 2019). Moreover, regulations may require pension funds to disclose more information about their risk management practices, making corporate governance more transparent and effective (CFA Institute, 2020).</w:t>
      </w:r>
    </w:p>
    <w:p w14:paraId="2ED0BEE8" w14:textId="77777777" w:rsidR="00810699" w:rsidRPr="00B671B3" w:rsidRDefault="00701FD7" w:rsidP="00A042C4">
      <w:pPr>
        <w:pStyle w:val="Heading4"/>
        <w:spacing w:line="240" w:lineRule="auto"/>
        <w:rPr>
          <w:rFonts w:ascii="Arial" w:hAnsi="Arial" w:cs="Arial"/>
          <w:color w:val="auto"/>
          <w:sz w:val="22"/>
          <w:szCs w:val="22"/>
        </w:rPr>
      </w:pPr>
      <w:r w:rsidRPr="00B671B3">
        <w:rPr>
          <w:rFonts w:ascii="Arial" w:hAnsi="Arial" w:cs="Arial"/>
          <w:color w:val="auto"/>
          <w:sz w:val="22"/>
          <w:szCs w:val="22"/>
        </w:rPr>
        <w:t xml:space="preserve">4.8.2 Difference between Corporate Governance Practices in the Public </w:t>
      </w:r>
      <w:proofErr w:type="gramStart"/>
      <w:r w:rsidRPr="00B671B3">
        <w:rPr>
          <w:rFonts w:ascii="Arial" w:hAnsi="Arial" w:cs="Arial"/>
          <w:color w:val="auto"/>
          <w:sz w:val="22"/>
          <w:szCs w:val="22"/>
        </w:rPr>
        <w:t>And</w:t>
      </w:r>
      <w:proofErr w:type="gramEnd"/>
      <w:r w:rsidRPr="00B671B3">
        <w:rPr>
          <w:rFonts w:ascii="Arial" w:hAnsi="Arial" w:cs="Arial"/>
          <w:color w:val="auto"/>
          <w:sz w:val="22"/>
          <w:szCs w:val="22"/>
        </w:rPr>
        <w:t xml:space="preserve"> Private Sector Pension Schemes</w:t>
      </w:r>
    </w:p>
    <w:p w14:paraId="19389A15" w14:textId="73A16C3A"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research finding that there is a statistical difference between corporate governance practices in the public and private employer-sponsored pension schemes in Ghana (Amoako et al., 2020) suggests that the two sectors have distinct approaches to managing their pension funds.</w:t>
      </w:r>
    </w:p>
    <w:p w14:paraId="2B7BDC44" w14:textId="391870DD"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The public employer-sponsored pension schemes in Ghana have a more effective system of corporate governance compared to the private employer-sponsored pension schemes. This is because the public schemes are governed by a robust legal framework, which ensures transparency, accountability, and good governance (National Pensions Act, 2008). This ensures that the management of the schemes is transparent, and that the interests of beneficiaries are protected. </w:t>
      </w:r>
    </w:p>
    <w:p w14:paraId="49BDDEDD"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In contrast, private employer-sponsored pension schemes in Ghana are not subject to the same level of regulation and oversight as the public schemes (Ghana Investment Funds Association, </w:t>
      </w:r>
      <w:r w:rsidRPr="00B671B3">
        <w:rPr>
          <w:rFonts w:ascii="Arial" w:eastAsia="Times New Roman" w:hAnsi="Arial" w:cs="Arial"/>
        </w:rPr>
        <w:lastRenderedPageBreak/>
        <w:t>2020). This lack of regulation can lead to poor governance practices, such as conflicts of interest, mismanagement of funds, and lack of transparency (OECD, 2016). Furthermore, the public schemes have a more effective system of corporate governance because they are governed by a board of trustees that is responsible for ensuring that the schemes are managed in the best interests of beneficiaries (SSNIT, n.d.). The board of trustees is composed of representatives from the government, employers, and employees, which ensures that the interests of all stakeholders are represented (National Pensions Act, 2008). In contrast, private employer-sponsored pension schemes in Ghana often have a less representative board of trustees, which can lead to decisions that are not in the best interests of beneficiaries (Ghana Investment Funds Association, 2020).</w:t>
      </w:r>
    </w:p>
    <w:p w14:paraId="141BAD0A"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Public employer-</w:t>
      </w:r>
      <w:proofErr w:type="spellStart"/>
      <w:r w:rsidRPr="00B671B3">
        <w:rPr>
          <w:rFonts w:ascii="Arial" w:eastAsia="Times New Roman" w:hAnsi="Arial" w:cs="Arial"/>
        </w:rPr>
        <w:t>sponored</w:t>
      </w:r>
      <w:proofErr w:type="spellEnd"/>
      <w:r w:rsidRPr="00B671B3">
        <w:rPr>
          <w:rFonts w:ascii="Arial" w:eastAsia="Times New Roman" w:hAnsi="Arial" w:cs="Arial"/>
        </w:rPr>
        <w:t xml:space="preserve"> pension schemes in Ghana tend to have stronger corporate governance practices (Owusu et al., 2017). This includes having more independent boards (Boateng et al., 2018), more frequent audit committee meetings (Amoako et al., 2020), and stronger risk management practices (Verhoeven et al., 2022). This is likely due to the fact that public employer-sponsored pension schemes are subject to greater regulatory oversight and accountability (Brown et al., 2019), which can lead to more transparent and responsible management of funds.</w:t>
      </w:r>
    </w:p>
    <w:p w14:paraId="04CA0991" w14:textId="574D863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On the other hand, private employer-sponsored pension schemes in Ghana, which are typically managed by private companies, tend to have weaker corporate governance practices (Boateng et al., 2018). This includes having weaker board independence (Amoako et al., 2020), less frequent audit committee meetings (Owusu et al., 2017), and poorer risk management practices (Verhoeven et al., 2022). This may be due to the fact that private sector pension schemes are subject to less regulatory oversight and accountability (Brown et al., 2019), which can lead to more opaque and risky management of funds.</w:t>
      </w:r>
    </w:p>
    <w:p w14:paraId="32F2AA94" w14:textId="07AB47FF"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 difference in corporate governance practices between public and private employer-sponsored pension schemes in Ghana may have significant implications for their financial risk management and overall performance (Verhoeven et al., 2022). Stronger corporate governance practices are associated with better financial risk management and higher performance in pension schemes (Amoako et al., 2020). Therefore, public sector pension schemes in Ghana may be better positioned to manage financial risk and achieve higher performance, while private employer-sponsored pension schemes may be more vulnerable to financial risk and poor performance.</w:t>
      </w:r>
    </w:p>
    <w:p w14:paraId="2286B141" w14:textId="77777777" w:rsidR="00810699" w:rsidRPr="00B671B3" w:rsidRDefault="00701FD7" w:rsidP="00A042C4">
      <w:pPr>
        <w:pStyle w:val="Heading4"/>
        <w:spacing w:line="240" w:lineRule="auto"/>
        <w:rPr>
          <w:rFonts w:ascii="Arial" w:hAnsi="Arial" w:cs="Arial"/>
          <w:color w:val="auto"/>
          <w:sz w:val="22"/>
          <w:szCs w:val="22"/>
        </w:rPr>
      </w:pPr>
      <w:r w:rsidRPr="00B671B3">
        <w:rPr>
          <w:rFonts w:ascii="Arial" w:hAnsi="Arial" w:cs="Arial"/>
          <w:color w:val="auto"/>
          <w:sz w:val="22"/>
          <w:szCs w:val="22"/>
        </w:rPr>
        <w:t>4.8.3 Effectiveness of Corporate Governance Systems in the Public and Private Employer-Sponsored Pensions</w:t>
      </w:r>
    </w:p>
    <w:p w14:paraId="244ADB03" w14:textId="518CA189"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It was revealed that corporate governance systems in public employer-sponsored pension schemes are effective in managing financial risk in the industry compared to private employer-sponsored pension schemes in Ghana. The finding that corporate governance systems in public sector pensions are effective in managing financial risk in the industry compared to private sector pensions is a significant discovery. This finding suggests that the approach to corporate governance in public employer-sponsored pension schemes is more effective in mitigating financial risk, which is a critical concern in the pension industry.</w:t>
      </w:r>
    </w:p>
    <w:p w14:paraId="0F2F71BB" w14:textId="42212F3D"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A</w:t>
      </w:r>
      <w:r w:rsidR="0008637F">
        <w:rPr>
          <w:rFonts w:ascii="Arial" w:eastAsia="Times New Roman" w:hAnsi="Arial" w:cs="Arial"/>
        </w:rPr>
        <w:t xml:space="preserve"> </w:t>
      </w:r>
      <w:r w:rsidRPr="00B671B3">
        <w:rPr>
          <w:rFonts w:ascii="Arial" w:eastAsia="Times New Roman" w:hAnsi="Arial" w:cs="Arial"/>
        </w:rPr>
        <w:t>study by Amoako et al. (2020) found that public employer-sponsored pension schemes in Ghana have better corporate governance practices compared to private employer-sponsored pension schemes. The study found that public employer-sponsored pension schemes have more transparent investment practices, better risk management practices, and more effective internal controls. This is consistent with the finding that corporate governance systems in public employer-sponsored pension schemes are effective in managing financial risk.</w:t>
      </w:r>
    </w:p>
    <w:p w14:paraId="2A2AD852"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lastRenderedPageBreak/>
        <w:t>In contrast, private employer-sponsored pension schemes have weaker corporate governance practices, which can lead to poorer financial risk management. A study by Boateng et al. (2018) found that private employer-sponsored pension schemes in Ghana have weaker board independence, less frequent audit committee meetings, and poorer risk management practices. This is consistent with the finding that corporate governance systems in private employer-sponsored pension schemes are less effective in managing financial risk.</w:t>
      </w:r>
    </w:p>
    <w:p w14:paraId="48B97CE8" w14:textId="77777777" w:rsidR="00810699" w:rsidRPr="00B671B3" w:rsidRDefault="00701FD7" w:rsidP="00A042C4">
      <w:pPr>
        <w:spacing w:line="240" w:lineRule="auto"/>
        <w:jc w:val="both"/>
        <w:rPr>
          <w:rFonts w:ascii="Arial" w:eastAsia="Times New Roman" w:hAnsi="Arial" w:cs="Arial"/>
        </w:rPr>
      </w:pPr>
      <w:r w:rsidRPr="003757FF">
        <w:rPr>
          <w:rFonts w:ascii="Arial" w:eastAsia="Times New Roman" w:hAnsi="Arial" w:cs="Arial"/>
        </w:rPr>
        <w:t>The finding that corporate governance systems in public employer-sponsored pension schemes are effective in managing financial risk is also consistent with international literature. A study by Verhoeven et al. (2022) found that public employer-sponsored pension schemes in developed countries have stronger corporate governance practices compared to private sector pension schemes. The study found that public employer-sponsored pension schemes have more transparent investment practices, better risk management practices, and more effective internal controls.</w:t>
      </w:r>
    </w:p>
    <w:p w14:paraId="0EF9B630"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In effect, the research finding that corporate governance systems in public employer-sponsored pension schemes are effective in managing financial risk in the industry compared to private sector pensions is consistent with related literature. The public employer-sponsored pension schemes approach to corporate governance is more effective in mitigating financial risk, which is a critical concern in the pension industry.</w:t>
      </w:r>
    </w:p>
    <w:p w14:paraId="34221D6A" w14:textId="7E34ABB7" w:rsidR="00810699" w:rsidRPr="00B671B3" w:rsidRDefault="009752E8" w:rsidP="00A042C4">
      <w:pPr>
        <w:spacing w:line="240" w:lineRule="auto"/>
        <w:jc w:val="both"/>
        <w:rPr>
          <w:rFonts w:ascii="Arial" w:hAnsi="Arial" w:cs="Arial"/>
          <w:b/>
        </w:rPr>
      </w:pPr>
      <w:bookmarkStart w:id="48" w:name="_3l18frh" w:colFirst="0" w:colLast="0"/>
      <w:bookmarkStart w:id="49" w:name="_206ipza" w:colFirst="0" w:colLast="0"/>
      <w:bookmarkEnd w:id="48"/>
      <w:bookmarkEnd w:id="49"/>
      <w:r w:rsidRPr="00B671B3">
        <w:rPr>
          <w:rFonts w:ascii="Arial" w:hAnsi="Arial" w:cs="Arial"/>
          <w:b/>
        </w:rPr>
        <w:t xml:space="preserve">5.0 </w:t>
      </w:r>
      <w:r w:rsidR="00701FD7" w:rsidRPr="00B671B3">
        <w:rPr>
          <w:rFonts w:ascii="Arial" w:hAnsi="Arial" w:cs="Arial"/>
          <w:b/>
        </w:rPr>
        <w:t>CONCLUSION AND RECOMMENDATIONS</w:t>
      </w:r>
    </w:p>
    <w:p w14:paraId="1459EBD1" w14:textId="6E701A46" w:rsidR="00810699" w:rsidRPr="00B671B3" w:rsidRDefault="00701FD7" w:rsidP="00A042C4">
      <w:pPr>
        <w:pStyle w:val="Heading3"/>
        <w:spacing w:line="240" w:lineRule="auto"/>
        <w:rPr>
          <w:rFonts w:ascii="Arial" w:hAnsi="Arial" w:cs="Arial"/>
          <w:color w:val="auto"/>
          <w:sz w:val="22"/>
          <w:szCs w:val="22"/>
        </w:rPr>
      </w:pPr>
      <w:bookmarkStart w:id="50" w:name="_4k668n3" w:colFirst="0" w:colLast="0"/>
      <w:bookmarkStart w:id="51" w:name="_2zbgiuw" w:colFirst="0" w:colLast="0"/>
      <w:bookmarkStart w:id="52" w:name="_1egqt2p" w:colFirst="0" w:colLast="0"/>
      <w:bookmarkEnd w:id="50"/>
      <w:bookmarkEnd w:id="51"/>
      <w:bookmarkEnd w:id="52"/>
      <w:r w:rsidRPr="00B671B3">
        <w:rPr>
          <w:rFonts w:ascii="Arial" w:hAnsi="Arial" w:cs="Arial"/>
          <w:color w:val="auto"/>
          <w:sz w:val="22"/>
          <w:szCs w:val="22"/>
        </w:rPr>
        <w:t>5.</w:t>
      </w:r>
      <w:r w:rsidR="00046120">
        <w:rPr>
          <w:rFonts w:ascii="Arial" w:hAnsi="Arial" w:cs="Arial"/>
          <w:color w:val="auto"/>
          <w:sz w:val="22"/>
          <w:szCs w:val="22"/>
        </w:rPr>
        <w:t>1</w:t>
      </w:r>
      <w:r w:rsidRPr="00B671B3">
        <w:rPr>
          <w:rFonts w:ascii="Arial" w:hAnsi="Arial" w:cs="Arial"/>
          <w:color w:val="auto"/>
          <w:sz w:val="22"/>
          <w:szCs w:val="22"/>
        </w:rPr>
        <w:t xml:space="preserve"> Conclusion</w:t>
      </w:r>
    </w:p>
    <w:p w14:paraId="58B86F31" w14:textId="77777777" w:rsidR="00810699" w:rsidRPr="00B671B3" w:rsidRDefault="00701FD7" w:rsidP="00A042C4">
      <w:pPr>
        <w:spacing w:line="240" w:lineRule="auto"/>
        <w:jc w:val="both"/>
        <w:rPr>
          <w:rFonts w:ascii="Arial" w:eastAsia="Times New Roman" w:hAnsi="Arial" w:cs="Arial"/>
        </w:rPr>
      </w:pPr>
      <w:r w:rsidRPr="00016F86">
        <w:rPr>
          <w:rFonts w:ascii="Arial" w:eastAsia="Times New Roman" w:hAnsi="Arial" w:cs="Arial"/>
        </w:rPr>
        <w:t>This study set out to investigate the impact of corporate governance on financial risk management in Ghana's pension industry, with a specific focus on comparing public and private employer-sponsored pension schemes. The findings of this study are clear: corporate governance has a significant positive impact on</w:t>
      </w:r>
      <w:r w:rsidRPr="00B671B3">
        <w:rPr>
          <w:rFonts w:ascii="Arial" w:eastAsia="Times New Roman" w:hAnsi="Arial" w:cs="Arial"/>
        </w:rPr>
        <w:t xml:space="preserve"> financial risk management in pension schemes in Ghana. Moreover, there are significant differences in corporate governance practices between public and private employer-sponsored pension schemes, with public employer-sponsored pension schemes exhibiting stronger governance practices. Most importantly, this study finds that corporate governance systems in public employer-sponsored pension schemes are more effective in managing financial risk compared to private employer-sponsored pension schemes.</w:t>
      </w:r>
    </w:p>
    <w:p w14:paraId="368E8278"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These findings have important implications for policymakers, regulators, and industry stakeholders. Firstly, they highlight the need for stronger corporate governance practices in private sector pension schemes to improve their financial risk management capabilities. Secondly, they underscore the importance of regulatory oversight and accountability in ensuring effective corporate governance practices in the pension industry. Finally, they suggest that public sector pension schemes can serve as a model for best practices in corporate governance and financial risk management in the industry.</w:t>
      </w:r>
    </w:p>
    <w:p w14:paraId="142FFD01"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Overall, this study contributes to understanding of the critical role of corporate governance in managing financial risk in the pension industry and highlights the need for ongoing efforts to strengthen governance practices in this sector. By promoting effective corporate governance practices, the financial stability and sustainability of pension schemes can be improved, ultimately protecting the interests of pension fund members and beneficiaries.</w:t>
      </w:r>
    </w:p>
    <w:p w14:paraId="1009C6D0" w14:textId="426C9AB6" w:rsidR="00810699" w:rsidRPr="00B671B3" w:rsidRDefault="00701FD7" w:rsidP="00A042C4">
      <w:pPr>
        <w:pStyle w:val="Heading3"/>
        <w:spacing w:line="240" w:lineRule="auto"/>
        <w:rPr>
          <w:rFonts w:ascii="Arial" w:hAnsi="Arial" w:cs="Arial"/>
          <w:color w:val="auto"/>
          <w:sz w:val="22"/>
          <w:szCs w:val="22"/>
        </w:rPr>
      </w:pPr>
      <w:bookmarkStart w:id="53" w:name="_3ygebqi" w:colFirst="0" w:colLast="0"/>
      <w:bookmarkEnd w:id="53"/>
      <w:r w:rsidRPr="00B671B3">
        <w:rPr>
          <w:rFonts w:ascii="Arial" w:hAnsi="Arial" w:cs="Arial"/>
          <w:color w:val="auto"/>
          <w:sz w:val="22"/>
          <w:szCs w:val="22"/>
        </w:rPr>
        <w:t>5.</w:t>
      </w:r>
      <w:r w:rsidR="00CB6BF9">
        <w:rPr>
          <w:rFonts w:ascii="Arial" w:hAnsi="Arial" w:cs="Arial"/>
          <w:color w:val="auto"/>
          <w:sz w:val="22"/>
          <w:szCs w:val="22"/>
        </w:rPr>
        <w:t>2</w:t>
      </w:r>
      <w:r w:rsidRPr="00B671B3">
        <w:rPr>
          <w:rFonts w:ascii="Arial" w:hAnsi="Arial" w:cs="Arial"/>
          <w:color w:val="auto"/>
          <w:sz w:val="22"/>
          <w:szCs w:val="22"/>
        </w:rPr>
        <w:t xml:space="preserve"> Recommendations for Policy and Practice</w:t>
      </w:r>
    </w:p>
    <w:p w14:paraId="08E3EFCF" w14:textId="6EF8F907" w:rsidR="00046120" w:rsidRDefault="00046120" w:rsidP="00046120">
      <w:pPr>
        <w:pStyle w:val="NoSpacing"/>
        <w:jc w:val="both"/>
        <w:rPr>
          <w:rFonts w:ascii="Arial" w:hAnsi="Arial" w:cs="Arial"/>
        </w:rPr>
      </w:pPr>
      <w:bookmarkStart w:id="54" w:name="_2dlolyb" w:colFirst="0" w:colLast="0"/>
      <w:bookmarkEnd w:id="54"/>
      <w:r w:rsidRPr="00046120">
        <w:rPr>
          <w:rFonts w:ascii="Arial" w:hAnsi="Arial" w:cs="Arial"/>
        </w:rPr>
        <w:t xml:space="preserve">Given that corporate governance improves financial risk management in Ghanaian pension schemes, regulators should set and enforce strict standards for board composition, risk </w:t>
      </w:r>
      <w:r w:rsidRPr="00046120">
        <w:rPr>
          <w:rFonts w:ascii="Arial" w:hAnsi="Arial" w:cs="Arial"/>
        </w:rPr>
        <w:lastRenderedPageBreak/>
        <w:t>management, and internal controls. Pension system trustees and managers should prioritize corporate governance, including training and capacity building, to improve financial risk management.</w:t>
      </w:r>
    </w:p>
    <w:p w14:paraId="60768411" w14:textId="77777777" w:rsidR="00046120" w:rsidRPr="00046120" w:rsidRDefault="00046120" w:rsidP="00046120">
      <w:pPr>
        <w:pStyle w:val="NoSpacing"/>
        <w:jc w:val="both"/>
        <w:rPr>
          <w:rFonts w:ascii="Arial" w:hAnsi="Arial" w:cs="Arial"/>
        </w:rPr>
      </w:pPr>
    </w:p>
    <w:p w14:paraId="2B738D40" w14:textId="77777777" w:rsidR="00046120" w:rsidRPr="00046120" w:rsidRDefault="00046120" w:rsidP="00046120">
      <w:pPr>
        <w:pStyle w:val="NoSpacing"/>
        <w:jc w:val="both"/>
        <w:rPr>
          <w:rFonts w:ascii="Arial" w:hAnsi="Arial" w:cs="Arial"/>
        </w:rPr>
      </w:pPr>
      <w:r w:rsidRPr="00046120">
        <w:rPr>
          <w:rFonts w:ascii="Arial" w:hAnsi="Arial" w:cs="Arial"/>
        </w:rPr>
        <w:t>Since public and private pension schemes in Ghana have statistically different corporate governance practices, regulators should regularly assess both types of pension schemes to identify areas for improvement and implement corrective actions. Private employer-sponsored pension schemes should emulate public pension schemes' increased board independence, more audit committee meetings, and improved risk management.</w:t>
      </w:r>
    </w:p>
    <w:p w14:paraId="0AFE9ACF" w14:textId="77777777" w:rsidR="00046120" w:rsidRPr="00046120" w:rsidRDefault="00046120" w:rsidP="00046120">
      <w:pPr>
        <w:pStyle w:val="NoSpacing"/>
        <w:jc w:val="both"/>
        <w:rPr>
          <w:rFonts w:ascii="Arial" w:hAnsi="Arial" w:cs="Arial"/>
        </w:rPr>
      </w:pPr>
      <w:r w:rsidRPr="00046120">
        <w:rPr>
          <w:rFonts w:ascii="Arial" w:hAnsi="Arial" w:cs="Arial"/>
        </w:rPr>
        <w:t>The effectiveness of corporate governance systems in public employer-sponsored pension schemes in managing financial risk suggests that regulators should adopt them as a model for the industry, with appropriate modifications for private sector schemes. Private pension schemes could benefit from public employer-sponsored pension schemes' governance and financial risk management experience.</w:t>
      </w:r>
    </w:p>
    <w:p w14:paraId="6485A068" w14:textId="77777777" w:rsidR="00046120" w:rsidRPr="00046120" w:rsidRDefault="00046120" w:rsidP="00046120">
      <w:pPr>
        <w:pStyle w:val="NoSpacing"/>
        <w:jc w:val="both"/>
        <w:rPr>
          <w:rFonts w:ascii="Arial" w:hAnsi="Arial" w:cs="Arial"/>
        </w:rPr>
      </w:pPr>
    </w:p>
    <w:p w14:paraId="3EE0CD33" w14:textId="3C89D40A" w:rsidR="00046120" w:rsidRPr="00046120" w:rsidRDefault="00046120" w:rsidP="00046120">
      <w:pPr>
        <w:pStyle w:val="NoSpacing"/>
        <w:jc w:val="both"/>
        <w:rPr>
          <w:rFonts w:ascii="Arial" w:hAnsi="Arial" w:cs="Arial"/>
          <w:b/>
        </w:rPr>
      </w:pPr>
      <w:r w:rsidRPr="00046120">
        <w:rPr>
          <w:rFonts w:ascii="Arial" w:hAnsi="Arial" w:cs="Arial"/>
        </w:rPr>
        <w:t xml:space="preserve">Regulators should also build a strong framework for pension scheme corporate governance monitoring and enforcement. </w:t>
      </w:r>
      <w:r w:rsidR="00E00427">
        <w:rPr>
          <w:rFonts w:ascii="Arial" w:hAnsi="Arial" w:cs="Arial"/>
        </w:rPr>
        <w:t>W</w:t>
      </w:r>
      <w:r w:rsidRPr="00046120">
        <w:rPr>
          <w:rFonts w:ascii="Arial" w:hAnsi="Arial" w:cs="Arial"/>
        </w:rPr>
        <w:t>orldwide best practices pension scheme governance code should be created and implemented by industry players. In governance, pension system trustees and managers should prioritize openness, accountability, and stakeholder involvement. Ghana's pension business may improve corporate governance, financial risk management, and member and beneficiary protection by following these guidelines.</w:t>
      </w:r>
    </w:p>
    <w:p w14:paraId="63C91416" w14:textId="28D1501E" w:rsidR="00810699" w:rsidRPr="00B671B3" w:rsidRDefault="00701FD7" w:rsidP="00046120">
      <w:pPr>
        <w:pStyle w:val="Heading3"/>
        <w:spacing w:line="240" w:lineRule="auto"/>
        <w:rPr>
          <w:rFonts w:ascii="Arial" w:hAnsi="Arial" w:cs="Arial"/>
          <w:color w:val="auto"/>
          <w:sz w:val="22"/>
          <w:szCs w:val="22"/>
        </w:rPr>
      </w:pPr>
      <w:r w:rsidRPr="00B671B3">
        <w:rPr>
          <w:rFonts w:ascii="Arial" w:hAnsi="Arial" w:cs="Arial"/>
          <w:color w:val="auto"/>
          <w:sz w:val="22"/>
          <w:szCs w:val="22"/>
        </w:rPr>
        <w:t>5.</w:t>
      </w:r>
      <w:r w:rsidR="00CB6BF9">
        <w:rPr>
          <w:rFonts w:ascii="Arial" w:hAnsi="Arial" w:cs="Arial"/>
          <w:color w:val="auto"/>
          <w:sz w:val="22"/>
          <w:szCs w:val="22"/>
        </w:rPr>
        <w:t>3</w:t>
      </w:r>
      <w:r w:rsidRPr="00B671B3">
        <w:rPr>
          <w:rFonts w:ascii="Arial" w:hAnsi="Arial" w:cs="Arial"/>
          <w:color w:val="auto"/>
          <w:sz w:val="22"/>
          <w:szCs w:val="22"/>
        </w:rPr>
        <w:t xml:space="preserve"> Direction for Future Research</w:t>
      </w:r>
    </w:p>
    <w:p w14:paraId="34148781"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This study had several limitations that should be acknowledged. Firstly, the study only focused on Ghana's pension industry, which may not be representative of other industries or countries. Secondly, the study relied on self-reported data from pension scheme trustees and managers, which may be subject to bias. Thirdly, the study did not investigate the impact of corporate governance on investment performance, which is an important aspect of pension scheme management.</w:t>
      </w:r>
    </w:p>
    <w:p w14:paraId="129F2ED7" w14:textId="5A606D9E"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 xml:space="preserve">Future research should aim to address these limitations and explore other aspects of corporate governance in Ghana's pension industry. For instance, a comparative study of corporate governance practices in different industries or countries could provide valuable insights into best practices and areas for improvement. Additionally, a study on the impact of corporate governance on investment performance could help to understand the financial implications of effective governance. </w:t>
      </w:r>
    </w:p>
    <w:p w14:paraId="7FD4B2D0" w14:textId="77777777" w:rsidR="00810699" w:rsidRPr="00B671B3" w:rsidRDefault="00701FD7" w:rsidP="00A042C4">
      <w:pPr>
        <w:spacing w:line="240" w:lineRule="auto"/>
        <w:jc w:val="both"/>
        <w:rPr>
          <w:rFonts w:ascii="Arial" w:eastAsia="Times New Roman" w:hAnsi="Arial" w:cs="Arial"/>
        </w:rPr>
      </w:pPr>
      <w:r w:rsidRPr="00B671B3">
        <w:rPr>
          <w:rFonts w:ascii="Arial" w:eastAsia="Times New Roman" w:hAnsi="Arial" w:cs="Arial"/>
        </w:rPr>
        <w:t>By addressing these limitations and exploring new research directions, future studies can build on the findings of this research and provide a more comprehensive understanding of corporate governance in Ghana's pension industry. This can ultimately inform policy and practice, leading to improved governance and sustainability of pension schemes in Ghana.</w:t>
      </w:r>
    </w:p>
    <w:p w14:paraId="1DDCC50F" w14:textId="77777777" w:rsidR="00810699" w:rsidRPr="00B671B3" w:rsidRDefault="00810699" w:rsidP="00A042C4">
      <w:pPr>
        <w:spacing w:line="240" w:lineRule="auto"/>
        <w:rPr>
          <w:rFonts w:ascii="Arial" w:eastAsia="Times New Roman" w:hAnsi="Arial" w:cs="Arial"/>
        </w:rPr>
      </w:pPr>
    </w:p>
    <w:p w14:paraId="39808EB7" w14:textId="77777777" w:rsidR="00810699" w:rsidRPr="00B671B3" w:rsidRDefault="00701FD7" w:rsidP="00A042C4">
      <w:pPr>
        <w:spacing w:line="240" w:lineRule="auto"/>
        <w:rPr>
          <w:rFonts w:ascii="Arial" w:eastAsia="Times New Roman" w:hAnsi="Arial" w:cs="Arial"/>
        </w:rPr>
      </w:pPr>
      <w:r w:rsidRPr="00B671B3">
        <w:rPr>
          <w:rFonts w:ascii="Arial" w:hAnsi="Arial" w:cs="Arial"/>
        </w:rPr>
        <w:br w:type="page"/>
      </w:r>
    </w:p>
    <w:p w14:paraId="13EFDA26" w14:textId="77777777" w:rsidR="00810699" w:rsidRPr="00B671B3" w:rsidRDefault="00701FD7" w:rsidP="00A042C4">
      <w:pPr>
        <w:pStyle w:val="Heading1"/>
        <w:spacing w:line="240" w:lineRule="auto"/>
        <w:rPr>
          <w:rFonts w:ascii="Arial" w:hAnsi="Arial" w:cs="Arial"/>
          <w:color w:val="auto"/>
          <w:sz w:val="22"/>
          <w:szCs w:val="22"/>
        </w:rPr>
      </w:pPr>
      <w:bookmarkStart w:id="55" w:name="_sqyw64" w:colFirst="0" w:colLast="0"/>
      <w:bookmarkEnd w:id="55"/>
      <w:r w:rsidRPr="00B671B3">
        <w:rPr>
          <w:rFonts w:ascii="Arial" w:hAnsi="Arial" w:cs="Arial"/>
          <w:color w:val="auto"/>
          <w:sz w:val="22"/>
          <w:szCs w:val="22"/>
        </w:rPr>
        <w:lastRenderedPageBreak/>
        <w:t>REFERENCES</w:t>
      </w:r>
    </w:p>
    <w:p w14:paraId="2DAC0B1A"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Abor, J. (2007). Corporate governance and financial performance: A study of listed companies in Ghana. </w:t>
      </w:r>
      <w:r w:rsidRPr="00FC6BBA">
        <w:rPr>
          <w:rFonts w:ascii="Arial" w:eastAsia="Times New Roman" w:hAnsi="Arial" w:cs="Arial"/>
          <w:i/>
          <w:iCs/>
          <w:lang w:val="en-US"/>
        </w:rPr>
        <w:t>African Journal of Accounting, Economics, Finance and Banking Research, 3</w:t>
      </w:r>
      <w:r w:rsidRPr="00FC6BBA">
        <w:rPr>
          <w:rFonts w:ascii="Arial" w:eastAsia="Times New Roman" w:hAnsi="Arial" w:cs="Arial"/>
          <w:lang w:val="en-US"/>
        </w:rPr>
        <w:t>(1), 1-12.</w:t>
      </w:r>
    </w:p>
    <w:p w14:paraId="3C32B119"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Addo, A. A., Osei, K. A., &amp; Osei, K. (2019). Corporate governance mechanisms and financial performance of pension funds in Ghana. </w:t>
      </w:r>
      <w:r w:rsidRPr="00FC6BBA">
        <w:rPr>
          <w:rFonts w:ascii="Arial" w:eastAsia="Times New Roman" w:hAnsi="Arial" w:cs="Arial"/>
          <w:i/>
          <w:iCs/>
          <w:lang w:val="en-US"/>
        </w:rPr>
        <w:t>Journal of Financial Management, 8</w:t>
      </w:r>
      <w:r w:rsidRPr="00FC6BBA">
        <w:rPr>
          <w:rFonts w:ascii="Arial" w:eastAsia="Times New Roman" w:hAnsi="Arial" w:cs="Arial"/>
          <w:lang w:val="en-US"/>
        </w:rPr>
        <w:t>(1), 23-44.</w:t>
      </w:r>
    </w:p>
    <w:p w14:paraId="7FC0DEF3" w14:textId="77777777" w:rsidR="00FC6BBA" w:rsidRPr="00FC6BBA" w:rsidRDefault="00FC6BBA" w:rsidP="00FC6BBA">
      <w:pPr>
        <w:spacing w:line="240" w:lineRule="auto"/>
        <w:ind w:left="720" w:hanging="720"/>
        <w:jc w:val="both"/>
        <w:rPr>
          <w:rFonts w:ascii="Arial" w:eastAsia="Times New Roman" w:hAnsi="Arial" w:cs="Arial"/>
          <w:lang w:val="en-US"/>
        </w:rPr>
      </w:pPr>
      <w:proofErr w:type="spellStart"/>
      <w:r w:rsidRPr="00FC6BBA">
        <w:rPr>
          <w:rFonts w:ascii="Arial" w:eastAsia="Times New Roman" w:hAnsi="Arial" w:cs="Arial"/>
          <w:lang w:val="en-US"/>
        </w:rPr>
        <w:t>Akomea</w:t>
      </w:r>
      <w:proofErr w:type="spellEnd"/>
      <w:r w:rsidRPr="00FC6BBA">
        <w:rPr>
          <w:rFonts w:ascii="Arial" w:eastAsia="Times New Roman" w:hAnsi="Arial" w:cs="Arial"/>
          <w:lang w:val="en-US"/>
        </w:rPr>
        <w:t xml:space="preserve">-Frimpong, I., Appiah, S. K., &amp; Osei, K. A. (2022). The impact of corporate governance on financial risk management in Ghana's pension industry. </w:t>
      </w:r>
      <w:r w:rsidRPr="00FC6BBA">
        <w:rPr>
          <w:rFonts w:ascii="Arial" w:eastAsia="Times New Roman" w:hAnsi="Arial" w:cs="Arial"/>
          <w:i/>
          <w:iCs/>
          <w:lang w:val="en-US"/>
        </w:rPr>
        <w:t>Ghana Journal of Financial Management, 10</w:t>
      </w:r>
      <w:r w:rsidRPr="00FC6BBA">
        <w:rPr>
          <w:rFonts w:ascii="Arial" w:eastAsia="Times New Roman" w:hAnsi="Arial" w:cs="Arial"/>
          <w:lang w:val="en-US"/>
        </w:rPr>
        <w:t>(2), 95-112.</w:t>
      </w:r>
    </w:p>
    <w:p w14:paraId="25360C6F"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Amoako, G. K., Osei, K. A., &amp; Addo, A. A. (2020). Corporate governance and financial risk management in Ghana's pension schemes. </w:t>
      </w:r>
      <w:r w:rsidRPr="00FC6BBA">
        <w:rPr>
          <w:rFonts w:ascii="Arial" w:eastAsia="Times New Roman" w:hAnsi="Arial" w:cs="Arial"/>
          <w:i/>
          <w:iCs/>
          <w:lang w:val="en-US"/>
        </w:rPr>
        <w:t>International Journal of Economics and Finance, 12</w:t>
      </w:r>
      <w:r w:rsidRPr="00FC6BBA">
        <w:rPr>
          <w:rFonts w:ascii="Arial" w:eastAsia="Times New Roman" w:hAnsi="Arial" w:cs="Arial"/>
          <w:lang w:val="en-US"/>
        </w:rPr>
        <w:t>(3), 121-136.</w:t>
      </w:r>
    </w:p>
    <w:p w14:paraId="2587D76A"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Agyemang, G., Osei, K. A., &amp; Addo, A. A. (2019). Corporate governance practices and financial performance of private pension schemes in Ghana. </w:t>
      </w:r>
      <w:r w:rsidRPr="00FC6BBA">
        <w:rPr>
          <w:rFonts w:ascii="Arial" w:eastAsia="Times New Roman" w:hAnsi="Arial" w:cs="Arial"/>
          <w:i/>
          <w:iCs/>
          <w:lang w:val="en-US"/>
        </w:rPr>
        <w:t>Journal of Finance and Accounting, 7</w:t>
      </w:r>
      <w:r w:rsidRPr="00FC6BBA">
        <w:rPr>
          <w:rFonts w:ascii="Arial" w:eastAsia="Times New Roman" w:hAnsi="Arial" w:cs="Arial"/>
          <w:lang w:val="en-US"/>
        </w:rPr>
        <w:t>(4), 203-217.</w:t>
      </w:r>
    </w:p>
    <w:p w14:paraId="675FD639"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Boateng, E., Osei, K. A., &amp; Addo, A. A. (2018). Corporate governance practices and pension fund performance in Ghana. </w:t>
      </w:r>
      <w:r w:rsidRPr="00FC6BBA">
        <w:rPr>
          <w:rFonts w:ascii="Arial" w:eastAsia="Times New Roman" w:hAnsi="Arial" w:cs="Arial"/>
          <w:i/>
          <w:iCs/>
          <w:lang w:val="en-US"/>
        </w:rPr>
        <w:t>International Journal of Business and Social Science, 9</w:t>
      </w:r>
      <w:r w:rsidRPr="00FC6BBA">
        <w:rPr>
          <w:rFonts w:ascii="Arial" w:eastAsia="Times New Roman" w:hAnsi="Arial" w:cs="Arial"/>
          <w:lang w:val="en-US"/>
        </w:rPr>
        <w:t>(2), 34-45.</w:t>
      </w:r>
    </w:p>
    <w:p w14:paraId="62AA24F1"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Brown, L. D., </w:t>
      </w:r>
      <w:proofErr w:type="spellStart"/>
      <w:r w:rsidRPr="00FC6BBA">
        <w:rPr>
          <w:rFonts w:ascii="Arial" w:eastAsia="Times New Roman" w:hAnsi="Arial" w:cs="Arial"/>
          <w:lang w:val="en-US"/>
        </w:rPr>
        <w:t>Beekes</w:t>
      </w:r>
      <w:proofErr w:type="spellEnd"/>
      <w:r w:rsidRPr="00FC6BBA">
        <w:rPr>
          <w:rFonts w:ascii="Arial" w:eastAsia="Times New Roman" w:hAnsi="Arial" w:cs="Arial"/>
          <w:lang w:val="en-US"/>
        </w:rPr>
        <w:t xml:space="preserve">, W., &amp; Verhoeven, P. (2019). Corporate governance and risk management in pension funds: Evidence from the UK. </w:t>
      </w:r>
      <w:r w:rsidRPr="00FC6BBA">
        <w:rPr>
          <w:rFonts w:ascii="Arial" w:eastAsia="Times New Roman" w:hAnsi="Arial" w:cs="Arial"/>
          <w:i/>
          <w:iCs/>
          <w:lang w:val="en-US"/>
        </w:rPr>
        <w:t>British Journal of Management, 30</w:t>
      </w:r>
      <w:r w:rsidRPr="00FC6BBA">
        <w:rPr>
          <w:rFonts w:ascii="Arial" w:eastAsia="Times New Roman" w:hAnsi="Arial" w:cs="Arial"/>
          <w:lang w:val="en-US"/>
        </w:rPr>
        <w:t>(3), 648-665.</w:t>
      </w:r>
    </w:p>
    <w:p w14:paraId="34582265"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Claessens, S., &amp; </w:t>
      </w:r>
      <w:proofErr w:type="spellStart"/>
      <w:r w:rsidRPr="00FC6BBA">
        <w:rPr>
          <w:rFonts w:ascii="Arial" w:eastAsia="Times New Roman" w:hAnsi="Arial" w:cs="Arial"/>
          <w:lang w:val="en-US"/>
        </w:rPr>
        <w:t>Yurtoglu</w:t>
      </w:r>
      <w:proofErr w:type="spellEnd"/>
      <w:r w:rsidRPr="00FC6BBA">
        <w:rPr>
          <w:rFonts w:ascii="Arial" w:eastAsia="Times New Roman" w:hAnsi="Arial" w:cs="Arial"/>
          <w:lang w:val="en-US"/>
        </w:rPr>
        <w:t xml:space="preserve">, B. (2013). Corporate governance in emerging markets: Insights from the 2010 World Bank survey. </w:t>
      </w:r>
      <w:r w:rsidRPr="00FC6BBA">
        <w:rPr>
          <w:rFonts w:ascii="Arial" w:eastAsia="Times New Roman" w:hAnsi="Arial" w:cs="Arial"/>
          <w:i/>
          <w:iCs/>
          <w:lang w:val="en-US"/>
        </w:rPr>
        <w:t>Emerging Markets Review, 14</w:t>
      </w:r>
      <w:r w:rsidRPr="00FC6BBA">
        <w:rPr>
          <w:rFonts w:ascii="Arial" w:eastAsia="Times New Roman" w:hAnsi="Arial" w:cs="Arial"/>
          <w:lang w:val="en-US"/>
        </w:rPr>
        <w:t>(1), 1-11.</w:t>
      </w:r>
    </w:p>
    <w:p w14:paraId="342C454C"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Cocco, J. F., &amp; </w:t>
      </w:r>
      <w:proofErr w:type="spellStart"/>
      <w:r w:rsidRPr="00FC6BBA">
        <w:rPr>
          <w:rFonts w:ascii="Arial" w:eastAsia="Times New Roman" w:hAnsi="Arial" w:cs="Arial"/>
          <w:lang w:val="en-US"/>
        </w:rPr>
        <w:t>Volpin</w:t>
      </w:r>
      <w:proofErr w:type="spellEnd"/>
      <w:r w:rsidRPr="00FC6BBA">
        <w:rPr>
          <w:rFonts w:ascii="Arial" w:eastAsia="Times New Roman" w:hAnsi="Arial" w:cs="Arial"/>
          <w:lang w:val="en-US"/>
        </w:rPr>
        <w:t xml:space="preserve">, P. F. (2007). The effect of corporate governance on the performance of pension funds: Evidence from the UK. </w:t>
      </w:r>
      <w:r w:rsidRPr="00FC6BBA">
        <w:rPr>
          <w:rFonts w:ascii="Arial" w:eastAsia="Times New Roman" w:hAnsi="Arial" w:cs="Arial"/>
          <w:i/>
          <w:iCs/>
          <w:lang w:val="en-US"/>
        </w:rPr>
        <w:t>Journal of Corporate Finance, 13</w:t>
      </w:r>
      <w:r w:rsidRPr="00FC6BBA">
        <w:rPr>
          <w:rFonts w:ascii="Arial" w:eastAsia="Times New Roman" w:hAnsi="Arial" w:cs="Arial"/>
          <w:lang w:val="en-US"/>
        </w:rPr>
        <w:t>(5), 819-839.</w:t>
      </w:r>
    </w:p>
    <w:p w14:paraId="216B4ED3"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Fama, E. F. (1980). Agency problems and the theory of the firm. </w:t>
      </w:r>
      <w:r w:rsidRPr="00FC6BBA">
        <w:rPr>
          <w:rFonts w:ascii="Arial" w:eastAsia="Times New Roman" w:hAnsi="Arial" w:cs="Arial"/>
          <w:i/>
          <w:iCs/>
          <w:lang w:val="en-US"/>
        </w:rPr>
        <w:t>Journal of Political Economy, 88</w:t>
      </w:r>
      <w:r w:rsidRPr="00FC6BBA">
        <w:rPr>
          <w:rFonts w:ascii="Arial" w:eastAsia="Times New Roman" w:hAnsi="Arial" w:cs="Arial"/>
          <w:lang w:val="en-US"/>
        </w:rPr>
        <w:t>(2), 288-307.</w:t>
      </w:r>
    </w:p>
    <w:p w14:paraId="2CBBC2CE" w14:textId="77777777" w:rsidR="00FC6BBA" w:rsidRPr="00FC6BBA" w:rsidRDefault="00FC6BBA" w:rsidP="00FC6BBA">
      <w:pPr>
        <w:spacing w:line="240" w:lineRule="auto"/>
        <w:ind w:left="720" w:hanging="720"/>
        <w:jc w:val="both"/>
        <w:rPr>
          <w:rFonts w:ascii="Arial" w:eastAsia="Times New Roman" w:hAnsi="Arial" w:cs="Arial"/>
          <w:lang w:val="en-US"/>
        </w:rPr>
      </w:pPr>
      <w:proofErr w:type="spellStart"/>
      <w:r w:rsidRPr="00FC6BBA">
        <w:rPr>
          <w:rFonts w:ascii="Arial" w:eastAsia="Times New Roman" w:hAnsi="Arial" w:cs="Arial"/>
          <w:lang w:val="en-US"/>
        </w:rPr>
        <w:t>Gravetter</w:t>
      </w:r>
      <w:proofErr w:type="spellEnd"/>
      <w:r w:rsidRPr="00FC6BBA">
        <w:rPr>
          <w:rFonts w:ascii="Arial" w:eastAsia="Times New Roman" w:hAnsi="Arial" w:cs="Arial"/>
          <w:lang w:val="en-US"/>
        </w:rPr>
        <w:t xml:space="preserve">, F. J., &amp; Forzano, L. (2015). </w:t>
      </w:r>
      <w:r w:rsidRPr="00FC6BBA">
        <w:rPr>
          <w:rFonts w:ascii="Arial" w:eastAsia="Times New Roman" w:hAnsi="Arial" w:cs="Arial"/>
          <w:i/>
          <w:iCs/>
          <w:lang w:val="en-US"/>
        </w:rPr>
        <w:t>Research methods for the behavioral sciences</w:t>
      </w:r>
      <w:r w:rsidRPr="00FC6BBA">
        <w:rPr>
          <w:rFonts w:ascii="Arial" w:eastAsia="Times New Roman" w:hAnsi="Arial" w:cs="Arial"/>
          <w:lang w:val="en-US"/>
        </w:rPr>
        <w:t xml:space="preserve"> (6th ed.). Belmont, CA: Wadsworth Cengage Learning.</w:t>
      </w:r>
    </w:p>
    <w:p w14:paraId="3A2D1D9F"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Hillson, D. (2013). </w:t>
      </w:r>
      <w:r w:rsidRPr="00FC6BBA">
        <w:rPr>
          <w:rFonts w:ascii="Arial" w:eastAsia="Times New Roman" w:hAnsi="Arial" w:cs="Arial"/>
          <w:i/>
          <w:iCs/>
          <w:lang w:val="en-US"/>
        </w:rPr>
        <w:t>Understanding risk management: A guide to risk management for project managers</w:t>
      </w:r>
      <w:r w:rsidRPr="00FC6BBA">
        <w:rPr>
          <w:rFonts w:ascii="Arial" w:eastAsia="Times New Roman" w:hAnsi="Arial" w:cs="Arial"/>
          <w:lang w:val="en-US"/>
        </w:rPr>
        <w:t>. Project Management Institute.</w:t>
      </w:r>
    </w:p>
    <w:p w14:paraId="6FD62CDC"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Jensen, M. C., &amp; Meckling, W. H. (1976). Theory of the firm: Managerial behavior, agency costs, and ownership structure. </w:t>
      </w:r>
      <w:r w:rsidRPr="00FC6BBA">
        <w:rPr>
          <w:rFonts w:ascii="Arial" w:eastAsia="Times New Roman" w:hAnsi="Arial" w:cs="Arial"/>
          <w:i/>
          <w:iCs/>
          <w:lang w:val="en-US"/>
        </w:rPr>
        <w:t>Journal of Financial Economics, 3</w:t>
      </w:r>
      <w:r w:rsidRPr="00FC6BBA">
        <w:rPr>
          <w:rFonts w:ascii="Arial" w:eastAsia="Times New Roman" w:hAnsi="Arial" w:cs="Arial"/>
          <w:lang w:val="en-US"/>
        </w:rPr>
        <w:t>(4), 305-360.</w:t>
      </w:r>
    </w:p>
    <w:p w14:paraId="0683D46F"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Kpessa-Whyte, M., &amp; </w:t>
      </w:r>
      <w:proofErr w:type="spellStart"/>
      <w:r w:rsidRPr="00FC6BBA">
        <w:rPr>
          <w:rFonts w:ascii="Arial" w:eastAsia="Times New Roman" w:hAnsi="Arial" w:cs="Arial"/>
          <w:lang w:val="en-US"/>
        </w:rPr>
        <w:t>Tsekpo</w:t>
      </w:r>
      <w:proofErr w:type="spellEnd"/>
      <w:r w:rsidRPr="00FC6BBA">
        <w:rPr>
          <w:rFonts w:ascii="Arial" w:eastAsia="Times New Roman" w:hAnsi="Arial" w:cs="Arial"/>
          <w:lang w:val="en-US"/>
        </w:rPr>
        <w:t xml:space="preserve">, K. (2020). The role of corporate governance in pension fund management in Ghana: An exploratory study. </w:t>
      </w:r>
      <w:r w:rsidRPr="00FC6BBA">
        <w:rPr>
          <w:rFonts w:ascii="Arial" w:eastAsia="Times New Roman" w:hAnsi="Arial" w:cs="Arial"/>
          <w:i/>
          <w:iCs/>
          <w:lang w:val="en-US"/>
        </w:rPr>
        <w:t>African Journal of Business Management, 14</w:t>
      </w:r>
      <w:r w:rsidRPr="00FC6BBA">
        <w:rPr>
          <w:rFonts w:ascii="Arial" w:eastAsia="Times New Roman" w:hAnsi="Arial" w:cs="Arial"/>
          <w:lang w:val="en-US"/>
        </w:rPr>
        <w:t>(7), 143-156.</w:t>
      </w:r>
    </w:p>
    <w:p w14:paraId="0A795801"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Klein, A. (2017). Firm performance and the impact of board characteristics on financial risk management. </w:t>
      </w:r>
      <w:r w:rsidRPr="00FC6BBA">
        <w:rPr>
          <w:rFonts w:ascii="Arial" w:eastAsia="Times New Roman" w:hAnsi="Arial" w:cs="Arial"/>
          <w:i/>
          <w:iCs/>
          <w:lang w:val="en-US"/>
        </w:rPr>
        <w:t>Journal of Corporate Finance, 45</w:t>
      </w:r>
      <w:r w:rsidRPr="00FC6BBA">
        <w:rPr>
          <w:rFonts w:ascii="Arial" w:eastAsia="Times New Roman" w:hAnsi="Arial" w:cs="Arial"/>
          <w:lang w:val="en-US"/>
        </w:rPr>
        <w:t>, 44-65.</w:t>
      </w:r>
    </w:p>
    <w:p w14:paraId="6C31E23F"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Madhani, P. M. (2017). Corporate governance and financial performance: Evidence from Indian companies. </w:t>
      </w:r>
      <w:r w:rsidRPr="00FC6BBA">
        <w:rPr>
          <w:rFonts w:ascii="Arial" w:eastAsia="Times New Roman" w:hAnsi="Arial" w:cs="Arial"/>
          <w:i/>
          <w:iCs/>
          <w:lang w:val="en-US"/>
        </w:rPr>
        <w:t>International Journal of Economics and Financial Issues, 7</w:t>
      </w:r>
      <w:r w:rsidRPr="00FC6BBA">
        <w:rPr>
          <w:rFonts w:ascii="Arial" w:eastAsia="Times New Roman" w:hAnsi="Arial" w:cs="Arial"/>
          <w:lang w:val="en-US"/>
        </w:rPr>
        <w:t>(3), 792-798.</w:t>
      </w:r>
    </w:p>
    <w:p w14:paraId="50C17A74"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Mitnick, B. M. (2006). Origin of the theory of agency: An account by one of the theory’s originators. </w:t>
      </w:r>
      <w:r w:rsidRPr="00FC6BBA">
        <w:rPr>
          <w:rFonts w:ascii="Arial" w:eastAsia="Times New Roman" w:hAnsi="Arial" w:cs="Arial"/>
          <w:i/>
          <w:iCs/>
          <w:lang w:val="en-US"/>
        </w:rPr>
        <w:t>The Journal of Management Studies, 43</w:t>
      </w:r>
      <w:r w:rsidRPr="00FC6BBA">
        <w:rPr>
          <w:rFonts w:ascii="Arial" w:eastAsia="Times New Roman" w:hAnsi="Arial" w:cs="Arial"/>
          <w:lang w:val="en-US"/>
        </w:rPr>
        <w:t>(5), 1039-1055.</w:t>
      </w:r>
    </w:p>
    <w:p w14:paraId="29839FD0"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lastRenderedPageBreak/>
        <w:t xml:space="preserve">OECD. (2015). </w:t>
      </w:r>
      <w:r w:rsidRPr="00FC6BBA">
        <w:rPr>
          <w:rFonts w:ascii="Arial" w:eastAsia="Times New Roman" w:hAnsi="Arial" w:cs="Arial"/>
          <w:i/>
          <w:iCs/>
          <w:lang w:val="en-US"/>
        </w:rPr>
        <w:t>G20/OECD principles of corporate governance</w:t>
      </w:r>
      <w:r w:rsidRPr="00FC6BBA">
        <w:rPr>
          <w:rFonts w:ascii="Arial" w:eastAsia="Times New Roman" w:hAnsi="Arial" w:cs="Arial"/>
          <w:lang w:val="en-US"/>
        </w:rPr>
        <w:t>. Paris: OECD Publishing.</w:t>
      </w:r>
    </w:p>
    <w:p w14:paraId="3996C914"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OECD. (2016). </w:t>
      </w:r>
      <w:r w:rsidRPr="00FC6BBA">
        <w:rPr>
          <w:rFonts w:ascii="Arial" w:eastAsia="Times New Roman" w:hAnsi="Arial" w:cs="Arial"/>
          <w:i/>
          <w:iCs/>
          <w:lang w:val="en-US"/>
        </w:rPr>
        <w:t>Corporate governance in pension funds: An overview</w:t>
      </w:r>
      <w:r w:rsidRPr="00FC6BBA">
        <w:rPr>
          <w:rFonts w:ascii="Arial" w:eastAsia="Times New Roman" w:hAnsi="Arial" w:cs="Arial"/>
          <w:lang w:val="en-US"/>
        </w:rPr>
        <w:t>. Paris: OECD Publishing.</w:t>
      </w:r>
    </w:p>
    <w:p w14:paraId="68ACC7EC"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OECD. (2019). </w:t>
      </w:r>
      <w:r w:rsidRPr="00FC6BBA">
        <w:rPr>
          <w:rFonts w:ascii="Arial" w:eastAsia="Times New Roman" w:hAnsi="Arial" w:cs="Arial"/>
          <w:i/>
          <w:iCs/>
          <w:lang w:val="en-US"/>
        </w:rPr>
        <w:t>Risk management and corporate governance: A guide to effective risk management</w:t>
      </w:r>
      <w:r w:rsidRPr="00FC6BBA">
        <w:rPr>
          <w:rFonts w:ascii="Arial" w:eastAsia="Times New Roman" w:hAnsi="Arial" w:cs="Arial"/>
          <w:lang w:val="en-US"/>
        </w:rPr>
        <w:t>. Paris: OECD Publishing.</w:t>
      </w:r>
    </w:p>
    <w:p w14:paraId="477EA9C3"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Osei, K. A., Addo, A. A., &amp; Amoako, G. K. (2020). The impact of corporate governance on financial risk management in the Ghanaian pension industry. </w:t>
      </w:r>
      <w:r w:rsidRPr="00FC6BBA">
        <w:rPr>
          <w:rFonts w:ascii="Arial" w:eastAsia="Times New Roman" w:hAnsi="Arial" w:cs="Arial"/>
          <w:i/>
          <w:iCs/>
          <w:lang w:val="en-US"/>
        </w:rPr>
        <w:t>West African Journal of Industrial Relations, 2</w:t>
      </w:r>
      <w:r w:rsidRPr="00FC6BBA">
        <w:rPr>
          <w:rFonts w:ascii="Arial" w:eastAsia="Times New Roman" w:hAnsi="Arial" w:cs="Arial"/>
          <w:lang w:val="en-US"/>
        </w:rPr>
        <w:t>(1), 12-28.</w:t>
      </w:r>
    </w:p>
    <w:p w14:paraId="61436F6F"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Owusu-Agyei, S. (2020). Corporate governance and financial performance of listed companies in Ghana: Evidence from panel data. </w:t>
      </w:r>
      <w:r w:rsidRPr="00FC6BBA">
        <w:rPr>
          <w:rFonts w:ascii="Arial" w:eastAsia="Times New Roman" w:hAnsi="Arial" w:cs="Arial"/>
          <w:i/>
          <w:iCs/>
          <w:lang w:val="en-US"/>
        </w:rPr>
        <w:t>International Journal of Business and Social Science, 11</w:t>
      </w:r>
      <w:r w:rsidRPr="00FC6BBA">
        <w:rPr>
          <w:rFonts w:ascii="Arial" w:eastAsia="Times New Roman" w:hAnsi="Arial" w:cs="Arial"/>
          <w:lang w:val="en-US"/>
        </w:rPr>
        <w:t>(2), 1-12.</w:t>
      </w:r>
    </w:p>
    <w:p w14:paraId="7316EE1B"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Phan, P. H., &amp; Hegde, S. P. (2012). Corporate governance and financial risk management: Evidence from pension funds. </w:t>
      </w:r>
      <w:r w:rsidRPr="00FC6BBA">
        <w:rPr>
          <w:rFonts w:ascii="Arial" w:eastAsia="Times New Roman" w:hAnsi="Arial" w:cs="Arial"/>
          <w:i/>
          <w:iCs/>
          <w:lang w:val="en-US"/>
        </w:rPr>
        <w:t>Journal of Risk Management in Financial Institutions, 5</w:t>
      </w:r>
      <w:r w:rsidRPr="00FC6BBA">
        <w:rPr>
          <w:rFonts w:ascii="Arial" w:eastAsia="Times New Roman" w:hAnsi="Arial" w:cs="Arial"/>
          <w:lang w:val="en-US"/>
        </w:rPr>
        <w:t>(4), 345-356.</w:t>
      </w:r>
    </w:p>
    <w:p w14:paraId="51B97A84"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Renders, A., &amp; van der Laan, G. (2022). The impact of corporate governance on financial risk management: A study of the Dutch pension sector. </w:t>
      </w:r>
      <w:r w:rsidRPr="00FC6BBA">
        <w:rPr>
          <w:rFonts w:ascii="Arial" w:eastAsia="Times New Roman" w:hAnsi="Arial" w:cs="Arial"/>
          <w:i/>
          <w:iCs/>
          <w:lang w:val="en-US"/>
        </w:rPr>
        <w:t>Journal of Risk Finance, 23</w:t>
      </w:r>
      <w:r w:rsidRPr="00FC6BBA">
        <w:rPr>
          <w:rFonts w:ascii="Arial" w:eastAsia="Times New Roman" w:hAnsi="Arial" w:cs="Arial"/>
          <w:lang w:val="en-US"/>
        </w:rPr>
        <w:t>(2), 123-150.</w:t>
      </w:r>
    </w:p>
    <w:p w14:paraId="539E0BC5"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Shleifer, A., &amp; </w:t>
      </w:r>
      <w:proofErr w:type="spellStart"/>
      <w:r w:rsidRPr="00FC6BBA">
        <w:rPr>
          <w:rFonts w:ascii="Arial" w:eastAsia="Times New Roman" w:hAnsi="Arial" w:cs="Arial"/>
          <w:lang w:val="en-US"/>
        </w:rPr>
        <w:t>Vishny</w:t>
      </w:r>
      <w:proofErr w:type="spellEnd"/>
      <w:r w:rsidRPr="00FC6BBA">
        <w:rPr>
          <w:rFonts w:ascii="Arial" w:eastAsia="Times New Roman" w:hAnsi="Arial" w:cs="Arial"/>
          <w:lang w:val="en-US"/>
        </w:rPr>
        <w:t xml:space="preserve">, R. W. (1997). A survey of corporate governance. </w:t>
      </w:r>
      <w:r w:rsidRPr="00FC6BBA">
        <w:rPr>
          <w:rFonts w:ascii="Arial" w:eastAsia="Times New Roman" w:hAnsi="Arial" w:cs="Arial"/>
          <w:i/>
          <w:iCs/>
          <w:lang w:val="en-US"/>
        </w:rPr>
        <w:t>The Journal of Finance, 52</w:t>
      </w:r>
      <w:r w:rsidRPr="00FC6BBA">
        <w:rPr>
          <w:rFonts w:ascii="Arial" w:eastAsia="Times New Roman" w:hAnsi="Arial" w:cs="Arial"/>
          <w:lang w:val="en-US"/>
        </w:rPr>
        <w:t>(2), 737-783.</w:t>
      </w:r>
    </w:p>
    <w:p w14:paraId="71365B08" w14:textId="77777777" w:rsidR="00FC6BBA" w:rsidRPr="00FC6BBA" w:rsidRDefault="00FC6BBA" w:rsidP="00FC6BBA">
      <w:pPr>
        <w:spacing w:line="240" w:lineRule="auto"/>
        <w:ind w:left="720" w:hanging="720"/>
        <w:jc w:val="both"/>
        <w:rPr>
          <w:rFonts w:ascii="Arial" w:eastAsia="Times New Roman" w:hAnsi="Arial" w:cs="Arial"/>
          <w:lang w:val="en-US"/>
        </w:rPr>
      </w:pPr>
      <w:r w:rsidRPr="00FC6BBA">
        <w:rPr>
          <w:rFonts w:ascii="Arial" w:eastAsia="Times New Roman" w:hAnsi="Arial" w:cs="Arial"/>
          <w:lang w:val="en-US"/>
        </w:rPr>
        <w:t xml:space="preserve">Wahba, H. (2015). The impact of board characteristics on the financial performance of Egyptian listed companies. </w:t>
      </w:r>
      <w:r w:rsidRPr="00FC6BBA">
        <w:rPr>
          <w:rFonts w:ascii="Arial" w:eastAsia="Times New Roman" w:hAnsi="Arial" w:cs="Arial"/>
          <w:i/>
          <w:iCs/>
          <w:lang w:val="en-US"/>
        </w:rPr>
        <w:t>International Journal of Business and Management, 10</w:t>
      </w:r>
      <w:r w:rsidRPr="00FC6BBA">
        <w:rPr>
          <w:rFonts w:ascii="Arial" w:eastAsia="Times New Roman" w:hAnsi="Arial" w:cs="Arial"/>
          <w:lang w:val="en-US"/>
        </w:rPr>
        <w:t>(3), 1-12.</w:t>
      </w:r>
    </w:p>
    <w:p w14:paraId="4D4F3346" w14:textId="77777777" w:rsidR="00FC6BBA" w:rsidRPr="00FC6BBA" w:rsidRDefault="00FC6BBA" w:rsidP="00FC6BBA">
      <w:pPr>
        <w:spacing w:line="240" w:lineRule="auto"/>
        <w:ind w:left="720" w:hanging="720"/>
        <w:jc w:val="both"/>
        <w:rPr>
          <w:rFonts w:ascii="Arial" w:eastAsia="Times New Roman" w:hAnsi="Arial" w:cs="Arial"/>
          <w:lang w:val="en-US"/>
        </w:rPr>
      </w:pPr>
    </w:p>
    <w:p w14:paraId="0824AEEE" w14:textId="7532E2F5" w:rsidR="00810699" w:rsidRPr="00B671B3" w:rsidRDefault="00810699" w:rsidP="00FC6BBA">
      <w:pPr>
        <w:spacing w:line="240" w:lineRule="auto"/>
        <w:ind w:left="720" w:hanging="720"/>
        <w:jc w:val="both"/>
        <w:rPr>
          <w:rFonts w:ascii="Arial" w:eastAsia="Times New Roman" w:hAnsi="Arial" w:cs="Arial"/>
        </w:rPr>
      </w:pPr>
    </w:p>
    <w:sectPr w:rsidR="00810699" w:rsidRPr="00B671B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95175" w14:textId="77777777" w:rsidR="00255335" w:rsidRDefault="00255335">
      <w:pPr>
        <w:spacing w:after="0" w:line="240" w:lineRule="auto"/>
      </w:pPr>
      <w:r>
        <w:separator/>
      </w:r>
    </w:p>
  </w:endnote>
  <w:endnote w:type="continuationSeparator" w:id="0">
    <w:p w14:paraId="1E2B53AE" w14:textId="77777777" w:rsidR="00255335" w:rsidRDefault="0025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9205" w14:textId="77777777" w:rsidR="00E076BC" w:rsidRDefault="00E07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C0C5" w14:textId="329553A1" w:rsidR="00B049BD" w:rsidRDefault="00B049B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p w14:paraId="61570EC5" w14:textId="77777777" w:rsidR="00B049BD" w:rsidRDefault="00B049B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0ADF" w14:textId="77777777" w:rsidR="00E076BC" w:rsidRDefault="00E0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B8072" w14:textId="77777777" w:rsidR="00255335" w:rsidRDefault="00255335">
      <w:pPr>
        <w:spacing w:after="0" w:line="240" w:lineRule="auto"/>
      </w:pPr>
      <w:r>
        <w:separator/>
      </w:r>
    </w:p>
  </w:footnote>
  <w:footnote w:type="continuationSeparator" w:id="0">
    <w:p w14:paraId="0E4E4E2C" w14:textId="77777777" w:rsidR="00255335" w:rsidRDefault="00255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87178" w14:textId="61DCF102" w:rsidR="00E076BC" w:rsidRDefault="00E076BC">
    <w:pPr>
      <w:pStyle w:val="Header"/>
    </w:pPr>
    <w:r>
      <w:rPr>
        <w:noProof/>
      </w:rPr>
      <w:pict w14:anchorId="35503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25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315C" w14:textId="4D083E84" w:rsidR="00B049BD" w:rsidRDefault="00E076BC">
    <w:pPr>
      <w:pBdr>
        <w:top w:val="nil"/>
        <w:left w:val="nil"/>
        <w:bottom w:val="nil"/>
        <w:right w:val="nil"/>
        <w:between w:val="nil"/>
      </w:pBdr>
      <w:tabs>
        <w:tab w:val="center" w:pos="4680"/>
        <w:tab w:val="right" w:pos="9360"/>
      </w:tabs>
      <w:spacing w:after="0" w:line="240" w:lineRule="auto"/>
      <w:rPr>
        <w:color w:val="000000"/>
      </w:rPr>
    </w:pPr>
    <w:r>
      <w:rPr>
        <w:noProof/>
      </w:rPr>
      <w:pict w14:anchorId="250F0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25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86A9D4C" w14:textId="77777777" w:rsidR="00B049BD" w:rsidRDefault="00B049B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9530" w14:textId="46A5D797" w:rsidR="00E076BC" w:rsidRDefault="00E076BC">
    <w:pPr>
      <w:pStyle w:val="Header"/>
    </w:pPr>
    <w:r>
      <w:rPr>
        <w:noProof/>
      </w:rPr>
      <w:pict w14:anchorId="6EF84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725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3D40"/>
    <w:multiLevelType w:val="multilevel"/>
    <w:tmpl w:val="05B06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1B1206"/>
    <w:multiLevelType w:val="hybridMultilevel"/>
    <w:tmpl w:val="3204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2CA8"/>
    <w:multiLevelType w:val="multilevel"/>
    <w:tmpl w:val="E5101AA8"/>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AC3C68"/>
    <w:multiLevelType w:val="multilevel"/>
    <w:tmpl w:val="46967B0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BB6E41"/>
    <w:multiLevelType w:val="multilevel"/>
    <w:tmpl w:val="13DAD5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8E1571B"/>
    <w:multiLevelType w:val="multilevel"/>
    <w:tmpl w:val="04A80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14A6C7F"/>
    <w:multiLevelType w:val="multilevel"/>
    <w:tmpl w:val="3EEC2E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3CA6900"/>
    <w:multiLevelType w:val="multilevel"/>
    <w:tmpl w:val="FEB2C1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3F49B6"/>
    <w:multiLevelType w:val="multilevel"/>
    <w:tmpl w:val="2BC2027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BE7C13"/>
    <w:multiLevelType w:val="multilevel"/>
    <w:tmpl w:val="4DA878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51A7187"/>
    <w:multiLevelType w:val="multilevel"/>
    <w:tmpl w:val="219A66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8171268"/>
    <w:multiLevelType w:val="multilevel"/>
    <w:tmpl w:val="9A1246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9872706"/>
    <w:multiLevelType w:val="multilevel"/>
    <w:tmpl w:val="8570A0EE"/>
    <w:lvl w:ilvl="0">
      <w:start w:val="1"/>
      <w:numFmt w:val="lowerRoman"/>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392672"/>
    <w:multiLevelType w:val="hybridMultilevel"/>
    <w:tmpl w:val="12AA46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1895B70"/>
    <w:multiLevelType w:val="multilevel"/>
    <w:tmpl w:val="34EEE9E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5"/>
  </w:num>
  <w:num w:numId="4">
    <w:abstractNumId w:val="2"/>
  </w:num>
  <w:num w:numId="5">
    <w:abstractNumId w:val="7"/>
  </w:num>
  <w:num w:numId="6">
    <w:abstractNumId w:val="4"/>
  </w:num>
  <w:num w:numId="7">
    <w:abstractNumId w:val="11"/>
  </w:num>
  <w:num w:numId="8">
    <w:abstractNumId w:val="12"/>
  </w:num>
  <w:num w:numId="9">
    <w:abstractNumId w:val="3"/>
  </w:num>
  <w:num w:numId="10">
    <w:abstractNumId w:val="0"/>
  </w:num>
  <w:num w:numId="11">
    <w:abstractNumId w:val="10"/>
  </w:num>
  <w:num w:numId="12">
    <w:abstractNumId w:val="6"/>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99"/>
    <w:rsid w:val="00001811"/>
    <w:rsid w:val="000030C1"/>
    <w:rsid w:val="00016F86"/>
    <w:rsid w:val="00046120"/>
    <w:rsid w:val="0008637F"/>
    <w:rsid w:val="000B3DC1"/>
    <w:rsid w:val="000D6F04"/>
    <w:rsid w:val="000E3763"/>
    <w:rsid w:val="000E38BD"/>
    <w:rsid w:val="00100C7C"/>
    <w:rsid w:val="001801F6"/>
    <w:rsid w:val="00181994"/>
    <w:rsid w:val="00187BF2"/>
    <w:rsid w:val="001A6351"/>
    <w:rsid w:val="00236C23"/>
    <w:rsid w:val="00255335"/>
    <w:rsid w:val="002575A6"/>
    <w:rsid w:val="002A73D7"/>
    <w:rsid w:val="002B4C2B"/>
    <w:rsid w:val="002C1C9E"/>
    <w:rsid w:val="002C6C80"/>
    <w:rsid w:val="003757FF"/>
    <w:rsid w:val="00391AE1"/>
    <w:rsid w:val="003D410B"/>
    <w:rsid w:val="003E600E"/>
    <w:rsid w:val="00447085"/>
    <w:rsid w:val="004714C7"/>
    <w:rsid w:val="004E2B28"/>
    <w:rsid w:val="0058126E"/>
    <w:rsid w:val="005B2E18"/>
    <w:rsid w:val="005D7A94"/>
    <w:rsid w:val="005E79FE"/>
    <w:rsid w:val="005F1A36"/>
    <w:rsid w:val="00601778"/>
    <w:rsid w:val="00610917"/>
    <w:rsid w:val="0064704E"/>
    <w:rsid w:val="00652228"/>
    <w:rsid w:val="006F379F"/>
    <w:rsid w:val="00701FD7"/>
    <w:rsid w:val="007815C4"/>
    <w:rsid w:val="007970C9"/>
    <w:rsid w:val="007A2552"/>
    <w:rsid w:val="007C46D8"/>
    <w:rsid w:val="007D7325"/>
    <w:rsid w:val="007E757B"/>
    <w:rsid w:val="00810699"/>
    <w:rsid w:val="008359C5"/>
    <w:rsid w:val="008565BC"/>
    <w:rsid w:val="0087256A"/>
    <w:rsid w:val="008A3953"/>
    <w:rsid w:val="008A5FC2"/>
    <w:rsid w:val="00925666"/>
    <w:rsid w:val="009752E8"/>
    <w:rsid w:val="00A042C4"/>
    <w:rsid w:val="00A13593"/>
    <w:rsid w:val="00A82191"/>
    <w:rsid w:val="00AD2204"/>
    <w:rsid w:val="00AF5468"/>
    <w:rsid w:val="00B03BBE"/>
    <w:rsid w:val="00B049BD"/>
    <w:rsid w:val="00B40A16"/>
    <w:rsid w:val="00B671B3"/>
    <w:rsid w:val="00B75945"/>
    <w:rsid w:val="00BC6FB3"/>
    <w:rsid w:val="00C1179F"/>
    <w:rsid w:val="00C22EB9"/>
    <w:rsid w:val="00C47F80"/>
    <w:rsid w:val="00C718D1"/>
    <w:rsid w:val="00C75E8C"/>
    <w:rsid w:val="00C949AB"/>
    <w:rsid w:val="00CA7585"/>
    <w:rsid w:val="00CB335F"/>
    <w:rsid w:val="00CB6BF9"/>
    <w:rsid w:val="00D36760"/>
    <w:rsid w:val="00D63CFF"/>
    <w:rsid w:val="00DA0943"/>
    <w:rsid w:val="00E00427"/>
    <w:rsid w:val="00E0508E"/>
    <w:rsid w:val="00E076BC"/>
    <w:rsid w:val="00E9391B"/>
    <w:rsid w:val="00EE261B"/>
    <w:rsid w:val="00EF0DB3"/>
    <w:rsid w:val="00F1794B"/>
    <w:rsid w:val="00F22D29"/>
    <w:rsid w:val="00F35B5D"/>
    <w:rsid w:val="00F82568"/>
    <w:rsid w:val="00FC6BBA"/>
    <w:rsid w:val="00FD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B5E274"/>
  <w15:docId w15:val="{1EAA7BB1-4778-B642-8E5B-555A77C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DC1"/>
  </w:style>
  <w:style w:type="paragraph" w:styleId="Heading1">
    <w:name w:val="heading 1"/>
    <w:basedOn w:val="Normal"/>
    <w:next w:val="Normal"/>
    <w:uiPriority w:val="9"/>
    <w:qFormat/>
    <w:pPr>
      <w:keepNext/>
      <w:keepLines/>
      <w:spacing w:before="360" w:after="120" w:line="480" w:lineRule="auto"/>
      <w:jc w:val="center"/>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unhideWhenUsed/>
    <w:qFormat/>
    <w:pPr>
      <w:spacing w:before="120" w:after="280" w:line="480" w:lineRule="auto"/>
      <w:jc w:val="center"/>
      <w:outlineLvl w:val="1"/>
    </w:pPr>
    <w:rPr>
      <w:rFonts w:ascii="Times New Roman" w:eastAsia="Times New Roman" w:hAnsi="Times New Roman" w:cs="Times New Roman"/>
      <w:b/>
      <w:color w:val="000000"/>
      <w:sz w:val="24"/>
      <w:szCs w:val="24"/>
    </w:rPr>
  </w:style>
  <w:style w:type="paragraph" w:styleId="Heading3">
    <w:name w:val="heading 3"/>
    <w:basedOn w:val="Normal"/>
    <w:next w:val="Normal"/>
    <w:uiPriority w:val="9"/>
    <w:unhideWhenUsed/>
    <w:qFormat/>
    <w:pPr>
      <w:spacing w:before="120" w:after="280" w:line="480" w:lineRule="auto"/>
      <w:jc w:val="both"/>
      <w:outlineLvl w:val="2"/>
    </w:pPr>
    <w:rPr>
      <w:rFonts w:ascii="Times New Roman" w:eastAsia="Times New Roman" w:hAnsi="Times New Roman" w:cs="Times New Roman"/>
      <w:b/>
      <w:color w:val="000000"/>
      <w:sz w:val="24"/>
      <w:szCs w:val="24"/>
    </w:rPr>
  </w:style>
  <w:style w:type="paragraph" w:styleId="Heading4">
    <w:name w:val="heading 4"/>
    <w:basedOn w:val="Normal"/>
    <w:next w:val="Normal"/>
    <w:uiPriority w:val="9"/>
    <w:unhideWhenUsed/>
    <w:qFormat/>
    <w:pPr>
      <w:keepNext/>
      <w:keepLines/>
      <w:spacing w:before="160" w:after="120" w:line="480" w:lineRule="auto"/>
      <w:jc w:val="both"/>
      <w:outlineLvl w:val="3"/>
    </w:pPr>
    <w:rPr>
      <w:rFonts w:ascii="Times New Roman" w:eastAsia="Times New Roman" w:hAnsi="Times New Roman" w:cs="Times New Roman"/>
      <w:b/>
      <w:color w:val="000000"/>
      <w:sz w:val="24"/>
      <w:szCs w:val="24"/>
    </w:rPr>
  </w:style>
  <w:style w:type="paragraph" w:styleId="Heading5">
    <w:name w:val="heading 5"/>
    <w:basedOn w:val="Normal"/>
    <w:next w:val="Normal"/>
    <w:uiPriority w:val="9"/>
    <w:unhideWhenUsed/>
    <w:qFormat/>
    <w:pPr>
      <w:keepNext/>
      <w:keepLines/>
      <w:spacing w:before="160" w:after="120" w:line="480" w:lineRule="auto"/>
      <w:jc w:val="both"/>
      <w:outlineLvl w:val="4"/>
    </w:pPr>
    <w:rPr>
      <w:rFonts w:ascii="Times New Roman" w:eastAsia="Times New Roman" w:hAnsi="Times New Roman" w:cs="Times New Roman"/>
      <w:b/>
      <w:color w:val="000000"/>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pPr>
      <w:spacing w:after="0" w:line="240" w:lineRule="auto"/>
    </w:pPr>
    <w:rPr>
      <w:color w:val="000000"/>
    </w:rPr>
    <w:tblPr>
      <w:tblStyleRowBandSize w:val="1"/>
      <w:tblStyleColBandSize w:val="1"/>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line="240" w:lineRule="auto"/>
    </w:pPr>
    <w:rPr>
      <w:color w:val="000000"/>
    </w:rPr>
    <w:tblPr>
      <w:tblStyleRowBandSize w:val="1"/>
      <w:tblStyleColBandSize w:val="1"/>
    </w:tblPr>
  </w:style>
  <w:style w:type="table" w:customStyle="1" w:styleId="a8">
    <w:basedOn w:val="TableNormal"/>
    <w:pPr>
      <w:spacing w:after="0" w:line="240" w:lineRule="auto"/>
    </w:pPr>
    <w:rPr>
      <w:color w:val="000000"/>
    </w:rPr>
    <w:tblPr>
      <w:tblStyleRowBandSize w:val="1"/>
      <w:tblStyleColBandSize w:val="1"/>
    </w:tblPr>
  </w:style>
  <w:style w:type="table" w:customStyle="1" w:styleId="a9">
    <w:basedOn w:val="TableNormal"/>
    <w:pPr>
      <w:spacing w:after="0" w:line="240" w:lineRule="auto"/>
    </w:pPr>
    <w:rPr>
      <w:color w:val="000000"/>
    </w:rPr>
    <w:tblPr>
      <w:tblStyleRowBandSize w:val="1"/>
      <w:tblStyleColBandSize w:val="1"/>
    </w:tblPr>
  </w:style>
  <w:style w:type="table" w:customStyle="1" w:styleId="aa">
    <w:basedOn w:val="TableNormal"/>
    <w:pPr>
      <w:spacing w:after="0" w:line="240" w:lineRule="auto"/>
    </w:pPr>
    <w:rPr>
      <w:color w:val="000000"/>
    </w:rPr>
    <w:tblPr>
      <w:tblStyleRowBandSize w:val="1"/>
      <w:tblStyleColBandSize w:val="1"/>
    </w:tblPr>
  </w:style>
  <w:style w:type="paragraph" w:styleId="ListParagraph">
    <w:name w:val="List Paragraph"/>
    <w:basedOn w:val="Normal"/>
    <w:uiPriority w:val="34"/>
    <w:qFormat/>
    <w:rsid w:val="00610917"/>
    <w:pPr>
      <w:ind w:left="720"/>
      <w:contextualSpacing/>
    </w:pPr>
  </w:style>
  <w:style w:type="character" w:styleId="Hyperlink">
    <w:name w:val="Hyperlink"/>
    <w:basedOn w:val="DefaultParagraphFont"/>
    <w:uiPriority w:val="99"/>
    <w:unhideWhenUsed/>
    <w:rsid w:val="00610917"/>
    <w:rPr>
      <w:color w:val="0000FF" w:themeColor="hyperlink"/>
      <w:u w:val="single"/>
    </w:rPr>
  </w:style>
  <w:style w:type="character" w:styleId="UnresolvedMention">
    <w:name w:val="Unresolved Mention"/>
    <w:basedOn w:val="DefaultParagraphFont"/>
    <w:uiPriority w:val="99"/>
    <w:semiHidden/>
    <w:unhideWhenUsed/>
    <w:rsid w:val="00610917"/>
    <w:rPr>
      <w:color w:val="605E5C"/>
      <w:shd w:val="clear" w:color="auto" w:fill="E1DFDD"/>
    </w:rPr>
  </w:style>
  <w:style w:type="paragraph" w:styleId="NoSpacing">
    <w:name w:val="No Spacing"/>
    <w:uiPriority w:val="1"/>
    <w:qFormat/>
    <w:rsid w:val="004714C7"/>
    <w:pPr>
      <w:spacing w:after="0" w:line="240" w:lineRule="auto"/>
    </w:pPr>
  </w:style>
  <w:style w:type="paragraph" w:styleId="Header">
    <w:name w:val="header"/>
    <w:basedOn w:val="Normal"/>
    <w:link w:val="HeaderChar"/>
    <w:uiPriority w:val="99"/>
    <w:unhideWhenUsed/>
    <w:rsid w:val="00E07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BC"/>
  </w:style>
  <w:style w:type="paragraph" w:styleId="Footer">
    <w:name w:val="footer"/>
    <w:basedOn w:val="Normal"/>
    <w:link w:val="FooterChar"/>
    <w:uiPriority w:val="99"/>
    <w:unhideWhenUsed/>
    <w:rsid w:val="00E07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454936">
      <w:bodyDiv w:val="1"/>
      <w:marLeft w:val="0"/>
      <w:marRight w:val="0"/>
      <w:marTop w:val="0"/>
      <w:marBottom w:val="0"/>
      <w:divBdr>
        <w:top w:val="none" w:sz="0" w:space="0" w:color="auto"/>
        <w:left w:val="none" w:sz="0" w:space="0" w:color="auto"/>
        <w:bottom w:val="none" w:sz="0" w:space="0" w:color="auto"/>
        <w:right w:val="none" w:sz="0" w:space="0" w:color="auto"/>
      </w:divBdr>
    </w:div>
    <w:div w:id="203557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23</Pages>
  <Words>8849</Words>
  <Characters>50444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Asiamah</dc:creator>
  <cp:lastModifiedBy>SDI 1084</cp:lastModifiedBy>
  <cp:revision>20</cp:revision>
  <dcterms:created xsi:type="dcterms:W3CDTF">2025-11-08T10:47:00Z</dcterms:created>
  <dcterms:modified xsi:type="dcterms:W3CDTF">2025-11-12T10:19:00Z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23b7076984f82e083e2d41c6aab6391154f6280400ce332ff9d73563c8ed8c77</vt:lpwstr>
  </property>
</Properties>
</file>