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4D5C9" w14:textId="730DFB9D" w:rsidR="008802A4" w:rsidRPr="00B85D03" w:rsidRDefault="00B85D03" w:rsidP="0019199A">
      <w:pPr>
        <w:jc w:val="center"/>
        <w:rPr>
          <w:rFonts w:ascii="Times New Roman" w:hAnsi="Times New Roman" w:cs="Times New Roman"/>
          <w:b/>
          <w:sz w:val="28"/>
          <w:szCs w:val="28"/>
        </w:rPr>
      </w:pPr>
      <w:r w:rsidRPr="00B85D03">
        <w:rPr>
          <w:rFonts w:ascii="Times New Roman" w:hAnsi="Times New Roman" w:cs="Times New Roman"/>
          <w:b/>
          <w:sz w:val="28"/>
          <w:szCs w:val="28"/>
        </w:rPr>
        <w:t xml:space="preserve">Inclusive Trade and </w:t>
      </w:r>
      <w:bookmarkStart w:id="0" w:name="_Hlk212536582"/>
      <w:r w:rsidRPr="00B85D03">
        <w:rPr>
          <w:rFonts w:ascii="Times New Roman" w:hAnsi="Times New Roman" w:cs="Times New Roman"/>
          <w:b/>
          <w:sz w:val="28"/>
          <w:szCs w:val="28"/>
        </w:rPr>
        <w:t>Poverty Alleviation</w:t>
      </w:r>
      <w:bookmarkEnd w:id="0"/>
      <w:r w:rsidRPr="00B85D03">
        <w:rPr>
          <w:rFonts w:ascii="Times New Roman" w:hAnsi="Times New Roman" w:cs="Times New Roman"/>
          <w:b/>
          <w:sz w:val="28"/>
          <w:szCs w:val="28"/>
        </w:rPr>
        <w:t>: Building a Just Framework for Global Economic Integration</w:t>
      </w:r>
    </w:p>
    <w:p w14:paraId="16BF6C40" w14:textId="77777777" w:rsidR="0019199A" w:rsidRPr="0001302D" w:rsidRDefault="0019199A" w:rsidP="0019199A">
      <w:pPr>
        <w:rPr>
          <w:rFonts w:ascii="Times New Roman" w:hAnsi="Times New Roman" w:cs="Times New Roman"/>
          <w:b/>
          <w:sz w:val="24"/>
          <w:szCs w:val="24"/>
        </w:rPr>
      </w:pPr>
    </w:p>
    <w:p w14:paraId="2CC5DB3E" w14:textId="77777777" w:rsidR="00AD106C" w:rsidRDefault="00AD106C" w:rsidP="00B85D03">
      <w:pPr>
        <w:pStyle w:val="NormalWeb"/>
        <w:spacing w:before="0" w:beforeAutospacing="0" w:after="0" w:afterAutospacing="0"/>
        <w:jc w:val="both"/>
      </w:pPr>
      <w:r>
        <w:rPr>
          <w:rStyle w:val="Strong"/>
        </w:rPr>
        <w:t>ABSTRACT</w:t>
      </w:r>
    </w:p>
    <w:p w14:paraId="18F9E473" w14:textId="6F808B8D" w:rsidR="00AD106C" w:rsidRPr="00B85D03" w:rsidRDefault="00AD106C" w:rsidP="00B85D03">
      <w:pPr>
        <w:pStyle w:val="NormalWeb"/>
        <w:spacing w:before="0" w:beforeAutospacing="0" w:after="0" w:afterAutospacing="0"/>
        <w:jc w:val="both"/>
        <w:rPr>
          <w:i/>
        </w:rPr>
      </w:pPr>
      <w:r w:rsidRPr="00F56CFB">
        <w:rPr>
          <w:i/>
        </w:rPr>
        <w:t xml:space="preserve">This article develops a policy framework for designing inclusive trade agreements that actively reduce poverty within an increasingly unequal global economy. Drawing on classical and modern trade theories, it argues that while openness raises aggregate income through specialization, productivity, and variety, distributional effects depend on institutional design and implementation. A review of empirical evidence from developing and advanced economies shows that trade can improve welfare for </w:t>
      </w:r>
      <w:r w:rsidR="00444507">
        <w:rPr>
          <w:i/>
        </w:rPr>
        <w:t>low-income groups when tariff reforms target essential goods, when export growth occurs in labor-intensive</w:t>
      </w:r>
      <w:r w:rsidRPr="00F56CFB">
        <w:rPr>
          <w:i/>
        </w:rPr>
        <w:t xml:space="preserve"> sectors, and when small firms can access markets with lower compliance costs. However, existing scholarship rarely connects specific treaty provisions to measurable poverty outcomes. The article pr</w:t>
      </w:r>
      <w:r w:rsidR="00B47F22" w:rsidRPr="00F56CFB">
        <w:rPr>
          <w:i/>
        </w:rPr>
        <w:t xml:space="preserve">oposes a </w:t>
      </w:r>
      <w:r w:rsidR="00444507">
        <w:rPr>
          <w:i/>
        </w:rPr>
        <w:t>four-channel framework covering prices, jobs, entry, and resilience, which are linked to concrete indicators and applied across major agreements,</w:t>
      </w:r>
      <w:r w:rsidRPr="00F56CFB">
        <w:rPr>
          <w:i/>
        </w:rPr>
        <w:t xml:space="preserve"> including </w:t>
      </w:r>
      <w:proofErr w:type="spellStart"/>
      <w:r w:rsidRPr="00F56CFB">
        <w:rPr>
          <w:i/>
        </w:rPr>
        <w:t>AfCFTA</w:t>
      </w:r>
      <w:proofErr w:type="spellEnd"/>
      <w:r w:rsidRPr="00F56CFB">
        <w:rPr>
          <w:i/>
        </w:rPr>
        <w:t xml:space="preserve">, USMCA, and the EU’s GSP+. It concludes that enforceable labor standards, simplified trade procedures, targeted development aid, and </w:t>
      </w:r>
      <w:r w:rsidR="00444507">
        <w:rPr>
          <w:i/>
        </w:rPr>
        <w:t>gender-responsive digital rules can make globalization more equitable when</w:t>
      </w:r>
      <w:r w:rsidRPr="00F56CFB">
        <w:rPr>
          <w:i/>
        </w:rPr>
        <w:t xml:space="preserve"> paired with capacity building and transparent monitoring.</w:t>
      </w:r>
    </w:p>
    <w:p w14:paraId="45BDCCEB" w14:textId="77777777" w:rsidR="00AD106C" w:rsidRPr="0001302D" w:rsidRDefault="00AD106C" w:rsidP="0019199A">
      <w:pPr>
        <w:rPr>
          <w:rFonts w:ascii="Times New Roman" w:hAnsi="Times New Roman" w:cs="Times New Roman"/>
          <w:b/>
          <w:sz w:val="24"/>
          <w:szCs w:val="24"/>
        </w:rPr>
      </w:pPr>
    </w:p>
    <w:p w14:paraId="1D6B359B" w14:textId="6AE08601" w:rsidR="0019199A" w:rsidRPr="00E70E7C" w:rsidRDefault="00444507" w:rsidP="00E70E7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E37C26" w:rsidRPr="00E70E7C">
        <w:rPr>
          <w:rFonts w:ascii="Times New Roman" w:hAnsi="Times New Roman" w:cs="Times New Roman"/>
          <w:b/>
          <w:sz w:val="24"/>
          <w:szCs w:val="24"/>
        </w:rPr>
        <w:t>. INTRODUCTION</w:t>
      </w:r>
    </w:p>
    <w:p w14:paraId="34F433CE" w14:textId="77777777" w:rsidR="00FC03D4" w:rsidRPr="00E70E7C" w:rsidRDefault="00FC03D4" w:rsidP="00E70E7C">
      <w:pPr>
        <w:pStyle w:val="NormalWeb"/>
        <w:spacing w:line="276" w:lineRule="auto"/>
        <w:jc w:val="both"/>
      </w:pPr>
      <w:r w:rsidRPr="00E70E7C">
        <w:t>Global integration has transformed how countries produce, exchange, and learn, yet poverty remains stubborn in many places. Hundreds of millions escaped extreme poverty during the long expansion from the 1990s to the late 2010s, but the recent pace of reduction has slowed as shocks and weaker growth have set in (World Bank, 2024; World Bank, 2025). The World Trade Organization’s latest flagship review underscores that trade can support broad gains when paired with domestic policies that expand participation and manage adjustment, but that many communities and smaller firms have not shared fully in those gains (WTO, 2024a, 2024b). This mixed record motivates a shift in focus from market access alone to the design of agreements that translate access into opportunities for those most at risk of being left behind.</w:t>
      </w:r>
    </w:p>
    <w:p w14:paraId="17743E08" w14:textId="78E4F21F" w:rsidR="00FC03D4" w:rsidRPr="00E70E7C" w:rsidRDefault="00FC03D4" w:rsidP="00E70E7C">
      <w:pPr>
        <w:pStyle w:val="NormalWeb"/>
        <w:spacing w:line="276" w:lineRule="auto"/>
        <w:jc w:val="both"/>
      </w:pPr>
      <w:r w:rsidRPr="00E70E7C">
        <w:t xml:space="preserve">This article uses the term inclusive trade agreements to describe accords that reduce barriers while embedding credible, resourced measures that improve earnings prospects for </w:t>
      </w:r>
      <w:r w:rsidR="009A75C6">
        <w:t>low-income</w:t>
      </w:r>
      <w:r w:rsidRPr="00E70E7C">
        <w:t xml:space="preserve"> workers, micro and small firms, and historically excluded groups. In practice</w:t>
      </w:r>
      <w:r w:rsidR="009A75C6">
        <w:t>, this means market access schedules that lower prices on items that matter in poor households’ budgets and open export prospects for labor-intensive</w:t>
      </w:r>
      <w:r w:rsidRPr="00E70E7C">
        <w:t xml:space="preserve"> producers. It also means rules that cut documentation and compliance costs for small firms, labor provisions that protect the right to organize and to bargain, digital norms that allow secure </w:t>
      </w:r>
      <w:r w:rsidR="009A75C6">
        <w:t>cross-border</w:t>
      </w:r>
      <w:r w:rsidRPr="00E70E7C">
        <w:t xml:space="preserve"> participation by small suppliers, and cooperation and financing commitments that help governments implement these rules. This framing builds on a growing policy agenda that asks trade policy to work with, rather than apart from, social and productivity policies so that more people can benefit from openness (OECD, 2017; WTO, 2024a).</w:t>
      </w:r>
    </w:p>
    <w:p w14:paraId="617C645D" w14:textId="31638FA6" w:rsidR="00FC03D4" w:rsidRPr="00E70E7C" w:rsidRDefault="00FC03D4" w:rsidP="00E70E7C">
      <w:pPr>
        <w:pStyle w:val="NormalWeb"/>
        <w:spacing w:line="276" w:lineRule="auto"/>
        <w:jc w:val="both"/>
      </w:pPr>
      <w:r w:rsidRPr="00E70E7C">
        <w:lastRenderedPageBreak/>
        <w:t xml:space="preserve">The empirical record supports both optimism and caution. </w:t>
      </w:r>
      <w:r w:rsidR="009A75C6">
        <w:t>Cross-country</w:t>
      </w:r>
      <w:r w:rsidRPr="00E70E7C">
        <w:t xml:space="preserve"> studies link openness to faster growth and show that </w:t>
      </w:r>
      <w:r w:rsidR="009A75C6">
        <w:t>the incomes of the poorest households tend to rise one-for-one</w:t>
      </w:r>
      <w:r w:rsidRPr="00E70E7C">
        <w:t xml:space="preserve"> with average income growth when supportive institutions are in place (Dollar &amp; Kraay, 2004). Reviews focused on developing countries find that trade can reduce poverty through lower prices, new jobs, and diffusion of technology, but that outcomes depend on how markets and policies mediate shocks and transitions (Winters et al., 2004). At the same time, research on import competition shows that local labor markets can </w:t>
      </w:r>
      <w:r w:rsidR="009A75C6">
        <w:t>experience long-term adjustments,</w:t>
      </w:r>
      <w:r w:rsidRPr="00E70E7C">
        <w:t xml:space="preserve"> with depressed wages and employment when support and mobility are limited, reminding us that distributional effects are real and persistent (Autor et al., 2013; Goldberg &amp; </w:t>
      </w:r>
      <w:proofErr w:type="spellStart"/>
      <w:r w:rsidRPr="00E70E7C">
        <w:t>Pavcnik</w:t>
      </w:r>
      <w:proofErr w:type="spellEnd"/>
      <w:r w:rsidRPr="00E70E7C">
        <w:t xml:space="preserve">, 2007). Recent World Bank monitoring adds that extreme poverty is increasingly concentrated in fragile and </w:t>
      </w:r>
      <w:r w:rsidR="009A75C6">
        <w:t>conflict-affected</w:t>
      </w:r>
      <w:r w:rsidRPr="00E70E7C">
        <w:t xml:space="preserve"> settings, where the promise of trade is hard to realize without targeted support (World Bank, 2025). The lesson is not that trade fails, but that design and implementation matter for who gains, when, and by how much.</w:t>
      </w:r>
    </w:p>
    <w:p w14:paraId="7C232B1C" w14:textId="7E3B1B60" w:rsidR="00CA396D" w:rsidRPr="00E70E7C" w:rsidRDefault="00444507" w:rsidP="00E70E7C">
      <w:pPr>
        <w:pStyle w:val="NormalWeb"/>
        <w:spacing w:line="276" w:lineRule="auto"/>
        <w:rPr>
          <w:b/>
        </w:rPr>
      </w:pPr>
      <w:r w:rsidRPr="00444507">
        <w:rPr>
          <w:bCs/>
          <w:i/>
          <w:iCs/>
        </w:rPr>
        <w:t>1.1</w:t>
      </w:r>
      <w:r>
        <w:rPr>
          <w:b/>
        </w:rPr>
        <w:t xml:space="preserve"> </w:t>
      </w:r>
      <w:r w:rsidR="00CA396D" w:rsidRPr="00444507">
        <w:rPr>
          <w:bCs/>
          <w:i/>
          <w:iCs/>
        </w:rPr>
        <w:t>Statement of problem and research gap</w:t>
      </w:r>
    </w:p>
    <w:p w14:paraId="6C39BD84" w14:textId="61CCE003" w:rsidR="00FC03D4" w:rsidRPr="00E70E7C" w:rsidRDefault="00FC03D4" w:rsidP="00E70E7C">
      <w:pPr>
        <w:pStyle w:val="NormalWeb"/>
        <w:spacing w:line="276" w:lineRule="auto"/>
        <w:jc w:val="both"/>
      </w:pPr>
      <w:r w:rsidRPr="00E70E7C">
        <w:t>Despite this evidence, most trade agreements still treat inclusion as an aspiration rather than a set of binding, measurable commitments. Traditional texts focus on tariffs, quotas, and nondiscrimination, while the binding constraints for smaller actors often lie behind the border. These include documentary requirements, slow and unpredictable border processes, opaque fees, and standards compliance that small firms cannot afford. The World Trade Organization’s Trade Facilitation Agreement shows that targeted reforms can lower average trade costs by meaningful margins, with relatively larger gains in poorer economies</w:t>
      </w:r>
      <w:r w:rsidR="009A75C6">
        <w:t>. Yet, many</w:t>
      </w:r>
      <w:r w:rsidRPr="00E70E7C">
        <w:t xml:space="preserve"> measures require sustained financing and technical support to reach the smaller end of the firm size distribution (WTO, 2024a). In parallel, the spread of digital trade promises lower search and compliance costs, but only if connectivity, trust services, and interoperable procedures are accessible to small suppliers, including </w:t>
      </w:r>
      <w:r w:rsidR="009A75C6">
        <w:t>women-led</w:t>
      </w:r>
      <w:r w:rsidRPr="00E70E7C">
        <w:t xml:space="preserve"> firms (WTO, 2024a). This gap between the location of the constraints and the focus of treaty obligations is the core design problem.</w:t>
      </w:r>
    </w:p>
    <w:p w14:paraId="7E2863F7" w14:textId="544160A2" w:rsidR="00FC03D4" w:rsidRPr="00E70E7C" w:rsidRDefault="00FC03D4" w:rsidP="00E70E7C">
      <w:pPr>
        <w:pStyle w:val="NormalWeb"/>
        <w:spacing w:line="276" w:lineRule="auto"/>
        <w:jc w:val="both"/>
      </w:pPr>
      <w:r w:rsidRPr="00E70E7C">
        <w:t xml:space="preserve">The research gap follows from this design problem. We have strong evidence on the aggregate gains from trade and a robust literature on distributional effects, but far less causal evidence that links specific treaty provisions to </w:t>
      </w:r>
      <w:r w:rsidR="009A75C6">
        <w:t>poverty-relevant</w:t>
      </w:r>
      <w:r w:rsidRPr="00E70E7C">
        <w:t xml:space="preserve"> outcomes at scale. For example, there is growing experience with labor chapters and targeted enforcement that improves workplace rights at </w:t>
      </w:r>
      <w:r w:rsidR="009A75C6" w:rsidRPr="00E70E7C">
        <w:t>facilities</w:t>
      </w:r>
      <w:r w:rsidR="009A75C6">
        <w:t>. However, systematic</w:t>
      </w:r>
      <w:r w:rsidRPr="00E70E7C">
        <w:t xml:space="preserve"> estimates of </w:t>
      </w:r>
      <w:r w:rsidR="009A75C6">
        <w:t>longer-run</w:t>
      </w:r>
      <w:r w:rsidRPr="00E70E7C">
        <w:t xml:space="preserve"> wage effects and unionization dynamics across sectors remain limited. We also know that simplified rules of origin, </w:t>
      </w:r>
      <w:r w:rsidR="009A75C6">
        <w:t>self-certification</w:t>
      </w:r>
      <w:r w:rsidRPr="00E70E7C">
        <w:t xml:space="preserve">, and </w:t>
      </w:r>
      <w:r w:rsidR="009A75C6">
        <w:t>single-window systems reduce fixed costs. However, evaluations of</w:t>
      </w:r>
      <w:r w:rsidRPr="00E70E7C">
        <w:t xml:space="preserve"> how these measures shift entry and survival for micro and informal firms are scarce. On the digital side, there is </w:t>
      </w:r>
      <w:r w:rsidR="009A75C6">
        <w:t>a policy agreement that recognition of electronic signatures and interoperable customs data helps small exporters. Nevertheless, we lack consistent instrumentation to measure</w:t>
      </w:r>
      <w:r w:rsidRPr="00E70E7C">
        <w:t xml:space="preserve"> how these provisions affect participation and incomes among the most vulnerable groups. Finally, there is little work on resilience features </w:t>
      </w:r>
      <w:r w:rsidR="009A75C6">
        <w:t>within</w:t>
      </w:r>
      <w:r w:rsidRPr="00E70E7C">
        <w:t xml:space="preserve"> agreements that protect the poorest exporters when global conditions </w:t>
      </w:r>
      <w:r w:rsidRPr="00E70E7C">
        <w:lastRenderedPageBreak/>
        <w:t>change, for instance</w:t>
      </w:r>
      <w:r w:rsidR="009A75C6">
        <w:t>,</w:t>
      </w:r>
      <w:r w:rsidRPr="00E70E7C">
        <w:t xml:space="preserve"> when sudden tariff uncertainty elsewhere threatens preference margins or supply chain access.</w:t>
      </w:r>
    </w:p>
    <w:p w14:paraId="23920079" w14:textId="78A098DF" w:rsidR="00CA396D" w:rsidRPr="008F3F91" w:rsidRDefault="00FC03D4" w:rsidP="00E70E7C">
      <w:pPr>
        <w:pStyle w:val="NormalWeb"/>
        <w:spacing w:line="276" w:lineRule="auto"/>
        <w:jc w:val="both"/>
      </w:pPr>
      <w:r w:rsidRPr="00E70E7C">
        <w:t xml:space="preserve">The </w:t>
      </w:r>
      <w:r w:rsidR="00E37C26" w:rsidRPr="00E70E7C">
        <w:t>central argument</w:t>
      </w:r>
      <w:r w:rsidRPr="00E70E7C">
        <w:t xml:space="preserve"> of this article is that trade agreements can be designed to </w:t>
      </w:r>
      <w:r w:rsidR="009A75C6">
        <w:t>actively reduce poverty by moving inclusion from aspiration to enforceable</w:t>
      </w:r>
      <w:r w:rsidRPr="00E70E7C">
        <w:t xml:space="preserve"> architecture. First, tariff schedules can prioritize products with high weights in poor households’ consumption baskets and inputs used by small producers</w:t>
      </w:r>
      <w:r w:rsidR="009A75C6">
        <w:t>. At the same time,</w:t>
      </w:r>
      <w:r w:rsidRPr="00E70E7C">
        <w:t xml:space="preserve"> standstill and transparency clauses preserve predictability that fosters investment by small firms. Second, </w:t>
      </w:r>
      <w:r w:rsidR="009A75C6">
        <w:t>facility-level</w:t>
      </w:r>
      <w:r w:rsidRPr="00E70E7C">
        <w:t xml:space="preserve"> labor commitments with swift remedies can strengthen </w:t>
      </w:r>
      <w:r w:rsidR="009A75C6">
        <w:t>workers' bargaining position in sectors where low wages are common, provided they are paired with capacity-building</w:t>
      </w:r>
      <w:r w:rsidRPr="00E70E7C">
        <w:t xml:space="preserve"> for inspectors and worker organizations. Third, trade facilitation and standards chapters can be written with the smallest traders in mind by simplifying origin rules, requiring transparent</w:t>
      </w:r>
      <w:r w:rsidR="009A75C6">
        <w:t>, electronic procedures, and recognizing conformity assessments that reduce</w:t>
      </w:r>
      <w:r w:rsidRPr="00E70E7C">
        <w:t xml:space="preserve"> duplicative costs. Fourth, digital trade provisions can require recognition of electronic signatures and invoicing and commit parties to interoperable systems that lower entry costs, while cooperation chapters fund connectivity and skills for firms that would otherwise be excluded. Fifth, development cooperation can be tied to measurable milestones such as reductions in border dwell time or increases in the number of </w:t>
      </w:r>
      <w:r w:rsidR="009A75C6">
        <w:t>first-time</w:t>
      </w:r>
      <w:r w:rsidRPr="00E70E7C">
        <w:t xml:space="preserve"> small exporters. Together, these elements </w:t>
      </w:r>
      <w:r w:rsidR="009A75C6">
        <w:t>form a tool for pro-poor</w:t>
      </w:r>
      <w:r w:rsidRPr="00E70E7C">
        <w:t xml:space="preserve"> growth rather than a neutral framework that leaves inclusion to chance.</w:t>
      </w:r>
    </w:p>
    <w:p w14:paraId="40E15160" w14:textId="61B21DCA" w:rsidR="00FC03D4" w:rsidRPr="00E70E7C" w:rsidRDefault="00444507" w:rsidP="00E70E7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E37C26" w:rsidRPr="00E70E7C">
        <w:rPr>
          <w:rFonts w:ascii="Times New Roman" w:hAnsi="Times New Roman" w:cs="Times New Roman"/>
          <w:b/>
          <w:sz w:val="24"/>
          <w:szCs w:val="24"/>
        </w:rPr>
        <w:t>.  CONCEPTUAL FOUNDATIONS AND REVIEW</w:t>
      </w:r>
    </w:p>
    <w:p w14:paraId="1EFBA8F8" w14:textId="1A2F760B" w:rsidR="004E5259" w:rsidRPr="00444507" w:rsidRDefault="00444507" w:rsidP="00E70E7C">
      <w:pPr>
        <w:pStyle w:val="Heading2"/>
        <w:spacing w:line="276" w:lineRule="auto"/>
        <w:jc w:val="both"/>
        <w:rPr>
          <w:b w:val="0"/>
          <w:bCs w:val="0"/>
          <w:i/>
          <w:iCs/>
          <w:sz w:val="24"/>
          <w:szCs w:val="24"/>
        </w:rPr>
      </w:pPr>
      <w:r w:rsidRPr="00444507">
        <w:rPr>
          <w:b w:val="0"/>
          <w:bCs w:val="0"/>
          <w:i/>
          <w:iCs/>
          <w:sz w:val="24"/>
          <w:szCs w:val="24"/>
        </w:rPr>
        <w:t xml:space="preserve">2.1 </w:t>
      </w:r>
      <w:r w:rsidR="004E5259" w:rsidRPr="00444507">
        <w:rPr>
          <w:b w:val="0"/>
          <w:bCs w:val="0"/>
          <w:i/>
          <w:iCs/>
          <w:sz w:val="24"/>
          <w:szCs w:val="24"/>
        </w:rPr>
        <w:t>Trade, Growth, and Distribution Theories</w:t>
      </w:r>
    </w:p>
    <w:p w14:paraId="378DE472" w14:textId="719DED41" w:rsidR="004E5259" w:rsidRPr="00E70E7C" w:rsidRDefault="004E5259" w:rsidP="00E70E7C">
      <w:pPr>
        <w:pStyle w:val="NormalWeb"/>
        <w:spacing w:line="276" w:lineRule="auto"/>
        <w:jc w:val="both"/>
      </w:pPr>
      <w:r w:rsidRPr="00E70E7C">
        <w:t xml:space="preserve">Classical trade theory starts from a clear claim. When countries specialize according to relative costs and exchange with one another, total income rises. Ricardo formalized this as comparative advantage and showed that even less productive countries can gain </w:t>
      </w:r>
      <w:r w:rsidR="009A75C6">
        <w:t>by focusing</w:t>
      </w:r>
      <w:r w:rsidRPr="00E70E7C">
        <w:t xml:space="preserve"> on what they produce at the lowest </w:t>
      </w:r>
      <w:r w:rsidR="00D35EAB">
        <w:t xml:space="preserve">opportunity cost (Ricardo, 1817, </w:t>
      </w:r>
      <w:r w:rsidRPr="00E70E7C">
        <w:t xml:space="preserve">2004). Later advances linked trade patterns to factor endowments. The </w:t>
      </w:r>
      <w:r w:rsidR="009A75C6">
        <w:t>Heckscher-Ohlin framework predicts that a country exports goods that use its abundant factor and imports goods that use its scarce factor, while the Stolper-Samuelson</w:t>
      </w:r>
      <w:r w:rsidRPr="00E70E7C">
        <w:t xml:space="preserve"> theorem explains why openness can lower the real return to a scarce factor even as the nation gains overall (Stolper &amp; Samuelson, 1941). Distribution is therefore central to policy debates about openness.</w:t>
      </w:r>
    </w:p>
    <w:p w14:paraId="5981C5A6" w14:textId="0D4FD7E0" w:rsidR="004E5259" w:rsidRPr="00E70E7C" w:rsidRDefault="004E5259" w:rsidP="00E70E7C">
      <w:pPr>
        <w:pStyle w:val="NormalWeb"/>
        <w:spacing w:line="276" w:lineRule="auto"/>
        <w:jc w:val="both"/>
      </w:pPr>
      <w:r w:rsidRPr="00E70E7C">
        <w:t>Modern theory adds two elements that matter for inclusion. New trade models with increasing returns and product variety explain large trade flows among similar countries and identify gains from scale and choice that extend beyond classic specialization (Krugman, 1980). The heterogeneous firm revolution shows that exposure to trade reallocates activity toward more productive firms. Only firms above a productivity threshold can cover fixed export costs, so lower trade costs raise average productivity but can also displace workers in less productive plants (Melitz, 2003). Together</w:t>
      </w:r>
      <w:r w:rsidR="009A75C6">
        <w:t>,</w:t>
      </w:r>
      <w:r w:rsidRPr="00E70E7C">
        <w:t xml:space="preserve"> these strands imply higher average income from specialization, variety, and reallocation, but uneven effects across factors, sectors, and places.</w:t>
      </w:r>
    </w:p>
    <w:p w14:paraId="62886225" w14:textId="77777777" w:rsidR="004E5259" w:rsidRPr="00E70E7C" w:rsidRDefault="004E5259" w:rsidP="00E70E7C">
      <w:pPr>
        <w:pStyle w:val="NormalWeb"/>
        <w:spacing w:line="276" w:lineRule="auto"/>
        <w:jc w:val="both"/>
      </w:pPr>
      <w:r w:rsidRPr="00E70E7C">
        <w:lastRenderedPageBreak/>
        <w:t>These results guide this article. They highlight the channels through which trade affects poor households: prices of goods in the consumption basket, labor demand in tradable activities, and the ability of small firms to enter markets. They also warn that adjustment can be slow and costly when mobility is limited or when rules and administration create fixed costs that only large firms can pay.</w:t>
      </w:r>
    </w:p>
    <w:p w14:paraId="252A146A" w14:textId="6BE9A38B" w:rsidR="004E5259" w:rsidRPr="00E70E7C" w:rsidRDefault="00444507" w:rsidP="00E70E7C">
      <w:pPr>
        <w:pStyle w:val="Heading2"/>
        <w:spacing w:line="276" w:lineRule="auto"/>
        <w:jc w:val="both"/>
        <w:rPr>
          <w:sz w:val="24"/>
          <w:szCs w:val="24"/>
        </w:rPr>
      </w:pPr>
      <w:r w:rsidRPr="00444507">
        <w:rPr>
          <w:b w:val="0"/>
          <w:bCs w:val="0"/>
          <w:i/>
          <w:iCs/>
          <w:sz w:val="24"/>
          <w:szCs w:val="24"/>
        </w:rPr>
        <w:t>2.2</w:t>
      </w:r>
      <w:r>
        <w:rPr>
          <w:sz w:val="24"/>
          <w:szCs w:val="24"/>
        </w:rPr>
        <w:t xml:space="preserve"> </w:t>
      </w:r>
      <w:r w:rsidR="004E5259" w:rsidRPr="00444507">
        <w:rPr>
          <w:b w:val="0"/>
          <w:bCs w:val="0"/>
          <w:i/>
          <w:iCs/>
          <w:sz w:val="24"/>
          <w:szCs w:val="24"/>
        </w:rPr>
        <w:t>Inclusive Growth and Development Economics</w:t>
      </w:r>
    </w:p>
    <w:p w14:paraId="5A5DDA5B" w14:textId="09D3D829" w:rsidR="004E5259" w:rsidRPr="00E70E7C" w:rsidRDefault="004E5259" w:rsidP="00E70E7C">
      <w:pPr>
        <w:pStyle w:val="NormalWeb"/>
        <w:spacing w:line="276" w:lineRule="auto"/>
        <w:jc w:val="both"/>
      </w:pPr>
      <w:r w:rsidRPr="00E70E7C">
        <w:t xml:space="preserve">Development research links openness to higher income through technology diffusion, access to imported capital goods, improvements in management, and larger markets for innovators. </w:t>
      </w:r>
      <w:r w:rsidR="009A75C6">
        <w:t>Cross-country evidence that addresses endogeneity with geography-based</w:t>
      </w:r>
      <w:r w:rsidRPr="00E70E7C">
        <w:t xml:space="preserve"> instruments suggests that trade causes growth rather than simply correlating with it (Frankel &amp; Romer, 1999). </w:t>
      </w:r>
      <w:r w:rsidR="009A75C6">
        <w:t>Nevertheless,</w:t>
      </w:r>
      <w:r w:rsidRPr="00E70E7C">
        <w:t xml:space="preserve"> the size and spread of gains depend on institutions and complementary policies. Where education, finance, and safety nets are weak, exposure to world markets can widen gaps between those who can grasp new opportunities and those who cannot (Goldberg &amp; </w:t>
      </w:r>
      <w:proofErr w:type="spellStart"/>
      <w:r w:rsidRPr="00E70E7C">
        <w:t>Pavcnik</w:t>
      </w:r>
      <w:proofErr w:type="spellEnd"/>
      <w:r w:rsidRPr="00E70E7C">
        <w:t>, 2007).</w:t>
      </w:r>
    </w:p>
    <w:p w14:paraId="5D8EC992" w14:textId="4CC51EB5" w:rsidR="004E5259" w:rsidRPr="00444507" w:rsidRDefault="004E5259" w:rsidP="00E70E7C">
      <w:pPr>
        <w:pStyle w:val="NormalWeb"/>
        <w:spacing w:line="276" w:lineRule="auto"/>
        <w:jc w:val="both"/>
      </w:pPr>
      <w:r w:rsidRPr="00E70E7C">
        <w:t xml:space="preserve">An inclusive growth lens turns these insights into a practical checklist. Three channels matter most. The price channel raises real income when tariffs and </w:t>
      </w:r>
      <w:r w:rsidR="009A75C6">
        <w:t>non-tariff</w:t>
      </w:r>
      <w:r w:rsidRPr="00E70E7C">
        <w:t xml:space="preserve"> barriers fall on items that poor households buy. The </w:t>
      </w:r>
      <w:r w:rsidR="009A75C6">
        <w:t>jobs-and-earnings</w:t>
      </w:r>
      <w:r w:rsidRPr="00E70E7C">
        <w:t xml:space="preserve"> channel raises wages when exports expand in sectors that employ </w:t>
      </w:r>
      <w:r w:rsidR="009A75C6">
        <w:t>low-skilled</w:t>
      </w:r>
      <w:r w:rsidRPr="00E70E7C">
        <w:t xml:space="preserve"> workers. The entry channel opens opportunities when reforms </w:t>
      </w:r>
      <w:r w:rsidR="009A75C6">
        <w:t>reduce documentation, certification, and logistics costs, enabling micro and small firms to</w:t>
      </w:r>
      <w:r w:rsidRPr="00E70E7C">
        <w:t xml:space="preserve"> join supply chains. Trade facilitation is central because simpler procedures and faster clearance reduce fixed costs that otherwise exclude small and informal traders (Anderson &amp; van </w:t>
      </w:r>
      <w:proofErr w:type="spellStart"/>
      <w:r w:rsidRPr="00E70E7C">
        <w:t>Wincoop</w:t>
      </w:r>
      <w:proofErr w:type="spellEnd"/>
      <w:r w:rsidRPr="00E70E7C">
        <w:t xml:space="preserve">, 2004; </w:t>
      </w:r>
      <w:proofErr w:type="spellStart"/>
      <w:r w:rsidRPr="00E70E7C">
        <w:t>Djankov</w:t>
      </w:r>
      <w:proofErr w:type="spellEnd"/>
      <w:r w:rsidRPr="00E70E7C">
        <w:t xml:space="preserve"> et al., 2010). These channels map directly to treaty design. </w:t>
      </w:r>
      <w:r w:rsidR="009A75C6">
        <w:t>Self-certified and straightforward</w:t>
      </w:r>
      <w:r w:rsidRPr="00E70E7C">
        <w:t xml:space="preserve"> rules of origin, enforceable labor rights, and interoperable digital procedures are not abstract ideals. </w:t>
      </w:r>
      <w:r w:rsidRPr="00444507">
        <w:t>They are choices that determine whether openness reaches those most at risk of exclusion.</w:t>
      </w:r>
    </w:p>
    <w:p w14:paraId="49D7D130" w14:textId="1BE7262B" w:rsidR="004E5259" w:rsidRPr="00444507" w:rsidRDefault="00444507" w:rsidP="00E70E7C">
      <w:pPr>
        <w:pStyle w:val="Heading2"/>
        <w:spacing w:line="276" w:lineRule="auto"/>
        <w:jc w:val="both"/>
        <w:rPr>
          <w:b w:val="0"/>
          <w:bCs w:val="0"/>
          <w:i/>
          <w:iCs/>
          <w:sz w:val="24"/>
          <w:szCs w:val="24"/>
        </w:rPr>
      </w:pPr>
      <w:r w:rsidRPr="00444507">
        <w:rPr>
          <w:b w:val="0"/>
          <w:bCs w:val="0"/>
          <w:i/>
          <w:iCs/>
          <w:sz w:val="24"/>
          <w:szCs w:val="24"/>
        </w:rPr>
        <w:t xml:space="preserve">2.3 </w:t>
      </w:r>
      <w:r w:rsidR="004E5259" w:rsidRPr="00444507">
        <w:rPr>
          <w:b w:val="0"/>
          <w:bCs w:val="0"/>
          <w:i/>
          <w:iCs/>
          <w:sz w:val="24"/>
          <w:szCs w:val="24"/>
        </w:rPr>
        <w:t>Empirical Evidence Review</w:t>
      </w:r>
    </w:p>
    <w:p w14:paraId="7780EE88" w14:textId="18D70CE4" w:rsidR="004E5259" w:rsidRPr="00E70E7C" w:rsidRDefault="004E5259" w:rsidP="00E70E7C">
      <w:pPr>
        <w:pStyle w:val="NormalWeb"/>
        <w:spacing w:line="276" w:lineRule="auto"/>
        <w:jc w:val="both"/>
      </w:pPr>
      <w:r w:rsidRPr="00E70E7C">
        <w:t>Evidence from many settings shows that trade can reduce poverty while also generating local strains that require policy support. At the macro level, greater trade is associated with higher income</w:t>
      </w:r>
      <w:r w:rsidR="009A75C6">
        <w:t>, according to</w:t>
      </w:r>
      <w:r w:rsidRPr="00E70E7C">
        <w:t xml:space="preserve"> research that carefully isolates causality (Frankel &amp; Romer, 1999). At the firm and sector level, cheaper imported inputs raise productivity and wages downstream, as shown in Indonesian manufacturing following major reforms (</w:t>
      </w:r>
      <w:proofErr w:type="spellStart"/>
      <w:r w:rsidRPr="00E70E7C">
        <w:t>Amiti</w:t>
      </w:r>
      <w:proofErr w:type="spellEnd"/>
      <w:r w:rsidRPr="00E70E7C">
        <w:t xml:space="preserve"> &amp; </w:t>
      </w:r>
      <w:proofErr w:type="spellStart"/>
      <w:r w:rsidRPr="00E70E7C">
        <w:t>Konings</w:t>
      </w:r>
      <w:proofErr w:type="spellEnd"/>
      <w:r w:rsidRPr="00E70E7C">
        <w:t>, 2007).</w:t>
      </w:r>
    </w:p>
    <w:p w14:paraId="284BDE47" w14:textId="1849690B" w:rsidR="004E5259" w:rsidRPr="00E70E7C" w:rsidRDefault="004E5259" w:rsidP="00E70E7C">
      <w:pPr>
        <w:pStyle w:val="NormalWeb"/>
        <w:spacing w:line="276" w:lineRule="auto"/>
        <w:jc w:val="both"/>
      </w:pPr>
      <w:r w:rsidRPr="00E70E7C">
        <w:t xml:space="preserve">Household studies trace price and wage channels. In Argentina, tariff </w:t>
      </w:r>
      <w:r w:rsidR="009A75C6">
        <w:t>reductions in the nineties lowered consumer prices and raised real wages, with stronger effects for poorer households and variation across regions</w:t>
      </w:r>
      <w:r w:rsidRPr="00E70E7C">
        <w:t xml:space="preserve"> and exposure (Porto, 2006). In Mexico, </w:t>
      </w:r>
      <w:r w:rsidR="009A75C6">
        <w:t>post-integration price declines across the basket produced pro-poor gains through the consumption channel,</w:t>
      </w:r>
      <w:r w:rsidRPr="00E70E7C">
        <w:t xml:space="preserve"> even as some producers faced tougher competition (Nicita, 2009). In Vietnam, export growth associated with deeper integration was linked to </w:t>
      </w:r>
      <w:r w:rsidR="009A75C6">
        <w:t>significant</w:t>
      </w:r>
      <w:r w:rsidRPr="00E70E7C">
        <w:t xml:space="preserve"> reductions in provincial poverty, consistent with rising </w:t>
      </w:r>
      <w:r w:rsidR="009A75C6">
        <w:lastRenderedPageBreak/>
        <w:t>labor demand in export</w:t>
      </w:r>
      <w:r w:rsidRPr="00E70E7C">
        <w:t xml:space="preserve"> activities (McCaig, 2011). When the structure of reform matches the spending patterns and job opportunities of the poor, the poverty effect can be sizable.</w:t>
      </w:r>
    </w:p>
    <w:p w14:paraId="019B21D6" w14:textId="0C911E7E" w:rsidR="004E5259" w:rsidRPr="00E70E7C" w:rsidRDefault="004E5259" w:rsidP="00E70E7C">
      <w:pPr>
        <w:pStyle w:val="NormalWeb"/>
        <w:spacing w:line="276" w:lineRule="auto"/>
        <w:jc w:val="both"/>
      </w:pPr>
      <w:r w:rsidRPr="00E70E7C">
        <w:t>Distributional studies in advanced economies document significant adjustment costs. In the United States, commuting zones more exposed to import competition from China experienced lasting declines in employment and wages and increases in social strain, even though the national economy gained from lower prices and higher efficiency (Autor et al., 2013). In the Canada</w:t>
      </w:r>
      <w:r w:rsidR="009A75C6">
        <w:t>-United States episode, productivity rose strongly among surviving plants, but job losses were concentrated in less productive firms, underscoring</w:t>
      </w:r>
      <w:r w:rsidRPr="00E70E7C">
        <w:t xml:space="preserve"> the need for policies that help workers adjust (</w:t>
      </w:r>
      <w:proofErr w:type="spellStart"/>
      <w:r w:rsidRPr="00E70E7C">
        <w:t>Trefler</w:t>
      </w:r>
      <w:proofErr w:type="spellEnd"/>
      <w:r w:rsidRPr="00E70E7C">
        <w:t>, 2004). In India, districts more exposed to tariff cuts saw slower poverty reduction where labor was less mobile, highlighting the role of complementary policies during transition (</w:t>
      </w:r>
      <w:proofErr w:type="spellStart"/>
      <w:r w:rsidRPr="00E70E7C">
        <w:t>Topalova</w:t>
      </w:r>
      <w:proofErr w:type="spellEnd"/>
      <w:r w:rsidRPr="00E70E7C">
        <w:t>, 2010).</w:t>
      </w:r>
    </w:p>
    <w:p w14:paraId="376DD2A1" w14:textId="1BF0F30A" w:rsidR="004E5259" w:rsidRPr="00E70E7C" w:rsidRDefault="004E5259" w:rsidP="00E70E7C">
      <w:pPr>
        <w:pStyle w:val="NormalWeb"/>
        <w:spacing w:line="276" w:lineRule="auto"/>
        <w:jc w:val="both"/>
      </w:pPr>
      <w:r w:rsidRPr="00E70E7C">
        <w:t xml:space="preserve">Microdata connect theory to worker outcomes within firms. Models that combine worker search with firm heterogeneity predict wider wage dispersion after trade reforms because </w:t>
      </w:r>
      <w:r w:rsidR="008F3F91">
        <w:t>high-productivity exporters pay higher wages</w:t>
      </w:r>
      <w:r w:rsidRPr="00E70E7C">
        <w:t xml:space="preserve"> and attract the best matches (</w:t>
      </w:r>
      <w:proofErr w:type="spellStart"/>
      <w:r w:rsidRPr="00E70E7C">
        <w:t>Helpman</w:t>
      </w:r>
      <w:proofErr w:type="spellEnd"/>
      <w:r w:rsidRPr="00E70E7C">
        <w:t xml:space="preserve"> et al., 2010). Linked </w:t>
      </w:r>
      <w:r w:rsidR="008F3F91">
        <w:t xml:space="preserve">employer-employee data from Denmark show that workers who move to exporters gain, but many cannot move quickly due to skills or location constraints </w:t>
      </w:r>
      <w:r w:rsidRPr="00E70E7C">
        <w:t>(Hummels et al., 201</w:t>
      </w:r>
      <w:r w:rsidR="00C44993">
        <w:t>5</w:t>
      </w:r>
      <w:r w:rsidRPr="00E70E7C">
        <w:t>). For poverty policy</w:t>
      </w:r>
      <w:r w:rsidR="008F3F91">
        <w:t>,</w:t>
      </w:r>
      <w:r w:rsidRPr="00E70E7C">
        <w:t xml:space="preserve"> the message is clear. Trade can lift average wages and productivity, but who benefits depends on access to better jobs and on whether small firms can meet the rules and costs of participation.</w:t>
      </w:r>
    </w:p>
    <w:p w14:paraId="0B3633B3" w14:textId="198E92C2" w:rsidR="004E5259" w:rsidRPr="00E70E7C" w:rsidRDefault="004E5259" w:rsidP="00E70E7C">
      <w:pPr>
        <w:pStyle w:val="NormalWeb"/>
        <w:spacing w:line="276" w:lineRule="auto"/>
        <w:jc w:val="both"/>
      </w:pPr>
      <w:r w:rsidRPr="00E70E7C">
        <w:t xml:space="preserve">A </w:t>
      </w:r>
      <w:r w:rsidR="008F3F91">
        <w:t>typical</w:t>
      </w:r>
      <w:r w:rsidRPr="00E70E7C">
        <w:t xml:space="preserve"> pattern emerges. Trade reduces poverty </w:t>
      </w:r>
      <w:r w:rsidR="008F3F91">
        <w:t>by lowering the prices of essentials, raising labor demand in sectors that hire the poor, and easing</w:t>
      </w:r>
      <w:r w:rsidRPr="00E70E7C">
        <w:t xml:space="preserve"> entry for small producers. Adjustment can be slow and painful in places with low mobility and in sectors where compliance costs </w:t>
      </w:r>
      <w:r w:rsidR="008F3F91">
        <w:t>keep small firms out of</w:t>
      </w:r>
      <w:r w:rsidRPr="00E70E7C">
        <w:t xml:space="preserve"> formal markets. Treaty design can make </w:t>
      </w:r>
      <w:r w:rsidR="008F3F91">
        <w:t>a</w:t>
      </w:r>
      <w:r w:rsidRPr="00E70E7C">
        <w:t xml:space="preserve"> </w:t>
      </w:r>
      <w:r w:rsidR="008F3F91">
        <w:t>visible difference</w:t>
      </w:r>
      <w:r w:rsidRPr="00E70E7C">
        <w:t>.</w:t>
      </w:r>
    </w:p>
    <w:p w14:paraId="396A045D" w14:textId="02BE8AAC" w:rsidR="004E5259"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2.4 </w:t>
      </w:r>
      <w:r w:rsidR="004E5259" w:rsidRPr="00D416BA">
        <w:rPr>
          <w:b w:val="0"/>
          <w:bCs w:val="0"/>
          <w:i/>
          <w:iCs/>
          <w:sz w:val="24"/>
          <w:szCs w:val="24"/>
        </w:rPr>
        <w:t>Identified Gaps in Current Scholarship</w:t>
      </w:r>
    </w:p>
    <w:p w14:paraId="33362F50" w14:textId="2AE0DE35" w:rsidR="00432049" w:rsidRPr="00E70E7C" w:rsidRDefault="00432049" w:rsidP="00E70E7C">
      <w:pPr>
        <w:pStyle w:val="Heading2"/>
        <w:spacing w:line="276" w:lineRule="auto"/>
        <w:jc w:val="both"/>
        <w:rPr>
          <w:b w:val="0"/>
          <w:sz w:val="24"/>
          <w:szCs w:val="24"/>
        </w:rPr>
      </w:pPr>
      <w:r w:rsidRPr="00E70E7C">
        <w:rPr>
          <w:b w:val="0"/>
          <w:sz w:val="24"/>
          <w:szCs w:val="24"/>
        </w:rPr>
        <w:t xml:space="preserve">Evidence on how specific treaty clauses change poverty at scale is thin. Four gaps dominate. First, labor chapters now allow </w:t>
      </w:r>
      <w:r w:rsidR="008F3F91">
        <w:rPr>
          <w:b w:val="0"/>
          <w:sz w:val="24"/>
          <w:szCs w:val="24"/>
        </w:rPr>
        <w:t>case-level enforcement in some accords, but we lack rigorous estimates of longer-run</w:t>
      </w:r>
      <w:r w:rsidRPr="00E70E7C">
        <w:rPr>
          <w:b w:val="0"/>
          <w:sz w:val="24"/>
          <w:szCs w:val="24"/>
        </w:rPr>
        <w:t xml:space="preserve"> effects on wages, informality, and job quality across sectors. Second, despite claims that simple origin rules, </w:t>
      </w:r>
      <w:r w:rsidR="008F3F91">
        <w:rPr>
          <w:b w:val="0"/>
          <w:sz w:val="24"/>
          <w:szCs w:val="24"/>
        </w:rPr>
        <w:t>self-certification, and electronic single windows reduce fixed costs, few evaluations track the entry and survival of micro and small firms, or the share of women-led</w:t>
      </w:r>
      <w:r w:rsidRPr="00E70E7C">
        <w:rPr>
          <w:b w:val="0"/>
          <w:sz w:val="24"/>
          <w:szCs w:val="24"/>
        </w:rPr>
        <w:t xml:space="preserve"> enterprises that benefit. Third, digital provisions that recognize electronic signatures and interoperable invoicing are rarely assessed for adoption and impact, especially among firms constrained by finance and connectivity. Fourth, resilience tools such as transparent safeguards, standstill clauses, and stabilization funds remain </w:t>
      </w:r>
      <w:r w:rsidR="008F3F91">
        <w:rPr>
          <w:b w:val="0"/>
          <w:sz w:val="24"/>
          <w:szCs w:val="24"/>
        </w:rPr>
        <w:t>understudied</w:t>
      </w:r>
      <w:r w:rsidRPr="00E70E7C">
        <w:rPr>
          <w:b w:val="0"/>
          <w:sz w:val="24"/>
          <w:szCs w:val="24"/>
        </w:rPr>
        <w:t>.</w:t>
      </w:r>
    </w:p>
    <w:p w14:paraId="6DD5AF5E" w14:textId="5A6F2BC2" w:rsidR="008F4CA5" w:rsidRPr="00E70E7C" w:rsidRDefault="00D416BA" w:rsidP="00E70E7C">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C1DC7" w:rsidRPr="00E70E7C">
        <w:rPr>
          <w:rFonts w:ascii="Times New Roman" w:eastAsia="Times New Roman" w:hAnsi="Times New Roman" w:cs="Times New Roman"/>
          <w:b/>
          <w:sz w:val="24"/>
          <w:szCs w:val="24"/>
        </w:rPr>
        <w:t xml:space="preserve">. </w:t>
      </w:r>
      <w:r w:rsidR="00CC1DC7" w:rsidRPr="00E70E7C">
        <w:rPr>
          <w:rFonts w:ascii="Times New Roman" w:hAnsi="Times New Roman" w:cs="Times New Roman"/>
          <w:b/>
          <w:sz w:val="24"/>
          <w:szCs w:val="24"/>
        </w:rPr>
        <w:t>MECHANISMS OF INCLUSION IN TRADE AGREEMENTS</w:t>
      </w:r>
    </w:p>
    <w:p w14:paraId="39B59738" w14:textId="7C007128"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3.1 </w:t>
      </w:r>
      <w:r w:rsidR="008B65FB" w:rsidRPr="00D416BA">
        <w:rPr>
          <w:b w:val="0"/>
          <w:bCs w:val="0"/>
          <w:i/>
          <w:iCs/>
          <w:sz w:val="24"/>
          <w:szCs w:val="24"/>
        </w:rPr>
        <w:t xml:space="preserve">Tariff Reduction and Predictability for </w:t>
      </w:r>
      <w:r w:rsidR="008F3F91" w:rsidRPr="00D416BA">
        <w:rPr>
          <w:b w:val="0"/>
          <w:bCs w:val="0"/>
          <w:i/>
          <w:iCs/>
          <w:sz w:val="24"/>
          <w:szCs w:val="24"/>
        </w:rPr>
        <w:t>Low-Income</w:t>
      </w:r>
      <w:r w:rsidR="008B65FB" w:rsidRPr="00D416BA">
        <w:rPr>
          <w:b w:val="0"/>
          <w:bCs w:val="0"/>
          <w:i/>
          <w:iCs/>
          <w:sz w:val="24"/>
          <w:szCs w:val="24"/>
        </w:rPr>
        <w:t xml:space="preserve"> Households</w:t>
      </w:r>
    </w:p>
    <w:p w14:paraId="067712BE" w14:textId="7E0D902B" w:rsidR="008B65FB" w:rsidRPr="00E70E7C" w:rsidRDefault="008B65FB" w:rsidP="00E70E7C">
      <w:pPr>
        <w:pStyle w:val="NormalWeb"/>
        <w:spacing w:line="276" w:lineRule="auto"/>
        <w:jc w:val="both"/>
      </w:pPr>
      <w:r w:rsidRPr="00E70E7C">
        <w:lastRenderedPageBreak/>
        <w:t xml:space="preserve">Tariff schedules matter for poor households through two channels. The first is the price of what they buy. The second is the stability that enables small producers to plan and invest. When tariffs fall on basic foods, clothing, light manufactures, and </w:t>
      </w:r>
      <w:r w:rsidR="008F3F91">
        <w:t>energy-related inputs, the prices of items with large weights in the consumption baskets of low-income</w:t>
      </w:r>
      <w:r w:rsidRPr="00E70E7C">
        <w:t xml:space="preserve"> families decline. Studies across regions show that such price effects are real when reforms are broad and persistent. In Mexico, tariff reductions after deeper integration with North America translated into lower consumer prices that were </w:t>
      </w:r>
      <w:r w:rsidR="008F3F91">
        <w:t>pro-poor</w:t>
      </w:r>
      <w:r w:rsidRPr="00E70E7C">
        <w:t xml:space="preserve"> in their incidence because essential goods became cheaper across the basket (Nicita, 2009). In Argentina, reforms from the nineties reduced tariffs</w:t>
      </w:r>
      <w:r w:rsidR="008F3F91">
        <w:t>. They lowered prices with measurable gains in real wages for poorer households. However,</w:t>
      </w:r>
      <w:r w:rsidRPr="00E70E7C">
        <w:t xml:space="preserve"> the size of the effect varied across regions due to different exposure to import competition and local labor conditions (Porto, 2006). These findings confirm the direct consumption channel. They also show that where tariffs fall matters. A schedule that targets goods purchased by poor households produces </w:t>
      </w:r>
      <w:r w:rsidR="008F3F91">
        <w:t>more substantial</w:t>
      </w:r>
      <w:r w:rsidRPr="00E70E7C">
        <w:t xml:space="preserve"> improvements in </w:t>
      </w:r>
      <w:r w:rsidR="008F3F91">
        <w:t>objective</w:t>
      </w:r>
      <w:r w:rsidRPr="00E70E7C">
        <w:t xml:space="preserve"> living standards.</w:t>
      </w:r>
    </w:p>
    <w:p w14:paraId="2116BCDF" w14:textId="7AC042A1" w:rsidR="008B65FB" w:rsidRPr="00E70E7C" w:rsidRDefault="008B65FB" w:rsidP="00E70E7C">
      <w:pPr>
        <w:pStyle w:val="NormalWeb"/>
        <w:spacing w:line="276" w:lineRule="auto"/>
        <w:jc w:val="both"/>
      </w:pPr>
      <w:r w:rsidRPr="00E70E7C">
        <w:t>Predictability is the second pillar. Small firms and farmers with thin margins are sensitive to uncertainty about access and duties. Sudden changes in tariffs or safeguards can freeze investment and stall hiring. Recent developments underscore the point. The United States concluded a statutory review in 2024 and finalized higher Section 301 tariffs on selected categories</w:t>
      </w:r>
      <w:r w:rsidR="008F3F91">
        <w:t>,</w:t>
      </w:r>
      <w:r w:rsidRPr="00E70E7C">
        <w:t xml:space="preserve"> including electric vehicles and </w:t>
      </w:r>
      <w:r w:rsidR="008F3F91">
        <w:t>specific</w:t>
      </w:r>
      <w:r w:rsidRPr="00E70E7C">
        <w:t xml:space="preserve"> inputs from China, while also adjusting rates on other items (Office of the United States Trade Representative [USTR], 2024a; White &amp; Case, 2024). News coverage documented increases </w:t>
      </w:r>
      <w:r w:rsidR="008F3F91">
        <w:t>in solar-related</w:t>
      </w:r>
      <w:r w:rsidRPr="00E70E7C">
        <w:t xml:space="preserve"> inputs and tungsten products that took effect at the start of this year, </w:t>
      </w:r>
      <w:r w:rsidR="008F3F91">
        <w:t>aimed at</w:t>
      </w:r>
      <w:r w:rsidRPr="00E70E7C">
        <w:t xml:space="preserve"> protecting domestic clean energy supply chains (Associated Press, 2025). These actions illustrate that tariff policy in one major market can shift quickly, raising uncertainty in </w:t>
      </w:r>
      <w:r w:rsidR="008F3F91">
        <w:t>cross-border</w:t>
      </w:r>
      <w:r w:rsidRPr="00E70E7C">
        <w:t xml:space="preserve"> value chains. The World Trade Organization has emphasized that policy uncertainty and fragmentation weigh on trade volumes and on the ability of smaller players to benefit from openness, which is why the organization has called for stable multilateral rules and transparent national practice (World Trade Organization [WTO], 2024a, 2024b).</w:t>
      </w:r>
    </w:p>
    <w:p w14:paraId="0058732F" w14:textId="4DE5C62E" w:rsidR="00D02F96" w:rsidRPr="00E70E7C" w:rsidRDefault="008B65FB" w:rsidP="00E70E7C">
      <w:pPr>
        <w:pStyle w:val="NormalWeb"/>
        <w:spacing w:line="276" w:lineRule="auto"/>
        <w:jc w:val="both"/>
      </w:pPr>
      <w:r w:rsidRPr="00E70E7C">
        <w:t xml:space="preserve">Design choices inside agreements can offset uncertainty. Standstill clauses, clear procedures for safeguards, and early warning consultations reduce the risk of abrupt changes that hit the poor through </w:t>
      </w:r>
      <w:r w:rsidR="008F3F91">
        <w:t>higher prices and job losses</w:t>
      </w:r>
      <w:r w:rsidRPr="00E70E7C">
        <w:t xml:space="preserve">. Schedules that </w:t>
      </w:r>
      <w:r w:rsidR="008F3F91">
        <w:t>front-load cuts on products with high consumption weights for low-income</w:t>
      </w:r>
      <w:r w:rsidRPr="00E70E7C">
        <w:t xml:space="preserve"> households or on inputs used by micro and small producers deliver faster gains in real income. The experience of continental initiatives reinforces the importance of scope and phasing. Under the African Continental Free Trade Area, members have committed to </w:t>
      </w:r>
      <w:r w:rsidR="008F3F91">
        <w:t xml:space="preserve">eliminating tariffs on 90 percent of lines </w:t>
      </w:r>
      <w:r w:rsidR="00037D51">
        <w:t xml:space="preserve">for least developed members over a </w:t>
      </w:r>
      <w:r w:rsidR="00D04729">
        <w:t>longer period, with an additional list of sensitive goods phased out over a longer</w:t>
      </w:r>
      <w:r w:rsidR="008F3F91">
        <w:t xml:space="preserve"> period</w:t>
      </w:r>
      <w:r w:rsidRPr="00E70E7C">
        <w:t xml:space="preserve"> and a small exclusion list (Congressional Research Service, 2023). The long window allows governments to align schedules with </w:t>
      </w:r>
      <w:r w:rsidR="00037D51">
        <w:t xml:space="preserve">poverty-reduction goals and </w:t>
      </w:r>
      <w:r w:rsidRPr="00E70E7C">
        <w:t>invest in implementation. The policy lesson is straightforward. Tariff design should reflect the baskets of poor households and the cost structures of small producers, and the legal text should signal predictability so that the smallest actors can plan.</w:t>
      </w:r>
    </w:p>
    <w:p w14:paraId="5C478014" w14:textId="23E0E3C7"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lastRenderedPageBreak/>
        <w:t xml:space="preserve">3.2 </w:t>
      </w:r>
      <w:r w:rsidR="008B65FB" w:rsidRPr="00D416BA">
        <w:rPr>
          <w:b w:val="0"/>
          <w:bCs w:val="0"/>
          <w:i/>
          <w:iCs/>
          <w:sz w:val="24"/>
          <w:szCs w:val="24"/>
        </w:rPr>
        <w:t>Labor Standards and Wage Protections</w:t>
      </w:r>
    </w:p>
    <w:p w14:paraId="3E096D56" w14:textId="568BA49B" w:rsidR="008B65FB" w:rsidRPr="00E70E7C" w:rsidRDefault="008B65FB" w:rsidP="00E70E7C">
      <w:pPr>
        <w:pStyle w:val="NormalWeb"/>
        <w:spacing w:line="276" w:lineRule="auto"/>
        <w:jc w:val="both"/>
      </w:pPr>
      <w:r w:rsidRPr="00E70E7C">
        <w:t xml:space="preserve">Labor chapters can move from aspiration to outcomes when they are binding, </w:t>
      </w:r>
      <w:r w:rsidR="00D04729">
        <w:t>time-bound</w:t>
      </w:r>
      <w:r w:rsidRPr="00E70E7C">
        <w:t xml:space="preserve">, and paired with credible remedies. The most significant recent innovation is the </w:t>
      </w:r>
      <w:r w:rsidR="00D04729">
        <w:t>facility-specific</w:t>
      </w:r>
      <w:r w:rsidRPr="00E70E7C">
        <w:t xml:space="preserve"> Rapid Response Labor Mechanism in the agreement among the United States, Mexico, and Canada. The mechanism allows a government to bring a case when there is credible evidence that workers at a specific plant are denied freedom of association or collective bargaining rights. Reviews are expedited, remedies can be targeted at the plant, and the threat of suspending preferential tariff treatment creates a direct incentive to comply (USTR, 2024b; U.S. Department of Labor, 2025). This design is notable because it focuses on the workplace rather than on slow </w:t>
      </w:r>
      <w:r w:rsidR="00D04729">
        <w:t>state-to-state</w:t>
      </w:r>
      <w:r w:rsidRPr="00E70E7C">
        <w:t xml:space="preserve"> dispute channels. The experience to date shows concrete remediation outcomes in automobiles and other sectors, including new votes, removal of protection contracts, and commitments to bargain. It also shows that lasting improvements depend on resourcing inspectorates and unions and on training workers so that gains persist beyond the life of a case.</w:t>
      </w:r>
    </w:p>
    <w:p w14:paraId="0AB45DF4" w14:textId="2CA6273B" w:rsidR="00D02F96" w:rsidRPr="00E70E7C" w:rsidRDefault="008B65FB" w:rsidP="00E70E7C">
      <w:pPr>
        <w:pStyle w:val="NormalWeb"/>
        <w:spacing w:line="276" w:lineRule="auto"/>
        <w:jc w:val="both"/>
      </w:pPr>
      <w:r w:rsidRPr="00E70E7C">
        <w:t xml:space="preserve">From a poverty perspective, enforceable rights matter in sectors that employ large numbers of </w:t>
      </w:r>
      <w:r w:rsidR="00D04729">
        <w:t>low-wage</w:t>
      </w:r>
      <w:r w:rsidRPr="00E70E7C">
        <w:t xml:space="preserve"> workers. When workers can organize and bargain without intimidation, the wage floor tends to rise</w:t>
      </w:r>
      <w:r w:rsidR="00D04729">
        <w:t>,</w:t>
      </w:r>
      <w:r w:rsidRPr="00E70E7C">
        <w:t xml:space="preserve"> and abuse becomes riskier. Research on the distributional effects of trade confirms that gains accrue to workers in exporting firms through higher productivity and pay, but also </w:t>
      </w:r>
      <w:r w:rsidR="00D04729">
        <w:t>shows that not all workers can quickly move into those jobs</w:t>
      </w:r>
      <w:r w:rsidRPr="00E70E7C">
        <w:t xml:space="preserve">. Enforcement </w:t>
      </w:r>
      <w:r w:rsidR="00D04729">
        <w:t xml:space="preserve">measures that raise standards in place can therefore complement mobility policies by improving conditions for the most vulnerable </w:t>
      </w:r>
      <w:r w:rsidRPr="00E70E7C">
        <w:t>currently employed (Hummels et al., 201</w:t>
      </w:r>
      <w:r w:rsidR="00C44993">
        <w:t>5</w:t>
      </w:r>
      <w:r w:rsidRPr="00E70E7C">
        <w:t xml:space="preserve">). Binding labor provisions can also reduce unfair cost competition that pushes wages down in the lowest segments of supply chains. The challenge is to broaden coverage beyond a few </w:t>
      </w:r>
      <w:r w:rsidR="00D04729">
        <w:t>high-profile</w:t>
      </w:r>
      <w:r w:rsidRPr="00E70E7C">
        <w:t xml:space="preserve"> sectors and to embed clear timelines </w:t>
      </w:r>
      <w:r w:rsidR="00D04729">
        <w:t>to prevent cases from drifting</w:t>
      </w:r>
      <w:r w:rsidRPr="00E70E7C">
        <w:t xml:space="preserve">. A credible mechanism needs transparency about petitions and outcomes, protection for whistleblowers, and a ladder of remedies that escalates if employers do not comply. When these conditions are present, labor chapters are no longer decorative. They become levers that raise earnings and </w:t>
      </w:r>
      <w:r w:rsidR="00D04729">
        <w:t xml:space="preserve">improve job quality for workers </w:t>
      </w:r>
      <w:r w:rsidRPr="00E70E7C">
        <w:t>at risk of being left behind.</w:t>
      </w:r>
    </w:p>
    <w:p w14:paraId="448507B9" w14:textId="7F88A6F2"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3.3 </w:t>
      </w:r>
      <w:r w:rsidR="008B65FB" w:rsidRPr="00D416BA">
        <w:rPr>
          <w:b w:val="0"/>
          <w:bCs w:val="0"/>
          <w:i/>
          <w:iCs/>
          <w:sz w:val="24"/>
          <w:szCs w:val="24"/>
        </w:rPr>
        <w:t>Small Firm and Informal Sector Access</w:t>
      </w:r>
    </w:p>
    <w:p w14:paraId="3E8612E2" w14:textId="307BB05F" w:rsidR="008B65FB" w:rsidRPr="00E70E7C" w:rsidRDefault="008B65FB" w:rsidP="00E70E7C">
      <w:pPr>
        <w:pStyle w:val="NormalWeb"/>
        <w:spacing w:line="276" w:lineRule="auto"/>
        <w:jc w:val="both"/>
      </w:pPr>
      <w:r w:rsidRPr="00E70E7C">
        <w:t xml:space="preserve">The main obstacles for small and informal firms lie </w:t>
      </w:r>
      <w:r w:rsidR="00D04729">
        <w:t>on the other side of</w:t>
      </w:r>
      <w:r w:rsidRPr="00E70E7C">
        <w:t xml:space="preserve"> the border. Fixed </w:t>
      </w:r>
      <w:r w:rsidR="00D04729">
        <w:t>compliance costs</w:t>
      </w:r>
      <w:r w:rsidRPr="00E70E7C">
        <w:t xml:space="preserve"> and uncertainty about procedures often matter more than headline tariffs. Evidence shows that delays and documentation burdens raise costs in ways that only large firms can absorb. Cutting those costs has large payoffs for participation by smaller producers and traders (</w:t>
      </w:r>
      <w:proofErr w:type="spellStart"/>
      <w:r w:rsidRPr="00E70E7C">
        <w:t>Djankov</w:t>
      </w:r>
      <w:proofErr w:type="spellEnd"/>
      <w:r w:rsidRPr="00E70E7C">
        <w:t xml:space="preserve"> et al., 2010). The Trade Facilitation Agreement offers a template for </w:t>
      </w:r>
      <w:r w:rsidR="00D04729">
        <w:t xml:space="preserve">addressing these burdens through commitments </w:t>
      </w:r>
      <w:r w:rsidRPr="00E70E7C">
        <w:t>linked to capacity and that can be sequenced. The WTO estimates that full implementation of the agreement could cut average trade costs by about 14 percent and that the relative gains would be largest in poorer economies (WTO, 2017; WTO, n.d.). The key is to translate these commitments into changes that a small firm can feel.</w:t>
      </w:r>
    </w:p>
    <w:p w14:paraId="388F374D" w14:textId="445C06A4" w:rsidR="008B65FB" w:rsidRPr="00E70E7C" w:rsidRDefault="008B65FB" w:rsidP="00E70E7C">
      <w:pPr>
        <w:pStyle w:val="NormalWeb"/>
        <w:spacing w:line="276" w:lineRule="auto"/>
        <w:jc w:val="both"/>
      </w:pPr>
      <w:r w:rsidRPr="00E70E7C">
        <w:lastRenderedPageBreak/>
        <w:t xml:space="preserve">Three design features in agreements deliver direct benefits. The first is simple rules of origin that small firms can understand and meet without expensive consultants. Allowing </w:t>
      </w:r>
      <w:r w:rsidR="00D04729">
        <w:t>self-certification</w:t>
      </w:r>
      <w:r w:rsidRPr="00E70E7C">
        <w:t xml:space="preserve"> for straightforward products, setting de minimis content thresholds, and relying on </w:t>
      </w:r>
      <w:r w:rsidR="00D04729">
        <w:t>apparent</w:t>
      </w:r>
      <w:r w:rsidRPr="00E70E7C">
        <w:t xml:space="preserve"> change in tariff heading tests reduce the fixed cost of claiming preferences. The second is a </w:t>
      </w:r>
      <w:r w:rsidR="00D04729">
        <w:t>single window for border procedures, with published fee schedules and electronic document submission</w:t>
      </w:r>
      <w:r w:rsidRPr="00E70E7C">
        <w:t xml:space="preserve">. This makes costs transparent and reduces </w:t>
      </w:r>
      <w:r w:rsidR="00D04729">
        <w:t>face-to-face</w:t>
      </w:r>
      <w:r w:rsidRPr="00E70E7C">
        <w:t xml:space="preserve"> transactions that breed delays. The third is cooperation on standards and mutual recognition of conformity assessment</w:t>
      </w:r>
      <w:r w:rsidR="00D04729">
        <w:t>,</w:t>
      </w:r>
      <w:r w:rsidRPr="00E70E7C">
        <w:t xml:space="preserve"> where appropriate, especially in sectors where small producers operate. These features matter because they turn paper preferences into usable access. The International Trade Centre documents that small firms face binding constraints in finance, quality certification, and information, and argues that digitalization of procedures and targeted supplier development improve their odds of entry and survival (International Trade Centre, 2025; Trade4MSMEs, n.d.).</w:t>
      </w:r>
    </w:p>
    <w:p w14:paraId="69495E96" w14:textId="3DCC8A13" w:rsidR="008B65FB" w:rsidRPr="00E70E7C" w:rsidRDefault="008B65FB" w:rsidP="00E70E7C">
      <w:pPr>
        <w:pStyle w:val="NormalWeb"/>
        <w:spacing w:line="276" w:lineRule="auto"/>
        <w:jc w:val="both"/>
      </w:pPr>
      <w:r w:rsidRPr="00E70E7C">
        <w:t xml:space="preserve">Informal traders, many of whom are women, face additional hurdles at borders and in meeting standards. Practical measures such as simplified procedures at low value thresholds, access to affordable storage and bonded facilities at borders, and </w:t>
      </w:r>
      <w:r w:rsidR="00D04729">
        <w:t>community-based</w:t>
      </w:r>
      <w:r w:rsidRPr="00E70E7C">
        <w:t xml:space="preserve"> information services can reduce harassment and costs. Enterprise survey data show that access to finance, reliable electricity, and transparent regulations are persistent obstacles for smaller firms across many economies, which suggests that trade facilitation needs to be part of a </w:t>
      </w:r>
      <w:r w:rsidR="00D04729">
        <w:t>broader</w:t>
      </w:r>
      <w:r w:rsidRPr="00E70E7C">
        <w:t xml:space="preserve"> effort to reduce business costs and bring firms into the formal system where they can use agreement provisions (World Bank, n.d.). When agreements make these cost reductions tangible and predictable, small producers are more likely to export for the first time and to sustain participation through shocks.</w:t>
      </w:r>
    </w:p>
    <w:p w14:paraId="3EBE839F" w14:textId="45FFB0ED"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3.4 </w:t>
      </w:r>
      <w:r w:rsidR="008B65FB" w:rsidRPr="00D416BA">
        <w:rPr>
          <w:b w:val="0"/>
          <w:bCs w:val="0"/>
          <w:i/>
          <w:iCs/>
          <w:sz w:val="24"/>
          <w:szCs w:val="24"/>
        </w:rPr>
        <w:t>Development Aid and Technical Assistance</w:t>
      </w:r>
    </w:p>
    <w:p w14:paraId="2DCC5084" w14:textId="0C40871D" w:rsidR="008B65FB" w:rsidRPr="00E70E7C" w:rsidRDefault="008B65FB" w:rsidP="00E70E7C">
      <w:pPr>
        <w:pStyle w:val="NormalWeb"/>
        <w:spacing w:line="276" w:lineRule="auto"/>
        <w:jc w:val="both"/>
      </w:pPr>
      <w:r w:rsidRPr="00E70E7C">
        <w:t xml:space="preserve">Obligations without capacity can disappoint. The most successful reforms pair commitments with financing and </w:t>
      </w:r>
      <w:r w:rsidR="00D04729">
        <w:t>know-how</w:t>
      </w:r>
      <w:r w:rsidRPr="00E70E7C">
        <w:t xml:space="preserve">, sequenced to match administrative and technical realities. The Trade Facilitation Agreement broke new ground by linking implementation to capacity and by creating a facility to support members with assessments, project preparation, and funding. This approach recognizes that border agencies need systems, training, and sustained budgets to deliver faster clearance and electronic processes, and that these investments take time (WTO, 2017; WTO, n.d.). A similar logic applies to labor provisions, digital rules, and standards chapters. If inspectorates </w:t>
      </w:r>
      <w:r w:rsidR="00D04729">
        <w:t>lack staff and labs lack</w:t>
      </w:r>
      <w:r w:rsidRPr="00E70E7C">
        <w:t xml:space="preserve"> equipment, rights and standards remain promises rather than practice.</w:t>
      </w:r>
    </w:p>
    <w:p w14:paraId="1239A50F" w14:textId="6004FE9B" w:rsidR="008B65FB" w:rsidRPr="00E70E7C" w:rsidRDefault="00D04729" w:rsidP="00E70E7C">
      <w:pPr>
        <w:pStyle w:val="NormalWeb"/>
        <w:spacing w:line="276" w:lineRule="auto"/>
        <w:jc w:val="both"/>
      </w:pPr>
      <w:r>
        <w:t>Aid-for-Trade initiatives, led by the WTO and the OECD and supported by multilateral banks and donors, have mobilized resources for transport corridors, customs modernization, and trade-related skills development</w:t>
      </w:r>
      <w:r w:rsidR="008B65FB" w:rsidRPr="00E70E7C">
        <w:t xml:space="preserve">. Evaluations suggest that targeted investments in logistics and border management deliver high returns in </w:t>
      </w:r>
      <w:r>
        <w:t>lower-income</w:t>
      </w:r>
      <w:r w:rsidR="008B65FB" w:rsidRPr="00E70E7C">
        <w:t xml:space="preserve"> settings by reducing trade costs and by enabling small firms to access regional markets (WTO, 2024a). The design question is how to build results into cooperation chapters. One practical </w:t>
      </w:r>
      <w:r w:rsidR="006E4290">
        <w:t>approach is to define milestones that are closely aligned with</w:t>
      </w:r>
      <w:r w:rsidR="008B65FB" w:rsidRPr="00E70E7C">
        <w:t xml:space="preserve"> the intended outcomes. Examples include reductions in border dwell time, measurable </w:t>
      </w:r>
      <w:r w:rsidR="008B65FB" w:rsidRPr="00E70E7C">
        <w:lastRenderedPageBreak/>
        <w:t xml:space="preserve">increases in the use of electronic procedures by small </w:t>
      </w:r>
      <w:r w:rsidR="006E4290" w:rsidRPr="00E70E7C">
        <w:t>firms</w:t>
      </w:r>
      <w:r w:rsidR="006E4290">
        <w:t>,</w:t>
      </w:r>
      <w:r w:rsidR="006E4290" w:rsidRPr="00E70E7C">
        <w:t xml:space="preserve"> and</w:t>
      </w:r>
      <w:r w:rsidR="008B65FB" w:rsidRPr="00E70E7C">
        <w:t xml:space="preserve"> verified growth in the number of </w:t>
      </w:r>
      <w:r w:rsidR="006E4290">
        <w:t>first-time</w:t>
      </w:r>
      <w:r w:rsidR="008B65FB" w:rsidRPr="00E70E7C">
        <w:t xml:space="preserve"> small exporters. </w:t>
      </w:r>
      <w:r w:rsidR="006E4290">
        <w:t>Disbursement-linked</w:t>
      </w:r>
      <w:r w:rsidR="008B65FB" w:rsidRPr="00E70E7C">
        <w:t xml:space="preserve"> indicators tied to these milestones create incentives for agencies and contractors to deliver changes that matter for inclusion.</w:t>
      </w:r>
    </w:p>
    <w:p w14:paraId="2016B2DA" w14:textId="7D33452B" w:rsidR="00097554" w:rsidRDefault="008B65FB" w:rsidP="00D416BA">
      <w:pPr>
        <w:pStyle w:val="NormalWeb"/>
        <w:spacing w:line="276" w:lineRule="auto"/>
        <w:jc w:val="both"/>
      </w:pPr>
      <w:r w:rsidRPr="00E70E7C">
        <w:t xml:space="preserve">Another lesson is to sequence reforms. For example, recognition of electronic signatures in trade documents will not improve participation if suppliers lack affordable connectivity or if agencies lack the systems to verify and store records. Training for workers and managers needs to </w:t>
      </w:r>
      <w:r w:rsidR="006E4290">
        <w:t>be in place</w:t>
      </w:r>
      <w:r w:rsidRPr="00E70E7C">
        <w:t xml:space="preserve"> before major shifts in enforcement or standards to minimize disruption for vulnerable groups. Cooperation that supports social protection and active labor market programs can also help workers move across sectors when competition increases. When agreements embed this pairing of obligations and capacity, they are more likely to </w:t>
      </w:r>
      <w:r w:rsidR="006E4290">
        <w:t>yield sustained,</w:t>
      </w:r>
      <w:r w:rsidRPr="00E70E7C">
        <w:t xml:space="preserve"> </w:t>
      </w:r>
      <w:r w:rsidR="006E4290">
        <w:t>broad-based</w:t>
      </w:r>
      <w:r w:rsidRPr="00E70E7C">
        <w:t xml:space="preserve"> gains.</w:t>
      </w:r>
    </w:p>
    <w:p w14:paraId="21D80A19" w14:textId="18567B5B"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3.5 </w:t>
      </w:r>
      <w:r w:rsidR="008B65FB" w:rsidRPr="00D416BA">
        <w:rPr>
          <w:b w:val="0"/>
          <w:bCs w:val="0"/>
          <w:i/>
          <w:iCs/>
          <w:sz w:val="24"/>
          <w:szCs w:val="24"/>
        </w:rPr>
        <w:t>Gender and Digital Inclusion</w:t>
      </w:r>
    </w:p>
    <w:p w14:paraId="78081DB2" w14:textId="71BC7B4A" w:rsidR="008B65FB" w:rsidRPr="00E70E7C" w:rsidRDefault="008B65FB" w:rsidP="00E70E7C">
      <w:pPr>
        <w:pStyle w:val="NormalWeb"/>
        <w:spacing w:line="276" w:lineRule="auto"/>
        <w:jc w:val="both"/>
      </w:pPr>
      <w:r w:rsidRPr="00E70E7C">
        <w:t xml:space="preserve">Trade can help reduce gender gaps when rules and institutions lower the costs that keep women out of markets and when data and monitoring make progress visible. A joint report by the World Bank and the WTO documents that women are underrepresented in </w:t>
      </w:r>
      <w:r w:rsidR="006E4290">
        <w:t>trade-intensive</w:t>
      </w:r>
      <w:r w:rsidRPr="00E70E7C">
        <w:t xml:space="preserve"> sectors and that barriers in finance, networks, and norms limit their ability to benefit from openness. It recommends that trade policies and programs be designed with these constraints in mind, including through data collection, public procurement rules that open opportunities, and targeted business services (World Bank &amp; WTO, 2020). The International Trade Centre has developed the </w:t>
      </w:r>
      <w:proofErr w:type="spellStart"/>
      <w:r w:rsidRPr="00E70E7C">
        <w:t>SheTrades</w:t>
      </w:r>
      <w:proofErr w:type="spellEnd"/>
      <w:r w:rsidRPr="00E70E7C">
        <w:t xml:space="preserve"> Outlook as a policy tool </w:t>
      </w:r>
      <w:r w:rsidR="006E4290">
        <w:t xml:space="preserve">to help governments assess and improve the ecosystem for women in trade, with practical guidance on mainstreaming gender in free trade agreements and </w:t>
      </w:r>
      <w:r w:rsidRPr="00E70E7C">
        <w:t>related institutions (International Trade Centre, 2020,</w:t>
      </w:r>
      <w:r w:rsidR="002B2A08">
        <w:t xml:space="preserve"> 2021,</w:t>
      </w:r>
      <w:r w:rsidRPr="00E70E7C">
        <w:t xml:space="preserve"> 2024). These initiatives reflect a broader consensus. When women can start and grow firms and move into higher productivity jobs, growth is faster and poverty falls more quickly, but legal and practical barriers still hold back participation in many contexts (World Bank, 2024; World Bank, 2025a).</w:t>
      </w:r>
    </w:p>
    <w:p w14:paraId="6A6833D7" w14:textId="724DD69E" w:rsidR="008B65FB" w:rsidRPr="00E70E7C" w:rsidRDefault="008B65FB" w:rsidP="00E70E7C">
      <w:pPr>
        <w:pStyle w:val="NormalWeb"/>
        <w:spacing w:line="276" w:lineRule="auto"/>
        <w:jc w:val="both"/>
      </w:pPr>
      <w:r w:rsidRPr="00E70E7C">
        <w:t>Digital rules offer new ways to lower participation costs for small suppliers</w:t>
      </w:r>
      <w:r w:rsidR="006E4290">
        <w:t>, particularly women-led firms</w:t>
      </w:r>
      <w:r w:rsidRPr="00E70E7C">
        <w:t>. Recognition of electronic signatures and electronic invoicing, interoperability of customs and logistics data, and commitments to transparent</w:t>
      </w:r>
      <w:r w:rsidR="006E4290">
        <w:t>, secure digital procedures reduce the need for in-person interactions, which</w:t>
      </w:r>
      <w:r w:rsidRPr="00E70E7C">
        <w:t xml:space="preserve"> can be costly and risky. The WTO notes that digitalization can expand opportunities for micro and small firms through lower search costs, translation, and automation, while also warning that without investments in connectivity and skills</w:t>
      </w:r>
      <w:r w:rsidR="006E4290">
        <w:t>,</w:t>
      </w:r>
      <w:r w:rsidRPr="00E70E7C">
        <w:t xml:space="preserve"> the digital divide can widen (WTO, 2024a). The International Monetary Fund highlights that openness tends to increase opportunities for women when trade improves access to skills and jobs, but stresses that policy must address constraints in finance and care to turn potential into outcomes (Rocha &amp; </w:t>
      </w:r>
      <w:proofErr w:type="spellStart"/>
      <w:r w:rsidRPr="00E70E7C">
        <w:t>Piermartini</w:t>
      </w:r>
      <w:proofErr w:type="spellEnd"/>
      <w:r w:rsidRPr="00E70E7C">
        <w:t xml:space="preserve">, 2023). These findings inform concrete treaty design. Digital chapters should require legal recognition of core trust services and mandate </w:t>
      </w:r>
      <w:r w:rsidR="006E4290">
        <w:t>user-friendly</w:t>
      </w:r>
      <w:r w:rsidRPr="00E70E7C">
        <w:t xml:space="preserve"> single windows with open interfaces. Cooperation chapters should earmark support for affordable connectivity in underserved regions and for training that helps </w:t>
      </w:r>
      <w:r w:rsidR="006E4290">
        <w:t>women-led</w:t>
      </w:r>
      <w:r w:rsidRPr="00E70E7C">
        <w:t xml:space="preserve"> and small firms use digital systems. </w:t>
      </w:r>
      <w:r w:rsidRPr="00E70E7C">
        <w:lastRenderedPageBreak/>
        <w:t>Public procurement can set targets or</w:t>
      </w:r>
      <w:r w:rsidR="006E4290">
        <w:t>, at a minimum,</w:t>
      </w:r>
      <w:r w:rsidRPr="00E70E7C">
        <w:t xml:space="preserve"> publish data on the participation of </w:t>
      </w:r>
      <w:r w:rsidR="006E4290">
        <w:t>women-owned</w:t>
      </w:r>
      <w:r w:rsidRPr="00E70E7C">
        <w:t xml:space="preserve"> firms in supplier programs linked to trade.</w:t>
      </w:r>
    </w:p>
    <w:p w14:paraId="3A99BAD0" w14:textId="11FCB13E" w:rsidR="008B65FB" w:rsidRPr="00E70E7C" w:rsidRDefault="008B65FB" w:rsidP="00E70E7C">
      <w:pPr>
        <w:pStyle w:val="NormalWeb"/>
        <w:spacing w:line="276" w:lineRule="auto"/>
        <w:jc w:val="both"/>
      </w:pPr>
      <w:r w:rsidRPr="00E70E7C">
        <w:t xml:space="preserve">Measurement is part of inclusion. Agreements rarely require </w:t>
      </w:r>
      <w:r w:rsidR="006E4290">
        <w:t>gender-disaggregated reporting on trade-related programs, making</w:t>
      </w:r>
      <w:r w:rsidRPr="00E70E7C">
        <w:t xml:space="preserve"> progress hard to track. Policy tools such as the </w:t>
      </w:r>
      <w:proofErr w:type="spellStart"/>
      <w:r w:rsidRPr="00E70E7C">
        <w:t>SheTrades</w:t>
      </w:r>
      <w:proofErr w:type="spellEnd"/>
      <w:r w:rsidRPr="00E70E7C">
        <w:t xml:space="preserve"> Outlook show that data can be collected and used to steer reforms. A practical step is to require annual publication of the share of </w:t>
      </w:r>
      <w:r w:rsidR="006E4290">
        <w:t>women-led firms using preference programs, the number of women-led first-time</w:t>
      </w:r>
      <w:r w:rsidRPr="00E70E7C">
        <w:t xml:space="preserve"> exporters, and the uptake of electronic procedures by such firms. Another is to ensure that trade finance programs supported by development finance institutions report gender disaggregated access and repayment outcomes, given the persistent credit gaps documented in many surveys (World Bank, 2025b). When gender considerations are </w:t>
      </w:r>
      <w:r w:rsidR="006E4290">
        <w:t>built into the text, supported by cooperation,</w:t>
      </w:r>
      <w:r w:rsidRPr="00E70E7C">
        <w:t xml:space="preserve"> and monitored through data, agreements can move beyond general statements and make a measurable difference.</w:t>
      </w:r>
    </w:p>
    <w:p w14:paraId="36A09322" w14:textId="7621022B" w:rsidR="008B65FB" w:rsidRPr="00D416BA" w:rsidRDefault="00D416BA" w:rsidP="00E70E7C">
      <w:pPr>
        <w:pStyle w:val="Heading2"/>
        <w:spacing w:line="276" w:lineRule="auto"/>
        <w:jc w:val="both"/>
        <w:rPr>
          <w:b w:val="0"/>
          <w:bCs w:val="0"/>
          <w:i/>
          <w:iCs/>
          <w:sz w:val="24"/>
          <w:szCs w:val="24"/>
        </w:rPr>
      </w:pPr>
      <w:r w:rsidRPr="00D416BA">
        <w:rPr>
          <w:b w:val="0"/>
          <w:bCs w:val="0"/>
          <w:i/>
          <w:iCs/>
          <w:sz w:val="24"/>
          <w:szCs w:val="24"/>
        </w:rPr>
        <w:t xml:space="preserve">3.6 </w:t>
      </w:r>
      <w:r w:rsidR="008B65FB" w:rsidRPr="00D416BA">
        <w:rPr>
          <w:b w:val="0"/>
          <w:bCs w:val="0"/>
          <w:i/>
          <w:iCs/>
          <w:sz w:val="24"/>
          <w:szCs w:val="24"/>
        </w:rPr>
        <w:t>Linking Design to Poverty Indicators</w:t>
      </w:r>
    </w:p>
    <w:p w14:paraId="49394376" w14:textId="73C11269" w:rsidR="008B65FB" w:rsidRPr="00E70E7C" w:rsidRDefault="008B65FB" w:rsidP="00E70E7C">
      <w:pPr>
        <w:pStyle w:val="NormalWeb"/>
        <w:spacing w:line="276" w:lineRule="auto"/>
        <w:jc w:val="both"/>
      </w:pPr>
      <w:r w:rsidRPr="00E70E7C">
        <w:t xml:space="preserve">An inclusive agreement should be judged by whether it changes the variables that matter for poor households and small firms. A simple framework maps provisions to four channels with corresponding indicators. The price channel focuses on the cost of essential goods and on inputs used by small producers. The relevant indicators are the share of basic consumption items facing zero or very low tariffs, the frequency and speed of </w:t>
      </w:r>
      <w:r w:rsidR="006E4290">
        <w:t>pass-through</w:t>
      </w:r>
      <w:r w:rsidRPr="00E70E7C">
        <w:t xml:space="preserve"> to retail prices, and the tariff treatment of seeds, packaging, and digital services </w:t>
      </w:r>
      <w:r w:rsidR="00797C4D">
        <w:t>used by small firms</w:t>
      </w:r>
      <w:r w:rsidRPr="00E70E7C">
        <w:t>. The work of Porto (2006) and Nicita (2009) shows how to link tariff schedules to household welfare, which suggests that negotiators can build ex ante poverty analysis into scheduling.</w:t>
      </w:r>
    </w:p>
    <w:p w14:paraId="34DDE3FA" w14:textId="133F76EA" w:rsidR="008B65FB" w:rsidRPr="00E70E7C" w:rsidRDefault="008B65FB" w:rsidP="00E70E7C">
      <w:pPr>
        <w:pStyle w:val="NormalWeb"/>
        <w:spacing w:line="276" w:lineRule="auto"/>
        <w:jc w:val="both"/>
      </w:pPr>
      <w:r w:rsidRPr="00E70E7C">
        <w:t xml:space="preserve">The jobs and earnings channel </w:t>
      </w:r>
      <w:proofErr w:type="gramStart"/>
      <w:r w:rsidRPr="00E70E7C">
        <w:t>captures</w:t>
      </w:r>
      <w:proofErr w:type="gramEnd"/>
      <w:r w:rsidRPr="00E70E7C">
        <w:t xml:space="preserve"> how labor provisions and export opportunities affect wages and job quality in sectors that hire the poor. Indicators include wages, unionization, and complaint outcomes in sectors covered by labor mechanisms, as well as employment growth in sectors that gain market access. The USMCA Rapid Response Labor Mechanism provides a structure for </w:t>
      </w:r>
      <w:r w:rsidR="00797C4D">
        <w:t>facility-level</w:t>
      </w:r>
      <w:r w:rsidRPr="00E70E7C">
        <w:t xml:space="preserve"> tracking of remediation and wage gains, and public sources already report petitions and outcomes that can feed into monitoring (USTR, 2024b; U.S. Department of Labor, 2025).</w:t>
      </w:r>
    </w:p>
    <w:p w14:paraId="3F7FCD0E" w14:textId="3A749D0E" w:rsidR="008B65FB" w:rsidRPr="00E70E7C" w:rsidRDefault="008B65FB" w:rsidP="00E70E7C">
      <w:pPr>
        <w:pStyle w:val="NormalWeb"/>
        <w:spacing w:line="276" w:lineRule="auto"/>
        <w:jc w:val="both"/>
      </w:pPr>
      <w:r w:rsidRPr="00E70E7C">
        <w:t xml:space="preserve">The entry channel measures whether rules reduce fixed costs for small producers. Indicators include border release times, the share of </w:t>
      </w:r>
      <w:r w:rsidR="00797C4D">
        <w:t>small-firm declarations filed electronically</w:t>
      </w:r>
      <w:r w:rsidRPr="00E70E7C">
        <w:t xml:space="preserve">, the number of </w:t>
      </w:r>
      <w:r w:rsidR="00797C4D">
        <w:t>first-time small exporters, the use of self-certification</w:t>
      </w:r>
      <w:r w:rsidRPr="00E70E7C">
        <w:t xml:space="preserve"> of origin, and the number of mutual recognition arrangements in sectors with many small producers. The TFA evidence on cost reduction provides a benchmark for expected gains, and the International Trade Centre’s work on small firm competitiveness offers guidance on practical metrics (</w:t>
      </w:r>
      <w:proofErr w:type="spellStart"/>
      <w:r w:rsidRPr="00E70E7C">
        <w:t>Djankov</w:t>
      </w:r>
      <w:proofErr w:type="spellEnd"/>
      <w:r w:rsidRPr="00E70E7C">
        <w:t xml:space="preserve"> et al., 2010; WTO, n.d.; International Trade Centre, 2025).</w:t>
      </w:r>
    </w:p>
    <w:p w14:paraId="24EA66C2" w14:textId="4719AF3F" w:rsidR="008B65FB" w:rsidRPr="00E70E7C" w:rsidRDefault="008B65FB" w:rsidP="00E70E7C">
      <w:pPr>
        <w:pStyle w:val="NormalWeb"/>
        <w:spacing w:line="276" w:lineRule="auto"/>
        <w:jc w:val="both"/>
      </w:pPr>
      <w:r w:rsidRPr="00E70E7C">
        <w:lastRenderedPageBreak/>
        <w:t>The resilience channel captures whether agreements protect the most vulnerable when external conditions shift. Indicators include the predictability of access</w:t>
      </w:r>
      <w:r w:rsidR="00797C4D">
        <w:t>, proxied by the use of standstill provisions and transparent safeguards; the availability and use of stabilization support for small exporters during shocks;</w:t>
      </w:r>
      <w:r w:rsidRPr="00E70E7C">
        <w:t xml:space="preserve"> and the extent to which preference margins are preserved for least developed members when large markets impose new measures elsewhere. The World Trade Report argues that inclusiveness requires attention to stability and to the institutional features that prevent sudden reversals that hurt those with the least buffer (WTO, 2024a).</w:t>
      </w:r>
    </w:p>
    <w:p w14:paraId="4F74DDB1" w14:textId="77777777" w:rsidR="008B65FB" w:rsidRPr="00E70E7C" w:rsidRDefault="008B65FB" w:rsidP="00E70E7C">
      <w:pPr>
        <w:pStyle w:val="NormalWeb"/>
        <w:spacing w:line="276" w:lineRule="auto"/>
        <w:jc w:val="both"/>
      </w:pPr>
      <w:r w:rsidRPr="00E70E7C">
        <w:t xml:space="preserve">The purpose of this framework is practical. It helps negotiators and reviewers select design options that are more likely to reduce poverty, and it gives implementers and donors a clear set of targets for cooperation. </w:t>
      </w:r>
    </w:p>
    <w:p w14:paraId="5169B880" w14:textId="354D0936" w:rsidR="008F4CA5" w:rsidRPr="00E70E7C" w:rsidRDefault="00D416BA" w:rsidP="00E70E7C">
      <w:pPr>
        <w:spacing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E37C26" w:rsidRPr="00E70E7C">
        <w:rPr>
          <w:rFonts w:ascii="Times New Roman" w:hAnsi="Times New Roman" w:cs="Times New Roman"/>
          <w:b/>
          <w:sz w:val="24"/>
          <w:szCs w:val="24"/>
        </w:rPr>
        <w:t>. COMPARATIVE CASE STUDIES AND POLICY EVALUATION</w:t>
      </w:r>
    </w:p>
    <w:p w14:paraId="5FD7E13D" w14:textId="62EF8D07" w:rsidR="00A735D1" w:rsidRPr="00D416BA" w:rsidRDefault="00D416BA" w:rsidP="00E70E7C">
      <w:pPr>
        <w:spacing w:line="276"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4.1 </w:t>
      </w:r>
      <w:r w:rsidR="008E2DF2" w:rsidRPr="00D416BA">
        <w:rPr>
          <w:rFonts w:ascii="Times New Roman" w:hAnsi="Times New Roman" w:cs="Times New Roman"/>
          <w:bCs/>
          <w:i/>
          <w:iCs/>
          <w:sz w:val="24"/>
          <w:szCs w:val="24"/>
        </w:rPr>
        <w:t>African Continental Free Trade Area (</w:t>
      </w:r>
      <w:proofErr w:type="spellStart"/>
      <w:r w:rsidR="008E2DF2" w:rsidRPr="00D416BA">
        <w:rPr>
          <w:rFonts w:ascii="Times New Roman" w:hAnsi="Times New Roman" w:cs="Times New Roman"/>
          <w:bCs/>
          <w:i/>
          <w:iCs/>
          <w:sz w:val="24"/>
          <w:szCs w:val="24"/>
        </w:rPr>
        <w:t>AfCFTA</w:t>
      </w:r>
      <w:proofErr w:type="spellEnd"/>
      <w:r w:rsidR="008E2DF2" w:rsidRPr="00D416BA">
        <w:rPr>
          <w:rFonts w:ascii="Times New Roman" w:hAnsi="Times New Roman" w:cs="Times New Roman"/>
          <w:bCs/>
          <w:i/>
          <w:iCs/>
          <w:sz w:val="24"/>
          <w:szCs w:val="24"/>
        </w:rPr>
        <w:t>)</w:t>
      </w:r>
    </w:p>
    <w:p w14:paraId="77E8B9B9" w14:textId="2F5E4B64" w:rsidR="005A201A" w:rsidRPr="00E70E7C" w:rsidRDefault="005A201A" w:rsidP="00E70E7C">
      <w:pPr>
        <w:pStyle w:val="NormalWeb"/>
        <w:spacing w:line="276" w:lineRule="auto"/>
        <w:jc w:val="both"/>
      </w:pPr>
      <w:r w:rsidRPr="00E70E7C">
        <w:t>The African Continental Free Trade Area was conceived as a practical route to scale for a region of small and fragmented markets. Its legal design aims to eliminate tariffs on 90 percent of tariff lines with the eventual objective of free access for at least 97 percent of goods, and to complement goods liberalization with protocols on services, investment, competition, and an emerging digital agenda (International Trade Centre, 2025; Market Access Map, n.d.; World Bank, 2022). The Guided Trade Initiative</w:t>
      </w:r>
      <w:r w:rsidR="00797C4D">
        <w:t>, launched in 2022, moved the agreement from text to shipments by testing customs procedures and rules with a growing set of participating states (TRALAC</w:t>
      </w:r>
      <w:r w:rsidRPr="00E70E7C">
        <w:t xml:space="preserve">, 2025). Several members have begun </w:t>
      </w:r>
      <w:r w:rsidR="00797C4D">
        <w:t>issuing schedules and operationalizing</w:t>
      </w:r>
      <w:r w:rsidRPr="00E70E7C">
        <w:t xml:space="preserve"> concessions, including Ethiopia, which adopted regulations to phase down Category B tariffs beginning in January 2026 while committing to faster elimination for a large majority of lines (</w:t>
      </w:r>
      <w:proofErr w:type="spellStart"/>
      <w:r w:rsidRPr="00E70E7C">
        <w:t>Afriwise</w:t>
      </w:r>
      <w:proofErr w:type="spellEnd"/>
      <w:r w:rsidRPr="00E70E7C">
        <w:t xml:space="preserve">, 2025). The World Bank’s modeling suggests that a fully implemented </w:t>
      </w:r>
      <w:proofErr w:type="spellStart"/>
      <w:r w:rsidRPr="00E70E7C">
        <w:t>AfCFTA</w:t>
      </w:r>
      <w:proofErr w:type="spellEnd"/>
      <w:r w:rsidRPr="00E70E7C">
        <w:t xml:space="preserve"> could raise </w:t>
      </w:r>
      <w:r w:rsidR="00797C4D">
        <w:t>continent-wide</w:t>
      </w:r>
      <w:r w:rsidRPr="00E70E7C">
        <w:t xml:space="preserve"> income by about </w:t>
      </w:r>
      <w:r w:rsidR="00797C4D">
        <w:t>7% by 2035 and lift roughly 40</w:t>
      </w:r>
      <w:r w:rsidRPr="00E70E7C">
        <w:t xml:space="preserve"> million people from extreme poverty through a mix of lower trade costs, wider market access, and enhanced competition that raises productivity (World Bank, 2022). These potential gains matter for poverty because they work through prices of staple goods, job creation in </w:t>
      </w:r>
      <w:r w:rsidR="00797C4D">
        <w:t>labor-intensive</w:t>
      </w:r>
      <w:r w:rsidRPr="00E70E7C">
        <w:t xml:space="preserve"> manufacturing and services, and opportunities for small firms to enter regional value chains. Early trade data and policy analysis underscore the same message from another angle. </w:t>
      </w:r>
      <w:r w:rsidR="00797C4D">
        <w:t xml:space="preserve">Intra-African trade has begun to grow again after pandemic-era setbacks, and economic agencies continue to project significant benefits if implementation bottlenecks </w:t>
      </w:r>
      <w:r w:rsidRPr="00E70E7C">
        <w:t>are cleared (Ecofin Agency, 2025; London School of Economics, 2025).</w:t>
      </w:r>
    </w:p>
    <w:p w14:paraId="3629E2DF" w14:textId="638F7A91" w:rsidR="005A201A" w:rsidRPr="00E70E7C" w:rsidRDefault="005A201A" w:rsidP="00E70E7C">
      <w:pPr>
        <w:pStyle w:val="NormalWeb"/>
        <w:spacing w:line="276" w:lineRule="auto"/>
        <w:jc w:val="both"/>
      </w:pPr>
      <w:r w:rsidRPr="00E70E7C">
        <w:t xml:space="preserve">The inclusive intent of the </w:t>
      </w:r>
      <w:proofErr w:type="spellStart"/>
      <w:r w:rsidRPr="00E70E7C">
        <w:t>AfCFTA</w:t>
      </w:r>
      <w:proofErr w:type="spellEnd"/>
      <w:r w:rsidRPr="00E70E7C">
        <w:t xml:space="preserve"> is visible in several design choices. The tariff schedule </w:t>
      </w:r>
      <w:r w:rsidR="00797C4D">
        <w:t xml:space="preserve">provides extended transition periods for least developed members and a narrow exclusion list, enabling governments to </w:t>
      </w:r>
      <w:r w:rsidRPr="00E70E7C">
        <w:t xml:space="preserve">manage adjustment while still committing to deep liberalization for the bulk of trade (International Trade Centre, 2025). The guided shipments have been used to identify documentary hurdles and to align border agencies with the spirit of the agreement rather than with </w:t>
      </w:r>
      <w:r w:rsidRPr="00E70E7C">
        <w:lastRenderedPageBreak/>
        <w:t xml:space="preserve">legacy procedures. Continental institutions and partners have also linked the agreement to trade finance and corridor investments, which can be decisive for small producers who need predictable logistics to reach new buyers (World Bank, 2022). </w:t>
      </w:r>
      <w:r w:rsidR="00797C4D">
        <w:t>However,</w:t>
      </w:r>
      <w:r w:rsidRPr="00E70E7C">
        <w:t xml:space="preserve"> the political economy of implementation is demanding. Customs modernization, </w:t>
      </w:r>
      <w:r w:rsidR="00797C4D">
        <w:t>usable and straightforward</w:t>
      </w:r>
      <w:r w:rsidRPr="00E70E7C">
        <w:t xml:space="preserve"> rules of origin, transparent fee schedules, interoperable digital systems, and functioning dispute channels are the practical hinges on which inclusive outcomes turn. Commentators warn that momentum can stall if governments treat the legal launch as an endpoint rather than the beginning of a long process of institution building, and if capacity support does not arrive in time for border agencies and standards bodies to adapt (London School of Economics, 2025). The risk for inclusion is straightforward. Without lower fixed costs at the border and in compliance, tariff preferences will be hardest to use for micro and small firms and for informal traders, many of whom are women. With those reforms in place, the agreement’s tariff cuts, scale effects, and regional market creation can have </w:t>
      </w:r>
      <w:r w:rsidR="00797C4D">
        <w:t>pro-poor effects that echo the evidence from other contexts where price declines and export growth lifted real incomes for lower-income</w:t>
      </w:r>
      <w:r w:rsidRPr="00E70E7C">
        <w:t xml:space="preserve"> households (Nicita, 2009; Porto, 2006). The </w:t>
      </w:r>
      <w:proofErr w:type="spellStart"/>
      <w:r w:rsidRPr="00E70E7C">
        <w:t>AfCFTA</w:t>
      </w:r>
      <w:proofErr w:type="spellEnd"/>
      <w:r w:rsidRPr="00E70E7C">
        <w:t xml:space="preserve"> therefore offers a credible platform for inclusive trade, but its progress will depend on whether members translate </w:t>
      </w:r>
      <w:r w:rsidR="00797C4D">
        <w:t>continent-wide</w:t>
      </w:r>
      <w:r w:rsidRPr="00E70E7C">
        <w:t xml:space="preserve"> commitments into simple rules, financed systems, and predictable procedures that people can use.</w:t>
      </w:r>
    </w:p>
    <w:p w14:paraId="7FF157CE" w14:textId="64E13656" w:rsidR="005A201A" w:rsidRPr="00D416BA" w:rsidRDefault="00D416BA" w:rsidP="00E70E7C">
      <w:pPr>
        <w:pStyle w:val="NormalWeb"/>
        <w:spacing w:line="276" w:lineRule="auto"/>
        <w:jc w:val="both"/>
        <w:rPr>
          <w:bCs/>
          <w:i/>
          <w:iCs/>
        </w:rPr>
      </w:pPr>
      <w:r w:rsidRPr="00D416BA">
        <w:rPr>
          <w:bCs/>
          <w:i/>
          <w:iCs/>
        </w:rPr>
        <w:t xml:space="preserve">4.2 </w:t>
      </w:r>
      <w:r w:rsidR="005A201A" w:rsidRPr="00D416BA">
        <w:rPr>
          <w:bCs/>
          <w:i/>
          <w:iCs/>
        </w:rPr>
        <w:t>United States-Mexico-Canada Agreement (USMCA)</w:t>
      </w:r>
    </w:p>
    <w:p w14:paraId="68C26F06" w14:textId="6541F0FF" w:rsidR="005A201A" w:rsidRPr="00E70E7C" w:rsidRDefault="005A201A" w:rsidP="00E70E7C">
      <w:pPr>
        <w:pStyle w:val="NormalWeb"/>
        <w:spacing w:line="276" w:lineRule="auto"/>
        <w:jc w:val="both"/>
      </w:pPr>
      <w:r w:rsidRPr="00E70E7C">
        <w:t xml:space="preserve">The agreement among the United States, Mexico, and Canada provides a different lens on inclusion by integrating labor rights into market access with credible and swift enforcement. The </w:t>
      </w:r>
      <w:r w:rsidR="00797C4D">
        <w:t>facility-specific</w:t>
      </w:r>
      <w:r w:rsidRPr="00E70E7C">
        <w:t xml:space="preserve"> Rapid Response Labor Mechanism allows one party to trigger a review when there is credible evidence that workers at a specific plant are denied freedom of association or collective bargaining rights. The mechanism is fast and targeted. It focuses on the workplace, sets clear timelines, and links failure to comply with a meaningful sanction through the withdrawal of preferential treatment for goods from the offending plant </w:t>
      </w:r>
      <w:r w:rsidRPr="00797C4D">
        <w:rPr>
          <w:b/>
          <w:bCs/>
        </w:rPr>
        <w:t>(Office of the United States Trade Representative, n.d.).</w:t>
      </w:r>
      <w:r w:rsidRPr="00E70E7C">
        <w:t xml:space="preserve"> Public summaries from the United States record outcomes that matter in practice. Cases have produced new union votes, </w:t>
      </w:r>
      <w:r w:rsidR="00797C4D">
        <w:t>the removal of protection contracts, recognition of independent unions, back pay, and other remedies in sectors such as automobiles, auto parts</w:t>
      </w:r>
      <w:r w:rsidRPr="00E70E7C">
        <w:t>, and services (Office of the United States Trade Representative, 2024). The Department of Labor’s case registry shows the breadth of filings and the evolution of the docket from a trickle in the first two years to a steady flow as workers, unions, and authorities learned how to use the tool (U.S. Department of Labor, n.d.; Covington &amp; Burling, 2024). In August 2025</w:t>
      </w:r>
      <w:r w:rsidR="00797C4D">
        <w:t>,</w:t>
      </w:r>
      <w:r w:rsidRPr="00E70E7C">
        <w:t xml:space="preserve"> an RRM panel issued a public determination </w:t>
      </w:r>
      <w:r w:rsidR="00797C4D">
        <w:t xml:space="preserve">in a services case, demonstrating that the mechanism can extend beyond manufacturing and </w:t>
      </w:r>
      <w:r w:rsidRPr="00E70E7C">
        <w:t>continues to operate with transparency and due process (Office of the United States Trade Representative, 2025).</w:t>
      </w:r>
    </w:p>
    <w:p w14:paraId="062A1652" w14:textId="7BA0E50E" w:rsidR="005A201A" w:rsidRPr="00E70E7C" w:rsidRDefault="005A201A" w:rsidP="00E70E7C">
      <w:pPr>
        <w:pStyle w:val="NormalWeb"/>
        <w:spacing w:line="276" w:lineRule="auto"/>
        <w:jc w:val="both"/>
      </w:pPr>
      <w:r w:rsidRPr="00E70E7C">
        <w:t xml:space="preserve">The distributional logic behind this design is clear. When workers can use credible channels to defend their rights inside facilities, the bargaining position of </w:t>
      </w:r>
      <w:r w:rsidR="00797C4D">
        <w:t>low-wage</w:t>
      </w:r>
      <w:r w:rsidRPr="00E70E7C">
        <w:t xml:space="preserve"> workers improves where they are already employed. This complements the </w:t>
      </w:r>
      <w:r w:rsidR="00764073">
        <w:t xml:space="preserve">well-documented fact that exporters tend to pay </w:t>
      </w:r>
      <w:r w:rsidR="00764073">
        <w:lastRenderedPageBreak/>
        <w:t>higher wages and offer better working conditions. It offers a path to raise standards in place rather than relying only on mobility across firms or sectors, which is often hard for lower-income</w:t>
      </w:r>
      <w:r w:rsidRPr="00E70E7C">
        <w:t xml:space="preserve"> workers (Hummels et al., 201</w:t>
      </w:r>
      <w:r w:rsidR="00C44993">
        <w:t>5</w:t>
      </w:r>
      <w:r w:rsidRPr="00E70E7C">
        <w:t>). By tying labor standards to trade preferences at the plant level, the mechanism also levels the playing field within supply chains</w:t>
      </w:r>
      <w:r w:rsidR="00764073">
        <w:t>, reducing the likelihood that competition relies</w:t>
      </w:r>
      <w:r w:rsidRPr="00E70E7C">
        <w:t xml:space="preserve"> on suppressed wages or intimidation. The emerging evidence</w:t>
      </w:r>
      <w:r w:rsidR="00764073">
        <w:t>, therefore, points to real gains for workers at risk of being left behind during</w:t>
      </w:r>
      <w:r w:rsidRPr="00E70E7C">
        <w:t xml:space="preserve"> liberalization episodes. Still, the experience to date also points to limitations that matter for inclusion. </w:t>
      </w:r>
      <w:r w:rsidR="00764073">
        <w:t>Facility-by-facility enforcement is resource-intensive</w:t>
      </w:r>
      <w:r w:rsidRPr="00E70E7C">
        <w:t xml:space="preserve"> for governments and </w:t>
      </w:r>
      <w:r w:rsidR="00764073">
        <w:t>worker organizations alike</w:t>
      </w:r>
      <w:r w:rsidRPr="00E70E7C">
        <w:t xml:space="preserve">. Coverage is not universal across sectors or regions, and </w:t>
      </w:r>
      <w:r w:rsidR="00764073">
        <w:t>ongoing debates center on</w:t>
      </w:r>
      <w:r w:rsidRPr="00E70E7C">
        <w:t xml:space="preserve"> how to broaden access while preserving due process and speed. Sustaining wage gains and union recognition requires institutional reinforcement through inspectorates, labor courts, and worker training. In other words, the mechanism is a powerful lever</w:t>
      </w:r>
      <w:r w:rsidR="00764073">
        <w:t>. However, it</w:t>
      </w:r>
      <w:r w:rsidRPr="00E70E7C">
        <w:t xml:space="preserve"> is most effective when embedded in </w:t>
      </w:r>
      <w:r w:rsidR="00764073">
        <w:t>a broader</w:t>
      </w:r>
      <w:r w:rsidRPr="00E70E7C">
        <w:t xml:space="preserve"> ecosystem that supports the exercise of rights and the practical administration of remedies. The policy question for inclusive trade is whether future agreements can adopt similar tools </w:t>
      </w:r>
      <w:r w:rsidR="00764073">
        <w:t xml:space="preserve">tailored to the context and </w:t>
      </w:r>
      <w:r w:rsidRPr="00E70E7C">
        <w:t>finance the complementary institutions that make improvements durable.</w:t>
      </w:r>
    </w:p>
    <w:p w14:paraId="17A6F2CD" w14:textId="5FA2A711" w:rsidR="005A201A" w:rsidRPr="00D416BA" w:rsidRDefault="00D416BA" w:rsidP="00E70E7C">
      <w:pPr>
        <w:pStyle w:val="NormalWeb"/>
        <w:spacing w:line="276" w:lineRule="auto"/>
        <w:jc w:val="both"/>
        <w:rPr>
          <w:bCs/>
          <w:i/>
          <w:iCs/>
        </w:rPr>
      </w:pPr>
      <w:r w:rsidRPr="00D416BA">
        <w:rPr>
          <w:bCs/>
          <w:i/>
          <w:iCs/>
        </w:rPr>
        <w:t xml:space="preserve">4.3 </w:t>
      </w:r>
      <w:r w:rsidR="005A201A" w:rsidRPr="00D416BA">
        <w:rPr>
          <w:bCs/>
          <w:i/>
          <w:iCs/>
        </w:rPr>
        <w:t>European Union’s GSP+ Scheme</w:t>
      </w:r>
    </w:p>
    <w:p w14:paraId="7ABD5FFC" w14:textId="4821F4DD" w:rsidR="005A201A" w:rsidRPr="00E70E7C" w:rsidRDefault="005A201A" w:rsidP="00E70E7C">
      <w:pPr>
        <w:pStyle w:val="NormalWeb"/>
        <w:spacing w:line="276" w:lineRule="auto"/>
        <w:jc w:val="both"/>
      </w:pPr>
      <w:r w:rsidRPr="00E70E7C">
        <w:t xml:space="preserve">The European Union’s </w:t>
      </w:r>
      <w:r w:rsidR="00764073" w:rsidRPr="00E70E7C">
        <w:t>Generalized</w:t>
      </w:r>
      <w:r w:rsidRPr="00E70E7C">
        <w:t xml:space="preserve"> Scheme of Preferences Plus offers a third perspective on inclusion through conditional preferences. GSP Plus grants deep tariff preferences to lower</w:t>
      </w:r>
      <w:r w:rsidR="00764073">
        <w:t>- and lower-middle-income countries that ratify and effectively implement 27</w:t>
      </w:r>
      <w:r w:rsidRPr="00E70E7C">
        <w:t xml:space="preserve"> international conventions covering human rights, labor rights, the environment, and good governance (European Commission, 2021; European Commission, n.d. a). The Commission monitors implementation and reports to the Parliament and </w:t>
      </w:r>
      <w:r w:rsidR="00764073">
        <w:t>the Council every two years, creating</w:t>
      </w:r>
      <w:r w:rsidRPr="00E70E7C">
        <w:t xml:space="preserve"> a cycle of dialogue and potential corrective action (European Commission, n.d. b). The scheme’s leverage is visible in country experiences. Sri Lanka’s preferences were withdrawn in 2010 following findings of serious rights shortcomings and then restored in 2017 after a reform program that included steps on reconciliation and rule of law (European Commission, 2017; Democracy Reporting International, 2015). The possibility of withdrawal or of stricter monitoring has also been used to encourage reforms in other beneficiaries. In 2025</w:t>
      </w:r>
      <w:r w:rsidR="00764073">
        <w:t>,</w:t>
      </w:r>
      <w:r w:rsidRPr="00E70E7C">
        <w:t xml:space="preserve"> European officials publicly linked Pakistan’s continued access to GSP Plus to progress on labor and human rights and on media freedom, even as the country recorded high preference use with an estimated </w:t>
      </w:r>
      <w:r w:rsidR="00764073">
        <w:t>eighty-eight</w:t>
      </w:r>
      <w:r w:rsidRPr="00E70E7C">
        <w:t xml:space="preserve"> percent utilization rate in 2023 and a large share of exports to the Union shipped under the scheme (Associated Press, 2025; GSP Hub, 2025).</w:t>
      </w:r>
    </w:p>
    <w:p w14:paraId="1519DD05" w14:textId="7DF00F5D" w:rsidR="00097554" w:rsidRPr="00E70E7C" w:rsidRDefault="005A201A" w:rsidP="00E70E7C">
      <w:pPr>
        <w:pStyle w:val="NormalWeb"/>
        <w:spacing w:line="276" w:lineRule="auto"/>
        <w:jc w:val="both"/>
      </w:pPr>
      <w:r w:rsidRPr="00E70E7C">
        <w:t xml:space="preserve">The development implications of conditionality are </w:t>
      </w:r>
      <w:r w:rsidR="00764073">
        <w:t>two-sided</w:t>
      </w:r>
      <w:r w:rsidRPr="00E70E7C">
        <w:t xml:space="preserve">. On the positive side, preferences lower tariff costs for </w:t>
      </w:r>
      <w:r w:rsidR="00764073">
        <w:t>labor-intensive</w:t>
      </w:r>
      <w:r w:rsidRPr="00E70E7C">
        <w:t xml:space="preserve"> exports from poorer countries and can support employment and earnings in sectors where small firms and vulnerable workers are concentrated. The conditions create incentives to improve rights and governance that have intrinsic value for development. On the other side, compliance imposes administrative and legal costs that can be heavy for countries with limited capacity, and uncertainty about status can discourage investment by smaller producers </w:t>
      </w:r>
      <w:r w:rsidRPr="00E70E7C">
        <w:lastRenderedPageBreak/>
        <w:t xml:space="preserve">and buyers that cannot hedge against policy risk. Policy research on Sri Lanka notes both the benefits of restored access and the lingering uncertainty when political conditions are fragile and monitoring is contested (Institute of Policy Studies of Sri Lanka, 2025). The Commission’s current review of the regime for the period 2024 to 2034 seeks to strengthen the social and environmental pillars while updating the list of conventions and procedures, which may improve clarity if accompanied by technical assistance </w:t>
      </w:r>
      <w:r w:rsidR="00764073">
        <w:t>to help smaller producers meet standards without prohibitive costs</w:t>
      </w:r>
      <w:r w:rsidRPr="00E70E7C">
        <w:t xml:space="preserve"> (European Commission, 2021). For inclusion, the practical question is whether conditional preferences are paired with finance and expertise that reduce compliance costs for small firms and whether monitoring uses clear, public benchmarks that reduce uncertainty while keeping leverage for rights.</w:t>
      </w:r>
    </w:p>
    <w:p w14:paraId="1C40BC85" w14:textId="78DB2CB7" w:rsidR="005A201A" w:rsidRPr="00D416BA" w:rsidRDefault="00D416BA" w:rsidP="00E70E7C">
      <w:pPr>
        <w:pStyle w:val="NormalWeb"/>
        <w:spacing w:line="276" w:lineRule="auto"/>
        <w:jc w:val="both"/>
        <w:rPr>
          <w:bCs/>
          <w:i/>
          <w:iCs/>
        </w:rPr>
      </w:pPr>
      <w:r>
        <w:rPr>
          <w:bCs/>
          <w:i/>
          <w:iCs/>
        </w:rPr>
        <w:t xml:space="preserve">4.4 </w:t>
      </w:r>
      <w:r w:rsidR="005A201A" w:rsidRPr="00D416BA">
        <w:rPr>
          <w:bCs/>
          <w:i/>
          <w:iCs/>
        </w:rPr>
        <w:t>Comparative Evaluation and Policy Lessons</w:t>
      </w:r>
    </w:p>
    <w:p w14:paraId="7A8CFA87" w14:textId="4C4143E6" w:rsidR="005A201A" w:rsidRPr="00E70E7C" w:rsidRDefault="005A201A" w:rsidP="00E70E7C">
      <w:pPr>
        <w:pStyle w:val="NormalWeb"/>
        <w:spacing w:line="276" w:lineRule="auto"/>
        <w:jc w:val="both"/>
      </w:pPr>
      <w:r w:rsidRPr="00E70E7C">
        <w:t xml:space="preserve">A </w:t>
      </w:r>
      <w:r w:rsidR="00764073">
        <w:t>cross-case</w:t>
      </w:r>
      <w:r w:rsidRPr="00E70E7C">
        <w:t xml:space="preserve"> view brings the policy lessons into focus. The </w:t>
      </w:r>
      <w:proofErr w:type="spellStart"/>
      <w:r w:rsidRPr="00E70E7C">
        <w:t>AfCFTA</w:t>
      </w:r>
      <w:proofErr w:type="spellEnd"/>
      <w:r w:rsidRPr="00E70E7C">
        <w:t xml:space="preserve"> </w:t>
      </w:r>
      <w:r w:rsidR="00764073">
        <w:t>holds the promise of continent-scale liberalization to drive price declines, job creation, and firm entry when implementation focuses on cutting fixed costs at borders</w:t>
      </w:r>
      <w:r w:rsidRPr="00E70E7C">
        <w:t xml:space="preserve"> and in compliance. The USMCA shows that labor rights can be enforced quickly and precisely at the facility level</w:t>
      </w:r>
      <w:r w:rsidR="00764073">
        <w:t xml:space="preserve">, thereby raising wages and improving </w:t>
      </w:r>
      <w:r w:rsidRPr="00E70E7C">
        <w:t xml:space="preserve">representation for vulnerable workers in targeted sectors. The GSP Plus scheme shows that conditional preferences can marry lower tariffs with incentives for rights and governance, but that credibility and predictability depend on clear criteria and on support for compliance. Across all three, the difference between aspiration and outcomes lies in enforceability, usability, and capacity. Tariff cuts generate inclusive gains when they focus on goods in poor households’ baskets and on inputs used by small producers, and when they are credible over time. Labor provisions </w:t>
      </w:r>
      <w:r w:rsidR="00764073">
        <w:t>improve wages and job quality when complaints are resolved quickly through transparent processes and when inspectorates and worker organizations have the resources to fulfill</w:t>
      </w:r>
      <w:r w:rsidRPr="00E70E7C">
        <w:t xml:space="preserve"> their roles. Small firm access improves when rules of origin are simple and </w:t>
      </w:r>
      <w:r w:rsidR="00764073">
        <w:t>self-certifiable</w:t>
      </w:r>
      <w:r w:rsidRPr="00E70E7C">
        <w:t xml:space="preserve"> for basic products, when border procedures are electronic and transparent, and when standards cooperation reduces duplication. Conditional regimes promote rights when the path to suspension and restoration is predictable and when beneficiaries have support to meet obligations. The three cases also show that data matters. </w:t>
      </w:r>
      <w:proofErr w:type="spellStart"/>
      <w:r w:rsidRPr="00E70E7C">
        <w:t>AfCFTA</w:t>
      </w:r>
      <w:proofErr w:type="spellEnd"/>
      <w:r w:rsidRPr="00E70E7C">
        <w:t xml:space="preserve"> members need to publish simple indicators such as border release times and small exporter counts to track progress. USMCA parties have improved transparency by publishing RRM petitions and outcomes, and similar reporting could illuminate wage and unionization trends in affected sectors. The Commission’s GSP Plus monitoring could be complemented by clear measures of preference use by small and </w:t>
      </w:r>
      <w:r w:rsidR="00764073">
        <w:t>women-led</w:t>
      </w:r>
      <w:r w:rsidRPr="00E70E7C">
        <w:t xml:space="preserve"> firms alongside rights benchmarks, which would link the trade instrument more t</w:t>
      </w:r>
      <w:bookmarkStart w:id="1" w:name="_GoBack"/>
      <w:bookmarkEnd w:id="1"/>
      <w:r w:rsidRPr="00E70E7C">
        <w:t>ightly to inclusion on the ground.</w:t>
      </w:r>
    </w:p>
    <w:p w14:paraId="0D740070" w14:textId="4F8C9B0E" w:rsidR="00E37C26" w:rsidRPr="00E70E7C" w:rsidRDefault="005A201A" w:rsidP="00E70E7C">
      <w:pPr>
        <w:pStyle w:val="NormalWeb"/>
        <w:spacing w:line="276" w:lineRule="auto"/>
        <w:jc w:val="both"/>
      </w:pPr>
      <w:r w:rsidRPr="00E70E7C">
        <w:t xml:space="preserve">These lessons add up to emerging best practice for inclusive trade design. First, pair market access with mechanisms that raise the probability that the smallest actors can use it. This means </w:t>
      </w:r>
      <w:r w:rsidR="00764073">
        <w:t>usable and straightforward</w:t>
      </w:r>
      <w:r w:rsidRPr="00E70E7C">
        <w:t xml:space="preserve"> rules, digital procedures, and standards cooperation that lower fixed costs. Second, treat labor rights as core economic infrastructure rather than as a separate agenda, and give enforcement tools teeth and timelines while funding institutions that make progress durable. </w:t>
      </w:r>
      <w:r w:rsidRPr="00E70E7C">
        <w:lastRenderedPageBreak/>
        <w:t xml:space="preserve">Third, ensure that any conditionality is matched with technical assistance so that compliance is possible for those with the least capacity, and make the rules and benchmarks public and </w:t>
      </w:r>
      <w:r w:rsidR="00764073">
        <w:t>time-bound</w:t>
      </w:r>
      <w:r w:rsidRPr="00E70E7C">
        <w:t xml:space="preserve"> to reduce uncertainty. Fourth, embed monitoring with indicators that track prices, wages, entry by micro and small firms, and resilience during shocks. Fifth, design for predictability. Standstill clauses and transparent safeguards lower the investment risk faced by small firms and farmers. Sixth, weave gender and digital considerations through the text and the financing from the start rather than adding them later. Finally, accept that inclusion is achieved by cumulative institutional detail rather than by general statements. The three instruments considered here show that </w:t>
      </w:r>
      <w:r w:rsidR="00764073">
        <w:t xml:space="preserve">these details can be written into law and </w:t>
      </w:r>
      <w:r w:rsidRPr="00E70E7C">
        <w:t>implemented, and that when they are, trade policy can serve poverty reduction in visible ways.</w:t>
      </w:r>
    </w:p>
    <w:p w14:paraId="364171AD" w14:textId="7CAFBE83" w:rsidR="00786EC6" w:rsidRPr="00E70E7C" w:rsidRDefault="00D416BA" w:rsidP="00E70E7C">
      <w:pPr>
        <w:pStyle w:val="NormalWeb"/>
        <w:spacing w:line="276" w:lineRule="auto"/>
        <w:jc w:val="both"/>
        <w:rPr>
          <w:b/>
        </w:rPr>
      </w:pPr>
      <w:r>
        <w:rPr>
          <w:b/>
        </w:rPr>
        <w:t>5</w:t>
      </w:r>
      <w:r w:rsidR="00E37C26" w:rsidRPr="00E70E7C">
        <w:rPr>
          <w:b/>
        </w:rPr>
        <w:t>. CONCLUSION AND FUTURE DIRECTIONS</w:t>
      </w:r>
    </w:p>
    <w:p w14:paraId="07B2BB0A" w14:textId="4DEACF81" w:rsidR="00A755F9" w:rsidRPr="00D416BA" w:rsidRDefault="00D416BA" w:rsidP="00E70E7C">
      <w:pPr>
        <w:pStyle w:val="NormalWeb"/>
        <w:spacing w:line="276" w:lineRule="auto"/>
        <w:jc w:val="both"/>
        <w:rPr>
          <w:bCs/>
          <w:i/>
          <w:iCs/>
        </w:rPr>
      </w:pPr>
      <w:r>
        <w:rPr>
          <w:bCs/>
          <w:i/>
          <w:iCs/>
        </w:rPr>
        <w:t xml:space="preserve">5.1 </w:t>
      </w:r>
      <w:r w:rsidR="00A755F9" w:rsidRPr="00D416BA">
        <w:rPr>
          <w:bCs/>
          <w:i/>
          <w:iCs/>
        </w:rPr>
        <w:t>Summary of key findings and contributions</w:t>
      </w:r>
    </w:p>
    <w:p w14:paraId="6EBE2328" w14:textId="642FF94C" w:rsidR="00CD6F95" w:rsidRPr="00E70E7C" w:rsidRDefault="00CD6F95" w:rsidP="00E70E7C">
      <w:pPr>
        <w:pStyle w:val="NormalWeb"/>
        <w:spacing w:line="276" w:lineRule="auto"/>
        <w:jc w:val="both"/>
      </w:pPr>
      <w:r w:rsidRPr="00E70E7C">
        <w:t>The evidence reviewed in this article supports a clear conclusion</w:t>
      </w:r>
      <w:r w:rsidR="00764073">
        <w:t xml:space="preserve">: trade can raise average income through specialization, scale, and reallocation, but whether poor households share in those gains depends on the design and </w:t>
      </w:r>
      <w:r w:rsidRPr="00E70E7C">
        <w:t xml:space="preserve">the strength of institutions that lower fixed costs and protect workers. Empirical studies show that when tariffs </w:t>
      </w:r>
      <w:r w:rsidR="00764073">
        <w:t xml:space="preserve">are reduced on items </w:t>
      </w:r>
      <w:r w:rsidRPr="00E70E7C">
        <w:t xml:space="preserve">poor households buy and on inputs used by small producers, real incomes rise through lower prices, while export growth in </w:t>
      </w:r>
      <w:r w:rsidR="00764073">
        <w:t>labor-intensive</w:t>
      </w:r>
      <w:r w:rsidRPr="00E70E7C">
        <w:t xml:space="preserve"> sectors raises demand for workers (Nicita, 2009; Porto, 2006). Research also shows that adjustment costs can be concentrated and persistent in places with limited mobility and weak support systems, </w:t>
      </w:r>
      <w:r w:rsidR="00764073">
        <w:t>suggesting that an inclusive approach must address distributional effects directly rather than assume</w:t>
      </w:r>
      <w:r w:rsidRPr="00E70E7C">
        <w:t xml:space="preserve"> they will fade on their own (Autor et al., 2013). The policy record adds weight to these points. </w:t>
      </w:r>
      <w:r w:rsidR="00764073">
        <w:t>Facility-level</w:t>
      </w:r>
      <w:r w:rsidRPr="00E70E7C">
        <w:t xml:space="preserve"> labor enforcement under the North American agreement has delivered practical remedies in workplaces and has created incentives that can lift wages and voice for vulnerable workers when supported by local institutions (Office of the United States Trade Representative, 2024; Hummels et al., 201</w:t>
      </w:r>
      <w:r w:rsidR="00C44993">
        <w:t>5</w:t>
      </w:r>
      <w:r w:rsidRPr="00E70E7C">
        <w:t xml:space="preserve">). Continental efforts in Africa suggest </w:t>
      </w:r>
      <w:r w:rsidR="00764073">
        <w:t>significant</w:t>
      </w:r>
      <w:r w:rsidRPr="00E70E7C">
        <w:t xml:space="preserve"> potential gains if tariff cuts are paired with </w:t>
      </w:r>
      <w:r w:rsidR="00764073">
        <w:t>clear rules of origin, faster border processing, and corridor investments</w:t>
      </w:r>
      <w:r w:rsidRPr="00E70E7C">
        <w:t xml:space="preserve"> that reduce costs for small firms (World Bank, 2022). In short, </w:t>
      </w:r>
      <w:r w:rsidR="00764073">
        <w:t>this study's contribution</w:t>
      </w:r>
      <w:r w:rsidRPr="00E70E7C">
        <w:t xml:space="preserve"> is to translate a large body of theory and evidence into a </w:t>
      </w:r>
      <w:r w:rsidR="00764073">
        <w:t>design-oriented</w:t>
      </w:r>
      <w:r w:rsidRPr="00E70E7C">
        <w:t xml:space="preserve"> framework that links treaty provisions to four poverty channels. These are prices and consumption</w:t>
      </w:r>
      <w:r w:rsidR="00764073">
        <w:t>; jobs and earnings; entry and scaling of small firms;</w:t>
      </w:r>
      <w:r w:rsidRPr="00E70E7C">
        <w:t xml:space="preserve"> and resilience when conditions shift.</w:t>
      </w:r>
    </w:p>
    <w:p w14:paraId="0F579C09" w14:textId="2A40B87A" w:rsidR="00A755F9" w:rsidRPr="00D416BA" w:rsidRDefault="00D416BA" w:rsidP="00E70E7C">
      <w:pPr>
        <w:pStyle w:val="NormalWeb"/>
        <w:spacing w:line="276" w:lineRule="auto"/>
        <w:jc w:val="both"/>
        <w:rPr>
          <w:bCs/>
          <w:i/>
          <w:iCs/>
        </w:rPr>
      </w:pPr>
      <w:r w:rsidRPr="00D416BA">
        <w:rPr>
          <w:bCs/>
          <w:i/>
          <w:iCs/>
        </w:rPr>
        <w:t xml:space="preserve">5.2 </w:t>
      </w:r>
      <w:r w:rsidR="00A755F9" w:rsidRPr="00D416BA">
        <w:rPr>
          <w:bCs/>
          <w:i/>
          <w:iCs/>
        </w:rPr>
        <w:t>Policy implications for equitable globalization</w:t>
      </w:r>
    </w:p>
    <w:p w14:paraId="2F09CB54" w14:textId="6BEEE41B" w:rsidR="00CD6F95" w:rsidRPr="00E70E7C" w:rsidRDefault="00CD6F95" w:rsidP="00E70E7C">
      <w:pPr>
        <w:pStyle w:val="NormalWeb"/>
        <w:spacing w:line="276" w:lineRule="auto"/>
        <w:jc w:val="both"/>
      </w:pPr>
      <w:r w:rsidRPr="00E70E7C">
        <w:t xml:space="preserve">The policy implications follow directly. First, governments should treat predictability and usability as core design objectives. Tariff schedules should </w:t>
      </w:r>
      <w:r w:rsidR="00764073">
        <w:t>front-load liberalization on basic consumption items and on inputs for micro and small producers, and legal text should make safeguards transparent and time-bound</w:t>
      </w:r>
      <w:r w:rsidRPr="00E70E7C">
        <w:t xml:space="preserve"> so that small investors are not deterred by uncertainty (Nicita, 2009; Porto, 2006). Second, labor provisions should be enforceable at the workplace with clear timelines </w:t>
      </w:r>
      <w:r w:rsidRPr="00E70E7C">
        <w:lastRenderedPageBreak/>
        <w:t xml:space="preserve">and remedies, and they should be matched with resources for inspectorates, courts, and worker training. This raises the chance that gains </w:t>
      </w:r>
      <w:r w:rsidR="00764073">
        <w:t xml:space="preserve">appear as higher wages and safer conditions for low-wage workers </w:t>
      </w:r>
      <w:r w:rsidRPr="00E70E7C">
        <w:t>(Office of the United States Trade Representative, 2024; Hummels et al., 201</w:t>
      </w:r>
      <w:r w:rsidR="00C44993">
        <w:t>5</w:t>
      </w:r>
      <w:r w:rsidRPr="00E70E7C">
        <w:t>). Third, access for small firms depends on cutting paperwork and delays. Single windows, electronic submission, transparent fee schedules, and simple rules of origin reduce fixed costs that otherwise exclude new and informal entrants, with strong evidence that time and documentation burdens drive up trade costs in ways that bite hardest in poorer economies (</w:t>
      </w:r>
      <w:proofErr w:type="spellStart"/>
      <w:r w:rsidRPr="00E70E7C">
        <w:t>Djankov</w:t>
      </w:r>
      <w:proofErr w:type="spellEnd"/>
      <w:r w:rsidRPr="00E70E7C">
        <w:t xml:space="preserve"> et al., 2010)</w:t>
      </w:r>
      <w:r w:rsidR="00764073">
        <w:t>. Fourth</w:t>
      </w:r>
      <w:r w:rsidRPr="00E70E7C">
        <w:t xml:space="preserve">, capacity matters. Cooperation chapters should include </w:t>
      </w:r>
      <w:r w:rsidR="00764073">
        <w:t>results-based finance that disburses against measurable reductions in border dwell time and documented increases in the number of first-time</w:t>
      </w:r>
      <w:r w:rsidRPr="00E70E7C">
        <w:t xml:space="preserve"> small exporters</w:t>
      </w:r>
      <w:r w:rsidR="00764073">
        <w:t>. They</w:t>
      </w:r>
      <w:r w:rsidRPr="00E70E7C">
        <w:t xml:space="preserve"> should support connectivity and skills so that digital provisions do not widen divides (World Bank, 2022). Fifth, data must be part of the agreement. Regular publication of indicators </w:t>
      </w:r>
      <w:r w:rsidR="00764073">
        <w:t>tracking prices of basic goods, wages, and unionization in covered sectors, border release times, and small-firm</w:t>
      </w:r>
      <w:r w:rsidRPr="00E70E7C">
        <w:t xml:space="preserve"> participation would align implementation with outcomes that matter for poverty.</w:t>
      </w:r>
    </w:p>
    <w:p w14:paraId="25CA28FD" w14:textId="796DE183" w:rsidR="00A755F9" w:rsidRPr="00D416BA" w:rsidRDefault="00D416BA" w:rsidP="00E70E7C">
      <w:pPr>
        <w:pStyle w:val="NormalWeb"/>
        <w:spacing w:line="276" w:lineRule="auto"/>
        <w:jc w:val="both"/>
        <w:rPr>
          <w:bCs/>
          <w:i/>
          <w:iCs/>
        </w:rPr>
      </w:pPr>
      <w:r w:rsidRPr="00D416BA">
        <w:rPr>
          <w:bCs/>
          <w:i/>
          <w:iCs/>
        </w:rPr>
        <w:t xml:space="preserve">5.3 </w:t>
      </w:r>
      <w:r w:rsidR="00A755F9" w:rsidRPr="00D416BA">
        <w:rPr>
          <w:bCs/>
          <w:i/>
          <w:iCs/>
        </w:rPr>
        <w:t>Recommendations for future trade negotiations</w:t>
      </w:r>
    </w:p>
    <w:p w14:paraId="579332B9" w14:textId="074A3823" w:rsidR="00CD6F95" w:rsidRPr="00E70E7C" w:rsidRDefault="00CD6F95" w:rsidP="00E70E7C">
      <w:pPr>
        <w:pStyle w:val="NormalWeb"/>
        <w:spacing w:line="276" w:lineRule="auto"/>
        <w:jc w:val="both"/>
      </w:pPr>
      <w:r w:rsidRPr="00E70E7C">
        <w:t xml:space="preserve">Negotiators can act on these lessons in concrete ways. Place simple and </w:t>
      </w:r>
      <w:r w:rsidR="00764073">
        <w:t>self-certifiable</w:t>
      </w:r>
      <w:r w:rsidRPr="00E70E7C">
        <w:t xml:space="preserve"> origin rules in sectors where small firms operate. Recognize electronic signatures and </w:t>
      </w:r>
      <w:r w:rsidR="00764073" w:rsidRPr="00E70E7C">
        <w:t>invoicing</w:t>
      </w:r>
      <w:r w:rsidR="00764073">
        <w:t>, and require user-friendly</w:t>
      </w:r>
      <w:r w:rsidRPr="00E70E7C">
        <w:t xml:space="preserve"> digital procedures with open interfaces. Build </w:t>
      </w:r>
      <w:r w:rsidR="00764073">
        <w:t>facility-level</w:t>
      </w:r>
      <w:r w:rsidRPr="00E70E7C">
        <w:t xml:space="preserve"> labor recourse with protection for whistleblowers and with a ladder of remedies that </w:t>
      </w:r>
      <w:r w:rsidR="00764073" w:rsidRPr="00E70E7C">
        <w:t>escalate</w:t>
      </w:r>
      <w:r w:rsidRPr="00E70E7C">
        <w:t xml:space="preserve"> when employers do not comply. Pair any conditional preferences with technical assistance that lowers compliance costs for smaller producers. Require </w:t>
      </w:r>
      <w:r w:rsidR="00764073">
        <w:t>poverty-focused</w:t>
      </w:r>
      <w:r w:rsidRPr="00E70E7C">
        <w:t xml:space="preserve"> ex ante analysis of tariff schedules and publish the analysis alongside the offer. Create review clauses that maintain market openness during uncertainty and that trigger support for least developed partners when external shocks threaten preference margins. These steps do not expand the scope of trade policy so much as they align it with the central goal of equitable globalization.</w:t>
      </w:r>
    </w:p>
    <w:p w14:paraId="450DC19E" w14:textId="472DC6B0" w:rsidR="007976E6" w:rsidRPr="00D416BA" w:rsidRDefault="00D416BA" w:rsidP="00E70E7C">
      <w:pPr>
        <w:pStyle w:val="NormalWeb"/>
        <w:spacing w:line="276" w:lineRule="auto"/>
        <w:jc w:val="both"/>
        <w:rPr>
          <w:bCs/>
          <w:i/>
          <w:iCs/>
        </w:rPr>
      </w:pPr>
      <w:r w:rsidRPr="00D416BA">
        <w:rPr>
          <w:bCs/>
          <w:i/>
          <w:iCs/>
        </w:rPr>
        <w:t xml:space="preserve">5.4 </w:t>
      </w:r>
      <w:r w:rsidR="007976E6" w:rsidRPr="00D416BA">
        <w:rPr>
          <w:bCs/>
          <w:i/>
          <w:iCs/>
        </w:rPr>
        <w:t>Conclusion</w:t>
      </w:r>
    </w:p>
    <w:p w14:paraId="3BC99F25" w14:textId="5F363A9C" w:rsidR="006E19A5" w:rsidRDefault="00CD6F95" w:rsidP="00E70E7C">
      <w:pPr>
        <w:pStyle w:val="NormalWeb"/>
        <w:spacing w:line="276" w:lineRule="auto"/>
        <w:jc w:val="both"/>
      </w:pPr>
      <w:r w:rsidRPr="00E70E7C">
        <w:t xml:space="preserve">Trade is not an end in itself. It is a tool to expand </w:t>
      </w:r>
      <w:r w:rsidR="00764073">
        <w:t>people's possibilities</w:t>
      </w:r>
      <w:r w:rsidRPr="00E70E7C">
        <w:t xml:space="preserve">. The record suggests that when agreements are designed to lower the cost of essentials, </w:t>
      </w:r>
      <w:r w:rsidR="00764073">
        <w:t xml:space="preserve">raise workers' bargaining power, and </w:t>
      </w:r>
      <w:r w:rsidRPr="00E70E7C">
        <w:t>bring small firms into formal markets, they can contribute to poverty reduction alongside domestic policy. The alternative is to leave inclusion to chance and to accept a politics shaped by the places and workers who feel left out. A pro equity approach takes the details seriously. It builds enforceable rights, usable rules, and financed capacity into the text. It measures what matters for the poorest households and adjusts course when results lag. If governments adopt this approach, trade policy can support a more stable and fair global economy where opportunity is not reserved for the few but is widened through rules that many can use (World Trade Organization, 2024).</w:t>
      </w:r>
    </w:p>
    <w:p w14:paraId="40EB12A0" w14:textId="77777777" w:rsidR="00547EF0" w:rsidRDefault="00547EF0" w:rsidP="00E70E7C">
      <w:pPr>
        <w:pStyle w:val="NormalWeb"/>
        <w:spacing w:line="276" w:lineRule="auto"/>
        <w:jc w:val="both"/>
      </w:pPr>
    </w:p>
    <w:p w14:paraId="6E7F8AA3" w14:textId="246B13BC" w:rsidR="00547EF0" w:rsidRPr="00547EF0" w:rsidRDefault="00547EF0" w:rsidP="00547EF0">
      <w:pPr>
        <w:pStyle w:val="NormalWeb"/>
        <w:spacing w:line="276" w:lineRule="auto"/>
        <w:jc w:val="center"/>
        <w:rPr>
          <w:b/>
        </w:rPr>
      </w:pPr>
      <w:r w:rsidRPr="00547EF0">
        <w:rPr>
          <w:b/>
        </w:rPr>
        <w:lastRenderedPageBreak/>
        <w:t>REFERENCES</w:t>
      </w:r>
    </w:p>
    <w:p w14:paraId="2DF67C89" w14:textId="77777777" w:rsidR="00547EF0" w:rsidRDefault="00547EF0" w:rsidP="002B2A08">
      <w:pPr>
        <w:pStyle w:val="NormalWeb"/>
        <w:ind w:hanging="720"/>
      </w:pPr>
      <w:proofErr w:type="spellStart"/>
      <w:r>
        <w:t>Afriwise</w:t>
      </w:r>
      <w:proofErr w:type="spellEnd"/>
      <w:r>
        <w:t xml:space="preserve">. (2025). </w:t>
      </w:r>
      <w:r>
        <w:rPr>
          <w:rStyle w:val="Emphasis"/>
        </w:rPr>
        <w:t xml:space="preserve">Ethiopia implements </w:t>
      </w:r>
      <w:proofErr w:type="spellStart"/>
      <w:r>
        <w:rPr>
          <w:rStyle w:val="Emphasis"/>
        </w:rPr>
        <w:t>AfCFTA</w:t>
      </w:r>
      <w:proofErr w:type="spellEnd"/>
      <w:r>
        <w:rPr>
          <w:rStyle w:val="Emphasis"/>
        </w:rPr>
        <w:t xml:space="preserve"> tariff concessions: Council of Ministers Regulation No. 574/2025</w:t>
      </w:r>
      <w:r>
        <w:t xml:space="preserve">. </w:t>
      </w:r>
      <w:hyperlink r:id="rId6" w:history="1">
        <w:r w:rsidRPr="00AF14BA">
          <w:rPr>
            <w:rStyle w:val="Hyperlink"/>
          </w:rPr>
          <w:t>https://www.afriwise.com/blog/ethiopia-implements-afcfta-tariff-concessions-council-of-ministers-regulation-no-574-2025</w:t>
        </w:r>
      </w:hyperlink>
      <w:r>
        <w:t xml:space="preserve"> </w:t>
      </w:r>
    </w:p>
    <w:p w14:paraId="64146E35" w14:textId="77777777" w:rsidR="00547EF0" w:rsidRDefault="00547EF0" w:rsidP="002B2A08">
      <w:pPr>
        <w:pStyle w:val="NormalWeb"/>
        <w:ind w:hanging="720"/>
      </w:pPr>
      <w:r>
        <w:t xml:space="preserve">Amiti, M., &amp; </w:t>
      </w:r>
      <w:proofErr w:type="spellStart"/>
      <w:r>
        <w:t>Konings</w:t>
      </w:r>
      <w:proofErr w:type="spellEnd"/>
      <w:r>
        <w:t xml:space="preserve">, J. (2007). Trade liberalization, intermediate inputs, and productivity: Evidence from Indonesia. </w:t>
      </w:r>
      <w:r>
        <w:rPr>
          <w:rStyle w:val="Emphasis"/>
        </w:rPr>
        <w:t>American Economic Review, 97</w:t>
      </w:r>
      <w:r>
        <w:t xml:space="preserve">(5), 1611–1638. </w:t>
      </w:r>
      <w:hyperlink r:id="rId7" w:history="1">
        <w:r w:rsidRPr="00AF14BA">
          <w:rPr>
            <w:rStyle w:val="Hyperlink"/>
          </w:rPr>
          <w:t>https://doi.org/10.1257/aer.97.5.1611</w:t>
        </w:r>
      </w:hyperlink>
      <w:r>
        <w:t xml:space="preserve"> </w:t>
      </w:r>
    </w:p>
    <w:p w14:paraId="7ED4CA4E" w14:textId="77777777" w:rsidR="00547EF0" w:rsidRDefault="00547EF0" w:rsidP="002B2A08">
      <w:pPr>
        <w:pStyle w:val="NormalWeb"/>
        <w:ind w:hanging="720"/>
      </w:pPr>
      <w:r>
        <w:t xml:space="preserve">Anderson, J. E., &amp; van </w:t>
      </w:r>
      <w:proofErr w:type="spellStart"/>
      <w:r>
        <w:t>Wincoop</w:t>
      </w:r>
      <w:proofErr w:type="spellEnd"/>
      <w:r>
        <w:t xml:space="preserve">, E. (2004). Trade costs. </w:t>
      </w:r>
      <w:r>
        <w:rPr>
          <w:rStyle w:val="Emphasis"/>
        </w:rPr>
        <w:t>Journal of Economic Literature, 42</w:t>
      </w:r>
      <w:r>
        <w:t xml:space="preserve">(3), 691–751. </w:t>
      </w:r>
      <w:hyperlink r:id="rId8" w:history="1">
        <w:r w:rsidRPr="00AF14BA">
          <w:rPr>
            <w:rStyle w:val="Hyperlink"/>
          </w:rPr>
          <w:t>https://doi.org/10.1257/0022051042177649</w:t>
        </w:r>
      </w:hyperlink>
      <w:r>
        <w:t xml:space="preserve"> </w:t>
      </w:r>
    </w:p>
    <w:p w14:paraId="4462177C" w14:textId="77777777" w:rsidR="00547EF0" w:rsidRDefault="00547EF0" w:rsidP="002B2A08">
      <w:pPr>
        <w:pStyle w:val="NormalWeb"/>
        <w:ind w:hanging="720"/>
      </w:pPr>
      <w:r>
        <w:t xml:space="preserve">Associated Press. (2025, February 20). </w:t>
      </w:r>
      <w:r>
        <w:rPr>
          <w:rStyle w:val="Emphasis"/>
        </w:rPr>
        <w:t>Pakistan’s favorable trade status depends on progress in human rights, media freedom, EU says</w:t>
      </w:r>
      <w:r>
        <w:t xml:space="preserve">. </w:t>
      </w:r>
      <w:hyperlink r:id="rId9" w:history="1">
        <w:r w:rsidRPr="00AF14BA">
          <w:rPr>
            <w:rStyle w:val="Hyperlink"/>
          </w:rPr>
          <w:t>https://apnews.com/article/3ca5ff615dcbd283ffefc7cf825cf096</w:t>
        </w:r>
      </w:hyperlink>
      <w:r>
        <w:t xml:space="preserve"> </w:t>
      </w:r>
    </w:p>
    <w:p w14:paraId="022BC159" w14:textId="77777777" w:rsidR="00547EF0" w:rsidRDefault="00547EF0" w:rsidP="002B2A08">
      <w:pPr>
        <w:pStyle w:val="NormalWeb"/>
        <w:ind w:hanging="720"/>
      </w:pPr>
      <w:r>
        <w:t xml:space="preserve">Associated Press. (2025, January 2). US hikes tariffs on imports of Chinese solar wafers, polysilicon and tungsten products. </w:t>
      </w:r>
      <w:hyperlink r:id="rId10" w:history="1">
        <w:r w:rsidRPr="00AF14BA">
          <w:rPr>
            <w:rStyle w:val="Hyperlink"/>
          </w:rPr>
          <w:t>https://apnews.com/article/a9653d4b14051d78314c2bd8111510e7</w:t>
        </w:r>
      </w:hyperlink>
      <w:r>
        <w:t xml:space="preserve"> </w:t>
      </w:r>
    </w:p>
    <w:p w14:paraId="63A529E1" w14:textId="77777777" w:rsidR="00547EF0" w:rsidRDefault="00547EF0" w:rsidP="002B2A08">
      <w:pPr>
        <w:pStyle w:val="NormalWeb"/>
        <w:ind w:hanging="720"/>
      </w:pPr>
      <w:r>
        <w:t xml:space="preserve">Autor, D. H., Dorn, D., &amp; Hanson, G. H. (2013). The China syndrome: Local labor market effects of import competition in the United States. </w:t>
      </w:r>
      <w:r>
        <w:rPr>
          <w:rStyle w:val="Emphasis"/>
        </w:rPr>
        <w:t>American Economic Review, 103</w:t>
      </w:r>
      <w:r>
        <w:t xml:space="preserve">(6), 2121–2168. </w:t>
      </w:r>
      <w:hyperlink r:id="rId11" w:history="1">
        <w:r w:rsidRPr="00AF14BA">
          <w:rPr>
            <w:rStyle w:val="Hyperlink"/>
          </w:rPr>
          <w:t>https://doi.org/10.1257/aer.103.6.2121</w:t>
        </w:r>
      </w:hyperlink>
      <w:r>
        <w:t xml:space="preserve">  </w:t>
      </w:r>
    </w:p>
    <w:p w14:paraId="52447F92" w14:textId="77777777" w:rsidR="00547EF0" w:rsidRDefault="00547EF0" w:rsidP="002B2A08">
      <w:pPr>
        <w:pStyle w:val="NormalWeb"/>
        <w:ind w:hanging="720"/>
      </w:pPr>
      <w:r>
        <w:t xml:space="preserve">Congressional Research Service. (2023, May 3). </w:t>
      </w:r>
      <w:r>
        <w:rPr>
          <w:rStyle w:val="Emphasis"/>
        </w:rPr>
        <w:t>African Continental Free Trade Area (</w:t>
      </w:r>
      <w:proofErr w:type="spellStart"/>
      <w:r>
        <w:rPr>
          <w:rStyle w:val="Emphasis"/>
        </w:rPr>
        <w:t>AfCFTA</w:t>
      </w:r>
      <w:proofErr w:type="spellEnd"/>
      <w:r>
        <w:rPr>
          <w:rStyle w:val="Emphasis"/>
        </w:rPr>
        <w:t>): Overview and issues</w:t>
      </w:r>
      <w:r>
        <w:t xml:space="preserve"> (CRS In Focus R47197). </w:t>
      </w:r>
      <w:hyperlink r:id="rId12" w:history="1">
        <w:r w:rsidRPr="00AF14BA">
          <w:rPr>
            <w:rStyle w:val="Hyperlink"/>
          </w:rPr>
          <w:t>https://www.congress.gov/crs-product/R47197</w:t>
        </w:r>
      </w:hyperlink>
      <w:r>
        <w:t xml:space="preserve"> </w:t>
      </w:r>
    </w:p>
    <w:p w14:paraId="28DEE4EC" w14:textId="77777777" w:rsidR="00547EF0" w:rsidRDefault="00547EF0" w:rsidP="002B2A08">
      <w:pPr>
        <w:pStyle w:val="NormalWeb"/>
        <w:ind w:hanging="720"/>
      </w:pPr>
      <w:r>
        <w:t xml:space="preserve">Covington &amp; Burling. (2024, May 9). </w:t>
      </w:r>
      <w:r>
        <w:rPr>
          <w:rStyle w:val="Emphasis"/>
        </w:rPr>
        <w:t>Four years of the USMCA Rapid Response Labor Mechanism</w:t>
      </w:r>
      <w:r>
        <w:t xml:space="preserve">. </w:t>
      </w:r>
      <w:hyperlink r:id="rId13" w:history="1">
        <w:r w:rsidRPr="00AF14BA">
          <w:rPr>
            <w:rStyle w:val="Hyperlink"/>
          </w:rPr>
          <w:t>https://www.cov.com/en/news-and-insights/insights/2024/05/four-years-of-the-usmca-rapid-response-labor-mechanism</w:t>
        </w:r>
      </w:hyperlink>
      <w:r>
        <w:t xml:space="preserve"> </w:t>
      </w:r>
    </w:p>
    <w:p w14:paraId="0A010642" w14:textId="77777777" w:rsidR="00547EF0" w:rsidRDefault="00547EF0" w:rsidP="002B2A08">
      <w:pPr>
        <w:pStyle w:val="NormalWeb"/>
        <w:ind w:hanging="720"/>
      </w:pPr>
      <w:r>
        <w:t xml:space="preserve">Democracy Reporting International. (2015). </w:t>
      </w:r>
      <w:r>
        <w:rPr>
          <w:rStyle w:val="Emphasis"/>
        </w:rPr>
        <w:t>GSP+ and Sri Lanka</w:t>
      </w:r>
      <w:r>
        <w:t xml:space="preserve">. </w:t>
      </w:r>
      <w:hyperlink r:id="rId14" w:history="1">
        <w:r w:rsidRPr="00AF14BA">
          <w:rPr>
            <w:rStyle w:val="Hyperlink"/>
          </w:rPr>
          <w:t>https://democracyreporting.s3.eu-central-1.amazonaws.com/images/3142GSP-and-Sri-Lanka_ENG-1.pdf</w:t>
        </w:r>
      </w:hyperlink>
      <w:r>
        <w:t xml:space="preserve"> </w:t>
      </w:r>
    </w:p>
    <w:p w14:paraId="6459C141" w14:textId="77777777" w:rsidR="00547EF0" w:rsidRDefault="00547EF0" w:rsidP="002B2A08">
      <w:pPr>
        <w:pStyle w:val="NormalWeb"/>
        <w:ind w:hanging="720"/>
      </w:pPr>
      <w:r>
        <w:t xml:space="preserve">Djankov, S., Freund, C., &amp; Pham, C. S. (2010). Trading on time. </w:t>
      </w:r>
      <w:r>
        <w:rPr>
          <w:rStyle w:val="Emphasis"/>
        </w:rPr>
        <w:t>Review of Economics and Statistics, 92</w:t>
      </w:r>
      <w:r>
        <w:t xml:space="preserve">(1), 166–173. </w:t>
      </w:r>
      <w:hyperlink r:id="rId15" w:history="1">
        <w:r w:rsidRPr="00AF14BA">
          <w:rPr>
            <w:rStyle w:val="Hyperlink"/>
          </w:rPr>
          <w:t>https://doi.org/10.1162/rest.2009.11498</w:t>
        </w:r>
      </w:hyperlink>
      <w:r>
        <w:t xml:space="preserve"> </w:t>
      </w:r>
    </w:p>
    <w:p w14:paraId="6257CC0E" w14:textId="77777777" w:rsidR="00547EF0" w:rsidRDefault="00547EF0" w:rsidP="002B2A08">
      <w:pPr>
        <w:pStyle w:val="NormalWeb"/>
        <w:ind w:hanging="720"/>
      </w:pPr>
      <w:r>
        <w:t xml:space="preserve">Dollar, D., &amp; Kraay, A. (2004). Trade, growth, and poverty. </w:t>
      </w:r>
      <w:r>
        <w:rPr>
          <w:rStyle w:val="Emphasis"/>
        </w:rPr>
        <w:t>The Economic Journal, 114</w:t>
      </w:r>
      <w:r>
        <w:t xml:space="preserve">(493), F22–F49. </w:t>
      </w:r>
      <w:hyperlink r:id="rId16" w:history="1">
        <w:r w:rsidRPr="00AF14BA">
          <w:rPr>
            <w:rStyle w:val="Hyperlink"/>
          </w:rPr>
          <w:t>https://doi.org/10.1111/j.0013-0133.2004.00186.x</w:t>
        </w:r>
      </w:hyperlink>
      <w:r>
        <w:t xml:space="preserve">   </w:t>
      </w:r>
      <w:hyperlink r:id="rId17" w:tgtFrame="_blank" w:history="1"/>
    </w:p>
    <w:p w14:paraId="5D3C0F13" w14:textId="77777777" w:rsidR="00547EF0" w:rsidRDefault="00547EF0" w:rsidP="002B2A08">
      <w:pPr>
        <w:pStyle w:val="NormalWeb"/>
        <w:ind w:hanging="720"/>
      </w:pPr>
      <w:r>
        <w:t xml:space="preserve">Ecofin Agency. (2025, October 13). </w:t>
      </w:r>
      <w:proofErr w:type="spellStart"/>
      <w:r>
        <w:rPr>
          <w:rStyle w:val="Emphasis"/>
        </w:rPr>
        <w:t>AfCFTA’s</w:t>
      </w:r>
      <w:proofErr w:type="spellEnd"/>
      <w:r>
        <w:rPr>
          <w:rStyle w:val="Emphasis"/>
        </w:rPr>
        <w:t xml:space="preserve"> first trade flows begin, but a long road lies ahead</w:t>
      </w:r>
      <w:r>
        <w:t xml:space="preserve">. </w:t>
      </w:r>
      <w:hyperlink r:id="rId18" w:history="1">
        <w:r w:rsidRPr="00AF14BA">
          <w:rPr>
            <w:rStyle w:val="Hyperlink"/>
          </w:rPr>
          <w:t>https://www.ecofinagency.com/news/1310-49487-afcftas-first-trade-flows-begin-but-a-long-road-lies-ahead</w:t>
        </w:r>
      </w:hyperlink>
      <w:r>
        <w:t xml:space="preserve"> </w:t>
      </w:r>
    </w:p>
    <w:p w14:paraId="641B2B82" w14:textId="77777777" w:rsidR="00547EF0" w:rsidRDefault="00547EF0" w:rsidP="002B2A08">
      <w:pPr>
        <w:pStyle w:val="NormalWeb"/>
        <w:ind w:hanging="720"/>
      </w:pPr>
      <w:r>
        <w:t xml:space="preserve">European Commission. (2017, January 11). </w:t>
      </w:r>
      <w:r>
        <w:rPr>
          <w:rStyle w:val="Emphasis"/>
        </w:rPr>
        <w:t>Commission proposes reinstatement of GSP+ for Sri Lanka</w:t>
      </w:r>
      <w:r>
        <w:t xml:space="preserve">. </w:t>
      </w:r>
      <w:hyperlink r:id="rId19" w:history="1">
        <w:r w:rsidRPr="00AF14BA">
          <w:rPr>
            <w:rStyle w:val="Hyperlink"/>
          </w:rPr>
          <w:t>https://www.eeas.europa.eu/node/18891</w:t>
        </w:r>
      </w:hyperlink>
      <w:r>
        <w:t xml:space="preserve"> </w:t>
      </w:r>
    </w:p>
    <w:p w14:paraId="016111BE" w14:textId="77777777" w:rsidR="00547EF0" w:rsidRDefault="00547EF0" w:rsidP="002B2A08">
      <w:pPr>
        <w:pStyle w:val="NormalWeb"/>
        <w:ind w:hanging="720"/>
      </w:pPr>
      <w:r>
        <w:lastRenderedPageBreak/>
        <w:t xml:space="preserve">European Commission. (2021, September 22). </w:t>
      </w:r>
      <w:r>
        <w:rPr>
          <w:rStyle w:val="Emphasis"/>
        </w:rPr>
        <w:t>GSP review 2024 to 2034</w:t>
      </w:r>
      <w:r>
        <w:t xml:space="preserve">. </w:t>
      </w:r>
      <w:hyperlink r:id="rId20" w:history="1">
        <w:r w:rsidRPr="00AF14BA">
          <w:rPr>
            <w:rStyle w:val="Hyperlink"/>
          </w:rPr>
          <w:t>https://policy.trade.ec.europa.eu/development-and-sustainability/generalised-scheme-preferences_en</w:t>
        </w:r>
      </w:hyperlink>
      <w:r>
        <w:t xml:space="preserve"> </w:t>
      </w:r>
    </w:p>
    <w:p w14:paraId="03F24EA3" w14:textId="77777777" w:rsidR="00547EF0" w:rsidRDefault="00547EF0" w:rsidP="002B2A08">
      <w:pPr>
        <w:pStyle w:val="NormalWeb"/>
        <w:ind w:hanging="720"/>
      </w:pPr>
      <w:r>
        <w:t xml:space="preserve">European Commission. (n.d. a). </w:t>
      </w:r>
      <w:proofErr w:type="spellStart"/>
      <w:r>
        <w:rPr>
          <w:rStyle w:val="Emphasis"/>
        </w:rPr>
        <w:t>Generalised</w:t>
      </w:r>
      <w:proofErr w:type="spellEnd"/>
      <w:r>
        <w:rPr>
          <w:rStyle w:val="Emphasis"/>
        </w:rPr>
        <w:t xml:space="preserve"> Scheme of Preferences Plus (GSP+)</w:t>
      </w:r>
      <w:r>
        <w:t xml:space="preserve">. </w:t>
      </w:r>
      <w:hyperlink r:id="rId21" w:history="1">
        <w:r w:rsidRPr="00AF14BA">
          <w:rPr>
            <w:rStyle w:val="Hyperlink"/>
          </w:rPr>
          <w:t>https://trade.ec.europa.eu/access-to-markets/en/content/generalised-scheme-preferences-plus-gsp</w:t>
        </w:r>
      </w:hyperlink>
      <w:r>
        <w:t xml:space="preserve"> </w:t>
      </w:r>
    </w:p>
    <w:p w14:paraId="01BF87EE" w14:textId="77777777" w:rsidR="00547EF0" w:rsidRDefault="00547EF0" w:rsidP="002B2A08">
      <w:pPr>
        <w:pStyle w:val="NormalWeb"/>
        <w:ind w:hanging="720"/>
      </w:pPr>
      <w:r>
        <w:t xml:space="preserve">European Commission. (n.d. b). </w:t>
      </w:r>
      <w:proofErr w:type="spellStart"/>
      <w:r>
        <w:rPr>
          <w:rStyle w:val="Emphasis"/>
        </w:rPr>
        <w:t>Generalised</w:t>
      </w:r>
      <w:proofErr w:type="spellEnd"/>
      <w:r>
        <w:rPr>
          <w:rStyle w:val="Emphasis"/>
        </w:rPr>
        <w:t xml:space="preserve"> Scheme of Preferences: Review and monitoring</w:t>
      </w:r>
      <w:r>
        <w:t xml:space="preserve">. </w:t>
      </w:r>
      <w:hyperlink r:id="rId22" w:history="1">
        <w:r w:rsidRPr="00AF14BA">
          <w:rPr>
            <w:rStyle w:val="Hyperlink"/>
          </w:rPr>
          <w:t>https://policy.trade.ec.europa.eu/development-and-sustainability/generalised-scheme-preferences_en</w:t>
        </w:r>
      </w:hyperlink>
      <w:r>
        <w:t xml:space="preserve"> </w:t>
      </w:r>
    </w:p>
    <w:p w14:paraId="2BCE63BA" w14:textId="77777777" w:rsidR="00547EF0" w:rsidRDefault="00547EF0" w:rsidP="002B2A08">
      <w:pPr>
        <w:pStyle w:val="NormalWeb"/>
        <w:ind w:hanging="720"/>
      </w:pPr>
      <w:r>
        <w:t xml:space="preserve">Frankel, J. A., &amp; Romer, D. (1999). Does trade cause growth? </w:t>
      </w:r>
      <w:r>
        <w:rPr>
          <w:rStyle w:val="Emphasis"/>
        </w:rPr>
        <w:t>American Economic Review, 89</w:t>
      </w:r>
      <w:r>
        <w:t xml:space="preserve">(3), 379–399. </w:t>
      </w:r>
      <w:hyperlink r:id="rId23" w:history="1">
        <w:r w:rsidRPr="00AF14BA">
          <w:rPr>
            <w:rStyle w:val="Hyperlink"/>
          </w:rPr>
          <w:t>https://doi.org/10.1257/aer.89.3.379</w:t>
        </w:r>
      </w:hyperlink>
      <w:r>
        <w:t xml:space="preserve"> </w:t>
      </w:r>
    </w:p>
    <w:p w14:paraId="27D49BDC" w14:textId="77777777" w:rsidR="00547EF0" w:rsidRDefault="00547EF0" w:rsidP="002B2A08">
      <w:pPr>
        <w:pStyle w:val="NormalWeb"/>
        <w:ind w:hanging="720"/>
      </w:pPr>
      <w:r>
        <w:t xml:space="preserve">Goldberg, P. K., &amp; </w:t>
      </w:r>
      <w:proofErr w:type="spellStart"/>
      <w:r>
        <w:t>Pavcnik</w:t>
      </w:r>
      <w:proofErr w:type="spellEnd"/>
      <w:r>
        <w:t xml:space="preserve">, N. (2007). Distributional effects of globalization in developing countries. </w:t>
      </w:r>
      <w:r>
        <w:rPr>
          <w:rStyle w:val="Emphasis"/>
        </w:rPr>
        <w:t>Journal of Economic Literature, 45</w:t>
      </w:r>
      <w:r>
        <w:t xml:space="preserve">(1), 39–82. </w:t>
      </w:r>
      <w:hyperlink r:id="rId24" w:history="1">
        <w:r w:rsidRPr="00AF14BA">
          <w:rPr>
            <w:rStyle w:val="Hyperlink"/>
          </w:rPr>
          <w:t>https://doi.org/10.1257/jel.45.1.39</w:t>
        </w:r>
      </w:hyperlink>
      <w:r>
        <w:t xml:space="preserve">  </w:t>
      </w:r>
    </w:p>
    <w:p w14:paraId="226C124D" w14:textId="77777777" w:rsidR="00547EF0" w:rsidRDefault="00547EF0" w:rsidP="002B2A08">
      <w:pPr>
        <w:pStyle w:val="NormalWeb"/>
        <w:ind w:hanging="720"/>
      </w:pPr>
      <w:r>
        <w:t xml:space="preserve">GSP Hub. (2025, August 1). </w:t>
      </w:r>
      <w:r>
        <w:rPr>
          <w:rStyle w:val="Emphasis"/>
        </w:rPr>
        <w:t>Monitoring missions and priorities in Pakistan</w:t>
      </w:r>
      <w:r>
        <w:t xml:space="preserve">. </w:t>
      </w:r>
      <w:hyperlink r:id="rId25" w:history="1">
        <w:r w:rsidRPr="00AF14BA">
          <w:rPr>
            <w:rStyle w:val="Hyperlink"/>
          </w:rPr>
          <w:t>https://gsphub.eu/country-info/Pakistan</w:t>
        </w:r>
      </w:hyperlink>
      <w:r>
        <w:t xml:space="preserve"> </w:t>
      </w:r>
    </w:p>
    <w:p w14:paraId="2706E379" w14:textId="77777777" w:rsidR="00547EF0" w:rsidRDefault="00547EF0" w:rsidP="002B2A08">
      <w:pPr>
        <w:pStyle w:val="NormalWeb"/>
        <w:ind w:hanging="720"/>
      </w:pPr>
      <w:proofErr w:type="spellStart"/>
      <w:r>
        <w:t>Helpman</w:t>
      </w:r>
      <w:proofErr w:type="spellEnd"/>
      <w:r>
        <w:t xml:space="preserve">, E., </w:t>
      </w:r>
      <w:proofErr w:type="spellStart"/>
      <w:r>
        <w:t>Itskhoki</w:t>
      </w:r>
      <w:proofErr w:type="spellEnd"/>
      <w:r>
        <w:t xml:space="preserve">, O., &amp; Redding, S. (2010). Inequality and unemployment in a global economy. </w:t>
      </w:r>
      <w:proofErr w:type="spellStart"/>
      <w:r>
        <w:rPr>
          <w:rStyle w:val="Emphasis"/>
        </w:rPr>
        <w:t>Econometrica</w:t>
      </w:r>
      <w:proofErr w:type="spellEnd"/>
      <w:r>
        <w:rPr>
          <w:rStyle w:val="Emphasis"/>
        </w:rPr>
        <w:t>, 78</w:t>
      </w:r>
      <w:r>
        <w:t xml:space="preserve">(4), 1239–1283. </w:t>
      </w:r>
      <w:hyperlink r:id="rId26" w:history="1">
        <w:r w:rsidRPr="00AF14BA">
          <w:rPr>
            <w:rStyle w:val="Hyperlink"/>
          </w:rPr>
          <w:t>https://doi.org/10.3982/ECTA8640</w:t>
        </w:r>
      </w:hyperlink>
      <w:r>
        <w:t xml:space="preserve"> </w:t>
      </w:r>
    </w:p>
    <w:p w14:paraId="4E516815" w14:textId="18FC2D29" w:rsidR="00547EF0" w:rsidRDefault="00547EF0" w:rsidP="002B2A08">
      <w:pPr>
        <w:pStyle w:val="NormalWeb"/>
        <w:ind w:hanging="720"/>
      </w:pPr>
      <w:r>
        <w:t>Hummels, D., Munch, J., &amp; Xiang, C. (201</w:t>
      </w:r>
      <w:r w:rsidR="00C44993">
        <w:t>5</w:t>
      </w:r>
      <w:r>
        <w:t xml:space="preserve">). No pain, no gain: </w:t>
      </w:r>
      <w:r w:rsidRPr="009201B3">
        <w:t>The Effects of Exports on Job Injury and </w:t>
      </w:r>
      <w:proofErr w:type="gramStart"/>
      <w:r w:rsidRPr="009201B3">
        <w:t>Sickness</w:t>
      </w:r>
      <w:r>
        <w:t xml:space="preserve"> .</w:t>
      </w:r>
      <w:proofErr w:type="gramEnd"/>
      <w:r>
        <w:t xml:space="preserve"> </w:t>
      </w:r>
      <w:hyperlink r:id="rId27" w:history="1">
        <w:r w:rsidRPr="00AF14BA">
          <w:rPr>
            <w:rStyle w:val="Hyperlink"/>
          </w:rPr>
          <w:t>https://www.foodsecurityportal.org/sites/default/files/2020-10/Chong%20Xiang_0.pdf</w:t>
        </w:r>
      </w:hyperlink>
      <w:r>
        <w:rPr>
          <w:rStyle w:val="Emphasis"/>
        </w:rPr>
        <w:t xml:space="preserve"> </w:t>
      </w:r>
    </w:p>
    <w:p w14:paraId="2412C047" w14:textId="59A21717" w:rsidR="00547EF0" w:rsidRPr="002B2A08" w:rsidRDefault="00547EF0" w:rsidP="002B2A08">
      <w:pPr>
        <w:pStyle w:val="NormalWeb"/>
        <w:ind w:hanging="720"/>
      </w:pPr>
      <w:r w:rsidRPr="002B2A08">
        <w:t>International Trade Centre. (202</w:t>
      </w:r>
      <w:r w:rsidR="002B2A08" w:rsidRPr="002B2A08">
        <w:t>1</w:t>
      </w:r>
      <w:r w:rsidRPr="002B2A08">
        <w:t xml:space="preserve">). </w:t>
      </w:r>
      <w:r w:rsidRPr="002B2A08">
        <w:rPr>
          <w:rStyle w:val="Emphasis"/>
        </w:rPr>
        <w:t>Making trade policy work for women: From design to evaluation</w:t>
      </w:r>
      <w:r w:rsidRPr="002B2A08">
        <w:t xml:space="preserve">. </w:t>
      </w:r>
      <w:hyperlink r:id="rId28" w:history="1">
        <w:r w:rsidRPr="002B2A08">
          <w:rPr>
            <w:rStyle w:val="Hyperlink"/>
          </w:rPr>
          <w:t>https://outlook.shetrades.com/admin/upload/publications/documents/ITC_Making%20Trade%20Policy%20Work%20for%20Women.pdf</w:t>
        </w:r>
      </w:hyperlink>
      <w:r w:rsidRPr="002B2A08">
        <w:t xml:space="preserve"> </w:t>
      </w:r>
    </w:p>
    <w:p w14:paraId="7E6724AD" w14:textId="7F6A8333" w:rsidR="00547EF0" w:rsidRPr="00C44993" w:rsidRDefault="00547EF0" w:rsidP="002B2A08">
      <w:pPr>
        <w:pStyle w:val="NormalWeb"/>
        <w:ind w:hanging="720"/>
        <w:rPr>
          <w:b/>
          <w:bCs/>
        </w:rPr>
      </w:pPr>
      <w:r w:rsidRPr="002B2A08">
        <w:t>International Trade Centre. (202</w:t>
      </w:r>
      <w:r w:rsidR="00C44993" w:rsidRPr="002B2A08">
        <w:t>0</w:t>
      </w:r>
      <w:r w:rsidRPr="002B2A08">
        <w:t xml:space="preserve">). </w:t>
      </w:r>
      <w:r w:rsidRPr="002B2A08">
        <w:rPr>
          <w:rStyle w:val="Emphasis"/>
        </w:rPr>
        <w:t>Mainstreaming gender in free trade agreements</w:t>
      </w:r>
      <w:r w:rsidRPr="002B2A08">
        <w:t xml:space="preserve">. </w:t>
      </w:r>
      <w:hyperlink r:id="rId29" w:history="1">
        <w:r w:rsidRPr="002B2A08">
          <w:rPr>
            <w:rStyle w:val="Hyperlink"/>
          </w:rPr>
          <w:t>https://www.intracen.org/resources/publications/mainstreaming-gender-in-free-trade-agreements</w:t>
        </w:r>
      </w:hyperlink>
      <w:r w:rsidRPr="00C44993">
        <w:rPr>
          <w:b/>
          <w:bCs/>
        </w:rPr>
        <w:t xml:space="preserve"> </w:t>
      </w:r>
    </w:p>
    <w:p w14:paraId="55F70C97" w14:textId="66D2B779" w:rsidR="00547EF0" w:rsidRDefault="00547EF0" w:rsidP="002B2A08">
      <w:pPr>
        <w:pStyle w:val="NormalWeb"/>
        <w:ind w:hanging="720"/>
      </w:pPr>
      <w:r>
        <w:t xml:space="preserve">International Trade Centre. (2024). </w:t>
      </w:r>
      <w:proofErr w:type="spellStart"/>
      <w:r>
        <w:rPr>
          <w:rStyle w:val="Emphasis"/>
        </w:rPr>
        <w:t>SheTrades</w:t>
      </w:r>
      <w:proofErr w:type="spellEnd"/>
      <w:r>
        <w:rPr>
          <w:rStyle w:val="Emphasis"/>
        </w:rPr>
        <w:t xml:space="preserve"> Outlook: Policy briefs</w:t>
      </w:r>
      <w:r>
        <w:t xml:space="preserve"> [country series]. </w:t>
      </w:r>
      <w:hyperlink r:id="rId30" w:history="1">
        <w:r w:rsidRPr="00AF14BA">
          <w:rPr>
            <w:rStyle w:val="Hyperlink"/>
          </w:rPr>
          <w:t>https://outlook.shetrades.com/resources/0/publications</w:t>
        </w:r>
      </w:hyperlink>
      <w:r>
        <w:t xml:space="preserve"> </w:t>
      </w:r>
    </w:p>
    <w:p w14:paraId="01AACD8F" w14:textId="77777777" w:rsidR="00547EF0" w:rsidRDefault="00547EF0" w:rsidP="002B2A08">
      <w:pPr>
        <w:pStyle w:val="NormalWeb"/>
        <w:ind w:hanging="720"/>
      </w:pPr>
      <w:r>
        <w:t xml:space="preserve">International Trade Centre. (2025). </w:t>
      </w:r>
      <w:r>
        <w:rPr>
          <w:rStyle w:val="Emphasis"/>
        </w:rPr>
        <w:t xml:space="preserve">SME Competitiveness Outlook 2025: </w:t>
      </w:r>
      <w:r w:rsidRPr="00841FF5">
        <w:rPr>
          <w:rStyle w:val="Emphasis"/>
        </w:rPr>
        <w:t>A digital transformation roadmap</w:t>
      </w:r>
      <w:r>
        <w:t xml:space="preserve">. </w:t>
      </w:r>
      <w:hyperlink r:id="rId31" w:history="1">
        <w:r w:rsidRPr="00AF14BA">
          <w:rPr>
            <w:rStyle w:val="Hyperlink"/>
          </w:rPr>
          <w:t>https://www.intracen.org/file/itcsmeco2025pdf</w:t>
        </w:r>
      </w:hyperlink>
      <w:r>
        <w:t xml:space="preserve"> </w:t>
      </w:r>
    </w:p>
    <w:p w14:paraId="109C8C1E" w14:textId="77777777" w:rsidR="00547EF0" w:rsidRDefault="00547EF0" w:rsidP="002B2A08">
      <w:pPr>
        <w:pStyle w:val="NormalWeb"/>
        <w:ind w:hanging="720"/>
      </w:pPr>
      <w:r>
        <w:t xml:space="preserve">Krugman, P. R. (1980). Scale economies, product differentiation, and the pattern of trade. </w:t>
      </w:r>
      <w:r>
        <w:rPr>
          <w:rStyle w:val="Emphasis"/>
        </w:rPr>
        <w:t>American Economic Review, 70</w:t>
      </w:r>
      <w:r>
        <w:t xml:space="preserve">(5), 950–959. </w:t>
      </w:r>
      <w:hyperlink r:id="rId32" w:history="1">
        <w:r w:rsidRPr="00AF14BA">
          <w:rPr>
            <w:rStyle w:val="Hyperlink"/>
          </w:rPr>
          <w:t>http://www.jstor.org/stable/1805774</w:t>
        </w:r>
      </w:hyperlink>
      <w:r>
        <w:t xml:space="preserve"> </w:t>
      </w:r>
    </w:p>
    <w:p w14:paraId="60B811F9" w14:textId="77777777" w:rsidR="00547EF0" w:rsidRDefault="00547EF0" w:rsidP="002B2A08">
      <w:pPr>
        <w:pStyle w:val="NormalWeb"/>
        <w:ind w:hanging="720"/>
      </w:pPr>
      <w:r>
        <w:t xml:space="preserve">London School of Economics. (2025, October 15). After five years, Africa needs to guard against </w:t>
      </w:r>
      <w:proofErr w:type="spellStart"/>
      <w:r>
        <w:t>AfCFTA</w:t>
      </w:r>
      <w:proofErr w:type="spellEnd"/>
      <w:r>
        <w:t xml:space="preserve"> complacency. </w:t>
      </w:r>
      <w:r>
        <w:rPr>
          <w:rStyle w:val="Emphasis"/>
        </w:rPr>
        <w:t>Africa at LSE Blog</w:t>
      </w:r>
      <w:r>
        <w:t xml:space="preserve">. </w:t>
      </w:r>
      <w:hyperlink r:id="rId33" w:history="1">
        <w:r w:rsidRPr="00AF14BA">
          <w:rPr>
            <w:rStyle w:val="Hyperlink"/>
          </w:rPr>
          <w:t>https://blogs.lse.ac.uk/africaatlse/2025/10/15/after-five-years-africa-needs-to-guard-against-afcfta-complacency/</w:t>
        </w:r>
      </w:hyperlink>
      <w:r>
        <w:t xml:space="preserve"> </w:t>
      </w:r>
    </w:p>
    <w:p w14:paraId="10965B58" w14:textId="77777777" w:rsidR="00547EF0" w:rsidRDefault="00547EF0" w:rsidP="002B2A08">
      <w:pPr>
        <w:pStyle w:val="NormalWeb"/>
        <w:ind w:hanging="720"/>
      </w:pPr>
      <w:r>
        <w:lastRenderedPageBreak/>
        <w:t xml:space="preserve">Market Access Map. (n.d.). </w:t>
      </w:r>
      <w:r>
        <w:rPr>
          <w:rStyle w:val="Emphasis"/>
        </w:rPr>
        <w:t>African Continental Free Trade Area</w:t>
      </w:r>
      <w:r>
        <w:t xml:space="preserve">. </w:t>
      </w:r>
      <w:hyperlink r:id="rId34" w:tgtFrame="_new" w:history="1">
        <w:r>
          <w:rPr>
            <w:rStyle w:val="Hyperlink"/>
          </w:rPr>
          <w:t>https://www.macmap.org/en/learn/afcfta</w:t>
        </w:r>
      </w:hyperlink>
    </w:p>
    <w:p w14:paraId="733B094B" w14:textId="77777777" w:rsidR="00547EF0" w:rsidRDefault="00547EF0" w:rsidP="002B2A08">
      <w:pPr>
        <w:pStyle w:val="NormalWeb"/>
        <w:ind w:hanging="720"/>
      </w:pPr>
      <w:r>
        <w:t xml:space="preserve">McCaig, B. (2011). </w:t>
      </w:r>
      <w:r w:rsidRPr="00DA450A">
        <w:t xml:space="preserve">Exporting out of poverty: Provincial poverty in Vietnam and US market access. B McCaig. </w:t>
      </w:r>
      <w:r w:rsidRPr="00DA450A">
        <w:rPr>
          <w:i/>
        </w:rPr>
        <w:t xml:space="preserve">Journal of International Economics </w:t>
      </w:r>
      <w:r w:rsidRPr="00DA450A">
        <w:t xml:space="preserve">85 (1), 102-113, 2011. </w:t>
      </w:r>
      <w:proofErr w:type="gramStart"/>
      <w:r w:rsidRPr="00DA450A">
        <w:t>334</w:t>
      </w:r>
      <w:r>
        <w:t xml:space="preserve"> .</w:t>
      </w:r>
      <w:proofErr w:type="gramEnd"/>
      <w:r>
        <w:t xml:space="preserve">  </w:t>
      </w:r>
    </w:p>
    <w:p w14:paraId="3AE089A4" w14:textId="77777777" w:rsidR="00547EF0" w:rsidRDefault="00547EF0" w:rsidP="002B2A08">
      <w:pPr>
        <w:pStyle w:val="NormalWeb"/>
        <w:ind w:hanging="720"/>
      </w:pPr>
      <w:r>
        <w:t xml:space="preserve">Melitz, M. J. (2003). The impact of trade on intra industry reallocations and aggregate industry productivity. </w:t>
      </w:r>
      <w:proofErr w:type="spellStart"/>
      <w:r>
        <w:rPr>
          <w:rStyle w:val="Emphasis"/>
        </w:rPr>
        <w:t>Econometrica</w:t>
      </w:r>
      <w:proofErr w:type="spellEnd"/>
      <w:r>
        <w:rPr>
          <w:rStyle w:val="Emphasis"/>
        </w:rPr>
        <w:t>, 71</w:t>
      </w:r>
      <w:r>
        <w:t xml:space="preserve">(6), 1695–1725. </w:t>
      </w:r>
      <w:hyperlink r:id="rId35" w:history="1">
        <w:r w:rsidRPr="00AF14BA">
          <w:rPr>
            <w:rStyle w:val="Hyperlink"/>
          </w:rPr>
          <w:t>https://doi.org/10.1111/1468-0262.00467</w:t>
        </w:r>
      </w:hyperlink>
      <w:r>
        <w:t xml:space="preserve"> </w:t>
      </w:r>
    </w:p>
    <w:p w14:paraId="530D3B1C" w14:textId="07622472" w:rsidR="00547EF0" w:rsidRDefault="00547EF0" w:rsidP="002B2A08">
      <w:pPr>
        <w:pStyle w:val="NormalWeb"/>
        <w:ind w:hanging="720"/>
      </w:pPr>
      <w:r>
        <w:t xml:space="preserve">Nicita, A. (2009). The price effect of tariff liberalization: Measuring the impact on household welfare. </w:t>
      </w:r>
      <w:r>
        <w:rPr>
          <w:rStyle w:val="Emphasis"/>
        </w:rPr>
        <w:t>Journal of Development Economics, 89</w:t>
      </w:r>
      <w:r>
        <w:t xml:space="preserve">(1), 19–27. </w:t>
      </w:r>
      <w:hyperlink r:id="rId36" w:history="1">
        <w:r w:rsidR="00065BA9" w:rsidRPr="004F29F5">
          <w:rPr>
            <w:rStyle w:val="Hyperlink"/>
          </w:rPr>
          <w:t>https://doi.org/10.1016/j.jdeveco.2008.06.009</w:t>
        </w:r>
      </w:hyperlink>
      <w:r w:rsidR="00065BA9">
        <w:t xml:space="preserve">. </w:t>
      </w:r>
    </w:p>
    <w:p w14:paraId="3DA1758B" w14:textId="77777777" w:rsidR="00547EF0" w:rsidRDefault="00547EF0" w:rsidP="002B2A08">
      <w:pPr>
        <w:pStyle w:val="NormalWeb"/>
        <w:ind w:hanging="720"/>
      </w:pPr>
      <w:r>
        <w:t xml:space="preserve">Office of the United States Trade Representative. (2024, September 13). </w:t>
      </w:r>
      <w:r>
        <w:rPr>
          <w:rStyle w:val="Emphasis"/>
        </w:rPr>
        <w:t>Fact sheet: The USMCA Rapid Response Mechanism delivers for workers</w:t>
      </w:r>
      <w:r>
        <w:t xml:space="preserve">. </w:t>
      </w:r>
      <w:hyperlink r:id="rId37" w:history="1">
        <w:r w:rsidRPr="00AF14BA">
          <w:rPr>
            <w:rStyle w:val="Hyperlink"/>
          </w:rPr>
          <w:t>https://ustr.gov/about-us/policy-offices/press-office/fact-sheets/2024/september/fact-sheet-usmca-rapid-response-mechanism-delivers-workers</w:t>
        </w:r>
      </w:hyperlink>
      <w:r>
        <w:t xml:space="preserve"> </w:t>
      </w:r>
    </w:p>
    <w:p w14:paraId="76271D33" w14:textId="77777777" w:rsidR="00547EF0" w:rsidRDefault="00547EF0" w:rsidP="002B2A08">
      <w:pPr>
        <w:pStyle w:val="NormalWeb"/>
        <w:ind w:hanging="720"/>
      </w:pPr>
      <w:r>
        <w:t xml:space="preserve">Office of the United States Trade Representative. (2024a, September 13). </w:t>
      </w:r>
      <w:r>
        <w:rPr>
          <w:rStyle w:val="Emphasis"/>
        </w:rPr>
        <w:t xml:space="preserve">USTR finalizes action on China tariffs following statutory </w:t>
      </w:r>
      <w:proofErr w:type="gramStart"/>
      <w:r>
        <w:rPr>
          <w:rStyle w:val="Emphasis"/>
        </w:rPr>
        <w:t>four year</w:t>
      </w:r>
      <w:proofErr w:type="gramEnd"/>
      <w:r>
        <w:rPr>
          <w:rStyle w:val="Emphasis"/>
        </w:rPr>
        <w:t xml:space="preserve"> review</w:t>
      </w:r>
      <w:r>
        <w:t xml:space="preserve">. </w:t>
      </w:r>
      <w:hyperlink r:id="rId38" w:history="1">
        <w:r w:rsidRPr="00AF14BA">
          <w:rPr>
            <w:rStyle w:val="Hyperlink"/>
          </w:rPr>
          <w:t>https://ustr.gov/about-us/policy-offices/press-office/press-releases/2024/september/ustr-finalizes-action-china-tariffs-following-statutory-four-year-review</w:t>
        </w:r>
      </w:hyperlink>
      <w:r>
        <w:t xml:space="preserve"> </w:t>
      </w:r>
    </w:p>
    <w:p w14:paraId="55982736" w14:textId="77777777" w:rsidR="00547EF0" w:rsidRDefault="00547EF0" w:rsidP="002B2A08">
      <w:pPr>
        <w:pStyle w:val="NormalWeb"/>
        <w:ind w:hanging="720"/>
      </w:pPr>
      <w:r>
        <w:t xml:space="preserve">Office of the United States Trade Representative. (2024b). </w:t>
      </w:r>
      <w:r>
        <w:rPr>
          <w:rStyle w:val="Emphasis"/>
        </w:rPr>
        <w:t>Facility specific Rapid Response Labor Mechanism</w:t>
      </w:r>
      <w:r>
        <w:t xml:space="preserve">. </w:t>
      </w:r>
      <w:hyperlink r:id="rId39" w:tgtFrame="_new" w:history="1">
        <w:r>
          <w:rPr>
            <w:rStyle w:val="Hyperlink"/>
          </w:rPr>
          <w:t>https://ustr.gov/trade-topics/enforcement/dispute-settlement-proceedings/fta-dispute-settlement/usmca/chapter-31-annex-facility-specific-rapid-response-labor-mechanism</w:t>
        </w:r>
      </w:hyperlink>
    </w:p>
    <w:p w14:paraId="49251BDB" w14:textId="77777777" w:rsidR="00547EF0" w:rsidRDefault="00547EF0" w:rsidP="002B2A08">
      <w:pPr>
        <w:pStyle w:val="NormalWeb"/>
        <w:ind w:hanging="720"/>
      </w:pPr>
      <w:r>
        <w:t xml:space="preserve">Office of the United States Trade Representative. (2025, August 21). </w:t>
      </w:r>
      <w:r>
        <w:rPr>
          <w:rStyle w:val="Emphasis"/>
        </w:rPr>
        <w:t xml:space="preserve">USMCA Rapid Response Labor Mechanism panel finds a denial of rights at </w:t>
      </w:r>
      <w:proofErr w:type="spellStart"/>
      <w:r>
        <w:rPr>
          <w:rStyle w:val="Emphasis"/>
        </w:rPr>
        <w:t>Atento</w:t>
      </w:r>
      <w:proofErr w:type="spellEnd"/>
      <w:r>
        <w:rPr>
          <w:rStyle w:val="Emphasis"/>
        </w:rPr>
        <w:t xml:space="preserve"> </w:t>
      </w:r>
      <w:proofErr w:type="spellStart"/>
      <w:r>
        <w:rPr>
          <w:rStyle w:val="Emphasis"/>
        </w:rPr>
        <w:t>Servicios</w:t>
      </w:r>
      <w:proofErr w:type="spellEnd"/>
      <w:r>
        <w:t xml:space="preserve">. </w:t>
      </w:r>
      <w:hyperlink r:id="rId40" w:history="1">
        <w:r w:rsidRPr="00AF14BA">
          <w:rPr>
            <w:rStyle w:val="Hyperlink"/>
          </w:rPr>
          <w:t>https://ustr.gov/about/policy-offices/press-office/press-releases/2025/august/usmca-rapid-response-labor-mechanism-panel-finds-denial-rights-atento-servicios</w:t>
        </w:r>
      </w:hyperlink>
      <w:r>
        <w:t xml:space="preserve"> </w:t>
      </w:r>
    </w:p>
    <w:p w14:paraId="2FAA8736" w14:textId="77777777" w:rsidR="00547EF0" w:rsidRDefault="00547EF0" w:rsidP="002B2A08">
      <w:pPr>
        <w:pStyle w:val="NormalWeb"/>
        <w:ind w:hanging="720"/>
      </w:pPr>
      <w:proofErr w:type="spellStart"/>
      <w:r>
        <w:t>Organisation</w:t>
      </w:r>
      <w:proofErr w:type="spellEnd"/>
      <w:r>
        <w:t xml:space="preserve"> for Economic </w:t>
      </w:r>
      <w:proofErr w:type="spellStart"/>
      <w:r>
        <w:t>Co operation</w:t>
      </w:r>
      <w:proofErr w:type="spellEnd"/>
      <w:r>
        <w:t xml:space="preserve"> and Development. (2017). </w:t>
      </w:r>
      <w:r>
        <w:rPr>
          <w:rStyle w:val="Emphasis"/>
        </w:rPr>
        <w:t>Making trade work for all</w:t>
      </w:r>
      <w:r>
        <w:t xml:space="preserve"> (OECD Trade Policy Papers No. 202). </w:t>
      </w:r>
      <w:hyperlink r:id="rId41" w:history="1">
        <w:r w:rsidRPr="00AF14BA">
          <w:rPr>
            <w:rStyle w:val="Hyperlink"/>
          </w:rPr>
          <w:t>https://www.oecd.org/content/dam/oecd/en/publications/reports/2017/05/making-trade-work-for-all_4a335cc3/6e27effd-en.pdf</w:t>
        </w:r>
      </w:hyperlink>
      <w:r>
        <w:t xml:space="preserve"> </w:t>
      </w:r>
    </w:p>
    <w:p w14:paraId="3C11F69D" w14:textId="54ED935A" w:rsidR="00547EF0" w:rsidRDefault="00547EF0" w:rsidP="002B2A08">
      <w:pPr>
        <w:pStyle w:val="NormalWeb"/>
        <w:ind w:hanging="720"/>
      </w:pPr>
      <w:r>
        <w:t xml:space="preserve">Porto, G. (2006). Using survey data to assess the distributional effects of trade policy. </w:t>
      </w:r>
      <w:r>
        <w:rPr>
          <w:rStyle w:val="Emphasis"/>
        </w:rPr>
        <w:t>Journal of International Economics, 70</w:t>
      </w:r>
      <w:r>
        <w:t xml:space="preserve">(1), 140–160. </w:t>
      </w:r>
      <w:hyperlink r:id="rId42" w:history="1">
        <w:r w:rsidR="00DB16F9" w:rsidRPr="004F29F5">
          <w:rPr>
            <w:rStyle w:val="Hyperlink"/>
          </w:rPr>
          <w:t>https://doi.org/10.1016/j.jinteco.2005.09.003</w:t>
        </w:r>
      </w:hyperlink>
      <w:r w:rsidR="00DB16F9" w:rsidRPr="00DB16F9">
        <w:t>.</w:t>
      </w:r>
      <w:r w:rsidR="00DB16F9">
        <w:t xml:space="preserve"> </w:t>
      </w:r>
    </w:p>
    <w:p w14:paraId="182EB044" w14:textId="77777777" w:rsidR="00547EF0" w:rsidRDefault="00547EF0" w:rsidP="002B2A08">
      <w:pPr>
        <w:pStyle w:val="NormalWeb"/>
        <w:ind w:hanging="720"/>
      </w:pPr>
      <w:r>
        <w:t xml:space="preserve">Ricardo, D. (2004). </w:t>
      </w:r>
      <w:r>
        <w:rPr>
          <w:rStyle w:val="Emphasis"/>
        </w:rPr>
        <w:t>On the principles of political economy and taxation</w:t>
      </w:r>
      <w:r>
        <w:t xml:space="preserve"> (P. Sraffa, Ed.; Original work published 1817). Liberty Fund.  </w:t>
      </w:r>
    </w:p>
    <w:p w14:paraId="522CE244" w14:textId="77777777" w:rsidR="00547EF0" w:rsidRDefault="00547EF0" w:rsidP="002B2A08">
      <w:pPr>
        <w:pStyle w:val="NormalWeb"/>
        <w:ind w:hanging="720"/>
      </w:pPr>
      <w:r>
        <w:t xml:space="preserve">Rocha, N., &amp; </w:t>
      </w:r>
      <w:proofErr w:type="spellStart"/>
      <w:r>
        <w:t>Piermartini</w:t>
      </w:r>
      <w:proofErr w:type="spellEnd"/>
      <w:r>
        <w:t xml:space="preserve">, R. (2023, June). Trade drives gender equality and development. </w:t>
      </w:r>
      <w:r>
        <w:rPr>
          <w:rStyle w:val="Emphasis"/>
        </w:rPr>
        <w:t>Finance and Development</w:t>
      </w:r>
      <w:r>
        <w:t xml:space="preserve">. International Monetary Fund. </w:t>
      </w:r>
      <w:hyperlink r:id="rId43" w:history="1">
        <w:r w:rsidRPr="00AF14BA">
          <w:rPr>
            <w:rStyle w:val="Hyperlink"/>
          </w:rPr>
          <w:t>https://www.imf.org/en/Publications/fandd/issues/2023/06/trade-drives-gender-equality-and-development-rocha-piermartini</w:t>
        </w:r>
      </w:hyperlink>
      <w:r>
        <w:t xml:space="preserve"> </w:t>
      </w:r>
    </w:p>
    <w:p w14:paraId="1EF12212" w14:textId="77777777" w:rsidR="00547EF0" w:rsidRDefault="00547EF0" w:rsidP="002B2A08">
      <w:pPr>
        <w:pStyle w:val="NormalWeb"/>
        <w:ind w:hanging="720"/>
      </w:pPr>
      <w:r>
        <w:lastRenderedPageBreak/>
        <w:t xml:space="preserve">Stolper, W. F., &amp; Samuelson, P. A. (1941). Protection and real wages. </w:t>
      </w:r>
      <w:r>
        <w:rPr>
          <w:rStyle w:val="Emphasis"/>
        </w:rPr>
        <w:t>Review of Economic Studies, 9</w:t>
      </w:r>
      <w:r>
        <w:t xml:space="preserve">(1), 58–73. </w:t>
      </w:r>
      <w:hyperlink r:id="rId44" w:history="1">
        <w:r w:rsidRPr="00AF14BA">
          <w:rPr>
            <w:rStyle w:val="Hyperlink"/>
          </w:rPr>
          <w:t>https://doi.org/10.2307/2967638</w:t>
        </w:r>
      </w:hyperlink>
      <w:r>
        <w:t xml:space="preserve"> </w:t>
      </w:r>
    </w:p>
    <w:p w14:paraId="23B4DE70" w14:textId="77777777" w:rsidR="00547EF0" w:rsidRDefault="00547EF0" w:rsidP="002B2A08">
      <w:pPr>
        <w:pStyle w:val="NormalWeb"/>
        <w:ind w:hanging="720"/>
      </w:pPr>
      <w:proofErr w:type="spellStart"/>
      <w:r>
        <w:t>Topalova</w:t>
      </w:r>
      <w:proofErr w:type="spellEnd"/>
      <w:r>
        <w:t xml:space="preserve">, P. (2010). Factor immobility and regional impacts of trade liberalization: Evidence on poverty from India. </w:t>
      </w:r>
      <w:r>
        <w:rPr>
          <w:rStyle w:val="Emphasis"/>
        </w:rPr>
        <w:t>American Economic Journal: Applied Economics, 2</w:t>
      </w:r>
      <w:r>
        <w:t xml:space="preserve">(4), 1–41. </w:t>
      </w:r>
      <w:hyperlink r:id="rId45" w:history="1">
        <w:r w:rsidRPr="00AF14BA">
          <w:rPr>
            <w:rStyle w:val="Hyperlink"/>
          </w:rPr>
          <w:t>https://doi.org/10.1257/app.2.4.1</w:t>
        </w:r>
      </w:hyperlink>
      <w:r>
        <w:t xml:space="preserve"> </w:t>
      </w:r>
    </w:p>
    <w:p w14:paraId="6CC6369E" w14:textId="77777777" w:rsidR="00547EF0" w:rsidRDefault="00547EF0" w:rsidP="002B2A08">
      <w:pPr>
        <w:pStyle w:val="NormalWeb"/>
        <w:ind w:hanging="720"/>
      </w:pPr>
      <w:r>
        <w:t xml:space="preserve">Trade4MSMEs. (n.d.). </w:t>
      </w:r>
      <w:r>
        <w:rPr>
          <w:rStyle w:val="Emphasis"/>
        </w:rPr>
        <w:t>Policymakers</w:t>
      </w:r>
      <w:r>
        <w:t xml:space="preserve">. </w:t>
      </w:r>
      <w:hyperlink r:id="rId46" w:history="1">
        <w:r w:rsidRPr="00AF14BA">
          <w:rPr>
            <w:rStyle w:val="Hyperlink"/>
          </w:rPr>
          <w:t>https://trade4msmes.org/policymakers/</w:t>
        </w:r>
      </w:hyperlink>
      <w:r>
        <w:t xml:space="preserve"> </w:t>
      </w:r>
    </w:p>
    <w:p w14:paraId="0B2A33A1" w14:textId="77777777" w:rsidR="00547EF0" w:rsidRDefault="00547EF0" w:rsidP="002B2A08">
      <w:pPr>
        <w:pStyle w:val="NormalWeb"/>
        <w:ind w:hanging="720"/>
      </w:pPr>
      <w:proofErr w:type="spellStart"/>
      <w:r>
        <w:t>tralac</w:t>
      </w:r>
      <w:proofErr w:type="spellEnd"/>
      <w:r>
        <w:t xml:space="preserve">. (2025, May). </w:t>
      </w:r>
      <w:proofErr w:type="spellStart"/>
      <w:r>
        <w:rPr>
          <w:rStyle w:val="Emphasis"/>
        </w:rPr>
        <w:t>AfCFTA</w:t>
      </w:r>
      <w:proofErr w:type="spellEnd"/>
      <w:r>
        <w:rPr>
          <w:rStyle w:val="Emphasis"/>
        </w:rPr>
        <w:t xml:space="preserve"> frequently asked questions</w:t>
      </w:r>
      <w:r>
        <w:t xml:space="preserve"> (Updated). </w:t>
      </w:r>
      <w:hyperlink r:id="rId47" w:tgtFrame="_new" w:history="1">
        <w:r>
          <w:rPr>
            <w:rStyle w:val="Hyperlink"/>
          </w:rPr>
          <w:t>https://www.tralac.org/documents/resources/faqs/5889-afcfta-frequently-asked-questions-updated-may-2025.html</w:t>
        </w:r>
      </w:hyperlink>
    </w:p>
    <w:p w14:paraId="6D0B4E13" w14:textId="77777777" w:rsidR="00547EF0" w:rsidRDefault="00547EF0" w:rsidP="002B2A08">
      <w:pPr>
        <w:pStyle w:val="NormalWeb"/>
        <w:ind w:hanging="720"/>
      </w:pPr>
      <w:proofErr w:type="spellStart"/>
      <w:r>
        <w:t>Trefler</w:t>
      </w:r>
      <w:proofErr w:type="spellEnd"/>
      <w:r>
        <w:t xml:space="preserve">, D. (2004). The long and short of the Canada U S free trade agreement. </w:t>
      </w:r>
      <w:r>
        <w:rPr>
          <w:rStyle w:val="Emphasis"/>
        </w:rPr>
        <w:t>American Economic Review, 94</w:t>
      </w:r>
      <w:r>
        <w:t xml:space="preserve">(4), 870–895. </w:t>
      </w:r>
      <w:hyperlink r:id="rId48" w:history="1">
        <w:r w:rsidRPr="00AF14BA">
          <w:rPr>
            <w:rStyle w:val="Hyperlink"/>
          </w:rPr>
          <w:t>https://doi.org/10.1257/0002828042002633</w:t>
        </w:r>
      </w:hyperlink>
      <w:r>
        <w:t xml:space="preserve"> </w:t>
      </w:r>
    </w:p>
    <w:p w14:paraId="65BF1DA5" w14:textId="77777777" w:rsidR="00547EF0" w:rsidRDefault="00547EF0" w:rsidP="002B2A08">
      <w:pPr>
        <w:pStyle w:val="NormalWeb"/>
        <w:ind w:hanging="720"/>
      </w:pPr>
      <w:r>
        <w:t xml:space="preserve">U.S. Department of Labor. (2025). </w:t>
      </w:r>
      <w:r>
        <w:rPr>
          <w:rStyle w:val="Emphasis"/>
        </w:rPr>
        <w:t>USMCA cases</w:t>
      </w:r>
      <w:r>
        <w:t xml:space="preserve">. </w:t>
      </w:r>
      <w:hyperlink r:id="rId49" w:history="1">
        <w:r w:rsidRPr="00AF14BA">
          <w:rPr>
            <w:rStyle w:val="Hyperlink"/>
          </w:rPr>
          <w:t>https://www.dol.gov/agencies/ilab/our-work/trade/labor-rights-usmca-cases</w:t>
        </w:r>
      </w:hyperlink>
      <w:r>
        <w:t xml:space="preserve"> </w:t>
      </w:r>
    </w:p>
    <w:p w14:paraId="6FE12EC3" w14:textId="77777777" w:rsidR="00547EF0" w:rsidRDefault="00547EF0" w:rsidP="002B2A08">
      <w:pPr>
        <w:pStyle w:val="NormalWeb"/>
        <w:ind w:hanging="720"/>
      </w:pPr>
      <w:r>
        <w:t xml:space="preserve">White &amp; Case. (2024, September 17). United States finalizes Section 301 tariff increases on imports from China. </w:t>
      </w:r>
      <w:hyperlink r:id="rId50" w:history="1">
        <w:r w:rsidRPr="00AF14BA">
          <w:rPr>
            <w:rStyle w:val="Hyperlink"/>
          </w:rPr>
          <w:t>https://www.whitecase.com/insight-alert/united-states-finalizes-section-301-tariff-increases-imports-china</w:t>
        </w:r>
      </w:hyperlink>
      <w:r>
        <w:t xml:space="preserve"> </w:t>
      </w:r>
    </w:p>
    <w:p w14:paraId="2CCBD74B" w14:textId="77777777" w:rsidR="00547EF0" w:rsidRDefault="00547EF0" w:rsidP="002B2A08">
      <w:pPr>
        <w:pStyle w:val="NormalWeb"/>
        <w:ind w:hanging="720"/>
      </w:pPr>
      <w:r>
        <w:t xml:space="preserve">Winters, L. A., McCulloch, N., &amp; McKay, A. (2004). Trade liberalization and poverty: The evidence so far. </w:t>
      </w:r>
      <w:r>
        <w:rPr>
          <w:rStyle w:val="Emphasis"/>
        </w:rPr>
        <w:t>Journal of Economic Literature, 42</w:t>
      </w:r>
      <w:r>
        <w:t xml:space="preserve">(1), 72–115. </w:t>
      </w:r>
      <w:hyperlink r:id="rId51" w:tgtFrame="_new" w:history="1">
        <w:r>
          <w:rPr>
            <w:rStyle w:val="Hyperlink"/>
          </w:rPr>
          <w:t>https://www.aeaweb.org/articles?id=10.1257/002205104773558056</w:t>
        </w:r>
      </w:hyperlink>
    </w:p>
    <w:p w14:paraId="230F13D1" w14:textId="77777777" w:rsidR="00547EF0" w:rsidRDefault="00547EF0" w:rsidP="002B2A08">
      <w:pPr>
        <w:pStyle w:val="NormalWeb"/>
        <w:ind w:hanging="720"/>
      </w:pPr>
      <w:r>
        <w:t xml:space="preserve">World Bank. (2022, June 30). </w:t>
      </w:r>
      <w:r>
        <w:rPr>
          <w:rStyle w:val="Emphasis"/>
        </w:rPr>
        <w:t>Making the most of the African Continental Free Trade Area</w:t>
      </w:r>
      <w:r>
        <w:t xml:space="preserve">. </w:t>
      </w:r>
      <w:hyperlink r:id="rId52" w:tgtFrame="_new" w:history="1">
        <w:r>
          <w:rPr>
            <w:rStyle w:val="Hyperlink"/>
          </w:rPr>
          <w:t>https://www.worldbank.org/en/topic/trade/publication/free-trade-deal-boosts-africa-economic-development</w:t>
        </w:r>
      </w:hyperlink>
    </w:p>
    <w:p w14:paraId="1477FBEA" w14:textId="77777777" w:rsidR="00547EF0" w:rsidRDefault="00547EF0" w:rsidP="002B2A08">
      <w:pPr>
        <w:pStyle w:val="NormalWeb"/>
        <w:ind w:hanging="720"/>
      </w:pPr>
      <w:r>
        <w:t xml:space="preserve">World Bank. (2024). </w:t>
      </w:r>
      <w:r>
        <w:rPr>
          <w:rStyle w:val="Emphasis"/>
        </w:rPr>
        <w:t>Poverty, prosperity, and planet 2024</w:t>
      </w:r>
      <w:r>
        <w:t xml:space="preserve">. </w:t>
      </w:r>
      <w:hyperlink r:id="rId53" w:tgtFrame="_new" w:history="1">
        <w:r>
          <w:rPr>
            <w:rStyle w:val="Hyperlink"/>
          </w:rPr>
          <w:t>https://www.worldbank.org/en/publication/poverty-prosperity-and-planet</w:t>
        </w:r>
      </w:hyperlink>
      <w:r>
        <w:t xml:space="preserve"> </w:t>
      </w:r>
    </w:p>
    <w:p w14:paraId="5A080251" w14:textId="77777777" w:rsidR="00547EF0" w:rsidRDefault="00547EF0" w:rsidP="002B2A08">
      <w:pPr>
        <w:pStyle w:val="NormalWeb"/>
        <w:ind w:hanging="720"/>
      </w:pPr>
      <w:r>
        <w:t xml:space="preserve">World Bank. (2024, March 4). Closing gender gap could lift global GDP more than 20 percent. </w:t>
      </w:r>
      <w:r>
        <w:rPr>
          <w:rStyle w:val="Emphasis"/>
        </w:rPr>
        <w:t>Women, Business and the Law 2024</w:t>
      </w:r>
      <w:r>
        <w:t xml:space="preserve"> [Press coverage]. </w:t>
      </w:r>
      <w:hyperlink r:id="rId54" w:history="1">
        <w:r w:rsidRPr="00AF14BA">
          <w:rPr>
            <w:rStyle w:val="Hyperlink"/>
          </w:rPr>
          <w:t>https://www.reuters.com/sustainability/society-equity/closing-gender-gap-could-lift-global-gdp-more-than-20-world-bank-says-2024-03-04/</w:t>
        </w:r>
      </w:hyperlink>
      <w:r>
        <w:t xml:space="preserve"> </w:t>
      </w:r>
    </w:p>
    <w:p w14:paraId="004DD41E" w14:textId="77777777" w:rsidR="00547EF0" w:rsidRDefault="00547EF0" w:rsidP="002B2A08">
      <w:pPr>
        <w:pStyle w:val="NormalWeb"/>
        <w:ind w:hanging="720"/>
      </w:pPr>
      <w:r>
        <w:t xml:space="preserve">World Bank. (2025, June 5). </w:t>
      </w:r>
      <w:r>
        <w:rPr>
          <w:rStyle w:val="Emphasis"/>
        </w:rPr>
        <w:t>June 2025 global poverty update from the World Bank: 2021 PPPs</w:t>
      </w:r>
      <w:r>
        <w:t xml:space="preserve">. </w:t>
      </w:r>
      <w:hyperlink r:id="rId55" w:tgtFrame="_new" w:history="1">
        <w:r>
          <w:rPr>
            <w:rStyle w:val="Hyperlink"/>
          </w:rPr>
          <w:t>https://blogs.worldbank.org/en/opendata/june-2025-global-poverty-update-from-the-world-bank--2021-ppps-a</w:t>
        </w:r>
      </w:hyperlink>
      <w:r>
        <w:t xml:space="preserve"> </w:t>
      </w:r>
    </w:p>
    <w:p w14:paraId="44CF2B96" w14:textId="77777777" w:rsidR="00547EF0" w:rsidRDefault="00547EF0" w:rsidP="002B2A08">
      <w:pPr>
        <w:pStyle w:val="NormalWeb"/>
        <w:ind w:hanging="720"/>
      </w:pPr>
      <w:r>
        <w:t xml:space="preserve">World Bank. (2025a, September 23). </w:t>
      </w:r>
      <w:r>
        <w:rPr>
          <w:rStyle w:val="Emphasis"/>
        </w:rPr>
        <w:t>Gender overview</w:t>
      </w:r>
      <w:r>
        <w:t xml:space="preserve">. </w:t>
      </w:r>
      <w:hyperlink r:id="rId56" w:tgtFrame="_new" w:history="1">
        <w:r>
          <w:rPr>
            <w:rStyle w:val="Hyperlink"/>
          </w:rPr>
          <w:t>https://www.worldbank.org/en/topic/gender/overview</w:t>
        </w:r>
      </w:hyperlink>
    </w:p>
    <w:p w14:paraId="5AC7E52B" w14:textId="77777777" w:rsidR="00547EF0" w:rsidRDefault="00547EF0" w:rsidP="002B2A08">
      <w:pPr>
        <w:pStyle w:val="NormalWeb"/>
        <w:ind w:hanging="720"/>
      </w:pPr>
      <w:r>
        <w:lastRenderedPageBreak/>
        <w:t xml:space="preserve">World Bank. (2025b). </w:t>
      </w:r>
      <w:r>
        <w:rPr>
          <w:rStyle w:val="Emphasis"/>
        </w:rPr>
        <w:t>Banking on women who trade across borders</w:t>
      </w:r>
      <w:r>
        <w:t xml:space="preserve">. </w:t>
      </w:r>
      <w:hyperlink r:id="rId57" w:history="1">
        <w:r w:rsidRPr="00AF14BA">
          <w:rPr>
            <w:rStyle w:val="Hyperlink"/>
          </w:rPr>
          <w:t>https://openknowledge.worldbank.org/entities/publication/e68ab71e-6c29-4168-b1f5-759cc852f1a7</w:t>
        </w:r>
      </w:hyperlink>
      <w:r>
        <w:t xml:space="preserve"> </w:t>
      </w:r>
    </w:p>
    <w:p w14:paraId="41AF9C61" w14:textId="77777777" w:rsidR="00547EF0" w:rsidRDefault="00547EF0" w:rsidP="002B2A08">
      <w:pPr>
        <w:pStyle w:val="NormalWeb"/>
        <w:ind w:hanging="720"/>
      </w:pPr>
      <w:r>
        <w:t xml:space="preserve">World Trade Organization. (2017). </w:t>
      </w:r>
      <w:r>
        <w:rPr>
          <w:rStyle w:val="Emphasis"/>
        </w:rPr>
        <w:t>The WTO Trade Facilitation Agreement: Factsheet</w:t>
      </w:r>
      <w:r>
        <w:t xml:space="preserve">. </w:t>
      </w:r>
      <w:hyperlink r:id="rId58" w:history="1">
        <w:r w:rsidRPr="00AF14BA">
          <w:rPr>
            <w:rStyle w:val="Hyperlink"/>
          </w:rPr>
          <w:t>https://www.wto.org/english/tratop_e/tradfa_e/tfa_factsheet2017_e.pdf</w:t>
        </w:r>
      </w:hyperlink>
      <w:r>
        <w:t xml:space="preserve"> </w:t>
      </w:r>
    </w:p>
    <w:p w14:paraId="090F1573" w14:textId="77777777" w:rsidR="00547EF0" w:rsidRDefault="00547EF0" w:rsidP="002B2A08">
      <w:pPr>
        <w:pStyle w:val="NormalWeb"/>
        <w:ind w:hanging="720"/>
      </w:pPr>
      <w:r>
        <w:t xml:space="preserve">World Trade Organization. (2024a). </w:t>
      </w:r>
      <w:r>
        <w:rPr>
          <w:rStyle w:val="Emphasis"/>
        </w:rPr>
        <w:t>World trade report 2024: Trade and inclusiveness</w:t>
      </w:r>
      <w:r>
        <w:t xml:space="preserve">. </w:t>
      </w:r>
      <w:hyperlink r:id="rId59" w:tgtFrame="_new" w:history="1">
        <w:r>
          <w:rPr>
            <w:rStyle w:val="Hyperlink"/>
          </w:rPr>
          <w:t>https://www.wto.org/english/res_e/booksp_e/wtr24_e/wtr24_e.pdf</w:t>
        </w:r>
      </w:hyperlink>
      <w:r>
        <w:t xml:space="preserve"> </w:t>
      </w:r>
    </w:p>
    <w:p w14:paraId="22B698F2" w14:textId="77777777" w:rsidR="00547EF0" w:rsidRDefault="00547EF0" w:rsidP="002B2A08">
      <w:pPr>
        <w:pStyle w:val="NormalWeb"/>
        <w:ind w:hanging="720"/>
      </w:pPr>
      <w:r>
        <w:t xml:space="preserve">World Trade Organization. (2024b). </w:t>
      </w:r>
      <w:r>
        <w:rPr>
          <w:rStyle w:val="Emphasis"/>
        </w:rPr>
        <w:t>Trade and inclusiveness: How to make trade work for all</w:t>
      </w:r>
      <w:r>
        <w:t xml:space="preserve">. </w:t>
      </w:r>
      <w:hyperlink r:id="rId60" w:history="1">
        <w:r w:rsidRPr="00AF14BA">
          <w:rPr>
            <w:rStyle w:val="Hyperlink"/>
          </w:rPr>
          <w:t>https://www.wto.org/english/res_e/publications_e/wtr24_e.htm</w:t>
        </w:r>
      </w:hyperlink>
      <w:r>
        <w:t xml:space="preserve"> </w:t>
      </w:r>
    </w:p>
    <w:p w14:paraId="52165048" w14:textId="77777777" w:rsidR="00547EF0" w:rsidRDefault="00547EF0" w:rsidP="002B2A08">
      <w:pPr>
        <w:pStyle w:val="NormalWeb"/>
        <w:ind w:hanging="720"/>
      </w:pPr>
      <w:r>
        <w:t xml:space="preserve">World Trade Organization. (2024b, September 10). Trade and inclusiveness: How to make trade work for all. </w:t>
      </w:r>
      <w:r>
        <w:rPr>
          <w:rStyle w:val="Emphasis"/>
        </w:rPr>
        <w:t>WTO Blog</w:t>
      </w:r>
      <w:r>
        <w:t xml:space="preserve">. </w:t>
      </w:r>
      <w:hyperlink r:id="rId61" w:history="1">
        <w:r w:rsidRPr="00AF14BA">
          <w:rPr>
            <w:rStyle w:val="Hyperlink"/>
          </w:rPr>
          <w:t>https://www.wto.org/english/res_e/booksp_e/wtr24_e/wtr24_e.pdf</w:t>
        </w:r>
      </w:hyperlink>
      <w:r>
        <w:t xml:space="preserve"> </w:t>
      </w:r>
    </w:p>
    <w:p w14:paraId="3D12C83A" w14:textId="77777777" w:rsidR="00547EF0" w:rsidRPr="00E70E7C" w:rsidRDefault="00547EF0" w:rsidP="00E70E7C">
      <w:pPr>
        <w:pStyle w:val="NormalWeb"/>
        <w:spacing w:line="276" w:lineRule="auto"/>
        <w:jc w:val="both"/>
      </w:pPr>
    </w:p>
    <w:sectPr w:rsidR="00547EF0" w:rsidRPr="00E70E7C">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25E0" w14:textId="77777777" w:rsidR="005829EE" w:rsidRDefault="005829EE" w:rsidP="00816752">
      <w:pPr>
        <w:spacing w:after="0" w:line="240" w:lineRule="auto"/>
      </w:pPr>
      <w:r>
        <w:separator/>
      </w:r>
    </w:p>
  </w:endnote>
  <w:endnote w:type="continuationSeparator" w:id="0">
    <w:p w14:paraId="4B69B30F" w14:textId="77777777" w:rsidR="005829EE" w:rsidRDefault="005829EE" w:rsidP="0081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735E" w14:textId="77777777" w:rsidR="00816752" w:rsidRDefault="00816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2421" w14:textId="77777777" w:rsidR="00816752" w:rsidRDefault="00816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2D02" w14:textId="77777777" w:rsidR="00816752" w:rsidRDefault="00816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2733F" w14:textId="77777777" w:rsidR="005829EE" w:rsidRDefault="005829EE" w:rsidP="00816752">
      <w:pPr>
        <w:spacing w:after="0" w:line="240" w:lineRule="auto"/>
      </w:pPr>
      <w:r>
        <w:separator/>
      </w:r>
    </w:p>
  </w:footnote>
  <w:footnote w:type="continuationSeparator" w:id="0">
    <w:p w14:paraId="20BAF2FE" w14:textId="77777777" w:rsidR="005829EE" w:rsidRDefault="005829EE" w:rsidP="0081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8996" w14:textId="4E1FDFA8" w:rsidR="00816752" w:rsidRDefault="00816752">
    <w:pPr>
      <w:pStyle w:val="Header"/>
    </w:pPr>
    <w:r>
      <w:rPr>
        <w:noProof/>
      </w:rPr>
      <w:pict w14:anchorId="3C316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2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F45D" w14:textId="51443F02" w:rsidR="00816752" w:rsidRDefault="00816752">
    <w:pPr>
      <w:pStyle w:val="Header"/>
    </w:pPr>
    <w:r>
      <w:rPr>
        <w:noProof/>
      </w:rPr>
      <w:pict w14:anchorId="0B8A3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2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63D6" w14:textId="214BE7D1" w:rsidR="00816752" w:rsidRDefault="00816752">
    <w:pPr>
      <w:pStyle w:val="Header"/>
    </w:pPr>
    <w:r>
      <w:rPr>
        <w:noProof/>
      </w:rPr>
      <w:pict w14:anchorId="05798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42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38"/>
    <w:rsid w:val="0001302D"/>
    <w:rsid w:val="00037D51"/>
    <w:rsid w:val="00044175"/>
    <w:rsid w:val="00065BA9"/>
    <w:rsid w:val="00096EC3"/>
    <w:rsid w:val="00097554"/>
    <w:rsid w:val="00153E2E"/>
    <w:rsid w:val="00183C91"/>
    <w:rsid w:val="0019199A"/>
    <w:rsid w:val="001F528F"/>
    <w:rsid w:val="0022337F"/>
    <w:rsid w:val="00233DFA"/>
    <w:rsid w:val="00272A88"/>
    <w:rsid w:val="002A0248"/>
    <w:rsid w:val="002B2A08"/>
    <w:rsid w:val="00432049"/>
    <w:rsid w:val="00440D02"/>
    <w:rsid w:val="00444507"/>
    <w:rsid w:val="004B1586"/>
    <w:rsid w:val="004E5259"/>
    <w:rsid w:val="00547EF0"/>
    <w:rsid w:val="00567A8E"/>
    <w:rsid w:val="005829EE"/>
    <w:rsid w:val="0058751E"/>
    <w:rsid w:val="005A201A"/>
    <w:rsid w:val="00613846"/>
    <w:rsid w:val="00646138"/>
    <w:rsid w:val="00664BB9"/>
    <w:rsid w:val="006D475D"/>
    <w:rsid w:val="006E19A5"/>
    <w:rsid w:val="006E4290"/>
    <w:rsid w:val="00764073"/>
    <w:rsid w:val="00786EC6"/>
    <w:rsid w:val="007976E6"/>
    <w:rsid w:val="00797C4D"/>
    <w:rsid w:val="007F6E0B"/>
    <w:rsid w:val="00816752"/>
    <w:rsid w:val="0086710E"/>
    <w:rsid w:val="008802A4"/>
    <w:rsid w:val="008B65FB"/>
    <w:rsid w:val="008E2DF2"/>
    <w:rsid w:val="008F3F91"/>
    <w:rsid w:val="008F4CA5"/>
    <w:rsid w:val="009A5E39"/>
    <w:rsid w:val="009A75C6"/>
    <w:rsid w:val="00A07500"/>
    <w:rsid w:val="00A735D1"/>
    <w:rsid w:val="00A755F9"/>
    <w:rsid w:val="00AD106C"/>
    <w:rsid w:val="00B47F22"/>
    <w:rsid w:val="00B85D03"/>
    <w:rsid w:val="00C05021"/>
    <w:rsid w:val="00C44993"/>
    <w:rsid w:val="00CA396D"/>
    <w:rsid w:val="00CC1DC7"/>
    <w:rsid w:val="00CD6F95"/>
    <w:rsid w:val="00D02F96"/>
    <w:rsid w:val="00D04729"/>
    <w:rsid w:val="00D35EAB"/>
    <w:rsid w:val="00D416BA"/>
    <w:rsid w:val="00D9486A"/>
    <w:rsid w:val="00DB16F9"/>
    <w:rsid w:val="00E37C26"/>
    <w:rsid w:val="00E70E7C"/>
    <w:rsid w:val="00F01590"/>
    <w:rsid w:val="00F56CFB"/>
    <w:rsid w:val="00F760A2"/>
    <w:rsid w:val="00FC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536D75"/>
  <w15:chartTrackingRefBased/>
  <w15:docId w15:val="{2E4E630E-948D-4D31-A7C9-CBB4C39C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D47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138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03D4"/>
    <w:pPr>
      <w:ind w:left="720"/>
      <w:contextualSpacing/>
    </w:pPr>
  </w:style>
  <w:style w:type="character" w:customStyle="1" w:styleId="Heading2Char">
    <w:name w:val="Heading 2 Char"/>
    <w:basedOn w:val="DefaultParagraphFont"/>
    <w:link w:val="Heading2"/>
    <w:uiPriority w:val="9"/>
    <w:rsid w:val="006D475D"/>
    <w:rPr>
      <w:rFonts w:ascii="Times New Roman" w:eastAsia="Times New Roman" w:hAnsi="Times New Roman" w:cs="Times New Roman"/>
      <w:b/>
      <w:bCs/>
      <w:sz w:val="36"/>
      <w:szCs w:val="36"/>
    </w:rPr>
  </w:style>
  <w:style w:type="character" w:styleId="Emphasis">
    <w:name w:val="Emphasis"/>
    <w:basedOn w:val="DefaultParagraphFont"/>
    <w:uiPriority w:val="20"/>
    <w:qFormat/>
    <w:rsid w:val="00547EF0"/>
    <w:rPr>
      <w:i/>
      <w:iCs/>
    </w:rPr>
  </w:style>
  <w:style w:type="character" w:styleId="Hyperlink">
    <w:name w:val="Hyperlink"/>
    <w:basedOn w:val="DefaultParagraphFont"/>
    <w:uiPriority w:val="99"/>
    <w:unhideWhenUsed/>
    <w:rsid w:val="00547EF0"/>
    <w:rPr>
      <w:color w:val="0000FF"/>
      <w:u w:val="single"/>
    </w:rPr>
  </w:style>
  <w:style w:type="character" w:customStyle="1" w:styleId="max-w-15ch">
    <w:name w:val="max-w-[15ch]"/>
    <w:basedOn w:val="DefaultParagraphFont"/>
    <w:rsid w:val="00547EF0"/>
  </w:style>
  <w:style w:type="character" w:styleId="Strong">
    <w:name w:val="Strong"/>
    <w:basedOn w:val="DefaultParagraphFont"/>
    <w:uiPriority w:val="22"/>
    <w:qFormat/>
    <w:rsid w:val="00AD106C"/>
    <w:rPr>
      <w:b/>
      <w:bCs/>
    </w:rPr>
  </w:style>
  <w:style w:type="character" w:styleId="FollowedHyperlink">
    <w:name w:val="FollowedHyperlink"/>
    <w:basedOn w:val="DefaultParagraphFont"/>
    <w:uiPriority w:val="99"/>
    <w:semiHidden/>
    <w:unhideWhenUsed/>
    <w:rsid w:val="001F528F"/>
    <w:rPr>
      <w:color w:val="954F72" w:themeColor="followedHyperlink"/>
      <w:u w:val="single"/>
    </w:rPr>
  </w:style>
  <w:style w:type="character" w:styleId="UnresolvedMention">
    <w:name w:val="Unresolved Mention"/>
    <w:basedOn w:val="DefaultParagraphFont"/>
    <w:uiPriority w:val="99"/>
    <w:semiHidden/>
    <w:unhideWhenUsed/>
    <w:rsid w:val="00065BA9"/>
    <w:rPr>
      <w:color w:val="605E5C"/>
      <w:shd w:val="clear" w:color="auto" w:fill="E1DFDD"/>
    </w:rPr>
  </w:style>
  <w:style w:type="character" w:customStyle="1" w:styleId="Heading3Char">
    <w:name w:val="Heading 3 Char"/>
    <w:basedOn w:val="DefaultParagraphFont"/>
    <w:link w:val="Heading3"/>
    <w:uiPriority w:val="9"/>
    <w:semiHidden/>
    <w:rsid w:val="0061384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16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52"/>
  </w:style>
  <w:style w:type="paragraph" w:styleId="Footer">
    <w:name w:val="footer"/>
    <w:basedOn w:val="Normal"/>
    <w:link w:val="FooterChar"/>
    <w:uiPriority w:val="99"/>
    <w:unhideWhenUsed/>
    <w:rsid w:val="0081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2946">
      <w:bodyDiv w:val="1"/>
      <w:marLeft w:val="0"/>
      <w:marRight w:val="0"/>
      <w:marTop w:val="0"/>
      <w:marBottom w:val="0"/>
      <w:divBdr>
        <w:top w:val="none" w:sz="0" w:space="0" w:color="auto"/>
        <w:left w:val="none" w:sz="0" w:space="0" w:color="auto"/>
        <w:bottom w:val="none" w:sz="0" w:space="0" w:color="auto"/>
        <w:right w:val="none" w:sz="0" w:space="0" w:color="auto"/>
      </w:divBdr>
    </w:div>
    <w:div w:id="233248933">
      <w:bodyDiv w:val="1"/>
      <w:marLeft w:val="0"/>
      <w:marRight w:val="0"/>
      <w:marTop w:val="0"/>
      <w:marBottom w:val="0"/>
      <w:divBdr>
        <w:top w:val="none" w:sz="0" w:space="0" w:color="auto"/>
        <w:left w:val="none" w:sz="0" w:space="0" w:color="auto"/>
        <w:bottom w:val="none" w:sz="0" w:space="0" w:color="auto"/>
        <w:right w:val="none" w:sz="0" w:space="0" w:color="auto"/>
      </w:divBdr>
    </w:div>
    <w:div w:id="428426987">
      <w:bodyDiv w:val="1"/>
      <w:marLeft w:val="0"/>
      <w:marRight w:val="0"/>
      <w:marTop w:val="0"/>
      <w:marBottom w:val="0"/>
      <w:divBdr>
        <w:top w:val="none" w:sz="0" w:space="0" w:color="auto"/>
        <w:left w:val="none" w:sz="0" w:space="0" w:color="auto"/>
        <w:bottom w:val="none" w:sz="0" w:space="0" w:color="auto"/>
        <w:right w:val="none" w:sz="0" w:space="0" w:color="auto"/>
      </w:divBdr>
    </w:div>
    <w:div w:id="456222943">
      <w:bodyDiv w:val="1"/>
      <w:marLeft w:val="0"/>
      <w:marRight w:val="0"/>
      <w:marTop w:val="0"/>
      <w:marBottom w:val="0"/>
      <w:divBdr>
        <w:top w:val="none" w:sz="0" w:space="0" w:color="auto"/>
        <w:left w:val="none" w:sz="0" w:space="0" w:color="auto"/>
        <w:bottom w:val="none" w:sz="0" w:space="0" w:color="auto"/>
        <w:right w:val="none" w:sz="0" w:space="0" w:color="auto"/>
      </w:divBdr>
    </w:div>
    <w:div w:id="819150738">
      <w:bodyDiv w:val="1"/>
      <w:marLeft w:val="0"/>
      <w:marRight w:val="0"/>
      <w:marTop w:val="0"/>
      <w:marBottom w:val="0"/>
      <w:divBdr>
        <w:top w:val="none" w:sz="0" w:space="0" w:color="auto"/>
        <w:left w:val="none" w:sz="0" w:space="0" w:color="auto"/>
        <w:bottom w:val="none" w:sz="0" w:space="0" w:color="auto"/>
        <w:right w:val="none" w:sz="0" w:space="0" w:color="auto"/>
      </w:divBdr>
    </w:div>
    <w:div w:id="1061250349">
      <w:bodyDiv w:val="1"/>
      <w:marLeft w:val="0"/>
      <w:marRight w:val="0"/>
      <w:marTop w:val="0"/>
      <w:marBottom w:val="0"/>
      <w:divBdr>
        <w:top w:val="none" w:sz="0" w:space="0" w:color="auto"/>
        <w:left w:val="none" w:sz="0" w:space="0" w:color="auto"/>
        <w:bottom w:val="none" w:sz="0" w:space="0" w:color="auto"/>
        <w:right w:val="none" w:sz="0" w:space="0" w:color="auto"/>
      </w:divBdr>
    </w:div>
    <w:div w:id="1773548885">
      <w:bodyDiv w:val="1"/>
      <w:marLeft w:val="0"/>
      <w:marRight w:val="0"/>
      <w:marTop w:val="0"/>
      <w:marBottom w:val="0"/>
      <w:divBdr>
        <w:top w:val="none" w:sz="0" w:space="0" w:color="auto"/>
        <w:left w:val="none" w:sz="0" w:space="0" w:color="auto"/>
        <w:bottom w:val="none" w:sz="0" w:space="0" w:color="auto"/>
        <w:right w:val="none" w:sz="0" w:space="0" w:color="auto"/>
      </w:divBdr>
    </w:div>
    <w:div w:id="1777090253">
      <w:bodyDiv w:val="1"/>
      <w:marLeft w:val="0"/>
      <w:marRight w:val="0"/>
      <w:marTop w:val="0"/>
      <w:marBottom w:val="0"/>
      <w:divBdr>
        <w:top w:val="none" w:sz="0" w:space="0" w:color="auto"/>
        <w:left w:val="none" w:sz="0" w:space="0" w:color="auto"/>
        <w:bottom w:val="none" w:sz="0" w:space="0" w:color="auto"/>
        <w:right w:val="none" w:sz="0" w:space="0" w:color="auto"/>
      </w:divBdr>
    </w:div>
    <w:div w:id="18825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982/ECTA8640" TargetMode="External"/><Relationship Id="rId21" Type="http://schemas.openxmlformats.org/officeDocument/2006/relationships/hyperlink" Target="https://trade.ec.europa.eu/access-to-markets/en/content/generalised-scheme-preferences-plus-gsp" TargetMode="External"/><Relationship Id="rId42" Type="http://schemas.openxmlformats.org/officeDocument/2006/relationships/hyperlink" Target="https://doi.org/10.1016/j.jinteco.2005.09.003" TargetMode="External"/><Relationship Id="rId47" Type="http://schemas.openxmlformats.org/officeDocument/2006/relationships/hyperlink" Target="https://www.tralac.org/documents/resources/faqs/5889-afcfta-frequently-asked-questions-updated-may-2025.html?utm_source=chatgpt.com"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hyperlink" Target="https://doi.org/10.1257/aer.97.5.1611" TargetMode="External"/><Relationship Id="rId2" Type="http://schemas.openxmlformats.org/officeDocument/2006/relationships/settings" Target="settings.xml"/><Relationship Id="rId16" Type="http://schemas.openxmlformats.org/officeDocument/2006/relationships/hyperlink" Target="https://doi.org/10.1111/j.0013-0133.2004.00186.x" TargetMode="External"/><Relationship Id="rId29" Type="http://schemas.openxmlformats.org/officeDocument/2006/relationships/hyperlink" Target="https://www.intracen.org/resources/publications/mainstreaming-gender-in-free-trade-agreements" TargetMode="External"/><Relationship Id="rId11" Type="http://schemas.openxmlformats.org/officeDocument/2006/relationships/hyperlink" Target="https://doi.org/10.1257/aer.103.6.2121" TargetMode="External"/><Relationship Id="rId24" Type="http://schemas.openxmlformats.org/officeDocument/2006/relationships/hyperlink" Target="https://doi.org/10.1257/jel.45.1.39" TargetMode="External"/><Relationship Id="rId32" Type="http://schemas.openxmlformats.org/officeDocument/2006/relationships/hyperlink" Target="http://www.jstor.org/stable/1805774" TargetMode="External"/><Relationship Id="rId37" Type="http://schemas.openxmlformats.org/officeDocument/2006/relationships/hyperlink" Target="https://ustr.gov/about-us/policy-offices/press-office/fact-sheets/2024/september/fact-sheet-usmca-rapid-response-mechanism-delivers-workers" TargetMode="External"/><Relationship Id="rId40" Type="http://schemas.openxmlformats.org/officeDocument/2006/relationships/hyperlink" Target="https://ustr.gov/about/policy-offices/press-office/press-releases/2025/august/usmca-rapid-response-labor-mechanism-panel-finds-denial-rights-atento-servicios" TargetMode="External"/><Relationship Id="rId45" Type="http://schemas.openxmlformats.org/officeDocument/2006/relationships/hyperlink" Target="https://doi.org/10.1257/app.2.4.1" TargetMode="External"/><Relationship Id="rId53" Type="http://schemas.openxmlformats.org/officeDocument/2006/relationships/hyperlink" Target="https://www.worldbank.org/en/publication/poverty-prosperity-and-planet?utm_source=chatgpt.com" TargetMode="External"/><Relationship Id="rId58" Type="http://schemas.openxmlformats.org/officeDocument/2006/relationships/hyperlink" Target="https://www.wto.org/english/tratop_e/tradfa_e/tfa_factsheet2017_e.pdf" TargetMode="External"/><Relationship Id="rId66" Type="http://schemas.openxmlformats.org/officeDocument/2006/relationships/header" Target="header3.xml"/><Relationship Id="rId5" Type="http://schemas.openxmlformats.org/officeDocument/2006/relationships/endnotes" Target="endnotes.xml"/><Relationship Id="rId61" Type="http://schemas.openxmlformats.org/officeDocument/2006/relationships/hyperlink" Target="https://www.wto.org/english/res_e/booksp_e/wtr24_e/wtr24_e.pdf" TargetMode="External"/><Relationship Id="rId19" Type="http://schemas.openxmlformats.org/officeDocument/2006/relationships/hyperlink" Target="https://www.eeas.europa.eu/node/18891" TargetMode="External"/><Relationship Id="rId14" Type="http://schemas.openxmlformats.org/officeDocument/2006/relationships/hyperlink" Target="https://democracyreporting.s3.eu-central-1.amazonaws.com/images/3142GSP-and-Sri-Lanka_ENG-1.pdf" TargetMode="External"/><Relationship Id="rId22" Type="http://schemas.openxmlformats.org/officeDocument/2006/relationships/hyperlink" Target="https://policy.trade.ec.europa.eu/development-and-sustainability/generalised-scheme-preferences_en" TargetMode="External"/><Relationship Id="rId27" Type="http://schemas.openxmlformats.org/officeDocument/2006/relationships/hyperlink" Target="https://www.foodsecurityportal.org/sites/default/files/2020-10/Chong%20Xiang_0.pdf" TargetMode="External"/><Relationship Id="rId30" Type="http://schemas.openxmlformats.org/officeDocument/2006/relationships/hyperlink" Target="https://outlook.shetrades.com/resources/0/publications" TargetMode="External"/><Relationship Id="rId35" Type="http://schemas.openxmlformats.org/officeDocument/2006/relationships/hyperlink" Target="https://doi.org/10.1111/1468-0262.00467" TargetMode="External"/><Relationship Id="rId43" Type="http://schemas.openxmlformats.org/officeDocument/2006/relationships/hyperlink" Target="https://www.imf.org/en/Publications/fandd/issues/2023/06/trade-drives-gender-equality-and-development-rocha-piermartini" TargetMode="External"/><Relationship Id="rId48" Type="http://schemas.openxmlformats.org/officeDocument/2006/relationships/hyperlink" Target="https://doi.org/10.1257/0002828042002633" TargetMode="External"/><Relationship Id="rId56" Type="http://schemas.openxmlformats.org/officeDocument/2006/relationships/hyperlink" Target="https://www.worldbank.org/en/topic/gender/overview?utm_source=chatgpt.co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doi.org/10.1257/0022051042177649" TargetMode="External"/><Relationship Id="rId51" Type="http://schemas.openxmlformats.org/officeDocument/2006/relationships/hyperlink" Target="https://www.aeaweb.org/articles?id=10.1257%2F002205104773558056&amp;utm_source=chatgpt.com" TargetMode="External"/><Relationship Id="rId3" Type="http://schemas.openxmlformats.org/officeDocument/2006/relationships/webSettings" Target="webSettings.xml"/><Relationship Id="rId12" Type="http://schemas.openxmlformats.org/officeDocument/2006/relationships/hyperlink" Target="https://www.congress.gov/crs-product/R47197" TargetMode="External"/><Relationship Id="rId17" Type="http://schemas.openxmlformats.org/officeDocument/2006/relationships/hyperlink" Target="https://academic.oup.com/ej/article-abstract/114/493/F22/5089312?utm_source=chatgpt.com" TargetMode="External"/><Relationship Id="rId25" Type="http://schemas.openxmlformats.org/officeDocument/2006/relationships/hyperlink" Target="https://gsphub.eu/country-info/Pakistan" TargetMode="External"/><Relationship Id="rId33" Type="http://schemas.openxmlformats.org/officeDocument/2006/relationships/hyperlink" Target="https://blogs.lse.ac.uk/africaatlse/2025/10/15/after-five-years-africa-needs-to-guard-against-afcfta-complacency/" TargetMode="External"/><Relationship Id="rId38" Type="http://schemas.openxmlformats.org/officeDocument/2006/relationships/hyperlink" Target="https://ustr.gov/about-us/policy-offices/press-office/press-releases/2024/september/ustr-finalizes-action-china-tariffs-following-statutory-four-year-review" TargetMode="External"/><Relationship Id="rId46" Type="http://schemas.openxmlformats.org/officeDocument/2006/relationships/hyperlink" Target="https://trade4msmes.org/policymakers/" TargetMode="External"/><Relationship Id="rId59" Type="http://schemas.openxmlformats.org/officeDocument/2006/relationships/hyperlink" Target="https://www.wto.org/english/res_e/booksp_e/wtr24_e/wtr24_e.pdf?utm_source=chatgpt.com" TargetMode="External"/><Relationship Id="rId67" Type="http://schemas.openxmlformats.org/officeDocument/2006/relationships/footer" Target="footer3.xml"/><Relationship Id="rId20" Type="http://schemas.openxmlformats.org/officeDocument/2006/relationships/hyperlink" Target="https://policy.trade.ec.europa.eu/development-and-sustainability/generalised-scheme-preferences_en" TargetMode="External"/><Relationship Id="rId41" Type="http://schemas.openxmlformats.org/officeDocument/2006/relationships/hyperlink" Target="https://www.oecd.org/content/dam/oecd/en/publications/reports/2017/05/making-trade-work-for-all_4a335cc3/6e27effd-en.pdf" TargetMode="External"/><Relationship Id="rId54" Type="http://schemas.openxmlformats.org/officeDocument/2006/relationships/hyperlink" Target="https://www.reuters.com/sustainability/society-equity/closing-gender-gap-could-lift-global-gdp-more-than-20-world-bank-says-2024-03-04/"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afriwise.com/blog/ethiopia-implements-afcfta-tariff-concessions-council-of-ministers-regulation-no-574-2025" TargetMode="External"/><Relationship Id="rId15" Type="http://schemas.openxmlformats.org/officeDocument/2006/relationships/hyperlink" Target="https://doi.org/10.1162/rest.2009.11498" TargetMode="External"/><Relationship Id="rId23" Type="http://schemas.openxmlformats.org/officeDocument/2006/relationships/hyperlink" Target="https://doi.org/10.1257/aer.89.3.379" TargetMode="External"/><Relationship Id="rId28" Type="http://schemas.openxmlformats.org/officeDocument/2006/relationships/hyperlink" Target="https://outlook.shetrades.com/admin/upload/publications/documents/ITC_Making%20Trade%20Policy%20Work%20for%20Women.pdf" TargetMode="External"/><Relationship Id="rId36" Type="http://schemas.openxmlformats.org/officeDocument/2006/relationships/hyperlink" Target="https://doi.org/10.1016/j.jdeveco.2008.06.009" TargetMode="External"/><Relationship Id="rId49" Type="http://schemas.openxmlformats.org/officeDocument/2006/relationships/hyperlink" Target="https://www.dol.gov/agencies/ilab/our-work/trade/labor-rights-usmca-cases" TargetMode="External"/><Relationship Id="rId57" Type="http://schemas.openxmlformats.org/officeDocument/2006/relationships/hyperlink" Target="https://openknowledge.worldbank.org/entities/publication/e68ab71e-6c29-4168-b1f5-759cc852f1a7" TargetMode="External"/><Relationship Id="rId10" Type="http://schemas.openxmlformats.org/officeDocument/2006/relationships/hyperlink" Target="https://apnews.com/article/a9653d4b14051d78314c2bd8111510e7" TargetMode="External"/><Relationship Id="rId31" Type="http://schemas.openxmlformats.org/officeDocument/2006/relationships/hyperlink" Target="https://www.intracen.org/file/itcsmeco2025pdf" TargetMode="External"/><Relationship Id="rId44" Type="http://schemas.openxmlformats.org/officeDocument/2006/relationships/hyperlink" Target="https://doi.org/10.2307/2967638" TargetMode="External"/><Relationship Id="rId52" Type="http://schemas.openxmlformats.org/officeDocument/2006/relationships/hyperlink" Target="https://www.worldbank.org/en/topic/trade/publication/free-trade-deal-boosts-africa-economic-development?utm_source=chatgpt.com" TargetMode="External"/><Relationship Id="rId60" Type="http://schemas.openxmlformats.org/officeDocument/2006/relationships/hyperlink" Target="https://www.wto.org/english/res_e/publications_e/wtr24_e.htm"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apnews.com/article/3ca5ff615dcbd283ffefc7cf825cf096" TargetMode="External"/><Relationship Id="rId13" Type="http://schemas.openxmlformats.org/officeDocument/2006/relationships/hyperlink" Target="https://www.cov.com/en/news-and-insights/insights/2024/05/four-years-of-the-usmca-rapid-response-labor-mechanism" TargetMode="External"/><Relationship Id="rId18" Type="http://schemas.openxmlformats.org/officeDocument/2006/relationships/hyperlink" Target="https://www.ecofinagency.com/news/1310-49487-afcftas-first-trade-flows-begin-but-a-long-road-lies-ahead" TargetMode="External"/><Relationship Id="rId39" Type="http://schemas.openxmlformats.org/officeDocument/2006/relationships/hyperlink" Target="https://ustr.gov/trade-topics/enforcement/dispute-settlement-proceedings/fta-dispute-settlement/usmca/chapter-31-annex-facility-specific-rapid-response-labor-mechanism?utm_source=chatgpt.com" TargetMode="External"/><Relationship Id="rId34" Type="http://schemas.openxmlformats.org/officeDocument/2006/relationships/hyperlink" Target="https://www.macmap.org/en/learn/afcfta?utm_source=chatgpt.com" TargetMode="External"/><Relationship Id="rId50" Type="http://schemas.openxmlformats.org/officeDocument/2006/relationships/hyperlink" Target="https://www.whitecase.com/insight-alert/united-states-finalizes-section-301-tariff-increases-imports-china" TargetMode="External"/><Relationship Id="rId55" Type="http://schemas.openxmlformats.org/officeDocument/2006/relationships/hyperlink" Target="https://blogs.worldbank.org/en/opendata/june-2025-global-poverty-update-from-the-world-bank--2021-ppps-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1869</TotalTime>
  <Pages>21</Pages>
  <Words>10245</Words>
  <Characters>58398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SDI 1084</cp:lastModifiedBy>
  <cp:revision>19</cp:revision>
  <dcterms:created xsi:type="dcterms:W3CDTF">2025-10-15T10:57:00Z</dcterms:created>
  <dcterms:modified xsi:type="dcterms:W3CDTF">2025-10-28T11:49:00Z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6118d6a1-e337-40c1-9be7-1a84064a828a</vt:lpwstr>
  </property>
</Properties>
</file>