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40CC" w14:textId="4F024E8D" w:rsidR="000A126D" w:rsidRPr="0097339C" w:rsidRDefault="003B4A15"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Assessment of Carbon Sequestration in a Cocoa Field in the Lôh-Djiboua </w:t>
      </w:r>
      <w:proofErr w:type="gramStart"/>
      <w:r w:rsidRPr="0097339C">
        <w:rPr>
          <w:rFonts w:ascii="Times New Roman" w:hAnsi="Times New Roman" w:cs="Times New Roman"/>
          <w:sz w:val="24"/>
          <w:szCs w:val="24"/>
        </w:rPr>
        <w:t>Region:</w:t>
      </w:r>
      <w:proofErr w:type="gramEnd"/>
      <w:r w:rsidRPr="0097339C">
        <w:rPr>
          <w:rFonts w:ascii="Times New Roman" w:hAnsi="Times New Roman" w:cs="Times New Roman"/>
          <w:sz w:val="24"/>
          <w:szCs w:val="24"/>
        </w:rPr>
        <w:t xml:space="preserve"> The Case of Divo (Côte d’Ivoire)</w:t>
      </w:r>
    </w:p>
    <w:p w14:paraId="486DA308" w14:textId="77777777" w:rsidR="003B4A15" w:rsidRPr="0097339C" w:rsidRDefault="003B4A15" w:rsidP="0097339C">
      <w:pPr>
        <w:spacing w:after="0" w:line="360" w:lineRule="auto"/>
        <w:jc w:val="both"/>
        <w:rPr>
          <w:rFonts w:ascii="Times New Roman" w:hAnsi="Times New Roman" w:cs="Times New Roman"/>
          <w:sz w:val="24"/>
          <w:szCs w:val="24"/>
        </w:rPr>
      </w:pPr>
    </w:p>
    <w:p w14:paraId="3BAEC8A9" w14:textId="77777777" w:rsidR="00EA66B4" w:rsidRPr="0097339C" w:rsidRDefault="00EA66B4" w:rsidP="0097339C">
      <w:pPr>
        <w:spacing w:after="0" w:line="360" w:lineRule="auto"/>
        <w:jc w:val="both"/>
        <w:rPr>
          <w:rFonts w:ascii="Times New Roman" w:hAnsi="Times New Roman" w:cs="Times New Roman"/>
          <w:sz w:val="24"/>
          <w:szCs w:val="24"/>
        </w:rPr>
      </w:pPr>
    </w:p>
    <w:p w14:paraId="3B54DAEE" w14:textId="77777777" w:rsidR="00EA66B4" w:rsidRPr="00AF3088" w:rsidRDefault="00AF3088" w:rsidP="0097339C">
      <w:pPr>
        <w:spacing w:after="0" w:line="360" w:lineRule="auto"/>
        <w:jc w:val="both"/>
        <w:rPr>
          <w:rFonts w:ascii="Times New Roman" w:hAnsi="Times New Roman" w:cs="Times New Roman"/>
          <w:b/>
          <w:sz w:val="24"/>
          <w:szCs w:val="24"/>
        </w:rPr>
      </w:pPr>
      <w:r w:rsidRPr="00AF3088">
        <w:rPr>
          <w:rFonts w:ascii="Times New Roman" w:hAnsi="Times New Roman" w:cs="Times New Roman"/>
          <w:b/>
          <w:sz w:val="24"/>
          <w:szCs w:val="24"/>
        </w:rPr>
        <w:t>Abstract</w:t>
      </w:r>
    </w:p>
    <w:p w14:paraId="415FA6A4" w14:textId="77777777" w:rsidR="006D04C2" w:rsidRDefault="006D04C2" w:rsidP="006D04C2">
      <w:pPr>
        <w:spacing w:after="0" w:line="360" w:lineRule="auto"/>
        <w:jc w:val="both"/>
        <w:rPr>
          <w:rFonts w:ascii="Times New Roman" w:hAnsi="Times New Roman" w:cs="Times New Roman"/>
          <w:sz w:val="24"/>
          <w:szCs w:val="24"/>
        </w:rPr>
      </w:pPr>
      <w:r w:rsidRPr="006D04C2">
        <w:rPr>
          <w:rFonts w:ascii="Times New Roman" w:hAnsi="Times New Roman" w:cs="Times New Roman"/>
          <w:sz w:val="24"/>
          <w:szCs w:val="24"/>
        </w:rPr>
        <w:t xml:space="preserve">This study was conducted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The overall objective of the present research is to determine the various carbon sequestration potentials in cocoa-based agroforestry plantations. The biological material consists of trees recorded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The sampling design includes 26 plots measuring 30 m x 50 m, randomly established. The diameter </w:t>
      </w:r>
      <w:proofErr w:type="gramStart"/>
      <w:r w:rsidRPr="006D04C2">
        <w:rPr>
          <w:rFonts w:ascii="Times New Roman" w:hAnsi="Times New Roman" w:cs="Times New Roman"/>
          <w:sz w:val="24"/>
          <w:szCs w:val="24"/>
        </w:rPr>
        <w:t>was</w:t>
      </w:r>
      <w:proofErr w:type="gramEnd"/>
      <w:r w:rsidRPr="006D04C2">
        <w:rPr>
          <w:rFonts w:ascii="Times New Roman" w:hAnsi="Times New Roman" w:cs="Times New Roman"/>
          <w:sz w:val="24"/>
          <w:szCs w:val="24"/>
        </w:rPr>
        <w:t xml:space="preserve"> measured over bark at breast height (DBH = 1.30 m from the ground). The tool used to measure tree circ</w:t>
      </w:r>
      <w:r w:rsidR="00734AD4">
        <w:rPr>
          <w:rFonts w:ascii="Times New Roman" w:hAnsi="Times New Roman" w:cs="Times New Roman"/>
          <w:sz w:val="24"/>
          <w:szCs w:val="24"/>
        </w:rPr>
        <w:t xml:space="preserve">umferences was a forestry tape. </w:t>
      </w:r>
      <w:r w:rsidRPr="006D04C2">
        <w:rPr>
          <w:rFonts w:ascii="Times New Roman" w:hAnsi="Times New Roman" w:cs="Times New Roman"/>
          <w:sz w:val="24"/>
          <w:szCs w:val="24"/>
        </w:rPr>
        <w:t xml:space="preserve">Biomass stocks were obtained using two </w:t>
      </w:r>
      <w:proofErr w:type="gramStart"/>
      <w:r w:rsidRPr="006D04C2">
        <w:rPr>
          <w:rFonts w:ascii="Times New Roman" w:hAnsi="Times New Roman" w:cs="Times New Roman"/>
          <w:sz w:val="24"/>
          <w:szCs w:val="24"/>
        </w:rPr>
        <w:t>methods:</w:t>
      </w:r>
      <w:proofErr w:type="gramEnd"/>
      <w:r w:rsidRPr="006D04C2">
        <w:rPr>
          <w:rFonts w:ascii="Times New Roman" w:hAnsi="Times New Roman" w:cs="Times New Roman"/>
          <w:sz w:val="24"/>
          <w:szCs w:val="24"/>
        </w:rPr>
        <w:t xml:space="preserve"> destructive and non-destructive. To determine carbon stock, aboveground biomass was converted according to established recommendations. A total of 61 </w:t>
      </w:r>
      <w:proofErr w:type="gramStart"/>
      <w:r w:rsidRPr="006D04C2">
        <w:rPr>
          <w:rFonts w:ascii="Times New Roman" w:hAnsi="Times New Roman" w:cs="Times New Roman"/>
          <w:sz w:val="24"/>
          <w:szCs w:val="24"/>
        </w:rPr>
        <w:t>plant</w:t>
      </w:r>
      <w:proofErr w:type="gramEnd"/>
      <w:r w:rsidRPr="006D04C2">
        <w:rPr>
          <w:rFonts w:ascii="Times New Roman" w:hAnsi="Times New Roman" w:cs="Times New Roman"/>
          <w:sz w:val="24"/>
          <w:szCs w:val="24"/>
        </w:rPr>
        <w:t xml:space="preserve"> species were recorded. The distribution of trees by height class showed a dominance of individuals in the medium height class. Most individuals had a height within the [10–15 </w:t>
      </w:r>
      <w:proofErr w:type="gramStart"/>
      <w:r w:rsidRPr="006D04C2">
        <w:rPr>
          <w:rFonts w:ascii="Times New Roman" w:hAnsi="Times New Roman" w:cs="Times New Roman"/>
          <w:sz w:val="24"/>
          <w:szCs w:val="24"/>
        </w:rPr>
        <w:t>mete</w:t>
      </w:r>
      <w:r w:rsidR="00734AD4">
        <w:rPr>
          <w:rFonts w:ascii="Times New Roman" w:hAnsi="Times New Roman" w:cs="Times New Roman"/>
          <w:sz w:val="24"/>
          <w:szCs w:val="24"/>
        </w:rPr>
        <w:t>rs[ and</w:t>
      </w:r>
      <w:proofErr w:type="gramEnd"/>
      <w:r w:rsidR="00734AD4">
        <w:rPr>
          <w:rFonts w:ascii="Times New Roman" w:hAnsi="Times New Roman" w:cs="Times New Roman"/>
          <w:sz w:val="24"/>
          <w:szCs w:val="24"/>
        </w:rPr>
        <w:t xml:space="preserve"> [15–20 meters[ classes. </w:t>
      </w:r>
      <w:r w:rsidRPr="006D04C2">
        <w:rPr>
          <w:rFonts w:ascii="Times New Roman" w:hAnsi="Times New Roman" w:cs="Times New Roman"/>
          <w:sz w:val="24"/>
          <w:szCs w:val="24"/>
        </w:rPr>
        <w:t>SAF1, with a carbon stock of 27.94 tC/ha, recorded the lowest carbon rate compared to SAF3, which alone stores an average of 42.03 tC/ha. The relationship between carbon stock and tree diameter showed a strong correlation, as the correlation coefficient was r = 0.98, close to 1, with a p-value less than 0.05.</w:t>
      </w:r>
    </w:p>
    <w:p w14:paraId="0D88B4AD" w14:textId="77777777" w:rsidR="00994596" w:rsidRDefault="00994596" w:rsidP="006D04C2">
      <w:pPr>
        <w:spacing w:after="0" w:line="360" w:lineRule="auto"/>
        <w:jc w:val="both"/>
        <w:rPr>
          <w:rFonts w:ascii="Times New Roman" w:hAnsi="Times New Roman" w:cs="Times New Roman"/>
          <w:sz w:val="24"/>
          <w:szCs w:val="24"/>
        </w:rPr>
      </w:pPr>
    </w:p>
    <w:p w14:paraId="5088152E" w14:textId="77777777" w:rsidR="00994596" w:rsidRPr="0097339C" w:rsidRDefault="00994596" w:rsidP="006D04C2">
      <w:pPr>
        <w:spacing w:after="0" w:line="360" w:lineRule="auto"/>
        <w:jc w:val="both"/>
        <w:rPr>
          <w:rFonts w:ascii="Times New Roman" w:hAnsi="Times New Roman" w:cs="Times New Roman"/>
          <w:sz w:val="24"/>
          <w:szCs w:val="24"/>
        </w:rPr>
      </w:pPr>
    </w:p>
    <w:p w14:paraId="0FA178BB" w14:textId="77777777" w:rsidR="00EA66B4" w:rsidRPr="0097339C" w:rsidRDefault="00EA66B4" w:rsidP="0097339C">
      <w:pPr>
        <w:spacing w:after="0" w:line="360" w:lineRule="auto"/>
        <w:jc w:val="both"/>
        <w:rPr>
          <w:rFonts w:ascii="Times New Roman" w:hAnsi="Times New Roman" w:cs="Times New Roman"/>
          <w:b/>
          <w:sz w:val="24"/>
          <w:szCs w:val="24"/>
        </w:rPr>
      </w:pPr>
      <w:r w:rsidRPr="0097339C">
        <w:rPr>
          <w:rFonts w:ascii="Times New Roman" w:hAnsi="Times New Roman" w:cs="Times New Roman"/>
          <w:b/>
          <w:sz w:val="24"/>
          <w:szCs w:val="24"/>
        </w:rPr>
        <w:t>Introduction</w:t>
      </w:r>
    </w:p>
    <w:p w14:paraId="40A14A71" w14:textId="77777777" w:rsidR="00EA66B4" w:rsidRPr="0097339C" w:rsidRDefault="00EA66B4"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Ecosystems provide goods, ecological, and socio-economic services essential for the well-being and development of human populations (Ouattara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2016). The approval of the Reducing Emissions from Deforestation and Forest Degradation (REDD) mechanism in Bali in 2007 led to a global mobilization to generate information on carbon stocks in potential existing carbon sinks, including land-use systems. Indeed, one of the many ecological services provided by ecosystems is the natural sequestration of carbon, which has become a major issue for climate stability today (Barré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2020). However, with the degradation of natural ecosystems, it is evident that the carbon sequestration potential varies depending on the agroforestry practices applied.</w:t>
      </w:r>
    </w:p>
    <w:p w14:paraId="06B1A6D9" w14:textId="77777777" w:rsidR="0097339C" w:rsidRDefault="0097339C"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Agroforestry has existed for several hundreds, even thousands of years, as a traditional land-use system practiced by many populations around the world (Touoyem, 2022), particularly in tropical countries (Ngono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2015). Cocoa-based agroforestry systems are highly valued in </w:t>
      </w:r>
      <w:r w:rsidRPr="0097339C">
        <w:rPr>
          <w:rFonts w:ascii="Times New Roman" w:hAnsi="Times New Roman" w:cs="Times New Roman"/>
          <w:sz w:val="24"/>
          <w:szCs w:val="24"/>
        </w:rPr>
        <w:lastRenderedPageBreak/>
        <w:t xml:space="preserve">Africa, especially in West and Central Africa (Koulibaly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2010), as they help reduce deforestation commonly associated with cocoa cultivation in the tropics (Dixon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2001). Indeed, cocoa trees are grown in association with many perennial, forest, and fruit species with multiple uses, providing farmers with various products for consumption or sale to increase their income. This also helps them mitigate risks related to the volatilit</w:t>
      </w:r>
      <w:r w:rsidR="00994596">
        <w:rPr>
          <w:rFonts w:ascii="Times New Roman" w:hAnsi="Times New Roman" w:cs="Times New Roman"/>
          <w:sz w:val="24"/>
          <w:szCs w:val="24"/>
        </w:rPr>
        <w:t xml:space="preserve">y of global cocoa prices (Sonwa </w:t>
      </w:r>
      <w:r w:rsidR="00994596" w:rsidRPr="00994596">
        <w:rPr>
          <w:rFonts w:ascii="Times New Roman" w:hAnsi="Times New Roman" w:cs="Times New Roman"/>
          <w:i/>
          <w:sz w:val="24"/>
          <w:szCs w:val="24"/>
        </w:rPr>
        <w:t>et al.,</w:t>
      </w:r>
      <w:r w:rsidR="00994596">
        <w:rPr>
          <w:rFonts w:ascii="Times New Roman" w:hAnsi="Times New Roman" w:cs="Times New Roman"/>
          <w:sz w:val="24"/>
          <w:szCs w:val="24"/>
        </w:rPr>
        <w:t xml:space="preserve"> </w:t>
      </w:r>
      <w:r w:rsidRPr="0097339C">
        <w:rPr>
          <w:rFonts w:ascii="Times New Roman" w:hAnsi="Times New Roman" w:cs="Times New Roman"/>
          <w:sz w:val="24"/>
          <w:szCs w:val="24"/>
        </w:rPr>
        <w:t>2002).</w:t>
      </w:r>
      <w:r>
        <w:rPr>
          <w:rFonts w:ascii="Times New Roman" w:hAnsi="Times New Roman" w:cs="Times New Roman"/>
          <w:sz w:val="24"/>
          <w:szCs w:val="24"/>
        </w:rPr>
        <w:t xml:space="preserve"> </w:t>
      </w:r>
      <w:r w:rsidRPr="0097339C">
        <w:rPr>
          <w:rFonts w:ascii="Times New Roman" w:hAnsi="Times New Roman" w:cs="Times New Roman"/>
          <w:sz w:val="24"/>
          <w:szCs w:val="24"/>
        </w:rPr>
        <w:t xml:space="preserve">In Côte d’Ivoire, the cultivation of cocoa (Theobroma cacao L.) holds a significant place in the national economy (Vroh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2019). Indeed, Côte d’Ivoire has remained the world's leading producer of cocoa beans since 1978 (Tano, 2012). However, the expansion of cocoa plantations has led to a significant reduction in forest areas (Goetze </w:t>
      </w:r>
      <w:r w:rsidRPr="00875FE2">
        <w:rPr>
          <w:rFonts w:ascii="Times New Roman" w:hAnsi="Times New Roman" w:cs="Times New Roman"/>
          <w:i/>
          <w:sz w:val="24"/>
          <w:szCs w:val="24"/>
        </w:rPr>
        <w:t>et al.,</w:t>
      </w:r>
      <w:r w:rsidRPr="0097339C">
        <w:rPr>
          <w:rFonts w:ascii="Times New Roman" w:hAnsi="Times New Roman" w:cs="Times New Roman"/>
          <w:sz w:val="24"/>
          <w:szCs w:val="24"/>
        </w:rPr>
        <w:t xml:space="preserve"> </w:t>
      </w:r>
      <w:proofErr w:type="gramStart"/>
      <w:r w:rsidRPr="0097339C">
        <w:rPr>
          <w:rFonts w:ascii="Times New Roman" w:hAnsi="Times New Roman" w:cs="Times New Roman"/>
          <w:sz w:val="24"/>
          <w:szCs w:val="24"/>
        </w:rPr>
        <w:t>2010;</w:t>
      </w:r>
      <w:proofErr w:type="gramEnd"/>
      <w:r w:rsidRPr="0097339C">
        <w:rPr>
          <w:rFonts w:ascii="Times New Roman" w:hAnsi="Times New Roman" w:cs="Times New Roman"/>
          <w:sz w:val="24"/>
          <w:szCs w:val="24"/>
        </w:rPr>
        <w:t xml:space="preserve"> World Bank, 2019). From 16 million hectares of forest in 1960 (FAO, 2005), forest cover has drastically decreased, now representing only 2.97 million hectares (Kassoum, </w:t>
      </w:r>
      <w:proofErr w:type="gramStart"/>
      <w:r w:rsidRPr="0097339C">
        <w:rPr>
          <w:rFonts w:ascii="Times New Roman" w:hAnsi="Times New Roman" w:cs="Times New Roman"/>
          <w:sz w:val="24"/>
          <w:szCs w:val="24"/>
        </w:rPr>
        <w:t>2018;</w:t>
      </w:r>
      <w:proofErr w:type="gramEnd"/>
      <w:r w:rsidRPr="0097339C">
        <w:rPr>
          <w:rFonts w:ascii="Times New Roman" w:hAnsi="Times New Roman" w:cs="Times New Roman"/>
          <w:sz w:val="24"/>
          <w:szCs w:val="24"/>
        </w:rPr>
        <w:t xml:space="preserve"> IFFN, 2021). The current landscape of Côte d’Ivoire shows that more than 30% of the national territory is occupied by cocoa plantations (FAO, </w:t>
      </w:r>
      <w:proofErr w:type="gramStart"/>
      <w:r w:rsidRPr="0097339C">
        <w:rPr>
          <w:rFonts w:ascii="Times New Roman" w:hAnsi="Times New Roman" w:cs="Times New Roman"/>
          <w:sz w:val="24"/>
          <w:szCs w:val="24"/>
        </w:rPr>
        <w:t>2009;</w:t>
      </w:r>
      <w:proofErr w:type="gramEnd"/>
      <w:r w:rsidRPr="0097339C">
        <w:rPr>
          <w:rFonts w:ascii="Times New Roman" w:hAnsi="Times New Roman" w:cs="Times New Roman"/>
          <w:sz w:val="24"/>
          <w:szCs w:val="24"/>
        </w:rPr>
        <w:t xml:space="preserve"> National REDD+ Strategy, 2018). These systems are also found in Mexico (Salgado-Mora </w:t>
      </w:r>
      <w:r w:rsidRPr="00875FE2">
        <w:rPr>
          <w:rFonts w:ascii="Times New Roman" w:hAnsi="Times New Roman" w:cs="Times New Roman"/>
          <w:i/>
          <w:sz w:val="24"/>
          <w:szCs w:val="24"/>
        </w:rPr>
        <w:t>et al.,</w:t>
      </w:r>
      <w:r w:rsidRPr="0097339C">
        <w:rPr>
          <w:rFonts w:ascii="Times New Roman" w:hAnsi="Times New Roman" w:cs="Times New Roman"/>
          <w:sz w:val="24"/>
          <w:szCs w:val="24"/>
        </w:rPr>
        <w:t xml:space="preserve"> 2007), Brazil (Ruf &amp; Schroth, 1995), and Côte d’Ivoire (Vroh &amp; Abrou, 2019). These agroforestry systems offer several ecosystem services, ranging from biodiversity conservation to carbon sequestration, including the preserv</w:t>
      </w:r>
      <w:r w:rsidR="00875FE2">
        <w:rPr>
          <w:rFonts w:ascii="Times New Roman" w:hAnsi="Times New Roman" w:cs="Times New Roman"/>
          <w:sz w:val="24"/>
          <w:szCs w:val="24"/>
        </w:rPr>
        <w:t xml:space="preserve">ation of soil diversity (Xavier </w:t>
      </w:r>
      <w:r w:rsidR="00875FE2" w:rsidRPr="00875FE2">
        <w:rPr>
          <w:rFonts w:ascii="Times New Roman" w:hAnsi="Times New Roman" w:cs="Times New Roman"/>
          <w:i/>
          <w:sz w:val="24"/>
          <w:szCs w:val="24"/>
        </w:rPr>
        <w:t>et al.,</w:t>
      </w:r>
      <w:r w:rsidR="00875FE2">
        <w:rPr>
          <w:rFonts w:ascii="Times New Roman" w:hAnsi="Times New Roman" w:cs="Times New Roman"/>
          <w:sz w:val="24"/>
          <w:szCs w:val="24"/>
        </w:rPr>
        <w:t xml:space="preserve"> </w:t>
      </w:r>
      <w:r w:rsidRPr="0097339C">
        <w:rPr>
          <w:rFonts w:ascii="Times New Roman" w:hAnsi="Times New Roman" w:cs="Times New Roman"/>
          <w:sz w:val="24"/>
          <w:szCs w:val="24"/>
        </w:rPr>
        <w:t>2009).</w:t>
      </w:r>
    </w:p>
    <w:p w14:paraId="685A857B" w14:textId="77777777"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general objective of this study is to determine the different carbon sequestration potentials in cocoa-based agroforestry plantations. It aims to identify the various factors influencing these potentials, as well as the consequences for sustainable natural resource management and rural development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and to propose strategies to maximize carbon sequestration. Three specific objectives stem from this main goal. First, to inventory the diversity of plant species. Second, to quantify the above-ground biomass. Finally, to estimate the carbon stocks of the vegetation.  </w:t>
      </w:r>
    </w:p>
    <w:p w14:paraId="73BFB7CA" w14:textId="77777777" w:rsidR="00E57EFA" w:rsidRDefault="00E57EFA" w:rsidP="00E57EFA">
      <w:pPr>
        <w:spacing w:after="0" w:line="360" w:lineRule="auto"/>
        <w:jc w:val="both"/>
        <w:rPr>
          <w:rFonts w:ascii="Times New Roman" w:hAnsi="Times New Roman" w:cs="Times New Roman"/>
          <w:sz w:val="24"/>
          <w:szCs w:val="24"/>
        </w:rPr>
      </w:pPr>
    </w:p>
    <w:p w14:paraId="1CFAC71B" w14:textId="77777777" w:rsidR="00E57EFA"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875FE2">
        <w:rPr>
          <w:rFonts w:ascii="Times New Roman" w:hAnsi="Times New Roman" w:cs="Times New Roman"/>
          <w:b/>
          <w:sz w:val="24"/>
          <w:szCs w:val="24"/>
        </w:rPr>
        <w:t>Material</w:t>
      </w:r>
      <w:r w:rsidR="00E57EFA" w:rsidRPr="00875FE2">
        <w:rPr>
          <w:rFonts w:ascii="Times New Roman" w:hAnsi="Times New Roman" w:cs="Times New Roman"/>
          <w:b/>
          <w:sz w:val="24"/>
          <w:szCs w:val="24"/>
        </w:rPr>
        <w:t xml:space="preserve">  </w:t>
      </w:r>
    </w:p>
    <w:p w14:paraId="5BB52110" w14:textId="77777777" w:rsidR="00875FE2" w:rsidRPr="007F1096" w:rsidRDefault="00875FE2" w:rsidP="00875F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7F1096">
        <w:rPr>
          <w:rFonts w:ascii="Times New Roman" w:hAnsi="Times New Roman" w:cs="Times New Roman"/>
          <w:b/>
          <w:sz w:val="24"/>
          <w:szCs w:val="24"/>
        </w:rPr>
        <w:t xml:space="preserve">Study area  </w:t>
      </w:r>
    </w:p>
    <w:p w14:paraId="4EC23CE0" w14:textId="77777777" w:rsidR="00875FE2"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7F1096">
        <w:rPr>
          <w:rFonts w:ascii="Times New Roman" w:hAnsi="Times New Roman" w:cs="Times New Roman"/>
          <w:sz w:val="24"/>
          <w:szCs w:val="24"/>
        </w:rPr>
        <w:t xml:space="preserve"> is located in the Central-Western part of Côte d'Ivoire, in the Lôh-Djiboua Region, specifically in the Divo Department</w:t>
      </w:r>
      <w:r w:rsidR="00AC6C3C">
        <w:rPr>
          <w:rFonts w:ascii="Times New Roman" w:hAnsi="Times New Roman" w:cs="Times New Roman"/>
          <w:sz w:val="24"/>
          <w:szCs w:val="24"/>
        </w:rPr>
        <w:t xml:space="preserve"> (</w:t>
      </w:r>
      <w:r w:rsidR="00AC6C3C" w:rsidRPr="00AC6C3C">
        <w:rPr>
          <w:rFonts w:ascii="Times New Roman" w:hAnsi="Times New Roman" w:cs="Times New Roman"/>
          <w:sz w:val="24"/>
          <w:szCs w:val="24"/>
        </w:rPr>
        <w:t>Harvey-Brown, 2024)</w:t>
      </w:r>
      <w:r w:rsidR="00875FE2" w:rsidRPr="007F1096">
        <w:rPr>
          <w:rFonts w:ascii="Times New Roman" w:hAnsi="Times New Roman" w:cs="Times New Roman"/>
          <w:sz w:val="24"/>
          <w:szCs w:val="24"/>
        </w:rPr>
        <w:t xml:space="preserve">. </w:t>
      </w:r>
      <w:r w:rsidR="008B434D" w:rsidRPr="008B434D">
        <w:rPr>
          <w:rFonts w:ascii="Times New Roman" w:hAnsi="Times New Roman" w:cs="Times New Roman"/>
          <w:sz w:val="24"/>
          <w:szCs w:val="24"/>
        </w:rPr>
        <w:t>According to</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Ourega</w:t>
      </w:r>
      <w:r w:rsidR="006E0EE0">
        <w:rPr>
          <w:rFonts w:ascii="Times New Roman" w:hAnsi="Times New Roman" w:cs="Times New Roman"/>
          <w:sz w:val="24"/>
          <w:szCs w:val="24"/>
        </w:rPr>
        <w:t xml:space="preserve"> </w:t>
      </w:r>
      <w:r w:rsidR="001030EA">
        <w:rPr>
          <w:rFonts w:ascii="Times New Roman" w:hAnsi="Times New Roman" w:cs="Times New Roman"/>
          <w:sz w:val="24"/>
          <w:szCs w:val="24"/>
        </w:rPr>
        <w:t>and</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Gbocho</w:t>
      </w:r>
      <w:r w:rsidR="006E0EE0">
        <w:rPr>
          <w:rFonts w:ascii="Times New Roman" w:hAnsi="Times New Roman" w:cs="Times New Roman"/>
          <w:sz w:val="24"/>
          <w:szCs w:val="24"/>
        </w:rPr>
        <w:t xml:space="preserve"> (2021), </w:t>
      </w:r>
      <w:r w:rsidR="00875FE2" w:rsidRPr="007F1096">
        <w:rPr>
          <w:rFonts w:ascii="Times New Roman" w:hAnsi="Times New Roman" w:cs="Times New Roman"/>
          <w:sz w:val="24"/>
          <w:szCs w:val="24"/>
        </w:rPr>
        <w:t>Divo, a colonial town founded in th</w:t>
      </w:r>
      <w:r w:rsidR="00875FE2">
        <w:rPr>
          <w:rFonts w:ascii="Times New Roman" w:hAnsi="Times New Roman" w:cs="Times New Roman"/>
          <w:sz w:val="24"/>
          <w:szCs w:val="24"/>
        </w:rPr>
        <w:t xml:space="preserve">e Dida region from two villages (Bada and Boudoukou) </w:t>
      </w:r>
      <w:r w:rsidR="00875FE2" w:rsidRPr="007F1096">
        <w:rPr>
          <w:rFonts w:ascii="Times New Roman" w:hAnsi="Times New Roman" w:cs="Times New Roman"/>
          <w:sz w:val="24"/>
          <w:szCs w:val="24"/>
        </w:rPr>
        <w:t xml:space="preserve">gradually evolved into an administrative </w:t>
      </w:r>
      <w:proofErr w:type="gramStart"/>
      <w:r w:rsidR="00875FE2" w:rsidRPr="007F1096">
        <w:rPr>
          <w:rFonts w:ascii="Times New Roman" w:hAnsi="Times New Roman" w:cs="Times New Roman"/>
          <w:sz w:val="24"/>
          <w:szCs w:val="24"/>
        </w:rPr>
        <w:t>center:</w:t>
      </w:r>
      <w:proofErr w:type="gramEnd"/>
      <w:r w:rsidR="00875FE2" w:rsidRPr="007F1096">
        <w:rPr>
          <w:rFonts w:ascii="Times New Roman" w:hAnsi="Times New Roman" w:cs="Times New Roman"/>
          <w:sz w:val="24"/>
          <w:szCs w:val="24"/>
        </w:rPr>
        <w:t xml:space="preserve"> becoming a Sub-prefecture on January 30, 1961, a Prefecture in 1969, and a full-fledged Municipality in 1978 according to Law No. 78-07 of January 9, 1978. It became the regional capital of Lôh-Djiboua on January 15, 1997. Located in the southwestern forest zone of Côte d'Ivoire, between 5°55' North latitude </w:t>
      </w:r>
      <w:r w:rsidR="00875FE2" w:rsidRPr="007F1096">
        <w:rPr>
          <w:rFonts w:ascii="Times New Roman" w:hAnsi="Times New Roman" w:cs="Times New Roman"/>
          <w:sz w:val="24"/>
          <w:szCs w:val="24"/>
        </w:rPr>
        <w:lastRenderedPageBreak/>
        <w:t>and 5°37' West longitude</w:t>
      </w:r>
      <w:r w:rsidR="00F90CE3">
        <w:rPr>
          <w:rFonts w:ascii="Times New Roman" w:hAnsi="Times New Roman" w:cs="Times New Roman"/>
          <w:sz w:val="24"/>
          <w:szCs w:val="24"/>
        </w:rPr>
        <w:t xml:space="preserve"> (</w:t>
      </w:r>
      <w:r w:rsidR="00F90CE3" w:rsidRPr="00F90CE3">
        <w:rPr>
          <w:rFonts w:ascii="Times New Roman" w:hAnsi="Times New Roman" w:cs="Times New Roman"/>
          <w:sz w:val="24"/>
          <w:szCs w:val="24"/>
        </w:rPr>
        <w:t>Adou</w:t>
      </w:r>
      <w:r w:rsidR="00F90CE3">
        <w:rPr>
          <w:rFonts w:ascii="Times New Roman" w:hAnsi="Times New Roman" w:cs="Times New Roman"/>
          <w:sz w:val="24"/>
          <w:szCs w:val="24"/>
        </w:rPr>
        <w:t>, 2021)</w:t>
      </w:r>
      <w:r w:rsidR="00875FE2" w:rsidRPr="007F1096">
        <w:rPr>
          <w:rFonts w:ascii="Times New Roman" w:hAnsi="Times New Roman" w:cs="Times New Roman"/>
          <w:sz w:val="24"/>
          <w:szCs w:val="24"/>
        </w:rPr>
        <w:t xml:space="preserve">, the town of Divo </w:t>
      </w:r>
      <w:proofErr w:type="gramStart"/>
      <w:r w:rsidR="00875FE2" w:rsidRPr="007F1096">
        <w:rPr>
          <w:rFonts w:ascii="Times New Roman" w:hAnsi="Times New Roman" w:cs="Times New Roman"/>
          <w:sz w:val="24"/>
          <w:szCs w:val="24"/>
        </w:rPr>
        <w:t>lies</w:t>
      </w:r>
      <w:proofErr w:type="gramEnd"/>
      <w:r w:rsidR="00875FE2" w:rsidRPr="007F1096">
        <w:rPr>
          <w:rFonts w:ascii="Times New Roman" w:hAnsi="Times New Roman" w:cs="Times New Roman"/>
          <w:sz w:val="24"/>
          <w:szCs w:val="24"/>
        </w:rPr>
        <w:t xml:space="preserve"> 200 km from Abidjan, the economic capital of Côte d'Ivoire. The Divo Department borders Oumé to the North, Lakota to the West, Tiassalé to the East, and Fresco and Grand-Lahou to the South</w:t>
      </w:r>
      <w:r w:rsidR="00B52983">
        <w:rPr>
          <w:rFonts w:ascii="Times New Roman" w:hAnsi="Times New Roman" w:cs="Times New Roman"/>
          <w:sz w:val="24"/>
          <w:szCs w:val="24"/>
        </w:rPr>
        <w:t xml:space="preserve"> (</w:t>
      </w:r>
      <w:r w:rsidR="00B52983" w:rsidRPr="000275CF">
        <w:rPr>
          <w:rFonts w:ascii="Times New Roman" w:hAnsi="Times New Roman" w:cs="Times New Roman"/>
          <w:sz w:val="24"/>
          <w:szCs w:val="24"/>
        </w:rPr>
        <w:t>Dihouegbeu, 2022)</w:t>
      </w:r>
      <w:r w:rsidR="00875FE2" w:rsidRPr="007F1096">
        <w:rPr>
          <w:rFonts w:ascii="Times New Roman" w:hAnsi="Times New Roman" w:cs="Times New Roman"/>
          <w:sz w:val="24"/>
          <w:szCs w:val="24"/>
        </w:rPr>
        <w:t>.</w:t>
      </w:r>
    </w:p>
    <w:p w14:paraId="0CA643F5" w14:textId="77777777" w:rsidR="00875FE2" w:rsidRPr="007F1096"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F05B46">
        <w:rPr>
          <w:rFonts w:ascii="Times New Roman" w:hAnsi="Times New Roman" w:cs="Times New Roman"/>
          <w:sz w:val="24"/>
          <w:szCs w:val="24"/>
        </w:rPr>
        <w:t xml:space="preserve"> is a large biosphere asset located 4 km from the Sub-prefecture headquarters, along the Divo-Tiassalé road (between the villages of Blé and Kpakossou-Carrefour) in the Lôh-Djiboua Region, Southern Côte d'Ivoire (Figure 1). The area designated and regulated as a botanical reserve forms a polygon with 29 numbered vertices. Vertex 1 (marker SF 3), defined by its geographic coordinates, is located at 5°17'28" West longitude and 5°50'22" North latitude, south of the N’Douci-Divo road.</w:t>
      </w:r>
    </w:p>
    <w:p w14:paraId="6189B4AA" w14:textId="77777777" w:rsidR="00875FE2" w:rsidRDefault="00875FE2" w:rsidP="00875FE2">
      <w:pPr>
        <w:spacing w:after="0" w:line="360" w:lineRule="auto"/>
        <w:jc w:val="both"/>
        <w:rPr>
          <w:rFonts w:ascii="Times New Roman" w:hAnsi="Times New Roman" w:cs="Times New Roman"/>
          <w:sz w:val="24"/>
          <w:szCs w:val="24"/>
        </w:rPr>
      </w:pPr>
    </w:p>
    <w:p w14:paraId="7AE4D378" w14:textId="77777777" w:rsidR="00875FE2" w:rsidRDefault="00875FE2" w:rsidP="00875FE2">
      <w:pPr>
        <w:spacing w:after="0" w:line="360" w:lineRule="auto"/>
        <w:jc w:val="center"/>
        <w:rPr>
          <w:rFonts w:ascii="Times New Roman" w:hAnsi="Times New Roman" w:cs="Times New Roman"/>
          <w:sz w:val="24"/>
          <w:szCs w:val="24"/>
        </w:rPr>
      </w:pPr>
      <w:r w:rsidRPr="00971CA4">
        <w:rPr>
          <w:noProof/>
          <w:lang w:eastAsia="fr-FR"/>
        </w:rPr>
        <w:drawing>
          <wp:inline distT="0" distB="0" distL="0" distR="0" wp14:anchorId="680BA9EC" wp14:editId="2282A903">
            <wp:extent cx="3343910" cy="2304415"/>
            <wp:effectExtent l="0" t="0" r="889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910" cy="2304415"/>
                    </a:xfrm>
                    <a:prstGeom prst="rect">
                      <a:avLst/>
                    </a:prstGeom>
                    <a:noFill/>
                    <a:ln>
                      <a:noFill/>
                    </a:ln>
                  </pic:spPr>
                </pic:pic>
              </a:graphicData>
            </a:graphic>
          </wp:inline>
        </w:drawing>
      </w:r>
    </w:p>
    <w:p w14:paraId="37918A25" w14:textId="77777777" w:rsidR="00875FE2" w:rsidRDefault="00875FE2" w:rsidP="00875FE2">
      <w:pPr>
        <w:spacing w:after="0" w:line="360" w:lineRule="auto"/>
        <w:ind w:left="1701"/>
        <w:rPr>
          <w:rFonts w:ascii="Times New Roman" w:hAnsi="Times New Roman" w:cs="Times New Roman"/>
          <w:sz w:val="24"/>
          <w:szCs w:val="24"/>
        </w:rPr>
      </w:pPr>
      <w:r w:rsidRPr="00F05B46">
        <w:rPr>
          <w:rFonts w:ascii="Times New Roman" w:hAnsi="Times New Roman" w:cs="Times New Roman"/>
          <w:sz w:val="24"/>
          <w:szCs w:val="24"/>
        </w:rPr>
        <w:t xml:space="preserve">Figure </w:t>
      </w:r>
      <w:proofErr w:type="gramStart"/>
      <w:r w:rsidRPr="00F05B46">
        <w:rPr>
          <w:rFonts w:ascii="Times New Roman" w:hAnsi="Times New Roman" w:cs="Times New Roman"/>
          <w:sz w:val="24"/>
          <w:szCs w:val="24"/>
        </w:rPr>
        <w:t>1:</w:t>
      </w:r>
      <w:proofErr w:type="gramEnd"/>
      <w:r w:rsidRPr="00F05B46">
        <w:rPr>
          <w:rFonts w:ascii="Times New Roman" w:hAnsi="Times New Roman" w:cs="Times New Roman"/>
          <w:sz w:val="24"/>
          <w:szCs w:val="24"/>
        </w:rPr>
        <w:t xml:space="preserve"> Presentation of the Study Area (Yao </w:t>
      </w:r>
      <w:r w:rsidRPr="00CC4A17">
        <w:rPr>
          <w:rFonts w:ascii="Times New Roman" w:hAnsi="Times New Roman" w:cs="Times New Roman"/>
          <w:i/>
          <w:sz w:val="24"/>
          <w:szCs w:val="24"/>
        </w:rPr>
        <w:t>et al.,</w:t>
      </w:r>
      <w:r>
        <w:rPr>
          <w:rFonts w:ascii="Times New Roman" w:hAnsi="Times New Roman" w:cs="Times New Roman"/>
          <w:sz w:val="24"/>
          <w:szCs w:val="24"/>
        </w:rPr>
        <w:t xml:space="preserve"> 2024</w:t>
      </w:r>
      <w:r w:rsidRPr="00F05B46">
        <w:rPr>
          <w:rFonts w:ascii="Times New Roman" w:hAnsi="Times New Roman" w:cs="Times New Roman"/>
          <w:sz w:val="24"/>
          <w:szCs w:val="24"/>
        </w:rPr>
        <w:t>)</w:t>
      </w:r>
    </w:p>
    <w:p w14:paraId="656D887A" w14:textId="77777777" w:rsidR="00875FE2" w:rsidRDefault="00875FE2" w:rsidP="00E57EFA">
      <w:pPr>
        <w:spacing w:after="0" w:line="360" w:lineRule="auto"/>
        <w:jc w:val="both"/>
        <w:rPr>
          <w:rFonts w:ascii="Times New Roman" w:hAnsi="Times New Roman" w:cs="Times New Roman"/>
          <w:b/>
          <w:sz w:val="24"/>
          <w:szCs w:val="24"/>
        </w:rPr>
      </w:pPr>
    </w:p>
    <w:p w14:paraId="3619A4C3" w14:textId="77777777" w:rsidR="00875FE2" w:rsidRPr="00875FE2" w:rsidRDefault="00875FE2" w:rsidP="00E57EFA">
      <w:pPr>
        <w:spacing w:after="0" w:line="360" w:lineRule="auto"/>
        <w:jc w:val="both"/>
        <w:rPr>
          <w:rFonts w:ascii="Times New Roman" w:hAnsi="Times New Roman" w:cs="Times New Roman"/>
          <w:b/>
          <w:sz w:val="24"/>
          <w:szCs w:val="24"/>
        </w:rPr>
      </w:pPr>
    </w:p>
    <w:p w14:paraId="10D28AA9"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E57EFA" w:rsidRPr="00875FE2">
        <w:rPr>
          <w:rFonts w:ascii="Times New Roman" w:hAnsi="Times New Roman" w:cs="Times New Roman"/>
          <w:b/>
          <w:sz w:val="24"/>
          <w:szCs w:val="24"/>
        </w:rPr>
        <w:t xml:space="preserve"> Biological Material  </w:t>
      </w:r>
    </w:p>
    <w:p w14:paraId="781E233F" w14:textId="77777777"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biological material consists of the trees inventoried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w:t>
      </w:r>
    </w:p>
    <w:p w14:paraId="373B2E62" w14:textId="77777777" w:rsidR="00E57EFA" w:rsidRPr="00E57EFA" w:rsidRDefault="00E57EFA" w:rsidP="00E57EFA">
      <w:pPr>
        <w:spacing w:after="0" w:line="360" w:lineRule="auto"/>
        <w:jc w:val="both"/>
        <w:rPr>
          <w:rFonts w:ascii="Times New Roman" w:hAnsi="Times New Roman" w:cs="Times New Roman"/>
          <w:sz w:val="24"/>
          <w:szCs w:val="24"/>
        </w:rPr>
      </w:pPr>
    </w:p>
    <w:p w14:paraId="746F413C"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E57EFA" w:rsidRPr="00875FE2">
        <w:rPr>
          <w:rFonts w:ascii="Times New Roman" w:hAnsi="Times New Roman" w:cs="Times New Roman"/>
          <w:b/>
          <w:sz w:val="24"/>
          <w:szCs w:val="24"/>
        </w:rPr>
        <w:t xml:space="preserve"> Technical Material  </w:t>
      </w:r>
    </w:p>
    <w:p w14:paraId="6B26A09E" w14:textId="4A310698" w:rsid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For data collection on the trees, we used a measuring tape (Figure </w:t>
      </w:r>
      <w:r w:rsidR="00E152CB">
        <w:rPr>
          <w:rFonts w:ascii="Times New Roman" w:hAnsi="Times New Roman" w:cs="Times New Roman"/>
          <w:sz w:val="24"/>
          <w:szCs w:val="24"/>
        </w:rPr>
        <w:t>2</w:t>
      </w:r>
      <w:r w:rsidRPr="00E57EFA">
        <w:rPr>
          <w:rFonts w:ascii="Times New Roman" w:hAnsi="Times New Roman" w:cs="Times New Roman"/>
          <w:sz w:val="24"/>
          <w:szCs w:val="24"/>
        </w:rPr>
        <w:t xml:space="preserve">) to measure diameters, a smartphone equipped with the mobile data collection application "ODK Collect" to record inventory data in the field, forms prepared in Excel and Word, and </w:t>
      </w:r>
      <w:proofErr w:type="gramStart"/>
      <w:r w:rsidRPr="00E57EFA">
        <w:rPr>
          <w:rFonts w:ascii="Times New Roman" w:hAnsi="Times New Roman" w:cs="Times New Roman"/>
          <w:sz w:val="24"/>
          <w:szCs w:val="24"/>
        </w:rPr>
        <w:t>a</w:t>
      </w:r>
      <w:proofErr w:type="gramEnd"/>
      <w:r w:rsidRPr="00E57EFA">
        <w:rPr>
          <w:rFonts w:ascii="Times New Roman" w:hAnsi="Times New Roman" w:cs="Times New Roman"/>
          <w:sz w:val="24"/>
          <w:szCs w:val="24"/>
        </w:rPr>
        <w:t xml:space="preserve"> GARMIN 64 GPS device (Figure </w:t>
      </w:r>
      <w:r w:rsidR="00E152CB">
        <w:rPr>
          <w:rFonts w:ascii="Times New Roman" w:hAnsi="Times New Roman" w:cs="Times New Roman"/>
          <w:sz w:val="24"/>
          <w:szCs w:val="24"/>
        </w:rPr>
        <w:t>3</w:t>
      </w:r>
      <w:r w:rsidRPr="00E57EFA">
        <w:rPr>
          <w:rFonts w:ascii="Times New Roman" w:hAnsi="Times New Roman" w:cs="Times New Roman"/>
          <w:sz w:val="24"/>
          <w:szCs w:val="24"/>
        </w:rPr>
        <w:t>) to capture the geographic coordinates of each tree. All primary data collected were processed using software packages including Microsoft Office (Word, Excel), R/RStudio (Biomass, ggplot2, tidyverse), QGIS, and ARCGIS.</w:t>
      </w:r>
    </w:p>
    <w:p w14:paraId="43ECB71F" w14:textId="77777777" w:rsidR="00E57EFA" w:rsidRDefault="00127A6C" w:rsidP="00127A6C">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eastAsia="fr-FR"/>
        </w:rPr>
        <w:lastRenderedPageBreak/>
        <w:drawing>
          <wp:inline distT="0" distB="0" distL="0" distR="0" wp14:anchorId="099AAF9C" wp14:editId="0E4FAD25">
            <wp:extent cx="1462641" cy="103441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7">
                      <a:extLst>
                        <a:ext uri="{28A0092B-C50C-407E-A947-70E740481C1C}">
                          <a14:useLocalDpi xmlns:a14="http://schemas.microsoft.com/office/drawing/2010/main" val="0"/>
                        </a:ext>
                      </a:extLst>
                    </a:blip>
                    <a:srcRect l="13245" t="10705" r="11087" b="18632"/>
                    <a:stretch/>
                  </pic:blipFill>
                  <pic:spPr bwMode="auto">
                    <a:xfrm>
                      <a:off x="0" y="0"/>
                      <a:ext cx="1463081" cy="1034726"/>
                    </a:xfrm>
                    <a:prstGeom prst="rect">
                      <a:avLst/>
                    </a:prstGeom>
                    <a:noFill/>
                    <a:ln>
                      <a:noFill/>
                    </a:ln>
                    <a:extLst>
                      <a:ext uri="{53640926-AAD7-44D8-BBD7-CCE9431645EC}">
                        <a14:shadowObscured xmlns:a14="http://schemas.microsoft.com/office/drawing/2010/main"/>
                      </a:ext>
                    </a:extLst>
                  </pic:spPr>
                </pic:pic>
              </a:graphicData>
            </a:graphic>
          </wp:inline>
        </w:drawing>
      </w:r>
    </w:p>
    <w:p w14:paraId="6B3A057D" w14:textId="2C3FAAB8" w:rsidR="00127A6C" w:rsidRDefault="00127A6C" w:rsidP="00127A6C">
      <w:pPr>
        <w:spacing w:after="0" w:line="360" w:lineRule="auto"/>
        <w:ind w:left="2832" w:firstLine="570"/>
        <w:rPr>
          <w:rFonts w:ascii="Times New Roman" w:hAnsi="Times New Roman" w:cs="Times New Roman"/>
          <w:sz w:val="24"/>
          <w:szCs w:val="24"/>
        </w:rPr>
      </w:pPr>
      <w:r w:rsidRPr="00127A6C">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2</w:t>
      </w:r>
      <w:r w:rsidRPr="00127A6C">
        <w:rPr>
          <w:rFonts w:ascii="Times New Roman" w:hAnsi="Times New Roman" w:cs="Times New Roman"/>
          <w:sz w:val="24"/>
          <w:szCs w:val="24"/>
        </w:rPr>
        <w:t>:</w:t>
      </w:r>
      <w:proofErr w:type="gramEnd"/>
      <w:r w:rsidRPr="00127A6C">
        <w:rPr>
          <w:rFonts w:ascii="Times New Roman" w:hAnsi="Times New Roman" w:cs="Times New Roman"/>
          <w:sz w:val="24"/>
          <w:szCs w:val="24"/>
        </w:rPr>
        <w:t xml:space="preserve"> Measuring tape</w:t>
      </w:r>
    </w:p>
    <w:p w14:paraId="2BF17576" w14:textId="0A4C048E" w:rsidR="00127A6C" w:rsidRDefault="003959B0" w:rsidP="00E57EFA">
      <w:pPr>
        <w:spacing w:after="0" w:line="360" w:lineRule="auto"/>
        <w:jc w:val="both"/>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21B22422" wp14:editId="4A20EEF6">
            <wp:extent cx="5758180" cy="2403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403475"/>
                    </a:xfrm>
                    <a:prstGeom prst="rect">
                      <a:avLst/>
                    </a:prstGeom>
                    <a:noFill/>
                    <a:ln>
                      <a:noFill/>
                    </a:ln>
                  </pic:spPr>
                </pic:pic>
              </a:graphicData>
            </a:graphic>
          </wp:inline>
        </w:drawing>
      </w:r>
      <w:r w:rsidRPr="003959B0">
        <w:t xml:space="preserve"> </w:t>
      </w:r>
      <w:r w:rsidRPr="003959B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3</w:t>
      </w:r>
      <w:r w:rsidRPr="003959B0">
        <w:rPr>
          <w:rFonts w:ascii="Times New Roman" w:hAnsi="Times New Roman" w:cs="Times New Roman"/>
          <w:sz w:val="24"/>
          <w:szCs w:val="24"/>
        </w:rPr>
        <w:t>:</w:t>
      </w:r>
      <w:proofErr w:type="gramEnd"/>
      <w:r w:rsidRPr="003959B0">
        <w:rPr>
          <w:rFonts w:ascii="Times New Roman" w:hAnsi="Times New Roman" w:cs="Times New Roman"/>
          <w:sz w:val="24"/>
          <w:szCs w:val="24"/>
        </w:rPr>
        <w:t xml:space="preserve"> Equipment used for data collection</w:t>
      </w:r>
    </w:p>
    <w:p w14:paraId="6933FCD1" w14:textId="77777777" w:rsidR="00CC4A17" w:rsidRDefault="00CC4A17" w:rsidP="00875FE2">
      <w:pPr>
        <w:spacing w:after="0" w:line="360" w:lineRule="auto"/>
        <w:rPr>
          <w:rFonts w:ascii="Times New Roman" w:hAnsi="Times New Roman" w:cs="Times New Roman"/>
          <w:sz w:val="24"/>
          <w:szCs w:val="24"/>
        </w:rPr>
      </w:pPr>
    </w:p>
    <w:p w14:paraId="0A76CCAC" w14:textId="77777777" w:rsidR="004E018D" w:rsidRDefault="00223038" w:rsidP="00395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959B0">
        <w:rPr>
          <w:rFonts w:ascii="Times New Roman" w:hAnsi="Times New Roman" w:cs="Times New Roman"/>
          <w:b/>
          <w:sz w:val="24"/>
          <w:szCs w:val="24"/>
        </w:rPr>
        <w:t>Methods</w:t>
      </w:r>
    </w:p>
    <w:p w14:paraId="0A96A7CC" w14:textId="77777777" w:rsidR="007F1096" w:rsidRPr="003959B0" w:rsidRDefault="00223038" w:rsidP="007F10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7F1096" w:rsidRPr="003959B0">
        <w:rPr>
          <w:rFonts w:ascii="Times New Roman" w:hAnsi="Times New Roman" w:cs="Times New Roman"/>
          <w:b/>
          <w:sz w:val="24"/>
          <w:szCs w:val="24"/>
        </w:rPr>
        <w:t>1. Installation of Sampling Plots</w:t>
      </w:r>
    </w:p>
    <w:p w14:paraId="50AFF142" w14:textId="341B55AA" w:rsidR="003959B0" w:rsidRDefault="003959B0" w:rsidP="003959B0">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The sampling setup consists of 26 plots measuring 30 m x 50 m, installed randomly (Figure </w:t>
      </w:r>
      <w:r w:rsidR="00E152CB">
        <w:rPr>
          <w:rFonts w:ascii="Times New Roman" w:hAnsi="Times New Roman" w:cs="Times New Roman"/>
          <w:sz w:val="24"/>
          <w:szCs w:val="24"/>
        </w:rPr>
        <w:t>4</w:t>
      </w:r>
      <w:r w:rsidRPr="003959B0">
        <w:rPr>
          <w:rFonts w:ascii="Times New Roman" w:hAnsi="Times New Roman" w:cs="Times New Roman"/>
          <w:sz w:val="24"/>
          <w:szCs w:val="24"/>
        </w:rPr>
        <w:t>). At the start of setting up each plot, a reference point is identified to determine the azimuth. A baseline trail of 30 m in length is cleared using a compass and machetes. The 30 m x 50 m plot is then established using two tape measures. The geographic coordinates of each plot are recorded after installation.</w:t>
      </w:r>
    </w:p>
    <w:p w14:paraId="08C75B01" w14:textId="77777777" w:rsidR="00127A6C" w:rsidRDefault="003959B0" w:rsidP="00E57EFA">
      <w:pPr>
        <w:spacing w:after="0" w:line="360" w:lineRule="auto"/>
        <w:jc w:val="both"/>
        <w:rPr>
          <w:rFonts w:ascii="Times New Roman" w:hAnsi="Times New Roman" w:cs="Times New Roman"/>
          <w:sz w:val="24"/>
          <w:szCs w:val="24"/>
        </w:rPr>
      </w:pPr>
      <w:r w:rsidRPr="00B21DF7">
        <w:rPr>
          <w:noProof/>
          <w:lang w:eastAsia="fr-FR"/>
        </w:rPr>
        <w:drawing>
          <wp:inline distT="0" distB="0" distL="0" distR="0" wp14:anchorId="6C7C3F90" wp14:editId="221F50A9">
            <wp:extent cx="2854325" cy="2131695"/>
            <wp:effectExtent l="0" t="0" r="3175" b="1905"/>
            <wp:docPr id="8" name="Image 8" descr="C:\Users\HP\Desktop\MEMOIRE EAUX ET FORTS DOYEN TRAORE\IMG-202412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C:\Users\HP\Desktop\MEMOIRE EAUX ET FORTS DOYEN TRAORE\IMG-20241213-WA0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4325" cy="2131695"/>
                    </a:xfrm>
                    <a:prstGeom prst="rect">
                      <a:avLst/>
                    </a:prstGeom>
                    <a:noFill/>
                    <a:ln>
                      <a:noFill/>
                    </a:ln>
                  </pic:spPr>
                </pic:pic>
              </a:graphicData>
            </a:graphic>
          </wp:inline>
        </w:drawing>
      </w:r>
      <w:r w:rsidRPr="00B21DF7">
        <w:rPr>
          <w:noProof/>
          <w:lang w:eastAsia="fr-FR"/>
        </w:rPr>
        <w:drawing>
          <wp:inline distT="0" distB="0" distL="0" distR="0" wp14:anchorId="7DA283C5" wp14:editId="03384E45">
            <wp:extent cx="2477770" cy="2118995"/>
            <wp:effectExtent l="0" t="0" r="0" b="0"/>
            <wp:docPr id="7" name="Image 7" descr="C:\Users\HP\Desktop\MEMOIRE EAUX ET FORTS DOYEN TRAORE\IMG-2024121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C:\Users\HP\Desktop\MEMOIRE EAUX ET FORTS DOYEN TRAORE\IMG-20241213-WA0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7770" cy="2118995"/>
                    </a:xfrm>
                    <a:prstGeom prst="rect">
                      <a:avLst/>
                    </a:prstGeom>
                    <a:noFill/>
                    <a:ln>
                      <a:noFill/>
                    </a:ln>
                  </pic:spPr>
                </pic:pic>
              </a:graphicData>
            </a:graphic>
          </wp:inline>
        </w:drawing>
      </w:r>
    </w:p>
    <w:p w14:paraId="62FAE9A9" w14:textId="28D5578F" w:rsidR="003959B0" w:rsidRDefault="003959B0" w:rsidP="00E57EFA">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4</w:t>
      </w:r>
      <w:r w:rsidRPr="003959B0">
        <w:rPr>
          <w:rFonts w:ascii="Times New Roman" w:hAnsi="Times New Roman" w:cs="Times New Roman"/>
          <w:sz w:val="24"/>
          <w:szCs w:val="24"/>
        </w:rPr>
        <w:t>:</w:t>
      </w:r>
      <w:proofErr w:type="gramEnd"/>
      <w:r w:rsidRPr="003959B0">
        <w:rPr>
          <w:rFonts w:ascii="Times New Roman" w:hAnsi="Times New Roman" w:cs="Times New Roman"/>
          <w:sz w:val="24"/>
          <w:szCs w:val="24"/>
        </w:rPr>
        <w:t xml:space="preserve"> Installation of the sampling plots</w:t>
      </w:r>
    </w:p>
    <w:p w14:paraId="4EE2F05B" w14:textId="77777777" w:rsidR="003959B0" w:rsidRDefault="003959B0" w:rsidP="00E57EFA">
      <w:pPr>
        <w:spacing w:after="0" w:line="360" w:lineRule="auto"/>
        <w:jc w:val="both"/>
        <w:rPr>
          <w:rFonts w:ascii="Times New Roman" w:hAnsi="Times New Roman" w:cs="Times New Roman"/>
          <w:sz w:val="24"/>
          <w:szCs w:val="24"/>
        </w:rPr>
      </w:pPr>
    </w:p>
    <w:p w14:paraId="732BA57A" w14:textId="77777777" w:rsidR="00A40026" w:rsidRPr="00A40026" w:rsidRDefault="00223038" w:rsidP="00A40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40026" w:rsidRPr="00A40026">
        <w:rPr>
          <w:rFonts w:ascii="Times New Roman" w:hAnsi="Times New Roman" w:cs="Times New Roman"/>
          <w:b/>
          <w:sz w:val="24"/>
          <w:szCs w:val="24"/>
        </w:rPr>
        <w:t xml:space="preserve">2. Measurement of Tree Circumferences  </w:t>
      </w:r>
    </w:p>
    <w:p w14:paraId="6C783207" w14:textId="060D9AC2" w:rsidR="00CB431A" w:rsidRPr="00CB431A" w:rsidRDefault="00A40026" w:rsidP="00A40026">
      <w:pPr>
        <w:spacing w:after="0" w:line="360" w:lineRule="auto"/>
        <w:jc w:val="both"/>
        <w:rPr>
          <w:rFonts w:ascii="Times New Roman" w:hAnsi="Times New Roman" w:cs="Times New Roman"/>
          <w:sz w:val="24"/>
          <w:szCs w:val="24"/>
        </w:rPr>
      </w:pPr>
      <w:r w:rsidRPr="00A40026">
        <w:rPr>
          <w:rFonts w:ascii="Times New Roman" w:hAnsi="Times New Roman" w:cs="Times New Roman"/>
          <w:sz w:val="24"/>
          <w:szCs w:val="24"/>
        </w:rPr>
        <w:t xml:space="preserve">In our study, we were able to measure only one predictor, namely the diameter of forest and fruit trees (Figure </w:t>
      </w:r>
      <w:r w:rsidR="00E152CB">
        <w:rPr>
          <w:rFonts w:ascii="Times New Roman" w:hAnsi="Times New Roman" w:cs="Times New Roman"/>
          <w:sz w:val="24"/>
          <w:szCs w:val="24"/>
        </w:rPr>
        <w:t>5</w:t>
      </w:r>
      <w:r w:rsidRPr="00A40026">
        <w:rPr>
          <w:rFonts w:ascii="Times New Roman" w:hAnsi="Times New Roman" w:cs="Times New Roman"/>
          <w:sz w:val="24"/>
          <w:szCs w:val="24"/>
        </w:rPr>
        <w:t>). The diameter was measured on the bark at breast height (DBH = 1.30 m above the ground). The tool used for measuring circumferences was the forestry tape.</w:t>
      </w:r>
    </w:p>
    <w:p w14:paraId="5A24285C" w14:textId="77777777" w:rsidR="00CB431A" w:rsidRDefault="00CB431A" w:rsidP="00223038">
      <w:pPr>
        <w:spacing w:after="0" w:line="360" w:lineRule="auto"/>
        <w:jc w:val="center"/>
        <w:rPr>
          <w:rFonts w:ascii="Times New Roman" w:hAnsi="Times New Roman" w:cs="Times New Roman"/>
          <w:sz w:val="24"/>
          <w:szCs w:val="24"/>
        </w:rPr>
      </w:pPr>
      <w:r w:rsidRPr="00B21DF7">
        <w:rPr>
          <w:noProof/>
          <w:lang w:eastAsia="fr-FR"/>
        </w:rPr>
        <w:drawing>
          <wp:inline distT="0" distB="0" distL="0" distR="0" wp14:anchorId="273CF136" wp14:editId="3A05952A">
            <wp:extent cx="3047553" cy="2736000"/>
            <wp:effectExtent l="0" t="0" r="635" b="7620"/>
            <wp:docPr id="6" name="Image 6" descr="C:\Users\HP\Desktop\MEMOIRE EAUX ET FORTS DOYEN TRAORE\IMG-2024121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Users\HP\Desktop\MEMOIRE EAUX ET FORTS DOYEN TRAORE\IMG-20241213-WA00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553" cy="2736000"/>
                    </a:xfrm>
                    <a:prstGeom prst="rect">
                      <a:avLst/>
                    </a:prstGeom>
                    <a:noFill/>
                    <a:ln>
                      <a:noFill/>
                    </a:ln>
                  </pic:spPr>
                </pic:pic>
              </a:graphicData>
            </a:graphic>
          </wp:inline>
        </w:drawing>
      </w:r>
    </w:p>
    <w:p w14:paraId="382D27F7" w14:textId="5E3DFA56" w:rsidR="00CB431A" w:rsidRDefault="00CB431A" w:rsidP="00223038">
      <w:pPr>
        <w:spacing w:after="0" w:line="360" w:lineRule="auto"/>
        <w:ind w:left="2124"/>
        <w:jc w:val="both"/>
        <w:rPr>
          <w:rFonts w:ascii="Times New Roman" w:hAnsi="Times New Roman" w:cs="Times New Roman"/>
          <w:sz w:val="24"/>
          <w:szCs w:val="24"/>
        </w:rPr>
      </w:pPr>
      <w:r w:rsidRPr="00CB431A">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5</w:t>
      </w:r>
      <w:r w:rsidRPr="00CB431A">
        <w:rPr>
          <w:rFonts w:ascii="Times New Roman" w:hAnsi="Times New Roman" w:cs="Times New Roman"/>
          <w:sz w:val="24"/>
          <w:szCs w:val="24"/>
        </w:rPr>
        <w:t>:</w:t>
      </w:r>
      <w:proofErr w:type="gramEnd"/>
      <w:r w:rsidRPr="00CB431A">
        <w:rPr>
          <w:rFonts w:ascii="Times New Roman" w:hAnsi="Times New Roman" w:cs="Times New Roman"/>
          <w:sz w:val="24"/>
          <w:szCs w:val="24"/>
        </w:rPr>
        <w:t xml:space="preserve"> Measurement of tree circumference</w:t>
      </w:r>
    </w:p>
    <w:p w14:paraId="376300B4" w14:textId="77777777" w:rsidR="00223038" w:rsidRDefault="00223038" w:rsidP="00A40026">
      <w:pPr>
        <w:spacing w:after="0" w:line="360" w:lineRule="auto"/>
        <w:jc w:val="both"/>
        <w:rPr>
          <w:rFonts w:ascii="Times New Roman" w:hAnsi="Times New Roman" w:cs="Times New Roman"/>
          <w:sz w:val="24"/>
          <w:szCs w:val="24"/>
        </w:rPr>
      </w:pPr>
    </w:p>
    <w:p w14:paraId="6C1EC84A" w14:textId="77777777" w:rsidR="007644C2" w:rsidRPr="00223038" w:rsidRDefault="00223038" w:rsidP="007644C2">
      <w:pPr>
        <w:spacing w:after="0" w:line="360" w:lineRule="auto"/>
        <w:jc w:val="both"/>
        <w:rPr>
          <w:rFonts w:ascii="Times New Roman" w:hAnsi="Times New Roman" w:cs="Times New Roman"/>
          <w:b/>
          <w:sz w:val="24"/>
          <w:szCs w:val="24"/>
        </w:rPr>
      </w:pPr>
      <w:r w:rsidRPr="00223038">
        <w:rPr>
          <w:rFonts w:ascii="Times New Roman" w:hAnsi="Times New Roman" w:cs="Times New Roman"/>
          <w:b/>
          <w:sz w:val="24"/>
          <w:szCs w:val="24"/>
        </w:rPr>
        <w:t>2.</w:t>
      </w:r>
      <w:r>
        <w:rPr>
          <w:rFonts w:ascii="Times New Roman" w:hAnsi="Times New Roman" w:cs="Times New Roman"/>
          <w:b/>
          <w:sz w:val="24"/>
          <w:szCs w:val="24"/>
        </w:rPr>
        <w:t>3. Estimation of Carbon Stocks</w:t>
      </w:r>
    </w:p>
    <w:p w14:paraId="73F6A2FC" w14:textId="405000C2" w:rsidR="00CB431A" w:rsidRDefault="007644C2" w:rsidP="007644C2">
      <w:pPr>
        <w:spacing w:after="0" w:line="360" w:lineRule="auto"/>
        <w:jc w:val="both"/>
        <w:rPr>
          <w:rFonts w:ascii="Times New Roman" w:hAnsi="Times New Roman" w:cs="Times New Roman"/>
          <w:sz w:val="24"/>
          <w:szCs w:val="24"/>
        </w:rPr>
      </w:pPr>
      <w:r w:rsidRPr="007644C2">
        <w:rPr>
          <w:rFonts w:ascii="Times New Roman" w:hAnsi="Times New Roman" w:cs="Times New Roman"/>
          <w:sz w:val="24"/>
          <w:szCs w:val="24"/>
        </w:rPr>
        <w:t xml:space="preserve">To evaluate the amount of carbon sequestered in an ecosystem, it is recommended to estimate the biomass stocks present in the plots and multiply the result by a conversion factor (CF), which is 0.47 for this study (Zapfack </w:t>
      </w:r>
      <w:r w:rsidRPr="00523A3A">
        <w:rPr>
          <w:rFonts w:ascii="Times New Roman" w:hAnsi="Times New Roman" w:cs="Times New Roman"/>
          <w:i/>
          <w:sz w:val="24"/>
          <w:szCs w:val="24"/>
        </w:rPr>
        <w:t>et al.,</w:t>
      </w:r>
      <w:r w:rsidRPr="007644C2">
        <w:rPr>
          <w:rFonts w:ascii="Times New Roman" w:hAnsi="Times New Roman" w:cs="Times New Roman"/>
          <w:sz w:val="24"/>
          <w:szCs w:val="24"/>
        </w:rPr>
        <w:t xml:space="preserve"> 2013). Biomass stocks are obtained using two </w:t>
      </w:r>
      <w:proofErr w:type="gramStart"/>
      <w:r w:rsidRPr="007644C2">
        <w:rPr>
          <w:rFonts w:ascii="Times New Roman" w:hAnsi="Times New Roman" w:cs="Times New Roman"/>
          <w:sz w:val="24"/>
          <w:szCs w:val="24"/>
        </w:rPr>
        <w:t>methods:</w:t>
      </w:r>
      <w:proofErr w:type="gramEnd"/>
      <w:r w:rsidRPr="007644C2">
        <w:rPr>
          <w:rFonts w:ascii="Times New Roman" w:hAnsi="Times New Roman" w:cs="Times New Roman"/>
          <w:sz w:val="24"/>
          <w:szCs w:val="24"/>
        </w:rPr>
        <w:t xml:space="preserve"> destructive and non-destructive. The non-destructive method involves applying allometric models to dendrometric measurements taken in the field. For this purpose, the allometric equations in Table I are used. On the other hand, the destructive method involved cutting all herbaceous plants. In the five subplots of 5 m x 5 m installed at the four corners and one at the center of the main 30 m x 30 m plot, all herbaceous plants present were cut at ground level, weighed, and then an aliquot (sub-sample) was taken if necessary, weighed, and finally dried in an oven at 105 °C for two to three days. The dry mass of each sample was determined using the following equation (Brown, 2005)</w:t>
      </w:r>
      <w:r>
        <w:rPr>
          <w:rFonts w:ascii="Times New Roman" w:hAnsi="Times New Roman" w:cs="Times New Roman"/>
          <w:sz w:val="24"/>
          <w:szCs w:val="24"/>
        </w:rPr>
        <w:t>.</w:t>
      </w:r>
    </w:p>
    <w:p w14:paraId="57D79129" w14:textId="77777777" w:rsidR="00CB431A" w:rsidRDefault="00CB431A" w:rsidP="00A40026">
      <w:pPr>
        <w:spacing w:after="0" w:line="360" w:lineRule="auto"/>
        <w:jc w:val="both"/>
        <w:rPr>
          <w:rFonts w:ascii="Times New Roman" w:hAnsi="Times New Roman" w:cs="Times New Roman"/>
          <w:sz w:val="24"/>
          <w:szCs w:val="24"/>
        </w:rPr>
      </w:pPr>
    </w:p>
    <w:p w14:paraId="03E8B63A" w14:textId="77777777" w:rsidR="00C169E5" w:rsidRDefault="00C169E5"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Y=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Pht ×Ps</m:t>
              </m:r>
            </m:num>
            <m:den>
              <m:r>
                <w:rPr>
                  <w:rFonts w:ascii="Cambria Math" w:hAnsi="Cambria Math" w:cs="Times New Roman"/>
                  <w:noProof/>
                  <w:color w:val="000000"/>
                  <w:sz w:val="24"/>
                  <w:szCs w:val="24"/>
                </w:rPr>
                <m:t>Ph</m:t>
              </m:r>
            </m:den>
          </m:f>
        </m:oMath>
      </m:oMathPara>
    </w:p>
    <w:p w14:paraId="11A38ADE" w14:textId="77777777" w:rsidR="00C169E5" w:rsidRDefault="00C169E5" w:rsidP="00A40026">
      <w:pPr>
        <w:spacing w:after="0" w:line="360" w:lineRule="auto"/>
        <w:jc w:val="both"/>
        <w:rPr>
          <w:rFonts w:ascii="Times New Roman" w:hAnsi="Times New Roman" w:cs="Times New Roman"/>
          <w:sz w:val="24"/>
          <w:szCs w:val="24"/>
        </w:rPr>
      </w:pPr>
    </w:p>
    <w:p w14:paraId="4A13182D" w14:textId="77777777" w:rsidR="00C169E5" w:rsidRPr="00C169E5" w:rsidRDefault="00C169E5" w:rsidP="00C169E5">
      <w:pPr>
        <w:spacing w:after="0" w:line="360" w:lineRule="auto"/>
        <w:jc w:val="both"/>
        <w:rPr>
          <w:rFonts w:ascii="Times New Roman" w:hAnsi="Times New Roman" w:cs="Times New Roman"/>
          <w:sz w:val="24"/>
          <w:szCs w:val="24"/>
        </w:rPr>
      </w:pPr>
      <w:proofErr w:type="gramStart"/>
      <w:r w:rsidRPr="00C169E5">
        <w:rPr>
          <w:rFonts w:ascii="Times New Roman" w:hAnsi="Times New Roman" w:cs="Times New Roman"/>
          <w:sz w:val="24"/>
          <w:szCs w:val="24"/>
        </w:rPr>
        <w:lastRenderedPageBreak/>
        <w:t>Where:</w:t>
      </w:r>
      <w:proofErr w:type="gramEnd"/>
      <w:r w:rsidRPr="00C169E5">
        <w:rPr>
          <w:rFonts w:ascii="Times New Roman" w:hAnsi="Times New Roman" w:cs="Times New Roman"/>
          <w:sz w:val="24"/>
          <w:szCs w:val="24"/>
        </w:rPr>
        <w:t xml:space="preserve">  </w:t>
      </w:r>
    </w:p>
    <w:p w14:paraId="599352A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Ps = Dry weight of the sample after 3 days in the </w:t>
      </w:r>
      <w:proofErr w:type="gramStart"/>
      <w:r w:rsidRPr="00C169E5">
        <w:rPr>
          <w:rFonts w:ascii="Times New Roman" w:hAnsi="Times New Roman" w:cs="Times New Roman"/>
          <w:sz w:val="24"/>
          <w:szCs w:val="24"/>
        </w:rPr>
        <w:t>oven;</w:t>
      </w:r>
      <w:proofErr w:type="gramEnd"/>
      <w:r w:rsidRPr="00C169E5">
        <w:rPr>
          <w:rFonts w:ascii="Times New Roman" w:hAnsi="Times New Roman" w:cs="Times New Roman"/>
          <w:sz w:val="24"/>
          <w:szCs w:val="24"/>
        </w:rPr>
        <w:t xml:space="preserve">  </w:t>
      </w:r>
    </w:p>
    <w:p w14:paraId="03D6EED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 = Fresh weight of the composite sample in the </w:t>
      </w:r>
      <w:proofErr w:type="gramStart"/>
      <w:r w:rsidRPr="00C169E5">
        <w:rPr>
          <w:rFonts w:ascii="Times New Roman" w:hAnsi="Times New Roman" w:cs="Times New Roman"/>
          <w:sz w:val="24"/>
          <w:szCs w:val="24"/>
        </w:rPr>
        <w:t>field;</w:t>
      </w:r>
      <w:proofErr w:type="gramEnd"/>
      <w:r w:rsidRPr="00C169E5">
        <w:rPr>
          <w:rFonts w:ascii="Times New Roman" w:hAnsi="Times New Roman" w:cs="Times New Roman"/>
          <w:sz w:val="24"/>
          <w:szCs w:val="24"/>
        </w:rPr>
        <w:t xml:space="preserve">  </w:t>
      </w:r>
    </w:p>
    <w:p w14:paraId="679598F3"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Pht = Total fresh weight in the field.  </w:t>
      </w:r>
    </w:p>
    <w:p w14:paraId="7119A33A" w14:textId="77777777" w:rsid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To interpret and compare the results obtained with other studies, the biomass stocks measured at the plot level are extrapolated to one hectare using an expansion factor (EF) according to the following formula (Brown, 2005).</w:t>
      </w:r>
    </w:p>
    <w:p w14:paraId="7F97D90F" w14:textId="77777777" w:rsidR="00C169E5" w:rsidRDefault="00C169E5" w:rsidP="00A40026">
      <w:pPr>
        <w:spacing w:after="0" w:line="360" w:lineRule="auto"/>
        <w:jc w:val="both"/>
        <w:rPr>
          <w:rFonts w:ascii="Times New Roman" w:hAnsi="Times New Roman" w:cs="Times New Roman"/>
          <w:sz w:val="24"/>
          <w:szCs w:val="24"/>
        </w:rPr>
      </w:pPr>
    </w:p>
    <w:p w14:paraId="7F6F115A" w14:textId="77777777" w:rsidR="0012017D" w:rsidRDefault="0012017D"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FE=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 xml:space="preserve"> </m:t>
              </m:r>
              <m:sSup>
                <m:sSupPr>
                  <m:ctrlPr>
                    <w:rPr>
                      <w:rFonts w:ascii="Cambria Math" w:hAnsi="Cambria Math" w:cs="Times New Roman"/>
                      <w:i/>
                      <w:noProof/>
                      <w:color w:val="000000"/>
                      <w:sz w:val="24"/>
                      <w:szCs w:val="24"/>
                    </w:rPr>
                  </m:ctrlPr>
                </m:sSupPr>
                <m:e>
                  <m:r>
                    <w:rPr>
                      <w:rFonts w:ascii="Cambria Math" w:hAnsi="Cambria Math" w:cs="Times New Roman"/>
                      <w:noProof/>
                      <w:color w:val="000000"/>
                      <w:sz w:val="24"/>
                      <w:szCs w:val="24"/>
                    </w:rPr>
                    <m:t>10000 m</m:t>
                  </m:r>
                </m:e>
                <m:sup>
                  <m:r>
                    <w:rPr>
                      <w:rFonts w:ascii="Cambria Math" w:hAnsi="Cambria Math" w:cs="Times New Roman"/>
                      <w:noProof/>
                      <w:color w:val="000000"/>
                      <w:sz w:val="24"/>
                      <w:szCs w:val="24"/>
                    </w:rPr>
                    <m:t>2</m:t>
                  </m:r>
                </m:sup>
              </m:sSup>
            </m:num>
            <m:den>
              <m:r>
                <w:rPr>
                  <w:rFonts w:ascii="Cambria Math" w:hAnsi="Cambria Math" w:cs="Times New Roman"/>
                  <w:noProof/>
                  <w:color w:val="000000"/>
                  <w:sz w:val="24"/>
                  <w:szCs w:val="24"/>
                </w:rPr>
                <m:t>S</m:t>
              </m:r>
            </m:den>
          </m:f>
        </m:oMath>
      </m:oMathPara>
    </w:p>
    <w:p w14:paraId="62F9A21A" w14:textId="77777777" w:rsidR="0012017D" w:rsidRPr="0012017D" w:rsidRDefault="0012017D" w:rsidP="0012017D">
      <w:pPr>
        <w:spacing w:after="0" w:line="360" w:lineRule="auto"/>
        <w:jc w:val="both"/>
        <w:rPr>
          <w:rFonts w:ascii="Times New Roman" w:hAnsi="Times New Roman" w:cs="Times New Roman"/>
          <w:sz w:val="24"/>
          <w:szCs w:val="24"/>
        </w:rPr>
      </w:pPr>
      <w:proofErr w:type="gramStart"/>
      <w:r w:rsidRPr="0012017D">
        <w:rPr>
          <w:rFonts w:ascii="Times New Roman" w:hAnsi="Times New Roman" w:cs="Times New Roman"/>
          <w:sz w:val="24"/>
          <w:szCs w:val="24"/>
        </w:rPr>
        <w:t>Where:</w:t>
      </w:r>
      <w:proofErr w:type="gramEnd"/>
      <w:r w:rsidRPr="0012017D">
        <w:rPr>
          <w:rFonts w:ascii="Times New Roman" w:hAnsi="Times New Roman" w:cs="Times New Roman"/>
          <w:sz w:val="24"/>
          <w:szCs w:val="24"/>
        </w:rPr>
        <w:t xml:space="preserve">  </w:t>
      </w:r>
    </w:p>
    <w:p w14:paraId="1DCCBBC1" w14:textId="77777777" w:rsidR="0012017D" w:rsidRDefault="0012017D" w:rsidP="0012017D">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S = Plot area in m²</w:t>
      </w:r>
    </w:p>
    <w:p w14:paraId="524B9BB3" w14:textId="77777777" w:rsidR="0012017D" w:rsidRDefault="0012017D" w:rsidP="00A40026">
      <w:pPr>
        <w:spacing w:after="0" w:line="360" w:lineRule="auto"/>
        <w:jc w:val="both"/>
        <w:rPr>
          <w:rFonts w:ascii="Times New Roman" w:hAnsi="Times New Roman" w:cs="Times New Roman"/>
          <w:sz w:val="24"/>
          <w:szCs w:val="24"/>
        </w:rPr>
      </w:pPr>
    </w:p>
    <w:p w14:paraId="39A111E5"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 Data</w:t>
      </w:r>
      <w:r w:rsidR="0012017D" w:rsidRPr="0034434B">
        <w:rPr>
          <w:rFonts w:ascii="Times New Roman" w:hAnsi="Times New Roman" w:cs="Times New Roman"/>
          <w:b/>
          <w:sz w:val="24"/>
          <w:szCs w:val="24"/>
        </w:rPr>
        <w:t xml:space="preserve"> </w:t>
      </w:r>
      <w:r w:rsidRPr="0034434B">
        <w:rPr>
          <w:rFonts w:ascii="Times New Roman" w:hAnsi="Times New Roman" w:cs="Times New Roman"/>
          <w:b/>
          <w:sz w:val="24"/>
          <w:szCs w:val="24"/>
        </w:rPr>
        <w:t>analysis</w:t>
      </w:r>
      <w:r w:rsidR="0012017D" w:rsidRPr="0034434B">
        <w:rPr>
          <w:rFonts w:ascii="Times New Roman" w:hAnsi="Times New Roman" w:cs="Times New Roman"/>
          <w:b/>
          <w:sz w:val="24"/>
          <w:szCs w:val="24"/>
        </w:rPr>
        <w:t xml:space="preserve">  </w:t>
      </w:r>
    </w:p>
    <w:p w14:paraId="73385F4C"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 Carbon Stock Estimation  </w:t>
      </w:r>
    </w:p>
    <w:p w14:paraId="54ACD008"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1.1. Aboveground Biomass Calculation  </w:t>
      </w:r>
    </w:p>
    <w:p w14:paraId="04B5B2A1" w14:textId="77777777" w:rsidR="005411DF" w:rsidRPr="005411DF" w:rsidRDefault="0012017D" w:rsidP="005411DF">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 xml:space="preserve">In this study, the focus was on estimating aboveground biomass, and we had two methods </w:t>
      </w:r>
      <w:proofErr w:type="gramStart"/>
      <w:r w:rsidRPr="0012017D">
        <w:rPr>
          <w:rFonts w:ascii="Times New Roman" w:hAnsi="Times New Roman" w:cs="Times New Roman"/>
          <w:sz w:val="24"/>
          <w:szCs w:val="24"/>
        </w:rPr>
        <w:t>available:</w:t>
      </w:r>
      <w:proofErr w:type="gramEnd"/>
      <w:r w:rsidRPr="0012017D">
        <w:rPr>
          <w:rFonts w:ascii="Times New Roman" w:hAnsi="Times New Roman" w:cs="Times New Roman"/>
          <w:sz w:val="24"/>
          <w:szCs w:val="24"/>
        </w:rPr>
        <w:t xml:space="preserve"> the non-destructive method and the allometric equation method. Regarding the non-destructive method, our measurements were made only on forest species. This restriction is due to two main reasons. Indeed, cutting down a tree requires authorization from the forestry administration. Furthermore, our financial resources are limited.</w:t>
      </w:r>
      <w:r w:rsidR="005411DF">
        <w:rPr>
          <w:rFonts w:ascii="Times New Roman" w:hAnsi="Times New Roman" w:cs="Times New Roman"/>
          <w:sz w:val="24"/>
          <w:szCs w:val="24"/>
        </w:rPr>
        <w:t xml:space="preserve"> </w:t>
      </w:r>
      <w:r w:rsidR="005411DF" w:rsidRPr="005411DF">
        <w:rPr>
          <w:rFonts w:ascii="Times New Roman" w:hAnsi="Times New Roman" w:cs="Times New Roman"/>
          <w:sz w:val="24"/>
          <w:szCs w:val="24"/>
        </w:rPr>
        <w:t xml:space="preserve">However, the literature provides data on the carbon stock contained in cocoa trees, which is 10 tC/ha according to the studies by Santhyami et al. (2018). The work of Réjou et al. (2017) led to the development of the "BIOMASS" package included in the R/RStudio software. This package allowed us to estimate the carbon stock of our different agroforestry systems. "BIOMASS" performs a number of standard </w:t>
      </w:r>
      <w:proofErr w:type="gramStart"/>
      <w:r w:rsidR="005411DF" w:rsidRPr="005411DF">
        <w:rPr>
          <w:rFonts w:ascii="Times New Roman" w:hAnsi="Times New Roman" w:cs="Times New Roman"/>
          <w:sz w:val="24"/>
          <w:szCs w:val="24"/>
        </w:rPr>
        <w:t>tasks:</w:t>
      </w:r>
      <w:proofErr w:type="gramEnd"/>
      <w:r w:rsidR="005411DF" w:rsidRPr="005411DF">
        <w:rPr>
          <w:rFonts w:ascii="Times New Roman" w:hAnsi="Times New Roman" w:cs="Times New Roman"/>
          <w:sz w:val="24"/>
          <w:szCs w:val="24"/>
        </w:rPr>
        <w:t xml:space="preserve"> (i) identification and correction of taxonomy, (ii) estimation of wood density based on tree species identity, (iii) construction of a local height-diameter (H-D) allometry using tree height data, and (iv) estimation of Aboveground Biomass (AGB) with associated errors. With this package, we have the option to estimate carbon stock using two </w:t>
      </w:r>
      <w:proofErr w:type="gramStart"/>
      <w:r w:rsidR="005411DF" w:rsidRPr="005411DF">
        <w:rPr>
          <w:rFonts w:ascii="Times New Roman" w:hAnsi="Times New Roman" w:cs="Times New Roman"/>
          <w:sz w:val="24"/>
          <w:szCs w:val="24"/>
        </w:rPr>
        <w:t>approaches:</w:t>
      </w:r>
      <w:proofErr w:type="gramEnd"/>
      <w:r w:rsidR="005411DF" w:rsidRPr="005411DF">
        <w:rPr>
          <w:rFonts w:ascii="Times New Roman" w:hAnsi="Times New Roman" w:cs="Times New Roman"/>
          <w:sz w:val="24"/>
          <w:szCs w:val="24"/>
        </w:rPr>
        <w:t xml:space="preserve">  </w:t>
      </w:r>
    </w:p>
    <w:p w14:paraId="4992774C" w14:textId="77777777" w:rsidR="0012017D" w:rsidRDefault="005411DF" w:rsidP="005411DF">
      <w:pPr>
        <w:spacing w:after="0" w:line="360" w:lineRule="auto"/>
        <w:jc w:val="both"/>
        <w:rPr>
          <w:rFonts w:ascii="Times New Roman" w:hAnsi="Times New Roman" w:cs="Times New Roman"/>
          <w:sz w:val="24"/>
          <w:szCs w:val="24"/>
        </w:rPr>
      </w:pPr>
      <w:r w:rsidRPr="005411DF">
        <w:rPr>
          <w:rFonts w:ascii="Times New Roman" w:hAnsi="Times New Roman" w:cs="Times New Roman"/>
          <w:sz w:val="24"/>
          <w:szCs w:val="24"/>
        </w:rPr>
        <w:t>• If tree height data are available, AGB (aboveground biomass) is calculated using the following equation (Chave et al., 2014</w:t>
      </w:r>
      <w:proofErr w:type="gramStart"/>
      <w:r w:rsidRPr="005411DF">
        <w:rPr>
          <w:rFonts w:ascii="Times New Roman" w:hAnsi="Times New Roman" w:cs="Times New Roman"/>
          <w:sz w:val="24"/>
          <w:szCs w:val="24"/>
        </w:rPr>
        <w:t>):</w:t>
      </w:r>
      <w:proofErr w:type="gramEnd"/>
    </w:p>
    <w:p w14:paraId="12F769EA" w14:textId="77777777" w:rsidR="006A451A" w:rsidRDefault="006A451A" w:rsidP="005411DF">
      <w:pPr>
        <w:spacing w:after="0" w:line="360" w:lineRule="auto"/>
        <w:jc w:val="both"/>
        <w:rPr>
          <w:rFonts w:ascii="Times New Roman" w:hAnsi="Times New Roman" w:cs="Times New Roman"/>
          <w:sz w:val="24"/>
          <w:szCs w:val="24"/>
        </w:rPr>
      </w:pPr>
    </w:p>
    <w:p w14:paraId="38A6FE8A" w14:textId="77777777" w:rsidR="006A451A" w:rsidRDefault="006A451A" w:rsidP="006A451A">
      <w:pPr>
        <w:spacing w:after="0" w:line="360" w:lineRule="auto"/>
        <w:ind w:left="708" w:firstLine="708"/>
        <w:jc w:val="both"/>
        <w:rPr>
          <w:rFonts w:ascii="Times New Roman" w:hAnsi="Times New Roman" w:cs="Times New Roman"/>
          <w:sz w:val="24"/>
          <w:szCs w:val="24"/>
        </w:rPr>
      </w:pPr>
      <w:proofErr w:type="gramStart"/>
      <w:r w:rsidRPr="00B21DF7">
        <w:rPr>
          <w:rFonts w:ascii="Cambria Math" w:hAnsi="Cambria Math" w:cs="Cambria Math"/>
          <w:color w:val="000000"/>
          <w:sz w:val="24"/>
          <w:szCs w:val="24"/>
        </w:rPr>
        <w:t>𝐆𝐁</w:t>
      </w:r>
      <w:proofErr w:type="gramEnd"/>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𝟎𝟔𝟕𝟑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𝛒</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𝐃𝐇𝐏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𝐇</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𝟗𝟕𝟔</w:t>
      </w:r>
    </w:p>
    <w:p w14:paraId="797FC760" w14:textId="77777777" w:rsidR="0012017D" w:rsidRDefault="006A451A" w:rsidP="00A40026">
      <w:pPr>
        <w:spacing w:after="0" w:line="360" w:lineRule="auto"/>
        <w:jc w:val="both"/>
        <w:rPr>
          <w:rFonts w:ascii="Times New Roman" w:hAnsi="Times New Roman" w:cs="Times New Roman"/>
          <w:sz w:val="24"/>
          <w:szCs w:val="24"/>
        </w:rPr>
      </w:pPr>
      <w:r w:rsidRPr="006A451A">
        <w:rPr>
          <w:rFonts w:ascii="Times New Roman" w:hAnsi="Times New Roman" w:cs="Times New Roman"/>
          <w:sz w:val="24"/>
          <w:szCs w:val="24"/>
        </w:rPr>
        <w:lastRenderedPageBreak/>
        <w:t xml:space="preserve">If no tree height data are available, AGB is calculated using the site coordinates (Chave et al., </w:t>
      </w:r>
      <w:proofErr w:type="gramStart"/>
      <w:r w:rsidRPr="006A451A">
        <w:rPr>
          <w:rFonts w:ascii="Times New Roman" w:hAnsi="Times New Roman" w:cs="Times New Roman"/>
          <w:sz w:val="24"/>
          <w:szCs w:val="24"/>
        </w:rPr>
        <w:t>2014;</w:t>
      </w:r>
      <w:proofErr w:type="gramEnd"/>
      <w:r w:rsidRPr="006A451A">
        <w:rPr>
          <w:rFonts w:ascii="Times New Roman" w:hAnsi="Times New Roman" w:cs="Times New Roman"/>
          <w:sz w:val="24"/>
          <w:szCs w:val="24"/>
        </w:rPr>
        <w:t xml:space="preserve"> Réjou-Méchain et al., 2017). In the following equation, an additional variable quantifies environmental stress, developed by Chave et al. (2014). The environmental stress factor E encompasses temperature seasonality, drought intensity, and precipitation seasonality, and ranges from -0.2 to 1 across tropical forests.</w:t>
      </w:r>
    </w:p>
    <w:p w14:paraId="3610A683" w14:textId="77777777" w:rsidR="00AA462D" w:rsidRDefault="00AA462D" w:rsidP="00A40026">
      <w:pPr>
        <w:spacing w:after="0" w:line="360" w:lineRule="auto"/>
        <w:jc w:val="both"/>
        <w:rPr>
          <w:rFonts w:ascii="Times New Roman" w:hAnsi="Times New Roman" w:cs="Times New Roman"/>
          <w:sz w:val="24"/>
          <w:szCs w:val="24"/>
        </w:rPr>
      </w:pPr>
    </w:p>
    <w:p w14:paraId="37D0B426" w14:textId="77777777" w:rsidR="00AA462D" w:rsidRDefault="00AA462D" w:rsidP="00A40026">
      <w:pPr>
        <w:spacing w:after="0" w:line="360" w:lineRule="auto"/>
        <w:jc w:val="both"/>
        <w:rPr>
          <w:rFonts w:ascii="Times New Roman" w:hAnsi="Times New Roman" w:cs="Times New Roman"/>
          <w:color w:val="000000"/>
          <w:sz w:val="24"/>
          <w:szCs w:val="24"/>
        </w:rPr>
      </w:pPr>
      <w:proofErr w:type="gramStart"/>
      <w:r w:rsidRPr="00B21DF7">
        <w:rPr>
          <w:rFonts w:ascii="Cambria Math" w:hAnsi="Cambria Math" w:cs="Cambria Math"/>
          <w:color w:val="000000"/>
          <w:sz w:val="24"/>
          <w:szCs w:val="24"/>
        </w:rPr>
        <w:t>𝑮𝑩</w:t>
      </w:r>
      <w:proofErr w:type="gramEnd"/>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𝒆𝒙𝒑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𝟎𝟐𝟒</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𝟖𝟗𝟔</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𝑬</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𝟗𝟐𝟎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𝝆</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𝟕𝟗𝟓</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𝑫𝑯𝑷</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𝟎𝟒𝟔𝟏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𝑫𝑯𝑷𝟐</w:t>
      </w:r>
      <w:r w:rsidRPr="00B21DF7">
        <w:rPr>
          <w:rFonts w:ascii="Times New Roman" w:hAnsi="Times New Roman" w:cs="Times New Roman"/>
          <w:color w:val="000000"/>
          <w:sz w:val="24"/>
          <w:szCs w:val="24"/>
        </w:rPr>
        <w:t>))</w:t>
      </w:r>
    </w:p>
    <w:p w14:paraId="5C9BF75C" w14:textId="77777777" w:rsidR="00AA462D" w:rsidRDefault="00AA462D" w:rsidP="00A40026">
      <w:pPr>
        <w:spacing w:after="0" w:line="360" w:lineRule="auto"/>
        <w:jc w:val="both"/>
        <w:rPr>
          <w:rFonts w:ascii="Times New Roman" w:hAnsi="Times New Roman" w:cs="Times New Roman"/>
          <w:color w:val="000000"/>
          <w:sz w:val="24"/>
          <w:szCs w:val="24"/>
        </w:rPr>
      </w:pPr>
    </w:p>
    <w:p w14:paraId="666D714A" w14:textId="77777777" w:rsidR="00AA462D" w:rsidRPr="00AA462D" w:rsidRDefault="00AA462D" w:rsidP="00AA462D">
      <w:pPr>
        <w:spacing w:after="0" w:line="360" w:lineRule="auto"/>
        <w:jc w:val="both"/>
        <w:rPr>
          <w:rFonts w:ascii="Times New Roman" w:hAnsi="Times New Roman" w:cs="Times New Roman"/>
          <w:sz w:val="24"/>
          <w:szCs w:val="24"/>
        </w:rPr>
      </w:pPr>
      <w:proofErr w:type="gramStart"/>
      <w:r w:rsidRPr="00AA462D">
        <w:rPr>
          <w:rFonts w:ascii="Times New Roman" w:hAnsi="Times New Roman" w:cs="Times New Roman"/>
          <w:sz w:val="24"/>
          <w:szCs w:val="24"/>
        </w:rPr>
        <w:t>ρ</w:t>
      </w:r>
      <w:proofErr w:type="gramEnd"/>
      <w:r w:rsidRPr="00AA462D">
        <w:rPr>
          <w:rFonts w:ascii="Times New Roman" w:hAnsi="Times New Roman" w:cs="Times New Roman"/>
          <w:sz w:val="24"/>
          <w:szCs w:val="24"/>
        </w:rPr>
        <w:t xml:space="preserve"> = Species density  </w:t>
      </w:r>
    </w:p>
    <w:p w14:paraId="0FA0212B"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DBH = Diameter at breast height  </w:t>
      </w:r>
    </w:p>
    <w:p w14:paraId="0D2516B6"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H = Total height of a tree  </w:t>
      </w:r>
    </w:p>
    <w:p w14:paraId="62E4FE69" w14:textId="77777777" w:rsid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E = Environmental factor related to the study area</w:t>
      </w:r>
    </w:p>
    <w:p w14:paraId="0600E820" w14:textId="77777777" w:rsidR="00D52443" w:rsidRDefault="00D52443" w:rsidP="00AA462D">
      <w:pPr>
        <w:spacing w:after="0" w:line="360" w:lineRule="auto"/>
        <w:jc w:val="both"/>
        <w:rPr>
          <w:rFonts w:ascii="Times New Roman" w:hAnsi="Times New Roman" w:cs="Times New Roman"/>
          <w:sz w:val="24"/>
          <w:szCs w:val="24"/>
        </w:rPr>
      </w:pPr>
    </w:p>
    <w:p w14:paraId="6BD5CF44" w14:textId="77777777" w:rsidR="00D52443" w:rsidRPr="00D52443"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2.4.1.2. </w:t>
      </w:r>
      <w:r w:rsidR="00D52443" w:rsidRPr="00D52443">
        <w:rPr>
          <w:rFonts w:ascii="Times New Roman" w:hAnsi="Times New Roman" w:cs="Times New Roman"/>
          <w:b/>
          <w:sz w:val="24"/>
          <w:szCs w:val="24"/>
        </w:rPr>
        <w:t xml:space="preserve">Determination of the CO2 rate  </w:t>
      </w:r>
    </w:p>
    <w:p w14:paraId="047D5406" w14:textId="77777777" w:rsidR="00D52443" w:rsidRP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To determine the carbon stock, we converted the aboveground biomass according to the recommendations of (Penman &amp; IPCC, 2003). The carbon stock is equal to 50% of the calculated aboveground biomass (AGB) (Chenost et al., 2010). After estimating the total amount of carbon contained in a tree, the corresponding CO2 rate was determined. The sequestered CO2 is obtained by using the ratio of the molar masses of carbon and CO2. The mass of CO2 is calculated by the following </w:t>
      </w:r>
      <w:proofErr w:type="gramStart"/>
      <w:r w:rsidRPr="00D52443">
        <w:rPr>
          <w:rFonts w:ascii="Times New Roman" w:hAnsi="Times New Roman" w:cs="Times New Roman"/>
          <w:sz w:val="24"/>
          <w:szCs w:val="24"/>
        </w:rPr>
        <w:t>formula:</w:t>
      </w:r>
      <w:proofErr w:type="gramEnd"/>
      <w:r w:rsidRPr="00D52443">
        <w:rPr>
          <w:rFonts w:ascii="Times New Roman" w:hAnsi="Times New Roman" w:cs="Times New Roman"/>
          <w:sz w:val="24"/>
          <w:szCs w:val="24"/>
        </w:rPr>
        <w:t xml:space="preserve">  </w:t>
      </w:r>
    </w:p>
    <w:p w14:paraId="570D2872" w14:textId="77777777" w:rsidR="00D52443" w:rsidRDefault="00D52443" w:rsidP="00D52443">
      <w:pPr>
        <w:spacing w:after="0" w:line="360" w:lineRule="auto"/>
        <w:jc w:val="both"/>
        <w:rPr>
          <w:rFonts w:ascii="Times New Roman" w:hAnsi="Times New Roman" w:cs="Times New Roman"/>
          <w:sz w:val="24"/>
          <w:szCs w:val="24"/>
        </w:rPr>
      </w:pPr>
      <w:proofErr w:type="gramStart"/>
      <w:r w:rsidRPr="00D52443">
        <w:rPr>
          <w:rFonts w:ascii="Times New Roman" w:hAnsi="Times New Roman" w:cs="Times New Roman"/>
          <w:sz w:val="24"/>
          <w:szCs w:val="24"/>
        </w:rPr>
        <w:t>m</w:t>
      </w:r>
      <w:proofErr w:type="gramEnd"/>
      <w:r w:rsidRPr="00D52443">
        <w:rPr>
          <w:rFonts w:ascii="Times New Roman" w:hAnsi="Times New Roman" w:cs="Times New Roman"/>
          <w:sz w:val="24"/>
          <w:szCs w:val="24"/>
        </w:rPr>
        <w:t xml:space="preserve"> CO2 = AGB * MCO2 / MC, that is, m CO2 = AGB * 44 / 12.</w:t>
      </w:r>
    </w:p>
    <w:p w14:paraId="2ED57515" w14:textId="77777777" w:rsidR="00D52443" w:rsidRPr="00FE3FE9"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D52443" w:rsidRPr="00FE3FE9">
        <w:rPr>
          <w:rFonts w:ascii="Times New Roman" w:hAnsi="Times New Roman" w:cs="Times New Roman"/>
          <w:b/>
          <w:sz w:val="24"/>
          <w:szCs w:val="24"/>
        </w:rPr>
        <w:t xml:space="preserve">2. Carbon Sequestration Estimation  </w:t>
      </w:r>
    </w:p>
    <w:p w14:paraId="4DF96E09" w14:textId="77777777" w:rsid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For the carbon sequestration potential, the aboveground biomass (AGB) of the different individuals was calculated using the allometric equation employed by Mbow </w:t>
      </w:r>
      <w:r w:rsidRPr="005E5CCB">
        <w:rPr>
          <w:rFonts w:ascii="Times New Roman" w:hAnsi="Times New Roman" w:cs="Times New Roman"/>
          <w:i/>
          <w:sz w:val="24"/>
          <w:szCs w:val="24"/>
        </w:rPr>
        <w:t>et al.</w:t>
      </w:r>
      <w:r w:rsidRPr="00D52443">
        <w:rPr>
          <w:rFonts w:ascii="Times New Roman" w:hAnsi="Times New Roman" w:cs="Times New Roman"/>
          <w:sz w:val="24"/>
          <w:szCs w:val="24"/>
        </w:rPr>
        <w:t xml:space="preserve"> (2014) for the savanna forests of the Sudanian zone. For an individual (i), the aboveground biomass is calculated as </w:t>
      </w:r>
      <w:proofErr w:type="gramStart"/>
      <w:r w:rsidRPr="00D52443">
        <w:rPr>
          <w:rFonts w:ascii="Times New Roman" w:hAnsi="Times New Roman" w:cs="Times New Roman"/>
          <w:sz w:val="24"/>
          <w:szCs w:val="24"/>
        </w:rPr>
        <w:t>follows:</w:t>
      </w:r>
      <w:proofErr w:type="gramEnd"/>
    </w:p>
    <w:p w14:paraId="74FF2D14" w14:textId="77777777" w:rsidR="007A157E" w:rsidRDefault="007A157E" w:rsidP="00D52443">
      <w:pPr>
        <w:spacing w:after="0" w:line="360" w:lineRule="auto"/>
        <w:jc w:val="both"/>
        <w:rPr>
          <w:rFonts w:ascii="Times New Roman" w:hAnsi="Times New Roman" w:cs="Times New Roman"/>
          <w:sz w:val="24"/>
          <w:szCs w:val="24"/>
        </w:rPr>
      </w:pPr>
    </w:p>
    <w:p w14:paraId="7C7141FC" w14:textId="77777777" w:rsidR="007A157E" w:rsidRDefault="007A157E" w:rsidP="00D52443">
      <w:pPr>
        <w:spacing w:after="0" w:line="360" w:lineRule="auto"/>
        <w:jc w:val="both"/>
        <w:rPr>
          <w:rFonts w:ascii="Times New Roman" w:hAnsi="Times New Roman" w:cs="Times New Roman"/>
          <w:sz w:val="24"/>
          <w:szCs w:val="24"/>
        </w:rPr>
      </w:pPr>
      <w:r w:rsidRPr="00B21DF7">
        <w:rPr>
          <w:noProof/>
          <w:lang w:eastAsia="fr-FR"/>
        </w:rPr>
        <w:drawing>
          <wp:inline distT="0" distB="0" distL="0" distR="0" wp14:anchorId="2446F9BA" wp14:editId="51E72664">
            <wp:extent cx="3484880" cy="265430"/>
            <wp:effectExtent l="0" t="0" r="127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4880" cy="265430"/>
                    </a:xfrm>
                    <a:prstGeom prst="rect">
                      <a:avLst/>
                    </a:prstGeom>
                    <a:noFill/>
                    <a:ln>
                      <a:noFill/>
                    </a:ln>
                  </pic:spPr>
                </pic:pic>
              </a:graphicData>
            </a:graphic>
          </wp:inline>
        </w:drawing>
      </w:r>
    </w:p>
    <w:p w14:paraId="1FFD6C24" w14:textId="77777777" w:rsidR="007A157E" w:rsidRPr="007A157E" w:rsidRDefault="007A157E" w:rsidP="007A157E">
      <w:pPr>
        <w:spacing w:after="0" w:line="360" w:lineRule="auto"/>
        <w:jc w:val="both"/>
        <w:rPr>
          <w:rFonts w:ascii="Times New Roman" w:hAnsi="Times New Roman" w:cs="Times New Roman"/>
          <w:sz w:val="24"/>
          <w:szCs w:val="24"/>
        </w:rPr>
      </w:pPr>
      <w:proofErr w:type="gramStart"/>
      <w:r w:rsidRPr="007A157E">
        <w:rPr>
          <w:rFonts w:ascii="Times New Roman" w:hAnsi="Times New Roman" w:cs="Times New Roman"/>
          <w:sz w:val="24"/>
          <w:szCs w:val="24"/>
        </w:rPr>
        <w:t>d:</w:t>
      </w:r>
      <w:proofErr w:type="gramEnd"/>
      <w:r w:rsidRPr="007A157E">
        <w:rPr>
          <w:rFonts w:ascii="Times New Roman" w:hAnsi="Times New Roman" w:cs="Times New Roman"/>
          <w:sz w:val="24"/>
          <w:szCs w:val="24"/>
        </w:rPr>
        <w:t xml:space="preserve"> diameter of the tree at 1.3 meters above the ground, in centimeters.  </w:t>
      </w:r>
    </w:p>
    <w:p w14:paraId="582A63D7" w14:textId="77777777" w:rsidR="007A157E" w:rsidRDefault="007A157E" w:rsidP="007A157E">
      <w:pPr>
        <w:spacing w:after="0" w:line="360" w:lineRule="auto"/>
        <w:jc w:val="both"/>
        <w:rPr>
          <w:rFonts w:ascii="Times New Roman" w:hAnsi="Times New Roman" w:cs="Times New Roman"/>
          <w:sz w:val="24"/>
          <w:szCs w:val="24"/>
        </w:rPr>
      </w:pPr>
      <w:r w:rsidRPr="007A157E">
        <w:rPr>
          <w:rFonts w:ascii="Times New Roman" w:hAnsi="Times New Roman" w:cs="Times New Roman"/>
          <w:sz w:val="24"/>
          <w:szCs w:val="24"/>
        </w:rPr>
        <w:t>To obtain d, we use the basic formula for the circumference of a tree trunk, which is C = π × d. In this equation, C is the circumference of the tree. The constant π has a value approximately equal to 3.1416. The diameter of the tree trunk is d.</w:t>
      </w:r>
    </w:p>
    <w:p w14:paraId="6D4502DF" w14:textId="77777777" w:rsidR="00E10D98" w:rsidRDefault="00E10D98" w:rsidP="007A157E">
      <w:pPr>
        <w:spacing w:after="0" w:line="360" w:lineRule="auto"/>
        <w:jc w:val="both"/>
        <w:rPr>
          <w:rFonts w:ascii="Times New Roman" w:hAnsi="Times New Roman" w:cs="Times New Roman"/>
          <w:sz w:val="24"/>
          <w:szCs w:val="24"/>
        </w:rPr>
      </w:pPr>
    </w:p>
    <w:p w14:paraId="0B8C2811" w14:textId="77777777" w:rsidR="00E10D98" w:rsidRPr="00E10D98" w:rsidRDefault="00E10D98" w:rsidP="00E10D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861A4" w:rsidRPr="00E10D98">
        <w:rPr>
          <w:rFonts w:ascii="Times New Roman" w:hAnsi="Times New Roman" w:cs="Times New Roman"/>
          <w:b/>
          <w:sz w:val="24"/>
          <w:szCs w:val="24"/>
        </w:rPr>
        <w:t>Results</w:t>
      </w:r>
      <w:r w:rsidRPr="00E10D98">
        <w:rPr>
          <w:rFonts w:ascii="Times New Roman" w:hAnsi="Times New Roman" w:cs="Times New Roman"/>
          <w:b/>
          <w:sz w:val="24"/>
          <w:szCs w:val="24"/>
        </w:rPr>
        <w:t xml:space="preserve">  </w:t>
      </w:r>
    </w:p>
    <w:p w14:paraId="1AE9BBD1" w14:textId="77777777" w:rsidR="00E10D98" w:rsidRP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b/>
          <w:sz w:val="24"/>
          <w:szCs w:val="24"/>
        </w:rPr>
        <w:t>3</w:t>
      </w:r>
      <w:r w:rsidR="00186BAC">
        <w:rPr>
          <w:rFonts w:ascii="Times New Roman" w:hAnsi="Times New Roman" w:cs="Times New Roman"/>
          <w:b/>
          <w:sz w:val="24"/>
          <w:szCs w:val="24"/>
        </w:rPr>
        <w:t>.1.</w:t>
      </w:r>
      <w:r w:rsidRPr="00E10D98">
        <w:rPr>
          <w:rFonts w:ascii="Times New Roman" w:hAnsi="Times New Roman" w:cs="Times New Roman"/>
          <w:b/>
          <w:sz w:val="24"/>
          <w:szCs w:val="24"/>
        </w:rPr>
        <w:t xml:space="preserve"> Plant Species Richness in the Agroecosystems</w:t>
      </w:r>
      <w:r w:rsidR="00186BAC">
        <w:rPr>
          <w:rFonts w:ascii="Times New Roman" w:hAnsi="Times New Roman" w:cs="Times New Roman"/>
          <w:sz w:val="24"/>
          <w:szCs w:val="24"/>
        </w:rPr>
        <w:t xml:space="preserve"> </w:t>
      </w:r>
    </w:p>
    <w:p w14:paraId="13D6F7C7" w14:textId="77777777" w:rsid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sz w:val="24"/>
          <w:szCs w:val="24"/>
        </w:rPr>
        <w:t>The total number of species recorded in the various plantations from the floristic inventory conducted in this study revealed 61 species. These species are distributed across 52 genera belonging to 30 botanical families (Appendix 1).</w:t>
      </w:r>
    </w:p>
    <w:p w14:paraId="38EC3F45" w14:textId="77777777" w:rsidR="00186BAC" w:rsidRDefault="00186BAC" w:rsidP="00E10D98">
      <w:pPr>
        <w:spacing w:after="0" w:line="360" w:lineRule="auto"/>
        <w:jc w:val="both"/>
        <w:rPr>
          <w:rFonts w:ascii="Times New Roman" w:hAnsi="Times New Roman" w:cs="Times New Roman"/>
          <w:sz w:val="24"/>
          <w:szCs w:val="24"/>
        </w:rPr>
      </w:pPr>
    </w:p>
    <w:p w14:paraId="5A4419D3" w14:textId="77777777" w:rsidR="00186BAC" w:rsidRPr="00186BAC" w:rsidRDefault="00495877" w:rsidP="00186B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186BAC" w:rsidRPr="00186BAC">
        <w:rPr>
          <w:rFonts w:ascii="Times New Roman" w:hAnsi="Times New Roman" w:cs="Times New Roman"/>
          <w:b/>
          <w:sz w:val="24"/>
          <w:szCs w:val="24"/>
        </w:rPr>
        <w:t xml:space="preserve">Distribution by Families  </w:t>
      </w:r>
    </w:p>
    <w:p w14:paraId="019F92BE" w14:textId="0EACA808" w:rsidR="00186BAC" w:rsidRDefault="00186BAC" w:rsidP="00186BAC">
      <w:pPr>
        <w:spacing w:after="0" w:line="360" w:lineRule="auto"/>
        <w:jc w:val="both"/>
        <w:rPr>
          <w:rFonts w:ascii="Times New Roman" w:hAnsi="Times New Roman" w:cs="Times New Roman"/>
          <w:sz w:val="24"/>
          <w:szCs w:val="24"/>
        </w:rPr>
      </w:pPr>
      <w:r w:rsidRPr="00186BAC">
        <w:rPr>
          <w:rFonts w:ascii="Times New Roman" w:hAnsi="Times New Roman" w:cs="Times New Roman"/>
          <w:sz w:val="24"/>
          <w:szCs w:val="24"/>
        </w:rPr>
        <w:t xml:space="preserve">The various plant species recorded in our study area are unevenly distributed among botanical families (Figure </w:t>
      </w:r>
      <w:r w:rsidR="00E152CB">
        <w:rPr>
          <w:rFonts w:ascii="Times New Roman" w:hAnsi="Times New Roman" w:cs="Times New Roman"/>
          <w:sz w:val="24"/>
          <w:szCs w:val="24"/>
        </w:rPr>
        <w:t>6</w:t>
      </w:r>
      <w:r w:rsidRPr="00186BAC">
        <w:rPr>
          <w:rFonts w:ascii="Times New Roman" w:hAnsi="Times New Roman" w:cs="Times New Roman"/>
          <w:sz w:val="24"/>
          <w:szCs w:val="24"/>
        </w:rPr>
        <w:t>). The most represented family is Fabaceae, with 10 species. It is followed by Meliaceae (six species), Combretaceae, and Malvaceae, with four species each. Several families are less represented. This includes seventeen families such as Anacardiaceae, Annonaceae, Apocynaceae, etc., which each contain only one species. Similarly, seven families, including Araceae, Dichapetalaceae, and Flacourtiaceae, have two species each.</w:t>
      </w:r>
    </w:p>
    <w:p w14:paraId="61CD2364" w14:textId="77777777" w:rsidR="00B11C12" w:rsidRDefault="00B11C12" w:rsidP="005A49E3">
      <w:pPr>
        <w:spacing w:after="0" w:line="360" w:lineRule="auto"/>
        <w:ind w:left="-284"/>
        <w:jc w:val="both"/>
        <w:rPr>
          <w:rFonts w:ascii="Times New Roman" w:hAnsi="Times New Roman" w:cs="Times New Roman"/>
          <w:sz w:val="24"/>
          <w:szCs w:val="24"/>
        </w:rPr>
      </w:pPr>
      <w:r>
        <w:rPr>
          <w:noProof/>
          <w:lang w:eastAsia="fr-FR"/>
        </w:rPr>
        <w:drawing>
          <wp:inline distT="0" distB="0" distL="0" distR="0" wp14:anchorId="2BB8B1A8" wp14:editId="67844003">
            <wp:extent cx="6048000" cy="2952000"/>
            <wp:effectExtent l="0" t="0" r="10160" b="127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39F27" w14:textId="57E374BE" w:rsidR="00300389" w:rsidRDefault="00300389" w:rsidP="00300389">
      <w:pPr>
        <w:spacing w:after="0" w:line="360" w:lineRule="auto"/>
        <w:ind w:left="-284" w:firstLine="992"/>
        <w:jc w:val="both"/>
        <w:rPr>
          <w:rFonts w:ascii="Times New Roman" w:hAnsi="Times New Roman" w:cs="Times New Roman"/>
          <w:sz w:val="24"/>
          <w:szCs w:val="24"/>
        </w:rPr>
      </w:pPr>
      <w:r w:rsidRPr="00300389">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6</w:t>
      </w:r>
      <w:r w:rsidRPr="00300389">
        <w:rPr>
          <w:rFonts w:ascii="Times New Roman" w:hAnsi="Times New Roman" w:cs="Times New Roman"/>
          <w:sz w:val="24"/>
          <w:szCs w:val="24"/>
        </w:rPr>
        <w:t>:</w:t>
      </w:r>
      <w:proofErr w:type="gramEnd"/>
      <w:r w:rsidRPr="00300389">
        <w:rPr>
          <w:rFonts w:ascii="Times New Roman" w:hAnsi="Times New Roman" w:cs="Times New Roman"/>
          <w:sz w:val="24"/>
          <w:szCs w:val="24"/>
        </w:rPr>
        <w:t xml:space="preserve"> Distribution of Recorded Plant Species by Families</w:t>
      </w:r>
    </w:p>
    <w:p w14:paraId="728D68B7" w14:textId="77777777" w:rsidR="00300389" w:rsidRDefault="00300389" w:rsidP="00300389">
      <w:pPr>
        <w:spacing w:after="0" w:line="360" w:lineRule="auto"/>
        <w:jc w:val="both"/>
        <w:rPr>
          <w:rFonts w:ascii="Times New Roman" w:hAnsi="Times New Roman" w:cs="Times New Roman"/>
          <w:sz w:val="24"/>
          <w:szCs w:val="24"/>
        </w:rPr>
      </w:pPr>
    </w:p>
    <w:p w14:paraId="35F7349C" w14:textId="77777777" w:rsidR="00300389" w:rsidRPr="00300389" w:rsidRDefault="00495877" w:rsidP="003003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300389" w:rsidRPr="00300389">
        <w:rPr>
          <w:rFonts w:ascii="Times New Roman" w:hAnsi="Times New Roman" w:cs="Times New Roman"/>
          <w:b/>
          <w:sz w:val="24"/>
          <w:szCs w:val="24"/>
        </w:rPr>
        <w:t>Distribut</w:t>
      </w:r>
      <w:r w:rsidR="00300389">
        <w:rPr>
          <w:rFonts w:ascii="Times New Roman" w:hAnsi="Times New Roman" w:cs="Times New Roman"/>
          <w:b/>
          <w:sz w:val="24"/>
          <w:szCs w:val="24"/>
        </w:rPr>
        <w:t xml:space="preserve">ion of Trees by Height Classes </w:t>
      </w:r>
    </w:p>
    <w:p w14:paraId="67AA0F86" w14:textId="175A19A8" w:rsidR="00300389" w:rsidRDefault="00300389" w:rsidP="00300389">
      <w:pPr>
        <w:spacing w:after="0" w:line="360" w:lineRule="auto"/>
        <w:jc w:val="both"/>
        <w:rPr>
          <w:rFonts w:ascii="Times New Roman" w:hAnsi="Times New Roman" w:cs="Times New Roman"/>
          <w:sz w:val="24"/>
          <w:szCs w:val="24"/>
        </w:rPr>
      </w:pPr>
      <w:r w:rsidRPr="00300389">
        <w:rPr>
          <w:rFonts w:ascii="Times New Roman" w:hAnsi="Times New Roman" w:cs="Times New Roman"/>
          <w:sz w:val="24"/>
          <w:szCs w:val="24"/>
        </w:rPr>
        <w:t xml:space="preserve">The distribution of trees by height class (Figure </w:t>
      </w:r>
      <w:r w:rsidR="00E152CB">
        <w:rPr>
          <w:rFonts w:ascii="Times New Roman" w:hAnsi="Times New Roman" w:cs="Times New Roman"/>
          <w:sz w:val="24"/>
          <w:szCs w:val="24"/>
        </w:rPr>
        <w:t>7</w:t>
      </w:r>
      <w:r w:rsidRPr="00300389">
        <w:rPr>
          <w:rFonts w:ascii="Times New Roman" w:hAnsi="Times New Roman" w:cs="Times New Roman"/>
          <w:sz w:val="24"/>
          <w:szCs w:val="24"/>
        </w:rPr>
        <w:t xml:space="preserve">) shows a monotonic pattern. This form reflects a dominance of individuals in the medium height classes. The majority of individuals fall within the height classes of [10–15 </w:t>
      </w:r>
      <w:proofErr w:type="gramStart"/>
      <w:r w:rsidRPr="00300389">
        <w:rPr>
          <w:rFonts w:ascii="Times New Roman" w:hAnsi="Times New Roman" w:cs="Times New Roman"/>
          <w:sz w:val="24"/>
          <w:szCs w:val="24"/>
        </w:rPr>
        <w:t>meters[ and</w:t>
      </w:r>
      <w:proofErr w:type="gramEnd"/>
      <w:r w:rsidRPr="00300389">
        <w:rPr>
          <w:rFonts w:ascii="Times New Roman" w:hAnsi="Times New Roman" w:cs="Times New Roman"/>
          <w:sz w:val="24"/>
          <w:szCs w:val="24"/>
        </w:rPr>
        <w:t> [15–20 meters[.</w:t>
      </w:r>
    </w:p>
    <w:p w14:paraId="02227322" w14:textId="77777777" w:rsidR="00F66C62" w:rsidRDefault="00F66C62" w:rsidP="00300389">
      <w:pPr>
        <w:spacing w:after="0" w:line="360" w:lineRule="auto"/>
        <w:jc w:val="both"/>
        <w:rPr>
          <w:rFonts w:ascii="Times New Roman" w:hAnsi="Times New Roman" w:cs="Times New Roman"/>
          <w:sz w:val="24"/>
          <w:szCs w:val="24"/>
        </w:rPr>
      </w:pPr>
    </w:p>
    <w:p w14:paraId="7EA77E98" w14:textId="77777777" w:rsidR="00F66C62" w:rsidRDefault="00F66C62" w:rsidP="00300389">
      <w:pPr>
        <w:spacing w:after="0" w:line="360" w:lineRule="auto"/>
        <w:jc w:val="both"/>
        <w:rPr>
          <w:rFonts w:ascii="Times New Roman" w:hAnsi="Times New Roman" w:cs="Times New Roman"/>
          <w:sz w:val="24"/>
          <w:szCs w:val="24"/>
        </w:rPr>
      </w:pPr>
      <w:r w:rsidRPr="00B21DF7">
        <w:rPr>
          <w:rFonts w:ascii="Times New Roman" w:hAnsi="Times New Roman"/>
          <w:noProof/>
          <w:sz w:val="24"/>
          <w:szCs w:val="24"/>
          <w:lang w:eastAsia="fr-FR"/>
        </w:rPr>
        <w:lastRenderedPageBreak/>
        <w:drawing>
          <wp:inline distT="0" distB="0" distL="0" distR="0" wp14:anchorId="5798A5F4" wp14:editId="16236CF1">
            <wp:extent cx="5756910" cy="2444750"/>
            <wp:effectExtent l="0" t="0" r="15240" b="12700"/>
            <wp:docPr id="11" name="Graphiqu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0839B" w14:textId="190A65C1" w:rsidR="00742957" w:rsidRDefault="00742957" w:rsidP="00742957">
      <w:pPr>
        <w:spacing w:after="0" w:line="360" w:lineRule="auto"/>
        <w:ind w:firstLine="708"/>
        <w:jc w:val="both"/>
        <w:rPr>
          <w:rFonts w:ascii="Times New Roman" w:hAnsi="Times New Roman" w:cs="Times New Roman"/>
          <w:sz w:val="24"/>
          <w:szCs w:val="24"/>
        </w:rPr>
      </w:pPr>
      <w:r w:rsidRPr="00742957">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7</w:t>
      </w:r>
      <w:r w:rsidRPr="00742957">
        <w:rPr>
          <w:rFonts w:ascii="Times New Roman" w:hAnsi="Times New Roman" w:cs="Times New Roman"/>
          <w:sz w:val="24"/>
          <w:szCs w:val="24"/>
        </w:rPr>
        <w:t>:</w:t>
      </w:r>
      <w:proofErr w:type="gramEnd"/>
      <w:r w:rsidRPr="00742957">
        <w:rPr>
          <w:rFonts w:ascii="Times New Roman" w:hAnsi="Times New Roman" w:cs="Times New Roman"/>
          <w:sz w:val="24"/>
          <w:szCs w:val="24"/>
        </w:rPr>
        <w:t xml:space="preserve"> Distribution of Trees by Height Classes</w:t>
      </w:r>
    </w:p>
    <w:p w14:paraId="60B5C1ED" w14:textId="77777777" w:rsidR="00742957" w:rsidRDefault="00742957" w:rsidP="00742957">
      <w:pPr>
        <w:spacing w:after="0" w:line="360" w:lineRule="auto"/>
        <w:jc w:val="both"/>
        <w:rPr>
          <w:rFonts w:ascii="Times New Roman" w:hAnsi="Times New Roman" w:cs="Times New Roman"/>
          <w:sz w:val="24"/>
          <w:szCs w:val="24"/>
        </w:rPr>
      </w:pPr>
    </w:p>
    <w:p w14:paraId="37DD7B3D" w14:textId="77777777" w:rsidR="00742957" w:rsidRDefault="00742957" w:rsidP="00742957">
      <w:pPr>
        <w:spacing w:after="0" w:line="360" w:lineRule="auto"/>
        <w:jc w:val="both"/>
        <w:rPr>
          <w:rFonts w:ascii="Times New Roman" w:hAnsi="Times New Roman" w:cs="Times New Roman"/>
          <w:sz w:val="24"/>
          <w:szCs w:val="24"/>
        </w:rPr>
      </w:pPr>
    </w:p>
    <w:p w14:paraId="46CD9A58" w14:textId="77777777" w:rsidR="00742957" w:rsidRDefault="00742957" w:rsidP="00742957">
      <w:pPr>
        <w:spacing w:after="0" w:line="360" w:lineRule="auto"/>
        <w:jc w:val="both"/>
        <w:rPr>
          <w:rFonts w:ascii="Times New Roman" w:hAnsi="Times New Roman" w:cs="Times New Roman"/>
          <w:sz w:val="24"/>
          <w:szCs w:val="24"/>
        </w:rPr>
      </w:pPr>
    </w:p>
    <w:p w14:paraId="58A6EADF" w14:textId="77777777" w:rsidR="00742957" w:rsidRDefault="00742957" w:rsidP="00742957">
      <w:pPr>
        <w:spacing w:after="0" w:line="360" w:lineRule="auto"/>
        <w:jc w:val="both"/>
        <w:rPr>
          <w:rFonts w:ascii="Times New Roman" w:hAnsi="Times New Roman" w:cs="Times New Roman"/>
          <w:sz w:val="24"/>
          <w:szCs w:val="24"/>
        </w:rPr>
      </w:pPr>
    </w:p>
    <w:p w14:paraId="168D631A" w14:textId="77777777" w:rsidR="00742957" w:rsidRPr="00742957" w:rsidRDefault="00495877" w:rsidP="007429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742957" w:rsidRPr="00742957">
        <w:rPr>
          <w:rFonts w:ascii="Times New Roman" w:hAnsi="Times New Roman" w:cs="Times New Roman"/>
          <w:b/>
          <w:sz w:val="24"/>
          <w:szCs w:val="24"/>
        </w:rPr>
        <w:t>. Carbon Stock of Woody Species</w:t>
      </w:r>
    </w:p>
    <w:p w14:paraId="491F9A1C" w14:textId="58DE33C8" w:rsidR="00742957" w:rsidRPr="00742957" w:rsidRDefault="00742957" w:rsidP="00742957">
      <w:pPr>
        <w:spacing w:after="0" w:line="360" w:lineRule="auto"/>
        <w:jc w:val="both"/>
        <w:rPr>
          <w:rFonts w:ascii="Times New Roman" w:hAnsi="Times New Roman" w:cs="Times New Roman"/>
          <w:sz w:val="24"/>
          <w:szCs w:val="24"/>
        </w:rPr>
      </w:pPr>
      <w:r w:rsidRPr="00742957">
        <w:rPr>
          <w:rFonts w:ascii="Times New Roman" w:hAnsi="Times New Roman" w:cs="Times New Roman"/>
          <w:sz w:val="24"/>
          <w:szCs w:val="24"/>
        </w:rPr>
        <w:t xml:space="preserve">SAF1, which stores 27.94 tC/ha, represents the system with the lowest carbon stock compared to SAF3, which alone stores an average of 42.03 tC/ha. Thus, SAF3 has the highest carbon stock among the three systems. SAF2 ranks second with 28.65 tC/ha (Figure </w:t>
      </w:r>
      <w:r w:rsidR="00E152CB">
        <w:rPr>
          <w:rFonts w:ascii="Times New Roman" w:hAnsi="Times New Roman" w:cs="Times New Roman"/>
          <w:sz w:val="24"/>
          <w:szCs w:val="24"/>
        </w:rPr>
        <w:t>8</w:t>
      </w:r>
      <w:r w:rsidRPr="00742957">
        <w:rPr>
          <w:rFonts w:ascii="Times New Roman" w:hAnsi="Times New Roman" w:cs="Times New Roman"/>
          <w:sz w:val="24"/>
          <w:szCs w:val="24"/>
        </w:rPr>
        <w:t>).</w:t>
      </w:r>
    </w:p>
    <w:p w14:paraId="5C6810D1" w14:textId="77777777" w:rsidR="00742957" w:rsidRDefault="00742957" w:rsidP="00742957">
      <w:pPr>
        <w:spacing w:after="0" w:line="360" w:lineRule="auto"/>
        <w:jc w:val="both"/>
        <w:rPr>
          <w:rFonts w:ascii="Times New Roman" w:hAnsi="Times New Roman" w:cs="Times New Roman"/>
          <w:sz w:val="24"/>
          <w:szCs w:val="24"/>
        </w:rPr>
      </w:pPr>
      <w:r w:rsidRPr="00742957">
        <w:rPr>
          <w:rFonts w:ascii="Times New Roman" w:hAnsi="Times New Roman" w:cs="Times New Roman"/>
          <w:sz w:val="24"/>
          <w:szCs w:val="24"/>
        </w:rPr>
        <w:t>Farmers would like to plant certain species that have high food value and timber production potential but are currently scarce in their SAFs. However, several constraints hinder this introduction, such as the lack of seedlings, limited knowledge of silvicultural techniques, slow tree growth, and excessive shading.</w:t>
      </w:r>
    </w:p>
    <w:p w14:paraId="1F5A0A4E" w14:textId="77777777" w:rsidR="00172C67" w:rsidRDefault="00172C67" w:rsidP="00742957">
      <w:pPr>
        <w:spacing w:after="0" w:line="360" w:lineRule="auto"/>
        <w:jc w:val="both"/>
        <w:rPr>
          <w:rFonts w:ascii="Times New Roman" w:hAnsi="Times New Roman" w:cs="Times New Roman"/>
          <w:sz w:val="24"/>
          <w:szCs w:val="24"/>
        </w:rPr>
      </w:pPr>
    </w:p>
    <w:p w14:paraId="5C4A06C9" w14:textId="77777777" w:rsidR="00172C67" w:rsidRDefault="00172C67" w:rsidP="00495877">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eastAsia="fr-FR"/>
        </w:rPr>
        <w:lastRenderedPageBreak/>
        <w:drawing>
          <wp:inline distT="0" distB="0" distL="0" distR="0" wp14:anchorId="68171138" wp14:editId="57FC8FF9">
            <wp:extent cx="3743960" cy="2847975"/>
            <wp:effectExtent l="0" t="0" r="889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960" cy="2847975"/>
                    </a:xfrm>
                    <a:prstGeom prst="rect">
                      <a:avLst/>
                    </a:prstGeom>
                    <a:noFill/>
                    <a:ln>
                      <a:noFill/>
                    </a:ln>
                  </pic:spPr>
                </pic:pic>
              </a:graphicData>
            </a:graphic>
          </wp:inline>
        </w:drawing>
      </w:r>
    </w:p>
    <w:p w14:paraId="1EF32C8E" w14:textId="383B7DAA" w:rsidR="00172C67" w:rsidRDefault="00172C67" w:rsidP="00495877">
      <w:pPr>
        <w:spacing w:after="0" w:line="360" w:lineRule="auto"/>
        <w:ind w:left="708" w:firstLine="708"/>
        <w:jc w:val="both"/>
        <w:rPr>
          <w:rFonts w:ascii="Times New Roman" w:hAnsi="Times New Roman" w:cs="Times New Roman"/>
          <w:sz w:val="24"/>
          <w:szCs w:val="24"/>
        </w:rPr>
      </w:pPr>
      <w:r w:rsidRPr="00172C67">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8</w:t>
      </w:r>
      <w:r w:rsidRPr="00172C67">
        <w:rPr>
          <w:rFonts w:ascii="Times New Roman" w:hAnsi="Times New Roman" w:cs="Times New Roman"/>
          <w:sz w:val="24"/>
          <w:szCs w:val="24"/>
        </w:rPr>
        <w:t>:</w:t>
      </w:r>
      <w:proofErr w:type="gramEnd"/>
      <w:r w:rsidRPr="00172C67">
        <w:rPr>
          <w:rFonts w:ascii="Times New Roman" w:hAnsi="Times New Roman" w:cs="Times New Roman"/>
          <w:sz w:val="24"/>
          <w:szCs w:val="24"/>
        </w:rPr>
        <w:t xml:space="preserve"> Estimation of Carbon Stock in the Agroforestry Systems (SAFs)</w:t>
      </w:r>
    </w:p>
    <w:p w14:paraId="72010DC3" w14:textId="77777777" w:rsidR="00E1636E" w:rsidRDefault="00E1636E" w:rsidP="00742957">
      <w:pPr>
        <w:spacing w:after="0" w:line="360" w:lineRule="auto"/>
        <w:jc w:val="both"/>
        <w:rPr>
          <w:rFonts w:ascii="Times New Roman" w:hAnsi="Times New Roman" w:cs="Times New Roman"/>
          <w:sz w:val="24"/>
          <w:szCs w:val="24"/>
        </w:rPr>
      </w:pPr>
    </w:p>
    <w:p w14:paraId="2D79EB4D" w14:textId="77777777" w:rsidR="001C2BBC" w:rsidRPr="001C2BBC" w:rsidRDefault="002242FE" w:rsidP="001C2B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1C2BBC" w:rsidRPr="001C2BBC">
        <w:rPr>
          <w:rFonts w:ascii="Times New Roman" w:hAnsi="Times New Roman" w:cs="Times New Roman"/>
          <w:b/>
          <w:sz w:val="24"/>
          <w:szCs w:val="24"/>
        </w:rPr>
        <w:t xml:space="preserve">Relationship Between Carbon Stock and Tree Diameter  </w:t>
      </w:r>
    </w:p>
    <w:p w14:paraId="3944AD62" w14:textId="7E574021" w:rsidR="00E1636E" w:rsidRDefault="001C2BBC" w:rsidP="001C2BBC">
      <w:pPr>
        <w:spacing w:after="0" w:line="360" w:lineRule="auto"/>
        <w:jc w:val="both"/>
        <w:rPr>
          <w:rFonts w:ascii="Times New Roman" w:hAnsi="Times New Roman" w:cs="Times New Roman"/>
          <w:sz w:val="24"/>
          <w:szCs w:val="24"/>
        </w:rPr>
      </w:pPr>
      <w:r w:rsidRPr="001C2BBC">
        <w:rPr>
          <w:rFonts w:ascii="Times New Roman" w:hAnsi="Times New Roman" w:cs="Times New Roman"/>
          <w:sz w:val="24"/>
          <w:szCs w:val="24"/>
        </w:rPr>
        <w:t xml:space="preserve">Figure </w:t>
      </w:r>
      <w:r w:rsidR="00E152CB">
        <w:rPr>
          <w:rFonts w:ascii="Times New Roman" w:hAnsi="Times New Roman" w:cs="Times New Roman"/>
          <w:sz w:val="24"/>
          <w:szCs w:val="24"/>
        </w:rPr>
        <w:t>9</w:t>
      </w:r>
      <w:r w:rsidRPr="001C2BBC">
        <w:rPr>
          <w:rFonts w:ascii="Times New Roman" w:hAnsi="Times New Roman" w:cs="Times New Roman"/>
          <w:sz w:val="24"/>
          <w:szCs w:val="24"/>
        </w:rPr>
        <w:t xml:space="preserve"> shows the relationship between a dendrometric </w:t>
      </w:r>
      <w:proofErr w:type="gramStart"/>
      <w:r w:rsidRPr="001C2BBC">
        <w:rPr>
          <w:rFonts w:ascii="Times New Roman" w:hAnsi="Times New Roman" w:cs="Times New Roman"/>
          <w:sz w:val="24"/>
          <w:szCs w:val="24"/>
        </w:rPr>
        <w:t>parameter:</w:t>
      </w:r>
      <w:proofErr w:type="gramEnd"/>
      <w:r w:rsidRPr="001C2BBC">
        <w:rPr>
          <w:rFonts w:ascii="Times New Roman" w:hAnsi="Times New Roman" w:cs="Times New Roman"/>
          <w:sz w:val="24"/>
          <w:szCs w:val="24"/>
        </w:rPr>
        <w:t xml:space="preserve"> DBH (Diameter at Breast Height) and carbon stock (tC.ha⁻¹). This graph indicates a strong correlation between tree diameter and carbon stock, as the correlation coefficient is r = 0.98, which is close to 1, with a p-value less than 0.05. Indeed, the values observed on the graph match the calculated ones. There is, therefore, a strong positive correlation between carbon stock and tree diameter.</w:t>
      </w:r>
    </w:p>
    <w:p w14:paraId="1ABC5C39" w14:textId="77777777" w:rsidR="00FB6810" w:rsidRDefault="00FB6810" w:rsidP="001C2BBC">
      <w:pPr>
        <w:spacing w:after="0" w:line="360" w:lineRule="auto"/>
        <w:jc w:val="both"/>
        <w:rPr>
          <w:rFonts w:ascii="Times New Roman" w:hAnsi="Times New Roman" w:cs="Times New Roman"/>
          <w:sz w:val="24"/>
          <w:szCs w:val="24"/>
        </w:rPr>
      </w:pPr>
    </w:p>
    <w:p w14:paraId="472AC575" w14:textId="77777777" w:rsidR="00FB6810" w:rsidRDefault="00FB6810" w:rsidP="001C2BBC">
      <w:pPr>
        <w:spacing w:after="0" w:line="360" w:lineRule="auto"/>
        <w:jc w:val="both"/>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0F2C1C40" wp14:editId="2A448018">
            <wp:extent cx="5683885" cy="32619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3885" cy="3261995"/>
                    </a:xfrm>
                    <a:prstGeom prst="rect">
                      <a:avLst/>
                    </a:prstGeom>
                    <a:noFill/>
                    <a:ln>
                      <a:noFill/>
                    </a:ln>
                  </pic:spPr>
                </pic:pic>
              </a:graphicData>
            </a:graphic>
          </wp:inline>
        </w:drawing>
      </w:r>
    </w:p>
    <w:p w14:paraId="4EE5EFAC" w14:textId="75D66419" w:rsidR="00FB6810" w:rsidRDefault="00FB6810" w:rsidP="001C2BBC">
      <w:pPr>
        <w:spacing w:after="0" w:line="360" w:lineRule="auto"/>
        <w:jc w:val="both"/>
        <w:rPr>
          <w:rFonts w:ascii="Times New Roman" w:hAnsi="Times New Roman" w:cs="Times New Roman"/>
          <w:sz w:val="24"/>
          <w:szCs w:val="24"/>
        </w:rPr>
      </w:pPr>
      <w:r w:rsidRPr="00FB681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9</w:t>
      </w:r>
      <w:r w:rsidRPr="00FB6810">
        <w:rPr>
          <w:rFonts w:ascii="Times New Roman" w:hAnsi="Times New Roman" w:cs="Times New Roman"/>
          <w:sz w:val="24"/>
          <w:szCs w:val="24"/>
        </w:rPr>
        <w:t>:</w:t>
      </w:r>
      <w:proofErr w:type="gramEnd"/>
      <w:r w:rsidRPr="00FB6810">
        <w:rPr>
          <w:rFonts w:ascii="Times New Roman" w:hAnsi="Times New Roman" w:cs="Times New Roman"/>
          <w:sz w:val="24"/>
          <w:szCs w:val="24"/>
        </w:rPr>
        <w:t xml:space="preserve"> Relationship Between Carbon Stock and Tree Diameter</w:t>
      </w:r>
    </w:p>
    <w:p w14:paraId="66286EFA" w14:textId="77777777" w:rsidR="00FB6810" w:rsidRDefault="00FB6810" w:rsidP="001C2BBC">
      <w:pPr>
        <w:spacing w:after="0" w:line="360" w:lineRule="auto"/>
        <w:jc w:val="both"/>
        <w:rPr>
          <w:rFonts w:ascii="Times New Roman" w:hAnsi="Times New Roman" w:cs="Times New Roman"/>
          <w:sz w:val="24"/>
          <w:szCs w:val="24"/>
        </w:rPr>
      </w:pPr>
    </w:p>
    <w:p w14:paraId="38365053" w14:textId="77777777" w:rsidR="00C2697A" w:rsidRPr="00C2697A" w:rsidRDefault="002242FE" w:rsidP="00C26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921157" w:rsidRPr="00C2697A">
        <w:rPr>
          <w:rFonts w:ascii="Times New Roman" w:hAnsi="Times New Roman" w:cs="Times New Roman"/>
          <w:b/>
          <w:sz w:val="24"/>
          <w:szCs w:val="24"/>
        </w:rPr>
        <w:t>Discussion</w:t>
      </w:r>
      <w:r w:rsidR="00C2697A" w:rsidRPr="00C2697A">
        <w:rPr>
          <w:rFonts w:ascii="Times New Roman" w:hAnsi="Times New Roman" w:cs="Times New Roman"/>
          <w:b/>
          <w:sz w:val="24"/>
          <w:szCs w:val="24"/>
        </w:rPr>
        <w:t xml:space="preserve">  </w:t>
      </w:r>
    </w:p>
    <w:p w14:paraId="16B46263" w14:textId="77777777" w:rsidR="00C2697A" w:rsidRPr="00C2697A" w:rsidRDefault="002242FE" w:rsidP="00C269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C2697A" w:rsidRPr="00C2697A">
        <w:rPr>
          <w:rFonts w:ascii="Times New Roman" w:hAnsi="Times New Roman" w:cs="Times New Roman"/>
          <w:b/>
          <w:sz w:val="24"/>
          <w:szCs w:val="24"/>
        </w:rPr>
        <w:t>.1. Monitoring of Carbon Sequestration in Cocoa Farms</w:t>
      </w:r>
    </w:p>
    <w:p w14:paraId="212F2877" w14:textId="77777777"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The results obtained from the monitoring of carbon sequestration in a cocoa field in the Divo region (Côte d’Ivoire) allowed the identification of 61 </w:t>
      </w:r>
      <w:proofErr w:type="gramStart"/>
      <w:r w:rsidRPr="00C2697A">
        <w:rPr>
          <w:rFonts w:ascii="Times New Roman" w:hAnsi="Times New Roman" w:cs="Times New Roman"/>
          <w:sz w:val="24"/>
          <w:szCs w:val="24"/>
        </w:rPr>
        <w:t>plant</w:t>
      </w:r>
      <w:proofErr w:type="gramEnd"/>
      <w:r w:rsidRPr="00C2697A">
        <w:rPr>
          <w:rFonts w:ascii="Times New Roman" w:hAnsi="Times New Roman" w:cs="Times New Roman"/>
          <w:sz w:val="24"/>
          <w:szCs w:val="24"/>
        </w:rPr>
        <w:t xml:space="preserve"> species belonging to 30 families.</w:t>
      </w:r>
    </w:p>
    <w:p w14:paraId="29300F0F" w14:textId="77777777"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The considered agroforestry systems (AFS) are relatively young compared to other cocoa plantations studied in Cameroon, where similar studies were conducted on 40-year-old plantations (Jagoret, 2011). The carbon stocks of AFS1 and AFS2, which are respectively 27.94 tC/ha and 28.65 tC/ha, remain lower than those reported by Temgoua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(2018). However, these results are higher than those found by Santhyami </w:t>
      </w:r>
      <w:r w:rsidRPr="00AC6C3C">
        <w:rPr>
          <w:rFonts w:ascii="Times New Roman" w:hAnsi="Times New Roman" w:cs="Times New Roman"/>
          <w:i/>
          <w:sz w:val="24"/>
          <w:szCs w:val="24"/>
        </w:rPr>
        <w:t>et al.</w:t>
      </w:r>
      <w:r w:rsidRPr="00C2697A">
        <w:rPr>
          <w:rFonts w:ascii="Times New Roman" w:hAnsi="Times New Roman" w:cs="Times New Roman"/>
          <w:sz w:val="24"/>
          <w:szCs w:val="24"/>
        </w:rPr>
        <w:t xml:space="preserve"> (2018).</w:t>
      </w:r>
    </w:p>
    <w:p w14:paraId="33BE8446" w14:textId="77777777" w:rsidR="00FB6810"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AFS3, which stores 42.03 tC/ha, is the best-performing agroforestry system. This value is similar to that found by Oelbermann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(2006) but lower than that reported by Nolte </w:t>
      </w:r>
      <w:r w:rsidRPr="00921157">
        <w:rPr>
          <w:rFonts w:ascii="Times New Roman" w:hAnsi="Times New Roman" w:cs="Times New Roman"/>
          <w:i/>
          <w:sz w:val="24"/>
          <w:szCs w:val="24"/>
        </w:rPr>
        <w:t>et al.</w:t>
      </w:r>
      <w:r w:rsidRPr="00C2697A">
        <w:rPr>
          <w:rFonts w:ascii="Times New Roman" w:hAnsi="Times New Roman" w:cs="Times New Roman"/>
          <w:sz w:val="24"/>
          <w:szCs w:val="24"/>
        </w:rPr>
        <w:t xml:space="preserve"> (2001) in a study on carbon stock estimation in ag</w:t>
      </w:r>
      <w:r>
        <w:rPr>
          <w:rFonts w:ascii="Times New Roman" w:hAnsi="Times New Roman" w:cs="Times New Roman"/>
          <w:sz w:val="24"/>
          <w:szCs w:val="24"/>
        </w:rPr>
        <w:t xml:space="preserve">roforestry systems in Cameroon. </w:t>
      </w:r>
      <w:r w:rsidRPr="00C2697A">
        <w:rPr>
          <w:rFonts w:ascii="Times New Roman" w:hAnsi="Times New Roman" w:cs="Times New Roman"/>
          <w:sz w:val="24"/>
          <w:szCs w:val="24"/>
        </w:rPr>
        <w:t>These differences are probably due to the diversity of environments, tree densities, the different allometric equations used, and also the variation of species within the systems.</w:t>
      </w:r>
    </w:p>
    <w:p w14:paraId="2EE53265" w14:textId="77777777" w:rsidR="00CA58CB" w:rsidRDefault="009B71E3" w:rsidP="00C50545">
      <w:pPr>
        <w:spacing w:after="0" w:line="360" w:lineRule="auto"/>
        <w:jc w:val="both"/>
        <w:rPr>
          <w:rFonts w:ascii="Times New Roman" w:hAnsi="Times New Roman" w:cs="Times New Roman"/>
          <w:sz w:val="24"/>
          <w:szCs w:val="24"/>
        </w:rPr>
      </w:pPr>
      <w:r w:rsidRPr="009B71E3">
        <w:rPr>
          <w:rFonts w:ascii="Times New Roman" w:hAnsi="Times New Roman" w:cs="Times New Roman"/>
          <w:sz w:val="24"/>
          <w:szCs w:val="24"/>
        </w:rPr>
        <w:t xml:space="preserve">In the current context of climate change, forest loss could be offset by climate-smart agriculture that ensures carbon storage within cocoa-based agroforestry systems (Njomgang </w:t>
      </w:r>
      <w:r w:rsidRPr="00921157">
        <w:rPr>
          <w:rFonts w:ascii="Times New Roman" w:hAnsi="Times New Roman" w:cs="Times New Roman"/>
          <w:i/>
          <w:sz w:val="24"/>
          <w:szCs w:val="24"/>
        </w:rPr>
        <w:t>et al.,</w:t>
      </w:r>
      <w:r w:rsidRPr="009B71E3">
        <w:rPr>
          <w:rFonts w:ascii="Times New Roman" w:hAnsi="Times New Roman" w:cs="Times New Roman"/>
          <w:sz w:val="24"/>
          <w:szCs w:val="24"/>
        </w:rPr>
        <w:t xml:space="preserve"> </w:t>
      </w:r>
      <w:proofErr w:type="gramStart"/>
      <w:r w:rsidRPr="009B71E3">
        <w:rPr>
          <w:rFonts w:ascii="Times New Roman" w:hAnsi="Times New Roman" w:cs="Times New Roman"/>
          <w:sz w:val="24"/>
          <w:szCs w:val="24"/>
        </w:rPr>
        <w:t>2011;</w:t>
      </w:r>
      <w:proofErr w:type="gramEnd"/>
      <w:r w:rsidRPr="009B71E3">
        <w:rPr>
          <w:rFonts w:ascii="Times New Roman" w:hAnsi="Times New Roman" w:cs="Times New Roman"/>
          <w:sz w:val="24"/>
          <w:szCs w:val="24"/>
        </w:rPr>
        <w:t xml:space="preserve"> Norgrove &amp; Hauser, 2013; Atangana </w:t>
      </w:r>
      <w:r w:rsidRPr="005E5CCB">
        <w:rPr>
          <w:rFonts w:ascii="Times New Roman" w:hAnsi="Times New Roman" w:cs="Times New Roman"/>
          <w:i/>
          <w:sz w:val="24"/>
          <w:szCs w:val="24"/>
        </w:rPr>
        <w:t>et al.,</w:t>
      </w:r>
      <w:r w:rsidRPr="009B71E3">
        <w:rPr>
          <w:rFonts w:ascii="Times New Roman" w:hAnsi="Times New Roman" w:cs="Times New Roman"/>
          <w:sz w:val="24"/>
          <w:szCs w:val="24"/>
        </w:rPr>
        <w:t xml:space="preserve"> 2014). This approach, which involves maintaining or integrating woody vegetation, would promote greater carbon sequestration and a high level of carbon storage for sustainable cocoa farming.</w:t>
      </w:r>
      <w:r>
        <w:rPr>
          <w:rFonts w:ascii="Times New Roman" w:hAnsi="Times New Roman" w:cs="Times New Roman"/>
          <w:sz w:val="24"/>
          <w:szCs w:val="24"/>
        </w:rPr>
        <w:t xml:space="preserve"> </w:t>
      </w:r>
      <w:r w:rsidRPr="009B71E3">
        <w:rPr>
          <w:rFonts w:ascii="Times New Roman" w:hAnsi="Times New Roman" w:cs="Times New Roman"/>
          <w:sz w:val="24"/>
          <w:szCs w:val="24"/>
        </w:rPr>
        <w:t>We assessed the contribution of traditional cocoa agroforestry systems to carbon storage through the evaluation of carbon stocks in the associated woody vegetation and the cocoa stand, as well as through key structural parameters. In terms of carbon stock assessment, results show that the number of cocoa trees is higher than that of associated species, regardless of the study site. However, across all sites, both biomass and carbon stock are greater in the associated woody vegetation.</w:t>
      </w:r>
      <w:r w:rsidR="00C50545">
        <w:rPr>
          <w:rFonts w:ascii="Times New Roman" w:hAnsi="Times New Roman" w:cs="Times New Roman"/>
          <w:sz w:val="24"/>
          <w:szCs w:val="24"/>
        </w:rPr>
        <w:t xml:space="preserve"> </w:t>
      </w:r>
      <w:r w:rsidR="00CA58CB" w:rsidRPr="00CA58CB">
        <w:rPr>
          <w:rFonts w:ascii="Times New Roman" w:hAnsi="Times New Roman" w:cs="Times New Roman"/>
          <w:sz w:val="24"/>
          <w:szCs w:val="24"/>
        </w:rPr>
        <w:t>The distribution of biomass and carbon stock across diameter and height classes shows that cocoa trees contain more biomass and carbon than associated woody species in the smallest diameter classes. This result highlights the importance of the cocoa variety's architecture (Jagoret, 2011). It may also be explained by the high density of cocoa trees and the fact that cocoa trees are shrubs.</w:t>
      </w:r>
      <w:r w:rsidR="00C50545">
        <w:rPr>
          <w:rFonts w:ascii="Times New Roman" w:hAnsi="Times New Roman" w:cs="Times New Roman"/>
          <w:sz w:val="24"/>
          <w:szCs w:val="24"/>
        </w:rPr>
        <w:t xml:space="preserve"> </w:t>
      </w:r>
      <w:r w:rsidR="00C50545" w:rsidRPr="00C50545">
        <w:rPr>
          <w:rFonts w:ascii="Times New Roman" w:hAnsi="Times New Roman" w:cs="Times New Roman"/>
          <w:sz w:val="24"/>
          <w:szCs w:val="24"/>
        </w:rPr>
        <w:t xml:space="preserve">On the other hand, the highest biomass and carbon stock values of the associated vegetation are found in the classes with heights over 8 meters and diameters above 40 cm. The majority of the stored carbon is located in the biomass of the large associated trees, which is similar to the results of Saj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(2013) obtained in the Ngome</w:t>
      </w:r>
      <w:r w:rsidR="00C50545">
        <w:rPr>
          <w:rFonts w:ascii="Times New Roman" w:hAnsi="Times New Roman" w:cs="Times New Roman"/>
          <w:sz w:val="24"/>
          <w:szCs w:val="24"/>
        </w:rPr>
        <w:t xml:space="preserve">dzap area in central Cameroon. </w:t>
      </w:r>
      <w:r w:rsidR="00C50545" w:rsidRPr="00C50545">
        <w:rPr>
          <w:rFonts w:ascii="Times New Roman" w:hAnsi="Times New Roman" w:cs="Times New Roman"/>
          <w:sz w:val="24"/>
          <w:szCs w:val="24"/>
        </w:rPr>
        <w:t xml:space="preserve">Although Kouamé (2013) reports that factors influencing carbon stock include species, diameter, height, planting </w:t>
      </w:r>
      <w:r w:rsidR="00C50545" w:rsidRPr="00C50545">
        <w:rPr>
          <w:rFonts w:ascii="Times New Roman" w:hAnsi="Times New Roman" w:cs="Times New Roman"/>
          <w:sz w:val="24"/>
          <w:szCs w:val="24"/>
        </w:rPr>
        <w:lastRenderedPageBreak/>
        <w:t>density, and biodiversity, our results show that the diameter and total height of the tree are key parameters for managing cocoa agroforestry systems in the face of climate change. The taller and larger diameter the preserved trees are, the more carbon the co</w:t>
      </w:r>
      <w:r w:rsidR="00C50545">
        <w:rPr>
          <w:rFonts w:ascii="Times New Roman" w:hAnsi="Times New Roman" w:cs="Times New Roman"/>
          <w:sz w:val="24"/>
          <w:szCs w:val="24"/>
        </w:rPr>
        <w:t xml:space="preserve">coa agroforestry system stores. </w:t>
      </w:r>
      <w:r w:rsidR="00C50545" w:rsidRPr="00C50545">
        <w:rPr>
          <w:rFonts w:ascii="Times New Roman" w:hAnsi="Times New Roman" w:cs="Times New Roman"/>
          <w:sz w:val="24"/>
          <w:szCs w:val="24"/>
        </w:rPr>
        <w:t xml:space="preserve">Contrary to our findings, Evans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(2016) showed that the correlation between tree crown size and carbon stock was moderately strong, while the correlation between diameter, height, and total tree carbon was generally weak.</w:t>
      </w:r>
    </w:p>
    <w:p w14:paraId="29CB12AD" w14:textId="77777777" w:rsidR="00921157" w:rsidRDefault="00921157" w:rsidP="00C50545">
      <w:pPr>
        <w:spacing w:after="0" w:line="360" w:lineRule="auto"/>
        <w:jc w:val="both"/>
        <w:rPr>
          <w:rFonts w:ascii="Times New Roman" w:hAnsi="Times New Roman" w:cs="Times New Roman"/>
          <w:sz w:val="24"/>
          <w:szCs w:val="24"/>
        </w:rPr>
      </w:pPr>
    </w:p>
    <w:p w14:paraId="6E984359" w14:textId="77777777" w:rsidR="00A61DF2" w:rsidRPr="00A61DF2" w:rsidRDefault="002242FE" w:rsidP="00A61D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61DF2" w:rsidRPr="00A61DF2">
        <w:rPr>
          <w:rFonts w:ascii="Times New Roman" w:hAnsi="Times New Roman" w:cs="Times New Roman"/>
          <w:b/>
          <w:sz w:val="24"/>
          <w:szCs w:val="24"/>
        </w:rPr>
        <w:t xml:space="preserve">.2. Quantitative Evaluation of Cocoa Agroforestry Systems (AFS)  </w:t>
      </w:r>
    </w:p>
    <w:p w14:paraId="625C98A1" w14:textId="77777777" w:rsidR="00DA75B0" w:rsidRDefault="00A61DF2" w:rsidP="00A61DF2">
      <w:pPr>
        <w:spacing w:after="0" w:line="360" w:lineRule="auto"/>
        <w:jc w:val="both"/>
        <w:rPr>
          <w:rFonts w:ascii="Times New Roman" w:hAnsi="Times New Roman" w:cs="Times New Roman"/>
          <w:sz w:val="24"/>
          <w:szCs w:val="24"/>
        </w:rPr>
      </w:pPr>
      <w:r w:rsidRPr="00A61DF2">
        <w:rPr>
          <w:rFonts w:ascii="Times New Roman" w:hAnsi="Times New Roman" w:cs="Times New Roman"/>
          <w:sz w:val="24"/>
          <w:szCs w:val="24"/>
        </w:rPr>
        <w:t>The floristic inventory across all AFS recorded a total of 61 species in addition to cocoa (Theobroma cacao). This value is roughly similar to the 51 and 45 species recorded respectively in cocoa plantations over 15 years old in Mbankomo by Nganwa (2001) and in AFS over 40 years old in Pendiki (Littoral) by Mbade (2012). However, it is higher than the 30 species found in AFS over 40 years old in the Centre reg</w:t>
      </w:r>
      <w:r>
        <w:rPr>
          <w:rFonts w:ascii="Times New Roman" w:hAnsi="Times New Roman" w:cs="Times New Roman"/>
          <w:sz w:val="24"/>
          <w:szCs w:val="24"/>
        </w:rPr>
        <w:t xml:space="preserve">ion by Jagoret </w:t>
      </w:r>
      <w:r w:rsidRPr="00921157">
        <w:rPr>
          <w:rFonts w:ascii="Times New Roman" w:hAnsi="Times New Roman" w:cs="Times New Roman"/>
          <w:i/>
          <w:sz w:val="24"/>
          <w:szCs w:val="24"/>
        </w:rPr>
        <w:t>et al.</w:t>
      </w:r>
      <w:r>
        <w:rPr>
          <w:rFonts w:ascii="Times New Roman" w:hAnsi="Times New Roman" w:cs="Times New Roman"/>
          <w:sz w:val="24"/>
          <w:szCs w:val="24"/>
        </w:rPr>
        <w:t xml:space="preserve"> (2011). </w:t>
      </w:r>
      <w:r w:rsidRPr="00A61DF2">
        <w:rPr>
          <w:rFonts w:ascii="Times New Roman" w:hAnsi="Times New Roman" w:cs="Times New Roman"/>
          <w:sz w:val="24"/>
          <w:szCs w:val="24"/>
        </w:rPr>
        <w:t xml:space="preserve">The abundant species found in the AFS are characteristic of the severely degraded semi-deciduous forest facies (Letouzey, 1985). Other studies have shown that the species composition of AFS in the South and Southwest regions of Cameroon is quite distinct from that of natural forests (Zapfack </w:t>
      </w:r>
      <w:r w:rsidRPr="00921157">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2002;</w:t>
      </w:r>
      <w:proofErr w:type="gramEnd"/>
      <w:r>
        <w:rPr>
          <w:rFonts w:ascii="Times New Roman" w:hAnsi="Times New Roman" w:cs="Times New Roman"/>
          <w:sz w:val="24"/>
          <w:szCs w:val="24"/>
        </w:rPr>
        <w:t xml:space="preserve"> Bobo </w:t>
      </w:r>
      <w:r w:rsidRPr="00921157">
        <w:rPr>
          <w:rFonts w:ascii="Times New Roman" w:hAnsi="Times New Roman" w:cs="Times New Roman"/>
          <w:i/>
          <w:sz w:val="24"/>
          <w:szCs w:val="24"/>
        </w:rPr>
        <w:t>et al.,</w:t>
      </w:r>
      <w:r>
        <w:rPr>
          <w:rFonts w:ascii="Times New Roman" w:hAnsi="Times New Roman" w:cs="Times New Roman"/>
          <w:sz w:val="24"/>
          <w:szCs w:val="24"/>
        </w:rPr>
        <w:t xml:space="preserve"> 2006). </w:t>
      </w:r>
      <w:r w:rsidRPr="00A61DF2">
        <w:rPr>
          <w:rFonts w:ascii="Times New Roman" w:hAnsi="Times New Roman" w:cs="Times New Roman"/>
          <w:sz w:val="24"/>
          <w:szCs w:val="24"/>
        </w:rPr>
        <w:t>The presence or absence of a woody species in an AFS depends on the farmer’s preferences, as they select trees to keep based on their useful properties.</w:t>
      </w:r>
      <w:r w:rsidR="00DA75B0">
        <w:rPr>
          <w:rFonts w:ascii="Times New Roman" w:hAnsi="Times New Roman" w:cs="Times New Roman"/>
          <w:sz w:val="24"/>
          <w:szCs w:val="24"/>
        </w:rPr>
        <w:t xml:space="preserve"> </w:t>
      </w:r>
      <w:r w:rsidR="00DA75B0" w:rsidRPr="00DA75B0">
        <w:rPr>
          <w:rFonts w:ascii="Times New Roman" w:hAnsi="Times New Roman" w:cs="Times New Roman"/>
          <w:sz w:val="24"/>
          <w:szCs w:val="24"/>
        </w:rPr>
        <w:t>It was observed that the species left standing were useful either for traditional medicine, nutrition, soil fertilization, or because of the difficulty of cutting them down, or for providing shade in the case of most forest species. The absence or scarcity of certain species is linked to their being cut down for firewood or timber.</w:t>
      </w:r>
    </w:p>
    <w:p w14:paraId="15583687" w14:textId="77777777" w:rsidR="00A80BEE" w:rsidRDefault="00A80BEE" w:rsidP="00A61DF2">
      <w:pPr>
        <w:spacing w:after="0" w:line="360" w:lineRule="auto"/>
        <w:jc w:val="both"/>
        <w:rPr>
          <w:rFonts w:ascii="Times New Roman" w:hAnsi="Times New Roman" w:cs="Times New Roman"/>
          <w:sz w:val="24"/>
          <w:szCs w:val="24"/>
        </w:rPr>
      </w:pPr>
    </w:p>
    <w:p w14:paraId="74308AF1" w14:textId="77777777" w:rsidR="00A80BEE" w:rsidRPr="00A80BEE" w:rsidRDefault="00A80BEE" w:rsidP="00A80BEE">
      <w:pPr>
        <w:spacing w:after="0" w:line="360" w:lineRule="auto"/>
        <w:jc w:val="both"/>
        <w:rPr>
          <w:rFonts w:ascii="Times New Roman" w:hAnsi="Times New Roman" w:cs="Times New Roman"/>
          <w:b/>
          <w:sz w:val="24"/>
          <w:szCs w:val="24"/>
        </w:rPr>
      </w:pPr>
      <w:r w:rsidRPr="00A80BEE">
        <w:rPr>
          <w:rFonts w:ascii="Times New Roman" w:hAnsi="Times New Roman" w:cs="Times New Roman"/>
          <w:b/>
          <w:sz w:val="24"/>
          <w:szCs w:val="24"/>
        </w:rPr>
        <w:t xml:space="preserve">CONCLUSION  </w:t>
      </w:r>
    </w:p>
    <w:p w14:paraId="054F3EB5" w14:textId="77777777" w:rsidR="00A80BEE" w:rsidRDefault="00A80BEE" w:rsidP="00A80BEE">
      <w:pPr>
        <w:spacing w:after="0" w:line="360" w:lineRule="auto"/>
        <w:jc w:val="both"/>
        <w:rPr>
          <w:rFonts w:ascii="Times New Roman" w:hAnsi="Times New Roman" w:cs="Times New Roman"/>
          <w:sz w:val="24"/>
          <w:szCs w:val="24"/>
        </w:rPr>
      </w:pPr>
      <w:r w:rsidRPr="00A80BEE">
        <w:rPr>
          <w:rFonts w:ascii="Times New Roman" w:hAnsi="Times New Roman" w:cs="Times New Roman"/>
          <w:sz w:val="24"/>
          <w:szCs w:val="24"/>
        </w:rPr>
        <w:t xml:space="preserve">Cocoa agroforestry systems are types of vegetation formations that have undergone modifications through human activities such as agriculture. This thesis first contributes to characterizing a peasant preservation strategy through a better understanding of the woody flora diversity in cocoa agroforestry systems in the Divo department. Secondly, this study highlights the contribution of traditional cocoa agroforestry systems to carbon storage. Overall, the carbon stock of the associated vegetation is significantly higher than that of the cocoa population in the study area. The parameters that most influence the carbon stock are mainly the diameter and height of the tree. The carbon stock stored by all the cocoa agroforestry systems studied in the Divo department is very substantial. To optimize the amount of carbon stored in trees within cocoa agroforestry systems, it would be important to provide more precise recommendations </w:t>
      </w:r>
      <w:r w:rsidRPr="00A80BEE">
        <w:rPr>
          <w:rFonts w:ascii="Times New Roman" w:hAnsi="Times New Roman" w:cs="Times New Roman"/>
          <w:sz w:val="24"/>
          <w:szCs w:val="24"/>
        </w:rPr>
        <w:lastRenderedPageBreak/>
        <w:t>regarding the characteristics of species to maintain or introduce in plantations. This is the contribution of our study, which advises producers to preserve trees with large diameters and heights. The choice of species diversity according to the different study sites is made based on their contribution to carbon storage.</w:t>
      </w:r>
    </w:p>
    <w:p w14:paraId="0CF07CAC" w14:textId="77777777" w:rsidR="00E152CB" w:rsidRDefault="00E152CB" w:rsidP="00A80BEE">
      <w:pPr>
        <w:spacing w:after="0" w:line="360" w:lineRule="auto"/>
        <w:jc w:val="both"/>
        <w:rPr>
          <w:rFonts w:ascii="Times New Roman" w:hAnsi="Times New Roman" w:cs="Times New Roman"/>
          <w:sz w:val="24"/>
          <w:szCs w:val="24"/>
        </w:rPr>
      </w:pPr>
    </w:p>
    <w:p w14:paraId="282AB5C8" w14:textId="77777777" w:rsidR="00E152CB" w:rsidRPr="003A29C6" w:rsidRDefault="00E152CB" w:rsidP="00E152CB">
      <w:pPr>
        <w:jc w:val="both"/>
        <w:outlineLvl w:val="0"/>
        <w:rPr>
          <w:rFonts w:ascii="Arial" w:hAnsi="Arial" w:cs="Arial"/>
        </w:rPr>
      </w:pPr>
      <w:r w:rsidRPr="003A29C6">
        <w:rPr>
          <w:rFonts w:ascii="Arial" w:hAnsi="Arial" w:cs="Arial"/>
          <w:b/>
          <w:bCs/>
        </w:rPr>
        <w:t xml:space="preserve">COMPETING INTERESTS </w:t>
      </w:r>
      <w:proofErr w:type="gramStart"/>
      <w:r w:rsidRPr="003A29C6">
        <w:rPr>
          <w:rFonts w:ascii="Arial" w:hAnsi="Arial" w:cs="Arial"/>
          <w:b/>
          <w:bCs/>
        </w:rPr>
        <w:t>DISCLAIMER:</w:t>
      </w:r>
      <w:proofErr w:type="gramEnd"/>
    </w:p>
    <w:p w14:paraId="098C84F6" w14:textId="77777777" w:rsidR="00E152CB" w:rsidRDefault="00E152CB" w:rsidP="00E152CB">
      <w:r w:rsidRPr="00A10EDE">
        <w:t>Authors have declared that they have no known competing financial interests OR non-financial interests OR personal relationships that could have appeared to influence the work reported in this paper.</w:t>
      </w:r>
    </w:p>
    <w:p w14:paraId="73D5A195" w14:textId="77777777" w:rsidR="00E152CB" w:rsidRDefault="00E152CB" w:rsidP="00A80BEE">
      <w:pPr>
        <w:spacing w:after="0" w:line="360" w:lineRule="auto"/>
        <w:jc w:val="both"/>
        <w:rPr>
          <w:rFonts w:ascii="Times New Roman" w:hAnsi="Times New Roman" w:cs="Times New Roman"/>
          <w:sz w:val="24"/>
          <w:szCs w:val="24"/>
        </w:rPr>
      </w:pPr>
    </w:p>
    <w:p w14:paraId="4C2562AC" w14:textId="77777777" w:rsidR="00A80BEE" w:rsidRDefault="00A80BEE" w:rsidP="00A80BEE">
      <w:pPr>
        <w:spacing w:after="0" w:line="360" w:lineRule="auto"/>
        <w:jc w:val="both"/>
        <w:rPr>
          <w:rFonts w:ascii="Times New Roman" w:hAnsi="Times New Roman" w:cs="Times New Roman"/>
          <w:sz w:val="24"/>
          <w:szCs w:val="24"/>
        </w:rPr>
      </w:pPr>
    </w:p>
    <w:p w14:paraId="51472DCF" w14:textId="702DE1B6" w:rsidR="00A80BEE" w:rsidRPr="003248A1" w:rsidRDefault="00A56C2B" w:rsidP="00A80BEE">
      <w:pPr>
        <w:spacing w:after="0" w:line="360" w:lineRule="auto"/>
        <w:jc w:val="both"/>
        <w:rPr>
          <w:rFonts w:ascii="Times New Roman" w:hAnsi="Times New Roman" w:cs="Times New Roman"/>
          <w:b/>
          <w:sz w:val="24"/>
          <w:szCs w:val="24"/>
        </w:rPr>
      </w:pPr>
      <w:r w:rsidRPr="003248A1">
        <w:rPr>
          <w:rFonts w:ascii="Times New Roman" w:hAnsi="Times New Roman" w:cs="Times New Roman"/>
          <w:b/>
          <w:sz w:val="24"/>
          <w:szCs w:val="24"/>
        </w:rPr>
        <w:t>Références</w:t>
      </w:r>
    </w:p>
    <w:p w14:paraId="25BBE9A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Adou, G. A. T. (2021). "Determinants of the establishment of basketry units in the city of Divo (Côte d'Ivoire)", Annals of the University of Bangui, Series A, 3(16</w:t>
      </w:r>
      <w:proofErr w:type="gramStart"/>
      <w:r w:rsidRPr="00BF6597">
        <w:rPr>
          <w:rStyle w:val="fontstyle01"/>
          <w:b w:val="0"/>
          <w:sz w:val="24"/>
          <w:szCs w:val="24"/>
        </w:rPr>
        <w:t>):</w:t>
      </w:r>
      <w:proofErr w:type="gramEnd"/>
      <w:r w:rsidRPr="00BF6597">
        <w:rPr>
          <w:rStyle w:val="fontstyle01"/>
          <w:b w:val="0"/>
          <w:sz w:val="24"/>
          <w:szCs w:val="24"/>
        </w:rPr>
        <w:t xml:space="preserve"> 137–152.</w:t>
      </w:r>
    </w:p>
    <w:p w14:paraId="3500B23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Atangana, A., Khasa D., Chang S., &amp; Degrande A. (2014). Tropical Agroforestry. Department of Wood and Forest Sciences, Université Laval, 412 p.</w:t>
      </w:r>
    </w:p>
    <w:p w14:paraId="76C0F6E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Barré, P., Cécillon L., Chenu C., Martin M., Vidal-Beaudet L., &amp; Eglin T. (2020). - Carbon sequestration in agricultural, forest and urban </w:t>
      </w:r>
      <w:proofErr w:type="gramStart"/>
      <w:r w:rsidRPr="00BF6597">
        <w:rPr>
          <w:rStyle w:val="fontstyle01"/>
          <w:b w:val="0"/>
          <w:sz w:val="24"/>
          <w:szCs w:val="24"/>
        </w:rPr>
        <w:t>soils:</w:t>
      </w:r>
      <w:proofErr w:type="gramEnd"/>
      <w:r w:rsidRPr="00BF6597">
        <w:rPr>
          <w:rStyle w:val="fontstyle01"/>
          <w:b w:val="0"/>
          <w:sz w:val="24"/>
          <w:szCs w:val="24"/>
        </w:rPr>
        <w:t xml:space="preserve"> inventory of assessment and quantification methods, Soil Study and Management, 27, 305–320.</w:t>
      </w:r>
    </w:p>
    <w:p w14:paraId="63CD452C"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Bobo, K.S., Waltert M., Sainge N.M., Njokagbor J., Fermon H., &amp; Muehlenberg M. (2006). From forest to </w:t>
      </w:r>
      <w:proofErr w:type="gramStart"/>
      <w:r w:rsidRPr="00BF6597">
        <w:rPr>
          <w:rStyle w:val="fontstyle01"/>
          <w:b w:val="0"/>
          <w:sz w:val="24"/>
          <w:szCs w:val="24"/>
        </w:rPr>
        <w:t>farmland:</w:t>
      </w:r>
      <w:proofErr w:type="gramEnd"/>
      <w:r w:rsidRPr="00BF6597">
        <w:rPr>
          <w:rStyle w:val="fontstyle01"/>
          <w:b w:val="0"/>
          <w:sz w:val="24"/>
          <w:szCs w:val="24"/>
        </w:rPr>
        <w:t xml:space="preserve"> Species richness patterns of trees and understorey plants along a gradient of forest conversion in southwestern Cameroon. Biodivers. Conserv. </w:t>
      </w:r>
      <w:proofErr w:type="gramStart"/>
      <w:r w:rsidRPr="00BF6597">
        <w:rPr>
          <w:rStyle w:val="fontstyle01"/>
          <w:b w:val="0"/>
          <w:sz w:val="24"/>
          <w:szCs w:val="24"/>
        </w:rPr>
        <w:t>15:</w:t>
      </w:r>
      <w:proofErr w:type="gramEnd"/>
      <w:r w:rsidRPr="00BF6597">
        <w:rPr>
          <w:rStyle w:val="fontstyle01"/>
          <w:b w:val="0"/>
          <w:sz w:val="24"/>
          <w:szCs w:val="24"/>
        </w:rPr>
        <w:t xml:space="preserve"> 4097–4117.</w:t>
      </w:r>
    </w:p>
    <w:p w14:paraId="54E3A4F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Brown, S. (2005). Guide to measuring and monitoring carbon in grassland forests and meadows. Report submitted to the United States Agency for International Development. Forestry Paper No. 134, Rome. 39 pp.</w:t>
      </w:r>
    </w:p>
    <w:p w14:paraId="3C3D6F5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Dihouegbeu, D. P. (2022). Housing changes in the city of Divo (Côte d’Ivoire). African Journal of Social Sciences and Public Health, 4(1</w:t>
      </w:r>
      <w:proofErr w:type="gramStart"/>
      <w:r w:rsidRPr="00BF6597">
        <w:rPr>
          <w:rStyle w:val="fontstyle01"/>
          <w:b w:val="0"/>
          <w:sz w:val="24"/>
          <w:szCs w:val="24"/>
        </w:rPr>
        <w:t>):</w:t>
      </w:r>
      <w:proofErr w:type="gramEnd"/>
      <w:r w:rsidRPr="00BF6597">
        <w:rPr>
          <w:rStyle w:val="fontstyle01"/>
          <w:b w:val="0"/>
          <w:sz w:val="24"/>
          <w:szCs w:val="24"/>
        </w:rPr>
        <w:t xml:space="preserve"> 98–112.</w:t>
      </w:r>
    </w:p>
    <w:p w14:paraId="1BE5A9B0"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Djakalia, O., Vroh, A. B. T., Kpangui, B. K., &amp; N’guessan, K. E. (2013). Plant diversity and conservation value of the Agbaou Botanical Reserve under development, Central West, Côte d’Ivoire. Journal of Animal &amp; Plant Sciences, 20(1), 3034–3047.</w:t>
      </w:r>
    </w:p>
    <w:p w14:paraId="54AB7E2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Evans, D., Winston, A., Emmanuel, A., &amp; Paul, B. (2016). Shade tree diversity and aboveground carbon stocks in Theobroma cacao agroforestry </w:t>
      </w:r>
      <w:proofErr w:type="gramStart"/>
      <w:r w:rsidRPr="00BF6597">
        <w:rPr>
          <w:rStyle w:val="fontstyle01"/>
          <w:b w:val="0"/>
          <w:sz w:val="24"/>
          <w:szCs w:val="24"/>
        </w:rPr>
        <w:t>systems:</w:t>
      </w:r>
      <w:proofErr w:type="gramEnd"/>
      <w:r w:rsidRPr="00BF6597">
        <w:rPr>
          <w:rStyle w:val="fontstyle01"/>
          <w:b w:val="0"/>
          <w:sz w:val="24"/>
          <w:szCs w:val="24"/>
        </w:rPr>
        <w:t xml:space="preserve"> implications for REDD+ implementation in a West African cacao landscape. 28 p.</w:t>
      </w:r>
    </w:p>
    <w:p w14:paraId="5214A23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lastRenderedPageBreak/>
        <w:t>Harvey-Brown, Y. (2024). Restoration plan for Divo Botanic Reserve. BGCI, Richmond, UK, 27 p.</w:t>
      </w:r>
    </w:p>
    <w:p w14:paraId="7CA033A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Jagoret, P., Michel-Dounias, I., &amp; Malezieux, E. (2011). Long-term dynamics of cocoa </w:t>
      </w:r>
      <w:proofErr w:type="gramStart"/>
      <w:r w:rsidRPr="00BF6597">
        <w:rPr>
          <w:rStyle w:val="fontstyle01"/>
          <w:b w:val="0"/>
          <w:sz w:val="24"/>
          <w:szCs w:val="24"/>
        </w:rPr>
        <w:t>agroforests:</w:t>
      </w:r>
      <w:proofErr w:type="gramEnd"/>
      <w:r w:rsidRPr="00BF6597">
        <w:rPr>
          <w:rStyle w:val="fontstyle01"/>
          <w:b w:val="0"/>
          <w:sz w:val="24"/>
          <w:szCs w:val="24"/>
        </w:rPr>
        <w:t xml:space="preserve"> a case study in Central Cameroon. Agroforest Syst. </w:t>
      </w:r>
      <w:proofErr w:type="gramStart"/>
      <w:r w:rsidRPr="00BF6597">
        <w:rPr>
          <w:rStyle w:val="fontstyle01"/>
          <w:b w:val="0"/>
          <w:sz w:val="24"/>
          <w:szCs w:val="24"/>
        </w:rPr>
        <w:t>81:</w:t>
      </w:r>
      <w:proofErr w:type="gramEnd"/>
      <w:r w:rsidRPr="00BF6597">
        <w:rPr>
          <w:rStyle w:val="fontstyle01"/>
          <w:b w:val="0"/>
          <w:sz w:val="24"/>
          <w:szCs w:val="24"/>
        </w:rPr>
        <w:t xml:space="preserve"> 267–278.</w:t>
      </w:r>
    </w:p>
    <w:p w14:paraId="28EB854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Jagoret, P. (2011). Analysis and evaluation of complex agroforestry systems over the long </w:t>
      </w:r>
      <w:proofErr w:type="gramStart"/>
      <w:r w:rsidRPr="00BF6597">
        <w:rPr>
          <w:rStyle w:val="fontstyle01"/>
          <w:b w:val="0"/>
          <w:sz w:val="24"/>
          <w:szCs w:val="24"/>
        </w:rPr>
        <w:t>term:</w:t>
      </w:r>
      <w:proofErr w:type="gramEnd"/>
      <w:r w:rsidRPr="00BF6597">
        <w:rPr>
          <w:rStyle w:val="fontstyle01"/>
          <w:b w:val="0"/>
          <w:sz w:val="24"/>
          <w:szCs w:val="24"/>
        </w:rPr>
        <w:t xml:space="preserve"> Application to cocoa-based cropping systems in Central Cameroon. Montpellier Sup Agro, 288 p.</w:t>
      </w:r>
    </w:p>
    <w:p w14:paraId="6E650AB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Kouamé, A.P.S. (2013). Plant diversity and biomass estimation in the arboretum of the National Floristic Center (Abidjan, Côte d'Ivoire). Thesis submitted to the Department of Biosciences for the Advanced Studies Diploma in Tropical Ecology, </w:t>
      </w:r>
      <w:proofErr w:type="gramStart"/>
      <w:r w:rsidRPr="00BF6597">
        <w:rPr>
          <w:rStyle w:val="fontstyle01"/>
          <w:b w:val="0"/>
          <w:sz w:val="24"/>
          <w:szCs w:val="24"/>
        </w:rPr>
        <w:t>Option:</w:t>
      </w:r>
      <w:proofErr w:type="gramEnd"/>
      <w:r w:rsidRPr="00BF6597">
        <w:rPr>
          <w:rStyle w:val="fontstyle01"/>
          <w:b w:val="0"/>
          <w:sz w:val="24"/>
          <w:szCs w:val="24"/>
        </w:rPr>
        <w:t xml:space="preserve"> Plant Ecology, 78 p.</w:t>
      </w:r>
    </w:p>
    <w:p w14:paraId="355946C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Letouzey, R. (1985). Notice of the </w:t>
      </w:r>
      <w:proofErr w:type="gramStart"/>
      <w:r w:rsidRPr="00BF6597">
        <w:rPr>
          <w:rStyle w:val="fontstyle01"/>
          <w:b w:val="0"/>
          <w:sz w:val="24"/>
          <w:szCs w:val="24"/>
        </w:rPr>
        <w:t>1:</w:t>
      </w:r>
      <w:proofErr w:type="gramEnd"/>
      <w:r w:rsidRPr="00BF6597">
        <w:rPr>
          <w:rStyle w:val="fontstyle01"/>
          <w:b w:val="0"/>
          <w:sz w:val="24"/>
          <w:szCs w:val="24"/>
        </w:rPr>
        <w:t>500,000 phytogeographic map of Cameroon. Inst. International Vegetation Map, Toulouse. 240 p.</w:t>
      </w:r>
    </w:p>
    <w:p w14:paraId="3CFE206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Mbade, L.F. (2012). Biodiversity and vegetation dynamics in cocoa </w:t>
      </w:r>
      <w:proofErr w:type="gramStart"/>
      <w:r w:rsidRPr="00BF6597">
        <w:rPr>
          <w:rStyle w:val="fontstyle01"/>
          <w:b w:val="0"/>
          <w:sz w:val="24"/>
          <w:szCs w:val="24"/>
        </w:rPr>
        <w:t>agroforests:</w:t>
      </w:r>
      <w:proofErr w:type="gramEnd"/>
      <w:r w:rsidRPr="00BF6597">
        <w:rPr>
          <w:rStyle w:val="fontstyle01"/>
          <w:b w:val="0"/>
          <w:sz w:val="24"/>
          <w:szCs w:val="24"/>
        </w:rPr>
        <w:t xml:space="preserve"> the case of Pendiki village (Sanaga Maritime Department-Nyanon District). Master's thesis in Plant Biology, Faculty of Science, University of Yaoundé I, Cameroon, 60 p.</w:t>
      </w:r>
    </w:p>
    <w:p w14:paraId="7C2D1761"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Nganwa, R.J. (2001). Carbon sequestration and woody species diversity in cocoa </w:t>
      </w:r>
      <w:proofErr w:type="gramStart"/>
      <w:r w:rsidRPr="00BF6597">
        <w:rPr>
          <w:rStyle w:val="fontstyle01"/>
          <w:b w:val="0"/>
          <w:sz w:val="24"/>
          <w:szCs w:val="24"/>
        </w:rPr>
        <w:t>plantations:</w:t>
      </w:r>
      <w:proofErr w:type="gramEnd"/>
      <w:r w:rsidRPr="00BF6597">
        <w:rPr>
          <w:rStyle w:val="fontstyle01"/>
          <w:b w:val="0"/>
          <w:sz w:val="24"/>
          <w:szCs w:val="24"/>
        </w:rPr>
        <w:t xml:space="preserve"> the case of Mbankomo and Mfou. Master's thesis in Plant Biology, Faculty of Science, University of Yaoundé I, Cameroon. 50 p.</w:t>
      </w:r>
    </w:p>
    <w:p w14:paraId="68E6E4E3"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Njomgang, R., Yemefack, M., Nounamo, L., Moukam, A. &amp; Kotto, S.J. (2011). Dynamics of shifting agricultural systems and organic carbon sequestration in Southern Cameroon. Tropicultura, </w:t>
      </w:r>
      <w:proofErr w:type="gramStart"/>
      <w:r w:rsidRPr="00BF6597">
        <w:rPr>
          <w:rStyle w:val="fontstyle01"/>
          <w:b w:val="0"/>
          <w:sz w:val="24"/>
          <w:szCs w:val="24"/>
        </w:rPr>
        <w:t>29:</w:t>
      </w:r>
      <w:proofErr w:type="gramEnd"/>
      <w:r w:rsidRPr="00BF6597">
        <w:rPr>
          <w:rStyle w:val="fontstyle01"/>
          <w:b w:val="0"/>
          <w:sz w:val="24"/>
          <w:szCs w:val="24"/>
        </w:rPr>
        <w:t xml:space="preserve"> 176–182.</w:t>
      </w:r>
    </w:p>
    <w:p w14:paraId="7CE7D405"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Nolte, C., Kotto-Same, J., Moukam, A., Thenkabail, P. S., Weise, S. F., Woomer, P. L., &amp; Zapfack, L. (2001). Land-Use Characterization and Estimation of Carbon Stocks in the Alternatives to Slash-and-Burn Benchmark Area in Cameroon. 49 p.</w:t>
      </w:r>
    </w:p>
    <w:p w14:paraId="64BDB1C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Norgrove, L., &amp; Hauser S. (2013). Carbon stocks in cocoa (Theobroma cacao) plantations and adjacent secondary forests of the same age in Cameroon. Tropical Ecology, 54(1</w:t>
      </w:r>
      <w:proofErr w:type="gramStart"/>
      <w:r w:rsidRPr="00BF6597">
        <w:rPr>
          <w:rStyle w:val="fontstyle01"/>
          <w:b w:val="0"/>
          <w:sz w:val="24"/>
          <w:szCs w:val="24"/>
        </w:rPr>
        <w:t>):</w:t>
      </w:r>
      <w:proofErr w:type="gramEnd"/>
      <w:r w:rsidRPr="00BF6597">
        <w:rPr>
          <w:rStyle w:val="fontstyle01"/>
          <w:b w:val="0"/>
          <w:sz w:val="24"/>
          <w:szCs w:val="24"/>
        </w:rPr>
        <w:t xml:space="preserve"> 15-22.</w:t>
      </w:r>
    </w:p>
    <w:p w14:paraId="5C5B44E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Oelbermann, M., Voroney, R. P., Thevathasan, N. V., Gordon, A. M., Kass, D. C. L., &amp; Schlönvoigt, A. M. (2006). Soil carbon dynamics and residue stabilization in </w:t>
      </w:r>
      <w:proofErr w:type="gramStart"/>
      <w:r w:rsidRPr="00BF6597">
        <w:rPr>
          <w:rStyle w:val="fontstyle01"/>
          <w:b w:val="0"/>
          <w:sz w:val="24"/>
          <w:szCs w:val="24"/>
        </w:rPr>
        <w:t>a</w:t>
      </w:r>
      <w:proofErr w:type="gramEnd"/>
      <w:r w:rsidRPr="00BF6597">
        <w:rPr>
          <w:rStyle w:val="fontstyle01"/>
          <w:b w:val="0"/>
          <w:sz w:val="24"/>
          <w:szCs w:val="24"/>
        </w:rPr>
        <w:t xml:space="preserve"> Costa Rican and southern Canadian alley cropping system. Agroforestry Systems, 68(1), pp. 27-36. https://doi.org/10.1007/s10457-005-5963-7</w:t>
      </w:r>
    </w:p>
    <w:p w14:paraId="346FA25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lastRenderedPageBreak/>
        <w:t>Ouattara, D., Kouamé, D., Tiébré M-S., Kouadio Y.J-C., &amp; N’guessan, K.E. (2016). Plant biodiversity and use value in the Sudanian zone of Côte d’Ivoire. Int. J. Biol. Chem. Sci., 10(3</w:t>
      </w:r>
      <w:proofErr w:type="gramStart"/>
      <w:r w:rsidRPr="00BF6597">
        <w:rPr>
          <w:rStyle w:val="fontstyle01"/>
          <w:b w:val="0"/>
          <w:sz w:val="24"/>
          <w:szCs w:val="24"/>
        </w:rPr>
        <w:t>):</w:t>
      </w:r>
      <w:proofErr w:type="gramEnd"/>
      <w:r w:rsidRPr="00BF6597">
        <w:rPr>
          <w:rStyle w:val="fontstyle01"/>
          <w:b w:val="0"/>
          <w:sz w:val="24"/>
          <w:szCs w:val="24"/>
        </w:rPr>
        <w:t xml:space="preserve"> 1122-1138.</w:t>
      </w:r>
    </w:p>
    <w:p w14:paraId="39B4D66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Ourega, D. D., &amp; Gbocho, O. D., (2021). Resilience of households in the town of Divo (Southwest forest, Ivory Coast) in the face of increasing household waste, Revue espace Géographique et Société Marocaine, </w:t>
      </w:r>
      <w:proofErr w:type="gramStart"/>
      <w:r w:rsidRPr="00BF6597">
        <w:rPr>
          <w:rStyle w:val="fontstyle01"/>
          <w:b w:val="0"/>
          <w:sz w:val="24"/>
          <w:szCs w:val="24"/>
        </w:rPr>
        <w:t>54:</w:t>
      </w:r>
      <w:proofErr w:type="gramEnd"/>
      <w:r w:rsidRPr="00BF6597">
        <w:rPr>
          <w:rStyle w:val="fontstyle01"/>
          <w:b w:val="0"/>
          <w:sz w:val="24"/>
          <w:szCs w:val="24"/>
        </w:rPr>
        <w:t xml:space="preserve"> 5–22.</w:t>
      </w:r>
    </w:p>
    <w:p w14:paraId="6992EB1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Touoyem, F. M. (2022). Contribution of cocoa-based agroforestry systems to the dynamics of periforest savannas at the Mbam-Sanaga confluence in Central Cameroon. Human and Social Sciences. University of Yaoundé I, 383 p.</w:t>
      </w:r>
    </w:p>
    <w:p w14:paraId="36B4C279" w14:textId="479AE887" w:rsidR="00742F82" w:rsidRPr="00742F82" w:rsidRDefault="00BF6597" w:rsidP="00742F82">
      <w:pPr>
        <w:spacing w:after="0" w:line="360" w:lineRule="auto"/>
        <w:ind w:left="851" w:hanging="851"/>
        <w:jc w:val="both"/>
        <w:rPr>
          <w:rStyle w:val="fontstyle01"/>
          <w:b w:val="0"/>
          <w:sz w:val="24"/>
          <w:szCs w:val="24"/>
        </w:rPr>
      </w:pPr>
      <w:r w:rsidRPr="00BF6597">
        <w:rPr>
          <w:rStyle w:val="fontstyle01"/>
          <w:b w:val="0"/>
          <w:sz w:val="24"/>
          <w:szCs w:val="24"/>
        </w:rPr>
        <w:t>Saj, S., Jagoret, P., &amp; Ngogue, T.H. (2013). Carbon storage and density dynamics of associated trees in three contrasting Theobroma cacao agroforests of Central Cameroon.</w:t>
      </w:r>
      <w:r w:rsidR="00742F82" w:rsidRPr="00742F82">
        <w:t xml:space="preserve"> </w:t>
      </w:r>
      <w:r w:rsidR="00742F82" w:rsidRPr="00742F82">
        <w:rPr>
          <w:rStyle w:val="fontstyle01"/>
          <w:b w:val="0"/>
          <w:sz w:val="24"/>
          <w:szCs w:val="24"/>
        </w:rPr>
        <w:t xml:space="preserve">Agroforestry Systems, </w:t>
      </w:r>
      <w:proofErr w:type="gramStart"/>
      <w:r w:rsidR="00742F82" w:rsidRPr="00742F82">
        <w:rPr>
          <w:rStyle w:val="fontstyle01"/>
          <w:b w:val="0"/>
          <w:sz w:val="24"/>
          <w:szCs w:val="24"/>
        </w:rPr>
        <w:t>87:</w:t>
      </w:r>
      <w:proofErr w:type="gramEnd"/>
      <w:r w:rsidR="00742F82" w:rsidRPr="00742F82">
        <w:rPr>
          <w:rStyle w:val="fontstyle01"/>
          <w:b w:val="0"/>
          <w:sz w:val="24"/>
          <w:szCs w:val="24"/>
        </w:rPr>
        <w:t xml:space="preserve"> 1309-1320.</w:t>
      </w:r>
    </w:p>
    <w:p w14:paraId="4F95781E"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Santhyami, S., Basukriadi, A., Patria, M. P., &amp; Abdulhadi, R. (2018). The comparison of aboveground C-stock between cocoa-based agroforestry system and cocoa monoculture practice in West Sumatra, Indonesia. Biodiversitas Journal of Biological Diversity, 19(2), pp. 472 479. https://doi.org/10.13057/biodiv/d190214</w:t>
      </w:r>
    </w:p>
    <w:p w14:paraId="342E00C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Temgoua, L.F., Etchike, D.A.B., Solefack, M.M.C., Tumenta, P., Nkwelle, J. (2020). Woody species diversity conservation and carbon sequestration potential of coffee agroforestry systems in the Western Region of Cameroon. Journal of Horticulture and Forestry, 12(2</w:t>
      </w:r>
      <w:proofErr w:type="gramStart"/>
      <w:r w:rsidRPr="00742F82">
        <w:rPr>
          <w:rStyle w:val="fontstyle01"/>
          <w:b w:val="0"/>
          <w:sz w:val="24"/>
          <w:szCs w:val="24"/>
        </w:rPr>
        <w:t>):</w:t>
      </w:r>
      <w:proofErr w:type="gramEnd"/>
      <w:r w:rsidRPr="00742F82">
        <w:rPr>
          <w:rStyle w:val="fontstyle01"/>
          <w:b w:val="0"/>
          <w:sz w:val="24"/>
          <w:szCs w:val="24"/>
        </w:rPr>
        <w:t xml:space="preserve"> 35-48.</w:t>
      </w:r>
    </w:p>
    <w:p w14:paraId="63E078A8"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Temgoua, L. F., Dongmo, W., Nguimdo, V., &amp; Nguena, C. (2018). Woody Diversity and Carbon Stock in Cocoa-Based Agroforestry Systems in Eastern </w:t>
      </w:r>
      <w:proofErr w:type="gramStart"/>
      <w:r w:rsidRPr="00742F82">
        <w:rPr>
          <w:rStyle w:val="fontstyle01"/>
          <w:b w:val="0"/>
          <w:sz w:val="24"/>
          <w:szCs w:val="24"/>
        </w:rPr>
        <w:t>Cameroon:</w:t>
      </w:r>
      <w:proofErr w:type="gramEnd"/>
      <w:r w:rsidRPr="00742F82">
        <w:rPr>
          <w:rStyle w:val="fontstyle01"/>
          <w:b w:val="0"/>
          <w:sz w:val="24"/>
          <w:szCs w:val="24"/>
        </w:rPr>
        <w:t xml:space="preserve"> The Case of the University of Dschang Teaching and Research Forest. Journal of Applied Biosciences, 122, pp. 12274-12286. https://doi.org/10.4314/jab.v122i1.7</w:t>
      </w:r>
    </w:p>
    <w:p w14:paraId="35819ED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Vroh, B.T.A., Abrou, N.E.J., Gone Bi, Z.B. &amp; Adou Yao, C.Y. (2019). Cocoa Agroforestry Systems in Côte </w:t>
      </w:r>
      <w:proofErr w:type="gramStart"/>
      <w:r w:rsidRPr="00742F82">
        <w:rPr>
          <w:rStyle w:val="fontstyle01"/>
          <w:b w:val="0"/>
          <w:sz w:val="24"/>
          <w:szCs w:val="24"/>
        </w:rPr>
        <w:t>d’Ivoire:</w:t>
      </w:r>
      <w:proofErr w:type="gramEnd"/>
      <w:r w:rsidRPr="00742F82">
        <w:rPr>
          <w:rStyle w:val="fontstyle01"/>
          <w:b w:val="0"/>
          <w:sz w:val="24"/>
          <w:szCs w:val="24"/>
        </w:rPr>
        <w:t xml:space="preserve"> Existing Knowledge and Research Needs for Sustainable Production. Rev. Mar. Sci. Agron. Vet. 7 (1</w:t>
      </w:r>
      <w:proofErr w:type="gramStart"/>
      <w:r w:rsidRPr="00742F82">
        <w:rPr>
          <w:rStyle w:val="fontstyle01"/>
          <w:b w:val="0"/>
          <w:sz w:val="24"/>
          <w:szCs w:val="24"/>
        </w:rPr>
        <w:t>):</w:t>
      </w:r>
      <w:proofErr w:type="gramEnd"/>
      <w:r w:rsidRPr="00742F82">
        <w:rPr>
          <w:rStyle w:val="fontstyle01"/>
          <w:b w:val="0"/>
          <w:sz w:val="24"/>
          <w:szCs w:val="24"/>
        </w:rPr>
        <w:t xml:space="preserve"> 99-109.</w:t>
      </w:r>
    </w:p>
    <w:p w14:paraId="48B8A2A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Wood, G., &amp; Lass, R. A. (1985). Cocoa. Tropical agriculture series, 4th Edition, Longman Scientific and Technical, New York. 620 p.</w:t>
      </w:r>
    </w:p>
    <w:p w14:paraId="6E45ECF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Zapfack, L., Engwald, S., Sonke, B., Achoundong, G. &amp; Mandong, A B. (2002). The impact of land conversion on plant biodiversity in the forest zone of Cameroon. Biodiversity and Conservation </w:t>
      </w:r>
      <w:proofErr w:type="gramStart"/>
      <w:r w:rsidRPr="00742F82">
        <w:rPr>
          <w:rStyle w:val="fontstyle01"/>
          <w:b w:val="0"/>
          <w:sz w:val="24"/>
          <w:szCs w:val="24"/>
        </w:rPr>
        <w:t>11:</w:t>
      </w:r>
      <w:proofErr w:type="gramEnd"/>
      <w:r w:rsidRPr="00742F82">
        <w:rPr>
          <w:rStyle w:val="fontstyle01"/>
          <w:b w:val="0"/>
          <w:sz w:val="24"/>
          <w:szCs w:val="24"/>
        </w:rPr>
        <w:t>2047-2061</w:t>
      </w:r>
    </w:p>
    <w:p w14:paraId="0B57EADD" w14:textId="0BA08DF6" w:rsidR="00790627" w:rsidRPr="003248A1" w:rsidRDefault="00742F82" w:rsidP="00742F82">
      <w:pPr>
        <w:spacing w:after="0" w:line="360" w:lineRule="auto"/>
        <w:ind w:left="851" w:hanging="851"/>
        <w:jc w:val="both"/>
        <w:rPr>
          <w:rFonts w:ascii="Times New Roman" w:hAnsi="Times New Roman" w:cs="Times New Roman"/>
          <w:sz w:val="24"/>
          <w:szCs w:val="24"/>
        </w:rPr>
      </w:pPr>
      <w:r w:rsidRPr="00742F82">
        <w:rPr>
          <w:rStyle w:val="fontstyle01"/>
          <w:b w:val="0"/>
          <w:sz w:val="24"/>
          <w:szCs w:val="24"/>
        </w:rPr>
        <w:lastRenderedPageBreak/>
        <w:t>Zapfack, L., Noiha, N.V., Dziedjou, K.P.J., Zemagho, L. &amp; Fomete, N.T. (2013). Deforestation and carbon stocks in the surroundings of Lobéké National Parc (Cameroon) in Congo Basin. Environment and Natural Resources Research 3 (2</w:t>
      </w:r>
      <w:proofErr w:type="gramStart"/>
      <w:r w:rsidRPr="00742F82">
        <w:rPr>
          <w:rStyle w:val="fontstyle01"/>
          <w:b w:val="0"/>
          <w:sz w:val="24"/>
          <w:szCs w:val="24"/>
        </w:rPr>
        <w:t>):</w:t>
      </w:r>
      <w:proofErr w:type="gramEnd"/>
      <w:r w:rsidRPr="00742F82">
        <w:rPr>
          <w:rStyle w:val="fontstyle01"/>
          <w:b w:val="0"/>
          <w:sz w:val="24"/>
          <w:szCs w:val="24"/>
        </w:rPr>
        <w:t xml:space="preserve"> 9 p.</w:t>
      </w:r>
    </w:p>
    <w:p w14:paraId="46D9C7EC" w14:textId="77777777" w:rsidR="00790627" w:rsidRDefault="00790627" w:rsidP="00790627">
      <w:pPr>
        <w:spacing w:after="0" w:line="360" w:lineRule="auto"/>
        <w:jc w:val="both"/>
        <w:rPr>
          <w:rFonts w:ascii="Times New Roman" w:hAnsi="Times New Roman" w:cs="Times New Roman"/>
          <w:sz w:val="24"/>
          <w:szCs w:val="24"/>
        </w:rPr>
      </w:pPr>
    </w:p>
    <w:p w14:paraId="32B3AE92" w14:textId="77777777" w:rsidR="009C37F9" w:rsidRDefault="009C37F9" w:rsidP="00790627">
      <w:pPr>
        <w:spacing w:after="0" w:line="360" w:lineRule="auto"/>
        <w:jc w:val="both"/>
        <w:rPr>
          <w:rFonts w:ascii="Times New Roman" w:hAnsi="Times New Roman" w:cs="Times New Roman"/>
          <w:sz w:val="24"/>
          <w:szCs w:val="24"/>
        </w:rPr>
      </w:pPr>
      <w:bookmarkStart w:id="0" w:name="_GoBack"/>
      <w:bookmarkEnd w:id="0"/>
    </w:p>
    <w:p w14:paraId="323CD30F" w14:textId="77777777" w:rsidR="009C37F9" w:rsidRDefault="009C37F9" w:rsidP="00790627">
      <w:pPr>
        <w:spacing w:after="0" w:line="360" w:lineRule="auto"/>
        <w:jc w:val="both"/>
        <w:rPr>
          <w:rFonts w:ascii="Times New Roman" w:hAnsi="Times New Roman" w:cs="Times New Roman"/>
          <w:sz w:val="24"/>
          <w:szCs w:val="24"/>
        </w:rPr>
      </w:pPr>
    </w:p>
    <w:p w14:paraId="6279ACE1" w14:textId="77777777" w:rsidR="009C37F9" w:rsidRDefault="009C37F9" w:rsidP="00790627">
      <w:pPr>
        <w:spacing w:after="0" w:line="360" w:lineRule="auto"/>
        <w:jc w:val="both"/>
        <w:rPr>
          <w:rFonts w:ascii="Times New Roman" w:hAnsi="Times New Roman" w:cs="Times New Roman"/>
          <w:sz w:val="24"/>
          <w:szCs w:val="24"/>
        </w:rPr>
      </w:pPr>
    </w:p>
    <w:p w14:paraId="70EA2A0C" w14:textId="77777777" w:rsidR="009C37F9" w:rsidRDefault="009C37F9" w:rsidP="00790627">
      <w:pPr>
        <w:spacing w:after="0" w:line="360" w:lineRule="auto"/>
        <w:jc w:val="both"/>
        <w:rPr>
          <w:rFonts w:ascii="Times New Roman" w:hAnsi="Times New Roman" w:cs="Times New Roman"/>
          <w:sz w:val="24"/>
          <w:szCs w:val="24"/>
        </w:rPr>
      </w:pPr>
    </w:p>
    <w:p w14:paraId="625C074B" w14:textId="642D4D08" w:rsidR="00790627" w:rsidRDefault="00A473D5" w:rsidP="00790627">
      <w:pPr>
        <w:spacing w:after="0" w:line="360" w:lineRule="auto"/>
        <w:jc w:val="both"/>
        <w:rPr>
          <w:rFonts w:ascii="Times New Roman" w:hAnsi="Times New Roman" w:cs="Times New Roman"/>
          <w:sz w:val="24"/>
          <w:szCs w:val="24"/>
        </w:rPr>
      </w:pPr>
      <w:r w:rsidRPr="00A473D5">
        <w:rPr>
          <w:rFonts w:ascii="Times New Roman" w:hAnsi="Times New Roman" w:cs="Times New Roman"/>
          <w:sz w:val="24"/>
          <w:szCs w:val="24"/>
        </w:rPr>
        <w:t xml:space="preserve">Appendix </w:t>
      </w:r>
      <w:r w:rsidR="00E152CB">
        <w:rPr>
          <w:rFonts w:ascii="Times New Roman" w:hAnsi="Times New Roman" w:cs="Times New Roman"/>
          <w:sz w:val="24"/>
          <w:szCs w:val="24"/>
        </w:rPr>
        <w:t>1</w:t>
      </w:r>
      <w:r w:rsidR="00790627">
        <w:rPr>
          <w:rFonts w:ascii="Times New Roman" w:hAnsi="Times New Roman" w:cs="Times New Roman"/>
          <w:sz w:val="24"/>
          <w:szCs w:val="24"/>
        </w:rPr>
        <w:t xml:space="preserve"> : </w:t>
      </w:r>
      <w:r w:rsidR="00471D7B" w:rsidRPr="00471D7B">
        <w:rPr>
          <w:rFonts w:ascii="Times New Roman" w:hAnsi="Times New Roman" w:cs="Times New Roman"/>
          <w:sz w:val="24"/>
          <w:szCs w:val="24"/>
        </w:rPr>
        <w:t>List of recorded plant species</w:t>
      </w:r>
    </w:p>
    <w:tbl>
      <w:tblPr>
        <w:tblW w:w="9400" w:type="dxa"/>
        <w:tblCellMar>
          <w:left w:w="70" w:type="dxa"/>
          <w:right w:w="70" w:type="dxa"/>
        </w:tblCellMar>
        <w:tblLook w:val="04A0" w:firstRow="1" w:lastRow="0" w:firstColumn="1" w:lastColumn="0" w:noHBand="0" w:noVBand="1"/>
      </w:tblPr>
      <w:tblGrid>
        <w:gridCol w:w="6300"/>
        <w:gridCol w:w="3100"/>
      </w:tblGrid>
      <w:tr w:rsidR="00790627" w:rsidRPr="00B21DF7" w14:paraId="0AAC74AE" w14:textId="77777777" w:rsidTr="00256E62">
        <w:trPr>
          <w:trHeight w:val="300"/>
        </w:trPr>
        <w:tc>
          <w:tcPr>
            <w:tcW w:w="6300" w:type="dxa"/>
            <w:tcBorders>
              <w:top w:val="nil"/>
              <w:left w:val="nil"/>
              <w:bottom w:val="nil"/>
              <w:right w:val="nil"/>
            </w:tcBorders>
            <w:noWrap/>
            <w:vAlign w:val="bottom"/>
          </w:tcPr>
          <w:p w14:paraId="7F90A8AD"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proofErr w:type="gramStart"/>
            <w:r w:rsidRPr="00471D7B">
              <w:rPr>
                <w:rFonts w:ascii="Times New Roman" w:eastAsia="Times New Roman" w:hAnsi="Times New Roman" w:cs="Times New Roman"/>
                <w:color w:val="000000"/>
                <w:sz w:val="24"/>
                <w:szCs w:val="24"/>
                <w:u w:val="single"/>
                <w:lang w:eastAsia="fr-FR"/>
              </w:rPr>
              <w:t>species</w:t>
            </w:r>
            <w:proofErr w:type="gramEnd"/>
            <w:r w:rsidR="00790627" w:rsidRPr="00B21DF7">
              <w:rPr>
                <w:rFonts w:ascii="Times New Roman" w:eastAsia="Times New Roman" w:hAnsi="Times New Roman" w:cs="Times New Roman"/>
                <w:color w:val="000000"/>
                <w:sz w:val="24"/>
                <w:szCs w:val="24"/>
                <w:u w:val="single"/>
                <w:lang w:eastAsia="fr-FR"/>
              </w:rPr>
              <w:t xml:space="preserve"> </w:t>
            </w:r>
          </w:p>
        </w:tc>
        <w:tc>
          <w:tcPr>
            <w:tcW w:w="3100" w:type="dxa"/>
            <w:tcBorders>
              <w:top w:val="nil"/>
              <w:left w:val="nil"/>
              <w:bottom w:val="nil"/>
              <w:right w:val="nil"/>
            </w:tcBorders>
            <w:noWrap/>
            <w:vAlign w:val="bottom"/>
          </w:tcPr>
          <w:p w14:paraId="6BA3EC48"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r>
              <w:rPr>
                <w:rFonts w:ascii="Times New Roman" w:eastAsia="Times New Roman" w:hAnsi="Times New Roman" w:cs="Times New Roman"/>
                <w:color w:val="000000"/>
                <w:sz w:val="24"/>
                <w:szCs w:val="24"/>
                <w:u w:val="single"/>
                <w:lang w:eastAsia="fr-FR"/>
              </w:rPr>
              <w:t>Families</w:t>
            </w:r>
            <w:r w:rsidR="00790627" w:rsidRPr="00B21DF7">
              <w:rPr>
                <w:rFonts w:ascii="Times New Roman" w:eastAsia="Times New Roman" w:hAnsi="Times New Roman" w:cs="Times New Roman"/>
                <w:color w:val="000000"/>
                <w:sz w:val="24"/>
                <w:szCs w:val="24"/>
                <w:u w:val="single"/>
                <w:lang w:eastAsia="fr-FR"/>
              </w:rPr>
              <w:t xml:space="preserve"> </w:t>
            </w:r>
          </w:p>
        </w:tc>
      </w:tr>
      <w:tr w:rsidR="00790627" w:rsidRPr="00B21DF7" w14:paraId="4644356F" w14:textId="77777777" w:rsidTr="00256E62">
        <w:trPr>
          <w:trHeight w:val="300"/>
        </w:trPr>
        <w:tc>
          <w:tcPr>
            <w:tcW w:w="6300" w:type="dxa"/>
            <w:tcBorders>
              <w:top w:val="nil"/>
              <w:left w:val="nil"/>
              <w:bottom w:val="nil"/>
              <w:right w:val="nil"/>
            </w:tcBorders>
            <w:noWrap/>
            <w:vAlign w:val="bottom"/>
          </w:tcPr>
          <w:p w14:paraId="1504E7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Amorphophallus </w:t>
            </w:r>
            <w:r w:rsidRPr="001B1787">
              <w:rPr>
                <w:rFonts w:ascii="Times New Roman" w:eastAsia="Times New Roman" w:hAnsi="Times New Roman" w:cs="Times New Roman"/>
                <w:color w:val="000000"/>
                <w:sz w:val="24"/>
                <w:szCs w:val="24"/>
                <w:lang w:eastAsia="fr-FR"/>
              </w:rPr>
              <w:t>johnsonii N. E. Br.</w:t>
            </w:r>
          </w:p>
        </w:tc>
        <w:tc>
          <w:tcPr>
            <w:tcW w:w="3100" w:type="dxa"/>
            <w:tcBorders>
              <w:top w:val="nil"/>
              <w:left w:val="nil"/>
              <w:bottom w:val="nil"/>
              <w:right w:val="nil"/>
            </w:tcBorders>
            <w:vAlign w:val="bottom"/>
          </w:tcPr>
          <w:p w14:paraId="783938C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Araceae </w:t>
            </w:r>
          </w:p>
        </w:tc>
      </w:tr>
      <w:tr w:rsidR="00790627" w:rsidRPr="00B21DF7" w14:paraId="412E6F93" w14:textId="77777777" w:rsidTr="00256E62">
        <w:trPr>
          <w:trHeight w:val="300"/>
        </w:trPr>
        <w:tc>
          <w:tcPr>
            <w:tcW w:w="6300" w:type="dxa"/>
            <w:tcBorders>
              <w:top w:val="nil"/>
              <w:left w:val="nil"/>
              <w:bottom w:val="nil"/>
              <w:right w:val="nil"/>
            </w:tcBorders>
            <w:noWrap/>
            <w:vAlign w:val="bottom"/>
          </w:tcPr>
          <w:p w14:paraId="41C2C90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Lannea nigritana </w:t>
            </w:r>
            <w:r w:rsidRPr="001B1787">
              <w:rPr>
                <w:rFonts w:ascii="Times New Roman" w:eastAsia="Times New Roman" w:hAnsi="Times New Roman" w:cs="Times New Roman"/>
                <w:color w:val="000000"/>
                <w:sz w:val="24"/>
                <w:szCs w:val="24"/>
                <w:lang w:val="en-GB" w:eastAsia="fr-FR"/>
              </w:rPr>
              <w:t>(Scott-Elliot) Keay</w:t>
            </w:r>
          </w:p>
        </w:tc>
        <w:tc>
          <w:tcPr>
            <w:tcW w:w="3100" w:type="dxa"/>
            <w:tcBorders>
              <w:top w:val="nil"/>
              <w:left w:val="nil"/>
              <w:bottom w:val="nil"/>
              <w:right w:val="nil"/>
            </w:tcBorders>
            <w:noWrap/>
            <w:vAlign w:val="bottom"/>
          </w:tcPr>
          <w:p w14:paraId="68A5F1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Anacardiaceae</w:t>
            </w:r>
          </w:p>
        </w:tc>
      </w:tr>
      <w:tr w:rsidR="00790627" w:rsidRPr="00B21DF7" w14:paraId="2D39381B" w14:textId="77777777" w:rsidTr="00256E62">
        <w:trPr>
          <w:trHeight w:val="300"/>
        </w:trPr>
        <w:tc>
          <w:tcPr>
            <w:tcW w:w="6300" w:type="dxa"/>
            <w:tcBorders>
              <w:top w:val="nil"/>
              <w:left w:val="nil"/>
              <w:bottom w:val="nil"/>
              <w:right w:val="nil"/>
            </w:tcBorders>
            <w:noWrap/>
            <w:vAlign w:val="bottom"/>
          </w:tcPr>
          <w:p w14:paraId="2D7B3D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Monanthotaxis whytei </w:t>
            </w:r>
            <w:r w:rsidRPr="001B1787">
              <w:rPr>
                <w:rFonts w:ascii="Times New Roman" w:eastAsia="Times New Roman" w:hAnsi="Times New Roman" w:cs="Times New Roman"/>
                <w:color w:val="000000"/>
                <w:sz w:val="24"/>
                <w:szCs w:val="24"/>
                <w:lang w:eastAsia="fr-FR"/>
              </w:rPr>
              <w:t>(Stapf) Verdc</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6BF190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Annonaceae</w:t>
            </w:r>
          </w:p>
        </w:tc>
      </w:tr>
      <w:tr w:rsidR="00790627" w:rsidRPr="00B21DF7" w14:paraId="7C0EFFE4" w14:textId="77777777" w:rsidTr="00256E62">
        <w:trPr>
          <w:trHeight w:val="300"/>
        </w:trPr>
        <w:tc>
          <w:tcPr>
            <w:tcW w:w="6300" w:type="dxa"/>
            <w:tcBorders>
              <w:top w:val="nil"/>
              <w:left w:val="nil"/>
              <w:bottom w:val="nil"/>
              <w:right w:val="nil"/>
            </w:tcBorders>
            <w:noWrap/>
            <w:vAlign w:val="bottom"/>
          </w:tcPr>
          <w:p w14:paraId="072A39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Baissea zygodioides </w:t>
            </w:r>
            <w:r w:rsidRPr="001B1787">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vAlign w:val="bottom"/>
          </w:tcPr>
          <w:p w14:paraId="79F661B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Apocynaceae</w:t>
            </w:r>
          </w:p>
        </w:tc>
      </w:tr>
      <w:tr w:rsidR="00790627" w:rsidRPr="00B21DF7" w14:paraId="4B14A24F" w14:textId="77777777" w:rsidTr="00256E62">
        <w:trPr>
          <w:trHeight w:val="300"/>
        </w:trPr>
        <w:tc>
          <w:tcPr>
            <w:tcW w:w="6300" w:type="dxa"/>
            <w:tcBorders>
              <w:top w:val="nil"/>
              <w:left w:val="nil"/>
              <w:bottom w:val="nil"/>
              <w:right w:val="nil"/>
            </w:tcBorders>
            <w:vAlign w:val="bottom"/>
          </w:tcPr>
          <w:p w14:paraId="667BD5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Aptandra zenkeri </w:t>
            </w:r>
            <w:r w:rsidRPr="001B1787">
              <w:rPr>
                <w:rFonts w:ascii="Times New Roman" w:eastAsia="Times New Roman" w:hAnsi="Times New Roman" w:cs="Times New Roman"/>
                <w:color w:val="000000"/>
                <w:sz w:val="24"/>
                <w:szCs w:val="24"/>
                <w:lang w:eastAsia="fr-FR"/>
              </w:rPr>
              <w:t>Engl.</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37B58D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Aptandraceae</w:t>
            </w:r>
          </w:p>
        </w:tc>
      </w:tr>
      <w:tr w:rsidR="00790627" w:rsidRPr="00B21DF7" w14:paraId="787E06C2" w14:textId="77777777" w:rsidTr="00256E62">
        <w:trPr>
          <w:trHeight w:val="300"/>
        </w:trPr>
        <w:tc>
          <w:tcPr>
            <w:tcW w:w="6300" w:type="dxa"/>
            <w:tcBorders>
              <w:top w:val="nil"/>
              <w:left w:val="nil"/>
              <w:bottom w:val="nil"/>
              <w:right w:val="nil"/>
            </w:tcBorders>
            <w:noWrap/>
            <w:vAlign w:val="bottom"/>
          </w:tcPr>
          <w:p w14:paraId="71A39F8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Culcasia liberica </w:t>
            </w:r>
            <w:r w:rsidRPr="00EB5A06">
              <w:rPr>
                <w:rFonts w:ascii="Times New Roman" w:eastAsia="Times New Roman" w:hAnsi="Times New Roman" w:cs="Times New Roman"/>
                <w:color w:val="000000"/>
                <w:sz w:val="24"/>
                <w:szCs w:val="24"/>
                <w:lang w:val="en-GB" w:eastAsia="fr-FR"/>
              </w:rPr>
              <w:t>N. E. Br.</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vAlign w:val="bottom"/>
          </w:tcPr>
          <w:p w14:paraId="2D2B7D9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Araceae</w:t>
            </w:r>
          </w:p>
        </w:tc>
      </w:tr>
      <w:tr w:rsidR="00790627" w:rsidRPr="00B21DF7" w14:paraId="15C41CB7" w14:textId="77777777" w:rsidTr="00256E62">
        <w:trPr>
          <w:trHeight w:val="300"/>
        </w:trPr>
        <w:tc>
          <w:tcPr>
            <w:tcW w:w="6300" w:type="dxa"/>
            <w:tcBorders>
              <w:top w:val="nil"/>
              <w:left w:val="nil"/>
              <w:bottom w:val="nil"/>
              <w:right w:val="nil"/>
            </w:tcBorders>
            <w:noWrap/>
            <w:vAlign w:val="bottom"/>
          </w:tcPr>
          <w:p w14:paraId="15D638D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 Ehretia trachyphylla </w:t>
            </w:r>
            <w:r w:rsidRPr="00EB5A06">
              <w:rPr>
                <w:rFonts w:ascii="Times New Roman" w:eastAsia="Times New Roman" w:hAnsi="Times New Roman" w:cs="Times New Roman"/>
                <w:color w:val="000000"/>
                <w:sz w:val="24"/>
                <w:szCs w:val="24"/>
                <w:lang w:val="en-GB" w:eastAsia="fr-FR"/>
              </w:rPr>
              <w:t>C. H. Wright</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564E52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Boraginaceae</w:t>
            </w:r>
          </w:p>
        </w:tc>
      </w:tr>
      <w:tr w:rsidR="00790627" w:rsidRPr="00B21DF7" w14:paraId="6BC9DBA6" w14:textId="77777777" w:rsidTr="00256E62">
        <w:trPr>
          <w:trHeight w:val="300"/>
        </w:trPr>
        <w:tc>
          <w:tcPr>
            <w:tcW w:w="6300" w:type="dxa"/>
            <w:tcBorders>
              <w:top w:val="nil"/>
              <w:left w:val="nil"/>
              <w:bottom w:val="nil"/>
              <w:right w:val="nil"/>
            </w:tcBorders>
            <w:noWrap/>
            <w:vAlign w:val="bottom"/>
          </w:tcPr>
          <w:p w14:paraId="1F8E5D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Euadenia eminens </w:t>
            </w:r>
            <w:r w:rsidRPr="00EB5A06">
              <w:rPr>
                <w:rFonts w:ascii="Times New Roman" w:eastAsia="Times New Roman" w:hAnsi="Times New Roman" w:cs="Times New Roman"/>
                <w:color w:val="000000"/>
                <w:sz w:val="24"/>
                <w:szCs w:val="24"/>
                <w:lang w:eastAsia="fr-FR"/>
              </w:rPr>
              <w:t xml:space="preserve">Hook. </w:t>
            </w:r>
            <w:proofErr w:type="gramStart"/>
            <w:r w:rsidRPr="00EB5A06">
              <w:rPr>
                <w:rFonts w:ascii="Times New Roman" w:eastAsia="Times New Roman" w:hAnsi="Times New Roman" w:cs="Times New Roman"/>
                <w:color w:val="000000"/>
                <w:sz w:val="24"/>
                <w:szCs w:val="24"/>
                <w:lang w:eastAsia="fr-FR"/>
              </w:rPr>
              <w:t>fil</w:t>
            </w:r>
            <w:proofErr w:type="gramEnd"/>
            <w:r w:rsidRPr="00EB5A06">
              <w:rPr>
                <w:rFonts w:ascii="Times New Roman" w:eastAsia="Times New Roman" w:hAnsi="Times New Roman" w:cs="Times New Roman"/>
                <w:color w:val="000000"/>
                <w:sz w:val="24"/>
                <w:szCs w:val="24"/>
                <w:lang w:eastAsia="fr-FR"/>
              </w:rPr>
              <w:t>.</w:t>
            </w:r>
          </w:p>
        </w:tc>
        <w:tc>
          <w:tcPr>
            <w:tcW w:w="3100" w:type="dxa"/>
            <w:tcBorders>
              <w:top w:val="nil"/>
              <w:left w:val="nil"/>
              <w:bottom w:val="nil"/>
              <w:right w:val="nil"/>
            </w:tcBorders>
            <w:noWrap/>
            <w:vAlign w:val="bottom"/>
          </w:tcPr>
          <w:p w14:paraId="33A5696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Capparaceae</w:t>
            </w:r>
          </w:p>
        </w:tc>
      </w:tr>
      <w:tr w:rsidR="00790627" w:rsidRPr="00B21DF7" w14:paraId="16E51AAC" w14:textId="77777777" w:rsidTr="00256E62">
        <w:trPr>
          <w:trHeight w:val="300"/>
        </w:trPr>
        <w:tc>
          <w:tcPr>
            <w:tcW w:w="6300" w:type="dxa"/>
            <w:tcBorders>
              <w:top w:val="nil"/>
              <w:left w:val="nil"/>
              <w:bottom w:val="nil"/>
              <w:right w:val="nil"/>
            </w:tcBorders>
            <w:noWrap/>
            <w:vAlign w:val="bottom"/>
          </w:tcPr>
          <w:p w14:paraId="39FC6ED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Salacia columna </w:t>
            </w:r>
            <w:r w:rsidRPr="00EB5A06">
              <w:rPr>
                <w:rFonts w:ascii="Times New Roman" w:eastAsia="Times New Roman" w:hAnsi="Times New Roman" w:cs="Times New Roman"/>
                <w:color w:val="000000"/>
                <w:sz w:val="24"/>
                <w:szCs w:val="24"/>
                <w:lang w:eastAsia="fr-FR"/>
              </w:rPr>
              <w:t>N. Hallé</w:t>
            </w:r>
          </w:p>
        </w:tc>
        <w:tc>
          <w:tcPr>
            <w:tcW w:w="3100" w:type="dxa"/>
            <w:tcBorders>
              <w:top w:val="nil"/>
              <w:left w:val="nil"/>
              <w:bottom w:val="nil"/>
              <w:right w:val="nil"/>
            </w:tcBorders>
            <w:noWrap/>
            <w:vAlign w:val="bottom"/>
          </w:tcPr>
          <w:p w14:paraId="2434C13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Celastraceae</w:t>
            </w:r>
          </w:p>
        </w:tc>
      </w:tr>
      <w:tr w:rsidR="00790627" w:rsidRPr="00B21DF7" w14:paraId="3BF7FCF0" w14:textId="77777777" w:rsidTr="00256E62">
        <w:trPr>
          <w:trHeight w:val="300"/>
        </w:trPr>
        <w:tc>
          <w:tcPr>
            <w:tcW w:w="6300" w:type="dxa"/>
            <w:tcBorders>
              <w:top w:val="nil"/>
              <w:left w:val="nil"/>
              <w:bottom w:val="nil"/>
              <w:right w:val="nil"/>
            </w:tcBorders>
            <w:noWrap/>
            <w:vAlign w:val="bottom"/>
          </w:tcPr>
          <w:p w14:paraId="6E3CF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Maranthes aubrevillei </w:t>
            </w:r>
            <w:r w:rsidRPr="00EB5A06">
              <w:rPr>
                <w:rFonts w:ascii="Times New Roman" w:eastAsia="Times New Roman" w:hAnsi="Times New Roman" w:cs="Times New Roman"/>
                <w:color w:val="000000"/>
                <w:sz w:val="24"/>
                <w:szCs w:val="24"/>
                <w:lang w:eastAsia="fr-FR"/>
              </w:rPr>
              <w:t>(Pellegr.) Prance ex F. White</w:t>
            </w:r>
          </w:p>
        </w:tc>
        <w:tc>
          <w:tcPr>
            <w:tcW w:w="3100" w:type="dxa"/>
            <w:tcBorders>
              <w:top w:val="nil"/>
              <w:left w:val="nil"/>
              <w:bottom w:val="nil"/>
              <w:right w:val="nil"/>
            </w:tcBorders>
            <w:noWrap/>
            <w:vAlign w:val="bottom"/>
          </w:tcPr>
          <w:p w14:paraId="3479B3E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Chrysobalanaceae</w:t>
            </w:r>
          </w:p>
        </w:tc>
      </w:tr>
      <w:tr w:rsidR="00790627" w:rsidRPr="00B21DF7" w14:paraId="20EFDADA" w14:textId="77777777" w:rsidTr="00256E62">
        <w:trPr>
          <w:trHeight w:val="300"/>
        </w:trPr>
        <w:tc>
          <w:tcPr>
            <w:tcW w:w="6300" w:type="dxa"/>
            <w:tcBorders>
              <w:top w:val="nil"/>
              <w:left w:val="nil"/>
              <w:bottom w:val="nil"/>
              <w:right w:val="nil"/>
            </w:tcBorders>
            <w:noWrap/>
            <w:vAlign w:val="bottom"/>
          </w:tcPr>
          <w:p w14:paraId="33AF505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Garcinia kola </w:t>
            </w:r>
            <w:r w:rsidRPr="00EB5A06">
              <w:rPr>
                <w:rFonts w:ascii="Times New Roman" w:eastAsia="Times New Roman" w:hAnsi="Times New Roman" w:cs="Times New Roman"/>
                <w:color w:val="000000"/>
                <w:sz w:val="24"/>
                <w:szCs w:val="24"/>
                <w:lang w:eastAsia="fr-FR"/>
              </w:rPr>
              <w:t>Heckel</w:t>
            </w:r>
          </w:p>
        </w:tc>
        <w:tc>
          <w:tcPr>
            <w:tcW w:w="3100" w:type="dxa"/>
            <w:tcBorders>
              <w:top w:val="nil"/>
              <w:left w:val="nil"/>
              <w:bottom w:val="nil"/>
              <w:right w:val="nil"/>
            </w:tcBorders>
            <w:noWrap/>
            <w:vAlign w:val="bottom"/>
          </w:tcPr>
          <w:p w14:paraId="67AADD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Clusiaceae</w:t>
            </w:r>
          </w:p>
        </w:tc>
      </w:tr>
      <w:tr w:rsidR="00790627" w:rsidRPr="00B21DF7" w14:paraId="35460D4C" w14:textId="77777777" w:rsidTr="00256E62">
        <w:trPr>
          <w:trHeight w:val="300"/>
        </w:trPr>
        <w:tc>
          <w:tcPr>
            <w:tcW w:w="6300" w:type="dxa"/>
            <w:tcBorders>
              <w:top w:val="nil"/>
              <w:left w:val="nil"/>
              <w:bottom w:val="nil"/>
              <w:right w:val="nil"/>
            </w:tcBorders>
            <w:noWrap/>
            <w:vAlign w:val="bottom"/>
          </w:tcPr>
          <w:p w14:paraId="2CAB927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Strephonema pseudo-cola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D1EE50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00ED79FF" w14:textId="77777777" w:rsidTr="00256E62">
        <w:trPr>
          <w:trHeight w:val="300"/>
        </w:trPr>
        <w:tc>
          <w:tcPr>
            <w:tcW w:w="6300" w:type="dxa"/>
            <w:tcBorders>
              <w:top w:val="nil"/>
              <w:left w:val="nil"/>
              <w:bottom w:val="nil"/>
              <w:right w:val="nil"/>
            </w:tcBorders>
            <w:noWrap/>
            <w:vAlign w:val="bottom"/>
          </w:tcPr>
          <w:p w14:paraId="5B78F3D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Terminalia ivorensis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A2ECFF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3083773F" w14:textId="77777777" w:rsidTr="00256E62">
        <w:trPr>
          <w:trHeight w:val="300"/>
        </w:trPr>
        <w:tc>
          <w:tcPr>
            <w:tcW w:w="6300" w:type="dxa"/>
            <w:tcBorders>
              <w:top w:val="nil"/>
              <w:left w:val="nil"/>
              <w:bottom w:val="nil"/>
              <w:right w:val="nil"/>
            </w:tcBorders>
            <w:noWrap/>
            <w:vAlign w:val="bottom"/>
          </w:tcPr>
          <w:p w14:paraId="316DECC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comosum </w:t>
            </w:r>
            <w:r w:rsidRPr="00EB5A06">
              <w:rPr>
                <w:rFonts w:ascii="Times New Roman" w:eastAsia="Times New Roman" w:hAnsi="Times New Roman" w:cs="Times New Roman"/>
                <w:color w:val="000000"/>
                <w:sz w:val="24"/>
                <w:szCs w:val="24"/>
                <w:lang w:eastAsia="fr-FR"/>
              </w:rPr>
              <w:t>G. Do</w:t>
            </w:r>
          </w:p>
        </w:tc>
        <w:tc>
          <w:tcPr>
            <w:tcW w:w="3100" w:type="dxa"/>
            <w:tcBorders>
              <w:top w:val="nil"/>
              <w:left w:val="nil"/>
              <w:bottom w:val="nil"/>
              <w:right w:val="nil"/>
            </w:tcBorders>
            <w:vAlign w:val="bottom"/>
          </w:tcPr>
          <w:p w14:paraId="612055A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3CBBABE5" w14:textId="77777777" w:rsidTr="00256E62">
        <w:trPr>
          <w:trHeight w:val="300"/>
        </w:trPr>
        <w:tc>
          <w:tcPr>
            <w:tcW w:w="6300" w:type="dxa"/>
            <w:tcBorders>
              <w:top w:val="nil"/>
              <w:left w:val="nil"/>
              <w:bottom w:val="nil"/>
              <w:right w:val="nil"/>
            </w:tcBorders>
            <w:noWrap/>
            <w:vAlign w:val="bottom"/>
          </w:tcPr>
          <w:p w14:paraId="3E8280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tarquense </w:t>
            </w:r>
            <w:r w:rsidRPr="00EB5A06">
              <w:rPr>
                <w:rFonts w:ascii="Times New Roman" w:eastAsia="Times New Roman" w:hAnsi="Times New Roman" w:cs="Times New Roman"/>
                <w:color w:val="000000"/>
                <w:sz w:val="24"/>
                <w:szCs w:val="24"/>
                <w:lang w:eastAsia="fr-FR"/>
              </w:rPr>
              <w:t>Clark</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2F7F2BA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0FA94608" w14:textId="77777777" w:rsidTr="00256E62">
        <w:trPr>
          <w:trHeight w:val="300"/>
        </w:trPr>
        <w:tc>
          <w:tcPr>
            <w:tcW w:w="6300" w:type="dxa"/>
            <w:tcBorders>
              <w:top w:val="nil"/>
              <w:left w:val="nil"/>
              <w:bottom w:val="nil"/>
              <w:right w:val="nil"/>
            </w:tcBorders>
            <w:noWrap/>
            <w:vAlign w:val="bottom"/>
          </w:tcPr>
          <w:p w14:paraId="06BE496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Neuropeltis prevosteoides </w:t>
            </w:r>
            <w:r w:rsidRPr="009C2AE9">
              <w:rPr>
                <w:rFonts w:ascii="Times New Roman" w:eastAsia="Times New Roman" w:hAnsi="Times New Roman" w:cs="Times New Roman"/>
                <w:color w:val="000000"/>
                <w:sz w:val="24"/>
                <w:szCs w:val="24"/>
                <w:lang w:eastAsia="fr-FR"/>
              </w:rPr>
              <w:t>Mangenot</w:t>
            </w:r>
          </w:p>
        </w:tc>
        <w:tc>
          <w:tcPr>
            <w:tcW w:w="3100" w:type="dxa"/>
            <w:tcBorders>
              <w:top w:val="nil"/>
              <w:left w:val="nil"/>
              <w:bottom w:val="nil"/>
              <w:right w:val="nil"/>
            </w:tcBorders>
            <w:noWrap/>
            <w:vAlign w:val="bottom"/>
          </w:tcPr>
          <w:p w14:paraId="4D13E79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Convolvulaceae</w:t>
            </w:r>
          </w:p>
        </w:tc>
      </w:tr>
      <w:tr w:rsidR="00790627" w:rsidRPr="00B21DF7" w14:paraId="7022473B" w14:textId="77777777" w:rsidTr="00256E62">
        <w:trPr>
          <w:trHeight w:val="300"/>
        </w:trPr>
        <w:tc>
          <w:tcPr>
            <w:tcW w:w="6300" w:type="dxa"/>
            <w:tcBorders>
              <w:top w:val="nil"/>
              <w:left w:val="nil"/>
              <w:bottom w:val="nil"/>
              <w:right w:val="nil"/>
            </w:tcBorders>
            <w:noWrap/>
            <w:vAlign w:val="bottom"/>
          </w:tcPr>
          <w:p w14:paraId="6BF06C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Cordia platythyrsa </w:t>
            </w:r>
            <w:r w:rsidRPr="009C2AE9">
              <w:rPr>
                <w:rFonts w:ascii="Times New Roman" w:eastAsia="Times New Roman" w:hAnsi="Times New Roman" w:cs="Times New Roman"/>
                <w:color w:val="000000"/>
                <w:sz w:val="24"/>
                <w:szCs w:val="24"/>
                <w:lang w:eastAsia="fr-FR"/>
              </w:rPr>
              <w:t xml:space="preserve">Baker </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01713C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Cordiaceae</w:t>
            </w:r>
          </w:p>
        </w:tc>
      </w:tr>
      <w:tr w:rsidR="00790627" w:rsidRPr="00B21DF7" w14:paraId="3115E170" w14:textId="77777777" w:rsidTr="00256E62">
        <w:trPr>
          <w:trHeight w:val="300"/>
        </w:trPr>
        <w:tc>
          <w:tcPr>
            <w:tcW w:w="6300" w:type="dxa"/>
            <w:tcBorders>
              <w:top w:val="nil"/>
              <w:left w:val="nil"/>
              <w:bottom w:val="nil"/>
              <w:right w:val="nil"/>
            </w:tcBorders>
            <w:noWrap/>
            <w:vAlign w:val="bottom"/>
          </w:tcPr>
          <w:p w14:paraId="6E13A1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Dichapetalum albidum </w:t>
            </w:r>
            <w:r w:rsidRPr="009C2AE9">
              <w:rPr>
                <w:rFonts w:ascii="Times New Roman" w:eastAsia="Times New Roman" w:hAnsi="Times New Roman" w:cs="Times New Roman"/>
                <w:color w:val="000000"/>
                <w:sz w:val="24"/>
                <w:szCs w:val="24"/>
                <w:lang w:eastAsia="fr-FR"/>
              </w:rPr>
              <w:t xml:space="preserve">Chev. </w:t>
            </w:r>
            <w:proofErr w:type="gramStart"/>
            <w:r w:rsidRPr="009C2AE9">
              <w:rPr>
                <w:rFonts w:ascii="Times New Roman" w:eastAsia="Times New Roman" w:hAnsi="Times New Roman" w:cs="Times New Roman"/>
                <w:color w:val="000000"/>
                <w:sz w:val="24"/>
                <w:szCs w:val="24"/>
                <w:lang w:eastAsia="fr-FR"/>
              </w:rPr>
              <w:t>ex</w:t>
            </w:r>
            <w:proofErr w:type="gramEnd"/>
            <w:r w:rsidRPr="009C2AE9">
              <w:rPr>
                <w:rFonts w:ascii="Times New Roman" w:eastAsia="Times New Roman" w:hAnsi="Times New Roman" w:cs="Times New Roman"/>
                <w:color w:val="000000"/>
                <w:sz w:val="24"/>
                <w:szCs w:val="24"/>
                <w:lang w:eastAsia="fr-FR"/>
              </w:rPr>
              <w:t xml:space="preserve"> Pellegr.</w:t>
            </w:r>
          </w:p>
        </w:tc>
        <w:tc>
          <w:tcPr>
            <w:tcW w:w="3100" w:type="dxa"/>
            <w:tcBorders>
              <w:top w:val="nil"/>
              <w:left w:val="nil"/>
              <w:bottom w:val="nil"/>
              <w:right w:val="nil"/>
            </w:tcBorders>
            <w:noWrap/>
            <w:vAlign w:val="bottom"/>
          </w:tcPr>
          <w:p w14:paraId="022DC61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75122B72" w14:textId="77777777" w:rsidTr="00256E62">
        <w:trPr>
          <w:trHeight w:val="300"/>
        </w:trPr>
        <w:tc>
          <w:tcPr>
            <w:tcW w:w="6300" w:type="dxa"/>
            <w:tcBorders>
              <w:top w:val="nil"/>
              <w:left w:val="nil"/>
              <w:bottom w:val="nil"/>
              <w:right w:val="nil"/>
            </w:tcBorders>
            <w:noWrap/>
            <w:vAlign w:val="bottom"/>
          </w:tcPr>
          <w:p w14:paraId="2F76412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Dichapetalum toxicarium </w:t>
            </w:r>
            <w:r w:rsidRPr="009C2AE9">
              <w:rPr>
                <w:rFonts w:ascii="Times New Roman" w:eastAsia="Times New Roman" w:hAnsi="Times New Roman" w:cs="Times New Roman"/>
                <w:color w:val="000000"/>
                <w:sz w:val="24"/>
                <w:szCs w:val="24"/>
                <w:lang w:val="en-GB" w:eastAsia="fr-FR"/>
              </w:rPr>
              <w:t>(G. Don) Baill.</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66AF7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59FBB5E6" w14:textId="77777777" w:rsidTr="00256E62">
        <w:trPr>
          <w:trHeight w:val="300"/>
        </w:trPr>
        <w:tc>
          <w:tcPr>
            <w:tcW w:w="6300" w:type="dxa"/>
            <w:tcBorders>
              <w:top w:val="nil"/>
              <w:left w:val="nil"/>
              <w:bottom w:val="nil"/>
              <w:right w:val="nil"/>
            </w:tcBorders>
            <w:noWrap/>
            <w:vAlign w:val="bottom"/>
          </w:tcPr>
          <w:p w14:paraId="5519AB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Diospyros vignei </w:t>
            </w:r>
            <w:r w:rsidRPr="009C2AE9">
              <w:rPr>
                <w:rFonts w:ascii="Times New Roman" w:eastAsia="Times New Roman" w:hAnsi="Times New Roman" w:cs="Times New Roman"/>
                <w:color w:val="000000"/>
                <w:sz w:val="24"/>
                <w:szCs w:val="24"/>
                <w:lang w:eastAsia="fr-FR"/>
              </w:rPr>
              <w:t>F. White</w:t>
            </w:r>
          </w:p>
        </w:tc>
        <w:tc>
          <w:tcPr>
            <w:tcW w:w="3100" w:type="dxa"/>
            <w:tcBorders>
              <w:top w:val="nil"/>
              <w:left w:val="nil"/>
              <w:bottom w:val="nil"/>
              <w:right w:val="nil"/>
            </w:tcBorders>
            <w:noWrap/>
            <w:vAlign w:val="bottom"/>
          </w:tcPr>
          <w:p w14:paraId="54D712D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Ebenaceae</w:t>
            </w:r>
          </w:p>
        </w:tc>
      </w:tr>
      <w:tr w:rsidR="00790627" w:rsidRPr="00B21DF7" w14:paraId="3D1C4256" w14:textId="77777777" w:rsidTr="00256E62">
        <w:trPr>
          <w:trHeight w:val="300"/>
        </w:trPr>
        <w:tc>
          <w:tcPr>
            <w:tcW w:w="6300" w:type="dxa"/>
            <w:tcBorders>
              <w:top w:val="nil"/>
              <w:left w:val="nil"/>
              <w:bottom w:val="nil"/>
              <w:right w:val="nil"/>
            </w:tcBorders>
            <w:noWrap/>
            <w:vAlign w:val="bottom"/>
          </w:tcPr>
          <w:p w14:paraId="287E1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Afzelia bella </w:t>
            </w:r>
            <w:r w:rsidRPr="009C2AE9">
              <w:rPr>
                <w:rFonts w:ascii="Times New Roman" w:eastAsia="Times New Roman" w:hAnsi="Times New Roman" w:cs="Times New Roman"/>
                <w:color w:val="000000"/>
                <w:sz w:val="24"/>
                <w:szCs w:val="24"/>
                <w:lang w:eastAsia="fr-FR"/>
              </w:rPr>
              <w:t>Harms</w:t>
            </w:r>
          </w:p>
        </w:tc>
        <w:tc>
          <w:tcPr>
            <w:tcW w:w="3100" w:type="dxa"/>
            <w:tcBorders>
              <w:top w:val="nil"/>
              <w:left w:val="nil"/>
              <w:bottom w:val="nil"/>
              <w:right w:val="nil"/>
            </w:tcBorders>
            <w:vAlign w:val="bottom"/>
          </w:tcPr>
          <w:p w14:paraId="094F2A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22BF681B" w14:textId="77777777" w:rsidTr="00256E62">
        <w:trPr>
          <w:trHeight w:val="300"/>
        </w:trPr>
        <w:tc>
          <w:tcPr>
            <w:tcW w:w="6300" w:type="dxa"/>
            <w:tcBorders>
              <w:top w:val="nil"/>
              <w:left w:val="nil"/>
              <w:bottom w:val="nil"/>
              <w:right w:val="nil"/>
            </w:tcBorders>
            <w:noWrap/>
            <w:vAlign w:val="bottom"/>
          </w:tcPr>
          <w:p w14:paraId="0029BE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Albizia dinklagei </w:t>
            </w:r>
            <w:r w:rsidRPr="009C2AE9">
              <w:rPr>
                <w:rFonts w:ascii="Times New Roman" w:eastAsia="Times New Roman" w:hAnsi="Times New Roman" w:cs="Times New Roman"/>
                <w:color w:val="000000"/>
                <w:sz w:val="24"/>
                <w:szCs w:val="24"/>
                <w:lang w:eastAsia="fr-FR"/>
              </w:rPr>
              <w:t>(Harms) Harms</w:t>
            </w:r>
          </w:p>
        </w:tc>
        <w:tc>
          <w:tcPr>
            <w:tcW w:w="3100" w:type="dxa"/>
            <w:tcBorders>
              <w:top w:val="nil"/>
              <w:left w:val="nil"/>
              <w:bottom w:val="nil"/>
              <w:right w:val="nil"/>
            </w:tcBorders>
            <w:vAlign w:val="bottom"/>
          </w:tcPr>
          <w:p w14:paraId="5C8984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41A835D1" w14:textId="77777777" w:rsidTr="00256E62">
        <w:trPr>
          <w:trHeight w:val="300"/>
        </w:trPr>
        <w:tc>
          <w:tcPr>
            <w:tcW w:w="6300" w:type="dxa"/>
            <w:tcBorders>
              <w:top w:val="nil"/>
              <w:left w:val="nil"/>
              <w:bottom w:val="nil"/>
              <w:right w:val="nil"/>
            </w:tcBorders>
            <w:noWrap/>
            <w:vAlign w:val="bottom"/>
          </w:tcPr>
          <w:p w14:paraId="24098A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Aubrevillea platycarpa </w:t>
            </w:r>
            <w:r w:rsidRPr="009C2AE9">
              <w:rPr>
                <w:rFonts w:ascii="Times New Roman" w:eastAsia="Times New Roman" w:hAnsi="Times New Roman" w:cs="Times New Roman"/>
                <w:color w:val="000000"/>
                <w:sz w:val="24"/>
                <w:szCs w:val="24"/>
                <w:lang w:eastAsia="fr-FR"/>
              </w:rPr>
              <w:t>Pellegr.</w:t>
            </w:r>
          </w:p>
        </w:tc>
        <w:tc>
          <w:tcPr>
            <w:tcW w:w="3100" w:type="dxa"/>
            <w:tcBorders>
              <w:top w:val="nil"/>
              <w:left w:val="nil"/>
              <w:bottom w:val="nil"/>
              <w:right w:val="nil"/>
            </w:tcBorders>
            <w:vAlign w:val="bottom"/>
          </w:tcPr>
          <w:p w14:paraId="1D0AC80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062043EC" w14:textId="77777777" w:rsidTr="00256E62">
        <w:trPr>
          <w:trHeight w:val="300"/>
        </w:trPr>
        <w:tc>
          <w:tcPr>
            <w:tcW w:w="6300" w:type="dxa"/>
            <w:tcBorders>
              <w:top w:val="nil"/>
              <w:left w:val="nil"/>
              <w:bottom w:val="nil"/>
              <w:right w:val="nil"/>
            </w:tcBorders>
            <w:noWrap/>
            <w:vAlign w:val="bottom"/>
          </w:tcPr>
          <w:p w14:paraId="6D2570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Berlinia occidentalis</w:t>
            </w:r>
            <w:r w:rsidRPr="009C2AE9">
              <w:rPr>
                <w:rFonts w:ascii="Times New Roman" w:eastAsia="Times New Roman" w:hAnsi="Times New Roman" w:cs="Times New Roman"/>
                <w:color w:val="000000"/>
                <w:sz w:val="24"/>
                <w:szCs w:val="24"/>
                <w:lang w:eastAsia="fr-FR"/>
              </w:rPr>
              <w:t xml:space="preserve"> Keay</w:t>
            </w:r>
          </w:p>
        </w:tc>
        <w:tc>
          <w:tcPr>
            <w:tcW w:w="3100" w:type="dxa"/>
            <w:tcBorders>
              <w:top w:val="nil"/>
              <w:left w:val="nil"/>
              <w:bottom w:val="nil"/>
              <w:right w:val="nil"/>
            </w:tcBorders>
            <w:noWrap/>
            <w:vAlign w:val="bottom"/>
          </w:tcPr>
          <w:p w14:paraId="504BC70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35FA973" w14:textId="77777777" w:rsidTr="00256E62">
        <w:trPr>
          <w:trHeight w:val="300"/>
        </w:trPr>
        <w:tc>
          <w:tcPr>
            <w:tcW w:w="6300" w:type="dxa"/>
            <w:tcBorders>
              <w:top w:val="nil"/>
              <w:left w:val="nil"/>
              <w:bottom w:val="nil"/>
              <w:right w:val="nil"/>
            </w:tcBorders>
            <w:noWrap/>
            <w:vAlign w:val="bottom"/>
          </w:tcPr>
          <w:p w14:paraId="1EDA746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Berlinia tomentella </w:t>
            </w:r>
            <w:r w:rsidRPr="009C2AE9">
              <w:rPr>
                <w:rFonts w:ascii="Times New Roman" w:eastAsia="Times New Roman" w:hAnsi="Times New Roman" w:cs="Times New Roman"/>
                <w:color w:val="000000"/>
                <w:sz w:val="24"/>
                <w:szCs w:val="24"/>
                <w:lang w:eastAsia="fr-FR"/>
              </w:rPr>
              <w:t>Kea</w:t>
            </w:r>
            <w:r w:rsidR="009C2AE9" w:rsidRPr="009C2AE9">
              <w:rPr>
                <w:rFonts w:ascii="Times New Roman" w:eastAsia="Times New Roman" w:hAnsi="Times New Roman" w:cs="Times New Roman"/>
                <w:color w:val="000000"/>
                <w:sz w:val="24"/>
                <w:szCs w:val="24"/>
                <w:lang w:eastAsia="fr-FR"/>
              </w:rPr>
              <w:t>y</w:t>
            </w:r>
          </w:p>
        </w:tc>
        <w:tc>
          <w:tcPr>
            <w:tcW w:w="3100" w:type="dxa"/>
            <w:tcBorders>
              <w:top w:val="nil"/>
              <w:left w:val="nil"/>
              <w:bottom w:val="nil"/>
              <w:right w:val="nil"/>
            </w:tcBorders>
            <w:vAlign w:val="bottom"/>
          </w:tcPr>
          <w:p w14:paraId="3DB13C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75E6B0BE" w14:textId="77777777" w:rsidTr="00256E62">
        <w:trPr>
          <w:trHeight w:val="300"/>
        </w:trPr>
        <w:tc>
          <w:tcPr>
            <w:tcW w:w="6300" w:type="dxa"/>
            <w:tcBorders>
              <w:top w:val="nil"/>
              <w:left w:val="nil"/>
              <w:bottom w:val="nil"/>
              <w:right w:val="nil"/>
            </w:tcBorders>
            <w:noWrap/>
            <w:vAlign w:val="bottom"/>
          </w:tcPr>
          <w:p w14:paraId="17F485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Dalbergia oblongifolia </w:t>
            </w:r>
            <w:r w:rsidRPr="009C2AE9">
              <w:rPr>
                <w:rFonts w:ascii="Times New Roman" w:eastAsia="Times New Roman" w:hAnsi="Times New Roman" w:cs="Times New Roman"/>
                <w:color w:val="000000"/>
                <w:sz w:val="24"/>
                <w:szCs w:val="24"/>
                <w:lang w:eastAsia="fr-FR"/>
              </w:rPr>
              <w:t>G. Don</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1ABA3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65402F6E" w14:textId="77777777" w:rsidTr="00256E62">
        <w:trPr>
          <w:trHeight w:val="300"/>
        </w:trPr>
        <w:tc>
          <w:tcPr>
            <w:tcW w:w="6300" w:type="dxa"/>
            <w:tcBorders>
              <w:top w:val="nil"/>
              <w:left w:val="nil"/>
              <w:bottom w:val="nil"/>
              <w:right w:val="nil"/>
            </w:tcBorders>
            <w:noWrap/>
            <w:vAlign w:val="bottom"/>
          </w:tcPr>
          <w:p w14:paraId="2E176EB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Daniellia thurifera </w:t>
            </w:r>
            <w:r w:rsidRPr="009C2AE9">
              <w:rPr>
                <w:rFonts w:ascii="Times New Roman" w:eastAsia="Times New Roman" w:hAnsi="Times New Roman" w:cs="Times New Roman"/>
                <w:color w:val="000000"/>
                <w:sz w:val="24"/>
                <w:szCs w:val="24"/>
                <w:lang w:eastAsia="fr-FR"/>
              </w:rPr>
              <w:t>Benn.</w:t>
            </w:r>
          </w:p>
        </w:tc>
        <w:tc>
          <w:tcPr>
            <w:tcW w:w="3100" w:type="dxa"/>
            <w:tcBorders>
              <w:top w:val="nil"/>
              <w:left w:val="nil"/>
              <w:bottom w:val="nil"/>
              <w:right w:val="nil"/>
            </w:tcBorders>
            <w:noWrap/>
            <w:vAlign w:val="bottom"/>
          </w:tcPr>
          <w:p w14:paraId="53FE7E4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1EE40BDF" w14:textId="77777777" w:rsidTr="00256E62">
        <w:trPr>
          <w:trHeight w:val="300"/>
        </w:trPr>
        <w:tc>
          <w:tcPr>
            <w:tcW w:w="6300" w:type="dxa"/>
            <w:tcBorders>
              <w:top w:val="nil"/>
              <w:left w:val="nil"/>
              <w:bottom w:val="nil"/>
              <w:right w:val="nil"/>
            </w:tcBorders>
            <w:noWrap/>
            <w:vAlign w:val="bottom"/>
          </w:tcPr>
          <w:p w14:paraId="6A687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Leptoderris miegei </w:t>
            </w:r>
            <w:r w:rsidRPr="009C2AE9">
              <w:rPr>
                <w:rFonts w:ascii="Times New Roman" w:eastAsia="Times New Roman" w:hAnsi="Times New Roman" w:cs="Times New Roman"/>
                <w:color w:val="000000"/>
                <w:sz w:val="24"/>
                <w:szCs w:val="24"/>
                <w:lang w:eastAsia="fr-FR"/>
              </w:rPr>
              <w:t>Aké Assi &amp; Mangenot</w:t>
            </w:r>
          </w:p>
        </w:tc>
        <w:tc>
          <w:tcPr>
            <w:tcW w:w="3100" w:type="dxa"/>
            <w:tcBorders>
              <w:top w:val="nil"/>
              <w:left w:val="nil"/>
              <w:bottom w:val="nil"/>
              <w:right w:val="nil"/>
            </w:tcBorders>
            <w:noWrap/>
            <w:vAlign w:val="bottom"/>
          </w:tcPr>
          <w:p w14:paraId="44E4F6F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9346925" w14:textId="77777777" w:rsidTr="00256E62">
        <w:trPr>
          <w:trHeight w:val="300"/>
        </w:trPr>
        <w:tc>
          <w:tcPr>
            <w:tcW w:w="6300" w:type="dxa"/>
            <w:tcBorders>
              <w:top w:val="nil"/>
              <w:left w:val="nil"/>
              <w:bottom w:val="nil"/>
              <w:right w:val="nil"/>
            </w:tcBorders>
            <w:noWrap/>
            <w:vAlign w:val="bottom"/>
          </w:tcPr>
          <w:p w14:paraId="2DA83A3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Millettia lane-poolei </w:t>
            </w:r>
            <w:r w:rsidRPr="009C2AE9">
              <w:rPr>
                <w:rFonts w:ascii="Times New Roman" w:eastAsia="Times New Roman" w:hAnsi="Times New Roman" w:cs="Times New Roman"/>
                <w:color w:val="000000"/>
                <w:sz w:val="24"/>
                <w:szCs w:val="24"/>
                <w:lang w:eastAsia="fr-FR"/>
              </w:rPr>
              <w:t>Dunn</w:t>
            </w:r>
          </w:p>
        </w:tc>
        <w:tc>
          <w:tcPr>
            <w:tcW w:w="3100" w:type="dxa"/>
            <w:tcBorders>
              <w:top w:val="nil"/>
              <w:left w:val="nil"/>
              <w:bottom w:val="nil"/>
              <w:right w:val="nil"/>
            </w:tcBorders>
            <w:noWrap/>
            <w:vAlign w:val="bottom"/>
          </w:tcPr>
          <w:p w14:paraId="29CD04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09B26E5" w14:textId="77777777" w:rsidTr="00256E62">
        <w:trPr>
          <w:trHeight w:val="300"/>
        </w:trPr>
        <w:tc>
          <w:tcPr>
            <w:tcW w:w="6300" w:type="dxa"/>
            <w:tcBorders>
              <w:top w:val="nil"/>
              <w:left w:val="nil"/>
              <w:bottom w:val="nil"/>
              <w:right w:val="nil"/>
            </w:tcBorders>
            <w:noWrap/>
            <w:vAlign w:val="bottom"/>
          </w:tcPr>
          <w:p w14:paraId="2AB274B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Platysepalum hirsutum </w:t>
            </w:r>
            <w:r w:rsidRPr="009C2AE9">
              <w:rPr>
                <w:rFonts w:ascii="Times New Roman" w:eastAsia="Times New Roman" w:hAnsi="Times New Roman" w:cs="Times New Roman"/>
                <w:color w:val="000000"/>
                <w:sz w:val="24"/>
                <w:szCs w:val="24"/>
                <w:lang w:eastAsia="fr-FR"/>
              </w:rPr>
              <w:t>(Dunn) Hepper</w:t>
            </w:r>
          </w:p>
        </w:tc>
        <w:tc>
          <w:tcPr>
            <w:tcW w:w="3100" w:type="dxa"/>
            <w:tcBorders>
              <w:top w:val="nil"/>
              <w:left w:val="nil"/>
              <w:bottom w:val="nil"/>
              <w:right w:val="nil"/>
            </w:tcBorders>
            <w:noWrap/>
            <w:vAlign w:val="bottom"/>
          </w:tcPr>
          <w:p w14:paraId="1B33E31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417949B" w14:textId="77777777" w:rsidTr="00256E62">
        <w:trPr>
          <w:trHeight w:val="300"/>
        </w:trPr>
        <w:tc>
          <w:tcPr>
            <w:tcW w:w="6300" w:type="dxa"/>
            <w:tcBorders>
              <w:top w:val="nil"/>
              <w:left w:val="nil"/>
              <w:bottom w:val="nil"/>
              <w:right w:val="nil"/>
            </w:tcBorders>
            <w:noWrap/>
            <w:vAlign w:val="bottom"/>
          </w:tcPr>
          <w:p w14:paraId="4B2FF4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Caloncoba brevipes </w:t>
            </w:r>
            <w:r w:rsidRPr="009C2AE9">
              <w:rPr>
                <w:rFonts w:ascii="Times New Roman" w:eastAsia="Times New Roman" w:hAnsi="Times New Roman" w:cs="Times New Roman"/>
                <w:color w:val="000000"/>
                <w:sz w:val="24"/>
                <w:szCs w:val="24"/>
                <w:lang w:eastAsia="fr-FR"/>
              </w:rPr>
              <w:t>(Stapf)</w:t>
            </w:r>
          </w:p>
        </w:tc>
        <w:tc>
          <w:tcPr>
            <w:tcW w:w="3100" w:type="dxa"/>
            <w:tcBorders>
              <w:top w:val="nil"/>
              <w:left w:val="nil"/>
              <w:bottom w:val="nil"/>
              <w:right w:val="nil"/>
            </w:tcBorders>
            <w:vAlign w:val="bottom"/>
          </w:tcPr>
          <w:p w14:paraId="09C7E1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4F85F5EE" w14:textId="77777777" w:rsidTr="00256E62">
        <w:trPr>
          <w:trHeight w:val="300"/>
        </w:trPr>
        <w:tc>
          <w:tcPr>
            <w:tcW w:w="6300" w:type="dxa"/>
            <w:tcBorders>
              <w:top w:val="nil"/>
              <w:left w:val="nil"/>
              <w:bottom w:val="nil"/>
              <w:right w:val="nil"/>
            </w:tcBorders>
            <w:noWrap/>
            <w:vAlign w:val="bottom"/>
          </w:tcPr>
          <w:p w14:paraId="27ACDCC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Caloncoba echinata </w:t>
            </w:r>
            <w:r w:rsidRPr="009C2AE9">
              <w:rPr>
                <w:rFonts w:ascii="Times New Roman" w:eastAsia="Times New Roman" w:hAnsi="Times New Roman" w:cs="Times New Roman"/>
                <w:color w:val="000000"/>
                <w:sz w:val="24"/>
                <w:szCs w:val="24"/>
                <w:lang w:eastAsia="fr-FR"/>
              </w:rPr>
              <w:t>(Oliv.)</w:t>
            </w:r>
          </w:p>
        </w:tc>
        <w:tc>
          <w:tcPr>
            <w:tcW w:w="3100" w:type="dxa"/>
            <w:tcBorders>
              <w:top w:val="nil"/>
              <w:left w:val="nil"/>
              <w:bottom w:val="nil"/>
              <w:right w:val="nil"/>
            </w:tcBorders>
            <w:vAlign w:val="bottom"/>
          </w:tcPr>
          <w:p w14:paraId="2D9F33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1FB42C63" w14:textId="77777777" w:rsidTr="00256E62">
        <w:trPr>
          <w:trHeight w:val="300"/>
        </w:trPr>
        <w:tc>
          <w:tcPr>
            <w:tcW w:w="6300" w:type="dxa"/>
            <w:tcBorders>
              <w:top w:val="nil"/>
              <w:left w:val="nil"/>
              <w:bottom w:val="nil"/>
              <w:right w:val="nil"/>
            </w:tcBorders>
            <w:noWrap/>
            <w:vAlign w:val="bottom"/>
          </w:tcPr>
          <w:p w14:paraId="613890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Anthocleista nobilis </w:t>
            </w:r>
            <w:r w:rsidRPr="009C2AE9">
              <w:rPr>
                <w:rFonts w:ascii="Times New Roman" w:eastAsia="Times New Roman" w:hAnsi="Times New Roman" w:cs="Times New Roman"/>
                <w:color w:val="000000"/>
                <w:sz w:val="24"/>
                <w:szCs w:val="24"/>
                <w:lang w:eastAsia="fr-FR"/>
              </w:rPr>
              <w:t>G. Don</w:t>
            </w:r>
          </w:p>
        </w:tc>
        <w:tc>
          <w:tcPr>
            <w:tcW w:w="3100" w:type="dxa"/>
            <w:tcBorders>
              <w:top w:val="nil"/>
              <w:left w:val="nil"/>
              <w:bottom w:val="nil"/>
              <w:right w:val="nil"/>
            </w:tcBorders>
            <w:vAlign w:val="bottom"/>
          </w:tcPr>
          <w:p w14:paraId="521C389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Gentianaceae</w:t>
            </w:r>
          </w:p>
        </w:tc>
      </w:tr>
      <w:tr w:rsidR="00790627" w:rsidRPr="00B21DF7" w14:paraId="5DD46BC9" w14:textId="77777777" w:rsidTr="00256E62">
        <w:trPr>
          <w:trHeight w:val="300"/>
        </w:trPr>
        <w:tc>
          <w:tcPr>
            <w:tcW w:w="6300" w:type="dxa"/>
            <w:tcBorders>
              <w:top w:val="nil"/>
              <w:left w:val="nil"/>
              <w:bottom w:val="nil"/>
              <w:right w:val="nil"/>
            </w:tcBorders>
            <w:noWrap/>
            <w:vAlign w:val="bottom"/>
          </w:tcPr>
          <w:p w14:paraId="5E178D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Cola caricifolia </w:t>
            </w:r>
            <w:r w:rsidRPr="009C2AE9">
              <w:rPr>
                <w:rFonts w:ascii="Times New Roman" w:eastAsia="Times New Roman" w:hAnsi="Times New Roman" w:cs="Times New Roman"/>
                <w:color w:val="000000"/>
                <w:sz w:val="24"/>
                <w:szCs w:val="24"/>
                <w:lang w:eastAsia="fr-FR"/>
              </w:rPr>
              <w:t>(G. Don.) K. Schum</w:t>
            </w:r>
          </w:p>
        </w:tc>
        <w:tc>
          <w:tcPr>
            <w:tcW w:w="3100" w:type="dxa"/>
            <w:tcBorders>
              <w:top w:val="nil"/>
              <w:left w:val="nil"/>
              <w:bottom w:val="nil"/>
              <w:right w:val="nil"/>
            </w:tcBorders>
            <w:vAlign w:val="bottom"/>
          </w:tcPr>
          <w:p w14:paraId="489D83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2E13B484" w14:textId="77777777" w:rsidTr="00256E62">
        <w:trPr>
          <w:trHeight w:val="300"/>
        </w:trPr>
        <w:tc>
          <w:tcPr>
            <w:tcW w:w="6300" w:type="dxa"/>
            <w:tcBorders>
              <w:top w:val="nil"/>
              <w:left w:val="nil"/>
              <w:bottom w:val="nil"/>
              <w:right w:val="nil"/>
            </w:tcBorders>
            <w:noWrap/>
            <w:vAlign w:val="bottom"/>
          </w:tcPr>
          <w:p w14:paraId="3937F4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Nesogordonia papaverifera </w:t>
            </w:r>
            <w:r w:rsidRPr="009C2AE9">
              <w:rPr>
                <w:rFonts w:ascii="Times New Roman" w:eastAsia="Times New Roman" w:hAnsi="Times New Roman" w:cs="Times New Roman"/>
                <w:color w:val="000000"/>
                <w:sz w:val="24"/>
                <w:szCs w:val="24"/>
                <w:lang w:eastAsia="fr-FR"/>
              </w:rPr>
              <w:t>(</w:t>
            </w:r>
            <w:proofErr w:type="gramStart"/>
            <w:r w:rsidRPr="009C2AE9">
              <w:rPr>
                <w:rFonts w:ascii="Times New Roman" w:eastAsia="Times New Roman" w:hAnsi="Times New Roman" w:cs="Times New Roman"/>
                <w:color w:val="000000"/>
                <w:sz w:val="24"/>
                <w:szCs w:val="24"/>
                <w:lang w:eastAsia="fr-FR"/>
              </w:rPr>
              <w:t>A.Chev</w:t>
            </w:r>
            <w:proofErr w:type="gramEnd"/>
            <w:r w:rsidRPr="009C2AE9">
              <w:rPr>
                <w:rFonts w:ascii="Times New Roman" w:eastAsia="Times New Roman" w:hAnsi="Times New Roman" w:cs="Times New Roman"/>
                <w:color w:val="000000"/>
                <w:sz w:val="24"/>
                <w:szCs w:val="24"/>
                <w:lang w:eastAsia="fr-FR"/>
              </w:rPr>
              <w:t>.) Capuron ex N. Hallé</w:t>
            </w:r>
          </w:p>
        </w:tc>
        <w:tc>
          <w:tcPr>
            <w:tcW w:w="3100" w:type="dxa"/>
            <w:tcBorders>
              <w:top w:val="nil"/>
              <w:left w:val="nil"/>
              <w:bottom w:val="nil"/>
              <w:right w:val="nil"/>
            </w:tcBorders>
            <w:noWrap/>
            <w:vAlign w:val="bottom"/>
          </w:tcPr>
          <w:p w14:paraId="32B392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4DE6FAA8" w14:textId="77777777" w:rsidTr="00256E62">
        <w:trPr>
          <w:trHeight w:val="300"/>
        </w:trPr>
        <w:tc>
          <w:tcPr>
            <w:tcW w:w="6300" w:type="dxa"/>
            <w:tcBorders>
              <w:top w:val="nil"/>
              <w:left w:val="nil"/>
              <w:bottom w:val="nil"/>
              <w:right w:val="nil"/>
            </w:tcBorders>
            <w:noWrap/>
            <w:vAlign w:val="bottom"/>
          </w:tcPr>
          <w:p w14:paraId="4500F0F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Pterygota macrocarpa </w:t>
            </w:r>
            <w:r w:rsidRPr="009C2AE9">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noWrap/>
            <w:vAlign w:val="bottom"/>
          </w:tcPr>
          <w:p w14:paraId="5028F2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B7CBDF2" w14:textId="77777777" w:rsidTr="00256E62">
        <w:trPr>
          <w:trHeight w:val="300"/>
        </w:trPr>
        <w:tc>
          <w:tcPr>
            <w:tcW w:w="6300" w:type="dxa"/>
            <w:tcBorders>
              <w:top w:val="nil"/>
              <w:left w:val="nil"/>
              <w:bottom w:val="nil"/>
              <w:right w:val="nil"/>
            </w:tcBorders>
            <w:noWrap/>
            <w:vAlign w:val="bottom"/>
          </w:tcPr>
          <w:p w14:paraId="312AD83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Sterculia oblonga </w:t>
            </w:r>
            <w:r w:rsidRPr="009C2AE9">
              <w:rPr>
                <w:rFonts w:ascii="Times New Roman" w:eastAsia="Times New Roman" w:hAnsi="Times New Roman" w:cs="Times New Roman"/>
                <w:color w:val="000000"/>
                <w:sz w:val="24"/>
                <w:szCs w:val="24"/>
                <w:lang w:eastAsia="fr-FR"/>
              </w:rPr>
              <w:t>Mast.</w:t>
            </w:r>
          </w:p>
        </w:tc>
        <w:tc>
          <w:tcPr>
            <w:tcW w:w="3100" w:type="dxa"/>
            <w:tcBorders>
              <w:top w:val="nil"/>
              <w:left w:val="nil"/>
              <w:bottom w:val="nil"/>
              <w:right w:val="nil"/>
            </w:tcBorders>
            <w:noWrap/>
            <w:vAlign w:val="bottom"/>
          </w:tcPr>
          <w:p w14:paraId="53B4D5D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444254C" w14:textId="77777777" w:rsidTr="00256E62">
        <w:trPr>
          <w:trHeight w:val="300"/>
        </w:trPr>
        <w:tc>
          <w:tcPr>
            <w:tcW w:w="6300" w:type="dxa"/>
            <w:tcBorders>
              <w:top w:val="nil"/>
              <w:left w:val="nil"/>
              <w:bottom w:val="nil"/>
              <w:right w:val="nil"/>
            </w:tcBorders>
            <w:noWrap/>
            <w:vAlign w:val="bottom"/>
          </w:tcPr>
          <w:p w14:paraId="5B8FDE2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Tristemma coronatum </w:t>
            </w:r>
            <w:r w:rsidRPr="009C2AE9">
              <w:rPr>
                <w:rFonts w:ascii="Times New Roman" w:eastAsia="Times New Roman" w:hAnsi="Times New Roman" w:cs="Times New Roman"/>
                <w:color w:val="000000"/>
                <w:sz w:val="24"/>
                <w:szCs w:val="24"/>
                <w:lang w:eastAsia="fr-FR"/>
              </w:rPr>
              <w:t>Benth.</w:t>
            </w:r>
          </w:p>
        </w:tc>
        <w:tc>
          <w:tcPr>
            <w:tcW w:w="3100" w:type="dxa"/>
            <w:tcBorders>
              <w:top w:val="nil"/>
              <w:left w:val="nil"/>
              <w:bottom w:val="nil"/>
              <w:right w:val="nil"/>
            </w:tcBorders>
            <w:noWrap/>
            <w:vAlign w:val="bottom"/>
          </w:tcPr>
          <w:p w14:paraId="3949837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Melastomataceae</w:t>
            </w:r>
          </w:p>
        </w:tc>
      </w:tr>
      <w:tr w:rsidR="00790627" w:rsidRPr="00B21DF7" w14:paraId="0C3C3C7E" w14:textId="77777777" w:rsidTr="00256E62">
        <w:trPr>
          <w:trHeight w:val="300"/>
        </w:trPr>
        <w:tc>
          <w:tcPr>
            <w:tcW w:w="6300" w:type="dxa"/>
            <w:tcBorders>
              <w:top w:val="nil"/>
              <w:left w:val="nil"/>
              <w:bottom w:val="nil"/>
              <w:right w:val="nil"/>
            </w:tcBorders>
            <w:noWrap/>
            <w:vAlign w:val="bottom"/>
          </w:tcPr>
          <w:p w14:paraId="5557A4A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Entandrophragma angolense </w:t>
            </w:r>
            <w:r w:rsidRPr="009C2AE9">
              <w:rPr>
                <w:rFonts w:ascii="Times New Roman" w:eastAsia="Times New Roman" w:hAnsi="Times New Roman" w:cs="Times New Roman"/>
                <w:color w:val="000000"/>
                <w:sz w:val="24"/>
                <w:szCs w:val="24"/>
                <w:lang w:eastAsia="fr-FR"/>
              </w:rPr>
              <w:t>(Welw.) C. DC.</w:t>
            </w:r>
          </w:p>
        </w:tc>
        <w:tc>
          <w:tcPr>
            <w:tcW w:w="3100" w:type="dxa"/>
            <w:tcBorders>
              <w:top w:val="nil"/>
              <w:left w:val="nil"/>
              <w:bottom w:val="nil"/>
              <w:right w:val="nil"/>
            </w:tcBorders>
            <w:noWrap/>
            <w:vAlign w:val="bottom"/>
          </w:tcPr>
          <w:p w14:paraId="1E53B46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7C7AACB9" w14:textId="77777777" w:rsidTr="00256E62">
        <w:trPr>
          <w:trHeight w:val="300"/>
        </w:trPr>
        <w:tc>
          <w:tcPr>
            <w:tcW w:w="6300" w:type="dxa"/>
            <w:tcBorders>
              <w:top w:val="nil"/>
              <w:left w:val="nil"/>
              <w:bottom w:val="nil"/>
              <w:right w:val="nil"/>
            </w:tcBorders>
            <w:noWrap/>
            <w:vAlign w:val="bottom"/>
          </w:tcPr>
          <w:p w14:paraId="7DE971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candollei </w:t>
            </w:r>
            <w:r w:rsidRPr="009C2AE9">
              <w:rPr>
                <w:rFonts w:ascii="Times New Roman" w:eastAsia="Times New Roman" w:hAnsi="Times New Roman" w:cs="Times New Roman"/>
                <w:color w:val="000000"/>
                <w:sz w:val="24"/>
                <w:szCs w:val="24"/>
                <w:lang w:eastAsia="fr-FR"/>
              </w:rPr>
              <w:t xml:space="preserve">Harms </w:t>
            </w:r>
          </w:p>
        </w:tc>
        <w:tc>
          <w:tcPr>
            <w:tcW w:w="3100" w:type="dxa"/>
            <w:tcBorders>
              <w:top w:val="nil"/>
              <w:left w:val="nil"/>
              <w:bottom w:val="nil"/>
              <w:right w:val="nil"/>
            </w:tcBorders>
            <w:noWrap/>
            <w:vAlign w:val="bottom"/>
          </w:tcPr>
          <w:p w14:paraId="7FABCA3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F1B34FF" w14:textId="77777777" w:rsidTr="00256E62">
        <w:trPr>
          <w:trHeight w:val="300"/>
        </w:trPr>
        <w:tc>
          <w:tcPr>
            <w:tcW w:w="6300" w:type="dxa"/>
            <w:tcBorders>
              <w:top w:val="nil"/>
              <w:left w:val="nil"/>
              <w:bottom w:val="nil"/>
              <w:right w:val="nil"/>
            </w:tcBorders>
            <w:noWrap/>
            <w:vAlign w:val="bottom"/>
          </w:tcPr>
          <w:p w14:paraId="09412D5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utile </w:t>
            </w:r>
            <w:r w:rsidRPr="009C2AE9">
              <w:rPr>
                <w:rFonts w:ascii="Times New Roman" w:eastAsia="Times New Roman" w:hAnsi="Times New Roman" w:cs="Times New Roman"/>
                <w:color w:val="000000"/>
                <w:sz w:val="24"/>
                <w:szCs w:val="24"/>
                <w:lang w:eastAsia="fr-FR"/>
              </w:rPr>
              <w:t>(Dawe &amp; Sprague)</w:t>
            </w:r>
          </w:p>
        </w:tc>
        <w:tc>
          <w:tcPr>
            <w:tcW w:w="3100" w:type="dxa"/>
            <w:tcBorders>
              <w:top w:val="nil"/>
              <w:left w:val="nil"/>
              <w:bottom w:val="nil"/>
              <w:right w:val="nil"/>
            </w:tcBorders>
            <w:noWrap/>
            <w:vAlign w:val="bottom"/>
          </w:tcPr>
          <w:p w14:paraId="24745CD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43CE20AF" w14:textId="77777777" w:rsidTr="00256E62">
        <w:trPr>
          <w:trHeight w:val="300"/>
        </w:trPr>
        <w:tc>
          <w:tcPr>
            <w:tcW w:w="6300" w:type="dxa"/>
            <w:tcBorders>
              <w:top w:val="nil"/>
              <w:left w:val="nil"/>
              <w:bottom w:val="nil"/>
              <w:right w:val="nil"/>
            </w:tcBorders>
            <w:noWrap/>
            <w:vAlign w:val="bottom"/>
          </w:tcPr>
          <w:p w14:paraId="71CCE2A4" w14:textId="77777777" w:rsidR="00790627" w:rsidRPr="00B21DF7" w:rsidRDefault="00790627" w:rsidP="00256E62">
            <w:pPr>
              <w:spacing w:after="0" w:line="360" w:lineRule="auto"/>
              <w:jc w:val="both"/>
              <w:rPr>
                <w:rFonts w:ascii="Times New Roman" w:eastAsia="Times New Roman" w:hAnsi="Times New Roman" w:cs="Times New Roman"/>
                <w:color w:val="000000"/>
                <w:sz w:val="24"/>
                <w:szCs w:val="24"/>
                <w:lang w:eastAsia="fr-FR"/>
              </w:rPr>
            </w:pPr>
            <w:r w:rsidRPr="00B21DF7">
              <w:rPr>
                <w:rFonts w:ascii="Times New Roman" w:eastAsia="Times New Roman" w:hAnsi="Times New Roman" w:cs="Times New Roman"/>
                <w:color w:val="000000"/>
                <w:sz w:val="24"/>
                <w:szCs w:val="24"/>
                <w:lang w:eastAsia="fr-FR"/>
              </w:rPr>
              <w:t xml:space="preserve">Khaya ivorensis </w:t>
            </w:r>
            <w:r w:rsidRPr="009C2AE9">
              <w:rPr>
                <w:rFonts w:ascii="Times New Roman" w:eastAsia="Times New Roman" w:hAnsi="Times New Roman" w:cs="Times New Roman"/>
                <w:i/>
                <w:color w:val="000000"/>
                <w:sz w:val="24"/>
                <w:szCs w:val="24"/>
                <w:lang w:eastAsia="fr-FR"/>
              </w:rPr>
              <w:t>A. Chev.</w:t>
            </w:r>
          </w:p>
        </w:tc>
        <w:tc>
          <w:tcPr>
            <w:tcW w:w="3100" w:type="dxa"/>
            <w:tcBorders>
              <w:top w:val="nil"/>
              <w:left w:val="nil"/>
              <w:bottom w:val="nil"/>
              <w:right w:val="nil"/>
            </w:tcBorders>
            <w:noWrap/>
            <w:vAlign w:val="bottom"/>
          </w:tcPr>
          <w:p w14:paraId="5C1F9CC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17DAE38" w14:textId="77777777" w:rsidTr="00256E62">
        <w:trPr>
          <w:trHeight w:val="300"/>
        </w:trPr>
        <w:tc>
          <w:tcPr>
            <w:tcW w:w="6300" w:type="dxa"/>
            <w:tcBorders>
              <w:top w:val="nil"/>
              <w:left w:val="nil"/>
              <w:bottom w:val="nil"/>
              <w:right w:val="nil"/>
            </w:tcBorders>
            <w:noWrap/>
            <w:vAlign w:val="bottom"/>
          </w:tcPr>
          <w:p w14:paraId="55C8C1B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Leplaea cedrata </w:t>
            </w:r>
            <w:r w:rsidRPr="009C2AE9">
              <w:rPr>
                <w:rFonts w:ascii="Times New Roman" w:eastAsia="Times New Roman" w:hAnsi="Times New Roman" w:cs="Times New Roman"/>
                <w:color w:val="000000"/>
                <w:sz w:val="24"/>
                <w:szCs w:val="24"/>
                <w:lang w:val="en-GB" w:eastAsia="fr-FR"/>
              </w:rPr>
              <w:t>(A. Chev.) E. J. M. Koenen</w:t>
            </w:r>
            <w:r w:rsidRPr="00B21DF7">
              <w:rPr>
                <w:rFonts w:ascii="Times New Roman" w:eastAsia="Times New Roman" w:hAnsi="Times New Roman" w:cs="Times New Roman"/>
                <w:i/>
                <w:color w:val="000000"/>
                <w:sz w:val="24"/>
                <w:szCs w:val="24"/>
                <w:lang w:val="en-GB" w:eastAsia="fr-FR"/>
              </w:rPr>
              <w:t xml:space="preserve"> </w:t>
            </w:r>
            <w:r w:rsidRPr="009C2AE9">
              <w:rPr>
                <w:rFonts w:ascii="Times New Roman" w:eastAsia="Times New Roman" w:hAnsi="Times New Roman" w:cs="Times New Roman"/>
                <w:color w:val="000000"/>
                <w:sz w:val="24"/>
                <w:szCs w:val="24"/>
                <w:lang w:val="en-GB" w:eastAsia="fr-FR"/>
              </w:rPr>
              <w:t>&amp; J. J. de Wilde</w:t>
            </w:r>
          </w:p>
        </w:tc>
        <w:tc>
          <w:tcPr>
            <w:tcW w:w="3100" w:type="dxa"/>
            <w:tcBorders>
              <w:top w:val="nil"/>
              <w:left w:val="nil"/>
              <w:bottom w:val="nil"/>
              <w:right w:val="nil"/>
            </w:tcBorders>
            <w:noWrap/>
            <w:vAlign w:val="bottom"/>
          </w:tcPr>
          <w:p w14:paraId="11BCC27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C43D145" w14:textId="77777777" w:rsidTr="00256E62">
        <w:trPr>
          <w:trHeight w:val="300"/>
        </w:trPr>
        <w:tc>
          <w:tcPr>
            <w:tcW w:w="6300" w:type="dxa"/>
            <w:tcBorders>
              <w:top w:val="nil"/>
              <w:left w:val="nil"/>
              <w:bottom w:val="nil"/>
              <w:right w:val="nil"/>
            </w:tcBorders>
            <w:noWrap/>
            <w:vAlign w:val="bottom"/>
          </w:tcPr>
          <w:p w14:paraId="1D91636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Turraea heterophylla </w:t>
            </w:r>
            <w:r w:rsidRPr="009C2AE9">
              <w:rPr>
                <w:rFonts w:ascii="Times New Roman" w:eastAsia="Times New Roman" w:hAnsi="Times New Roman" w:cs="Times New Roman"/>
                <w:color w:val="000000"/>
                <w:sz w:val="24"/>
                <w:szCs w:val="24"/>
                <w:lang w:eastAsia="fr-FR"/>
              </w:rPr>
              <w:t>Sm.</w:t>
            </w:r>
          </w:p>
        </w:tc>
        <w:tc>
          <w:tcPr>
            <w:tcW w:w="3100" w:type="dxa"/>
            <w:tcBorders>
              <w:top w:val="nil"/>
              <w:left w:val="nil"/>
              <w:bottom w:val="nil"/>
              <w:right w:val="nil"/>
            </w:tcBorders>
            <w:noWrap/>
            <w:vAlign w:val="bottom"/>
          </w:tcPr>
          <w:p w14:paraId="6D9F1DB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A14E75E" w14:textId="77777777" w:rsidTr="00256E62">
        <w:trPr>
          <w:trHeight w:val="300"/>
        </w:trPr>
        <w:tc>
          <w:tcPr>
            <w:tcW w:w="6300" w:type="dxa"/>
            <w:tcBorders>
              <w:top w:val="nil"/>
              <w:left w:val="nil"/>
              <w:bottom w:val="nil"/>
              <w:right w:val="nil"/>
            </w:tcBorders>
            <w:noWrap/>
            <w:vAlign w:val="bottom"/>
          </w:tcPr>
          <w:p w14:paraId="20C00B2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dinklagei </w:t>
            </w:r>
            <w:r w:rsidRPr="009C2AE9">
              <w:rPr>
                <w:rFonts w:ascii="Times New Roman" w:eastAsia="Times New Roman" w:hAnsi="Times New Roman" w:cs="Times New Roman"/>
                <w:color w:val="000000"/>
                <w:sz w:val="24"/>
                <w:szCs w:val="24"/>
                <w:lang w:eastAsia="fr-FR"/>
              </w:rPr>
              <w:t>Engl.</w:t>
            </w:r>
          </w:p>
        </w:tc>
        <w:tc>
          <w:tcPr>
            <w:tcW w:w="3100" w:type="dxa"/>
            <w:tcBorders>
              <w:top w:val="nil"/>
              <w:left w:val="nil"/>
              <w:bottom w:val="nil"/>
              <w:right w:val="nil"/>
            </w:tcBorders>
            <w:noWrap/>
            <w:vAlign w:val="bottom"/>
          </w:tcPr>
          <w:p w14:paraId="02797F4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5072CA76" w14:textId="77777777" w:rsidTr="00256E62">
        <w:trPr>
          <w:trHeight w:val="300"/>
        </w:trPr>
        <w:tc>
          <w:tcPr>
            <w:tcW w:w="6300" w:type="dxa"/>
            <w:tcBorders>
              <w:top w:val="nil"/>
              <w:left w:val="nil"/>
              <w:bottom w:val="nil"/>
              <w:right w:val="nil"/>
            </w:tcBorders>
            <w:noWrap/>
            <w:vAlign w:val="bottom"/>
          </w:tcPr>
          <w:p w14:paraId="5EFCBE7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leonensis </w:t>
            </w:r>
            <w:r w:rsidRPr="009C2AE9">
              <w:rPr>
                <w:rFonts w:ascii="Times New Roman" w:eastAsia="Times New Roman" w:hAnsi="Times New Roman" w:cs="Times New Roman"/>
                <w:color w:val="000000"/>
                <w:sz w:val="24"/>
                <w:szCs w:val="24"/>
                <w:lang w:eastAsia="fr-FR"/>
              </w:rPr>
              <w:t>(Scott Elliot) Diels</w:t>
            </w:r>
          </w:p>
        </w:tc>
        <w:tc>
          <w:tcPr>
            <w:tcW w:w="3100" w:type="dxa"/>
            <w:tcBorders>
              <w:top w:val="nil"/>
              <w:left w:val="nil"/>
              <w:bottom w:val="nil"/>
              <w:right w:val="nil"/>
            </w:tcBorders>
            <w:noWrap/>
            <w:vAlign w:val="bottom"/>
          </w:tcPr>
          <w:p w14:paraId="2122D5D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73DA7728" w14:textId="77777777" w:rsidTr="00256E62">
        <w:trPr>
          <w:trHeight w:val="300"/>
        </w:trPr>
        <w:tc>
          <w:tcPr>
            <w:tcW w:w="6300" w:type="dxa"/>
            <w:tcBorders>
              <w:top w:val="nil"/>
              <w:left w:val="nil"/>
              <w:bottom w:val="nil"/>
              <w:right w:val="nil"/>
            </w:tcBorders>
            <w:noWrap/>
            <w:vAlign w:val="bottom"/>
          </w:tcPr>
          <w:p w14:paraId="5ECDE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excelsa </w:t>
            </w:r>
            <w:r w:rsidRPr="009C2AE9">
              <w:rPr>
                <w:rFonts w:ascii="Times New Roman" w:eastAsia="Times New Roman" w:hAnsi="Times New Roman" w:cs="Times New Roman"/>
                <w:color w:val="000000"/>
                <w:sz w:val="24"/>
                <w:szCs w:val="24"/>
                <w:lang w:eastAsia="fr-FR"/>
              </w:rPr>
              <w:t>(Welw.) C. C. Berg</w:t>
            </w:r>
          </w:p>
        </w:tc>
        <w:tc>
          <w:tcPr>
            <w:tcW w:w="3100" w:type="dxa"/>
            <w:tcBorders>
              <w:top w:val="nil"/>
              <w:left w:val="nil"/>
              <w:bottom w:val="nil"/>
              <w:right w:val="nil"/>
            </w:tcBorders>
            <w:noWrap/>
            <w:vAlign w:val="bottom"/>
          </w:tcPr>
          <w:p w14:paraId="1C5E972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22CE7628" w14:textId="77777777" w:rsidTr="00256E62">
        <w:trPr>
          <w:trHeight w:val="300"/>
        </w:trPr>
        <w:tc>
          <w:tcPr>
            <w:tcW w:w="6300" w:type="dxa"/>
            <w:tcBorders>
              <w:top w:val="nil"/>
              <w:left w:val="nil"/>
              <w:bottom w:val="nil"/>
              <w:right w:val="nil"/>
            </w:tcBorders>
            <w:noWrap/>
            <w:vAlign w:val="bottom"/>
          </w:tcPr>
          <w:p w14:paraId="1F1A23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regia </w:t>
            </w:r>
            <w:r w:rsidRPr="009C2AE9">
              <w:rPr>
                <w:rFonts w:ascii="Times New Roman" w:eastAsia="Times New Roman" w:hAnsi="Times New Roman" w:cs="Times New Roman"/>
                <w:color w:val="000000"/>
                <w:sz w:val="24"/>
                <w:szCs w:val="24"/>
                <w:lang w:eastAsia="fr-FR"/>
              </w:rPr>
              <w:t>(A. Chev.) C. C. Berg</w:t>
            </w:r>
          </w:p>
        </w:tc>
        <w:tc>
          <w:tcPr>
            <w:tcW w:w="3100" w:type="dxa"/>
            <w:tcBorders>
              <w:top w:val="nil"/>
              <w:left w:val="nil"/>
              <w:bottom w:val="nil"/>
              <w:right w:val="nil"/>
            </w:tcBorders>
            <w:noWrap/>
            <w:vAlign w:val="bottom"/>
          </w:tcPr>
          <w:p w14:paraId="48C759D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139BE77E" w14:textId="77777777" w:rsidTr="00256E62">
        <w:trPr>
          <w:trHeight w:val="300"/>
        </w:trPr>
        <w:tc>
          <w:tcPr>
            <w:tcW w:w="6300" w:type="dxa"/>
            <w:tcBorders>
              <w:top w:val="nil"/>
              <w:left w:val="nil"/>
              <w:bottom w:val="nil"/>
              <w:right w:val="nil"/>
            </w:tcBorders>
            <w:noWrap/>
            <w:vAlign w:val="bottom"/>
          </w:tcPr>
          <w:p w14:paraId="6597A95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Eugenia leonensis </w:t>
            </w:r>
            <w:r w:rsidRPr="009C2AE9">
              <w:rPr>
                <w:rFonts w:ascii="Times New Roman" w:eastAsia="Times New Roman" w:hAnsi="Times New Roman" w:cs="Times New Roman"/>
                <w:color w:val="000000"/>
                <w:sz w:val="24"/>
                <w:szCs w:val="24"/>
                <w:lang w:eastAsia="fr-FR"/>
              </w:rPr>
              <w:t>Engl. &amp; Brehmer</w:t>
            </w:r>
          </w:p>
        </w:tc>
        <w:tc>
          <w:tcPr>
            <w:tcW w:w="3100" w:type="dxa"/>
            <w:tcBorders>
              <w:top w:val="nil"/>
              <w:left w:val="nil"/>
              <w:bottom w:val="nil"/>
              <w:right w:val="nil"/>
            </w:tcBorders>
            <w:noWrap/>
            <w:vAlign w:val="bottom"/>
          </w:tcPr>
          <w:p w14:paraId="064802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Myrtaceae</w:t>
            </w:r>
          </w:p>
        </w:tc>
      </w:tr>
      <w:tr w:rsidR="00790627" w:rsidRPr="00B21DF7" w14:paraId="32CE153C" w14:textId="77777777" w:rsidTr="00256E62">
        <w:trPr>
          <w:trHeight w:val="300"/>
        </w:trPr>
        <w:tc>
          <w:tcPr>
            <w:tcW w:w="6300" w:type="dxa"/>
            <w:tcBorders>
              <w:top w:val="nil"/>
              <w:left w:val="nil"/>
              <w:bottom w:val="nil"/>
              <w:right w:val="nil"/>
            </w:tcBorders>
            <w:noWrap/>
            <w:vAlign w:val="bottom"/>
          </w:tcPr>
          <w:p w14:paraId="5F0C802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Rivina humilis </w:t>
            </w:r>
            <w:r w:rsidRPr="009C2AE9">
              <w:rPr>
                <w:rFonts w:ascii="Times New Roman" w:eastAsia="Times New Roman" w:hAnsi="Times New Roman" w:cs="Times New Roman"/>
                <w:color w:val="000000"/>
                <w:sz w:val="24"/>
                <w:szCs w:val="24"/>
                <w:lang w:eastAsia="fr-FR"/>
              </w:rPr>
              <w:t>L</w:t>
            </w:r>
            <w:r w:rsidR="009C2AE9">
              <w:rPr>
                <w:rFonts w:ascii="Times New Roman" w:eastAsia="Times New Roman" w:hAnsi="Times New Roman" w:cs="Times New Roman"/>
                <w:color w:val="000000"/>
                <w:sz w:val="24"/>
                <w:szCs w:val="24"/>
                <w:lang w:eastAsia="fr-FR"/>
              </w:rPr>
              <w:t>.</w:t>
            </w:r>
          </w:p>
        </w:tc>
        <w:tc>
          <w:tcPr>
            <w:tcW w:w="3100" w:type="dxa"/>
            <w:tcBorders>
              <w:top w:val="nil"/>
              <w:left w:val="nil"/>
              <w:bottom w:val="nil"/>
              <w:right w:val="nil"/>
            </w:tcBorders>
            <w:noWrap/>
            <w:vAlign w:val="bottom"/>
          </w:tcPr>
          <w:p w14:paraId="7D9E09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Phytolaccaceae</w:t>
            </w:r>
          </w:p>
        </w:tc>
      </w:tr>
      <w:tr w:rsidR="00790627" w:rsidRPr="00B21DF7" w14:paraId="2D376D5A" w14:textId="77777777" w:rsidTr="00256E62">
        <w:trPr>
          <w:trHeight w:val="300"/>
        </w:trPr>
        <w:tc>
          <w:tcPr>
            <w:tcW w:w="6300" w:type="dxa"/>
            <w:tcBorders>
              <w:top w:val="nil"/>
              <w:left w:val="nil"/>
              <w:bottom w:val="nil"/>
              <w:right w:val="nil"/>
            </w:tcBorders>
            <w:noWrap/>
            <w:vAlign w:val="bottom"/>
          </w:tcPr>
          <w:p w14:paraId="27116CA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Rubus fellatae </w:t>
            </w:r>
            <w:r w:rsidRPr="009C2AE9">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6281EB9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Rosaceae</w:t>
            </w:r>
          </w:p>
        </w:tc>
      </w:tr>
      <w:tr w:rsidR="00790627" w:rsidRPr="00B21DF7" w14:paraId="7F0086DF" w14:textId="77777777" w:rsidTr="00256E62">
        <w:trPr>
          <w:trHeight w:val="300"/>
        </w:trPr>
        <w:tc>
          <w:tcPr>
            <w:tcW w:w="6300" w:type="dxa"/>
            <w:tcBorders>
              <w:top w:val="nil"/>
              <w:left w:val="nil"/>
              <w:bottom w:val="nil"/>
              <w:right w:val="nil"/>
            </w:tcBorders>
            <w:noWrap/>
            <w:vAlign w:val="bottom"/>
          </w:tcPr>
          <w:p w14:paraId="426ACE5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Chassalia kolly </w:t>
            </w:r>
            <w:r w:rsidRPr="009C2AE9">
              <w:rPr>
                <w:rFonts w:ascii="Times New Roman" w:eastAsia="Times New Roman" w:hAnsi="Times New Roman" w:cs="Times New Roman"/>
                <w:color w:val="000000"/>
                <w:sz w:val="24"/>
                <w:szCs w:val="24"/>
                <w:lang w:eastAsia="fr-FR"/>
              </w:rPr>
              <w:t>(Schumach.)</w:t>
            </w:r>
          </w:p>
        </w:tc>
        <w:tc>
          <w:tcPr>
            <w:tcW w:w="3100" w:type="dxa"/>
            <w:tcBorders>
              <w:top w:val="nil"/>
              <w:left w:val="nil"/>
              <w:bottom w:val="nil"/>
              <w:right w:val="nil"/>
            </w:tcBorders>
            <w:vAlign w:val="bottom"/>
          </w:tcPr>
          <w:p w14:paraId="167AC5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316F6B28" w14:textId="77777777" w:rsidTr="00256E62">
        <w:trPr>
          <w:trHeight w:val="300"/>
        </w:trPr>
        <w:tc>
          <w:tcPr>
            <w:tcW w:w="6300" w:type="dxa"/>
            <w:tcBorders>
              <w:top w:val="nil"/>
              <w:left w:val="nil"/>
              <w:bottom w:val="nil"/>
              <w:right w:val="nil"/>
            </w:tcBorders>
            <w:noWrap/>
            <w:vAlign w:val="bottom"/>
          </w:tcPr>
          <w:p w14:paraId="524327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Pavetta akeassii </w:t>
            </w:r>
            <w:r w:rsidRPr="009C2AE9">
              <w:rPr>
                <w:rFonts w:ascii="Times New Roman" w:eastAsia="Times New Roman" w:hAnsi="Times New Roman" w:cs="Times New Roman"/>
                <w:color w:val="000000"/>
                <w:sz w:val="24"/>
                <w:szCs w:val="24"/>
                <w:lang w:val="en-GB" w:eastAsia="fr-FR"/>
              </w:rPr>
              <w:t>J. B. Hall</w:t>
            </w:r>
          </w:p>
        </w:tc>
        <w:tc>
          <w:tcPr>
            <w:tcW w:w="3100" w:type="dxa"/>
            <w:tcBorders>
              <w:top w:val="nil"/>
              <w:left w:val="nil"/>
              <w:bottom w:val="nil"/>
              <w:right w:val="nil"/>
            </w:tcBorders>
            <w:noWrap/>
            <w:vAlign w:val="bottom"/>
          </w:tcPr>
          <w:p w14:paraId="754D4C2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28E73084" w14:textId="77777777" w:rsidTr="00256E62">
        <w:trPr>
          <w:trHeight w:val="300"/>
        </w:trPr>
        <w:tc>
          <w:tcPr>
            <w:tcW w:w="6300" w:type="dxa"/>
            <w:tcBorders>
              <w:top w:val="nil"/>
              <w:left w:val="nil"/>
              <w:bottom w:val="nil"/>
              <w:right w:val="nil"/>
            </w:tcBorders>
            <w:noWrap/>
            <w:vAlign w:val="bottom"/>
          </w:tcPr>
          <w:p w14:paraId="1A6EA2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Zanthoxylum gilletii </w:t>
            </w:r>
            <w:r w:rsidRPr="009C2AE9">
              <w:rPr>
                <w:rFonts w:ascii="Times New Roman" w:eastAsia="Times New Roman" w:hAnsi="Times New Roman" w:cs="Times New Roman"/>
                <w:color w:val="000000"/>
                <w:sz w:val="24"/>
                <w:szCs w:val="24"/>
                <w:lang w:val="en-GB" w:eastAsia="fr-FR"/>
              </w:rPr>
              <w:t>(De Wild.) P. G. Waterman</w:t>
            </w:r>
          </w:p>
        </w:tc>
        <w:tc>
          <w:tcPr>
            <w:tcW w:w="3100" w:type="dxa"/>
            <w:tcBorders>
              <w:top w:val="nil"/>
              <w:left w:val="nil"/>
              <w:bottom w:val="nil"/>
              <w:right w:val="nil"/>
            </w:tcBorders>
            <w:noWrap/>
            <w:vAlign w:val="bottom"/>
          </w:tcPr>
          <w:p w14:paraId="214D2D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14A54287" w14:textId="77777777" w:rsidTr="00256E62">
        <w:trPr>
          <w:trHeight w:val="300"/>
        </w:trPr>
        <w:tc>
          <w:tcPr>
            <w:tcW w:w="6300" w:type="dxa"/>
            <w:tcBorders>
              <w:top w:val="nil"/>
              <w:left w:val="nil"/>
              <w:bottom w:val="nil"/>
              <w:right w:val="nil"/>
            </w:tcBorders>
            <w:noWrap/>
            <w:vAlign w:val="bottom"/>
          </w:tcPr>
          <w:p w14:paraId="483D0ED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Zanthoxylum mezoneurispinosum </w:t>
            </w:r>
            <w:r w:rsidRPr="009C2AE9">
              <w:rPr>
                <w:rFonts w:ascii="Times New Roman" w:eastAsia="Times New Roman" w:hAnsi="Times New Roman" w:cs="Times New Roman"/>
                <w:color w:val="000000"/>
                <w:sz w:val="24"/>
                <w:szCs w:val="24"/>
                <w:lang w:eastAsia="fr-FR"/>
              </w:rPr>
              <w:t>(Aké Assi) W. D. Hawth.</w:t>
            </w:r>
          </w:p>
        </w:tc>
        <w:tc>
          <w:tcPr>
            <w:tcW w:w="3100" w:type="dxa"/>
            <w:tcBorders>
              <w:top w:val="nil"/>
              <w:left w:val="nil"/>
              <w:bottom w:val="nil"/>
              <w:right w:val="nil"/>
            </w:tcBorders>
            <w:noWrap/>
            <w:vAlign w:val="bottom"/>
          </w:tcPr>
          <w:p w14:paraId="69704F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325C5097" w14:textId="77777777" w:rsidTr="00256E62">
        <w:trPr>
          <w:trHeight w:val="300"/>
        </w:trPr>
        <w:tc>
          <w:tcPr>
            <w:tcW w:w="6300" w:type="dxa"/>
            <w:tcBorders>
              <w:top w:val="nil"/>
              <w:left w:val="nil"/>
              <w:bottom w:val="nil"/>
              <w:right w:val="nil"/>
            </w:tcBorders>
            <w:noWrap/>
            <w:vAlign w:val="bottom"/>
          </w:tcPr>
          <w:p w14:paraId="22F5F4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Inhambanella guereensis </w:t>
            </w:r>
            <w:r w:rsidRPr="004D686D">
              <w:rPr>
                <w:rFonts w:ascii="Times New Roman" w:eastAsia="Times New Roman" w:hAnsi="Times New Roman" w:cs="Times New Roman"/>
                <w:color w:val="000000"/>
                <w:sz w:val="24"/>
                <w:szCs w:val="24"/>
                <w:lang w:eastAsia="fr-FR"/>
              </w:rPr>
              <w:t>(Aubrév. &amp; Pellegr.) T. D. Penn</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50B7B30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71E23AF9" w14:textId="77777777" w:rsidTr="004D686D">
        <w:trPr>
          <w:trHeight w:val="300"/>
        </w:trPr>
        <w:tc>
          <w:tcPr>
            <w:tcW w:w="6300" w:type="dxa"/>
            <w:tcBorders>
              <w:top w:val="nil"/>
              <w:left w:val="nil"/>
              <w:right w:val="nil"/>
            </w:tcBorders>
            <w:noWrap/>
            <w:vAlign w:val="bottom"/>
          </w:tcPr>
          <w:p w14:paraId="1A8C6F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 xml:space="preserve">Tieghemella heckelii </w:t>
            </w:r>
            <w:r w:rsidRPr="004D686D">
              <w:rPr>
                <w:rFonts w:ascii="Times New Roman" w:eastAsia="Times New Roman" w:hAnsi="Times New Roman" w:cs="Times New Roman"/>
                <w:color w:val="000000"/>
                <w:sz w:val="24"/>
                <w:szCs w:val="24"/>
                <w:lang w:eastAsia="fr-FR"/>
              </w:rPr>
              <w:t>(A. Chev.) Pierre ex Dubard</w:t>
            </w:r>
          </w:p>
        </w:tc>
        <w:tc>
          <w:tcPr>
            <w:tcW w:w="3100" w:type="dxa"/>
            <w:tcBorders>
              <w:top w:val="nil"/>
              <w:left w:val="nil"/>
              <w:bottom w:val="nil"/>
              <w:right w:val="nil"/>
            </w:tcBorders>
            <w:noWrap/>
            <w:vAlign w:val="bottom"/>
          </w:tcPr>
          <w:p w14:paraId="188CF00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42EB8330" w14:textId="77777777" w:rsidTr="004D686D">
        <w:trPr>
          <w:trHeight w:val="300"/>
        </w:trPr>
        <w:tc>
          <w:tcPr>
            <w:tcW w:w="6300" w:type="dxa"/>
            <w:tcBorders>
              <w:top w:val="nil"/>
              <w:left w:val="nil"/>
              <w:right w:val="nil"/>
            </w:tcBorders>
            <w:noWrap/>
            <w:vAlign w:val="bottom"/>
          </w:tcPr>
          <w:p w14:paraId="0EFD66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Vitellaria paradoxa </w:t>
            </w:r>
            <w:r w:rsidRPr="004D686D">
              <w:rPr>
                <w:rFonts w:ascii="Times New Roman" w:eastAsia="Times New Roman" w:hAnsi="Times New Roman" w:cs="Times New Roman"/>
                <w:color w:val="000000"/>
                <w:sz w:val="24"/>
                <w:szCs w:val="24"/>
                <w:lang w:eastAsia="fr-FR"/>
              </w:rPr>
              <w:t>C. F. Gaertn.</w:t>
            </w:r>
          </w:p>
        </w:tc>
        <w:tc>
          <w:tcPr>
            <w:tcW w:w="3100" w:type="dxa"/>
            <w:tcBorders>
              <w:top w:val="nil"/>
              <w:left w:val="nil"/>
              <w:bottom w:val="nil"/>
              <w:right w:val="nil"/>
            </w:tcBorders>
            <w:noWrap/>
            <w:vAlign w:val="bottom"/>
          </w:tcPr>
          <w:p w14:paraId="2A48B8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640FCA57" w14:textId="77777777" w:rsidTr="004D686D">
        <w:trPr>
          <w:trHeight w:val="300"/>
        </w:trPr>
        <w:tc>
          <w:tcPr>
            <w:tcW w:w="6300" w:type="dxa"/>
            <w:tcBorders>
              <w:left w:val="nil"/>
              <w:bottom w:val="nil"/>
              <w:right w:val="nil"/>
            </w:tcBorders>
            <w:noWrap/>
            <w:vAlign w:val="bottom"/>
          </w:tcPr>
          <w:p w14:paraId="6014A48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Myrianthus libericus </w:t>
            </w:r>
            <w:r w:rsidRPr="004D686D">
              <w:rPr>
                <w:rFonts w:ascii="Times New Roman" w:eastAsia="Times New Roman" w:hAnsi="Times New Roman" w:cs="Times New Roman"/>
                <w:color w:val="000000"/>
                <w:sz w:val="24"/>
                <w:szCs w:val="24"/>
                <w:lang w:eastAsia="fr-FR"/>
              </w:rPr>
              <w:t>Rendle</w:t>
            </w:r>
          </w:p>
        </w:tc>
        <w:tc>
          <w:tcPr>
            <w:tcW w:w="3100" w:type="dxa"/>
            <w:tcBorders>
              <w:top w:val="nil"/>
              <w:left w:val="nil"/>
              <w:bottom w:val="nil"/>
              <w:right w:val="nil"/>
            </w:tcBorders>
            <w:noWrap/>
            <w:vAlign w:val="bottom"/>
          </w:tcPr>
          <w:p w14:paraId="12F88B9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r w:rsidR="00790627" w:rsidRPr="00B21DF7" w14:paraId="46E02BEE" w14:textId="77777777" w:rsidTr="00256E62">
        <w:trPr>
          <w:trHeight w:val="300"/>
        </w:trPr>
        <w:tc>
          <w:tcPr>
            <w:tcW w:w="6300" w:type="dxa"/>
            <w:tcBorders>
              <w:top w:val="nil"/>
              <w:left w:val="nil"/>
              <w:bottom w:val="nil"/>
              <w:right w:val="nil"/>
            </w:tcBorders>
            <w:noWrap/>
            <w:vAlign w:val="bottom"/>
          </w:tcPr>
          <w:p w14:paraId="4CD245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Scepocarpus oblongifolius </w:t>
            </w:r>
            <w:r w:rsidRPr="009C37F9">
              <w:rPr>
                <w:rFonts w:ascii="Times New Roman" w:eastAsia="Times New Roman" w:hAnsi="Times New Roman" w:cs="Times New Roman"/>
                <w:color w:val="000000"/>
                <w:sz w:val="24"/>
                <w:szCs w:val="24"/>
                <w:lang w:val="en-GB" w:eastAsia="fr-FR"/>
              </w:rPr>
              <w:t>(Benth.) T.</w:t>
            </w:r>
            <w:r w:rsidRPr="00B21DF7">
              <w:rPr>
                <w:rFonts w:ascii="Times New Roman" w:eastAsia="Times New Roman" w:hAnsi="Times New Roman" w:cs="Times New Roman"/>
                <w:i/>
                <w:color w:val="000000"/>
                <w:sz w:val="24"/>
                <w:szCs w:val="24"/>
                <w:lang w:val="en-GB" w:eastAsia="fr-FR"/>
              </w:rPr>
              <w:t xml:space="preserve"> </w:t>
            </w:r>
            <w:r w:rsidRPr="009C37F9">
              <w:rPr>
                <w:rFonts w:ascii="Times New Roman" w:eastAsia="Times New Roman" w:hAnsi="Times New Roman" w:cs="Times New Roman"/>
                <w:color w:val="000000"/>
                <w:sz w:val="24"/>
                <w:szCs w:val="24"/>
                <w:lang w:val="en-GB" w:eastAsia="fr-FR"/>
              </w:rPr>
              <w:t>Wells &amp; A. K. Monro</w:t>
            </w:r>
          </w:p>
        </w:tc>
        <w:tc>
          <w:tcPr>
            <w:tcW w:w="3100" w:type="dxa"/>
            <w:tcBorders>
              <w:top w:val="nil"/>
              <w:left w:val="nil"/>
              <w:bottom w:val="nil"/>
              <w:right w:val="nil"/>
            </w:tcBorders>
            <w:noWrap/>
            <w:vAlign w:val="bottom"/>
          </w:tcPr>
          <w:p w14:paraId="39B098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bl>
    <w:p w14:paraId="210215D1" w14:textId="77777777" w:rsidR="00790627" w:rsidRPr="0097339C" w:rsidRDefault="00790627" w:rsidP="00A80BEE">
      <w:pPr>
        <w:spacing w:after="0" w:line="360" w:lineRule="auto"/>
        <w:jc w:val="both"/>
        <w:rPr>
          <w:rFonts w:ascii="Times New Roman" w:hAnsi="Times New Roman" w:cs="Times New Roman"/>
          <w:sz w:val="24"/>
          <w:szCs w:val="24"/>
        </w:rPr>
      </w:pPr>
    </w:p>
    <w:sectPr w:rsidR="00790627" w:rsidRPr="0097339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6CE30" w14:textId="77777777" w:rsidR="0058222D" w:rsidRDefault="0058222D" w:rsidP="00373ACB">
      <w:pPr>
        <w:spacing w:after="0" w:line="240" w:lineRule="auto"/>
      </w:pPr>
      <w:r>
        <w:separator/>
      </w:r>
    </w:p>
  </w:endnote>
  <w:endnote w:type="continuationSeparator" w:id="0">
    <w:p w14:paraId="2FB43FEB" w14:textId="77777777" w:rsidR="0058222D" w:rsidRDefault="0058222D" w:rsidP="0037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64FF" w14:textId="77777777" w:rsidR="00373ACB" w:rsidRDefault="0037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2FDC" w14:textId="77777777" w:rsidR="00373ACB" w:rsidRDefault="00373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7726" w14:textId="77777777" w:rsidR="00373ACB" w:rsidRDefault="0037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F6F3" w14:textId="77777777" w:rsidR="0058222D" w:rsidRDefault="0058222D" w:rsidP="00373ACB">
      <w:pPr>
        <w:spacing w:after="0" w:line="240" w:lineRule="auto"/>
      </w:pPr>
      <w:r>
        <w:separator/>
      </w:r>
    </w:p>
  </w:footnote>
  <w:footnote w:type="continuationSeparator" w:id="0">
    <w:p w14:paraId="5094B271" w14:textId="77777777" w:rsidR="0058222D" w:rsidRDefault="0058222D" w:rsidP="0037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23F6" w14:textId="4463F8FB" w:rsidR="00373ACB" w:rsidRDefault="00373ACB">
    <w:pPr>
      <w:pStyle w:val="Header"/>
    </w:pPr>
    <w:r>
      <w:rPr>
        <w:noProof/>
      </w:rPr>
      <w:pict w14:anchorId="646C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21DB" w14:textId="64553580" w:rsidR="00373ACB" w:rsidRDefault="00373ACB">
    <w:pPr>
      <w:pStyle w:val="Header"/>
    </w:pPr>
    <w:r>
      <w:rPr>
        <w:noProof/>
      </w:rPr>
      <w:pict w14:anchorId="048B0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813A" w14:textId="3BC45B26" w:rsidR="00373ACB" w:rsidRDefault="00373ACB">
    <w:pPr>
      <w:pStyle w:val="Header"/>
    </w:pPr>
    <w:r>
      <w:rPr>
        <w:noProof/>
      </w:rPr>
      <w:pict w14:anchorId="60371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15"/>
    <w:rsid w:val="000275CF"/>
    <w:rsid w:val="00027B6D"/>
    <w:rsid w:val="00042B4E"/>
    <w:rsid w:val="000A126D"/>
    <w:rsid w:val="000E7128"/>
    <w:rsid w:val="001030EA"/>
    <w:rsid w:val="0012017D"/>
    <w:rsid w:val="00127A6C"/>
    <w:rsid w:val="00172C67"/>
    <w:rsid w:val="0017524D"/>
    <w:rsid w:val="00176545"/>
    <w:rsid w:val="00186BAC"/>
    <w:rsid w:val="001B1787"/>
    <w:rsid w:val="001C2BBC"/>
    <w:rsid w:val="0020038A"/>
    <w:rsid w:val="00223038"/>
    <w:rsid w:val="002242FE"/>
    <w:rsid w:val="00256E62"/>
    <w:rsid w:val="0027057D"/>
    <w:rsid w:val="002869D6"/>
    <w:rsid w:val="002941DE"/>
    <w:rsid w:val="00300389"/>
    <w:rsid w:val="00323BBA"/>
    <w:rsid w:val="003248A1"/>
    <w:rsid w:val="0034434B"/>
    <w:rsid w:val="00373ACB"/>
    <w:rsid w:val="003959B0"/>
    <w:rsid w:val="003B4A15"/>
    <w:rsid w:val="003F198A"/>
    <w:rsid w:val="00437BD9"/>
    <w:rsid w:val="00471D7B"/>
    <w:rsid w:val="00483D7B"/>
    <w:rsid w:val="00495877"/>
    <w:rsid w:val="004A4970"/>
    <w:rsid w:val="004A5A34"/>
    <w:rsid w:val="004A60A5"/>
    <w:rsid w:val="004B1666"/>
    <w:rsid w:val="004D686D"/>
    <w:rsid w:val="004E018D"/>
    <w:rsid w:val="004E1606"/>
    <w:rsid w:val="00523A3A"/>
    <w:rsid w:val="00525145"/>
    <w:rsid w:val="005411DF"/>
    <w:rsid w:val="00566A1A"/>
    <w:rsid w:val="0058222D"/>
    <w:rsid w:val="00592278"/>
    <w:rsid w:val="005A49E3"/>
    <w:rsid w:val="005E41DF"/>
    <w:rsid w:val="005E5CCB"/>
    <w:rsid w:val="006231FC"/>
    <w:rsid w:val="006459F8"/>
    <w:rsid w:val="00662619"/>
    <w:rsid w:val="006A451A"/>
    <w:rsid w:val="006D04C2"/>
    <w:rsid w:val="006E0EE0"/>
    <w:rsid w:val="00734AD4"/>
    <w:rsid w:val="00742957"/>
    <w:rsid w:val="00742F82"/>
    <w:rsid w:val="007644C2"/>
    <w:rsid w:val="0077238A"/>
    <w:rsid w:val="00790627"/>
    <w:rsid w:val="00790CDC"/>
    <w:rsid w:val="00795949"/>
    <w:rsid w:val="007A157E"/>
    <w:rsid w:val="007F1096"/>
    <w:rsid w:val="008025D6"/>
    <w:rsid w:val="00816B41"/>
    <w:rsid w:val="00875FE2"/>
    <w:rsid w:val="008B434D"/>
    <w:rsid w:val="00921157"/>
    <w:rsid w:val="0092540F"/>
    <w:rsid w:val="009375E3"/>
    <w:rsid w:val="00944051"/>
    <w:rsid w:val="0097339C"/>
    <w:rsid w:val="00994596"/>
    <w:rsid w:val="009B71E3"/>
    <w:rsid w:val="009C2AE9"/>
    <w:rsid w:val="009C37F9"/>
    <w:rsid w:val="009D2C61"/>
    <w:rsid w:val="009D37D3"/>
    <w:rsid w:val="00A12611"/>
    <w:rsid w:val="00A206A7"/>
    <w:rsid w:val="00A40026"/>
    <w:rsid w:val="00A473D5"/>
    <w:rsid w:val="00A51AF4"/>
    <w:rsid w:val="00A56C2B"/>
    <w:rsid w:val="00A61376"/>
    <w:rsid w:val="00A61DF2"/>
    <w:rsid w:val="00A64CE9"/>
    <w:rsid w:val="00A80BEE"/>
    <w:rsid w:val="00A861A4"/>
    <w:rsid w:val="00AA462D"/>
    <w:rsid w:val="00AA6508"/>
    <w:rsid w:val="00AC1A54"/>
    <w:rsid w:val="00AC6C3C"/>
    <w:rsid w:val="00AD2DCC"/>
    <w:rsid w:val="00AE4D7C"/>
    <w:rsid w:val="00AF3088"/>
    <w:rsid w:val="00B06060"/>
    <w:rsid w:val="00B11C12"/>
    <w:rsid w:val="00B52983"/>
    <w:rsid w:val="00BF6597"/>
    <w:rsid w:val="00C169E5"/>
    <w:rsid w:val="00C2697A"/>
    <w:rsid w:val="00C50545"/>
    <w:rsid w:val="00CA3265"/>
    <w:rsid w:val="00CA58CB"/>
    <w:rsid w:val="00CB431A"/>
    <w:rsid w:val="00CC4A17"/>
    <w:rsid w:val="00D472F2"/>
    <w:rsid w:val="00D52443"/>
    <w:rsid w:val="00D53350"/>
    <w:rsid w:val="00D5728E"/>
    <w:rsid w:val="00D75F01"/>
    <w:rsid w:val="00D82081"/>
    <w:rsid w:val="00D96CDD"/>
    <w:rsid w:val="00DA75B0"/>
    <w:rsid w:val="00DB3C56"/>
    <w:rsid w:val="00DF3391"/>
    <w:rsid w:val="00E10D98"/>
    <w:rsid w:val="00E152CB"/>
    <w:rsid w:val="00E1636E"/>
    <w:rsid w:val="00E55B10"/>
    <w:rsid w:val="00E57EFA"/>
    <w:rsid w:val="00E96614"/>
    <w:rsid w:val="00EA66B4"/>
    <w:rsid w:val="00EB0D9A"/>
    <w:rsid w:val="00EB5A06"/>
    <w:rsid w:val="00F01DC5"/>
    <w:rsid w:val="00F05B46"/>
    <w:rsid w:val="00F66C62"/>
    <w:rsid w:val="00F90CE3"/>
    <w:rsid w:val="00F93AF2"/>
    <w:rsid w:val="00FA54F2"/>
    <w:rsid w:val="00FB6810"/>
    <w:rsid w:val="00FC0331"/>
    <w:rsid w:val="00FE3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6CFE5"/>
  <w15:chartTrackingRefBased/>
  <w15:docId w15:val="{4861B80C-FF73-4F27-94A0-D3D3445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163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36E"/>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790627"/>
    <w:rPr>
      <w:color w:val="0563C1"/>
      <w:u w:val="single"/>
    </w:rPr>
  </w:style>
  <w:style w:type="character" w:customStyle="1" w:styleId="fontstyle01">
    <w:name w:val="fontstyle01"/>
    <w:basedOn w:val="DefaultParagraphFont"/>
    <w:rsid w:val="00B52983"/>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56C2B"/>
    <w:pPr>
      <w:ind w:left="720"/>
      <w:contextualSpacing/>
    </w:pPr>
  </w:style>
  <w:style w:type="paragraph" w:styleId="Header">
    <w:name w:val="header"/>
    <w:basedOn w:val="Normal"/>
    <w:link w:val="HeaderChar"/>
    <w:uiPriority w:val="99"/>
    <w:unhideWhenUsed/>
    <w:rsid w:val="00373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CB"/>
  </w:style>
  <w:style w:type="paragraph" w:styleId="Footer">
    <w:name w:val="footer"/>
    <w:basedOn w:val="Normal"/>
    <w:link w:val="FooterChar"/>
    <w:uiPriority w:val="99"/>
    <w:unhideWhenUsed/>
    <w:rsid w:val="00373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UJLoG\PREPARATIFS%20CAMES%202028\DOSSIER%20PROF%20GROGA\3e%20ARTICLE%20PR%20GROGA\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esktop\DONNEES%20DIV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Feuil3!$B$1</c:f>
              <c:strCache>
                <c:ptCount val="1"/>
                <c:pt idx="0">
                  <c:v>Proportion</c:v>
                </c:pt>
              </c:strCache>
            </c:strRef>
          </c:tx>
          <c:spPr>
            <a:solidFill>
              <a:schemeClr val="accent1"/>
            </a:solidFill>
            <a:ln>
              <a:noFill/>
            </a:ln>
            <a:effectLst/>
          </c:spPr>
          <c:invertIfNegative val="0"/>
          <c:cat>
            <c:strRef>
              <c:f>Feuil3!$A$2:$A$31</c:f>
              <c:strCache>
                <c:ptCount val="30"/>
                <c:pt idx="0">
                  <c:v>Anacardiaceae</c:v>
                </c:pt>
                <c:pt idx="1">
                  <c:v>Annonaceae</c:v>
                </c:pt>
                <c:pt idx="2">
                  <c:v>Apocynaceae</c:v>
                </c:pt>
                <c:pt idx="3">
                  <c:v>Aptandraceae</c:v>
                </c:pt>
                <c:pt idx="4">
                  <c:v> Araceae </c:v>
                </c:pt>
                <c:pt idx="5">
                  <c:v>Boraginaceae</c:v>
                </c:pt>
                <c:pt idx="6">
                  <c:v>Capparaceae</c:v>
                </c:pt>
                <c:pt idx="7">
                  <c:v>Celastraceae</c:v>
                </c:pt>
                <c:pt idx="8">
                  <c:v>Chrysobalanaceae</c:v>
                </c:pt>
                <c:pt idx="9">
                  <c:v>Clusiaceae</c:v>
                </c:pt>
                <c:pt idx="10">
                  <c:v>Combretaceae</c:v>
                </c:pt>
                <c:pt idx="11">
                  <c:v>Convolvulaceae</c:v>
                </c:pt>
                <c:pt idx="12">
                  <c:v>Cordiaceae</c:v>
                </c:pt>
                <c:pt idx="13">
                  <c:v>Dichapetalaceae</c:v>
                </c:pt>
                <c:pt idx="14">
                  <c:v>Ebenaceae</c:v>
                </c:pt>
                <c:pt idx="15">
                  <c:v>Fabaceae</c:v>
                </c:pt>
                <c:pt idx="16">
                  <c:v>Flacourtiaceae</c:v>
                </c:pt>
                <c:pt idx="17">
                  <c:v>Gentianaceae</c:v>
                </c:pt>
                <c:pt idx="18">
                  <c:v>Malvaceae</c:v>
                </c:pt>
                <c:pt idx="19">
                  <c:v>Melastomataceae</c:v>
                </c:pt>
                <c:pt idx="20">
                  <c:v>Meliaceae</c:v>
                </c:pt>
                <c:pt idx="21">
                  <c:v>Menispermaceae</c:v>
                </c:pt>
                <c:pt idx="22">
                  <c:v>Moraceae</c:v>
                </c:pt>
                <c:pt idx="23">
                  <c:v>Myrtaceae</c:v>
                </c:pt>
                <c:pt idx="24">
                  <c:v>Phytolaccaceae</c:v>
                </c:pt>
                <c:pt idx="25">
                  <c:v>Rosaceae</c:v>
                </c:pt>
                <c:pt idx="26">
                  <c:v>Rubiaceae</c:v>
                </c:pt>
                <c:pt idx="27">
                  <c:v>Rutaceae</c:v>
                </c:pt>
                <c:pt idx="28">
                  <c:v>Sapotaceae</c:v>
                </c:pt>
                <c:pt idx="29">
                  <c:v>Urticaceae</c:v>
                </c:pt>
              </c:strCache>
            </c:strRef>
          </c:cat>
          <c:val>
            <c:numRef>
              <c:f>Feuil3!$B$2:$B$31</c:f>
              <c:numCache>
                <c:formatCode>0.000</c:formatCode>
                <c:ptCount val="30"/>
                <c:pt idx="0">
                  <c:v>1.6949152542372881</c:v>
                </c:pt>
                <c:pt idx="1">
                  <c:v>1.6949152542372881</c:v>
                </c:pt>
                <c:pt idx="2">
                  <c:v>1.6949152542372881</c:v>
                </c:pt>
                <c:pt idx="3">
                  <c:v>1.6949152542372881</c:v>
                </c:pt>
                <c:pt idx="4">
                  <c:v>3.3898305084745761</c:v>
                </c:pt>
                <c:pt idx="5">
                  <c:v>1.6949152542372881</c:v>
                </c:pt>
                <c:pt idx="6">
                  <c:v>1.6949152542372881</c:v>
                </c:pt>
                <c:pt idx="7">
                  <c:v>1.6949152542372881</c:v>
                </c:pt>
                <c:pt idx="8">
                  <c:v>1.6949152542372881</c:v>
                </c:pt>
                <c:pt idx="9">
                  <c:v>1.6949152542372881</c:v>
                </c:pt>
                <c:pt idx="10">
                  <c:v>6.7796610169491522</c:v>
                </c:pt>
                <c:pt idx="11">
                  <c:v>1.6949152542372881</c:v>
                </c:pt>
                <c:pt idx="12">
                  <c:v>1.6949152542372881</c:v>
                </c:pt>
                <c:pt idx="13">
                  <c:v>3.3898305084745761</c:v>
                </c:pt>
                <c:pt idx="14">
                  <c:v>1.6949152542372881</c:v>
                </c:pt>
                <c:pt idx="15">
                  <c:v>16.949152542372882</c:v>
                </c:pt>
                <c:pt idx="16">
                  <c:v>3.3898305084745761</c:v>
                </c:pt>
                <c:pt idx="17">
                  <c:v>1.6949152542372881</c:v>
                </c:pt>
                <c:pt idx="18">
                  <c:v>6.7796610169491522</c:v>
                </c:pt>
                <c:pt idx="19">
                  <c:v>1.6949152542372881</c:v>
                </c:pt>
                <c:pt idx="20">
                  <c:v>10.169491525423728</c:v>
                </c:pt>
                <c:pt idx="21">
                  <c:v>3.3898305084745761</c:v>
                </c:pt>
                <c:pt idx="22">
                  <c:v>1.6949152542372881</c:v>
                </c:pt>
                <c:pt idx="23">
                  <c:v>1.6949152542372881</c:v>
                </c:pt>
                <c:pt idx="24">
                  <c:v>1.6949152542372881</c:v>
                </c:pt>
                <c:pt idx="25">
                  <c:v>1.6949152542372881</c:v>
                </c:pt>
                <c:pt idx="26">
                  <c:v>3.3898305084745761</c:v>
                </c:pt>
                <c:pt idx="27">
                  <c:v>3.3898305084745761</c:v>
                </c:pt>
                <c:pt idx="28">
                  <c:v>5.0847457627118642</c:v>
                </c:pt>
                <c:pt idx="29">
                  <c:v>3.3898305084745761</c:v>
                </c:pt>
              </c:numCache>
            </c:numRef>
          </c:val>
          <c:extLst>
            <c:ext xmlns:c16="http://schemas.microsoft.com/office/drawing/2014/chart" uri="{C3380CC4-5D6E-409C-BE32-E72D297353CC}">
              <c16:uniqueId val="{00000000-ECDB-433B-8B3A-567C6221F186}"/>
            </c:ext>
          </c:extLst>
        </c:ser>
        <c:dLbls>
          <c:showLegendKey val="0"/>
          <c:showVal val="0"/>
          <c:showCatName val="0"/>
          <c:showSerName val="0"/>
          <c:showPercent val="0"/>
          <c:showBubbleSize val="0"/>
        </c:dLbls>
        <c:gapWidth val="219"/>
        <c:overlap val="-27"/>
        <c:axId val="1958348095"/>
        <c:axId val="1958346431"/>
      </c:barChart>
      <c:catAx>
        <c:axId val="1958348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Families</a:t>
                </a:r>
              </a:p>
            </c:rich>
          </c:tx>
          <c:layout>
            <c:manualLayout>
              <c:xMode val="edge"/>
              <c:yMode val="edge"/>
              <c:x val="0.5157015678584066"/>
              <c:y val="0.90445335899277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58346431"/>
        <c:crosses val="autoZero"/>
        <c:auto val="1"/>
        <c:lblAlgn val="ctr"/>
        <c:lblOffset val="100"/>
        <c:noMultiLvlLbl val="0"/>
      </c:catAx>
      <c:valAx>
        <c:axId val="1958346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Proportions (%)</a:t>
                </a:r>
              </a:p>
            </c:rich>
          </c:tx>
          <c:layout>
            <c:manualLayout>
              <c:xMode val="edge"/>
              <c:yMode val="edge"/>
              <c:x val="1.4699706005879883E-2"/>
              <c:y val="0.102817569490560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348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Feuil1!$B$1</c:f>
              <c:strCache>
                <c:ptCount val="1"/>
                <c:pt idx="0">
                  <c:v>tailles(m)</c:v>
                </c:pt>
              </c:strCache>
            </c:strRef>
          </c:tx>
          <c:spPr>
            <a:ln w="19050" cap="rnd">
              <a:solidFill>
                <a:schemeClr val="accent1"/>
              </a:solidFill>
              <a:round/>
            </a:ln>
            <a:effectLst/>
          </c:spPr>
          <c:marker>
            <c:symbol val="none"/>
          </c:marker>
          <c:xVal>
            <c:strRef>
              <c:f>Feuil1!$A$2:$A$61</c:f>
              <c:strCache>
                <c:ptCount val="60"/>
                <c:pt idx="0">
                  <c:v>Amorphophallus johnsonii N. E. Br.</c:v>
                </c:pt>
                <c:pt idx="1">
                  <c:v>Lannea nigritana (Scott-Elliot) Keay</c:v>
                </c:pt>
                <c:pt idx="2">
                  <c:v>Monanthotaxis whytei (Stapf) Verdc.</c:v>
                </c:pt>
                <c:pt idx="3">
                  <c:v>Baissea zygodioides (K. Schum.)</c:v>
                </c:pt>
                <c:pt idx="4">
                  <c:v>Aptandra zenkeri Engl. </c:v>
                </c:pt>
                <c:pt idx="5">
                  <c:v>Culcasia liberica N. E. Br. </c:v>
                </c:pt>
                <c:pt idx="6">
                  <c:v> Ehretia trachyphylla C. H. Wright </c:v>
                </c:pt>
                <c:pt idx="7">
                  <c:v>Euadenia eminens Hook. fil.</c:v>
                </c:pt>
                <c:pt idx="8">
                  <c:v>Salacia columna N. Hallé</c:v>
                </c:pt>
                <c:pt idx="9">
                  <c:v>Maranthes aubrevillei (Pellegr.) Prance ex F. White</c:v>
                </c:pt>
                <c:pt idx="10">
                  <c:v>Garcinia kola Heckel</c:v>
                </c:pt>
                <c:pt idx="11">
                  <c:v>Strephonema pseudo-cola A. Chev.</c:v>
                </c:pt>
                <c:pt idx="12">
                  <c:v>Terminalia ivorensis A. Chev.</c:v>
                </c:pt>
                <c:pt idx="13">
                  <c:v>Combretum comosum G. Do</c:v>
                </c:pt>
                <c:pt idx="14">
                  <c:v>Combretum tarquense Clark </c:v>
                </c:pt>
                <c:pt idx="15">
                  <c:v>Neuropeltis prevosteoides Mangenot</c:v>
                </c:pt>
                <c:pt idx="16">
                  <c:v> Cordia platythyrsa Baker  </c:v>
                </c:pt>
                <c:pt idx="17">
                  <c:v> Dichapetalum albidum Chev. ex Pellegr.</c:v>
                </c:pt>
                <c:pt idx="18">
                  <c:v>Dichapetalum toxicarium (G. Don) Baill. </c:v>
                </c:pt>
                <c:pt idx="19">
                  <c:v>Diospyros vignei F. White</c:v>
                </c:pt>
                <c:pt idx="20">
                  <c:v>Afzelia bella Harms</c:v>
                </c:pt>
                <c:pt idx="21">
                  <c:v>Albizia dinklagei (Harms) Harms</c:v>
                </c:pt>
                <c:pt idx="22">
                  <c:v>Aubrevillea platycarpa Pellegr.</c:v>
                </c:pt>
                <c:pt idx="23">
                  <c:v>Berlinia occidentalis Keay</c:v>
                </c:pt>
                <c:pt idx="24">
                  <c:v>Berlinia tomentella Kea</c:v>
                </c:pt>
                <c:pt idx="25">
                  <c:v>Dalbergia oblongifolia G. Don  </c:v>
                </c:pt>
                <c:pt idx="26">
                  <c:v>Daniellia thurifera Benn.</c:v>
                </c:pt>
                <c:pt idx="27">
                  <c:v>Leptoderris miegei Aké Assi &amp; Mangenot</c:v>
                </c:pt>
                <c:pt idx="28">
                  <c:v>Millettia lane-poolei Dunn</c:v>
                </c:pt>
                <c:pt idx="29">
                  <c:v>Platysepalum hirsutum (Dunn) Hepper</c:v>
                </c:pt>
                <c:pt idx="30">
                  <c:v>Caloncoba brevipes (Stapf)</c:v>
                </c:pt>
                <c:pt idx="31">
                  <c:v> Caloncoba echinata (Oliv.)</c:v>
                </c:pt>
                <c:pt idx="32">
                  <c:v>Anthocleista nobilis G. Don</c:v>
                </c:pt>
                <c:pt idx="33">
                  <c:v>Cola caricifolia (G. Don.) K. Schum</c:v>
                </c:pt>
                <c:pt idx="34">
                  <c:v>Nesogordonia papaverifera (A.Chev.) Capuron ex N. Hallé</c:v>
                </c:pt>
                <c:pt idx="35">
                  <c:v>Pterygota macrocarpa K. Schum.</c:v>
                </c:pt>
                <c:pt idx="36">
                  <c:v>Sterculia oblonga Mast.</c:v>
                </c:pt>
                <c:pt idx="37">
                  <c:v>Tristemma coronatum Benth.</c:v>
                </c:pt>
                <c:pt idx="38">
                  <c:v> Entandrophragma angolense (Welw.) C. DC.</c:v>
                </c:pt>
                <c:pt idx="39">
                  <c:v>Entandrophragma candollei Harms </c:v>
                </c:pt>
                <c:pt idx="40">
                  <c:v>Entandrophragma utile (Dawe &amp; Sprague)</c:v>
                </c:pt>
                <c:pt idx="41">
                  <c:v>Khaya ivorensis A. Chev.</c:v>
                </c:pt>
                <c:pt idx="42">
                  <c:v>Leplaea cedrata (A. Chev.) E. J. M. Koenen &amp; J. J. de Wilde</c:v>
                </c:pt>
                <c:pt idx="43">
                  <c:v>Turraea heterophylla Sm.</c:v>
                </c:pt>
                <c:pt idx="44">
                  <c:v>Tiliacora dinklagei Engl.</c:v>
                </c:pt>
                <c:pt idx="45">
                  <c:v>Tiliacora leonensis (Scott Elliot) Diels</c:v>
                </c:pt>
                <c:pt idx="46">
                  <c:v>Milicia excelsa (Welw.) C. C. Berg</c:v>
                </c:pt>
                <c:pt idx="47">
                  <c:v>Milicia regia (A. Chev.) C. C. Berg</c:v>
                </c:pt>
                <c:pt idx="48">
                  <c:v>Eugenia leonensis Engl. &amp; Brehmer</c:v>
                </c:pt>
                <c:pt idx="49">
                  <c:v>Rivina humilis L</c:v>
                </c:pt>
                <c:pt idx="50">
                  <c:v>Rubus fellatae A. Chev.</c:v>
                </c:pt>
                <c:pt idx="51">
                  <c:v>Chassalia kolly (Schumach.)</c:v>
                </c:pt>
                <c:pt idx="52">
                  <c:v>Pavetta akeassii J. B. Hall</c:v>
                </c:pt>
                <c:pt idx="53">
                  <c:v>Zanthoxylum gilletii (De Wild.) P. G. Waterman</c:v>
                </c:pt>
                <c:pt idx="54">
                  <c:v>Zanthoxylum mezoneurispinosum (Aké Assi) W. D. Hawth.</c:v>
                </c:pt>
                <c:pt idx="55">
                  <c:v>Inhambanella guereensis (Aubrév. &amp; Pellegr.) T. D. Penn.</c:v>
                </c:pt>
                <c:pt idx="56">
                  <c:v>Tieghemella heckelii (A. Chev.) Pierre ex Dubard</c:v>
                </c:pt>
                <c:pt idx="57">
                  <c:v>Vitellaria paradoxa C. F. Gaertn.</c:v>
                </c:pt>
                <c:pt idx="58">
                  <c:v>Myrianthus libericus Rendle</c:v>
                </c:pt>
                <c:pt idx="59">
                  <c:v>Scepocarpus oblongifolius (Benth.) T. Wells &amp; A. K. Monro</c:v>
                </c:pt>
              </c:strCache>
            </c:strRef>
          </c:xVal>
          <c:yVal>
            <c:numRef>
              <c:f>Feuil1!$B$2:$B$61</c:f>
              <c:numCache>
                <c:formatCode>General</c:formatCode>
                <c:ptCount val="60"/>
                <c:pt idx="0">
                  <c:v>14</c:v>
                </c:pt>
                <c:pt idx="1">
                  <c:v>28</c:v>
                </c:pt>
                <c:pt idx="2">
                  <c:v>19</c:v>
                </c:pt>
                <c:pt idx="3">
                  <c:v>27</c:v>
                </c:pt>
                <c:pt idx="4">
                  <c:v>18</c:v>
                </c:pt>
                <c:pt idx="5">
                  <c:v>15</c:v>
                </c:pt>
                <c:pt idx="6">
                  <c:v>15</c:v>
                </c:pt>
                <c:pt idx="7">
                  <c:v>18</c:v>
                </c:pt>
                <c:pt idx="8">
                  <c:v>13</c:v>
                </c:pt>
                <c:pt idx="9">
                  <c:v>11</c:v>
                </c:pt>
                <c:pt idx="10">
                  <c:v>20</c:v>
                </c:pt>
                <c:pt idx="11">
                  <c:v>19</c:v>
                </c:pt>
                <c:pt idx="12">
                  <c:v>16</c:v>
                </c:pt>
                <c:pt idx="13">
                  <c:v>17</c:v>
                </c:pt>
                <c:pt idx="14">
                  <c:v>16</c:v>
                </c:pt>
                <c:pt idx="15">
                  <c:v>14</c:v>
                </c:pt>
                <c:pt idx="16">
                  <c:v>15</c:v>
                </c:pt>
                <c:pt idx="17">
                  <c:v>12</c:v>
                </c:pt>
                <c:pt idx="18">
                  <c:v>14</c:v>
                </c:pt>
                <c:pt idx="19">
                  <c:v>16</c:v>
                </c:pt>
                <c:pt idx="20">
                  <c:v>15</c:v>
                </c:pt>
                <c:pt idx="21">
                  <c:v>19</c:v>
                </c:pt>
                <c:pt idx="22">
                  <c:v>15</c:v>
                </c:pt>
                <c:pt idx="23">
                  <c:v>17</c:v>
                </c:pt>
                <c:pt idx="24">
                  <c:v>15</c:v>
                </c:pt>
                <c:pt idx="25">
                  <c:v>18</c:v>
                </c:pt>
                <c:pt idx="26">
                  <c:v>16</c:v>
                </c:pt>
                <c:pt idx="27">
                  <c:v>18</c:v>
                </c:pt>
                <c:pt idx="28">
                  <c:v>20</c:v>
                </c:pt>
                <c:pt idx="29">
                  <c:v>20</c:v>
                </c:pt>
                <c:pt idx="30">
                  <c:v>16</c:v>
                </c:pt>
                <c:pt idx="31">
                  <c:v>15</c:v>
                </c:pt>
                <c:pt idx="32">
                  <c:v>17</c:v>
                </c:pt>
                <c:pt idx="33">
                  <c:v>18</c:v>
                </c:pt>
                <c:pt idx="34">
                  <c:v>17</c:v>
                </c:pt>
                <c:pt idx="35">
                  <c:v>16</c:v>
                </c:pt>
                <c:pt idx="36">
                  <c:v>14</c:v>
                </c:pt>
                <c:pt idx="37">
                  <c:v>14</c:v>
                </c:pt>
                <c:pt idx="38">
                  <c:v>12</c:v>
                </c:pt>
                <c:pt idx="39">
                  <c:v>15</c:v>
                </c:pt>
                <c:pt idx="40">
                  <c:v>15</c:v>
                </c:pt>
                <c:pt idx="41">
                  <c:v>15</c:v>
                </c:pt>
                <c:pt idx="42">
                  <c:v>14</c:v>
                </c:pt>
                <c:pt idx="43">
                  <c:v>13</c:v>
                </c:pt>
                <c:pt idx="44">
                  <c:v>14</c:v>
                </c:pt>
                <c:pt idx="45">
                  <c:v>16</c:v>
                </c:pt>
                <c:pt idx="46">
                  <c:v>17</c:v>
                </c:pt>
                <c:pt idx="47">
                  <c:v>14</c:v>
                </c:pt>
                <c:pt idx="48">
                  <c:v>13</c:v>
                </c:pt>
                <c:pt idx="49">
                  <c:v>15</c:v>
                </c:pt>
                <c:pt idx="50">
                  <c:v>15</c:v>
                </c:pt>
                <c:pt idx="51">
                  <c:v>15</c:v>
                </c:pt>
                <c:pt idx="52">
                  <c:v>17</c:v>
                </c:pt>
                <c:pt idx="53">
                  <c:v>14</c:v>
                </c:pt>
                <c:pt idx="54">
                  <c:v>12</c:v>
                </c:pt>
                <c:pt idx="55">
                  <c:v>13</c:v>
                </c:pt>
                <c:pt idx="56">
                  <c:v>14</c:v>
                </c:pt>
                <c:pt idx="57">
                  <c:v>13</c:v>
                </c:pt>
                <c:pt idx="58">
                  <c:v>12</c:v>
                </c:pt>
                <c:pt idx="59">
                  <c:v>14</c:v>
                </c:pt>
              </c:numCache>
            </c:numRef>
          </c:yVal>
          <c:smooth val="0"/>
          <c:extLst>
            <c:ext xmlns:c16="http://schemas.microsoft.com/office/drawing/2014/chart" uri="{C3380CC4-5D6E-409C-BE32-E72D297353CC}">
              <c16:uniqueId val="{00000000-9CA5-453E-AC85-0308DABCD66A}"/>
            </c:ext>
          </c:extLst>
        </c:ser>
        <c:dLbls>
          <c:showLegendKey val="0"/>
          <c:showVal val="0"/>
          <c:showCatName val="0"/>
          <c:showSerName val="0"/>
          <c:showPercent val="0"/>
          <c:showBubbleSize val="0"/>
        </c:dLbls>
        <c:axId val="1888971232"/>
        <c:axId val="1929641952"/>
      </c:scatterChart>
      <c:valAx>
        <c:axId val="1888971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9641952"/>
        <c:crosses val="autoZero"/>
        <c:crossBetween val="midCat"/>
      </c:valAx>
      <c:valAx>
        <c:axId val="1929641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  </a:t>
                </a:r>
                <a:r>
                  <a:rPr lang="fr-FR" sz="1200">
                    <a:latin typeface="Times New Roman" panose="02020603050405020304" pitchFamily="18" charset="0"/>
                    <a:cs typeface="Times New Roman" panose="02020603050405020304" pitchFamily="18" charset="0"/>
                  </a:rPr>
                  <a:t>Trees seize</a:t>
                </a:r>
              </a:p>
            </c:rich>
          </c:tx>
          <c:layout>
            <c:manualLayout>
              <c:xMode val="edge"/>
              <c:yMode val="edge"/>
              <c:x val="8.824178248400618E-3"/>
              <c:y val="0.33787462930770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971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468</TotalTime>
  <Pages>18</Pages>
  <Words>4571</Words>
  <Characters>26059</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109</cp:revision>
  <dcterms:created xsi:type="dcterms:W3CDTF">2025-10-20T11:30:00Z</dcterms:created>
  <dcterms:modified xsi:type="dcterms:W3CDTF">2025-10-22T07:35:00Z</dcterms:modified>
</cp:coreProperties>
</file>