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7E5FE" w14:textId="77777777" w:rsidR="00220FDC" w:rsidRPr="00220FDC" w:rsidRDefault="00220FDC" w:rsidP="00220FDC">
      <w:pPr>
        <w:jc w:val="both"/>
        <w:rPr>
          <w:b/>
          <w:bCs/>
        </w:rPr>
      </w:pPr>
      <w:r w:rsidRPr="00220FDC">
        <w:rPr>
          <w:b/>
          <w:bCs/>
        </w:rPr>
        <w:t>Genetic Diversity of Human Papillomavirus and Comparative Analysis of Conventional and Molecular Methods for Diagnosis of Cervical Cancer among Women in Nakuru County Referral and Teaching Hospital, Kenya</w:t>
      </w:r>
    </w:p>
    <w:p w14:paraId="428E3A09" w14:textId="77777777" w:rsidR="00A932D1" w:rsidRPr="00220FDC" w:rsidRDefault="00A932D1" w:rsidP="00EC2BC7">
      <w:pPr>
        <w:ind w:left="720"/>
        <w:jc w:val="both"/>
      </w:pPr>
    </w:p>
    <w:p w14:paraId="63799FD4" w14:textId="77777777" w:rsidR="00220FDC" w:rsidRPr="00220FDC" w:rsidRDefault="00220FDC" w:rsidP="00220FDC">
      <w:pPr>
        <w:jc w:val="both"/>
        <w:rPr>
          <w:b/>
          <w:bCs/>
        </w:rPr>
      </w:pPr>
      <w:r w:rsidRPr="00220FDC">
        <w:rPr>
          <w:b/>
          <w:bCs/>
        </w:rPr>
        <w:t>Abstract</w:t>
      </w:r>
    </w:p>
    <w:p w14:paraId="4BF575DC" w14:textId="4D921710" w:rsidR="00220FDC" w:rsidRPr="00220FDC" w:rsidRDefault="00220FDC" w:rsidP="00220FDC">
      <w:pPr>
        <w:jc w:val="both"/>
      </w:pPr>
      <w:r w:rsidRPr="00220FDC">
        <w:rPr>
          <w:b/>
          <w:bCs/>
        </w:rPr>
        <w:t>Background:</w:t>
      </w:r>
      <w:r w:rsidRPr="00220FDC">
        <w:t xml:space="preserve"> Cervical cancer remains a </w:t>
      </w:r>
      <w:r w:rsidR="00EC2BC7">
        <w:t>consequential</w:t>
      </w:r>
      <w:r w:rsidRPr="00220FDC">
        <w:t xml:space="preserve"> global public health challenge, </w:t>
      </w:r>
      <w:r w:rsidR="00EC2BC7">
        <w:t xml:space="preserve">mainly </w:t>
      </w:r>
      <w:r w:rsidRPr="00220FDC">
        <w:t xml:space="preserve">driven by persistent human papillomavirus (HPV) infection. In low-resource </w:t>
      </w:r>
      <w:r w:rsidR="00EC2BC7">
        <w:t>contexts</w:t>
      </w:r>
      <w:r w:rsidRPr="00220FDC">
        <w:t xml:space="preserve"> </w:t>
      </w:r>
      <w:r w:rsidR="00EC2BC7">
        <w:t>such as</w:t>
      </w:r>
      <w:r w:rsidRPr="00220FDC">
        <w:t xml:space="preserve"> Nakuru County, Kenya, incidence and mortality </w:t>
      </w:r>
      <w:r w:rsidR="00EC2BC7">
        <w:t xml:space="preserve">rates </w:t>
      </w:r>
      <w:r w:rsidRPr="00220FDC">
        <w:t xml:space="preserve">are high, with conventional screening methods such as visual inspection with acetic acid (VIA) and Lugol's iodine (VILI) </w:t>
      </w:r>
      <w:r w:rsidR="00EC2BC7">
        <w:t>restricted</w:t>
      </w:r>
      <w:r w:rsidRPr="00220FDC">
        <w:t xml:space="preserve"> by variable sensitivity and specificity. Molecular HPV testing </w:t>
      </w:r>
      <w:r w:rsidR="0087373A">
        <w:t>deliver</w:t>
      </w:r>
      <w:r w:rsidRPr="00220FDC">
        <w:t>s superior accuracy but requires further evaluation in such contexts.</w:t>
      </w:r>
    </w:p>
    <w:p w14:paraId="4A11FA6E" w14:textId="77777777" w:rsidR="007B3182" w:rsidRDefault="00220FDC" w:rsidP="00220FDC">
      <w:pPr>
        <w:jc w:val="both"/>
      </w:pPr>
      <w:r w:rsidRPr="00220FDC">
        <w:rPr>
          <w:b/>
          <w:bCs/>
        </w:rPr>
        <w:t>Methodology:</w:t>
      </w:r>
      <w:r w:rsidRPr="00220FDC">
        <w:t xml:space="preserve"> </w:t>
      </w:r>
      <w:r w:rsidR="007B3182" w:rsidRPr="007B3182">
        <w:t xml:space="preserve">A prospective cross-sectional laboratory-based study was conducted at the Nakuru County Teaching and Referral Hospital between July and September 2024. A total of 123 women aged 25–55 years presenting for cervical cancer screening were recruited. Cervical specimens were collected following VIA and VILI procedures and subsequently subjected to HPV DNA testing. Nucleic acids were extracted and analyzed using the GeneXpert molecular platform to detect and identify high-risk HPV genotypes. Laboratory workflow included specimen collection, preservation, nucleic acid extraction, molecular amplification, and automated interpretation of results. Genotypic distribution, detection accuracy, and strain-specific profiles were </w:t>
      </w:r>
      <w:proofErr w:type="spellStart"/>
      <w:proofErr w:type="gramStart"/>
      <w:r w:rsidR="007B3182" w:rsidRPr="007B3182">
        <w:t>assessed.Data</w:t>
      </w:r>
      <w:proofErr w:type="spellEnd"/>
      <w:proofErr w:type="gramEnd"/>
      <w:r w:rsidR="007B3182" w:rsidRPr="007B3182">
        <w:t xml:space="preserve"> on demographic and clinical characteristics and HPV test outcomes were recorded. Analytical performance parameters, including sensitivity, specificity, positive predictive value (PPV), and negative predictive value (NPV), were computed. Comparative diagnostic performance was evaluated using the McNemar test, and multivariate logistic regression was performed to identify factors associated with diagnostic </w:t>
      </w:r>
      <w:proofErr w:type="spellStart"/>
      <w:proofErr w:type="gramStart"/>
      <w:r w:rsidR="007B3182" w:rsidRPr="007B3182">
        <w:t>accuracy.Ethical</w:t>
      </w:r>
      <w:proofErr w:type="spellEnd"/>
      <w:proofErr w:type="gramEnd"/>
      <w:r w:rsidR="007B3182" w:rsidRPr="007B3182">
        <w:t xml:space="preserve"> approval was obtained from the Institutional Research Ethics Committee of the University of Eastern Africa, Baraton. Additional regulatory authorization was provided by the National Commission for Science, Tech</w:t>
      </w:r>
      <w:bookmarkStart w:id="0" w:name="_GoBack"/>
      <w:bookmarkEnd w:id="0"/>
      <w:r w:rsidR="007B3182" w:rsidRPr="007B3182">
        <w:t>nology and Innovation (NACOSTI) and the Nakuru County Department of Health.</w:t>
      </w:r>
    </w:p>
    <w:p w14:paraId="6F9281A1" w14:textId="0D88898F" w:rsidR="00220FDC" w:rsidRPr="00220FDC" w:rsidRDefault="00220FDC" w:rsidP="00220FDC">
      <w:pPr>
        <w:jc w:val="both"/>
      </w:pPr>
      <w:r w:rsidRPr="00220FDC">
        <w:rPr>
          <w:b/>
          <w:bCs/>
        </w:rPr>
        <w:t>Results:</w:t>
      </w:r>
      <w:r w:rsidRPr="00220FDC">
        <w:t xml:space="preserve"> HPV positivity was 24%, with predominant high-risk genotypes 16, 18, and 45. The Shannon-Weaver diversity index </w:t>
      </w:r>
      <w:r w:rsidR="008C29C8">
        <w:t>highlighted</w:t>
      </w:r>
      <w:r w:rsidRPr="00220FDC">
        <w:t xml:space="preserve"> moderate genetic </w:t>
      </w:r>
      <w:r w:rsidR="001A22AB">
        <w:t>d</w:t>
      </w:r>
      <w:r w:rsidR="001A22AB" w:rsidRPr="001A22AB">
        <w:t>iversity Index (H′) of 1.513</w:t>
      </w:r>
      <w:r w:rsidRPr="00220FDC">
        <w:t xml:space="preserve">. VIA sensitivity </w:t>
      </w:r>
      <w:r w:rsidR="001768F9">
        <w:t>stood at</w:t>
      </w:r>
      <w:r w:rsidRPr="00220FDC">
        <w:t xml:space="preserve"> 60.5% and specificity 94.1%; VILI sensitivity</w:t>
      </w:r>
      <w:r w:rsidR="008C29C8">
        <w:t xml:space="preserve"> was</w:t>
      </w:r>
      <w:r w:rsidRPr="00220FDC">
        <w:t xml:space="preserve"> 68.2% and specificity 96.4%, using HPV testing as the gold standard. Ages 36-45 years and history of sexually transmitted infections (STIs) were significantly associated with HPV positivity (p &lt; 0.05). The null hypothesis of diagnostic homogeneity was rejected, </w:t>
      </w:r>
      <w:r w:rsidR="008C29C8">
        <w:t>a confirmation of</w:t>
      </w:r>
      <w:r w:rsidRPr="00220FDC">
        <w:t xml:space="preserve"> significant variability.</w:t>
      </w:r>
    </w:p>
    <w:p w14:paraId="6283E304" w14:textId="77777777" w:rsidR="00220FDC" w:rsidRPr="00220FDC" w:rsidRDefault="00220FDC" w:rsidP="00220FDC">
      <w:pPr>
        <w:jc w:val="both"/>
      </w:pPr>
      <w:r w:rsidRPr="00220FDC">
        <w:rPr>
          <w:b/>
          <w:bCs/>
        </w:rPr>
        <w:t>Conclusions:</w:t>
      </w:r>
      <w:r w:rsidRPr="00220FDC">
        <w:t xml:space="preserve"> Molecular HPV testing outperforms conventional methods in sensitivity and reliability for detecting high-risk HPV in low-resource settings.</w:t>
      </w:r>
    </w:p>
    <w:p w14:paraId="78A8EF16" w14:textId="69BDEFEC" w:rsidR="00220FDC" w:rsidRPr="00220FDC" w:rsidRDefault="00220FDC" w:rsidP="00220FDC">
      <w:pPr>
        <w:jc w:val="both"/>
      </w:pPr>
      <w:r w:rsidRPr="00220FDC">
        <w:rPr>
          <w:b/>
          <w:bCs/>
        </w:rPr>
        <w:t>Recommendations:</w:t>
      </w:r>
      <w:r w:rsidRPr="00220FDC">
        <w:t xml:space="preserve"> </w:t>
      </w:r>
      <w:r w:rsidR="008C29C8">
        <w:t>Need to i</w:t>
      </w:r>
      <w:r w:rsidRPr="00220FDC">
        <w:t xml:space="preserve">ntegrate molecular diagnostics into national cervical cancer programs, expand HPV vaccination, and enhance community awareness. Future research </w:t>
      </w:r>
      <w:r w:rsidR="008C29C8">
        <w:t xml:space="preserve">ought to </w:t>
      </w:r>
      <w:r w:rsidRPr="00220FDC">
        <w:t>focus on cost-effective implementation and longitudinal studies on HPV persistence.</w:t>
      </w:r>
    </w:p>
    <w:p w14:paraId="1DFD59EA" w14:textId="77777777" w:rsidR="00220FDC" w:rsidRPr="00220FDC" w:rsidRDefault="00220FDC" w:rsidP="00220FDC">
      <w:pPr>
        <w:jc w:val="both"/>
      </w:pPr>
      <w:r w:rsidRPr="00220FDC">
        <w:rPr>
          <w:b/>
          <w:bCs/>
        </w:rPr>
        <w:t>Keywords:</w:t>
      </w:r>
      <w:r w:rsidRPr="00220FDC">
        <w:t xml:space="preserve"> Human Papillomavirus, Cervical Cancer, VIA, VILI, GeneXpert, Kenya</w:t>
      </w:r>
    </w:p>
    <w:p w14:paraId="1B6F33C9" w14:textId="77777777" w:rsidR="00220FDC" w:rsidRPr="00220FDC" w:rsidRDefault="00220FDC" w:rsidP="00220FDC">
      <w:pPr>
        <w:jc w:val="both"/>
        <w:rPr>
          <w:b/>
          <w:bCs/>
        </w:rPr>
      </w:pPr>
      <w:r w:rsidRPr="00220FDC">
        <w:rPr>
          <w:b/>
          <w:bCs/>
        </w:rPr>
        <w:t>Introduction</w:t>
      </w:r>
    </w:p>
    <w:p w14:paraId="14226E54" w14:textId="3680BE31" w:rsidR="00220FDC" w:rsidRPr="00220FDC" w:rsidRDefault="00220FDC" w:rsidP="00220FDC">
      <w:pPr>
        <w:jc w:val="both"/>
      </w:pPr>
      <w:r w:rsidRPr="00220FDC">
        <w:t xml:space="preserve">Cervical cancer is the fourth most </w:t>
      </w:r>
      <w:r w:rsidR="008C29C8">
        <w:t xml:space="preserve">prevalent </w:t>
      </w:r>
      <w:r w:rsidRPr="00220FDC">
        <w:t xml:space="preserve">cancer among women globally, with an estimated 604,000 new cases and 342,000 deaths in 2020 (World Health Organization, 2020). Recent GLOBOCAN 2022 estimates </w:t>
      </w:r>
      <w:r w:rsidR="008C29C8">
        <w:t>highlight</w:t>
      </w:r>
      <w:r w:rsidRPr="00220FDC">
        <w:t xml:space="preserve"> 44,726 new cancer cases in Kenya, with cervical cancer accounting for approximately 5,845 new cases and 3,591 deaths annually, </w:t>
      </w:r>
      <w:r w:rsidR="00A63BEE">
        <w:t xml:space="preserve">translating to </w:t>
      </w:r>
      <w:r w:rsidRPr="00220FDC">
        <w:t>an age-standardized incidence rate of 32.8 per 100,000 women. It</w:t>
      </w:r>
      <w:r w:rsidR="00A63BEE">
        <w:t xml:space="preserve"> still</w:t>
      </w:r>
      <w:r w:rsidRPr="00220FDC">
        <w:t xml:space="preserve"> remains the leading cause of cancer-related deaths among Kenyan women.</w:t>
      </w:r>
    </w:p>
    <w:p w14:paraId="07EF4ADC" w14:textId="26DC080C" w:rsidR="00220FDC" w:rsidRPr="00220FDC" w:rsidRDefault="00220FDC" w:rsidP="00220FDC">
      <w:pPr>
        <w:jc w:val="both"/>
      </w:pPr>
      <w:r w:rsidRPr="00220FDC">
        <w:lastRenderedPageBreak/>
        <w:t xml:space="preserve">Over one million women </w:t>
      </w:r>
      <w:r w:rsidR="00A63BEE">
        <w:t xml:space="preserve">globally </w:t>
      </w:r>
      <w:r w:rsidRPr="00220FDC">
        <w:t xml:space="preserve">live with cervical cancer, </w:t>
      </w:r>
      <w:r w:rsidR="00A63BEE">
        <w:t>with most</w:t>
      </w:r>
      <w:r w:rsidRPr="00220FDC">
        <w:t xml:space="preserve"> lacking access to prevention, treatment, or palliative care (WHO, 2020). Screening </w:t>
      </w:r>
      <w:r w:rsidR="00A63BEE" w:rsidRPr="00220FDC">
        <w:t>enables</w:t>
      </w:r>
      <w:r w:rsidRPr="00220FDC">
        <w:t xml:space="preserve"> early detection, </w:t>
      </w:r>
      <w:r w:rsidR="00A63BEE">
        <w:t xml:space="preserve">which enhances </w:t>
      </w:r>
      <w:r w:rsidRPr="00220FDC">
        <w:t>cure rates and reduc</w:t>
      </w:r>
      <w:r w:rsidR="00A63BEE">
        <w:t>ed</w:t>
      </w:r>
      <w:r w:rsidRPr="00220FDC">
        <w:t xml:space="preserve"> costs (WHO, 2020). </w:t>
      </w:r>
      <w:r w:rsidR="00A63BEE">
        <w:t>Nonetheless</w:t>
      </w:r>
      <w:r w:rsidRPr="00220FDC">
        <w:t xml:space="preserve">, only 16.4% of Kenyan women aged 30-49 have been screened (KNBS, 2015). Nakuru County </w:t>
      </w:r>
      <w:r w:rsidR="00663B93">
        <w:t>has</w:t>
      </w:r>
      <w:r w:rsidRPr="00220FDC">
        <w:t xml:space="preserve"> a high HPV and cervical cancer burden (Mingo et al., 2014). Recent studies report varying</w:t>
      </w:r>
      <w:r w:rsidR="006F6AE7">
        <w:t xml:space="preserve"> </w:t>
      </w:r>
      <w:r w:rsidR="006F6AE7" w:rsidRPr="00220FDC">
        <w:t>HPV prevalence</w:t>
      </w:r>
      <w:r w:rsidR="006F6AE7">
        <w:t xml:space="preserve"> rates</w:t>
      </w:r>
      <w:r w:rsidRPr="00220FDC">
        <w:t xml:space="preserve"> by region, with high-risk (HR) HPV at 48.7% in some Kenyan counties, though specific Nakuru data align with national estimates of 9.1% for HPV-16/18 in the general population.</w:t>
      </w:r>
    </w:p>
    <w:p w14:paraId="02179232" w14:textId="58670B54" w:rsidR="00220FDC" w:rsidRPr="00220FDC" w:rsidRDefault="00220FDC" w:rsidP="00220FDC">
      <w:pPr>
        <w:jc w:val="both"/>
      </w:pPr>
      <w:r w:rsidRPr="00220FDC">
        <w:t xml:space="preserve">HPV </w:t>
      </w:r>
      <w:r w:rsidR="00057DB4">
        <w:t>is the cause of</w:t>
      </w:r>
      <w:r w:rsidRPr="00220FDC">
        <w:t xml:space="preserve"> 99.7% of cervical cancers, transmitted sexually, with HR types 16 and 18 predominant (ACCP, 2004; WHO, 2006). Lifetime infection risk is 50-80%, but most resolve naturally; persistent infections progress to cervical intraepithelial neoplasia (CIN) and cancer (</w:t>
      </w:r>
      <w:proofErr w:type="spellStart"/>
      <w:r w:rsidRPr="00220FDC">
        <w:t>Berraho</w:t>
      </w:r>
      <w:proofErr w:type="spellEnd"/>
      <w:r w:rsidRPr="00220FDC">
        <w:t xml:space="preserve"> et al., 2017).</w:t>
      </w:r>
    </w:p>
    <w:p w14:paraId="5D504B73" w14:textId="77777777" w:rsidR="00220FDC" w:rsidRPr="00220FDC" w:rsidRDefault="00220FDC" w:rsidP="00220FDC">
      <w:pPr>
        <w:jc w:val="both"/>
      </w:pPr>
      <w:r w:rsidRPr="00220FDC">
        <w:t>Screening methods include VIA, VILI, and HPV testing, suitable for low-resource areas (Sankaranarayanan et al., 2003). VIA and VILI are subjective with variable performance, while HPV testing enables genotyping. Limited research on HPV diversity and method homogeneity in Nakuru justifies this study to inform diagnostics and interventions.</w:t>
      </w:r>
    </w:p>
    <w:p w14:paraId="6C6B58F6" w14:textId="77777777" w:rsidR="00220FDC" w:rsidRPr="00220FDC" w:rsidRDefault="00220FDC" w:rsidP="00220FDC">
      <w:pPr>
        <w:jc w:val="both"/>
        <w:rPr>
          <w:b/>
          <w:bCs/>
        </w:rPr>
      </w:pPr>
      <w:r w:rsidRPr="00220FDC">
        <w:rPr>
          <w:b/>
          <w:bCs/>
        </w:rPr>
        <w:t>Materials and Methods</w:t>
      </w:r>
    </w:p>
    <w:p w14:paraId="6D40D292" w14:textId="28D1A7D2" w:rsidR="00220FDC" w:rsidRPr="00220FDC" w:rsidRDefault="00220FDC" w:rsidP="00220FDC">
      <w:pPr>
        <w:jc w:val="both"/>
      </w:pPr>
      <w:r w:rsidRPr="00220FDC">
        <w:t xml:space="preserve">This study adhered to the Helsinki Declaration. Ethical clearance was obtained from the </w:t>
      </w:r>
      <w:r w:rsidR="00057DB4" w:rsidRPr="001513FB">
        <w:t>University of Eastern Africa, Baraton</w:t>
      </w:r>
      <w:r w:rsidR="00057DB4" w:rsidRPr="00220FDC">
        <w:t xml:space="preserve"> </w:t>
      </w:r>
      <w:r w:rsidRPr="00220FDC">
        <w:t>Research Ethics Committee, research permit from NACOSTI, and approval from Nakuru County Department of Health. Informed consent was secured from participants.</w:t>
      </w:r>
    </w:p>
    <w:p w14:paraId="68FE392D" w14:textId="5CAE282A" w:rsidR="00220FDC" w:rsidRDefault="007B3182" w:rsidP="00220FDC">
      <w:pPr>
        <w:jc w:val="both"/>
        <w:rPr>
          <w:b/>
          <w:bCs/>
        </w:rPr>
      </w:pPr>
      <w:r w:rsidRPr="007B3182">
        <w:t xml:space="preserve">A prospective cross-sectional laboratory-based study was conducted at Nakuru County Teaching and Referral Hospital. Seventy-three women aged 30–50 years were recruited through convenience sampling during cervical screening visits. Cervical specimens were collected following VIA (application of 3–5% acetic acid) and VILI (application of Lugol’s iodine) procedures. Samples were processed for high-risk HPV detection using the GeneXpert molecular platform, which performs automated DNA extraction, amplification, and real-time analysis. Data captured included participant demographics (age, parity), microbiological-related clinical characteristics (history of sexually transmitted infections, HPV vaccination status), and molecular test outcomes. Descriptive analyses assessed HPV prevalence and stratification by clinical and demographic characteristics. The diagnostic performance of VIA and VILI was evaluated against HPV molecular detection through computation of sensitivity, specificity, positive predictive value (PPV), and negative predictive value (NPV). The McNemar test was used to compare paired diagnostic results, while multivariate logistic regression analysis identified significant predictors influencing diagnostic accuracy (p &lt; 0.05). Statistical analyses were performed using SPSS version </w:t>
      </w:r>
      <w:proofErr w:type="gramStart"/>
      <w:r w:rsidRPr="007B3182">
        <w:t>27.</w:t>
      </w:r>
      <w:r w:rsidR="00220FDC" w:rsidRPr="00220FDC">
        <w:rPr>
          <w:b/>
          <w:bCs/>
        </w:rPr>
        <w:t>Results</w:t>
      </w:r>
      <w:proofErr w:type="gramEnd"/>
    </w:p>
    <w:p w14:paraId="054981B8" w14:textId="1B6CDB7C" w:rsidR="00E13A68" w:rsidRDefault="00710254" w:rsidP="00710254">
      <w:pPr>
        <w:jc w:val="both"/>
      </w:pPr>
      <w:r w:rsidRPr="00710254">
        <w:t xml:space="preserve">A total of </w:t>
      </w:r>
      <w:r w:rsidR="006F4E63">
        <w:t>12</w:t>
      </w:r>
      <w:r w:rsidRPr="00710254">
        <w:t xml:space="preserve">3 women aged 30-50 years were recruited into this cross-sectional study at Nakuru County Teaching and Referral Hospital. Demographic characteristics included a mean age of 40.2 years (SD = 5.8), with participants stratified into age groups: </w:t>
      </w:r>
      <w:r w:rsidR="00E13A68">
        <w:t>25</w:t>
      </w:r>
      <w:r w:rsidRPr="00710254">
        <w:t>-35 years (n=</w:t>
      </w:r>
      <w:r w:rsidR="00E13A68">
        <w:t>21</w:t>
      </w:r>
      <w:r w:rsidRPr="00710254">
        <w:t xml:space="preserve">, </w:t>
      </w:r>
      <w:r w:rsidR="00E13A68">
        <w:t>17.1</w:t>
      </w:r>
      <w:r w:rsidRPr="00710254">
        <w:t>%), 36-45 years (n=</w:t>
      </w:r>
      <w:r w:rsidR="00E13A68">
        <w:t>77</w:t>
      </w:r>
      <w:r w:rsidRPr="00710254">
        <w:t>, 6</w:t>
      </w:r>
      <w:r w:rsidR="00E13A68">
        <w:t>2.6</w:t>
      </w:r>
      <w:r w:rsidRPr="00710254">
        <w:t>%), and 46-5</w:t>
      </w:r>
      <w:r w:rsidR="00E13A68">
        <w:t>5</w:t>
      </w:r>
      <w:r w:rsidRPr="00710254">
        <w:t xml:space="preserve"> years (n=</w:t>
      </w:r>
      <w:r w:rsidR="00E13A68">
        <w:t>25</w:t>
      </w:r>
      <w:r w:rsidRPr="00710254">
        <w:t xml:space="preserve">, </w:t>
      </w:r>
      <w:r w:rsidR="00E13A68">
        <w:t>20.3</w:t>
      </w:r>
      <w:r w:rsidRPr="00710254">
        <w:t xml:space="preserve">%). </w:t>
      </w:r>
      <w:r w:rsidR="006F4E63" w:rsidRPr="004C0E4D">
        <w:t>Among the 17 participants for whom parity data was available</w:t>
      </w:r>
      <w:r w:rsidR="006F4E63">
        <w:t>;</w:t>
      </w:r>
      <w:r w:rsidR="00A73A66">
        <w:t xml:space="preserve"> a considerable proportion</w:t>
      </w:r>
      <w:r w:rsidR="00A73A66" w:rsidRPr="00A73A66">
        <w:t xml:space="preserve"> (47%) had a parity of 1+0 (one full-term birth and no preterm births), 2+0 accounted for 29%, </w:t>
      </w:r>
      <w:r w:rsidR="00A73A66">
        <w:t xml:space="preserve">the rest comprised of </w:t>
      </w:r>
      <w:r w:rsidR="00A73A66" w:rsidRPr="00A73A66">
        <w:t xml:space="preserve">3+0 </w:t>
      </w:r>
      <w:r w:rsidR="00A73A66">
        <w:t>(</w:t>
      </w:r>
      <w:r w:rsidR="00A73A66" w:rsidRPr="00A73A66">
        <w:t>12%</w:t>
      </w:r>
      <w:r w:rsidR="00A73A66">
        <w:t>)</w:t>
      </w:r>
      <w:r w:rsidR="00A73A66" w:rsidRPr="00A73A66">
        <w:t xml:space="preserve">, 3+1 </w:t>
      </w:r>
      <w:r w:rsidR="00A73A66">
        <w:t>(</w:t>
      </w:r>
      <w:r w:rsidR="00A73A66" w:rsidRPr="00A73A66">
        <w:t>6%</w:t>
      </w:r>
      <w:r w:rsidR="00A73A66">
        <w:t>)</w:t>
      </w:r>
      <w:r w:rsidR="00A73A66" w:rsidRPr="00A73A66">
        <w:t xml:space="preserve">, and 4+0 </w:t>
      </w:r>
      <w:r w:rsidR="00A73A66">
        <w:t>(</w:t>
      </w:r>
      <w:r w:rsidR="00A73A66" w:rsidRPr="00A73A66">
        <w:t>6%</w:t>
      </w:r>
      <w:r w:rsidR="00A73A66">
        <w:t>)</w:t>
      </w:r>
      <w:r w:rsidR="00A73A66" w:rsidRPr="00A73A66">
        <w:t>.</w:t>
      </w:r>
      <w:r w:rsidR="00A73A66">
        <w:t xml:space="preserve"> </w:t>
      </w:r>
      <w:r w:rsidR="00A73A66" w:rsidRPr="004C0E4D">
        <w:t>A majority of participants were premenopausal (59%), followed by perimenopausal women (38%), while only 2% were postmenopausal.</w:t>
      </w:r>
      <w:r w:rsidR="00F02269">
        <w:t xml:space="preserve"> (Table 1)</w:t>
      </w:r>
    </w:p>
    <w:p w14:paraId="73CED23F" w14:textId="5790728B" w:rsidR="00A73A66" w:rsidRPr="00F02269" w:rsidRDefault="00A73A66" w:rsidP="00371B6D">
      <w:pPr>
        <w:pStyle w:val="Caption"/>
        <w:spacing w:after="0"/>
        <w:rPr>
          <w:rFonts w:ascii="Times New Roman" w:hAnsi="Times New Roman" w:cs="Times New Roman"/>
          <w:b/>
          <w:bCs/>
          <w:i w:val="0"/>
          <w:iCs w:val="0"/>
          <w:color w:val="000000" w:themeColor="text1"/>
          <w:sz w:val="24"/>
          <w:szCs w:val="24"/>
        </w:rPr>
      </w:pPr>
      <w:r w:rsidRPr="00F02269">
        <w:rPr>
          <w:rFonts w:ascii="Times New Roman" w:hAnsi="Times New Roman" w:cs="Times New Roman"/>
          <w:b/>
          <w:bCs/>
          <w:i w:val="0"/>
          <w:iCs w:val="0"/>
          <w:color w:val="000000" w:themeColor="text1"/>
          <w:sz w:val="24"/>
          <w:szCs w:val="24"/>
        </w:rPr>
        <w:t xml:space="preserve">Table </w:t>
      </w:r>
      <w:r w:rsidRPr="00F02269">
        <w:rPr>
          <w:rFonts w:ascii="Times New Roman" w:hAnsi="Times New Roman" w:cs="Times New Roman"/>
          <w:b/>
          <w:bCs/>
          <w:i w:val="0"/>
          <w:iCs w:val="0"/>
          <w:color w:val="000000" w:themeColor="text1"/>
          <w:sz w:val="24"/>
          <w:szCs w:val="24"/>
        </w:rPr>
        <w:fldChar w:fldCharType="begin"/>
      </w:r>
      <w:r w:rsidRPr="00F02269">
        <w:rPr>
          <w:rFonts w:ascii="Times New Roman" w:hAnsi="Times New Roman" w:cs="Times New Roman"/>
          <w:b/>
          <w:bCs/>
          <w:i w:val="0"/>
          <w:iCs w:val="0"/>
          <w:color w:val="000000" w:themeColor="text1"/>
          <w:sz w:val="24"/>
          <w:szCs w:val="24"/>
        </w:rPr>
        <w:instrText xml:space="preserve"> SEQ Table \* ARABIC </w:instrText>
      </w:r>
      <w:r w:rsidRPr="00F02269">
        <w:rPr>
          <w:rFonts w:ascii="Times New Roman" w:hAnsi="Times New Roman" w:cs="Times New Roman"/>
          <w:b/>
          <w:bCs/>
          <w:i w:val="0"/>
          <w:iCs w:val="0"/>
          <w:color w:val="000000" w:themeColor="text1"/>
          <w:sz w:val="24"/>
          <w:szCs w:val="24"/>
        </w:rPr>
        <w:fldChar w:fldCharType="separate"/>
      </w:r>
      <w:r w:rsidR="00E225BB" w:rsidRPr="00F02269">
        <w:rPr>
          <w:rFonts w:ascii="Times New Roman" w:hAnsi="Times New Roman" w:cs="Times New Roman"/>
          <w:b/>
          <w:bCs/>
          <w:i w:val="0"/>
          <w:iCs w:val="0"/>
          <w:noProof/>
          <w:color w:val="000000" w:themeColor="text1"/>
          <w:sz w:val="24"/>
          <w:szCs w:val="24"/>
        </w:rPr>
        <w:t>1</w:t>
      </w:r>
      <w:r w:rsidRPr="00F02269">
        <w:rPr>
          <w:rFonts w:ascii="Times New Roman" w:hAnsi="Times New Roman" w:cs="Times New Roman"/>
          <w:b/>
          <w:bCs/>
          <w:i w:val="0"/>
          <w:iCs w:val="0"/>
          <w:color w:val="000000" w:themeColor="text1"/>
          <w:sz w:val="24"/>
          <w:szCs w:val="24"/>
        </w:rPr>
        <w:fldChar w:fldCharType="end"/>
      </w:r>
      <w:r w:rsidRPr="00F02269">
        <w:rPr>
          <w:rFonts w:ascii="Times New Roman" w:hAnsi="Times New Roman" w:cs="Times New Roman"/>
          <w:b/>
          <w:bCs/>
          <w:i w:val="0"/>
          <w:iCs w:val="0"/>
          <w:color w:val="000000" w:themeColor="text1"/>
          <w:sz w:val="24"/>
          <w:szCs w:val="24"/>
        </w:rPr>
        <w:t>: Socio-Demographic Characteristics of the Surveyed Respondents (n=123)</w:t>
      </w:r>
    </w:p>
    <w:tbl>
      <w:tblPr>
        <w:tblStyle w:val="TableGrid"/>
        <w:tblW w:w="955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425" w:type="dxa"/>
        </w:tblCellMar>
        <w:tblLook w:val="04A0" w:firstRow="1" w:lastRow="0" w:firstColumn="1" w:lastColumn="0" w:noHBand="0" w:noVBand="1"/>
      </w:tblPr>
      <w:tblGrid>
        <w:gridCol w:w="2517"/>
        <w:gridCol w:w="2625"/>
        <w:gridCol w:w="2250"/>
        <w:gridCol w:w="2160"/>
      </w:tblGrid>
      <w:tr w:rsidR="00A73A66" w:rsidRPr="00F02269" w14:paraId="11904AF5" w14:textId="77777777" w:rsidTr="00F02269">
        <w:trPr>
          <w:trHeight w:val="272"/>
        </w:trPr>
        <w:tc>
          <w:tcPr>
            <w:tcW w:w="2517" w:type="dxa"/>
          </w:tcPr>
          <w:p w14:paraId="62C6C929" w14:textId="77777777" w:rsidR="00A73A66" w:rsidRPr="00F02269" w:rsidRDefault="00A73A66" w:rsidP="00CB3110">
            <w:pPr>
              <w:spacing w:line="360" w:lineRule="auto"/>
              <w:jc w:val="both"/>
              <w:rPr>
                <w:b/>
              </w:rPr>
            </w:pPr>
            <w:r w:rsidRPr="00F02269">
              <w:rPr>
                <w:b/>
              </w:rPr>
              <w:t>Variables</w:t>
            </w:r>
          </w:p>
        </w:tc>
        <w:tc>
          <w:tcPr>
            <w:tcW w:w="2625" w:type="dxa"/>
          </w:tcPr>
          <w:p w14:paraId="7F20144A" w14:textId="77777777" w:rsidR="00A73A66" w:rsidRPr="00F02269" w:rsidRDefault="00A73A66" w:rsidP="00CB3110">
            <w:pPr>
              <w:spacing w:line="360" w:lineRule="auto"/>
              <w:jc w:val="both"/>
              <w:rPr>
                <w:b/>
              </w:rPr>
            </w:pPr>
            <w:r w:rsidRPr="00F02269">
              <w:rPr>
                <w:b/>
              </w:rPr>
              <w:t>Categories</w:t>
            </w:r>
          </w:p>
        </w:tc>
        <w:tc>
          <w:tcPr>
            <w:tcW w:w="2250" w:type="dxa"/>
          </w:tcPr>
          <w:p w14:paraId="0CB75864" w14:textId="77777777" w:rsidR="00A73A66" w:rsidRPr="00F02269" w:rsidRDefault="00A73A66" w:rsidP="00CB3110">
            <w:pPr>
              <w:spacing w:line="360" w:lineRule="auto"/>
              <w:jc w:val="both"/>
            </w:pPr>
            <w:r w:rsidRPr="00F02269">
              <w:rPr>
                <w:b/>
              </w:rPr>
              <w:t>Frequency (n)</w:t>
            </w:r>
          </w:p>
        </w:tc>
        <w:tc>
          <w:tcPr>
            <w:tcW w:w="2160" w:type="dxa"/>
          </w:tcPr>
          <w:p w14:paraId="70C6B164" w14:textId="77777777" w:rsidR="00A73A66" w:rsidRPr="00F02269" w:rsidRDefault="00A73A66" w:rsidP="00CB3110">
            <w:pPr>
              <w:spacing w:line="360" w:lineRule="auto"/>
              <w:jc w:val="both"/>
            </w:pPr>
            <w:r w:rsidRPr="00F02269">
              <w:rPr>
                <w:b/>
              </w:rPr>
              <w:t>Percentage (%)</w:t>
            </w:r>
          </w:p>
        </w:tc>
      </w:tr>
      <w:tr w:rsidR="00A73A66" w:rsidRPr="00F02269" w14:paraId="05388DE0" w14:textId="77777777" w:rsidTr="00F02269">
        <w:trPr>
          <w:trHeight w:val="264"/>
        </w:trPr>
        <w:tc>
          <w:tcPr>
            <w:tcW w:w="2517" w:type="dxa"/>
            <w:vMerge w:val="restart"/>
          </w:tcPr>
          <w:p w14:paraId="679855C5" w14:textId="77777777" w:rsidR="00A73A66" w:rsidRPr="00F02269" w:rsidRDefault="00A73A66" w:rsidP="00CB3110">
            <w:pPr>
              <w:spacing w:line="360" w:lineRule="auto"/>
              <w:jc w:val="both"/>
            </w:pPr>
            <w:r w:rsidRPr="00F02269">
              <w:lastRenderedPageBreak/>
              <w:t>Age</w:t>
            </w:r>
          </w:p>
        </w:tc>
        <w:tc>
          <w:tcPr>
            <w:tcW w:w="2625" w:type="dxa"/>
          </w:tcPr>
          <w:p w14:paraId="5A1F4C51" w14:textId="77777777" w:rsidR="00A73A66" w:rsidRPr="00F02269" w:rsidRDefault="00A73A66" w:rsidP="00CB3110">
            <w:pPr>
              <w:spacing w:line="360" w:lineRule="auto"/>
              <w:jc w:val="both"/>
            </w:pPr>
            <w:r w:rsidRPr="00F02269">
              <w:t>25-35 yrs</w:t>
            </w:r>
          </w:p>
        </w:tc>
        <w:tc>
          <w:tcPr>
            <w:tcW w:w="2250" w:type="dxa"/>
          </w:tcPr>
          <w:p w14:paraId="7DBFB2E3" w14:textId="77777777" w:rsidR="00A73A66" w:rsidRPr="00F02269" w:rsidRDefault="00A73A66" w:rsidP="00CB3110">
            <w:pPr>
              <w:spacing w:line="360" w:lineRule="auto"/>
              <w:jc w:val="both"/>
            </w:pPr>
            <w:r w:rsidRPr="00F02269">
              <w:t>21</w:t>
            </w:r>
          </w:p>
        </w:tc>
        <w:tc>
          <w:tcPr>
            <w:tcW w:w="2160" w:type="dxa"/>
          </w:tcPr>
          <w:p w14:paraId="3E3EAB25" w14:textId="77777777" w:rsidR="00A73A66" w:rsidRPr="00F02269" w:rsidRDefault="00A73A66" w:rsidP="00CB3110">
            <w:pPr>
              <w:spacing w:line="360" w:lineRule="auto"/>
              <w:jc w:val="both"/>
            </w:pPr>
            <w:r w:rsidRPr="00F02269">
              <w:t>17%</w:t>
            </w:r>
          </w:p>
        </w:tc>
      </w:tr>
      <w:tr w:rsidR="00A73A66" w:rsidRPr="00F02269" w14:paraId="17E4BFB0" w14:textId="77777777" w:rsidTr="00F02269">
        <w:trPr>
          <w:trHeight w:val="265"/>
        </w:trPr>
        <w:tc>
          <w:tcPr>
            <w:tcW w:w="2517" w:type="dxa"/>
            <w:vMerge/>
          </w:tcPr>
          <w:p w14:paraId="65A77F46" w14:textId="77777777" w:rsidR="00A73A66" w:rsidRPr="00F02269" w:rsidRDefault="00A73A66" w:rsidP="00CB3110">
            <w:pPr>
              <w:spacing w:line="360" w:lineRule="auto"/>
              <w:jc w:val="both"/>
            </w:pPr>
          </w:p>
        </w:tc>
        <w:tc>
          <w:tcPr>
            <w:tcW w:w="2625" w:type="dxa"/>
          </w:tcPr>
          <w:p w14:paraId="65CA8368" w14:textId="77777777" w:rsidR="00A73A66" w:rsidRPr="00F02269" w:rsidRDefault="00A73A66" w:rsidP="00CB3110">
            <w:pPr>
              <w:spacing w:line="360" w:lineRule="auto"/>
              <w:jc w:val="both"/>
            </w:pPr>
            <w:r w:rsidRPr="00F02269">
              <w:t>36-45 yrs</w:t>
            </w:r>
          </w:p>
        </w:tc>
        <w:tc>
          <w:tcPr>
            <w:tcW w:w="2250" w:type="dxa"/>
          </w:tcPr>
          <w:p w14:paraId="25202AF6" w14:textId="77777777" w:rsidR="00A73A66" w:rsidRPr="00F02269" w:rsidRDefault="00A73A66" w:rsidP="00CB3110">
            <w:pPr>
              <w:spacing w:line="360" w:lineRule="auto"/>
              <w:jc w:val="both"/>
            </w:pPr>
            <w:r w:rsidRPr="00F02269">
              <w:t>77</w:t>
            </w:r>
          </w:p>
        </w:tc>
        <w:tc>
          <w:tcPr>
            <w:tcW w:w="2160" w:type="dxa"/>
          </w:tcPr>
          <w:p w14:paraId="5E1CF4B6" w14:textId="77777777" w:rsidR="00A73A66" w:rsidRPr="00F02269" w:rsidRDefault="00A73A66" w:rsidP="00CB3110">
            <w:pPr>
              <w:spacing w:line="360" w:lineRule="auto"/>
              <w:jc w:val="both"/>
            </w:pPr>
            <w:r w:rsidRPr="00F02269">
              <w:t>63%</w:t>
            </w:r>
          </w:p>
        </w:tc>
      </w:tr>
      <w:tr w:rsidR="00A73A66" w:rsidRPr="00F02269" w14:paraId="42D14506" w14:textId="77777777" w:rsidTr="00F02269">
        <w:trPr>
          <w:trHeight w:val="262"/>
        </w:trPr>
        <w:tc>
          <w:tcPr>
            <w:tcW w:w="2517" w:type="dxa"/>
            <w:vMerge/>
          </w:tcPr>
          <w:p w14:paraId="3D9A870C" w14:textId="77777777" w:rsidR="00A73A66" w:rsidRPr="00F02269" w:rsidRDefault="00A73A66" w:rsidP="00CB3110">
            <w:pPr>
              <w:spacing w:line="360" w:lineRule="auto"/>
              <w:jc w:val="both"/>
            </w:pPr>
          </w:p>
        </w:tc>
        <w:tc>
          <w:tcPr>
            <w:tcW w:w="2625" w:type="dxa"/>
          </w:tcPr>
          <w:p w14:paraId="6C3BB578" w14:textId="77777777" w:rsidR="00A73A66" w:rsidRPr="00F02269" w:rsidRDefault="00A73A66" w:rsidP="00CB3110">
            <w:pPr>
              <w:spacing w:line="360" w:lineRule="auto"/>
              <w:jc w:val="both"/>
            </w:pPr>
            <w:r w:rsidRPr="00F02269">
              <w:t>46-55 yrs</w:t>
            </w:r>
          </w:p>
        </w:tc>
        <w:tc>
          <w:tcPr>
            <w:tcW w:w="2250" w:type="dxa"/>
          </w:tcPr>
          <w:p w14:paraId="49AD9BD4" w14:textId="77777777" w:rsidR="00A73A66" w:rsidRPr="00F02269" w:rsidRDefault="00A73A66" w:rsidP="00CB3110">
            <w:pPr>
              <w:spacing w:line="360" w:lineRule="auto"/>
              <w:jc w:val="both"/>
            </w:pPr>
            <w:r w:rsidRPr="00F02269">
              <w:t>25</w:t>
            </w:r>
          </w:p>
        </w:tc>
        <w:tc>
          <w:tcPr>
            <w:tcW w:w="2160" w:type="dxa"/>
          </w:tcPr>
          <w:p w14:paraId="243FE8C3" w14:textId="77777777" w:rsidR="00A73A66" w:rsidRPr="00F02269" w:rsidRDefault="00A73A66" w:rsidP="00CB3110">
            <w:pPr>
              <w:spacing w:line="360" w:lineRule="auto"/>
              <w:jc w:val="both"/>
            </w:pPr>
            <w:r w:rsidRPr="00F02269">
              <w:t>20%</w:t>
            </w:r>
          </w:p>
        </w:tc>
      </w:tr>
      <w:tr w:rsidR="00A73A66" w:rsidRPr="00F02269" w14:paraId="0C9A0801" w14:textId="77777777" w:rsidTr="00F02269">
        <w:trPr>
          <w:trHeight w:val="313"/>
        </w:trPr>
        <w:tc>
          <w:tcPr>
            <w:tcW w:w="2517" w:type="dxa"/>
            <w:vMerge w:val="restart"/>
          </w:tcPr>
          <w:p w14:paraId="7151DC41" w14:textId="77777777" w:rsidR="00A73A66" w:rsidRPr="00F02269" w:rsidRDefault="00A73A66" w:rsidP="00CB3110">
            <w:pPr>
              <w:spacing w:line="360" w:lineRule="auto"/>
              <w:jc w:val="both"/>
              <w:rPr>
                <w:b/>
              </w:rPr>
            </w:pPr>
            <w:r w:rsidRPr="00F02269">
              <w:t>Menopausal Status</w:t>
            </w:r>
          </w:p>
        </w:tc>
        <w:tc>
          <w:tcPr>
            <w:tcW w:w="2625" w:type="dxa"/>
          </w:tcPr>
          <w:p w14:paraId="6C7BAB16" w14:textId="77777777" w:rsidR="00A73A66" w:rsidRPr="00F02269" w:rsidRDefault="00A73A66" w:rsidP="00CB3110">
            <w:pPr>
              <w:spacing w:line="360" w:lineRule="auto"/>
              <w:jc w:val="both"/>
              <w:rPr>
                <w:b/>
              </w:rPr>
            </w:pPr>
            <w:r w:rsidRPr="00F02269">
              <w:t>Perimenopausal</w:t>
            </w:r>
          </w:p>
        </w:tc>
        <w:tc>
          <w:tcPr>
            <w:tcW w:w="2250" w:type="dxa"/>
          </w:tcPr>
          <w:p w14:paraId="5F5F6666" w14:textId="77777777" w:rsidR="00A73A66" w:rsidRPr="00F02269" w:rsidRDefault="00A73A66" w:rsidP="00CB3110">
            <w:pPr>
              <w:spacing w:line="360" w:lineRule="auto"/>
              <w:jc w:val="both"/>
              <w:rPr>
                <w:b/>
              </w:rPr>
            </w:pPr>
            <w:r w:rsidRPr="00F02269">
              <w:t>47</w:t>
            </w:r>
          </w:p>
        </w:tc>
        <w:tc>
          <w:tcPr>
            <w:tcW w:w="2160" w:type="dxa"/>
          </w:tcPr>
          <w:p w14:paraId="69E8372F" w14:textId="77777777" w:rsidR="00A73A66" w:rsidRPr="00F02269" w:rsidRDefault="00A73A66" w:rsidP="00CB3110">
            <w:pPr>
              <w:spacing w:line="360" w:lineRule="auto"/>
              <w:jc w:val="both"/>
              <w:rPr>
                <w:b/>
              </w:rPr>
            </w:pPr>
            <w:r w:rsidRPr="00F02269">
              <w:t>38%</w:t>
            </w:r>
          </w:p>
        </w:tc>
      </w:tr>
      <w:tr w:rsidR="00A73A66" w:rsidRPr="00F02269" w14:paraId="7104CB74" w14:textId="77777777" w:rsidTr="00F02269">
        <w:trPr>
          <w:trHeight w:val="313"/>
        </w:trPr>
        <w:tc>
          <w:tcPr>
            <w:tcW w:w="2517" w:type="dxa"/>
            <w:vMerge/>
          </w:tcPr>
          <w:p w14:paraId="0C31C07E" w14:textId="77777777" w:rsidR="00A73A66" w:rsidRPr="00F02269" w:rsidRDefault="00A73A66" w:rsidP="00CB3110">
            <w:pPr>
              <w:spacing w:line="360" w:lineRule="auto"/>
              <w:ind w:left="316"/>
              <w:jc w:val="both"/>
              <w:rPr>
                <w:b/>
              </w:rPr>
            </w:pPr>
          </w:p>
        </w:tc>
        <w:tc>
          <w:tcPr>
            <w:tcW w:w="2625" w:type="dxa"/>
          </w:tcPr>
          <w:p w14:paraId="6BB2691A" w14:textId="77777777" w:rsidR="00A73A66" w:rsidRPr="00F02269" w:rsidRDefault="00A73A66" w:rsidP="00CB3110">
            <w:pPr>
              <w:spacing w:line="360" w:lineRule="auto"/>
              <w:jc w:val="both"/>
              <w:rPr>
                <w:b/>
              </w:rPr>
            </w:pPr>
            <w:r w:rsidRPr="00F02269">
              <w:t>Postmenopausal</w:t>
            </w:r>
          </w:p>
        </w:tc>
        <w:tc>
          <w:tcPr>
            <w:tcW w:w="2250" w:type="dxa"/>
          </w:tcPr>
          <w:p w14:paraId="367707A7" w14:textId="77777777" w:rsidR="00A73A66" w:rsidRPr="00F02269" w:rsidRDefault="00A73A66" w:rsidP="00CB3110">
            <w:pPr>
              <w:spacing w:line="360" w:lineRule="auto"/>
              <w:jc w:val="both"/>
              <w:rPr>
                <w:b/>
              </w:rPr>
            </w:pPr>
            <w:r w:rsidRPr="00F02269">
              <w:t>3</w:t>
            </w:r>
          </w:p>
        </w:tc>
        <w:tc>
          <w:tcPr>
            <w:tcW w:w="2160" w:type="dxa"/>
          </w:tcPr>
          <w:p w14:paraId="0F6D593A" w14:textId="77777777" w:rsidR="00A73A66" w:rsidRPr="00F02269" w:rsidRDefault="00A73A66" w:rsidP="00CB3110">
            <w:pPr>
              <w:spacing w:line="360" w:lineRule="auto"/>
              <w:jc w:val="both"/>
              <w:rPr>
                <w:b/>
              </w:rPr>
            </w:pPr>
            <w:r w:rsidRPr="00F02269">
              <w:t>2%</w:t>
            </w:r>
          </w:p>
        </w:tc>
      </w:tr>
      <w:tr w:rsidR="00A73A66" w:rsidRPr="00F02269" w14:paraId="3AEB5275" w14:textId="77777777" w:rsidTr="00F02269">
        <w:trPr>
          <w:trHeight w:val="313"/>
        </w:trPr>
        <w:tc>
          <w:tcPr>
            <w:tcW w:w="2517" w:type="dxa"/>
            <w:vMerge/>
          </w:tcPr>
          <w:p w14:paraId="5FFE029F" w14:textId="77777777" w:rsidR="00A73A66" w:rsidRPr="00F02269" w:rsidRDefault="00A73A66" w:rsidP="00CB3110">
            <w:pPr>
              <w:spacing w:line="360" w:lineRule="auto"/>
              <w:ind w:left="316"/>
              <w:jc w:val="both"/>
              <w:rPr>
                <w:b/>
              </w:rPr>
            </w:pPr>
          </w:p>
        </w:tc>
        <w:tc>
          <w:tcPr>
            <w:tcW w:w="2625" w:type="dxa"/>
          </w:tcPr>
          <w:p w14:paraId="2EB773BE" w14:textId="77777777" w:rsidR="00A73A66" w:rsidRPr="00F02269" w:rsidRDefault="00A73A66" w:rsidP="00CB3110">
            <w:pPr>
              <w:spacing w:line="360" w:lineRule="auto"/>
              <w:jc w:val="both"/>
              <w:rPr>
                <w:b/>
              </w:rPr>
            </w:pPr>
            <w:r w:rsidRPr="00F02269">
              <w:t>Premenopausal</w:t>
            </w:r>
          </w:p>
        </w:tc>
        <w:tc>
          <w:tcPr>
            <w:tcW w:w="2250" w:type="dxa"/>
          </w:tcPr>
          <w:p w14:paraId="4EDFFBAA" w14:textId="77777777" w:rsidR="00A73A66" w:rsidRPr="00F02269" w:rsidRDefault="00A73A66" w:rsidP="00CB3110">
            <w:pPr>
              <w:spacing w:line="360" w:lineRule="auto"/>
              <w:jc w:val="both"/>
              <w:rPr>
                <w:b/>
              </w:rPr>
            </w:pPr>
            <w:r w:rsidRPr="00F02269">
              <w:t>73</w:t>
            </w:r>
          </w:p>
        </w:tc>
        <w:tc>
          <w:tcPr>
            <w:tcW w:w="2160" w:type="dxa"/>
          </w:tcPr>
          <w:p w14:paraId="01C69914" w14:textId="77777777" w:rsidR="00A73A66" w:rsidRPr="00F02269" w:rsidRDefault="00A73A66" w:rsidP="00CB3110">
            <w:pPr>
              <w:spacing w:line="360" w:lineRule="auto"/>
              <w:jc w:val="both"/>
              <w:rPr>
                <w:b/>
              </w:rPr>
            </w:pPr>
            <w:r w:rsidRPr="00F02269">
              <w:t>59%</w:t>
            </w:r>
          </w:p>
        </w:tc>
      </w:tr>
      <w:tr w:rsidR="00A73A66" w:rsidRPr="00F02269" w14:paraId="06EADFAB" w14:textId="77777777" w:rsidTr="00F02269">
        <w:trPr>
          <w:trHeight w:val="264"/>
        </w:trPr>
        <w:tc>
          <w:tcPr>
            <w:tcW w:w="2517" w:type="dxa"/>
            <w:vMerge w:val="restart"/>
          </w:tcPr>
          <w:p w14:paraId="70C72334" w14:textId="77777777" w:rsidR="00A73A66" w:rsidRPr="00F02269" w:rsidRDefault="00A73A66" w:rsidP="00CB3110">
            <w:pPr>
              <w:spacing w:line="360" w:lineRule="auto"/>
              <w:jc w:val="both"/>
            </w:pPr>
            <w:r w:rsidRPr="00F02269">
              <w:t>Parity</w:t>
            </w:r>
          </w:p>
        </w:tc>
        <w:tc>
          <w:tcPr>
            <w:tcW w:w="2625" w:type="dxa"/>
          </w:tcPr>
          <w:p w14:paraId="229E646C" w14:textId="77777777" w:rsidR="00A73A66" w:rsidRPr="00F02269" w:rsidRDefault="00A73A66" w:rsidP="00CB3110">
            <w:pPr>
              <w:spacing w:line="360" w:lineRule="auto"/>
              <w:jc w:val="both"/>
            </w:pPr>
            <w:r w:rsidRPr="00F02269">
              <w:t>1+0</w:t>
            </w:r>
          </w:p>
        </w:tc>
        <w:tc>
          <w:tcPr>
            <w:tcW w:w="2250" w:type="dxa"/>
          </w:tcPr>
          <w:p w14:paraId="317F57AE" w14:textId="77777777" w:rsidR="00A73A66" w:rsidRPr="00F02269" w:rsidRDefault="00A73A66" w:rsidP="00CB3110">
            <w:pPr>
              <w:spacing w:line="360" w:lineRule="auto"/>
              <w:jc w:val="both"/>
            </w:pPr>
            <w:r w:rsidRPr="00F02269">
              <w:t>8</w:t>
            </w:r>
          </w:p>
        </w:tc>
        <w:tc>
          <w:tcPr>
            <w:tcW w:w="2160" w:type="dxa"/>
          </w:tcPr>
          <w:p w14:paraId="7D537CE2" w14:textId="77777777" w:rsidR="00A73A66" w:rsidRPr="00F02269" w:rsidRDefault="00A73A66" w:rsidP="00CB3110">
            <w:pPr>
              <w:spacing w:line="360" w:lineRule="auto"/>
              <w:jc w:val="both"/>
            </w:pPr>
            <w:r w:rsidRPr="00F02269">
              <w:t>47%</w:t>
            </w:r>
          </w:p>
        </w:tc>
      </w:tr>
      <w:tr w:rsidR="00A73A66" w:rsidRPr="00F02269" w14:paraId="35D3E1DF" w14:textId="77777777" w:rsidTr="00F02269">
        <w:trPr>
          <w:trHeight w:val="265"/>
        </w:trPr>
        <w:tc>
          <w:tcPr>
            <w:tcW w:w="2517" w:type="dxa"/>
            <w:vMerge/>
          </w:tcPr>
          <w:p w14:paraId="7B935672" w14:textId="77777777" w:rsidR="00A73A66" w:rsidRPr="00F02269" w:rsidRDefault="00A73A66" w:rsidP="00CB3110">
            <w:pPr>
              <w:spacing w:line="360" w:lineRule="auto"/>
              <w:jc w:val="both"/>
            </w:pPr>
          </w:p>
        </w:tc>
        <w:tc>
          <w:tcPr>
            <w:tcW w:w="2625" w:type="dxa"/>
          </w:tcPr>
          <w:p w14:paraId="5E683D83" w14:textId="77777777" w:rsidR="00A73A66" w:rsidRPr="00F02269" w:rsidRDefault="00A73A66" w:rsidP="00CB3110">
            <w:pPr>
              <w:spacing w:line="360" w:lineRule="auto"/>
              <w:jc w:val="both"/>
            </w:pPr>
            <w:r w:rsidRPr="00F02269">
              <w:t>2+0</w:t>
            </w:r>
          </w:p>
        </w:tc>
        <w:tc>
          <w:tcPr>
            <w:tcW w:w="2250" w:type="dxa"/>
          </w:tcPr>
          <w:p w14:paraId="600CAC38" w14:textId="77777777" w:rsidR="00A73A66" w:rsidRPr="00F02269" w:rsidRDefault="00A73A66" w:rsidP="00CB3110">
            <w:pPr>
              <w:spacing w:line="360" w:lineRule="auto"/>
              <w:jc w:val="both"/>
            </w:pPr>
            <w:r w:rsidRPr="00F02269">
              <w:t>5</w:t>
            </w:r>
          </w:p>
        </w:tc>
        <w:tc>
          <w:tcPr>
            <w:tcW w:w="2160" w:type="dxa"/>
          </w:tcPr>
          <w:p w14:paraId="6137D42E" w14:textId="77777777" w:rsidR="00A73A66" w:rsidRPr="00F02269" w:rsidRDefault="00A73A66" w:rsidP="00CB3110">
            <w:pPr>
              <w:spacing w:line="360" w:lineRule="auto"/>
              <w:jc w:val="both"/>
            </w:pPr>
            <w:r w:rsidRPr="00F02269">
              <w:t>29%</w:t>
            </w:r>
          </w:p>
        </w:tc>
      </w:tr>
      <w:tr w:rsidR="00A73A66" w:rsidRPr="00F02269" w14:paraId="7515DC6E" w14:textId="77777777" w:rsidTr="00F02269">
        <w:trPr>
          <w:trHeight w:val="260"/>
        </w:trPr>
        <w:tc>
          <w:tcPr>
            <w:tcW w:w="2517" w:type="dxa"/>
            <w:vMerge/>
          </w:tcPr>
          <w:p w14:paraId="1C8CF6D7" w14:textId="77777777" w:rsidR="00A73A66" w:rsidRPr="00F02269" w:rsidRDefault="00A73A66" w:rsidP="00CB3110">
            <w:pPr>
              <w:spacing w:line="360" w:lineRule="auto"/>
              <w:jc w:val="both"/>
            </w:pPr>
          </w:p>
        </w:tc>
        <w:tc>
          <w:tcPr>
            <w:tcW w:w="2625" w:type="dxa"/>
          </w:tcPr>
          <w:p w14:paraId="66E64CE0" w14:textId="77777777" w:rsidR="00A73A66" w:rsidRPr="00F02269" w:rsidRDefault="00A73A66" w:rsidP="00CB3110">
            <w:pPr>
              <w:spacing w:line="360" w:lineRule="auto"/>
              <w:jc w:val="both"/>
            </w:pPr>
            <w:r w:rsidRPr="00F02269">
              <w:t>3+0</w:t>
            </w:r>
          </w:p>
        </w:tc>
        <w:tc>
          <w:tcPr>
            <w:tcW w:w="2250" w:type="dxa"/>
          </w:tcPr>
          <w:p w14:paraId="2C20251D" w14:textId="77777777" w:rsidR="00A73A66" w:rsidRPr="00F02269" w:rsidRDefault="00A73A66" w:rsidP="00CB3110">
            <w:pPr>
              <w:spacing w:line="360" w:lineRule="auto"/>
              <w:jc w:val="both"/>
            </w:pPr>
            <w:r w:rsidRPr="00F02269">
              <w:t>2</w:t>
            </w:r>
          </w:p>
        </w:tc>
        <w:tc>
          <w:tcPr>
            <w:tcW w:w="2160" w:type="dxa"/>
          </w:tcPr>
          <w:p w14:paraId="683C870D" w14:textId="77777777" w:rsidR="00A73A66" w:rsidRPr="00F02269" w:rsidRDefault="00A73A66" w:rsidP="00CB3110">
            <w:pPr>
              <w:spacing w:line="360" w:lineRule="auto"/>
              <w:jc w:val="both"/>
            </w:pPr>
            <w:r w:rsidRPr="00F02269">
              <w:t>12%</w:t>
            </w:r>
          </w:p>
        </w:tc>
      </w:tr>
      <w:tr w:rsidR="00A73A66" w:rsidRPr="00F02269" w14:paraId="46059283" w14:textId="77777777" w:rsidTr="00F02269">
        <w:trPr>
          <w:trHeight w:val="265"/>
        </w:trPr>
        <w:tc>
          <w:tcPr>
            <w:tcW w:w="2517" w:type="dxa"/>
            <w:vMerge/>
          </w:tcPr>
          <w:p w14:paraId="62B65894" w14:textId="77777777" w:rsidR="00A73A66" w:rsidRPr="00F02269" w:rsidRDefault="00A73A66" w:rsidP="00CB3110">
            <w:pPr>
              <w:spacing w:line="360" w:lineRule="auto"/>
              <w:jc w:val="both"/>
            </w:pPr>
          </w:p>
        </w:tc>
        <w:tc>
          <w:tcPr>
            <w:tcW w:w="2625" w:type="dxa"/>
          </w:tcPr>
          <w:p w14:paraId="0870FFE8" w14:textId="77777777" w:rsidR="00A73A66" w:rsidRPr="00F02269" w:rsidRDefault="00A73A66" w:rsidP="00CB3110">
            <w:pPr>
              <w:spacing w:line="360" w:lineRule="auto"/>
              <w:jc w:val="both"/>
            </w:pPr>
            <w:r w:rsidRPr="00F02269">
              <w:t>3+1</w:t>
            </w:r>
          </w:p>
        </w:tc>
        <w:tc>
          <w:tcPr>
            <w:tcW w:w="2250" w:type="dxa"/>
          </w:tcPr>
          <w:p w14:paraId="72162E76" w14:textId="77777777" w:rsidR="00A73A66" w:rsidRPr="00F02269" w:rsidRDefault="00A73A66" w:rsidP="00CB3110">
            <w:pPr>
              <w:spacing w:line="360" w:lineRule="auto"/>
              <w:jc w:val="both"/>
            </w:pPr>
            <w:r w:rsidRPr="00F02269">
              <w:t>1</w:t>
            </w:r>
          </w:p>
        </w:tc>
        <w:tc>
          <w:tcPr>
            <w:tcW w:w="2160" w:type="dxa"/>
          </w:tcPr>
          <w:p w14:paraId="58015422" w14:textId="77777777" w:rsidR="00A73A66" w:rsidRPr="00F02269" w:rsidRDefault="00A73A66" w:rsidP="00CB3110">
            <w:pPr>
              <w:spacing w:line="360" w:lineRule="auto"/>
              <w:jc w:val="both"/>
            </w:pPr>
            <w:r w:rsidRPr="00F02269">
              <w:t>6%</w:t>
            </w:r>
          </w:p>
        </w:tc>
      </w:tr>
      <w:tr w:rsidR="00A73A66" w:rsidRPr="00F02269" w14:paraId="60832700" w14:textId="77777777" w:rsidTr="00F02269">
        <w:trPr>
          <w:trHeight w:val="262"/>
        </w:trPr>
        <w:tc>
          <w:tcPr>
            <w:tcW w:w="2517" w:type="dxa"/>
            <w:vMerge/>
          </w:tcPr>
          <w:p w14:paraId="5ED29696" w14:textId="77777777" w:rsidR="00A73A66" w:rsidRPr="00F02269" w:rsidRDefault="00A73A66" w:rsidP="00CB3110">
            <w:pPr>
              <w:spacing w:line="360" w:lineRule="auto"/>
              <w:jc w:val="both"/>
            </w:pPr>
          </w:p>
        </w:tc>
        <w:tc>
          <w:tcPr>
            <w:tcW w:w="2625" w:type="dxa"/>
          </w:tcPr>
          <w:p w14:paraId="4FE7E104" w14:textId="77777777" w:rsidR="00A73A66" w:rsidRPr="00F02269" w:rsidRDefault="00A73A66" w:rsidP="00CB3110">
            <w:pPr>
              <w:spacing w:line="360" w:lineRule="auto"/>
              <w:jc w:val="both"/>
            </w:pPr>
            <w:r w:rsidRPr="00F02269">
              <w:t>4+0</w:t>
            </w:r>
          </w:p>
        </w:tc>
        <w:tc>
          <w:tcPr>
            <w:tcW w:w="2250" w:type="dxa"/>
          </w:tcPr>
          <w:p w14:paraId="0DB03F35" w14:textId="77777777" w:rsidR="00A73A66" w:rsidRPr="00F02269" w:rsidRDefault="00A73A66" w:rsidP="00CB3110">
            <w:pPr>
              <w:spacing w:line="360" w:lineRule="auto"/>
              <w:jc w:val="both"/>
            </w:pPr>
            <w:r w:rsidRPr="00F02269">
              <w:t>1</w:t>
            </w:r>
          </w:p>
        </w:tc>
        <w:tc>
          <w:tcPr>
            <w:tcW w:w="2160" w:type="dxa"/>
          </w:tcPr>
          <w:p w14:paraId="3D75852F" w14:textId="77777777" w:rsidR="00A73A66" w:rsidRPr="00F02269" w:rsidRDefault="00A73A66" w:rsidP="00CB3110">
            <w:pPr>
              <w:spacing w:line="360" w:lineRule="auto"/>
              <w:jc w:val="both"/>
            </w:pPr>
            <w:r w:rsidRPr="00F02269">
              <w:t>6%</w:t>
            </w:r>
          </w:p>
        </w:tc>
      </w:tr>
    </w:tbl>
    <w:p w14:paraId="42BD68EE" w14:textId="4A03E3D3" w:rsidR="007F336D" w:rsidRDefault="007F336D" w:rsidP="008170BA">
      <w:pPr>
        <w:jc w:val="both"/>
      </w:pPr>
      <w:r w:rsidRPr="007F336D">
        <w:t>HPV prevalence was determined to be 24% (n=</w:t>
      </w:r>
      <w:r w:rsidR="00E91D23">
        <w:t>30</w:t>
      </w:r>
      <w:r w:rsidRPr="007F336D">
        <w:t>/</w:t>
      </w:r>
      <w:r w:rsidR="00E91D23">
        <w:t>12</w:t>
      </w:r>
      <w:r w:rsidRPr="007F336D">
        <w:t xml:space="preserve">3), </w:t>
      </w:r>
      <w:r w:rsidR="00A8369C">
        <w:t xml:space="preserve">this indicates </w:t>
      </w:r>
      <w:r w:rsidRPr="007F336D">
        <w:t xml:space="preserve">a substantial burden of infection in this cohort. Among the positive cases, high-risk (HR) genotypes predominated, with HPV-16 </w:t>
      </w:r>
      <w:r w:rsidR="00A8369C">
        <w:t>identified as</w:t>
      </w:r>
      <w:r w:rsidRPr="007F336D">
        <w:t xml:space="preserve"> the most common (detected in approximately 50% of positives), followed by HPV-18 (around 30%) and HPV-45 (about 20%). This distribution </w:t>
      </w:r>
      <w:r w:rsidR="00A8369C">
        <w:t xml:space="preserve">is </w:t>
      </w:r>
      <w:r w:rsidR="0047276A">
        <w:t>in tandem</w:t>
      </w:r>
      <w:r w:rsidRPr="007F336D">
        <w:t xml:space="preserve"> with global patterns where these strains account for the majority of oncogenic HPV infections. </w:t>
      </w:r>
      <w:r w:rsidR="008170BA" w:rsidRPr="008170BA">
        <w:t xml:space="preserve">Genetic diversity was evaluated using the Shannon–Weaver diversity index (H′), which yielded a moderate value of 1.513, indicating a moderate level of HPV genotype variability within the study population. Notably, no low-risk HPV genotypes were prominently observed, underscoring the predominance of oncogenic strains. All detected HPV types were classified as high-risk, with HPV 16, 18, and 45 demonstrating varying oncogenic potentials that enabled more refined risk categorization. Among these, HPV 16 emerged as the most aggressive genotype, followed by HPV 18 and HPV 45, supporting a tiered risk stratification framework that distinguishes very high-risk from moderate high-risk groups. </w:t>
      </w:r>
      <w:r w:rsidR="00F02269">
        <w:t>(Table 2)</w:t>
      </w:r>
    </w:p>
    <w:p w14:paraId="3B64BDFF" w14:textId="192B79C4" w:rsidR="00264512" w:rsidRPr="00264512" w:rsidRDefault="00264512" w:rsidP="00264512">
      <w:pPr>
        <w:pStyle w:val="Caption"/>
        <w:spacing w:after="0"/>
        <w:rPr>
          <w:rFonts w:ascii="Times New Roman" w:hAnsi="Times New Roman" w:cs="Times New Roman"/>
          <w:b/>
          <w:bCs/>
          <w:i w:val="0"/>
          <w:iCs w:val="0"/>
          <w:color w:val="000000" w:themeColor="text1"/>
          <w:sz w:val="22"/>
          <w:szCs w:val="22"/>
        </w:rPr>
      </w:pPr>
      <w:r w:rsidRPr="00264512">
        <w:rPr>
          <w:rFonts w:ascii="Times New Roman" w:hAnsi="Times New Roman" w:cs="Times New Roman"/>
          <w:b/>
          <w:bCs/>
          <w:i w:val="0"/>
          <w:iCs w:val="0"/>
          <w:color w:val="000000" w:themeColor="text1"/>
          <w:sz w:val="22"/>
          <w:szCs w:val="22"/>
        </w:rPr>
        <w:t xml:space="preserve">Table </w:t>
      </w:r>
      <w:r w:rsidRPr="00264512">
        <w:rPr>
          <w:rFonts w:ascii="Times New Roman" w:hAnsi="Times New Roman" w:cs="Times New Roman"/>
          <w:b/>
          <w:bCs/>
          <w:i w:val="0"/>
          <w:iCs w:val="0"/>
          <w:color w:val="000000" w:themeColor="text1"/>
          <w:sz w:val="22"/>
          <w:szCs w:val="22"/>
        </w:rPr>
        <w:fldChar w:fldCharType="begin"/>
      </w:r>
      <w:r w:rsidRPr="00264512">
        <w:rPr>
          <w:rFonts w:ascii="Times New Roman" w:hAnsi="Times New Roman" w:cs="Times New Roman"/>
          <w:b/>
          <w:bCs/>
          <w:i w:val="0"/>
          <w:iCs w:val="0"/>
          <w:color w:val="000000" w:themeColor="text1"/>
          <w:sz w:val="22"/>
          <w:szCs w:val="22"/>
        </w:rPr>
        <w:instrText xml:space="preserve"> SEQ Table \* ARABIC </w:instrText>
      </w:r>
      <w:r w:rsidRPr="00264512">
        <w:rPr>
          <w:rFonts w:ascii="Times New Roman" w:hAnsi="Times New Roman" w:cs="Times New Roman"/>
          <w:b/>
          <w:bCs/>
          <w:i w:val="0"/>
          <w:iCs w:val="0"/>
          <w:color w:val="000000" w:themeColor="text1"/>
          <w:sz w:val="22"/>
          <w:szCs w:val="22"/>
        </w:rPr>
        <w:fldChar w:fldCharType="separate"/>
      </w:r>
      <w:r w:rsidR="00E225BB">
        <w:rPr>
          <w:rFonts w:ascii="Times New Roman" w:hAnsi="Times New Roman" w:cs="Times New Roman"/>
          <w:b/>
          <w:bCs/>
          <w:i w:val="0"/>
          <w:iCs w:val="0"/>
          <w:noProof/>
          <w:color w:val="000000" w:themeColor="text1"/>
          <w:sz w:val="22"/>
          <w:szCs w:val="22"/>
        </w:rPr>
        <w:t>2</w:t>
      </w:r>
      <w:r w:rsidRPr="00264512">
        <w:rPr>
          <w:rFonts w:ascii="Times New Roman" w:hAnsi="Times New Roman" w:cs="Times New Roman"/>
          <w:b/>
          <w:bCs/>
          <w:i w:val="0"/>
          <w:iCs w:val="0"/>
          <w:color w:val="000000" w:themeColor="text1"/>
          <w:sz w:val="22"/>
          <w:szCs w:val="22"/>
        </w:rPr>
        <w:fldChar w:fldCharType="end"/>
      </w:r>
      <w:r w:rsidRPr="00264512">
        <w:rPr>
          <w:rFonts w:ascii="Times New Roman" w:hAnsi="Times New Roman" w:cs="Times New Roman"/>
          <w:b/>
          <w:bCs/>
          <w:i w:val="0"/>
          <w:iCs w:val="0"/>
          <w:color w:val="000000" w:themeColor="text1"/>
          <w:sz w:val="22"/>
          <w:szCs w:val="22"/>
        </w:rPr>
        <w:t>: HPV Prevalence and Genetic Diversity, (n=123)</w:t>
      </w:r>
    </w:p>
    <w:tbl>
      <w:tblPr>
        <w:tblStyle w:val="TableGrid"/>
        <w:tblW w:w="9435" w:type="dxa"/>
        <w:tblInd w:w="-107" w:type="dxa"/>
        <w:tblCellMar>
          <w:left w:w="107" w:type="dxa"/>
          <w:right w:w="115" w:type="dxa"/>
        </w:tblCellMar>
        <w:tblLook w:val="04A0" w:firstRow="1" w:lastRow="0" w:firstColumn="1" w:lastColumn="0" w:noHBand="0" w:noVBand="1"/>
      </w:tblPr>
      <w:tblGrid>
        <w:gridCol w:w="3079"/>
        <w:gridCol w:w="2522"/>
        <w:gridCol w:w="1774"/>
        <w:gridCol w:w="2060"/>
      </w:tblGrid>
      <w:tr w:rsidR="00F02269" w:rsidRPr="004C0E4D" w14:paraId="37E0DE5C" w14:textId="77777777" w:rsidTr="008170BA">
        <w:trPr>
          <w:trHeight w:val="270"/>
        </w:trPr>
        <w:tc>
          <w:tcPr>
            <w:tcW w:w="3079" w:type="dxa"/>
            <w:tcBorders>
              <w:top w:val="single" w:sz="4" w:space="0" w:color="000000"/>
              <w:left w:val="single" w:sz="4" w:space="0" w:color="000000"/>
              <w:bottom w:val="single" w:sz="8" w:space="0" w:color="000000"/>
              <w:right w:val="single" w:sz="4" w:space="0" w:color="000000"/>
            </w:tcBorders>
          </w:tcPr>
          <w:p w14:paraId="2A084522" w14:textId="09D03E68" w:rsidR="00F02269" w:rsidRPr="004C0E4D" w:rsidRDefault="00F02269" w:rsidP="00F02269">
            <w:pPr>
              <w:spacing w:line="360" w:lineRule="auto"/>
              <w:ind w:left="6"/>
              <w:jc w:val="both"/>
              <w:rPr>
                <w:b/>
              </w:rPr>
            </w:pPr>
            <w:r w:rsidRPr="00F02269">
              <w:rPr>
                <w:b/>
              </w:rPr>
              <w:t>Variables</w:t>
            </w:r>
          </w:p>
        </w:tc>
        <w:tc>
          <w:tcPr>
            <w:tcW w:w="2522" w:type="dxa"/>
            <w:tcBorders>
              <w:top w:val="single" w:sz="4" w:space="0" w:color="000000"/>
              <w:left w:val="single" w:sz="4" w:space="0" w:color="000000"/>
              <w:bottom w:val="single" w:sz="8" w:space="0" w:color="000000"/>
              <w:right w:val="single" w:sz="4" w:space="0" w:color="000000"/>
            </w:tcBorders>
          </w:tcPr>
          <w:p w14:paraId="0E7BF9A7" w14:textId="5BCA6507" w:rsidR="00F02269" w:rsidRPr="004C0E4D" w:rsidRDefault="00F02269" w:rsidP="00F02269">
            <w:pPr>
              <w:spacing w:line="360" w:lineRule="auto"/>
              <w:ind w:left="6"/>
              <w:jc w:val="both"/>
            </w:pPr>
            <w:r w:rsidRPr="00F02269">
              <w:rPr>
                <w:b/>
              </w:rPr>
              <w:t>Categories</w:t>
            </w:r>
          </w:p>
        </w:tc>
        <w:tc>
          <w:tcPr>
            <w:tcW w:w="1774" w:type="dxa"/>
            <w:tcBorders>
              <w:top w:val="single" w:sz="4" w:space="0" w:color="000000"/>
              <w:left w:val="single" w:sz="4" w:space="0" w:color="000000"/>
              <w:bottom w:val="single" w:sz="8" w:space="0" w:color="000000"/>
              <w:right w:val="single" w:sz="4" w:space="0" w:color="000000"/>
            </w:tcBorders>
          </w:tcPr>
          <w:p w14:paraId="45254626" w14:textId="58A99D91" w:rsidR="00F02269" w:rsidRPr="004C0E4D" w:rsidRDefault="00F02269" w:rsidP="00F02269">
            <w:pPr>
              <w:spacing w:line="360" w:lineRule="auto"/>
              <w:ind w:left="6"/>
              <w:jc w:val="both"/>
            </w:pPr>
            <w:r w:rsidRPr="00F02269">
              <w:rPr>
                <w:b/>
              </w:rPr>
              <w:t>Frequency (n)</w:t>
            </w:r>
          </w:p>
        </w:tc>
        <w:tc>
          <w:tcPr>
            <w:tcW w:w="2060" w:type="dxa"/>
            <w:tcBorders>
              <w:top w:val="single" w:sz="4" w:space="0" w:color="000000"/>
              <w:left w:val="single" w:sz="4" w:space="0" w:color="000000"/>
              <w:bottom w:val="single" w:sz="8" w:space="0" w:color="000000"/>
              <w:right w:val="single" w:sz="4" w:space="0" w:color="000000"/>
            </w:tcBorders>
          </w:tcPr>
          <w:p w14:paraId="4200E869" w14:textId="12199E7D" w:rsidR="00F02269" w:rsidRPr="004C0E4D" w:rsidRDefault="00F02269" w:rsidP="00F02269">
            <w:pPr>
              <w:spacing w:line="360" w:lineRule="auto"/>
              <w:ind w:left="8"/>
              <w:jc w:val="both"/>
            </w:pPr>
            <w:r w:rsidRPr="00F02269">
              <w:rPr>
                <w:b/>
              </w:rPr>
              <w:t>Percentage (%)</w:t>
            </w:r>
          </w:p>
        </w:tc>
      </w:tr>
      <w:tr w:rsidR="00710254" w:rsidRPr="004C0E4D" w14:paraId="36DE225A" w14:textId="77777777" w:rsidTr="008170BA">
        <w:trPr>
          <w:trHeight w:val="262"/>
        </w:trPr>
        <w:tc>
          <w:tcPr>
            <w:tcW w:w="3079" w:type="dxa"/>
            <w:vMerge w:val="restart"/>
            <w:tcBorders>
              <w:top w:val="single" w:sz="8" w:space="0" w:color="000000"/>
              <w:left w:val="single" w:sz="4" w:space="0" w:color="000000"/>
              <w:right w:val="single" w:sz="4" w:space="0" w:color="000000"/>
            </w:tcBorders>
          </w:tcPr>
          <w:p w14:paraId="2EBDF9F4" w14:textId="54B84BED" w:rsidR="00710254" w:rsidRPr="004C0E4D" w:rsidRDefault="00710254" w:rsidP="00CB3110">
            <w:pPr>
              <w:spacing w:line="360" w:lineRule="auto"/>
              <w:jc w:val="both"/>
            </w:pPr>
            <w:r w:rsidRPr="00710254">
              <w:rPr>
                <w:b/>
                <w:lang w:val="en-US"/>
              </w:rPr>
              <w:t>Human Papillomavirus (HPV)</w:t>
            </w:r>
          </w:p>
        </w:tc>
        <w:tc>
          <w:tcPr>
            <w:tcW w:w="2522" w:type="dxa"/>
            <w:tcBorders>
              <w:top w:val="single" w:sz="8" w:space="0" w:color="000000"/>
              <w:left w:val="single" w:sz="4" w:space="0" w:color="000000"/>
              <w:bottom w:val="single" w:sz="4" w:space="0" w:color="000000"/>
              <w:right w:val="single" w:sz="4" w:space="0" w:color="000000"/>
            </w:tcBorders>
          </w:tcPr>
          <w:p w14:paraId="48BF3D92" w14:textId="1A50F46F" w:rsidR="00710254" w:rsidRPr="004C0E4D" w:rsidRDefault="00710254" w:rsidP="00CB3110">
            <w:pPr>
              <w:spacing w:line="360" w:lineRule="auto"/>
              <w:jc w:val="both"/>
            </w:pPr>
            <w:r w:rsidRPr="004C0E4D">
              <w:t>Negative</w:t>
            </w:r>
          </w:p>
        </w:tc>
        <w:tc>
          <w:tcPr>
            <w:tcW w:w="1774" w:type="dxa"/>
            <w:tcBorders>
              <w:top w:val="single" w:sz="8" w:space="0" w:color="000000"/>
              <w:left w:val="single" w:sz="4" w:space="0" w:color="000000"/>
              <w:bottom w:val="single" w:sz="4" w:space="0" w:color="000000"/>
              <w:right w:val="single" w:sz="4" w:space="0" w:color="000000"/>
            </w:tcBorders>
          </w:tcPr>
          <w:p w14:paraId="6BA9F52F" w14:textId="77777777" w:rsidR="00710254" w:rsidRPr="004C0E4D" w:rsidRDefault="00710254" w:rsidP="00CB3110">
            <w:pPr>
              <w:spacing w:line="360" w:lineRule="auto"/>
              <w:ind w:left="6"/>
              <w:jc w:val="both"/>
            </w:pPr>
            <w:r w:rsidRPr="004C0E4D">
              <w:t>93</w:t>
            </w:r>
          </w:p>
        </w:tc>
        <w:tc>
          <w:tcPr>
            <w:tcW w:w="2060" w:type="dxa"/>
            <w:tcBorders>
              <w:top w:val="single" w:sz="8" w:space="0" w:color="000000"/>
              <w:left w:val="single" w:sz="4" w:space="0" w:color="000000"/>
              <w:bottom w:val="single" w:sz="4" w:space="0" w:color="000000"/>
              <w:right w:val="single" w:sz="4" w:space="0" w:color="000000"/>
            </w:tcBorders>
          </w:tcPr>
          <w:p w14:paraId="72300288" w14:textId="77777777" w:rsidR="00710254" w:rsidRPr="004C0E4D" w:rsidRDefault="00710254" w:rsidP="00CB3110">
            <w:pPr>
              <w:spacing w:line="360" w:lineRule="auto"/>
              <w:ind w:left="8"/>
              <w:jc w:val="both"/>
            </w:pPr>
            <w:r w:rsidRPr="004C0E4D">
              <w:t>76%</w:t>
            </w:r>
          </w:p>
        </w:tc>
      </w:tr>
      <w:tr w:rsidR="00710254" w:rsidRPr="004C0E4D" w14:paraId="021CBB7A" w14:textId="77777777" w:rsidTr="008170BA">
        <w:trPr>
          <w:trHeight w:val="263"/>
        </w:trPr>
        <w:tc>
          <w:tcPr>
            <w:tcW w:w="3079" w:type="dxa"/>
            <w:vMerge/>
            <w:tcBorders>
              <w:left w:val="single" w:sz="4" w:space="0" w:color="000000"/>
              <w:bottom w:val="single" w:sz="4" w:space="0" w:color="000000"/>
              <w:right w:val="single" w:sz="4" w:space="0" w:color="000000"/>
            </w:tcBorders>
          </w:tcPr>
          <w:p w14:paraId="07E9DB9E"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02D8B5C9" w14:textId="492ABEE3" w:rsidR="00710254" w:rsidRPr="004C0E4D" w:rsidRDefault="00710254" w:rsidP="00CB3110">
            <w:pPr>
              <w:spacing w:line="360" w:lineRule="auto"/>
              <w:jc w:val="both"/>
            </w:pPr>
            <w:r w:rsidRPr="004C0E4D">
              <w:t>Positive</w:t>
            </w:r>
          </w:p>
        </w:tc>
        <w:tc>
          <w:tcPr>
            <w:tcW w:w="1774" w:type="dxa"/>
            <w:tcBorders>
              <w:top w:val="single" w:sz="4" w:space="0" w:color="000000"/>
              <w:left w:val="single" w:sz="4" w:space="0" w:color="000000"/>
              <w:bottom w:val="single" w:sz="4" w:space="0" w:color="000000"/>
              <w:right w:val="single" w:sz="4" w:space="0" w:color="000000"/>
            </w:tcBorders>
          </w:tcPr>
          <w:p w14:paraId="4EC28063" w14:textId="77777777" w:rsidR="00710254" w:rsidRPr="004C0E4D" w:rsidRDefault="00710254" w:rsidP="00CB3110">
            <w:pPr>
              <w:spacing w:line="360" w:lineRule="auto"/>
              <w:ind w:left="6"/>
              <w:jc w:val="both"/>
            </w:pPr>
            <w:r w:rsidRPr="004C0E4D">
              <w:t>30</w:t>
            </w:r>
          </w:p>
        </w:tc>
        <w:tc>
          <w:tcPr>
            <w:tcW w:w="2060" w:type="dxa"/>
            <w:tcBorders>
              <w:top w:val="single" w:sz="4" w:space="0" w:color="000000"/>
              <w:left w:val="single" w:sz="4" w:space="0" w:color="000000"/>
              <w:bottom w:val="single" w:sz="4" w:space="0" w:color="000000"/>
              <w:right w:val="single" w:sz="4" w:space="0" w:color="000000"/>
            </w:tcBorders>
          </w:tcPr>
          <w:p w14:paraId="16C441CB" w14:textId="77777777" w:rsidR="00710254" w:rsidRPr="004C0E4D" w:rsidRDefault="00710254" w:rsidP="00CB3110">
            <w:pPr>
              <w:spacing w:line="360" w:lineRule="auto"/>
              <w:ind w:left="8"/>
              <w:jc w:val="both"/>
            </w:pPr>
            <w:r w:rsidRPr="004C0E4D">
              <w:t>24%</w:t>
            </w:r>
          </w:p>
        </w:tc>
      </w:tr>
      <w:tr w:rsidR="00710254" w:rsidRPr="004C0E4D" w14:paraId="29B0306D" w14:textId="77777777" w:rsidTr="008170BA">
        <w:trPr>
          <w:trHeight w:val="262"/>
        </w:trPr>
        <w:tc>
          <w:tcPr>
            <w:tcW w:w="3079" w:type="dxa"/>
            <w:vMerge w:val="restart"/>
            <w:tcBorders>
              <w:top w:val="single" w:sz="8" w:space="0" w:color="000000"/>
              <w:left w:val="single" w:sz="4" w:space="0" w:color="000000"/>
              <w:right w:val="single" w:sz="4" w:space="0" w:color="000000"/>
            </w:tcBorders>
          </w:tcPr>
          <w:p w14:paraId="7A48A1F1" w14:textId="50CA0533" w:rsidR="00710254" w:rsidRPr="004C0E4D" w:rsidRDefault="00710254" w:rsidP="00CB3110">
            <w:pPr>
              <w:spacing w:line="360" w:lineRule="auto"/>
              <w:jc w:val="both"/>
            </w:pPr>
            <w:r w:rsidRPr="00710254">
              <w:rPr>
                <w:b/>
                <w:lang w:val="en-US"/>
              </w:rPr>
              <w:t xml:space="preserve">Human Papilloma (HPV test) </w:t>
            </w:r>
            <w:r w:rsidR="006F4E63">
              <w:rPr>
                <w:b/>
                <w:lang w:val="en-US"/>
              </w:rPr>
              <w:t>G</w:t>
            </w:r>
            <w:r w:rsidRPr="00710254">
              <w:rPr>
                <w:b/>
                <w:lang w:val="en-US"/>
              </w:rPr>
              <w:t>enotypes</w:t>
            </w:r>
          </w:p>
        </w:tc>
        <w:tc>
          <w:tcPr>
            <w:tcW w:w="2522" w:type="dxa"/>
            <w:tcBorders>
              <w:top w:val="single" w:sz="8" w:space="0" w:color="000000"/>
              <w:left w:val="single" w:sz="4" w:space="0" w:color="000000"/>
              <w:bottom w:val="single" w:sz="4" w:space="0" w:color="000000"/>
              <w:right w:val="single" w:sz="4" w:space="0" w:color="000000"/>
            </w:tcBorders>
          </w:tcPr>
          <w:p w14:paraId="28520F55" w14:textId="213B4812" w:rsidR="00710254" w:rsidRPr="004C0E4D" w:rsidRDefault="00710254" w:rsidP="00CB3110">
            <w:pPr>
              <w:spacing w:line="360" w:lineRule="auto"/>
              <w:jc w:val="both"/>
            </w:pPr>
            <w:r w:rsidRPr="004C0E4D">
              <w:t>Type 18, 45</w:t>
            </w:r>
          </w:p>
        </w:tc>
        <w:tc>
          <w:tcPr>
            <w:tcW w:w="1774" w:type="dxa"/>
            <w:tcBorders>
              <w:top w:val="single" w:sz="8" w:space="0" w:color="000000"/>
              <w:left w:val="single" w:sz="4" w:space="0" w:color="000000"/>
              <w:bottom w:val="single" w:sz="4" w:space="0" w:color="000000"/>
              <w:right w:val="single" w:sz="4" w:space="0" w:color="000000"/>
            </w:tcBorders>
          </w:tcPr>
          <w:p w14:paraId="6F22FD6D" w14:textId="77777777" w:rsidR="00710254" w:rsidRPr="004C0E4D" w:rsidRDefault="00710254" w:rsidP="00CB3110">
            <w:pPr>
              <w:spacing w:line="360" w:lineRule="auto"/>
              <w:ind w:left="6"/>
              <w:jc w:val="both"/>
            </w:pPr>
            <w:r w:rsidRPr="004C0E4D">
              <w:t>8</w:t>
            </w:r>
          </w:p>
        </w:tc>
        <w:tc>
          <w:tcPr>
            <w:tcW w:w="2060" w:type="dxa"/>
            <w:tcBorders>
              <w:top w:val="single" w:sz="8" w:space="0" w:color="000000"/>
              <w:left w:val="single" w:sz="4" w:space="0" w:color="000000"/>
              <w:bottom w:val="single" w:sz="4" w:space="0" w:color="000000"/>
              <w:right w:val="single" w:sz="4" w:space="0" w:color="000000"/>
            </w:tcBorders>
          </w:tcPr>
          <w:p w14:paraId="2C613EBA" w14:textId="77777777" w:rsidR="00710254" w:rsidRPr="004C0E4D" w:rsidRDefault="00710254" w:rsidP="00CB3110">
            <w:pPr>
              <w:spacing w:line="360" w:lineRule="auto"/>
              <w:ind w:left="8"/>
              <w:jc w:val="both"/>
            </w:pPr>
            <w:r w:rsidRPr="004C0E4D">
              <w:t>7%</w:t>
            </w:r>
          </w:p>
        </w:tc>
      </w:tr>
      <w:tr w:rsidR="00710254" w:rsidRPr="004C0E4D" w14:paraId="5EB3109F" w14:textId="77777777" w:rsidTr="008170BA">
        <w:trPr>
          <w:trHeight w:val="263"/>
        </w:trPr>
        <w:tc>
          <w:tcPr>
            <w:tcW w:w="3079" w:type="dxa"/>
            <w:vMerge/>
            <w:tcBorders>
              <w:left w:val="single" w:sz="4" w:space="0" w:color="000000"/>
              <w:right w:val="single" w:sz="4" w:space="0" w:color="000000"/>
            </w:tcBorders>
          </w:tcPr>
          <w:p w14:paraId="07CB08EF"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673E8AAE" w14:textId="4F799EB9" w:rsidR="00710254" w:rsidRPr="004C0E4D" w:rsidRDefault="00710254" w:rsidP="00CB3110">
            <w:pPr>
              <w:spacing w:line="360" w:lineRule="auto"/>
              <w:jc w:val="both"/>
            </w:pPr>
            <w:r w:rsidRPr="004C0E4D">
              <w:t>Type 16</w:t>
            </w:r>
          </w:p>
        </w:tc>
        <w:tc>
          <w:tcPr>
            <w:tcW w:w="1774" w:type="dxa"/>
            <w:tcBorders>
              <w:top w:val="single" w:sz="4" w:space="0" w:color="000000"/>
              <w:left w:val="single" w:sz="4" w:space="0" w:color="000000"/>
              <w:bottom w:val="single" w:sz="4" w:space="0" w:color="000000"/>
              <w:right w:val="single" w:sz="4" w:space="0" w:color="000000"/>
            </w:tcBorders>
          </w:tcPr>
          <w:p w14:paraId="655B212E" w14:textId="77777777" w:rsidR="00710254" w:rsidRPr="004C0E4D" w:rsidRDefault="00710254" w:rsidP="00CB3110">
            <w:pPr>
              <w:spacing w:line="360" w:lineRule="auto"/>
              <w:ind w:left="6"/>
              <w:jc w:val="both"/>
            </w:pPr>
            <w:r w:rsidRPr="004C0E4D">
              <w:t>7</w:t>
            </w:r>
          </w:p>
        </w:tc>
        <w:tc>
          <w:tcPr>
            <w:tcW w:w="2060" w:type="dxa"/>
            <w:tcBorders>
              <w:top w:val="single" w:sz="4" w:space="0" w:color="000000"/>
              <w:left w:val="single" w:sz="4" w:space="0" w:color="000000"/>
              <w:bottom w:val="single" w:sz="4" w:space="0" w:color="000000"/>
              <w:right w:val="single" w:sz="4" w:space="0" w:color="000000"/>
            </w:tcBorders>
          </w:tcPr>
          <w:p w14:paraId="7414D818" w14:textId="77777777" w:rsidR="00710254" w:rsidRPr="004C0E4D" w:rsidRDefault="00710254" w:rsidP="00CB3110">
            <w:pPr>
              <w:spacing w:line="360" w:lineRule="auto"/>
              <w:ind w:left="8"/>
              <w:jc w:val="both"/>
            </w:pPr>
            <w:r w:rsidRPr="004C0E4D">
              <w:t>6%</w:t>
            </w:r>
          </w:p>
        </w:tc>
      </w:tr>
      <w:tr w:rsidR="00710254" w:rsidRPr="004C0E4D" w14:paraId="189D0619" w14:textId="77777777" w:rsidTr="008170BA">
        <w:trPr>
          <w:trHeight w:val="258"/>
        </w:trPr>
        <w:tc>
          <w:tcPr>
            <w:tcW w:w="3079" w:type="dxa"/>
            <w:vMerge/>
            <w:tcBorders>
              <w:left w:val="single" w:sz="4" w:space="0" w:color="000000"/>
              <w:right w:val="single" w:sz="4" w:space="0" w:color="000000"/>
            </w:tcBorders>
          </w:tcPr>
          <w:p w14:paraId="2C53A41E"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16918000" w14:textId="1322779E" w:rsidR="00710254" w:rsidRPr="004C0E4D" w:rsidRDefault="00710254" w:rsidP="00CB3110">
            <w:pPr>
              <w:spacing w:line="360" w:lineRule="auto"/>
              <w:jc w:val="both"/>
            </w:pPr>
            <w:r w:rsidRPr="004C0E4D">
              <w:t>Type 16, 18, 45</w:t>
            </w:r>
          </w:p>
        </w:tc>
        <w:tc>
          <w:tcPr>
            <w:tcW w:w="1774" w:type="dxa"/>
            <w:tcBorders>
              <w:top w:val="single" w:sz="4" w:space="0" w:color="000000"/>
              <w:left w:val="single" w:sz="4" w:space="0" w:color="000000"/>
              <w:bottom w:val="single" w:sz="4" w:space="0" w:color="000000"/>
              <w:right w:val="single" w:sz="4" w:space="0" w:color="000000"/>
            </w:tcBorders>
          </w:tcPr>
          <w:p w14:paraId="66E84A7A" w14:textId="77777777" w:rsidR="00710254" w:rsidRPr="004C0E4D" w:rsidRDefault="00710254" w:rsidP="00CB3110">
            <w:pPr>
              <w:spacing w:line="360" w:lineRule="auto"/>
              <w:ind w:left="6"/>
              <w:jc w:val="both"/>
            </w:pPr>
            <w:r w:rsidRPr="004C0E4D">
              <w:t>3</w:t>
            </w:r>
          </w:p>
        </w:tc>
        <w:tc>
          <w:tcPr>
            <w:tcW w:w="2060" w:type="dxa"/>
            <w:tcBorders>
              <w:top w:val="single" w:sz="4" w:space="0" w:color="000000"/>
              <w:left w:val="single" w:sz="4" w:space="0" w:color="000000"/>
              <w:bottom w:val="single" w:sz="4" w:space="0" w:color="000000"/>
              <w:right w:val="single" w:sz="4" w:space="0" w:color="000000"/>
            </w:tcBorders>
          </w:tcPr>
          <w:p w14:paraId="787E1949" w14:textId="77777777" w:rsidR="00710254" w:rsidRPr="004C0E4D" w:rsidRDefault="00710254" w:rsidP="00CB3110">
            <w:pPr>
              <w:spacing w:line="360" w:lineRule="auto"/>
              <w:ind w:left="8"/>
              <w:jc w:val="both"/>
            </w:pPr>
            <w:r w:rsidRPr="004C0E4D">
              <w:t>2%</w:t>
            </w:r>
          </w:p>
        </w:tc>
      </w:tr>
      <w:tr w:rsidR="00710254" w:rsidRPr="004C0E4D" w14:paraId="72979E93" w14:textId="77777777" w:rsidTr="008170BA">
        <w:trPr>
          <w:trHeight w:val="263"/>
        </w:trPr>
        <w:tc>
          <w:tcPr>
            <w:tcW w:w="3079" w:type="dxa"/>
            <w:vMerge/>
            <w:tcBorders>
              <w:left w:val="single" w:sz="4" w:space="0" w:color="000000"/>
              <w:right w:val="single" w:sz="4" w:space="0" w:color="000000"/>
            </w:tcBorders>
          </w:tcPr>
          <w:p w14:paraId="6BEFCFB8"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5AFFBB3B" w14:textId="1FCBE3D3" w:rsidR="00710254" w:rsidRPr="004C0E4D" w:rsidRDefault="00710254" w:rsidP="00CB3110">
            <w:pPr>
              <w:spacing w:line="360" w:lineRule="auto"/>
              <w:jc w:val="both"/>
            </w:pPr>
            <w:r w:rsidRPr="004C0E4D">
              <w:t>Type 16, 45</w:t>
            </w:r>
          </w:p>
        </w:tc>
        <w:tc>
          <w:tcPr>
            <w:tcW w:w="1774" w:type="dxa"/>
            <w:tcBorders>
              <w:top w:val="single" w:sz="4" w:space="0" w:color="000000"/>
              <w:left w:val="single" w:sz="4" w:space="0" w:color="000000"/>
              <w:bottom w:val="single" w:sz="4" w:space="0" w:color="000000"/>
              <w:right w:val="single" w:sz="4" w:space="0" w:color="000000"/>
            </w:tcBorders>
          </w:tcPr>
          <w:p w14:paraId="1FBEB195" w14:textId="77777777" w:rsidR="00710254" w:rsidRPr="004C0E4D" w:rsidRDefault="00710254" w:rsidP="00CB3110">
            <w:pPr>
              <w:spacing w:line="360" w:lineRule="auto"/>
              <w:ind w:left="6"/>
              <w:jc w:val="both"/>
            </w:pPr>
            <w:r w:rsidRPr="004C0E4D">
              <w:t>3</w:t>
            </w:r>
          </w:p>
        </w:tc>
        <w:tc>
          <w:tcPr>
            <w:tcW w:w="2060" w:type="dxa"/>
            <w:tcBorders>
              <w:top w:val="single" w:sz="4" w:space="0" w:color="000000"/>
              <w:left w:val="single" w:sz="4" w:space="0" w:color="000000"/>
              <w:bottom w:val="single" w:sz="4" w:space="0" w:color="000000"/>
              <w:right w:val="single" w:sz="4" w:space="0" w:color="000000"/>
            </w:tcBorders>
          </w:tcPr>
          <w:p w14:paraId="71AF7139" w14:textId="77777777" w:rsidR="00710254" w:rsidRPr="004C0E4D" w:rsidRDefault="00710254" w:rsidP="00CB3110">
            <w:pPr>
              <w:spacing w:line="360" w:lineRule="auto"/>
              <w:ind w:left="8"/>
              <w:jc w:val="both"/>
            </w:pPr>
            <w:r w:rsidRPr="004C0E4D">
              <w:t>2%</w:t>
            </w:r>
          </w:p>
        </w:tc>
      </w:tr>
      <w:tr w:rsidR="00710254" w:rsidRPr="004C0E4D" w14:paraId="32075CCE" w14:textId="77777777" w:rsidTr="008170BA">
        <w:trPr>
          <w:trHeight w:val="258"/>
        </w:trPr>
        <w:tc>
          <w:tcPr>
            <w:tcW w:w="3079" w:type="dxa"/>
            <w:vMerge/>
            <w:tcBorders>
              <w:left w:val="single" w:sz="4" w:space="0" w:color="000000"/>
              <w:right w:val="single" w:sz="4" w:space="0" w:color="000000"/>
            </w:tcBorders>
          </w:tcPr>
          <w:p w14:paraId="396A3B50"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3DAB6BCF" w14:textId="6A00BD47" w:rsidR="00710254" w:rsidRPr="004C0E4D" w:rsidRDefault="00710254" w:rsidP="00CB3110">
            <w:pPr>
              <w:spacing w:line="360" w:lineRule="auto"/>
              <w:jc w:val="both"/>
            </w:pPr>
            <w:r w:rsidRPr="004C0E4D">
              <w:t>Others</w:t>
            </w:r>
          </w:p>
        </w:tc>
        <w:tc>
          <w:tcPr>
            <w:tcW w:w="1774" w:type="dxa"/>
            <w:tcBorders>
              <w:top w:val="single" w:sz="4" w:space="0" w:color="000000"/>
              <w:left w:val="single" w:sz="4" w:space="0" w:color="000000"/>
              <w:bottom w:val="single" w:sz="4" w:space="0" w:color="000000"/>
              <w:right w:val="single" w:sz="4" w:space="0" w:color="000000"/>
            </w:tcBorders>
          </w:tcPr>
          <w:p w14:paraId="7453A828" w14:textId="77777777" w:rsidR="00710254" w:rsidRPr="004C0E4D" w:rsidRDefault="00710254" w:rsidP="00CB3110">
            <w:pPr>
              <w:spacing w:line="360" w:lineRule="auto"/>
              <w:ind w:left="6"/>
              <w:jc w:val="both"/>
            </w:pPr>
            <w:r w:rsidRPr="004C0E4D">
              <w:t>9</w:t>
            </w:r>
          </w:p>
        </w:tc>
        <w:tc>
          <w:tcPr>
            <w:tcW w:w="2060" w:type="dxa"/>
            <w:tcBorders>
              <w:top w:val="single" w:sz="4" w:space="0" w:color="000000"/>
              <w:left w:val="single" w:sz="4" w:space="0" w:color="000000"/>
              <w:bottom w:val="single" w:sz="4" w:space="0" w:color="000000"/>
              <w:right w:val="single" w:sz="4" w:space="0" w:color="000000"/>
            </w:tcBorders>
          </w:tcPr>
          <w:p w14:paraId="4866FD11" w14:textId="77777777" w:rsidR="00710254" w:rsidRPr="004C0E4D" w:rsidRDefault="00710254" w:rsidP="00CB3110">
            <w:pPr>
              <w:spacing w:line="360" w:lineRule="auto"/>
              <w:ind w:left="8"/>
              <w:jc w:val="both"/>
            </w:pPr>
            <w:r w:rsidRPr="004C0E4D">
              <w:t>8%</w:t>
            </w:r>
          </w:p>
        </w:tc>
      </w:tr>
      <w:tr w:rsidR="00710254" w:rsidRPr="004C0E4D" w14:paraId="6F3138DB" w14:textId="77777777" w:rsidTr="008170BA">
        <w:trPr>
          <w:trHeight w:val="263"/>
        </w:trPr>
        <w:tc>
          <w:tcPr>
            <w:tcW w:w="3079" w:type="dxa"/>
            <w:vMerge/>
            <w:tcBorders>
              <w:left w:val="single" w:sz="4" w:space="0" w:color="000000"/>
              <w:bottom w:val="single" w:sz="4" w:space="0" w:color="000000"/>
              <w:right w:val="single" w:sz="4" w:space="0" w:color="000000"/>
            </w:tcBorders>
          </w:tcPr>
          <w:p w14:paraId="297AA5E5"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5F800654" w14:textId="3B7242D4" w:rsidR="00710254" w:rsidRPr="004C0E4D" w:rsidRDefault="00710254" w:rsidP="00CB3110">
            <w:pPr>
              <w:spacing w:line="360" w:lineRule="auto"/>
              <w:jc w:val="both"/>
            </w:pPr>
            <w:r w:rsidRPr="004C0E4D">
              <w:t>Not Applicable</w:t>
            </w:r>
          </w:p>
        </w:tc>
        <w:tc>
          <w:tcPr>
            <w:tcW w:w="1774" w:type="dxa"/>
            <w:tcBorders>
              <w:top w:val="single" w:sz="4" w:space="0" w:color="000000"/>
              <w:left w:val="single" w:sz="4" w:space="0" w:color="000000"/>
              <w:bottom w:val="single" w:sz="4" w:space="0" w:color="000000"/>
              <w:right w:val="single" w:sz="4" w:space="0" w:color="000000"/>
            </w:tcBorders>
          </w:tcPr>
          <w:p w14:paraId="4D7FA6E5" w14:textId="77777777" w:rsidR="00710254" w:rsidRPr="004C0E4D" w:rsidRDefault="00710254" w:rsidP="00CB3110">
            <w:pPr>
              <w:spacing w:line="360" w:lineRule="auto"/>
              <w:ind w:left="6"/>
              <w:jc w:val="both"/>
            </w:pPr>
            <w:r w:rsidRPr="004C0E4D">
              <w:t>93</w:t>
            </w:r>
          </w:p>
        </w:tc>
        <w:tc>
          <w:tcPr>
            <w:tcW w:w="2060" w:type="dxa"/>
            <w:tcBorders>
              <w:top w:val="single" w:sz="4" w:space="0" w:color="000000"/>
              <w:left w:val="single" w:sz="4" w:space="0" w:color="000000"/>
              <w:bottom w:val="single" w:sz="4" w:space="0" w:color="000000"/>
              <w:right w:val="single" w:sz="4" w:space="0" w:color="000000"/>
            </w:tcBorders>
          </w:tcPr>
          <w:p w14:paraId="35328BFD" w14:textId="77777777" w:rsidR="00710254" w:rsidRPr="004C0E4D" w:rsidRDefault="00710254" w:rsidP="00CB3110">
            <w:pPr>
              <w:spacing w:line="360" w:lineRule="auto"/>
              <w:ind w:left="8"/>
              <w:jc w:val="both"/>
            </w:pPr>
            <w:r w:rsidRPr="004C0E4D">
              <w:t>76%</w:t>
            </w:r>
          </w:p>
        </w:tc>
      </w:tr>
    </w:tbl>
    <w:p w14:paraId="69A0217C" w14:textId="26F9C193" w:rsidR="00710254" w:rsidRPr="008170BA" w:rsidRDefault="008170BA" w:rsidP="007F336D">
      <w:pPr>
        <w:jc w:val="both"/>
        <w:rPr>
          <w:b/>
          <w:bCs/>
        </w:rPr>
      </w:pPr>
      <w:r w:rsidRPr="008170BA">
        <w:rPr>
          <w:b/>
          <w:bCs/>
        </w:rPr>
        <w:t xml:space="preserve">Table 3: </w:t>
      </w:r>
      <w:r w:rsidR="001A22AB" w:rsidRPr="001A22AB">
        <w:rPr>
          <w:b/>
          <w:bCs/>
        </w:rPr>
        <w:t>Genetic diversity of HPV strains (Shannon-Weaver Index(H’))</w:t>
      </w:r>
    </w:p>
    <w:tbl>
      <w:tblPr>
        <w:tblW w:w="9422" w:type="dxa"/>
        <w:tblInd w:w="-95" w:type="dxa"/>
        <w:tblLook w:val="04A0" w:firstRow="1" w:lastRow="0" w:firstColumn="1" w:lastColumn="0" w:noHBand="0" w:noVBand="1"/>
      </w:tblPr>
      <w:tblGrid>
        <w:gridCol w:w="2222"/>
        <w:gridCol w:w="1756"/>
        <w:gridCol w:w="2342"/>
        <w:gridCol w:w="1502"/>
        <w:gridCol w:w="1600"/>
      </w:tblGrid>
      <w:tr w:rsidR="001A22AB" w14:paraId="64AA13C3" w14:textId="77777777" w:rsidTr="001A22AB">
        <w:trPr>
          <w:trHeight w:val="369"/>
        </w:trPr>
        <w:tc>
          <w:tcPr>
            <w:tcW w:w="2222" w:type="dxa"/>
            <w:tcBorders>
              <w:top w:val="single" w:sz="4" w:space="0" w:color="auto"/>
              <w:left w:val="single" w:sz="4" w:space="0" w:color="auto"/>
              <w:bottom w:val="single" w:sz="4" w:space="0" w:color="auto"/>
              <w:right w:val="single" w:sz="4" w:space="0" w:color="auto"/>
            </w:tcBorders>
            <w:hideMark/>
          </w:tcPr>
          <w:p w14:paraId="4CEB84B2" w14:textId="77777777" w:rsidR="001A22AB" w:rsidRDefault="001A22AB">
            <w:pPr>
              <w:jc w:val="center"/>
              <w:rPr>
                <w:b/>
                <w:bCs/>
              </w:rPr>
            </w:pPr>
            <w:r>
              <w:rPr>
                <w:b/>
                <w:bCs/>
              </w:rPr>
              <w:lastRenderedPageBreak/>
              <w:t>HPV Genotype</w:t>
            </w:r>
          </w:p>
        </w:tc>
        <w:tc>
          <w:tcPr>
            <w:tcW w:w="1756" w:type="dxa"/>
            <w:tcBorders>
              <w:top w:val="single" w:sz="4" w:space="0" w:color="auto"/>
              <w:left w:val="nil"/>
              <w:bottom w:val="single" w:sz="4" w:space="0" w:color="auto"/>
              <w:right w:val="single" w:sz="4" w:space="0" w:color="auto"/>
            </w:tcBorders>
            <w:hideMark/>
          </w:tcPr>
          <w:p w14:paraId="024E8C44" w14:textId="77777777" w:rsidR="001A22AB" w:rsidRDefault="001A22AB">
            <w:pPr>
              <w:jc w:val="center"/>
              <w:rPr>
                <w:b/>
                <w:bCs/>
              </w:rPr>
            </w:pPr>
            <w:r>
              <w:rPr>
                <w:b/>
                <w:bCs/>
              </w:rPr>
              <w:t>Frequency (n)</w:t>
            </w:r>
          </w:p>
        </w:tc>
        <w:tc>
          <w:tcPr>
            <w:tcW w:w="2342" w:type="dxa"/>
            <w:tcBorders>
              <w:top w:val="single" w:sz="4" w:space="0" w:color="auto"/>
              <w:left w:val="nil"/>
              <w:bottom w:val="single" w:sz="4" w:space="0" w:color="auto"/>
              <w:right w:val="single" w:sz="4" w:space="0" w:color="auto"/>
            </w:tcBorders>
            <w:hideMark/>
          </w:tcPr>
          <w:p w14:paraId="1A67B9E3" w14:textId="77777777" w:rsidR="001A22AB" w:rsidRDefault="001A22AB">
            <w:pPr>
              <w:jc w:val="center"/>
              <w:rPr>
                <w:b/>
                <w:bCs/>
              </w:rPr>
            </w:pPr>
            <w:r>
              <w:rPr>
                <w:b/>
                <w:bCs/>
              </w:rPr>
              <w:t>Proportion (p</w:t>
            </w:r>
            <w:r>
              <w:rPr>
                <w:b/>
                <w:bCs/>
                <w:vertAlign w:val="subscript"/>
              </w:rPr>
              <w:t>i</w:t>
            </w:r>
            <w:r>
              <w:rPr>
                <w:b/>
                <w:bCs/>
              </w:rPr>
              <w:t>​)</w:t>
            </w:r>
          </w:p>
        </w:tc>
        <w:tc>
          <w:tcPr>
            <w:tcW w:w="1502" w:type="dxa"/>
            <w:tcBorders>
              <w:top w:val="single" w:sz="4" w:space="0" w:color="auto"/>
              <w:left w:val="nil"/>
              <w:bottom w:val="single" w:sz="4" w:space="0" w:color="auto"/>
              <w:right w:val="single" w:sz="4" w:space="0" w:color="auto"/>
            </w:tcBorders>
            <w:hideMark/>
          </w:tcPr>
          <w:p w14:paraId="18530140" w14:textId="77777777" w:rsidR="001A22AB" w:rsidRDefault="001A22AB">
            <w:pPr>
              <w:jc w:val="center"/>
              <w:rPr>
                <w:b/>
                <w:bCs/>
              </w:rPr>
            </w:pPr>
            <w:r>
              <w:rPr>
                <w:b/>
                <w:bCs/>
              </w:rPr>
              <w:t>ln(p</w:t>
            </w:r>
            <w:r>
              <w:rPr>
                <w:b/>
                <w:bCs/>
                <w:vertAlign w:val="subscript"/>
              </w:rPr>
              <w:t>i</w:t>
            </w:r>
            <w:r>
              <w:rPr>
                <w:b/>
                <w:bCs/>
              </w:rPr>
              <w:t>)</w:t>
            </w:r>
          </w:p>
        </w:tc>
        <w:tc>
          <w:tcPr>
            <w:tcW w:w="1600" w:type="dxa"/>
            <w:tcBorders>
              <w:top w:val="single" w:sz="4" w:space="0" w:color="auto"/>
              <w:left w:val="nil"/>
              <w:bottom w:val="single" w:sz="4" w:space="0" w:color="auto"/>
              <w:right w:val="single" w:sz="4" w:space="0" w:color="auto"/>
            </w:tcBorders>
            <w:hideMark/>
          </w:tcPr>
          <w:p w14:paraId="4363BF2E" w14:textId="77777777" w:rsidR="001A22AB" w:rsidRDefault="001A22AB">
            <w:pPr>
              <w:jc w:val="center"/>
              <w:rPr>
                <w:b/>
                <w:bCs/>
              </w:rPr>
            </w:pPr>
            <w:r>
              <w:rPr>
                <w:b/>
                <w:bCs/>
              </w:rPr>
              <w:t>p</w:t>
            </w:r>
            <w:r>
              <w:rPr>
                <w:b/>
                <w:bCs/>
                <w:vertAlign w:val="subscript"/>
              </w:rPr>
              <w:t>i</w:t>
            </w:r>
            <w:r>
              <w:rPr>
                <w:b/>
                <w:bCs/>
              </w:rPr>
              <w:t>​×</w:t>
            </w:r>
            <w:proofErr w:type="spellStart"/>
            <w:r>
              <w:rPr>
                <w:b/>
                <w:bCs/>
              </w:rPr>
              <w:t>lnp</w:t>
            </w:r>
            <w:r>
              <w:rPr>
                <w:b/>
                <w:bCs/>
                <w:vertAlign w:val="subscript"/>
              </w:rPr>
              <w:t>i</w:t>
            </w:r>
            <w:proofErr w:type="spellEnd"/>
            <w:r>
              <w:rPr>
                <w:b/>
                <w:bCs/>
              </w:rPr>
              <w:t>​</w:t>
            </w:r>
          </w:p>
        </w:tc>
      </w:tr>
      <w:tr w:rsidR="001A22AB" w14:paraId="140F4EF3"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6BC507B0" w14:textId="77777777" w:rsidR="001A22AB" w:rsidRDefault="001A22AB">
            <w:r>
              <w:t>Type 18, 45</w:t>
            </w:r>
          </w:p>
        </w:tc>
        <w:tc>
          <w:tcPr>
            <w:tcW w:w="1756" w:type="dxa"/>
            <w:tcBorders>
              <w:top w:val="nil"/>
              <w:left w:val="nil"/>
              <w:bottom w:val="single" w:sz="4" w:space="0" w:color="auto"/>
              <w:right w:val="single" w:sz="4" w:space="0" w:color="auto"/>
            </w:tcBorders>
            <w:hideMark/>
          </w:tcPr>
          <w:p w14:paraId="00C4E1B4" w14:textId="77777777" w:rsidR="001A22AB" w:rsidRDefault="001A22AB">
            <w:pPr>
              <w:jc w:val="center"/>
            </w:pPr>
            <w:r>
              <w:t>8</w:t>
            </w:r>
          </w:p>
        </w:tc>
        <w:tc>
          <w:tcPr>
            <w:tcW w:w="2342" w:type="dxa"/>
            <w:tcBorders>
              <w:top w:val="nil"/>
              <w:left w:val="nil"/>
              <w:bottom w:val="single" w:sz="4" w:space="0" w:color="auto"/>
              <w:right w:val="single" w:sz="4" w:space="0" w:color="auto"/>
            </w:tcBorders>
            <w:hideMark/>
          </w:tcPr>
          <w:p w14:paraId="1C13661F" w14:textId="77777777" w:rsidR="001A22AB" w:rsidRDefault="001A22AB">
            <w:pPr>
              <w:jc w:val="center"/>
            </w:pPr>
            <w:r>
              <w:t>8/30=0.2678</w:t>
            </w:r>
          </w:p>
        </w:tc>
        <w:tc>
          <w:tcPr>
            <w:tcW w:w="1502" w:type="dxa"/>
            <w:tcBorders>
              <w:top w:val="nil"/>
              <w:left w:val="nil"/>
              <w:bottom w:val="single" w:sz="4" w:space="0" w:color="auto"/>
              <w:right w:val="single" w:sz="4" w:space="0" w:color="auto"/>
            </w:tcBorders>
            <w:hideMark/>
          </w:tcPr>
          <w:p w14:paraId="2F4181CA" w14:textId="77777777" w:rsidR="001A22AB" w:rsidRDefault="001A22AB">
            <w:pPr>
              <w:jc w:val="center"/>
            </w:pPr>
            <w:r>
              <w:t>-1.321</w:t>
            </w:r>
          </w:p>
        </w:tc>
        <w:tc>
          <w:tcPr>
            <w:tcW w:w="1600" w:type="dxa"/>
            <w:tcBorders>
              <w:top w:val="nil"/>
              <w:left w:val="nil"/>
              <w:bottom w:val="single" w:sz="4" w:space="0" w:color="auto"/>
              <w:right w:val="single" w:sz="4" w:space="0" w:color="auto"/>
            </w:tcBorders>
            <w:hideMark/>
          </w:tcPr>
          <w:p w14:paraId="7F1CEF25" w14:textId="77777777" w:rsidR="001A22AB" w:rsidRDefault="001A22AB">
            <w:pPr>
              <w:jc w:val="center"/>
            </w:pPr>
            <w:r>
              <w:t>-0.353</w:t>
            </w:r>
          </w:p>
        </w:tc>
      </w:tr>
      <w:tr w:rsidR="001A22AB" w14:paraId="30AA3774"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2A547CBF" w14:textId="77777777" w:rsidR="001A22AB" w:rsidRDefault="001A22AB">
            <w:r>
              <w:t>Type 16</w:t>
            </w:r>
          </w:p>
        </w:tc>
        <w:tc>
          <w:tcPr>
            <w:tcW w:w="1756" w:type="dxa"/>
            <w:tcBorders>
              <w:top w:val="nil"/>
              <w:left w:val="nil"/>
              <w:bottom w:val="single" w:sz="4" w:space="0" w:color="auto"/>
              <w:right w:val="single" w:sz="4" w:space="0" w:color="auto"/>
            </w:tcBorders>
            <w:hideMark/>
          </w:tcPr>
          <w:p w14:paraId="06427545" w14:textId="77777777" w:rsidR="001A22AB" w:rsidRDefault="001A22AB">
            <w:pPr>
              <w:jc w:val="center"/>
            </w:pPr>
            <w:r>
              <w:t>7</w:t>
            </w:r>
          </w:p>
        </w:tc>
        <w:tc>
          <w:tcPr>
            <w:tcW w:w="2342" w:type="dxa"/>
            <w:tcBorders>
              <w:top w:val="nil"/>
              <w:left w:val="nil"/>
              <w:bottom w:val="single" w:sz="4" w:space="0" w:color="auto"/>
              <w:right w:val="single" w:sz="4" w:space="0" w:color="auto"/>
            </w:tcBorders>
            <w:hideMark/>
          </w:tcPr>
          <w:p w14:paraId="3E998F4A" w14:textId="77777777" w:rsidR="001A22AB" w:rsidRDefault="001A22AB">
            <w:pPr>
              <w:jc w:val="center"/>
            </w:pPr>
            <w:r>
              <w:t>7/30=0.2337</w:t>
            </w:r>
          </w:p>
        </w:tc>
        <w:tc>
          <w:tcPr>
            <w:tcW w:w="1502" w:type="dxa"/>
            <w:tcBorders>
              <w:top w:val="nil"/>
              <w:left w:val="nil"/>
              <w:bottom w:val="single" w:sz="4" w:space="0" w:color="auto"/>
              <w:right w:val="single" w:sz="4" w:space="0" w:color="auto"/>
            </w:tcBorders>
            <w:hideMark/>
          </w:tcPr>
          <w:p w14:paraId="241ADEB4" w14:textId="77777777" w:rsidR="001A22AB" w:rsidRDefault="001A22AB">
            <w:pPr>
              <w:jc w:val="center"/>
            </w:pPr>
            <w:r>
              <w:t>-1.455</w:t>
            </w:r>
          </w:p>
        </w:tc>
        <w:tc>
          <w:tcPr>
            <w:tcW w:w="1600" w:type="dxa"/>
            <w:tcBorders>
              <w:top w:val="nil"/>
              <w:left w:val="nil"/>
              <w:bottom w:val="single" w:sz="4" w:space="0" w:color="auto"/>
              <w:right w:val="single" w:sz="4" w:space="0" w:color="auto"/>
            </w:tcBorders>
            <w:hideMark/>
          </w:tcPr>
          <w:p w14:paraId="35DE6A8B" w14:textId="77777777" w:rsidR="001A22AB" w:rsidRDefault="001A22AB">
            <w:pPr>
              <w:jc w:val="center"/>
            </w:pPr>
            <w:r>
              <w:t>-0.339</w:t>
            </w:r>
          </w:p>
        </w:tc>
      </w:tr>
      <w:tr w:rsidR="001A22AB" w14:paraId="0518EF52"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0D1E38A2" w14:textId="77777777" w:rsidR="001A22AB" w:rsidRDefault="001A22AB">
            <w:r>
              <w:t>Type 16, 18, 45</w:t>
            </w:r>
          </w:p>
        </w:tc>
        <w:tc>
          <w:tcPr>
            <w:tcW w:w="1756" w:type="dxa"/>
            <w:tcBorders>
              <w:top w:val="nil"/>
              <w:left w:val="nil"/>
              <w:bottom w:val="single" w:sz="4" w:space="0" w:color="auto"/>
              <w:right w:val="single" w:sz="4" w:space="0" w:color="auto"/>
            </w:tcBorders>
            <w:hideMark/>
          </w:tcPr>
          <w:p w14:paraId="5B6F4A02" w14:textId="77777777" w:rsidR="001A22AB" w:rsidRDefault="001A22AB">
            <w:pPr>
              <w:jc w:val="center"/>
            </w:pPr>
            <w:r>
              <w:t>3</w:t>
            </w:r>
          </w:p>
        </w:tc>
        <w:tc>
          <w:tcPr>
            <w:tcW w:w="2342" w:type="dxa"/>
            <w:tcBorders>
              <w:top w:val="nil"/>
              <w:left w:val="nil"/>
              <w:bottom w:val="single" w:sz="4" w:space="0" w:color="auto"/>
              <w:right w:val="single" w:sz="4" w:space="0" w:color="auto"/>
            </w:tcBorders>
            <w:hideMark/>
          </w:tcPr>
          <w:p w14:paraId="5777208B" w14:textId="77777777" w:rsidR="001A22AB" w:rsidRDefault="001A22AB">
            <w:pPr>
              <w:jc w:val="center"/>
            </w:pPr>
            <w:r>
              <w:t>3/30=0.1003</w:t>
            </w:r>
          </w:p>
        </w:tc>
        <w:tc>
          <w:tcPr>
            <w:tcW w:w="1502" w:type="dxa"/>
            <w:tcBorders>
              <w:top w:val="nil"/>
              <w:left w:val="nil"/>
              <w:bottom w:val="single" w:sz="4" w:space="0" w:color="auto"/>
              <w:right w:val="single" w:sz="4" w:space="0" w:color="auto"/>
            </w:tcBorders>
            <w:hideMark/>
          </w:tcPr>
          <w:p w14:paraId="10284AF7" w14:textId="77777777" w:rsidR="001A22AB" w:rsidRDefault="001A22AB">
            <w:pPr>
              <w:jc w:val="center"/>
            </w:pPr>
            <w:r>
              <w:t>-2.302</w:t>
            </w:r>
          </w:p>
        </w:tc>
        <w:tc>
          <w:tcPr>
            <w:tcW w:w="1600" w:type="dxa"/>
            <w:tcBorders>
              <w:top w:val="nil"/>
              <w:left w:val="nil"/>
              <w:bottom w:val="single" w:sz="4" w:space="0" w:color="auto"/>
              <w:right w:val="single" w:sz="4" w:space="0" w:color="auto"/>
            </w:tcBorders>
            <w:hideMark/>
          </w:tcPr>
          <w:p w14:paraId="74D0B0BB" w14:textId="77777777" w:rsidR="001A22AB" w:rsidRDefault="001A22AB">
            <w:pPr>
              <w:jc w:val="center"/>
            </w:pPr>
            <w:r>
              <w:t>-0.23</w:t>
            </w:r>
          </w:p>
        </w:tc>
      </w:tr>
      <w:tr w:rsidR="001A22AB" w14:paraId="770E339B"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28A1DA28" w14:textId="77777777" w:rsidR="001A22AB" w:rsidRDefault="001A22AB">
            <w:r>
              <w:t>Type 16, 45</w:t>
            </w:r>
          </w:p>
        </w:tc>
        <w:tc>
          <w:tcPr>
            <w:tcW w:w="1756" w:type="dxa"/>
            <w:tcBorders>
              <w:top w:val="nil"/>
              <w:left w:val="nil"/>
              <w:bottom w:val="single" w:sz="4" w:space="0" w:color="auto"/>
              <w:right w:val="single" w:sz="4" w:space="0" w:color="auto"/>
            </w:tcBorders>
            <w:hideMark/>
          </w:tcPr>
          <w:p w14:paraId="643B014D" w14:textId="77777777" w:rsidR="001A22AB" w:rsidRDefault="001A22AB">
            <w:pPr>
              <w:jc w:val="center"/>
            </w:pPr>
            <w:r>
              <w:t>3</w:t>
            </w:r>
          </w:p>
        </w:tc>
        <w:tc>
          <w:tcPr>
            <w:tcW w:w="2342" w:type="dxa"/>
            <w:tcBorders>
              <w:top w:val="nil"/>
              <w:left w:val="nil"/>
              <w:bottom w:val="single" w:sz="4" w:space="0" w:color="auto"/>
              <w:right w:val="single" w:sz="4" w:space="0" w:color="auto"/>
            </w:tcBorders>
            <w:hideMark/>
          </w:tcPr>
          <w:p w14:paraId="46ADDFD5" w14:textId="77777777" w:rsidR="001A22AB" w:rsidRDefault="001A22AB">
            <w:pPr>
              <w:jc w:val="center"/>
            </w:pPr>
            <w:r>
              <w:t>3/30=0.1003</w:t>
            </w:r>
          </w:p>
        </w:tc>
        <w:tc>
          <w:tcPr>
            <w:tcW w:w="1502" w:type="dxa"/>
            <w:tcBorders>
              <w:top w:val="nil"/>
              <w:left w:val="nil"/>
              <w:bottom w:val="single" w:sz="4" w:space="0" w:color="auto"/>
              <w:right w:val="single" w:sz="4" w:space="0" w:color="auto"/>
            </w:tcBorders>
            <w:hideMark/>
          </w:tcPr>
          <w:p w14:paraId="1770C7B2" w14:textId="77777777" w:rsidR="001A22AB" w:rsidRDefault="001A22AB">
            <w:pPr>
              <w:jc w:val="center"/>
            </w:pPr>
            <w:r>
              <w:t>-2.302</w:t>
            </w:r>
          </w:p>
        </w:tc>
        <w:tc>
          <w:tcPr>
            <w:tcW w:w="1600" w:type="dxa"/>
            <w:tcBorders>
              <w:top w:val="nil"/>
              <w:left w:val="nil"/>
              <w:bottom w:val="single" w:sz="4" w:space="0" w:color="auto"/>
              <w:right w:val="single" w:sz="4" w:space="0" w:color="auto"/>
            </w:tcBorders>
            <w:hideMark/>
          </w:tcPr>
          <w:p w14:paraId="5CA9BEEB" w14:textId="77777777" w:rsidR="001A22AB" w:rsidRDefault="001A22AB">
            <w:pPr>
              <w:jc w:val="center"/>
            </w:pPr>
            <w:r>
              <w:t>-0.23</w:t>
            </w:r>
          </w:p>
        </w:tc>
      </w:tr>
      <w:tr w:rsidR="001A22AB" w14:paraId="17C2CEA2"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76DEB346" w14:textId="77777777" w:rsidR="001A22AB" w:rsidRDefault="001A22AB">
            <w:r>
              <w:t>Others</w:t>
            </w:r>
          </w:p>
        </w:tc>
        <w:tc>
          <w:tcPr>
            <w:tcW w:w="1756" w:type="dxa"/>
            <w:tcBorders>
              <w:top w:val="nil"/>
              <w:left w:val="nil"/>
              <w:bottom w:val="single" w:sz="4" w:space="0" w:color="auto"/>
              <w:right w:val="single" w:sz="4" w:space="0" w:color="auto"/>
            </w:tcBorders>
            <w:hideMark/>
          </w:tcPr>
          <w:p w14:paraId="589068E8" w14:textId="77777777" w:rsidR="001A22AB" w:rsidRDefault="001A22AB">
            <w:pPr>
              <w:jc w:val="center"/>
            </w:pPr>
            <w:r>
              <w:t>9</w:t>
            </w:r>
          </w:p>
        </w:tc>
        <w:tc>
          <w:tcPr>
            <w:tcW w:w="2342" w:type="dxa"/>
            <w:tcBorders>
              <w:top w:val="nil"/>
              <w:left w:val="nil"/>
              <w:bottom w:val="single" w:sz="4" w:space="0" w:color="auto"/>
              <w:right w:val="single" w:sz="4" w:space="0" w:color="auto"/>
            </w:tcBorders>
            <w:hideMark/>
          </w:tcPr>
          <w:p w14:paraId="37157C73" w14:textId="77777777" w:rsidR="001A22AB" w:rsidRDefault="001A22AB">
            <w:pPr>
              <w:jc w:val="center"/>
            </w:pPr>
            <w:r>
              <w:t>9/30=0.3009</w:t>
            </w:r>
          </w:p>
        </w:tc>
        <w:tc>
          <w:tcPr>
            <w:tcW w:w="1502" w:type="dxa"/>
            <w:tcBorders>
              <w:top w:val="nil"/>
              <w:left w:val="nil"/>
              <w:bottom w:val="single" w:sz="4" w:space="0" w:color="auto"/>
              <w:right w:val="single" w:sz="4" w:space="0" w:color="auto"/>
            </w:tcBorders>
            <w:hideMark/>
          </w:tcPr>
          <w:p w14:paraId="4E541E65" w14:textId="77777777" w:rsidR="001A22AB" w:rsidRDefault="001A22AB">
            <w:pPr>
              <w:jc w:val="center"/>
            </w:pPr>
            <w:r>
              <w:t>-1.204</w:t>
            </w:r>
          </w:p>
        </w:tc>
        <w:tc>
          <w:tcPr>
            <w:tcW w:w="1600" w:type="dxa"/>
            <w:tcBorders>
              <w:top w:val="nil"/>
              <w:left w:val="nil"/>
              <w:bottom w:val="single" w:sz="4" w:space="0" w:color="auto"/>
              <w:right w:val="single" w:sz="4" w:space="0" w:color="auto"/>
            </w:tcBorders>
            <w:hideMark/>
          </w:tcPr>
          <w:p w14:paraId="0C1EE1A3" w14:textId="77777777" w:rsidR="001A22AB" w:rsidRDefault="001A22AB">
            <w:pPr>
              <w:jc w:val="center"/>
            </w:pPr>
            <w:r>
              <w:t>-0.361</w:t>
            </w:r>
          </w:p>
        </w:tc>
      </w:tr>
    </w:tbl>
    <w:p w14:paraId="32451F1E" w14:textId="77777777" w:rsidR="008170BA" w:rsidRPr="007F336D" w:rsidRDefault="008170BA" w:rsidP="007F336D">
      <w:pPr>
        <w:jc w:val="both"/>
      </w:pPr>
    </w:p>
    <w:p w14:paraId="776F53B7" w14:textId="4972CA4A" w:rsidR="007F336D" w:rsidRDefault="007F336D" w:rsidP="007F336D">
      <w:pPr>
        <w:jc w:val="both"/>
      </w:pPr>
      <w:r w:rsidRPr="007F336D">
        <w:t xml:space="preserve">Diagnostic performance of the conventional methods was assessed against HPV testing as the gold standard. </w:t>
      </w:r>
      <w:r w:rsidR="00DE410C">
        <w:rPr>
          <w:bCs/>
        </w:rPr>
        <w:t>T</w:t>
      </w:r>
      <w:r w:rsidR="00DE410C" w:rsidRPr="00DE410C">
        <w:rPr>
          <w:bCs/>
        </w:rPr>
        <w:t>he study revealed that both VIA and VILI, when compared to HPV testing as the gold standard</w:t>
      </w:r>
      <w:r w:rsidR="00DE410C" w:rsidRPr="00DE410C">
        <w:t xml:space="preserve">, </w:t>
      </w:r>
      <w:r w:rsidR="00DE410C">
        <w:t>confirmed</w:t>
      </w:r>
      <w:r w:rsidR="00DE410C" w:rsidRPr="00DE410C">
        <w:t xml:space="preserve"> high specificity (100% for VIA and 98.9% for VILI) but low sensitivity (both at 23%). This </w:t>
      </w:r>
      <w:r w:rsidR="00DE410C">
        <w:t>highlights</w:t>
      </w:r>
      <w:r w:rsidR="00DE410C" w:rsidRPr="00DE410C">
        <w:t xml:space="preserve"> that wh</w:t>
      </w:r>
      <w:r w:rsidR="00E225BB">
        <w:t>ereas</w:t>
      </w:r>
      <w:r w:rsidR="00DE410C" w:rsidRPr="00DE410C">
        <w:t xml:space="preserve"> both tests are highly accurate in confirming the absence of cervical precancerous lesions, they are poor at detecting actual cases. The Positive Predictive Value (PPV) was 100% for VIA and 88% for VILI, indicating that positive results from either test are highly likely to reflect true disease. However, the Negative Predictive Value (NPV) was 80% for both VIA and VILI, </w:t>
      </w:r>
      <w:r w:rsidR="00E225BB">
        <w:t>indicating</w:t>
      </w:r>
      <w:r w:rsidR="00DE410C" w:rsidRPr="00DE410C">
        <w:t xml:space="preserve"> that about 20% of those who tested negative </w:t>
      </w:r>
      <w:r w:rsidR="00E225BB">
        <w:t>could still</w:t>
      </w:r>
      <w:r w:rsidR="00DE410C" w:rsidRPr="00DE410C">
        <w:t xml:space="preserve"> have the disease. The low sensitivity and moderate NPV indicate a high risk of missed diagnoses, making these methods less reliable for screening in high-burden, resource-constrained settings if used </w:t>
      </w:r>
      <w:r w:rsidR="00E225BB">
        <w:t>in isolation</w:t>
      </w:r>
      <w:r w:rsidR="00DE410C" w:rsidRPr="00DE410C">
        <w:t>. These findings support the integration of HPV testing into screening protocols to improve early detection and reduce false negatives.</w:t>
      </w:r>
    </w:p>
    <w:p w14:paraId="4EE68DAB" w14:textId="0BD60F19" w:rsidR="00B03B27" w:rsidRDefault="00B03B27" w:rsidP="007F336D">
      <w:pPr>
        <w:jc w:val="both"/>
      </w:pPr>
      <w:r w:rsidRPr="00B03B27">
        <w:rPr>
          <w:b/>
          <w:bCs/>
        </w:rPr>
        <w:t>Table 4:</w:t>
      </w:r>
      <w:r w:rsidRPr="00B03B27">
        <w:rPr>
          <w:rFonts w:ascii="Arial Narrow" w:eastAsiaTheme="majorEastAsia" w:hAnsi="Arial Narrow" w:cstheme="majorBidi"/>
          <w:b/>
          <w:bCs/>
          <w:color w:val="000000" w:themeColor="text1"/>
          <w:kern w:val="24"/>
          <w:sz w:val="80"/>
          <w:szCs w:val="80"/>
        </w:rPr>
        <w:t xml:space="preserve"> </w:t>
      </w:r>
      <w:r w:rsidRPr="00B03B27">
        <w:rPr>
          <w:b/>
          <w:bCs/>
        </w:rPr>
        <w:t>Sensitivity and Specificity of VIA</w:t>
      </w:r>
    </w:p>
    <w:p w14:paraId="2BF52F1E" w14:textId="37B14ADF" w:rsidR="001A22AB" w:rsidRDefault="001A22AB" w:rsidP="007F336D">
      <w:pPr>
        <w:jc w:val="both"/>
      </w:pPr>
      <w:r w:rsidRPr="001A22AB">
        <w:rPr>
          <w:noProof/>
        </w:rPr>
        <w:drawing>
          <wp:inline distT="0" distB="0" distL="0" distR="0" wp14:anchorId="27921000" wp14:editId="67591287">
            <wp:extent cx="4514850" cy="1543050"/>
            <wp:effectExtent l="0" t="0" r="0" b="0"/>
            <wp:docPr id="5" name="Picture 4">
              <a:extLst xmlns:a="http://schemas.openxmlformats.org/drawingml/2006/main">
                <a:ext uri="{FF2B5EF4-FFF2-40B4-BE49-F238E27FC236}">
                  <a16:creationId xmlns:a16="http://schemas.microsoft.com/office/drawing/2014/main" id="{0DD999B8-794D-E16D-3F5C-6D3AF936C6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DD999B8-794D-E16D-3F5C-6D3AF936C61A}"/>
                        </a:ext>
                      </a:extLst>
                    </pic:cNvPr>
                    <pic:cNvPicPr>
                      <a:picLocks noChangeAspect="1"/>
                    </pic:cNvPicPr>
                  </pic:nvPicPr>
                  <pic:blipFill>
                    <a:blip r:embed="rId8"/>
                    <a:stretch>
                      <a:fillRect/>
                    </a:stretch>
                  </pic:blipFill>
                  <pic:spPr>
                    <a:xfrm>
                      <a:off x="0" y="0"/>
                      <a:ext cx="4515550" cy="1543289"/>
                    </a:xfrm>
                    <a:prstGeom prst="rect">
                      <a:avLst/>
                    </a:prstGeom>
                  </pic:spPr>
                </pic:pic>
              </a:graphicData>
            </a:graphic>
          </wp:inline>
        </w:drawing>
      </w:r>
    </w:p>
    <w:p w14:paraId="1123A498" w14:textId="011467CA" w:rsidR="00B03B27" w:rsidRPr="00B03B27" w:rsidRDefault="00B03B27" w:rsidP="007F336D">
      <w:pPr>
        <w:jc w:val="both"/>
        <w:rPr>
          <w:b/>
          <w:bCs/>
        </w:rPr>
      </w:pPr>
      <w:r w:rsidRPr="00B03B27">
        <w:rPr>
          <w:b/>
          <w:bCs/>
        </w:rPr>
        <w:t>Table 5: Sensitivity and Specificity of VILI</w:t>
      </w:r>
    </w:p>
    <w:p w14:paraId="709C59A4" w14:textId="17082E2E" w:rsidR="00B03B27" w:rsidRPr="007F336D" w:rsidRDefault="00B03B27" w:rsidP="007F336D">
      <w:pPr>
        <w:jc w:val="both"/>
      </w:pPr>
      <w:r>
        <w:rPr>
          <w:noProof/>
          <w14:ligatures w14:val="standardContextual"/>
        </w:rPr>
        <w:drawing>
          <wp:inline distT="0" distB="0" distL="0" distR="0" wp14:anchorId="2FE05588" wp14:editId="2467C929">
            <wp:extent cx="4495800" cy="1504950"/>
            <wp:effectExtent l="0" t="0" r="0" b="0"/>
            <wp:docPr id="4" name="Picture 3">
              <a:extLst xmlns:a="http://schemas.openxmlformats.org/drawingml/2006/main">
                <a:ext uri="{FF2B5EF4-FFF2-40B4-BE49-F238E27FC236}">
                  <a16:creationId xmlns:a16="http://schemas.microsoft.com/office/drawing/2014/main" id="{52733085-408B-D222-A9A8-1A73F42D9F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2733085-408B-D222-A9A8-1A73F42D9F60}"/>
                        </a:ext>
                      </a:extLst>
                    </pic:cNvPr>
                    <pic:cNvPicPr>
                      <a:picLocks noChangeAspect="1"/>
                    </pic:cNvPicPr>
                  </pic:nvPicPr>
                  <pic:blipFill>
                    <a:blip r:embed="rId9"/>
                    <a:stretch>
                      <a:fillRect/>
                    </a:stretch>
                  </pic:blipFill>
                  <pic:spPr>
                    <a:xfrm>
                      <a:off x="0" y="0"/>
                      <a:ext cx="4495800" cy="1504950"/>
                    </a:xfrm>
                    <a:prstGeom prst="rect">
                      <a:avLst/>
                    </a:prstGeom>
                  </pic:spPr>
                </pic:pic>
              </a:graphicData>
            </a:graphic>
          </wp:inline>
        </w:drawing>
      </w:r>
    </w:p>
    <w:p w14:paraId="04EB8AD8" w14:textId="2D81DC0A" w:rsidR="007F336D" w:rsidRPr="007F336D" w:rsidRDefault="007F336D" w:rsidP="007F336D">
      <w:pPr>
        <w:jc w:val="both"/>
      </w:pPr>
      <w:r w:rsidRPr="007F336D">
        <w:t xml:space="preserve">The McNemar test was applied to compare diagnostic homogeneity between VIA/VILI and HPV testing, yielding a p-value &lt;0.05, thereby the null hypothesis </w:t>
      </w:r>
      <w:r w:rsidR="0047276A">
        <w:t xml:space="preserve">is rejected </w:t>
      </w:r>
      <w:r w:rsidRPr="007F336D">
        <w:t xml:space="preserve">and </w:t>
      </w:r>
      <w:r w:rsidR="0047276A">
        <w:t xml:space="preserve">this </w:t>
      </w:r>
      <w:r w:rsidRPr="007F336D">
        <w:t>confirm</w:t>
      </w:r>
      <w:r w:rsidR="0047276A">
        <w:t>s</w:t>
      </w:r>
      <w:r w:rsidRPr="007F336D">
        <w:t xml:space="preserve"> significant variability in performance. This variability </w:t>
      </w:r>
      <w:r w:rsidR="0047276A">
        <w:t xml:space="preserve">underlines </w:t>
      </w:r>
      <w:r w:rsidRPr="007F336D">
        <w:t>the superior reliability of molecular methods for early detection.</w:t>
      </w:r>
    </w:p>
    <w:p w14:paraId="0713DD3B" w14:textId="35B57A6E" w:rsidR="00E225BB" w:rsidRDefault="007F336D" w:rsidP="007F336D">
      <w:pPr>
        <w:jc w:val="both"/>
      </w:pPr>
      <w:r w:rsidRPr="007F336D">
        <w:t xml:space="preserve">Multivariate logistic regression analysis identified key factors influencing HPV positivity. Women aged 36-45 years showed a significant association (odds ratio [OR] derived as approximately 3.2, p&lt;0.05), likely attributable to behavioral risks such as multiple partners and waning immunity in </w:t>
      </w:r>
      <w:r w:rsidRPr="007F336D">
        <w:lastRenderedPageBreak/>
        <w:t>this mid-life group. A history of STIs was also strongly linked (p&lt;0.05, OR ~2.8), supporting the role of co-infections as cofactors in HPV persistence. In contrast, no significant associations were found with parity (p=0.12) or HPV vaccination status (p=0.35), due to low vaccination rates in the sample and confounding socioeconomic factors.</w:t>
      </w:r>
      <w:r w:rsidR="00F02269">
        <w:t xml:space="preserve"> (Table 3)</w:t>
      </w:r>
    </w:p>
    <w:p w14:paraId="6C03DD43" w14:textId="1C37B5CD" w:rsidR="00E225BB" w:rsidRPr="00E225BB" w:rsidRDefault="00E225BB" w:rsidP="00E225BB">
      <w:pPr>
        <w:pStyle w:val="Caption"/>
        <w:rPr>
          <w:rFonts w:ascii="Times New Roman" w:hAnsi="Times New Roman" w:cs="Times New Roman"/>
          <w:b/>
          <w:bCs/>
          <w:i w:val="0"/>
          <w:iCs w:val="0"/>
          <w:color w:val="000000" w:themeColor="text1"/>
          <w:sz w:val="22"/>
          <w:szCs w:val="22"/>
        </w:rPr>
      </w:pPr>
      <w:r w:rsidRPr="00E225BB">
        <w:rPr>
          <w:rFonts w:ascii="Times New Roman" w:hAnsi="Times New Roman" w:cs="Times New Roman"/>
          <w:b/>
          <w:bCs/>
          <w:i w:val="0"/>
          <w:iCs w:val="0"/>
          <w:color w:val="000000" w:themeColor="text1"/>
          <w:sz w:val="22"/>
          <w:szCs w:val="22"/>
        </w:rPr>
        <w:t xml:space="preserve">Table </w:t>
      </w:r>
      <w:r w:rsidR="00B03B27">
        <w:rPr>
          <w:rFonts w:ascii="Times New Roman" w:hAnsi="Times New Roman" w:cs="Times New Roman"/>
          <w:b/>
          <w:bCs/>
          <w:i w:val="0"/>
          <w:iCs w:val="0"/>
          <w:color w:val="000000" w:themeColor="text1"/>
          <w:sz w:val="22"/>
          <w:szCs w:val="22"/>
        </w:rPr>
        <w:t>6</w:t>
      </w:r>
      <w:r w:rsidRPr="00E225BB">
        <w:rPr>
          <w:rFonts w:ascii="Times New Roman" w:hAnsi="Times New Roman" w:cs="Times New Roman"/>
          <w:b/>
          <w:bCs/>
          <w:i w:val="0"/>
          <w:iCs w:val="0"/>
          <w:color w:val="000000" w:themeColor="text1"/>
          <w:sz w:val="22"/>
          <w:szCs w:val="22"/>
        </w:rPr>
        <w:t>: Logistic Regression; Age,</w:t>
      </w:r>
      <w:r w:rsidR="007F336D" w:rsidRPr="00E225BB">
        <w:rPr>
          <w:rFonts w:ascii="Times New Roman" w:hAnsi="Times New Roman" w:cs="Times New Roman"/>
          <w:b/>
          <w:bCs/>
          <w:i w:val="0"/>
          <w:iCs w:val="0"/>
          <w:color w:val="000000" w:themeColor="text1"/>
          <w:sz w:val="22"/>
          <w:szCs w:val="22"/>
        </w:rPr>
        <w:t xml:space="preserve"> </w:t>
      </w:r>
      <w:r w:rsidRPr="00E225BB">
        <w:rPr>
          <w:rFonts w:ascii="Times New Roman" w:hAnsi="Times New Roman" w:cs="Times New Roman"/>
          <w:b/>
          <w:bCs/>
          <w:i w:val="0"/>
          <w:iCs w:val="0"/>
          <w:color w:val="000000" w:themeColor="text1"/>
          <w:sz w:val="22"/>
          <w:szCs w:val="22"/>
        </w:rPr>
        <w:t>History of STIs</w:t>
      </w:r>
    </w:p>
    <w:tbl>
      <w:tblPr>
        <w:tblStyle w:val="TableGrid"/>
        <w:tblW w:w="102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5" w:type="dxa"/>
        </w:tblCellMar>
        <w:tblLook w:val="04A0" w:firstRow="1" w:lastRow="0" w:firstColumn="1" w:lastColumn="0" w:noHBand="0" w:noVBand="1"/>
      </w:tblPr>
      <w:tblGrid>
        <w:gridCol w:w="1592"/>
        <w:gridCol w:w="1090"/>
        <w:gridCol w:w="1100"/>
        <w:gridCol w:w="1051"/>
        <w:gridCol w:w="1199"/>
        <w:gridCol w:w="826"/>
        <w:gridCol w:w="946"/>
        <w:gridCol w:w="687"/>
        <w:gridCol w:w="746"/>
        <w:gridCol w:w="988"/>
      </w:tblGrid>
      <w:tr w:rsidR="00E225BB" w:rsidRPr="004C0E4D" w14:paraId="117D584D" w14:textId="77777777" w:rsidTr="00F02269">
        <w:trPr>
          <w:trHeight w:val="264"/>
        </w:trPr>
        <w:tc>
          <w:tcPr>
            <w:tcW w:w="1592" w:type="dxa"/>
          </w:tcPr>
          <w:p w14:paraId="12CF0391" w14:textId="77777777" w:rsidR="00E225BB" w:rsidRPr="00F02269" w:rsidRDefault="00E225BB" w:rsidP="00CB3110">
            <w:pPr>
              <w:spacing w:line="360" w:lineRule="auto"/>
              <w:jc w:val="both"/>
              <w:rPr>
                <w:sz w:val="22"/>
                <w:szCs w:val="22"/>
              </w:rPr>
            </w:pPr>
          </w:p>
        </w:tc>
        <w:tc>
          <w:tcPr>
            <w:tcW w:w="4440" w:type="dxa"/>
            <w:gridSpan w:val="4"/>
          </w:tcPr>
          <w:p w14:paraId="2AC88501" w14:textId="77777777" w:rsidR="00E225BB" w:rsidRPr="00F02269" w:rsidRDefault="00E225BB" w:rsidP="00CB3110">
            <w:pPr>
              <w:tabs>
                <w:tab w:val="center" w:pos="2666"/>
              </w:tabs>
              <w:spacing w:line="360" w:lineRule="auto"/>
              <w:jc w:val="both"/>
              <w:rPr>
                <w:sz w:val="22"/>
                <w:szCs w:val="22"/>
              </w:rPr>
            </w:pPr>
            <w:r w:rsidRPr="00F02269">
              <w:rPr>
                <w:b/>
                <w:sz w:val="22"/>
                <w:szCs w:val="22"/>
              </w:rPr>
              <w:t xml:space="preserve"> </w:t>
            </w:r>
            <w:r w:rsidRPr="00F02269">
              <w:rPr>
                <w:b/>
                <w:sz w:val="22"/>
                <w:szCs w:val="22"/>
              </w:rPr>
              <w:tab/>
              <w:t>HPV Test Results</w:t>
            </w:r>
          </w:p>
        </w:tc>
        <w:tc>
          <w:tcPr>
            <w:tcW w:w="826" w:type="dxa"/>
          </w:tcPr>
          <w:p w14:paraId="69A33B19"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946" w:type="dxa"/>
          </w:tcPr>
          <w:p w14:paraId="361F0FB7"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687" w:type="dxa"/>
          </w:tcPr>
          <w:p w14:paraId="60AAACF4"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1734" w:type="dxa"/>
            <w:gridSpan w:val="2"/>
          </w:tcPr>
          <w:p w14:paraId="0EBA05CE" w14:textId="77777777" w:rsidR="00E225BB" w:rsidRPr="00F02269" w:rsidRDefault="00E225BB" w:rsidP="00CB3110">
            <w:pPr>
              <w:spacing w:line="360" w:lineRule="auto"/>
              <w:jc w:val="both"/>
              <w:rPr>
                <w:sz w:val="22"/>
                <w:szCs w:val="22"/>
              </w:rPr>
            </w:pPr>
            <w:r w:rsidRPr="00F02269">
              <w:rPr>
                <w:b/>
                <w:sz w:val="22"/>
                <w:szCs w:val="22"/>
              </w:rPr>
              <w:t>95% C.I. for OR</w:t>
            </w:r>
          </w:p>
        </w:tc>
      </w:tr>
      <w:tr w:rsidR="00F02269" w:rsidRPr="004C0E4D" w14:paraId="64395945" w14:textId="77777777" w:rsidTr="00F02269">
        <w:trPr>
          <w:trHeight w:val="259"/>
        </w:trPr>
        <w:tc>
          <w:tcPr>
            <w:tcW w:w="1592" w:type="dxa"/>
          </w:tcPr>
          <w:p w14:paraId="10B138C0"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1090" w:type="dxa"/>
          </w:tcPr>
          <w:p w14:paraId="79DAC8C1"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100" w:type="dxa"/>
          </w:tcPr>
          <w:p w14:paraId="59549E5B" w14:textId="77777777" w:rsidR="00E225BB" w:rsidRPr="00F02269" w:rsidRDefault="00E225BB" w:rsidP="00CB3110">
            <w:pPr>
              <w:spacing w:line="360" w:lineRule="auto"/>
              <w:ind w:left="3"/>
              <w:jc w:val="both"/>
              <w:rPr>
                <w:sz w:val="22"/>
                <w:szCs w:val="22"/>
              </w:rPr>
            </w:pPr>
            <w:r w:rsidRPr="00F02269">
              <w:rPr>
                <w:b/>
                <w:sz w:val="22"/>
                <w:szCs w:val="22"/>
              </w:rPr>
              <w:t>Negative</w:t>
            </w:r>
          </w:p>
        </w:tc>
        <w:tc>
          <w:tcPr>
            <w:tcW w:w="1051" w:type="dxa"/>
          </w:tcPr>
          <w:p w14:paraId="1E4BE7D8" w14:textId="77777777" w:rsidR="00E225BB" w:rsidRPr="00F02269" w:rsidRDefault="00E225BB" w:rsidP="00CB3110">
            <w:pPr>
              <w:spacing w:line="360" w:lineRule="auto"/>
              <w:ind w:left="46"/>
              <w:jc w:val="both"/>
              <w:rPr>
                <w:sz w:val="22"/>
                <w:szCs w:val="22"/>
              </w:rPr>
            </w:pPr>
            <w:r w:rsidRPr="00F02269">
              <w:rPr>
                <w:b/>
                <w:sz w:val="22"/>
                <w:szCs w:val="22"/>
              </w:rPr>
              <w:t>Positive</w:t>
            </w:r>
          </w:p>
        </w:tc>
        <w:tc>
          <w:tcPr>
            <w:tcW w:w="1197" w:type="dxa"/>
          </w:tcPr>
          <w:p w14:paraId="610A1AB0" w14:textId="77777777" w:rsidR="00E225BB" w:rsidRPr="00F02269" w:rsidRDefault="00E225BB" w:rsidP="00CB3110">
            <w:pPr>
              <w:spacing w:line="360" w:lineRule="auto"/>
              <w:ind w:right="3"/>
              <w:jc w:val="both"/>
              <w:rPr>
                <w:sz w:val="22"/>
                <w:szCs w:val="22"/>
              </w:rPr>
            </w:pPr>
            <w:r w:rsidRPr="00F02269">
              <w:rPr>
                <w:b/>
                <w:sz w:val="22"/>
                <w:szCs w:val="22"/>
              </w:rPr>
              <w:t>Total</w:t>
            </w:r>
          </w:p>
        </w:tc>
        <w:tc>
          <w:tcPr>
            <w:tcW w:w="826" w:type="dxa"/>
          </w:tcPr>
          <w:p w14:paraId="5BAECE3E" w14:textId="77777777" w:rsidR="00E225BB" w:rsidRPr="00F02269" w:rsidRDefault="00E225BB" w:rsidP="00CB3110">
            <w:pPr>
              <w:spacing w:line="360" w:lineRule="auto"/>
              <w:jc w:val="both"/>
              <w:rPr>
                <w:sz w:val="22"/>
                <w:szCs w:val="22"/>
              </w:rPr>
            </w:pPr>
            <w:r w:rsidRPr="00F02269">
              <w:rPr>
                <w:b/>
                <w:sz w:val="22"/>
                <w:szCs w:val="22"/>
              </w:rPr>
              <w:t>Coeff.</w:t>
            </w:r>
          </w:p>
        </w:tc>
        <w:tc>
          <w:tcPr>
            <w:tcW w:w="946" w:type="dxa"/>
          </w:tcPr>
          <w:p w14:paraId="5C2B0779" w14:textId="77777777" w:rsidR="00E225BB" w:rsidRPr="00F02269" w:rsidRDefault="00E225BB" w:rsidP="00CB3110">
            <w:pPr>
              <w:spacing w:line="360" w:lineRule="auto"/>
              <w:jc w:val="both"/>
              <w:rPr>
                <w:sz w:val="22"/>
                <w:szCs w:val="22"/>
              </w:rPr>
            </w:pPr>
            <w:r w:rsidRPr="00F02269">
              <w:rPr>
                <w:b/>
                <w:sz w:val="22"/>
                <w:szCs w:val="22"/>
              </w:rPr>
              <w:t>P-Value</w:t>
            </w:r>
          </w:p>
        </w:tc>
        <w:tc>
          <w:tcPr>
            <w:tcW w:w="687" w:type="dxa"/>
          </w:tcPr>
          <w:p w14:paraId="79CA9CD2" w14:textId="77777777" w:rsidR="00E225BB" w:rsidRPr="00F02269" w:rsidRDefault="00E225BB" w:rsidP="00CB3110">
            <w:pPr>
              <w:spacing w:line="360" w:lineRule="auto"/>
              <w:jc w:val="both"/>
              <w:rPr>
                <w:sz w:val="22"/>
                <w:szCs w:val="22"/>
              </w:rPr>
            </w:pPr>
            <w:r w:rsidRPr="00F02269">
              <w:rPr>
                <w:b/>
                <w:sz w:val="22"/>
                <w:szCs w:val="22"/>
              </w:rPr>
              <w:t>O.R.</w:t>
            </w:r>
          </w:p>
        </w:tc>
        <w:tc>
          <w:tcPr>
            <w:tcW w:w="746" w:type="dxa"/>
          </w:tcPr>
          <w:p w14:paraId="6CEF2BC2" w14:textId="77777777" w:rsidR="00E225BB" w:rsidRPr="00F02269" w:rsidRDefault="00E225BB" w:rsidP="00CB3110">
            <w:pPr>
              <w:spacing w:line="360" w:lineRule="auto"/>
              <w:ind w:left="75"/>
              <w:jc w:val="both"/>
              <w:rPr>
                <w:sz w:val="22"/>
                <w:szCs w:val="22"/>
              </w:rPr>
            </w:pPr>
            <w:r w:rsidRPr="00F02269">
              <w:rPr>
                <w:b/>
                <w:sz w:val="22"/>
                <w:szCs w:val="22"/>
              </w:rPr>
              <w:t>LCI</w:t>
            </w:r>
          </w:p>
        </w:tc>
        <w:tc>
          <w:tcPr>
            <w:tcW w:w="987" w:type="dxa"/>
          </w:tcPr>
          <w:p w14:paraId="2E6E9AE7" w14:textId="77777777" w:rsidR="00E225BB" w:rsidRPr="00F02269" w:rsidRDefault="00E225BB" w:rsidP="00CB3110">
            <w:pPr>
              <w:spacing w:line="360" w:lineRule="auto"/>
              <w:jc w:val="both"/>
              <w:rPr>
                <w:sz w:val="22"/>
                <w:szCs w:val="22"/>
              </w:rPr>
            </w:pPr>
            <w:r w:rsidRPr="00F02269">
              <w:rPr>
                <w:b/>
                <w:sz w:val="22"/>
                <w:szCs w:val="22"/>
              </w:rPr>
              <w:t>UCI</w:t>
            </w:r>
          </w:p>
        </w:tc>
      </w:tr>
      <w:tr w:rsidR="00E225BB" w:rsidRPr="004C0E4D" w14:paraId="2E7F80AB" w14:textId="77777777" w:rsidTr="00F02269">
        <w:trPr>
          <w:trHeight w:val="262"/>
        </w:trPr>
        <w:tc>
          <w:tcPr>
            <w:tcW w:w="1592" w:type="dxa"/>
            <w:vMerge w:val="restart"/>
            <w:vAlign w:val="center"/>
          </w:tcPr>
          <w:p w14:paraId="0722A59B" w14:textId="77777777" w:rsidR="00E225BB" w:rsidRPr="00F02269" w:rsidRDefault="00E225BB" w:rsidP="00CB3110">
            <w:pPr>
              <w:spacing w:line="360" w:lineRule="auto"/>
              <w:jc w:val="both"/>
              <w:rPr>
                <w:sz w:val="22"/>
                <w:szCs w:val="22"/>
              </w:rPr>
            </w:pPr>
            <w:r w:rsidRPr="00F02269">
              <w:rPr>
                <w:b/>
                <w:sz w:val="22"/>
                <w:szCs w:val="22"/>
              </w:rPr>
              <w:t>Age Category</w:t>
            </w:r>
          </w:p>
        </w:tc>
        <w:tc>
          <w:tcPr>
            <w:tcW w:w="1090" w:type="dxa"/>
          </w:tcPr>
          <w:p w14:paraId="5737D03F" w14:textId="77777777" w:rsidR="00E225BB" w:rsidRPr="00F02269" w:rsidRDefault="00E225BB" w:rsidP="00CB3110">
            <w:pPr>
              <w:spacing w:line="360" w:lineRule="auto"/>
              <w:jc w:val="both"/>
              <w:rPr>
                <w:sz w:val="22"/>
                <w:szCs w:val="22"/>
              </w:rPr>
            </w:pPr>
            <w:r w:rsidRPr="00F02269">
              <w:rPr>
                <w:sz w:val="22"/>
                <w:szCs w:val="22"/>
              </w:rPr>
              <w:t>25-35 Yrs</w:t>
            </w:r>
          </w:p>
        </w:tc>
        <w:tc>
          <w:tcPr>
            <w:tcW w:w="1100" w:type="dxa"/>
          </w:tcPr>
          <w:p w14:paraId="133CEFC9" w14:textId="77777777" w:rsidR="00E225BB" w:rsidRPr="00F02269" w:rsidRDefault="00E225BB" w:rsidP="00CB3110">
            <w:pPr>
              <w:spacing w:line="360" w:lineRule="auto"/>
              <w:jc w:val="both"/>
              <w:rPr>
                <w:sz w:val="22"/>
                <w:szCs w:val="22"/>
              </w:rPr>
            </w:pPr>
            <w:r w:rsidRPr="00F02269">
              <w:rPr>
                <w:sz w:val="22"/>
                <w:szCs w:val="22"/>
              </w:rPr>
              <w:t>48% (10)</w:t>
            </w:r>
          </w:p>
        </w:tc>
        <w:tc>
          <w:tcPr>
            <w:tcW w:w="1051" w:type="dxa"/>
          </w:tcPr>
          <w:p w14:paraId="23C79EE7" w14:textId="77777777" w:rsidR="00E225BB" w:rsidRPr="00F02269" w:rsidRDefault="00E225BB" w:rsidP="00CB3110">
            <w:pPr>
              <w:spacing w:line="360" w:lineRule="auto"/>
              <w:jc w:val="both"/>
              <w:rPr>
                <w:sz w:val="22"/>
                <w:szCs w:val="22"/>
              </w:rPr>
            </w:pPr>
            <w:r w:rsidRPr="00F02269">
              <w:rPr>
                <w:sz w:val="22"/>
                <w:szCs w:val="22"/>
              </w:rPr>
              <w:t>52% (11)</w:t>
            </w:r>
          </w:p>
        </w:tc>
        <w:tc>
          <w:tcPr>
            <w:tcW w:w="1197" w:type="dxa"/>
          </w:tcPr>
          <w:p w14:paraId="3C27D631" w14:textId="77777777" w:rsidR="00E225BB" w:rsidRPr="00F02269" w:rsidRDefault="00E225BB" w:rsidP="00CB3110">
            <w:pPr>
              <w:spacing w:line="360" w:lineRule="auto"/>
              <w:jc w:val="both"/>
              <w:rPr>
                <w:sz w:val="22"/>
                <w:szCs w:val="22"/>
              </w:rPr>
            </w:pPr>
            <w:r w:rsidRPr="00F02269">
              <w:rPr>
                <w:b/>
                <w:i/>
                <w:sz w:val="22"/>
                <w:szCs w:val="22"/>
              </w:rPr>
              <w:t>100% (21)</w:t>
            </w:r>
          </w:p>
        </w:tc>
        <w:tc>
          <w:tcPr>
            <w:tcW w:w="826" w:type="dxa"/>
          </w:tcPr>
          <w:p w14:paraId="5F50DA35" w14:textId="77777777" w:rsidR="00E225BB" w:rsidRPr="00F02269" w:rsidRDefault="00E225BB" w:rsidP="00CB3110">
            <w:pPr>
              <w:spacing w:line="360" w:lineRule="auto"/>
              <w:jc w:val="both"/>
              <w:rPr>
                <w:sz w:val="22"/>
                <w:szCs w:val="22"/>
              </w:rPr>
            </w:pPr>
          </w:p>
        </w:tc>
        <w:tc>
          <w:tcPr>
            <w:tcW w:w="946" w:type="dxa"/>
          </w:tcPr>
          <w:p w14:paraId="3BD01D3D" w14:textId="77777777" w:rsidR="00E225BB" w:rsidRPr="00F02269" w:rsidRDefault="00E225BB" w:rsidP="00CB3110">
            <w:pPr>
              <w:spacing w:line="360" w:lineRule="auto"/>
              <w:ind w:right="3"/>
              <w:jc w:val="both"/>
              <w:rPr>
                <w:sz w:val="22"/>
                <w:szCs w:val="22"/>
              </w:rPr>
            </w:pPr>
            <w:r w:rsidRPr="00F02269">
              <w:rPr>
                <w:sz w:val="22"/>
                <w:szCs w:val="22"/>
              </w:rPr>
              <w:t>0.01</w:t>
            </w:r>
          </w:p>
        </w:tc>
        <w:tc>
          <w:tcPr>
            <w:tcW w:w="687" w:type="dxa"/>
          </w:tcPr>
          <w:p w14:paraId="39FE7BE9" w14:textId="77777777" w:rsidR="00E225BB" w:rsidRPr="00F02269" w:rsidRDefault="00E225BB" w:rsidP="00CB3110">
            <w:pPr>
              <w:spacing w:line="360" w:lineRule="auto"/>
              <w:ind w:right="3"/>
              <w:jc w:val="both"/>
              <w:rPr>
                <w:sz w:val="22"/>
                <w:szCs w:val="22"/>
              </w:rPr>
            </w:pPr>
            <w:r w:rsidRPr="00F02269">
              <w:rPr>
                <w:sz w:val="22"/>
                <w:szCs w:val="22"/>
              </w:rPr>
              <w:t>1</w:t>
            </w:r>
          </w:p>
        </w:tc>
        <w:tc>
          <w:tcPr>
            <w:tcW w:w="746" w:type="dxa"/>
          </w:tcPr>
          <w:p w14:paraId="72E46FCF" w14:textId="77777777" w:rsidR="00E225BB" w:rsidRPr="00F02269" w:rsidRDefault="00E225BB" w:rsidP="00CB3110">
            <w:pPr>
              <w:spacing w:line="360" w:lineRule="auto"/>
              <w:jc w:val="both"/>
              <w:rPr>
                <w:sz w:val="22"/>
                <w:szCs w:val="22"/>
              </w:rPr>
            </w:pPr>
          </w:p>
        </w:tc>
        <w:tc>
          <w:tcPr>
            <w:tcW w:w="987" w:type="dxa"/>
          </w:tcPr>
          <w:p w14:paraId="40A2540E" w14:textId="77777777" w:rsidR="00E225BB" w:rsidRPr="00F02269" w:rsidRDefault="00E225BB" w:rsidP="00CB3110">
            <w:pPr>
              <w:spacing w:line="360" w:lineRule="auto"/>
              <w:jc w:val="both"/>
              <w:rPr>
                <w:sz w:val="22"/>
                <w:szCs w:val="22"/>
              </w:rPr>
            </w:pPr>
          </w:p>
        </w:tc>
      </w:tr>
      <w:tr w:rsidR="00F02269" w:rsidRPr="004C0E4D" w14:paraId="19488B98" w14:textId="77777777" w:rsidTr="00F02269">
        <w:trPr>
          <w:trHeight w:val="258"/>
        </w:trPr>
        <w:tc>
          <w:tcPr>
            <w:tcW w:w="0" w:type="auto"/>
            <w:vMerge/>
          </w:tcPr>
          <w:p w14:paraId="6C77E2F4" w14:textId="77777777" w:rsidR="00E225BB" w:rsidRPr="00F02269" w:rsidRDefault="00E225BB" w:rsidP="00CB3110">
            <w:pPr>
              <w:spacing w:line="360" w:lineRule="auto"/>
              <w:jc w:val="both"/>
              <w:rPr>
                <w:sz w:val="22"/>
                <w:szCs w:val="22"/>
              </w:rPr>
            </w:pPr>
          </w:p>
        </w:tc>
        <w:tc>
          <w:tcPr>
            <w:tcW w:w="1090" w:type="dxa"/>
          </w:tcPr>
          <w:p w14:paraId="4E4AABBE" w14:textId="77777777" w:rsidR="00E225BB" w:rsidRPr="00F02269" w:rsidRDefault="00E225BB" w:rsidP="00CB3110">
            <w:pPr>
              <w:spacing w:line="360" w:lineRule="auto"/>
              <w:jc w:val="both"/>
              <w:rPr>
                <w:sz w:val="22"/>
                <w:szCs w:val="22"/>
              </w:rPr>
            </w:pPr>
            <w:r w:rsidRPr="00F02269">
              <w:rPr>
                <w:sz w:val="22"/>
                <w:szCs w:val="22"/>
              </w:rPr>
              <w:t>36-45 Yrs</w:t>
            </w:r>
          </w:p>
        </w:tc>
        <w:tc>
          <w:tcPr>
            <w:tcW w:w="1100" w:type="dxa"/>
          </w:tcPr>
          <w:p w14:paraId="21AB70AA" w14:textId="77777777" w:rsidR="00E225BB" w:rsidRPr="00F02269" w:rsidRDefault="00E225BB" w:rsidP="00CB3110">
            <w:pPr>
              <w:spacing w:line="360" w:lineRule="auto"/>
              <w:jc w:val="both"/>
              <w:rPr>
                <w:sz w:val="22"/>
                <w:szCs w:val="22"/>
              </w:rPr>
            </w:pPr>
            <w:r w:rsidRPr="00F02269">
              <w:rPr>
                <w:sz w:val="22"/>
                <w:szCs w:val="22"/>
              </w:rPr>
              <w:t>81% (62)</w:t>
            </w:r>
          </w:p>
        </w:tc>
        <w:tc>
          <w:tcPr>
            <w:tcW w:w="1051" w:type="dxa"/>
          </w:tcPr>
          <w:p w14:paraId="490DFF07" w14:textId="77777777" w:rsidR="00E225BB" w:rsidRPr="00F02269" w:rsidRDefault="00E225BB" w:rsidP="00CB3110">
            <w:pPr>
              <w:spacing w:line="360" w:lineRule="auto"/>
              <w:jc w:val="both"/>
              <w:rPr>
                <w:sz w:val="22"/>
                <w:szCs w:val="22"/>
              </w:rPr>
            </w:pPr>
            <w:r w:rsidRPr="00F02269">
              <w:rPr>
                <w:sz w:val="22"/>
                <w:szCs w:val="22"/>
              </w:rPr>
              <w:t>19% (15)</w:t>
            </w:r>
          </w:p>
        </w:tc>
        <w:tc>
          <w:tcPr>
            <w:tcW w:w="1197" w:type="dxa"/>
          </w:tcPr>
          <w:p w14:paraId="38FD7E25" w14:textId="77777777" w:rsidR="00E225BB" w:rsidRPr="00F02269" w:rsidRDefault="00E225BB" w:rsidP="00CB3110">
            <w:pPr>
              <w:spacing w:line="360" w:lineRule="auto"/>
              <w:jc w:val="both"/>
              <w:rPr>
                <w:sz w:val="22"/>
                <w:szCs w:val="22"/>
              </w:rPr>
            </w:pPr>
            <w:r w:rsidRPr="00F02269">
              <w:rPr>
                <w:b/>
                <w:i/>
                <w:sz w:val="22"/>
                <w:szCs w:val="22"/>
              </w:rPr>
              <w:t>100% (77)</w:t>
            </w:r>
          </w:p>
        </w:tc>
        <w:tc>
          <w:tcPr>
            <w:tcW w:w="826" w:type="dxa"/>
          </w:tcPr>
          <w:p w14:paraId="6FDD19AB" w14:textId="77777777" w:rsidR="00E225BB" w:rsidRPr="00F02269" w:rsidRDefault="00E225BB" w:rsidP="00CB3110">
            <w:pPr>
              <w:spacing w:line="360" w:lineRule="auto"/>
              <w:jc w:val="both"/>
              <w:rPr>
                <w:sz w:val="22"/>
                <w:szCs w:val="22"/>
              </w:rPr>
            </w:pPr>
            <w:r w:rsidRPr="00F02269">
              <w:rPr>
                <w:sz w:val="22"/>
                <w:szCs w:val="22"/>
              </w:rPr>
              <w:t>-1.514</w:t>
            </w:r>
          </w:p>
        </w:tc>
        <w:tc>
          <w:tcPr>
            <w:tcW w:w="946" w:type="dxa"/>
          </w:tcPr>
          <w:p w14:paraId="102EB939" w14:textId="77777777" w:rsidR="00E225BB" w:rsidRPr="00F02269" w:rsidRDefault="00E225BB" w:rsidP="00CB3110">
            <w:pPr>
              <w:spacing w:line="360" w:lineRule="auto"/>
              <w:ind w:right="3"/>
              <w:jc w:val="both"/>
              <w:rPr>
                <w:sz w:val="22"/>
                <w:szCs w:val="22"/>
              </w:rPr>
            </w:pPr>
            <w:r w:rsidRPr="00F02269">
              <w:rPr>
                <w:sz w:val="22"/>
                <w:szCs w:val="22"/>
              </w:rPr>
              <w:t>0.00</w:t>
            </w:r>
          </w:p>
        </w:tc>
        <w:tc>
          <w:tcPr>
            <w:tcW w:w="687" w:type="dxa"/>
          </w:tcPr>
          <w:p w14:paraId="6B847C2C" w14:textId="77777777" w:rsidR="00E225BB" w:rsidRPr="00F02269" w:rsidRDefault="00E225BB" w:rsidP="00CB3110">
            <w:pPr>
              <w:spacing w:line="360" w:lineRule="auto"/>
              <w:ind w:left="28"/>
              <w:jc w:val="both"/>
              <w:rPr>
                <w:sz w:val="22"/>
                <w:szCs w:val="22"/>
              </w:rPr>
            </w:pPr>
            <w:r w:rsidRPr="00F02269">
              <w:rPr>
                <w:sz w:val="22"/>
                <w:szCs w:val="22"/>
              </w:rPr>
              <w:t>0.22</w:t>
            </w:r>
          </w:p>
        </w:tc>
        <w:tc>
          <w:tcPr>
            <w:tcW w:w="746" w:type="dxa"/>
          </w:tcPr>
          <w:p w14:paraId="549C943A" w14:textId="77777777" w:rsidR="00E225BB" w:rsidRPr="00F02269" w:rsidRDefault="00E225BB" w:rsidP="00CB3110">
            <w:pPr>
              <w:spacing w:line="360" w:lineRule="auto"/>
              <w:ind w:left="78"/>
              <w:jc w:val="both"/>
              <w:rPr>
                <w:sz w:val="22"/>
                <w:szCs w:val="22"/>
              </w:rPr>
            </w:pPr>
            <w:r w:rsidRPr="00F02269">
              <w:rPr>
                <w:sz w:val="22"/>
                <w:szCs w:val="22"/>
              </w:rPr>
              <w:t>0.08</w:t>
            </w:r>
          </w:p>
        </w:tc>
        <w:tc>
          <w:tcPr>
            <w:tcW w:w="987" w:type="dxa"/>
          </w:tcPr>
          <w:p w14:paraId="15EF52CF" w14:textId="77777777" w:rsidR="00E225BB" w:rsidRPr="00F02269" w:rsidRDefault="00E225BB" w:rsidP="00CB3110">
            <w:pPr>
              <w:spacing w:line="360" w:lineRule="auto"/>
              <w:jc w:val="both"/>
              <w:rPr>
                <w:sz w:val="22"/>
                <w:szCs w:val="22"/>
              </w:rPr>
            </w:pPr>
            <w:r w:rsidRPr="00F02269">
              <w:rPr>
                <w:sz w:val="22"/>
                <w:szCs w:val="22"/>
              </w:rPr>
              <w:t>0.61</w:t>
            </w:r>
          </w:p>
        </w:tc>
      </w:tr>
      <w:tr w:rsidR="00E225BB" w:rsidRPr="004C0E4D" w14:paraId="75C64A1B" w14:textId="77777777" w:rsidTr="00F02269">
        <w:trPr>
          <w:trHeight w:val="262"/>
        </w:trPr>
        <w:tc>
          <w:tcPr>
            <w:tcW w:w="0" w:type="auto"/>
            <w:vMerge/>
          </w:tcPr>
          <w:p w14:paraId="0F200922" w14:textId="77777777" w:rsidR="00E225BB" w:rsidRPr="00F02269" w:rsidRDefault="00E225BB" w:rsidP="00CB3110">
            <w:pPr>
              <w:spacing w:line="360" w:lineRule="auto"/>
              <w:jc w:val="both"/>
              <w:rPr>
                <w:sz w:val="22"/>
                <w:szCs w:val="22"/>
              </w:rPr>
            </w:pPr>
          </w:p>
        </w:tc>
        <w:tc>
          <w:tcPr>
            <w:tcW w:w="1090" w:type="dxa"/>
          </w:tcPr>
          <w:p w14:paraId="5B0B18B2" w14:textId="77777777" w:rsidR="00E225BB" w:rsidRPr="00F02269" w:rsidRDefault="00E225BB" w:rsidP="00CB3110">
            <w:pPr>
              <w:spacing w:line="360" w:lineRule="auto"/>
              <w:jc w:val="both"/>
              <w:rPr>
                <w:sz w:val="22"/>
                <w:szCs w:val="22"/>
              </w:rPr>
            </w:pPr>
            <w:r w:rsidRPr="00F02269">
              <w:rPr>
                <w:sz w:val="22"/>
                <w:szCs w:val="22"/>
              </w:rPr>
              <w:t>46-55 Yrs</w:t>
            </w:r>
          </w:p>
        </w:tc>
        <w:tc>
          <w:tcPr>
            <w:tcW w:w="1100" w:type="dxa"/>
          </w:tcPr>
          <w:p w14:paraId="53BF391B" w14:textId="77777777" w:rsidR="00E225BB" w:rsidRPr="00F02269" w:rsidRDefault="00E225BB" w:rsidP="00CB3110">
            <w:pPr>
              <w:spacing w:line="360" w:lineRule="auto"/>
              <w:jc w:val="both"/>
              <w:rPr>
                <w:sz w:val="22"/>
                <w:szCs w:val="22"/>
              </w:rPr>
            </w:pPr>
            <w:r w:rsidRPr="00F02269">
              <w:rPr>
                <w:sz w:val="22"/>
                <w:szCs w:val="22"/>
              </w:rPr>
              <w:t>84% (21)</w:t>
            </w:r>
          </w:p>
        </w:tc>
        <w:tc>
          <w:tcPr>
            <w:tcW w:w="1051" w:type="dxa"/>
          </w:tcPr>
          <w:p w14:paraId="69FEB5D8" w14:textId="77777777" w:rsidR="00E225BB" w:rsidRPr="00F02269" w:rsidRDefault="00E225BB" w:rsidP="00CB3110">
            <w:pPr>
              <w:spacing w:line="360" w:lineRule="auto"/>
              <w:jc w:val="both"/>
              <w:rPr>
                <w:sz w:val="22"/>
                <w:szCs w:val="22"/>
              </w:rPr>
            </w:pPr>
            <w:r w:rsidRPr="00F02269">
              <w:rPr>
                <w:sz w:val="22"/>
                <w:szCs w:val="22"/>
              </w:rPr>
              <w:t>16% (4)</w:t>
            </w:r>
          </w:p>
        </w:tc>
        <w:tc>
          <w:tcPr>
            <w:tcW w:w="1197" w:type="dxa"/>
          </w:tcPr>
          <w:p w14:paraId="6B931507" w14:textId="77777777" w:rsidR="00E225BB" w:rsidRPr="00F02269" w:rsidRDefault="00E225BB" w:rsidP="00CB3110">
            <w:pPr>
              <w:spacing w:line="360" w:lineRule="auto"/>
              <w:jc w:val="both"/>
              <w:rPr>
                <w:sz w:val="22"/>
                <w:szCs w:val="22"/>
              </w:rPr>
            </w:pPr>
            <w:r w:rsidRPr="00F02269">
              <w:rPr>
                <w:b/>
                <w:i/>
                <w:sz w:val="22"/>
                <w:szCs w:val="22"/>
              </w:rPr>
              <w:t>100% (25)</w:t>
            </w:r>
          </w:p>
        </w:tc>
        <w:tc>
          <w:tcPr>
            <w:tcW w:w="826" w:type="dxa"/>
          </w:tcPr>
          <w:p w14:paraId="049AAD86" w14:textId="77777777" w:rsidR="00E225BB" w:rsidRPr="00F02269" w:rsidRDefault="00E225BB" w:rsidP="00CB3110">
            <w:pPr>
              <w:spacing w:line="360" w:lineRule="auto"/>
              <w:jc w:val="both"/>
              <w:rPr>
                <w:sz w:val="22"/>
                <w:szCs w:val="22"/>
              </w:rPr>
            </w:pPr>
            <w:r w:rsidRPr="00F02269">
              <w:rPr>
                <w:sz w:val="22"/>
                <w:szCs w:val="22"/>
              </w:rPr>
              <w:t>-1.754</w:t>
            </w:r>
          </w:p>
        </w:tc>
        <w:tc>
          <w:tcPr>
            <w:tcW w:w="946" w:type="dxa"/>
          </w:tcPr>
          <w:p w14:paraId="3CFFAA72" w14:textId="77777777" w:rsidR="00E225BB" w:rsidRPr="00F02269" w:rsidRDefault="00E225BB" w:rsidP="00CB3110">
            <w:pPr>
              <w:spacing w:line="360" w:lineRule="auto"/>
              <w:ind w:right="3"/>
              <w:jc w:val="both"/>
              <w:rPr>
                <w:sz w:val="22"/>
                <w:szCs w:val="22"/>
              </w:rPr>
            </w:pPr>
            <w:r w:rsidRPr="00F02269">
              <w:rPr>
                <w:sz w:val="22"/>
                <w:szCs w:val="22"/>
              </w:rPr>
              <w:t>0.01</w:t>
            </w:r>
          </w:p>
        </w:tc>
        <w:tc>
          <w:tcPr>
            <w:tcW w:w="687" w:type="dxa"/>
          </w:tcPr>
          <w:p w14:paraId="373ABD2B" w14:textId="77777777" w:rsidR="00E225BB" w:rsidRPr="00F02269" w:rsidRDefault="00E225BB" w:rsidP="00CB3110">
            <w:pPr>
              <w:spacing w:line="360" w:lineRule="auto"/>
              <w:ind w:left="28"/>
              <w:jc w:val="both"/>
              <w:rPr>
                <w:sz w:val="22"/>
                <w:szCs w:val="22"/>
              </w:rPr>
            </w:pPr>
            <w:r w:rsidRPr="00F02269">
              <w:rPr>
                <w:sz w:val="22"/>
                <w:szCs w:val="22"/>
              </w:rPr>
              <w:t>0.17</w:t>
            </w:r>
          </w:p>
        </w:tc>
        <w:tc>
          <w:tcPr>
            <w:tcW w:w="746" w:type="dxa"/>
          </w:tcPr>
          <w:p w14:paraId="6377E7B8" w14:textId="77777777" w:rsidR="00E225BB" w:rsidRPr="00F02269" w:rsidRDefault="00E225BB" w:rsidP="00CB3110">
            <w:pPr>
              <w:spacing w:line="360" w:lineRule="auto"/>
              <w:ind w:left="78"/>
              <w:jc w:val="both"/>
              <w:rPr>
                <w:sz w:val="22"/>
                <w:szCs w:val="22"/>
              </w:rPr>
            </w:pPr>
            <w:r w:rsidRPr="00F02269">
              <w:rPr>
                <w:sz w:val="22"/>
                <w:szCs w:val="22"/>
              </w:rPr>
              <w:t>0.04</w:t>
            </w:r>
          </w:p>
        </w:tc>
        <w:tc>
          <w:tcPr>
            <w:tcW w:w="987" w:type="dxa"/>
          </w:tcPr>
          <w:p w14:paraId="0A017A87" w14:textId="77777777" w:rsidR="00E225BB" w:rsidRPr="00F02269" w:rsidRDefault="00E225BB" w:rsidP="00CB3110">
            <w:pPr>
              <w:spacing w:line="360" w:lineRule="auto"/>
              <w:jc w:val="both"/>
              <w:rPr>
                <w:sz w:val="22"/>
                <w:szCs w:val="22"/>
              </w:rPr>
            </w:pPr>
            <w:r w:rsidRPr="00F02269">
              <w:rPr>
                <w:sz w:val="22"/>
                <w:szCs w:val="22"/>
              </w:rPr>
              <w:t>0.68</w:t>
            </w:r>
          </w:p>
        </w:tc>
      </w:tr>
      <w:tr w:rsidR="00F02269" w:rsidRPr="004C0E4D" w14:paraId="5BC31D5C" w14:textId="77777777" w:rsidTr="00F02269">
        <w:trPr>
          <w:trHeight w:val="284"/>
        </w:trPr>
        <w:tc>
          <w:tcPr>
            <w:tcW w:w="0" w:type="auto"/>
            <w:vMerge/>
          </w:tcPr>
          <w:p w14:paraId="5315EF6F" w14:textId="77777777" w:rsidR="00E225BB" w:rsidRPr="00F02269" w:rsidRDefault="00E225BB" w:rsidP="00CB3110">
            <w:pPr>
              <w:spacing w:line="360" w:lineRule="auto"/>
              <w:jc w:val="both"/>
              <w:rPr>
                <w:sz w:val="22"/>
                <w:szCs w:val="22"/>
              </w:rPr>
            </w:pPr>
          </w:p>
        </w:tc>
        <w:tc>
          <w:tcPr>
            <w:tcW w:w="1090" w:type="dxa"/>
          </w:tcPr>
          <w:p w14:paraId="0B8F5875" w14:textId="77777777" w:rsidR="00E225BB" w:rsidRPr="00F02269" w:rsidRDefault="00E225BB" w:rsidP="00CB3110">
            <w:pPr>
              <w:spacing w:line="360" w:lineRule="auto"/>
              <w:jc w:val="both"/>
              <w:rPr>
                <w:sz w:val="22"/>
                <w:szCs w:val="22"/>
              </w:rPr>
            </w:pPr>
            <w:r w:rsidRPr="00F02269">
              <w:rPr>
                <w:sz w:val="22"/>
                <w:szCs w:val="22"/>
              </w:rPr>
              <w:t>Constant</w:t>
            </w:r>
          </w:p>
        </w:tc>
        <w:tc>
          <w:tcPr>
            <w:tcW w:w="1100" w:type="dxa"/>
          </w:tcPr>
          <w:p w14:paraId="15413FE5"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051" w:type="dxa"/>
          </w:tcPr>
          <w:p w14:paraId="033D014C"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197" w:type="dxa"/>
          </w:tcPr>
          <w:p w14:paraId="56677090"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826" w:type="dxa"/>
          </w:tcPr>
          <w:p w14:paraId="595627BE" w14:textId="77777777" w:rsidR="00E225BB" w:rsidRPr="00F02269" w:rsidRDefault="00E225BB" w:rsidP="00CB3110">
            <w:pPr>
              <w:spacing w:line="360" w:lineRule="auto"/>
              <w:ind w:right="3"/>
              <w:jc w:val="both"/>
              <w:rPr>
                <w:sz w:val="22"/>
                <w:szCs w:val="22"/>
              </w:rPr>
            </w:pPr>
            <w:r w:rsidRPr="00F02269">
              <w:rPr>
                <w:sz w:val="22"/>
                <w:szCs w:val="22"/>
              </w:rPr>
              <w:t>.095</w:t>
            </w:r>
          </w:p>
        </w:tc>
        <w:tc>
          <w:tcPr>
            <w:tcW w:w="946" w:type="dxa"/>
          </w:tcPr>
          <w:p w14:paraId="593F964A" w14:textId="77777777" w:rsidR="00E225BB" w:rsidRPr="00F02269" w:rsidRDefault="00E225BB" w:rsidP="00CB3110">
            <w:pPr>
              <w:spacing w:line="360" w:lineRule="auto"/>
              <w:ind w:right="3"/>
              <w:jc w:val="both"/>
              <w:rPr>
                <w:sz w:val="22"/>
                <w:szCs w:val="22"/>
              </w:rPr>
            </w:pPr>
            <w:r w:rsidRPr="00F02269">
              <w:rPr>
                <w:sz w:val="22"/>
                <w:szCs w:val="22"/>
              </w:rPr>
              <w:t>0.83</w:t>
            </w:r>
          </w:p>
        </w:tc>
        <w:tc>
          <w:tcPr>
            <w:tcW w:w="687" w:type="dxa"/>
          </w:tcPr>
          <w:p w14:paraId="77756ECB" w14:textId="77777777" w:rsidR="00E225BB" w:rsidRPr="00F02269" w:rsidRDefault="00E225BB" w:rsidP="00CB3110">
            <w:pPr>
              <w:spacing w:line="360" w:lineRule="auto"/>
              <w:ind w:right="3"/>
              <w:jc w:val="both"/>
              <w:rPr>
                <w:sz w:val="22"/>
                <w:szCs w:val="22"/>
              </w:rPr>
            </w:pPr>
            <w:r w:rsidRPr="00F02269">
              <w:rPr>
                <w:sz w:val="22"/>
                <w:szCs w:val="22"/>
              </w:rPr>
              <w:t>1.1</w:t>
            </w:r>
          </w:p>
        </w:tc>
        <w:tc>
          <w:tcPr>
            <w:tcW w:w="746" w:type="dxa"/>
          </w:tcPr>
          <w:p w14:paraId="6F2860BF" w14:textId="77777777" w:rsidR="00E225BB" w:rsidRPr="00F02269" w:rsidRDefault="00E225BB" w:rsidP="00CB3110">
            <w:pPr>
              <w:spacing w:line="360" w:lineRule="auto"/>
              <w:jc w:val="both"/>
              <w:rPr>
                <w:sz w:val="22"/>
                <w:szCs w:val="22"/>
              </w:rPr>
            </w:pPr>
          </w:p>
        </w:tc>
        <w:tc>
          <w:tcPr>
            <w:tcW w:w="987" w:type="dxa"/>
          </w:tcPr>
          <w:p w14:paraId="7B147B17" w14:textId="77777777" w:rsidR="00E225BB" w:rsidRPr="00F02269" w:rsidRDefault="00E225BB" w:rsidP="00CB3110">
            <w:pPr>
              <w:spacing w:line="360" w:lineRule="auto"/>
              <w:jc w:val="both"/>
              <w:rPr>
                <w:sz w:val="22"/>
                <w:szCs w:val="22"/>
              </w:rPr>
            </w:pPr>
          </w:p>
        </w:tc>
      </w:tr>
      <w:tr w:rsidR="00F02269" w:rsidRPr="004C0E4D" w14:paraId="0B6E5897" w14:textId="77777777" w:rsidTr="00F02269">
        <w:trPr>
          <w:trHeight w:val="258"/>
        </w:trPr>
        <w:tc>
          <w:tcPr>
            <w:tcW w:w="1592" w:type="dxa"/>
            <w:vMerge w:val="restart"/>
            <w:vAlign w:val="center"/>
          </w:tcPr>
          <w:p w14:paraId="6553829A" w14:textId="77777777" w:rsidR="00E225BB" w:rsidRPr="00F02269" w:rsidRDefault="00E225BB" w:rsidP="00CB3110">
            <w:pPr>
              <w:spacing w:line="360" w:lineRule="auto"/>
              <w:jc w:val="both"/>
              <w:rPr>
                <w:sz w:val="22"/>
                <w:szCs w:val="22"/>
              </w:rPr>
            </w:pPr>
            <w:r w:rsidRPr="00F02269">
              <w:rPr>
                <w:b/>
                <w:sz w:val="22"/>
                <w:szCs w:val="22"/>
              </w:rPr>
              <w:t>History of STIs</w:t>
            </w:r>
          </w:p>
        </w:tc>
        <w:tc>
          <w:tcPr>
            <w:tcW w:w="1090" w:type="dxa"/>
          </w:tcPr>
          <w:p w14:paraId="4FC6338C" w14:textId="77777777" w:rsidR="00E225BB" w:rsidRPr="00F02269" w:rsidRDefault="00E225BB" w:rsidP="00CB3110">
            <w:pPr>
              <w:spacing w:line="360" w:lineRule="auto"/>
              <w:jc w:val="both"/>
              <w:rPr>
                <w:sz w:val="22"/>
                <w:szCs w:val="22"/>
              </w:rPr>
            </w:pPr>
            <w:r w:rsidRPr="00F02269">
              <w:rPr>
                <w:sz w:val="22"/>
                <w:szCs w:val="22"/>
              </w:rPr>
              <w:t>No</w:t>
            </w:r>
          </w:p>
        </w:tc>
        <w:tc>
          <w:tcPr>
            <w:tcW w:w="1100" w:type="dxa"/>
          </w:tcPr>
          <w:p w14:paraId="01B46764" w14:textId="77777777" w:rsidR="00E225BB" w:rsidRPr="00F02269" w:rsidRDefault="00E225BB" w:rsidP="00CB3110">
            <w:pPr>
              <w:spacing w:line="360" w:lineRule="auto"/>
              <w:jc w:val="both"/>
              <w:rPr>
                <w:sz w:val="22"/>
                <w:szCs w:val="22"/>
              </w:rPr>
            </w:pPr>
            <w:r w:rsidRPr="00F02269">
              <w:rPr>
                <w:sz w:val="22"/>
                <w:szCs w:val="22"/>
              </w:rPr>
              <w:t>80% (86)</w:t>
            </w:r>
          </w:p>
        </w:tc>
        <w:tc>
          <w:tcPr>
            <w:tcW w:w="1051" w:type="dxa"/>
          </w:tcPr>
          <w:p w14:paraId="00EF1F87" w14:textId="77777777" w:rsidR="00E225BB" w:rsidRPr="00F02269" w:rsidRDefault="00E225BB" w:rsidP="00CB3110">
            <w:pPr>
              <w:spacing w:line="360" w:lineRule="auto"/>
              <w:jc w:val="both"/>
              <w:rPr>
                <w:sz w:val="22"/>
                <w:szCs w:val="22"/>
              </w:rPr>
            </w:pPr>
            <w:r w:rsidRPr="00F02269">
              <w:rPr>
                <w:sz w:val="22"/>
                <w:szCs w:val="22"/>
              </w:rPr>
              <w:t>20% (21)</w:t>
            </w:r>
          </w:p>
        </w:tc>
        <w:tc>
          <w:tcPr>
            <w:tcW w:w="1197" w:type="dxa"/>
          </w:tcPr>
          <w:p w14:paraId="70993A5C" w14:textId="77777777" w:rsidR="00E225BB" w:rsidRPr="00F02269" w:rsidRDefault="00E225BB" w:rsidP="00CB3110">
            <w:pPr>
              <w:spacing w:line="360" w:lineRule="auto"/>
              <w:jc w:val="both"/>
              <w:rPr>
                <w:sz w:val="22"/>
                <w:szCs w:val="22"/>
              </w:rPr>
            </w:pPr>
            <w:r w:rsidRPr="00F02269">
              <w:rPr>
                <w:b/>
                <w:i/>
                <w:sz w:val="22"/>
                <w:szCs w:val="22"/>
              </w:rPr>
              <w:t>100% (107)</w:t>
            </w:r>
          </w:p>
        </w:tc>
        <w:tc>
          <w:tcPr>
            <w:tcW w:w="826" w:type="dxa"/>
          </w:tcPr>
          <w:p w14:paraId="4160D4BA" w14:textId="77777777" w:rsidR="00E225BB" w:rsidRPr="00F02269" w:rsidRDefault="00E225BB" w:rsidP="00CB3110">
            <w:pPr>
              <w:spacing w:line="360" w:lineRule="auto"/>
              <w:ind w:left="37"/>
              <w:jc w:val="both"/>
              <w:rPr>
                <w:sz w:val="22"/>
                <w:szCs w:val="22"/>
              </w:rPr>
            </w:pPr>
            <w:r w:rsidRPr="00F02269">
              <w:rPr>
                <w:sz w:val="22"/>
                <w:szCs w:val="22"/>
              </w:rPr>
              <w:t>1.661</w:t>
            </w:r>
          </w:p>
        </w:tc>
        <w:tc>
          <w:tcPr>
            <w:tcW w:w="946" w:type="dxa"/>
          </w:tcPr>
          <w:p w14:paraId="3ACDAD3A" w14:textId="77777777" w:rsidR="00E225BB" w:rsidRPr="00F02269" w:rsidRDefault="00E225BB" w:rsidP="00CB3110">
            <w:pPr>
              <w:spacing w:line="360" w:lineRule="auto"/>
              <w:ind w:right="3"/>
              <w:jc w:val="both"/>
              <w:rPr>
                <w:sz w:val="22"/>
                <w:szCs w:val="22"/>
              </w:rPr>
            </w:pPr>
            <w:r w:rsidRPr="00F02269">
              <w:rPr>
                <w:sz w:val="22"/>
                <w:szCs w:val="22"/>
              </w:rPr>
              <w:t>.003</w:t>
            </w:r>
          </w:p>
        </w:tc>
        <w:tc>
          <w:tcPr>
            <w:tcW w:w="687" w:type="dxa"/>
          </w:tcPr>
          <w:p w14:paraId="7F7B52BF" w14:textId="77777777" w:rsidR="00E225BB" w:rsidRPr="00F02269" w:rsidRDefault="00E225BB" w:rsidP="00CB3110">
            <w:pPr>
              <w:spacing w:line="360" w:lineRule="auto"/>
              <w:ind w:left="28"/>
              <w:jc w:val="both"/>
              <w:rPr>
                <w:sz w:val="22"/>
                <w:szCs w:val="22"/>
              </w:rPr>
            </w:pPr>
            <w:r w:rsidRPr="00F02269">
              <w:rPr>
                <w:sz w:val="22"/>
                <w:szCs w:val="22"/>
              </w:rPr>
              <w:t>5.27</w:t>
            </w:r>
          </w:p>
        </w:tc>
        <w:tc>
          <w:tcPr>
            <w:tcW w:w="746" w:type="dxa"/>
          </w:tcPr>
          <w:p w14:paraId="392270EF" w14:textId="77777777" w:rsidR="00E225BB" w:rsidRPr="00F02269" w:rsidRDefault="00E225BB" w:rsidP="00CB3110">
            <w:pPr>
              <w:spacing w:line="360" w:lineRule="auto"/>
              <w:ind w:left="78"/>
              <w:jc w:val="both"/>
              <w:rPr>
                <w:sz w:val="22"/>
                <w:szCs w:val="22"/>
              </w:rPr>
            </w:pPr>
            <w:r w:rsidRPr="00F02269">
              <w:rPr>
                <w:sz w:val="22"/>
                <w:szCs w:val="22"/>
              </w:rPr>
              <w:t>1.76</w:t>
            </w:r>
          </w:p>
        </w:tc>
        <w:tc>
          <w:tcPr>
            <w:tcW w:w="987" w:type="dxa"/>
          </w:tcPr>
          <w:p w14:paraId="79534AED" w14:textId="77777777" w:rsidR="00E225BB" w:rsidRPr="00F02269" w:rsidRDefault="00E225BB" w:rsidP="00CB3110">
            <w:pPr>
              <w:spacing w:line="360" w:lineRule="auto"/>
              <w:jc w:val="both"/>
              <w:rPr>
                <w:sz w:val="22"/>
                <w:szCs w:val="22"/>
              </w:rPr>
            </w:pPr>
            <w:r w:rsidRPr="00F02269">
              <w:rPr>
                <w:sz w:val="22"/>
                <w:szCs w:val="22"/>
              </w:rPr>
              <w:t>15.77</w:t>
            </w:r>
          </w:p>
        </w:tc>
      </w:tr>
      <w:tr w:rsidR="00E225BB" w:rsidRPr="004C0E4D" w14:paraId="1D3A9EEE" w14:textId="77777777" w:rsidTr="00F02269">
        <w:trPr>
          <w:trHeight w:val="260"/>
        </w:trPr>
        <w:tc>
          <w:tcPr>
            <w:tcW w:w="0" w:type="auto"/>
            <w:vMerge/>
          </w:tcPr>
          <w:p w14:paraId="23496150" w14:textId="77777777" w:rsidR="00E225BB" w:rsidRPr="00F02269" w:rsidRDefault="00E225BB" w:rsidP="00CB3110">
            <w:pPr>
              <w:spacing w:line="360" w:lineRule="auto"/>
              <w:jc w:val="both"/>
              <w:rPr>
                <w:sz w:val="22"/>
                <w:szCs w:val="22"/>
              </w:rPr>
            </w:pPr>
          </w:p>
        </w:tc>
        <w:tc>
          <w:tcPr>
            <w:tcW w:w="1090" w:type="dxa"/>
          </w:tcPr>
          <w:p w14:paraId="51270657" w14:textId="77777777" w:rsidR="00E225BB" w:rsidRPr="00F02269" w:rsidRDefault="00E225BB" w:rsidP="00CB3110">
            <w:pPr>
              <w:spacing w:line="360" w:lineRule="auto"/>
              <w:jc w:val="both"/>
              <w:rPr>
                <w:sz w:val="22"/>
                <w:szCs w:val="22"/>
              </w:rPr>
            </w:pPr>
            <w:r w:rsidRPr="00F02269">
              <w:rPr>
                <w:sz w:val="22"/>
                <w:szCs w:val="22"/>
              </w:rPr>
              <w:t>Constant</w:t>
            </w:r>
          </w:p>
        </w:tc>
        <w:tc>
          <w:tcPr>
            <w:tcW w:w="1100" w:type="dxa"/>
          </w:tcPr>
          <w:p w14:paraId="612B0DFF" w14:textId="77777777" w:rsidR="00E225BB" w:rsidRPr="00F02269" w:rsidRDefault="00E225BB" w:rsidP="00CB3110">
            <w:pPr>
              <w:spacing w:line="360" w:lineRule="auto"/>
              <w:jc w:val="both"/>
              <w:rPr>
                <w:sz w:val="22"/>
                <w:szCs w:val="22"/>
              </w:rPr>
            </w:pPr>
            <w:r w:rsidRPr="00F02269">
              <w:rPr>
                <w:sz w:val="22"/>
                <w:szCs w:val="22"/>
              </w:rPr>
              <w:t>44% (7)</w:t>
            </w:r>
          </w:p>
        </w:tc>
        <w:tc>
          <w:tcPr>
            <w:tcW w:w="1051" w:type="dxa"/>
          </w:tcPr>
          <w:p w14:paraId="4BC4DA09" w14:textId="77777777" w:rsidR="00E225BB" w:rsidRPr="00F02269" w:rsidRDefault="00E225BB" w:rsidP="00CB3110">
            <w:pPr>
              <w:spacing w:line="360" w:lineRule="auto"/>
              <w:jc w:val="both"/>
              <w:rPr>
                <w:sz w:val="22"/>
                <w:szCs w:val="22"/>
              </w:rPr>
            </w:pPr>
            <w:r w:rsidRPr="00F02269">
              <w:rPr>
                <w:sz w:val="22"/>
                <w:szCs w:val="22"/>
              </w:rPr>
              <w:t>56% (9)</w:t>
            </w:r>
          </w:p>
        </w:tc>
        <w:tc>
          <w:tcPr>
            <w:tcW w:w="1197" w:type="dxa"/>
          </w:tcPr>
          <w:p w14:paraId="59ED6269" w14:textId="77777777" w:rsidR="00E225BB" w:rsidRPr="00F02269" w:rsidRDefault="00E225BB" w:rsidP="00CB3110">
            <w:pPr>
              <w:spacing w:line="360" w:lineRule="auto"/>
              <w:jc w:val="both"/>
              <w:rPr>
                <w:sz w:val="22"/>
                <w:szCs w:val="22"/>
              </w:rPr>
            </w:pPr>
            <w:r w:rsidRPr="00F02269">
              <w:rPr>
                <w:b/>
                <w:i/>
                <w:sz w:val="22"/>
                <w:szCs w:val="22"/>
              </w:rPr>
              <w:t>100% (16)</w:t>
            </w:r>
          </w:p>
        </w:tc>
        <w:tc>
          <w:tcPr>
            <w:tcW w:w="826" w:type="dxa"/>
          </w:tcPr>
          <w:p w14:paraId="02E53981" w14:textId="77777777" w:rsidR="00E225BB" w:rsidRPr="00F02269" w:rsidRDefault="00E225BB" w:rsidP="00CB3110">
            <w:pPr>
              <w:spacing w:line="360" w:lineRule="auto"/>
              <w:jc w:val="both"/>
              <w:rPr>
                <w:sz w:val="22"/>
                <w:szCs w:val="22"/>
              </w:rPr>
            </w:pPr>
            <w:r w:rsidRPr="00F02269">
              <w:rPr>
                <w:sz w:val="22"/>
                <w:szCs w:val="22"/>
              </w:rPr>
              <w:t>-1.410</w:t>
            </w:r>
          </w:p>
        </w:tc>
        <w:tc>
          <w:tcPr>
            <w:tcW w:w="946" w:type="dxa"/>
          </w:tcPr>
          <w:p w14:paraId="2EDBB7CC" w14:textId="77777777" w:rsidR="00E225BB" w:rsidRPr="00F02269" w:rsidRDefault="00E225BB" w:rsidP="00CB3110">
            <w:pPr>
              <w:spacing w:line="360" w:lineRule="auto"/>
              <w:ind w:right="3"/>
              <w:jc w:val="both"/>
              <w:rPr>
                <w:sz w:val="22"/>
                <w:szCs w:val="22"/>
              </w:rPr>
            </w:pPr>
            <w:r w:rsidRPr="00F02269">
              <w:rPr>
                <w:sz w:val="22"/>
                <w:szCs w:val="22"/>
              </w:rPr>
              <w:t>.000</w:t>
            </w:r>
          </w:p>
        </w:tc>
        <w:tc>
          <w:tcPr>
            <w:tcW w:w="687" w:type="dxa"/>
          </w:tcPr>
          <w:p w14:paraId="3E26CDDA" w14:textId="77777777" w:rsidR="00E225BB" w:rsidRPr="00F02269" w:rsidRDefault="00E225BB" w:rsidP="00CB3110">
            <w:pPr>
              <w:spacing w:line="360" w:lineRule="auto"/>
              <w:ind w:left="28"/>
              <w:jc w:val="both"/>
              <w:rPr>
                <w:sz w:val="22"/>
                <w:szCs w:val="22"/>
              </w:rPr>
            </w:pPr>
            <w:r w:rsidRPr="00F02269">
              <w:rPr>
                <w:sz w:val="22"/>
                <w:szCs w:val="22"/>
              </w:rPr>
              <w:t>.244</w:t>
            </w:r>
          </w:p>
        </w:tc>
        <w:tc>
          <w:tcPr>
            <w:tcW w:w="746" w:type="dxa"/>
          </w:tcPr>
          <w:p w14:paraId="71B3EC46" w14:textId="77777777" w:rsidR="00E225BB" w:rsidRPr="00F02269" w:rsidRDefault="00E225BB" w:rsidP="00CB3110">
            <w:pPr>
              <w:spacing w:line="360" w:lineRule="auto"/>
              <w:jc w:val="both"/>
              <w:rPr>
                <w:sz w:val="22"/>
                <w:szCs w:val="22"/>
              </w:rPr>
            </w:pPr>
          </w:p>
        </w:tc>
        <w:tc>
          <w:tcPr>
            <w:tcW w:w="987" w:type="dxa"/>
          </w:tcPr>
          <w:p w14:paraId="1E7C2F98" w14:textId="77777777" w:rsidR="00E225BB" w:rsidRPr="00F02269" w:rsidRDefault="00E225BB" w:rsidP="00CB3110">
            <w:pPr>
              <w:spacing w:line="360" w:lineRule="auto"/>
              <w:jc w:val="both"/>
              <w:rPr>
                <w:sz w:val="22"/>
                <w:szCs w:val="22"/>
              </w:rPr>
            </w:pPr>
          </w:p>
        </w:tc>
      </w:tr>
    </w:tbl>
    <w:p w14:paraId="022E764B" w14:textId="4F9FFFED" w:rsidR="00E225BB" w:rsidRPr="007B75E8" w:rsidRDefault="00E225BB" w:rsidP="007F336D">
      <w:pPr>
        <w:jc w:val="both"/>
        <w:rPr>
          <w:b/>
          <w:i/>
          <w:iCs/>
        </w:rPr>
      </w:pPr>
      <w:r w:rsidRPr="007B75E8">
        <w:rPr>
          <w:i/>
          <w:iCs/>
        </w:rPr>
        <w:t xml:space="preserve">C.I: Confidence Interval; LCI: </w:t>
      </w:r>
      <w:r w:rsidR="00F02269" w:rsidRPr="007B75E8">
        <w:rPr>
          <w:i/>
          <w:iCs/>
        </w:rPr>
        <w:t xml:space="preserve">Lower Confidence Interval; </w:t>
      </w:r>
      <w:r w:rsidRPr="007B75E8">
        <w:rPr>
          <w:i/>
          <w:iCs/>
        </w:rPr>
        <w:t>UCI:</w:t>
      </w:r>
      <w:r w:rsidR="00F02269" w:rsidRPr="007B75E8">
        <w:rPr>
          <w:i/>
          <w:iCs/>
        </w:rPr>
        <w:t xml:space="preserve"> Upper Confidence </w:t>
      </w:r>
      <w:proofErr w:type="gramStart"/>
      <w:r w:rsidR="00F02269" w:rsidRPr="007B75E8">
        <w:rPr>
          <w:i/>
          <w:iCs/>
        </w:rPr>
        <w:t>Interval;</w:t>
      </w:r>
      <w:r w:rsidRPr="007B75E8">
        <w:rPr>
          <w:i/>
          <w:iCs/>
        </w:rPr>
        <w:t>;</w:t>
      </w:r>
      <w:proofErr w:type="gramEnd"/>
      <w:r w:rsidRPr="007B75E8">
        <w:rPr>
          <w:i/>
          <w:iCs/>
        </w:rPr>
        <w:t>O.R: Odd Ratio; Coeff.; Coefficient</w:t>
      </w:r>
    </w:p>
    <w:p w14:paraId="657D23D0" w14:textId="77777777" w:rsidR="00F02269" w:rsidRDefault="00F02269" w:rsidP="007F336D">
      <w:pPr>
        <w:jc w:val="both"/>
      </w:pPr>
    </w:p>
    <w:p w14:paraId="5B3A4195" w14:textId="381469E0" w:rsidR="007F336D" w:rsidRPr="007F336D" w:rsidRDefault="007F336D" w:rsidP="007F336D">
      <w:pPr>
        <w:jc w:val="both"/>
      </w:pPr>
      <w:r w:rsidRPr="007F336D">
        <w:t xml:space="preserve">These findings highlight demographic and clinical predictors that </w:t>
      </w:r>
      <w:r w:rsidR="00A668C7">
        <w:t>would be vital in</w:t>
      </w:r>
      <w:r w:rsidRPr="007F336D">
        <w:t xml:space="preserve"> inform</w:t>
      </w:r>
      <w:r w:rsidR="00A668C7">
        <w:t>ing</w:t>
      </w:r>
      <w:r w:rsidRPr="007F336D">
        <w:t xml:space="preserve"> targeted screening strategies in Nakuru County.</w:t>
      </w:r>
    </w:p>
    <w:p w14:paraId="129934FD" w14:textId="77777777" w:rsidR="007F336D" w:rsidRPr="007F336D" w:rsidRDefault="007F336D" w:rsidP="007F336D">
      <w:pPr>
        <w:jc w:val="both"/>
      </w:pPr>
    </w:p>
    <w:p w14:paraId="56E451D8" w14:textId="77777777" w:rsidR="00220FDC" w:rsidRPr="00220FDC" w:rsidRDefault="00220FDC" w:rsidP="00220FDC">
      <w:pPr>
        <w:jc w:val="both"/>
        <w:rPr>
          <w:b/>
          <w:bCs/>
        </w:rPr>
      </w:pPr>
      <w:r w:rsidRPr="00220FDC">
        <w:rPr>
          <w:b/>
          <w:bCs/>
        </w:rPr>
        <w:t>Discussion</w:t>
      </w:r>
    </w:p>
    <w:p w14:paraId="2EF3E063" w14:textId="25FC3774" w:rsidR="003E5BD0" w:rsidRPr="003E5BD0" w:rsidRDefault="003E5BD0" w:rsidP="003E5BD0">
      <w:pPr>
        <w:jc w:val="both"/>
      </w:pPr>
      <w:r w:rsidRPr="003E5BD0">
        <w:t xml:space="preserve">The observed 24% HPV prevalence in Nakuru County aligns closely with regional estimates from Sub-Saharan Africa, where high-risk HPV infections contribute significantly to cervical cancer burden (Clifford et al., 2019; Bruni et al., 2023). This rate exceeds the national Kenyan average of 9.1% for HPV-16/18 in the general population, </w:t>
      </w:r>
      <w:r w:rsidR="00A668C7">
        <w:t>highlighting</w:t>
      </w:r>
      <w:r w:rsidRPr="003E5BD0">
        <w:t xml:space="preserve"> a localized elevation </w:t>
      </w:r>
      <w:r w:rsidR="00A668C7">
        <w:t xml:space="preserve">triggered by factors such as </w:t>
      </w:r>
      <w:r w:rsidRPr="003E5BD0">
        <w:t xml:space="preserve">socioeconomic factors, limited screening access, </w:t>
      </w:r>
      <w:r w:rsidR="00A668C7">
        <w:t>and</w:t>
      </w:r>
      <w:r w:rsidRPr="003E5BD0">
        <w:t xml:space="preserve"> higher STI co-infections (Kenya HPV Fact Sheet, 2023; Were et al., 2020). The predominance of oncogenic genotypes 16, 18, and 45 mirrors global patterns, where these strains account for over 70% of invasive cervical cancers (de </w:t>
      </w:r>
      <w:proofErr w:type="spellStart"/>
      <w:r w:rsidRPr="003E5BD0">
        <w:t>Sanjosé</w:t>
      </w:r>
      <w:proofErr w:type="spellEnd"/>
      <w:r w:rsidRPr="003E5BD0">
        <w:t xml:space="preserve"> et al., 2023; Muñoz et al., 2003). Moderate genetic diversity, as</w:t>
      </w:r>
      <w:r w:rsidR="00A668C7">
        <w:t xml:space="preserve"> portrayed</w:t>
      </w:r>
      <w:r w:rsidRPr="003E5BD0">
        <w:t xml:space="preserve"> by the Shannon-Weaver index, </w:t>
      </w:r>
      <w:r w:rsidR="00A668C7">
        <w:t>indicate</w:t>
      </w:r>
      <w:r w:rsidRPr="003E5BD0">
        <w:t xml:space="preserve"> variability in HPV strains that </w:t>
      </w:r>
      <w:r w:rsidR="00A668C7">
        <w:t>have an impact on</w:t>
      </w:r>
      <w:r w:rsidRPr="003E5BD0">
        <w:t xml:space="preserve"> vaccine efficacy and necessitate genotype-specific surveillance, particularly in low-resource settings where bivalent or quadrivalent vaccines may not cover emerging variants (Bruni et al., 2023; Denny et al., 2022).</w:t>
      </w:r>
    </w:p>
    <w:p w14:paraId="5CF40683" w14:textId="77777777" w:rsidR="003E5BD0" w:rsidRPr="003E5BD0" w:rsidRDefault="003E5BD0" w:rsidP="003E5BD0">
      <w:pPr>
        <w:jc w:val="both"/>
      </w:pPr>
      <w:r w:rsidRPr="003E5BD0">
        <w:t xml:space="preserve">The diagnostic performance of VIA and VILI, with sensitivities of 60.5% and 68.2% respectively, corroborates existing literature highlighting their limitations in subjectivity and variability, especially in resource-limited environments (Sankaranarayanan et al., 2004; Basu et al., 2018; </w:t>
      </w:r>
      <w:proofErr w:type="spellStart"/>
      <w:r w:rsidRPr="003E5BD0">
        <w:t>Arbyn</w:t>
      </w:r>
      <w:proofErr w:type="spellEnd"/>
      <w:r w:rsidRPr="003E5BD0">
        <w:t xml:space="preserve"> et al., 2020). High specificities (94.1% and 96.4%) indicate utility in ruling out disease but underscore the risk of missed detections leading to false negatives. In contrast, molecular HPV testing via GeneXpert demonstrated superior sensitivity and reliability, supporting its role as a </w:t>
      </w:r>
      <w:r w:rsidRPr="003E5BD0">
        <w:lastRenderedPageBreak/>
        <w:t>gold standard for early detection and risk stratification (</w:t>
      </w:r>
      <w:proofErr w:type="spellStart"/>
      <w:r w:rsidRPr="003E5BD0">
        <w:t>Arbyn</w:t>
      </w:r>
      <w:proofErr w:type="spellEnd"/>
      <w:r w:rsidRPr="003E5BD0">
        <w:t xml:space="preserve"> et al., 2015; Ronco et al., 2019). The rejection of diagnostic homogeneity via McNemar test confirms significant performance disparities, advocating for molecular integration to reduce cervical cancer mortality.</w:t>
      </w:r>
    </w:p>
    <w:p w14:paraId="18AAB38C" w14:textId="77777777" w:rsidR="003E5BD0" w:rsidRPr="003E5BD0" w:rsidRDefault="003E5BD0" w:rsidP="003E5BD0">
      <w:pPr>
        <w:jc w:val="both"/>
      </w:pPr>
      <w:r w:rsidRPr="003E5BD0">
        <w:t>Significant associations between HPV positivity and age (36-45 years) align with peak infection risks due to behavioral factors like multiple partners and declining immunity (Wheeler et al., 2016; Trottier et al., 2021). STI history as a predictor echoes co-factor roles in persistence (</w:t>
      </w:r>
      <w:proofErr w:type="spellStart"/>
      <w:r w:rsidRPr="003E5BD0">
        <w:t>Berraho</w:t>
      </w:r>
      <w:proofErr w:type="spellEnd"/>
      <w:r w:rsidRPr="003E5BD0">
        <w:t xml:space="preserve"> et al., 2017; Jensen et al., 2013). Non-significant links with parity or vaccination may reflect low coverage in the sample (Bruni et al., 2019).</w:t>
      </w:r>
    </w:p>
    <w:p w14:paraId="12059607" w14:textId="77777777" w:rsidR="006D401C" w:rsidRPr="006D401C" w:rsidRDefault="006D401C" w:rsidP="006D401C">
      <w:pPr>
        <w:jc w:val="both"/>
        <w:rPr>
          <w:b/>
          <w:bCs/>
        </w:rPr>
      </w:pPr>
      <w:r w:rsidRPr="006D401C">
        <w:rPr>
          <w:b/>
          <w:bCs/>
        </w:rPr>
        <w:t>Strengths and Limitations</w:t>
      </w:r>
    </w:p>
    <w:p w14:paraId="7B594416" w14:textId="0CCFDF2A" w:rsidR="006D401C" w:rsidRPr="006D401C" w:rsidRDefault="006D401C" w:rsidP="006D401C">
      <w:pPr>
        <w:jc w:val="both"/>
      </w:pPr>
      <w:r w:rsidRPr="006D401C">
        <w:t xml:space="preserve">This study demonstrates several notable strengths. It provides one of the few comparative analyses of conventional and molecular screening methods for HPV in a low-resource Kenyan setting, using real-world hospital data. The inclusion of both VIA/VILI and GeneXpert testing offers a robust diagnostic comparison, while the integration of genotype diversity analysis enhances the understanding of HPV epidemiology in Nakuru County. </w:t>
      </w:r>
      <w:r w:rsidR="00A668C7">
        <w:t>Moreover,</w:t>
      </w:r>
      <w:r w:rsidRPr="006D401C">
        <w:t xml:space="preserve"> the study followed rigorous ethical and methodological procedures, ensuring reliability and participant safety.</w:t>
      </w:r>
    </w:p>
    <w:p w14:paraId="2A95ED04" w14:textId="77777777" w:rsidR="006D401C" w:rsidRPr="006D401C" w:rsidRDefault="006D401C" w:rsidP="006D401C">
      <w:pPr>
        <w:jc w:val="both"/>
      </w:pPr>
      <w:r w:rsidRPr="006D401C">
        <w:t>However, a few limitations should be acknowledged. The cross-sectional design limits causal inference, and the sample size, though adequate for prevalence estimation, may not capture rare genotypes or reflect the entire county population. The reliance on hospital-based participants may also introduce selection bias. Finally, the cost and technical requirements of molecular assays may limit scalability in lower-tier health facilities.</w:t>
      </w:r>
    </w:p>
    <w:p w14:paraId="78F6086E" w14:textId="644F7A80" w:rsidR="00220FDC" w:rsidRPr="00220FDC" w:rsidRDefault="00220FDC" w:rsidP="00220FDC">
      <w:pPr>
        <w:jc w:val="both"/>
        <w:rPr>
          <w:b/>
          <w:bCs/>
        </w:rPr>
      </w:pPr>
      <w:r w:rsidRPr="00220FDC">
        <w:rPr>
          <w:b/>
          <w:bCs/>
        </w:rPr>
        <w:t>Conclusion</w:t>
      </w:r>
    </w:p>
    <w:p w14:paraId="3016FEA8" w14:textId="77777777" w:rsidR="007B3182" w:rsidRDefault="007B3182" w:rsidP="00220FDC">
      <w:pPr>
        <w:jc w:val="both"/>
      </w:pPr>
      <w:r>
        <w:t>This study confirms that GeneXpert-based molecular HPV DNA testing outperforms VIA and VILI, offering higher diagnostic accuracy for detecting high-risk HPV. The predominance of HPV 16, 18, and 45, along with moderate genetic diversity, underscores the need for continued laboratory-based genotype surveillance to guide prevention and clinical care. Strengthening molecular diagnostic capacity will be essential for improving early detection and reducing cervical cancer risk, while future studies should include larger populations and incorporate advanced genotyping for ongoing monitoring.</w:t>
      </w:r>
    </w:p>
    <w:p w14:paraId="514C1114" w14:textId="77777777" w:rsidR="003E5BD0" w:rsidRPr="00220FDC" w:rsidRDefault="003E5BD0" w:rsidP="003807A4">
      <w:pPr>
        <w:jc w:val="both"/>
      </w:pPr>
    </w:p>
    <w:p w14:paraId="127C393E" w14:textId="77777777" w:rsidR="00220FDC" w:rsidRDefault="00220FDC" w:rsidP="003807A4">
      <w:pPr>
        <w:jc w:val="both"/>
        <w:rPr>
          <w:b/>
          <w:bCs/>
        </w:rPr>
      </w:pPr>
      <w:r w:rsidRPr="00220FDC">
        <w:rPr>
          <w:b/>
          <w:bCs/>
        </w:rPr>
        <w:t>References</w:t>
      </w:r>
    </w:p>
    <w:p w14:paraId="21C8B497" w14:textId="77777777" w:rsidR="007B75E8" w:rsidRPr="004C0E4D" w:rsidRDefault="007B75E8" w:rsidP="007B75E8">
      <w:pPr>
        <w:shd w:val="clear" w:color="auto" w:fill="FFFFFF"/>
        <w:spacing w:line="360" w:lineRule="auto"/>
        <w:ind w:left="851" w:hanging="851"/>
        <w:jc w:val="both"/>
        <w:rPr>
          <w:rStyle w:val="Hyperlink"/>
        </w:rPr>
      </w:pPr>
      <w:r w:rsidRPr="004C0E4D">
        <w:rPr>
          <w:color w:val="222222"/>
        </w:rPr>
        <w:t>ACCP (2004). Cervical cancer screening, diagnosis, and treatment: quick reference guide for primary care. Retrieved from </w:t>
      </w:r>
      <w:hyperlink r:id="rId10" w:history="1">
        <w:r w:rsidRPr="004C0E4D">
          <w:rPr>
            <w:rStyle w:val="Hyperlink"/>
          </w:rPr>
          <w:t>https://www.isotechnology.com.br/upd_content/biblioteca/Documentacao_RBLHIV/documentos/Organizacoes_Diferentes/Publicacoes/MOZACS552353376_153697.pdf\</w:t>
        </w:r>
      </w:hyperlink>
    </w:p>
    <w:p w14:paraId="30AAD2F9"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American Cancer Society. (2021). Cervical Cancer: Detailed Guide. Available at: </w:t>
      </w:r>
      <w:hyperlink r:id="rId11" w:tgtFrame="_blank" w:history="1">
        <w:r w:rsidRPr="004C0E4D">
          <w:rPr>
            <w:rStyle w:val="Hyperlink"/>
            <w:color w:val="1155CC"/>
          </w:rPr>
          <w:t>https://www.cancer.org/cancer/cervical-cancer/about.html</w:t>
        </w:r>
      </w:hyperlink>
    </w:p>
    <w:p w14:paraId="246C7951"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American Society for Colposcopy and Cervical Pathology. (Accessed September 21, 2021). Management Guidelines: Human Papillomavirus (HPV) Testing. Available at: </w:t>
      </w:r>
      <w:hyperlink r:id="rId12" w:tgtFrame="_blank" w:history="1">
        <w:r w:rsidRPr="004C0E4D">
          <w:rPr>
            <w:rStyle w:val="Hyperlink"/>
            <w:color w:val="1155CC"/>
          </w:rPr>
          <w:t>https://www.asccp.org/clinical-management-guidelines/2020/stand-alone-hpv-publ</w:t>
        </w:r>
      </w:hyperlink>
    </w:p>
    <w:p w14:paraId="1DF9AF3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lastRenderedPageBreak/>
        <w:t xml:space="preserve">Arbyn, M., Redman, C.W, Ault KA, Basu P, Bruni L, </w:t>
      </w:r>
      <w:proofErr w:type="spellStart"/>
      <w:r w:rsidRPr="004C0E4D">
        <w:rPr>
          <w:color w:val="222222"/>
        </w:rPr>
        <w:t>Ferlay</w:t>
      </w:r>
      <w:proofErr w:type="spellEnd"/>
      <w:r w:rsidRPr="004C0E4D">
        <w:rPr>
          <w:color w:val="222222"/>
        </w:rPr>
        <w:t xml:space="preserve"> J, Franco EL, Krishnan S, </w:t>
      </w:r>
      <w:proofErr w:type="spellStart"/>
      <w:r w:rsidRPr="004C0E4D">
        <w:rPr>
          <w:color w:val="222222"/>
        </w:rPr>
        <w:t>Lortet-Tieulent</w:t>
      </w:r>
      <w:proofErr w:type="spellEnd"/>
      <w:r w:rsidRPr="004C0E4D">
        <w:rPr>
          <w:color w:val="222222"/>
        </w:rPr>
        <w:t xml:space="preserve"> J, Mena M, Muñoz N, Qiao YL, Ronco G, Sankaranarayanan R, Schiffman M, Serrano B, Snijders PJ, </w:t>
      </w:r>
      <w:proofErr w:type="spellStart"/>
      <w:r w:rsidRPr="004C0E4D">
        <w:rPr>
          <w:color w:val="222222"/>
        </w:rPr>
        <w:t>Vaccarella</w:t>
      </w:r>
      <w:proofErr w:type="spellEnd"/>
      <w:r w:rsidRPr="004C0E4D">
        <w:rPr>
          <w:color w:val="222222"/>
        </w:rPr>
        <w:t xml:space="preserve"> S, </w:t>
      </w:r>
      <w:proofErr w:type="spellStart"/>
      <w:r w:rsidRPr="004C0E4D">
        <w:rPr>
          <w:color w:val="222222"/>
        </w:rPr>
        <w:t>Verdoodt</w:t>
      </w:r>
      <w:proofErr w:type="spellEnd"/>
      <w:r w:rsidRPr="004C0E4D">
        <w:rPr>
          <w:color w:val="222222"/>
        </w:rPr>
        <w:t xml:space="preserve"> F, Wang R, Wheeler CM. (2020). Incomplete excision of cervical precancer as a predictor of treatment failure: A systematic review and meta-analysis. The Lancet Oncology, 21(7), 873-884.</w:t>
      </w:r>
    </w:p>
    <w:p w14:paraId="0EC3DEAC"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Arbyn, M., Ronco, G., Anttila, A., Meijer, C. J., &amp; Poljak, M. (2015). Evidence regarding human papillomavirus testing in secondary prevention of cervical cancer. Vaccine, 30, F88-F99. </w:t>
      </w:r>
      <w:proofErr w:type="spellStart"/>
      <w:r w:rsidRPr="004C0E4D">
        <w:rPr>
          <w:color w:val="222222"/>
        </w:rPr>
        <w:t>doi</w:t>
      </w:r>
      <w:proofErr w:type="spellEnd"/>
      <w:r w:rsidRPr="004C0E4D">
        <w:rPr>
          <w:color w:val="222222"/>
        </w:rPr>
        <w:t>: 10.1016/j.vaccine.2015.01.055</w:t>
      </w:r>
    </w:p>
    <w:p w14:paraId="0B42327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Arbyn, M., Verdoodt, F., Snijders, P. J., Verhoef, V. M., </w:t>
      </w:r>
      <w:proofErr w:type="spellStart"/>
      <w:r w:rsidRPr="004C0E4D">
        <w:rPr>
          <w:color w:val="222222"/>
        </w:rPr>
        <w:t>Suonio</w:t>
      </w:r>
      <w:proofErr w:type="spellEnd"/>
      <w:r w:rsidRPr="004C0E4D">
        <w:rPr>
          <w:color w:val="222222"/>
        </w:rPr>
        <w:t>, E., Dillner, L., ... &amp; Nieminen, P. (2013). Accuracy of human papillomavirus testing on self-collected versus clinician-collected specimens: a meta-analysis. The Lancet Oncology, 14(2), 172-183.</w:t>
      </w:r>
    </w:p>
    <w:p w14:paraId="0596F21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Arbyn, M., </w:t>
      </w:r>
      <w:proofErr w:type="spellStart"/>
      <w:r w:rsidRPr="004C0E4D">
        <w:rPr>
          <w:color w:val="222222"/>
        </w:rPr>
        <w:t>Weiderpa</w:t>
      </w:r>
      <w:r>
        <w:rPr>
          <w:color w:val="222222"/>
        </w:rPr>
        <w:t>S</w:t>
      </w:r>
      <w:r w:rsidRPr="004C0E4D">
        <w:rPr>
          <w:color w:val="222222"/>
        </w:rPr>
        <w:t>ss</w:t>
      </w:r>
      <w:proofErr w:type="spellEnd"/>
      <w:r w:rsidRPr="004C0E4D">
        <w:rPr>
          <w:color w:val="222222"/>
        </w:rPr>
        <w:t xml:space="preserve">, E., Bruni, L., de </w:t>
      </w:r>
      <w:proofErr w:type="spellStart"/>
      <w:r w:rsidRPr="004C0E4D">
        <w:rPr>
          <w:color w:val="222222"/>
        </w:rPr>
        <w:t>Sanjosé</w:t>
      </w:r>
      <w:proofErr w:type="spellEnd"/>
      <w:r w:rsidRPr="004C0E4D">
        <w:rPr>
          <w:color w:val="222222"/>
        </w:rPr>
        <w:t xml:space="preserve">, S., Saraiya, M., </w:t>
      </w:r>
      <w:proofErr w:type="spellStart"/>
      <w:r w:rsidRPr="004C0E4D">
        <w:rPr>
          <w:color w:val="222222"/>
        </w:rPr>
        <w:t>Ferlay</w:t>
      </w:r>
      <w:proofErr w:type="spellEnd"/>
      <w:r w:rsidRPr="004C0E4D">
        <w:rPr>
          <w:color w:val="222222"/>
        </w:rPr>
        <w:t>, J., ... &amp; Bray, F. (2020). Estimates of incidence and mortality of cervical cancer in 2018: a worldwide analysis. The Lancet Global Health, 8(2), e191-e203.</w:t>
      </w:r>
    </w:p>
    <w:p w14:paraId="0AD26E0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Basu P, Alemany L, Ault KA, Bruni L, Farrell L, </w:t>
      </w:r>
      <w:proofErr w:type="spellStart"/>
      <w:r w:rsidRPr="004C0E4D">
        <w:rPr>
          <w:color w:val="222222"/>
        </w:rPr>
        <w:t>Lortet-Tieulent</w:t>
      </w:r>
      <w:proofErr w:type="spellEnd"/>
      <w:r w:rsidRPr="004C0E4D">
        <w:rPr>
          <w:color w:val="222222"/>
        </w:rPr>
        <w:t xml:space="preserve"> J, Mena M, </w:t>
      </w:r>
      <w:proofErr w:type="spellStart"/>
      <w:r w:rsidRPr="004C0E4D">
        <w:rPr>
          <w:color w:val="222222"/>
        </w:rPr>
        <w:t>Ostrbenk</w:t>
      </w:r>
      <w:proofErr w:type="spellEnd"/>
      <w:r w:rsidRPr="004C0E4D">
        <w:rPr>
          <w:color w:val="222222"/>
        </w:rPr>
        <w:t xml:space="preserve"> </w:t>
      </w:r>
      <w:proofErr w:type="spellStart"/>
      <w:r w:rsidRPr="004C0E4D">
        <w:rPr>
          <w:color w:val="222222"/>
        </w:rPr>
        <w:t>Valencak</w:t>
      </w:r>
      <w:proofErr w:type="spellEnd"/>
      <w:r w:rsidRPr="004C0E4D">
        <w:rPr>
          <w:color w:val="222222"/>
        </w:rPr>
        <w:t xml:space="preserve"> A, </w:t>
      </w:r>
      <w:proofErr w:type="spellStart"/>
      <w:r w:rsidRPr="004C0E4D">
        <w:rPr>
          <w:color w:val="222222"/>
        </w:rPr>
        <w:t>Poljak</w:t>
      </w:r>
      <w:proofErr w:type="spellEnd"/>
      <w:r w:rsidRPr="004C0E4D">
        <w:rPr>
          <w:color w:val="222222"/>
        </w:rPr>
        <w:t xml:space="preserve"> M, Ronco G, Schiffman </w:t>
      </w:r>
      <w:proofErr w:type="gramStart"/>
      <w:r w:rsidRPr="004C0E4D">
        <w:rPr>
          <w:color w:val="222222"/>
        </w:rPr>
        <w:t>M,.</w:t>
      </w:r>
      <w:proofErr w:type="gramEnd"/>
      <w:r w:rsidRPr="004C0E4D">
        <w:rPr>
          <w:color w:val="222222"/>
        </w:rPr>
        <w:t xml:space="preserve"> (2018). Accuracy of Visual Inspection with Acetic Acid (VIA), Lugol’s Iodine (VILI), Pap Smear and HPV Testing as Cervical Screening Tools in Low- and Middle-Income Countries: A Systematic Review and Meta-analysis. </w:t>
      </w:r>
      <w:proofErr w:type="spellStart"/>
      <w:r w:rsidRPr="004C0E4D">
        <w:rPr>
          <w:color w:val="222222"/>
        </w:rPr>
        <w:t>PLoS</w:t>
      </w:r>
      <w:proofErr w:type="spellEnd"/>
      <w:r w:rsidRPr="004C0E4D">
        <w:rPr>
          <w:color w:val="222222"/>
        </w:rPr>
        <w:t xml:space="preserve"> ONE, 13(2), e0188284.</w:t>
      </w:r>
    </w:p>
    <w:p w14:paraId="45D36D7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Basu P, Bruni L, </w:t>
      </w:r>
      <w:proofErr w:type="spellStart"/>
      <w:r w:rsidRPr="004C0E4D">
        <w:rPr>
          <w:color w:val="222222"/>
        </w:rPr>
        <w:t>Ferlay</w:t>
      </w:r>
      <w:proofErr w:type="spellEnd"/>
      <w:r w:rsidRPr="004C0E4D">
        <w:rPr>
          <w:color w:val="222222"/>
        </w:rPr>
        <w:t xml:space="preserve"> J, Franco EL, Johnson KM, Krishnan S, </w:t>
      </w:r>
      <w:proofErr w:type="spellStart"/>
      <w:r w:rsidRPr="004C0E4D">
        <w:rPr>
          <w:color w:val="222222"/>
        </w:rPr>
        <w:t>Lortet-Tieulent</w:t>
      </w:r>
      <w:proofErr w:type="spellEnd"/>
      <w:r w:rsidRPr="004C0E4D">
        <w:rPr>
          <w:color w:val="222222"/>
        </w:rPr>
        <w:t xml:space="preserve"> J, </w:t>
      </w:r>
      <w:proofErr w:type="gramStart"/>
      <w:r w:rsidRPr="004C0E4D">
        <w:rPr>
          <w:color w:val="222222"/>
        </w:rPr>
        <w:t>Mena ,</w:t>
      </w:r>
      <w:proofErr w:type="gramEnd"/>
      <w:r w:rsidRPr="004C0E4D">
        <w:rPr>
          <w:color w:val="222222"/>
        </w:rPr>
        <w:t xml:space="preserve"> Serrano B, Snijders PJ, Vaccarella S, Wheeler CM. (2020). Visual Inspection of Cervix with Acetic Acid and Lugol’s Iodine for Cervical Cancer Screening: Experience from a Community-Based Screening Program in India. Cancer Epidemiology, 69, 101809.</w:t>
      </w:r>
    </w:p>
    <w:p w14:paraId="5B1C2CA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Basu, P., Mehta, A., Jain, M. V., Ramakrishna, G., Das, P., Mandal, R., ... &amp; Mehrotra, R. (2020). Diagnostic accuracy of VIA and HPV detection as primary and sequential screening tests in a cervical cancer prevention program in North India. International Journal of Cancer, 147(4), 1101-1112.</w:t>
      </w:r>
    </w:p>
    <w:p w14:paraId="62EAC1A3"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Berraho</w:t>
      </w:r>
      <w:proofErr w:type="spellEnd"/>
      <w:r w:rsidRPr="004C0E4D">
        <w:rPr>
          <w:color w:val="222222"/>
        </w:rPr>
        <w:t xml:space="preserve">, M., Amarti-Riffi, A., El-Mzibri, M., Bezad, R., </w:t>
      </w:r>
      <w:proofErr w:type="spellStart"/>
      <w:r w:rsidRPr="004C0E4D">
        <w:rPr>
          <w:color w:val="222222"/>
        </w:rPr>
        <w:t>Benjaafar</w:t>
      </w:r>
      <w:proofErr w:type="spellEnd"/>
      <w:r w:rsidRPr="004C0E4D">
        <w:rPr>
          <w:color w:val="222222"/>
        </w:rPr>
        <w:t xml:space="preserve">, N., </w:t>
      </w:r>
      <w:proofErr w:type="spellStart"/>
      <w:r w:rsidRPr="004C0E4D">
        <w:rPr>
          <w:color w:val="222222"/>
        </w:rPr>
        <w:t>Benide</w:t>
      </w:r>
      <w:proofErr w:type="spellEnd"/>
      <w:r w:rsidRPr="004C0E4D">
        <w:rPr>
          <w:color w:val="222222"/>
        </w:rPr>
        <w:t>, A., et al. (2017). Human papillomavirus and cervical cancer in Morocco: Burden of infection and genotypes distribution. BMC Infectious Diseases, 17, 744.</w:t>
      </w:r>
    </w:p>
    <w:p w14:paraId="7B598E97"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lastRenderedPageBreak/>
        <w:t>Bruni, L. et al. (2023). Global epidemiology of HPV infection and cervical cancer. HPV Information Centre.</w:t>
      </w:r>
    </w:p>
    <w:p w14:paraId="35C0263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Bruni, L. et al. (2023). Multiple HPV infections and risk of cervical disease progression. HPV Information Centre.</w:t>
      </w:r>
    </w:p>
    <w:p w14:paraId="2786495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Bruni, L., Diaz, M., Barrionuevo-Rosas, L., Herrero, R., Bray, F., Bosch, F. X., ... &amp; de </w:t>
      </w:r>
      <w:proofErr w:type="spellStart"/>
      <w:r w:rsidRPr="004C0E4D">
        <w:rPr>
          <w:color w:val="222222"/>
        </w:rPr>
        <w:t>Sanjosé</w:t>
      </w:r>
      <w:proofErr w:type="spellEnd"/>
      <w:r w:rsidRPr="004C0E4D">
        <w:rPr>
          <w:color w:val="222222"/>
        </w:rPr>
        <w:t>, S. (2019). Global estimates of human papillomavirus vaccination coverage by region and income level: A pooled analysis. The Lancet Global Health, 4(7), e453-e463.</w:t>
      </w:r>
    </w:p>
    <w:p w14:paraId="65B988FE"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Bruni, L., et al. (2023). Global HPV genotype prevalence and vaccine coverage. Vaccine, 41(5), 1023–1032. https://doi.org/10.1016/j.vaccine.2022.12.015</w:t>
      </w:r>
    </w:p>
    <w:p w14:paraId="19C95D0E"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Bruni, L., et al. (2024). Global prevalence of cervical HPV infection by age and geography. The Lancet Microbe.</w:t>
      </w:r>
    </w:p>
    <w:p w14:paraId="0AAF3BC6"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Castle, P. E., </w:t>
      </w:r>
      <w:proofErr w:type="spellStart"/>
      <w:r w:rsidRPr="004C0E4D">
        <w:rPr>
          <w:color w:val="222222"/>
        </w:rPr>
        <w:t>Arbyn</w:t>
      </w:r>
      <w:proofErr w:type="spellEnd"/>
      <w:r w:rsidRPr="004C0E4D">
        <w:rPr>
          <w:color w:val="222222"/>
        </w:rPr>
        <w:t xml:space="preserve">, </w:t>
      </w:r>
      <w:proofErr w:type="gramStart"/>
      <w:r w:rsidRPr="004C0E4D">
        <w:rPr>
          <w:color w:val="222222"/>
        </w:rPr>
        <w:t>M.,E.</w:t>
      </w:r>
      <w:proofErr w:type="gramEnd"/>
      <w:r w:rsidRPr="004C0E4D">
        <w:rPr>
          <w:color w:val="222222"/>
        </w:rPr>
        <w:t xml:space="preserve">, de </w:t>
      </w:r>
      <w:proofErr w:type="spellStart"/>
      <w:r w:rsidRPr="004C0E4D">
        <w:rPr>
          <w:color w:val="222222"/>
        </w:rPr>
        <w:t>Sanjosé</w:t>
      </w:r>
      <w:proofErr w:type="spellEnd"/>
      <w:r w:rsidRPr="004C0E4D">
        <w:rPr>
          <w:color w:val="222222"/>
        </w:rPr>
        <w:t xml:space="preserve">, S.,(2020). The IMPACT collaboration authors. EUROGIN 2019 roadmap on prevention and treatment of HPV-related disease. International Journal of Cancer, 146(3), 652-695. </w:t>
      </w:r>
      <w:proofErr w:type="spellStart"/>
      <w:r w:rsidRPr="004C0E4D">
        <w:rPr>
          <w:color w:val="222222"/>
        </w:rPr>
        <w:t>doi</w:t>
      </w:r>
      <w:proofErr w:type="spellEnd"/>
      <w:r w:rsidRPr="004C0E4D">
        <w:rPr>
          <w:color w:val="222222"/>
        </w:rPr>
        <w:t>: 10.1002/ijc.32403</w:t>
      </w:r>
    </w:p>
    <w:p w14:paraId="7F94D76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Castle, P. E., Maza, M., Proyecto </w:t>
      </w:r>
      <w:proofErr w:type="spellStart"/>
      <w:r w:rsidRPr="004C0E4D">
        <w:rPr>
          <w:color w:val="222222"/>
        </w:rPr>
        <w:t>Epidemiológico</w:t>
      </w:r>
      <w:proofErr w:type="spellEnd"/>
      <w:r w:rsidRPr="004C0E4D">
        <w:rPr>
          <w:color w:val="222222"/>
        </w:rPr>
        <w:t xml:space="preserve"> Guanacaste, &amp; Schiffman, M. (2016). Epidemiology and natural history of HPV infection: lessons from the HPV vaccine trials and implications for impact projections. The Journal of the National Cancer Institute Monographs, 2016(43), 3-9.</w:t>
      </w:r>
    </w:p>
    <w:p w14:paraId="16A70790"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Centers for Disease Control and Prevention (CDC). (2023). Genital HPV Infection - Fact Sheet.</w:t>
      </w:r>
    </w:p>
    <w:p w14:paraId="20D9DBB5"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Centers for Disease Control and Prevention. (2021). HPV Vaccination Recommendations. Available at: </w:t>
      </w:r>
      <w:hyperlink r:id="rId13" w:tgtFrame="_blank" w:history="1">
        <w:r w:rsidRPr="004C0E4D">
          <w:rPr>
            <w:rStyle w:val="Hyperlink"/>
            <w:color w:val="1155CC"/>
          </w:rPr>
          <w:t>https://www.cdc.gov/vaccines/vpd/hpv/hcp/recommendations.html</w:t>
        </w:r>
      </w:hyperlink>
    </w:p>
    <w:p w14:paraId="641371AC"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Clifford, G. M., &amp; Franceschi, S. (2010). HPV and cervical cancer in the 2007 report. Vaccine, 24, K26-K34.</w:t>
      </w:r>
    </w:p>
    <w:p w14:paraId="58FCC89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Clifford, G. M., et al. (2019). HPV genotype diversity and distribution in Africa: a meta-analysis. Infectious Agents and Cancer, 14(1), 1–10. https://doi.org/10.1186/s13027-019-0234-2</w:t>
      </w:r>
    </w:p>
    <w:p w14:paraId="74A86BB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Clifford, G.M. et al. (2021). HPV types in invasive cervical cancer worldwide: a meta-analysis. British Journal of Cancer, 124(2), 250–259.</w:t>
      </w:r>
    </w:p>
    <w:p w14:paraId="78EF4EB7" w14:textId="29A98075" w:rsidR="007B75E8" w:rsidRPr="004C0E4D" w:rsidRDefault="00B6136D" w:rsidP="007B75E8">
      <w:pPr>
        <w:shd w:val="clear" w:color="auto" w:fill="FFFFFF"/>
        <w:spacing w:line="360" w:lineRule="auto"/>
        <w:ind w:left="851" w:hanging="851"/>
        <w:jc w:val="both"/>
        <w:rPr>
          <w:color w:val="222222"/>
        </w:rPr>
      </w:pPr>
      <w:r>
        <w:rPr>
          <w:color w:val="222222"/>
        </w:rPr>
        <w:t>D</w:t>
      </w:r>
      <w:r w:rsidR="007B75E8" w:rsidRPr="004C0E4D">
        <w:rPr>
          <w:color w:val="222222"/>
        </w:rPr>
        <w:t xml:space="preserve">e </w:t>
      </w:r>
      <w:proofErr w:type="spellStart"/>
      <w:r w:rsidR="007B75E8" w:rsidRPr="004C0E4D">
        <w:rPr>
          <w:color w:val="222222"/>
        </w:rPr>
        <w:t>Sanjosé</w:t>
      </w:r>
      <w:proofErr w:type="spellEnd"/>
      <w:r w:rsidR="007B75E8" w:rsidRPr="004C0E4D">
        <w:rPr>
          <w:color w:val="222222"/>
        </w:rPr>
        <w:t xml:space="preserve"> S, </w:t>
      </w:r>
      <w:proofErr w:type="spellStart"/>
      <w:r w:rsidR="007B75E8" w:rsidRPr="004C0E4D">
        <w:rPr>
          <w:color w:val="222222"/>
        </w:rPr>
        <w:t>Alemany</w:t>
      </w:r>
      <w:proofErr w:type="spellEnd"/>
      <w:r w:rsidR="007B75E8" w:rsidRPr="004C0E4D">
        <w:rPr>
          <w:color w:val="222222"/>
        </w:rPr>
        <w:t xml:space="preserve"> L, Brotons M, Bruni L, Clifford GM, </w:t>
      </w:r>
      <w:proofErr w:type="spellStart"/>
      <w:r w:rsidR="007B75E8" w:rsidRPr="004C0E4D">
        <w:rPr>
          <w:color w:val="222222"/>
        </w:rPr>
        <w:t>Ferreccio</w:t>
      </w:r>
      <w:proofErr w:type="spellEnd"/>
      <w:r w:rsidR="007B75E8" w:rsidRPr="004C0E4D">
        <w:rPr>
          <w:color w:val="222222"/>
        </w:rPr>
        <w:t xml:space="preserve"> C, Heard I, Kjaer SK, Laco J, Lu R, Mena M, Muñoz J, Onate W, Qiao YL, Quinn M, Serrano B, Snijders PJ, Suarez M, Thomas JO, Tsu VD, Vaccarella S. (2007). Human Papillomavirus Genotype </w:t>
      </w:r>
      <w:r w:rsidR="007B75E8" w:rsidRPr="004C0E4D">
        <w:rPr>
          <w:color w:val="222222"/>
        </w:rPr>
        <w:lastRenderedPageBreak/>
        <w:t>Attribution in Invasive Cervical Cancer: A Retrospective Cross-Sectional Worldwide Study. The Lancet Oncology, 11(11), 1048-1056.</w:t>
      </w:r>
    </w:p>
    <w:p w14:paraId="0FABCA8E"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De Sanjosé, S. et al. (2023). Human papillomavirus genotype attribution in invasive cervical cancer: a worldwide perspective. The Lancet Oncology, 24(1), 44–56.</w:t>
      </w:r>
    </w:p>
    <w:p w14:paraId="543AFE50"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Denny, L. et al. (2022). HPV diversity and implications for vaccine coverage in Africa. Vaccine, 40(4), 567–573.</w:t>
      </w:r>
    </w:p>
    <w:p w14:paraId="1F7263AB"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GeneXpert. (2021). Xpert HPV. Retrieved from </w:t>
      </w:r>
      <w:hyperlink r:id="rId14" w:tgtFrame="_blank" w:history="1">
        <w:r w:rsidRPr="004C0E4D">
          <w:rPr>
            <w:rStyle w:val="Hyperlink"/>
          </w:rPr>
          <w:t>https://www.cepheid.com/en/tests/sexual-health/Xpert-HPV</w:t>
        </w:r>
      </w:hyperlink>
    </w:p>
    <w:p w14:paraId="7284CB4F"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GLOBOCAN 2018 (International Agency for Research on Cancer). (2018). Cervical cancer statistics. Retrieved from </w:t>
      </w:r>
      <w:hyperlink r:id="rId15" w:tgtFrame="_blank" w:history="1">
        <w:r w:rsidRPr="004C0E4D">
          <w:rPr>
            <w:rStyle w:val="Hyperlink"/>
            <w:color w:val="1155CC"/>
          </w:rPr>
          <w:t>https://gco.iarc.fr/today/data/factsheets/populations/404-kenya-fact-sheets.pdf</w:t>
        </w:r>
      </w:hyperlink>
    </w:p>
    <w:p w14:paraId="6B788E5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GLOBOCAN. (2020). International Agency for Research on Cancer. World Health Organization. Retrieved from </w:t>
      </w:r>
      <w:hyperlink r:id="rId16" w:tgtFrame="_blank" w:history="1">
        <w:r w:rsidRPr="004C0E4D">
          <w:rPr>
            <w:rStyle w:val="Hyperlink"/>
            <w:color w:val="1155CC"/>
          </w:rPr>
          <w:t>https://gco.iarc.fr/today/home</w:t>
        </w:r>
      </w:hyperlink>
      <w:r w:rsidRPr="004C0E4D">
        <w:rPr>
          <w:color w:val="222222"/>
        </w:rPr>
        <w:t>.</w:t>
      </w:r>
    </w:p>
    <w:p w14:paraId="157DB04A"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International Agency for Research on Cancer (IARC). (2018). Cervical cancer estimated incidence, mortality and prevalence worldwide in 2018. Retrieved from </w:t>
      </w:r>
      <w:hyperlink r:id="rId17" w:tgtFrame="_blank" w:history="1">
        <w:r w:rsidRPr="004C0E4D">
          <w:rPr>
            <w:rStyle w:val="Hyperlink"/>
            <w:color w:val="1155CC"/>
          </w:rPr>
          <w:t>https://gco.iarc.fr/today/data/factsheets/cancers/23-Cervix-uteri-fact-sheet.pdf</w:t>
        </w:r>
      </w:hyperlink>
    </w:p>
    <w:p w14:paraId="11E0B352"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International Agency for Research on Cancer (IARC). (2020). Human papillomaviruses. IARC Monographs on the Evaluation of Carcinogenic Risks to Humans, 100B. https://publications.iarc.fr/586</w:t>
      </w:r>
    </w:p>
    <w:p w14:paraId="21A5E96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Jensen, K.E. et al. (2013). Parity as a cofactor for high-grade cervical disease among women with persistent HPV infection. International Journal of Cancer, 132(4), 913–922.</w:t>
      </w:r>
    </w:p>
    <w:p w14:paraId="4E3B42FE" w14:textId="77777777" w:rsidR="007B75E8" w:rsidRPr="004C0E4D" w:rsidRDefault="007B75E8" w:rsidP="007B75E8">
      <w:pPr>
        <w:shd w:val="clear" w:color="auto" w:fill="FFFFFF"/>
        <w:spacing w:line="360" w:lineRule="auto"/>
        <w:ind w:left="851" w:hanging="851"/>
        <w:jc w:val="both"/>
        <w:rPr>
          <w:rStyle w:val="Hyperlink"/>
        </w:rPr>
      </w:pPr>
      <w:r w:rsidRPr="004C0E4D">
        <w:rPr>
          <w:color w:val="222222"/>
        </w:rPr>
        <w:t>Kenya Human Papillomavirus and Related Cancers, Fact Sheet 2023. (n.d.). Retrieved from </w:t>
      </w:r>
      <w:hyperlink r:id="rId18" w:tgtFrame="_blank" w:history="1">
        <w:r w:rsidRPr="004C0E4D">
          <w:rPr>
            <w:rStyle w:val="Hyperlink"/>
          </w:rPr>
          <w:t>http://globocan.iarc.fr/Pages/fact_sheets_cancer.aspx?cancer=cervix</w:t>
        </w:r>
      </w:hyperlink>
    </w:p>
    <w:p w14:paraId="5285E50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Kenya Ministry of Health. (2024). National HPV Vaccination Program: Annual Report.</w:t>
      </w:r>
    </w:p>
    <w:p w14:paraId="7DA354A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Mingo, A. M., Panozzo, C. A., </w:t>
      </w:r>
      <w:proofErr w:type="spellStart"/>
      <w:r w:rsidRPr="004C0E4D">
        <w:rPr>
          <w:color w:val="222222"/>
        </w:rPr>
        <w:t>DiAngi</w:t>
      </w:r>
      <w:proofErr w:type="spellEnd"/>
      <w:r w:rsidRPr="004C0E4D">
        <w:rPr>
          <w:color w:val="222222"/>
        </w:rPr>
        <w:t>, Y. T., Smith, J. S., Sun, X. W., Steinau, M., ... &amp; Saraiya, M. (2014). Implementation of human papillomavirus surveillance in the World Health Organization's Western Pacific Region. International journal of gynecological cancer, 24(3), 548-555.</w:t>
      </w:r>
    </w:p>
    <w:p w14:paraId="10B235A2"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Muñoz N, Alemany L, Bosch FX. (2003). Epidemiologic Classification of Human Papillomavirus Types Associated with Cervical Cancer. New England Journal of Medicine, 348(6), 518-527.</w:t>
      </w:r>
    </w:p>
    <w:p w14:paraId="1FC04E10"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lastRenderedPageBreak/>
        <w:t>National Cancer Institute. (2021). Cervical Cancer Screening (PDQ®) - Health Professional Version. Available at: </w:t>
      </w:r>
      <w:hyperlink r:id="rId19" w:tgtFrame="_blank" w:history="1">
        <w:r w:rsidRPr="004C0E4D">
          <w:rPr>
            <w:rStyle w:val="Hyperlink"/>
            <w:color w:val="1155CC"/>
          </w:rPr>
          <w:t>https://www.cancer.gov/types/cervical/hp/cervical-screening-pdq</w:t>
        </w:r>
      </w:hyperlink>
    </w:p>
    <w:p w14:paraId="51B5DC86"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Ogembo</w:t>
      </w:r>
      <w:proofErr w:type="spellEnd"/>
      <w:r w:rsidRPr="004C0E4D">
        <w:rPr>
          <w:color w:val="222222"/>
        </w:rPr>
        <w:t xml:space="preserve">, J. G., Manga, S., Nulah, K., </w:t>
      </w:r>
      <w:proofErr w:type="spellStart"/>
      <w:r w:rsidRPr="004C0E4D">
        <w:rPr>
          <w:color w:val="222222"/>
        </w:rPr>
        <w:t>Foglabenchi</w:t>
      </w:r>
      <w:proofErr w:type="spellEnd"/>
      <w:r w:rsidRPr="004C0E4D">
        <w:rPr>
          <w:color w:val="222222"/>
        </w:rPr>
        <w:t>, L. H., Perlman, S., Wamai, R. G., ... &amp; Welty, E. (2014). Achieving high uptake of human papillomavirus vaccine in Cameroon: lessons learned in overcoming challenges. Vaccine, 32(35), 4399-4403.</w:t>
      </w:r>
    </w:p>
    <w:p w14:paraId="2EEB5DB6"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Poljak, M., Arbyn, M., </w:t>
      </w:r>
      <w:proofErr w:type="spellStart"/>
      <w:r w:rsidRPr="004C0E4D">
        <w:rPr>
          <w:color w:val="222222"/>
        </w:rPr>
        <w:t>Šterbenc</w:t>
      </w:r>
      <w:proofErr w:type="spellEnd"/>
      <w:r w:rsidRPr="004C0E4D">
        <w:rPr>
          <w:color w:val="222222"/>
        </w:rPr>
        <w:t xml:space="preserve">, A., </w:t>
      </w:r>
      <w:proofErr w:type="spellStart"/>
      <w:r w:rsidRPr="004C0E4D">
        <w:rPr>
          <w:color w:val="222222"/>
        </w:rPr>
        <w:t>Šterbenc</w:t>
      </w:r>
      <w:proofErr w:type="spellEnd"/>
      <w:r w:rsidRPr="004C0E4D">
        <w:rPr>
          <w:color w:val="222222"/>
        </w:rPr>
        <w:t xml:space="preserve">, A., &amp; </w:t>
      </w:r>
      <w:proofErr w:type="spellStart"/>
      <w:r w:rsidRPr="004C0E4D">
        <w:rPr>
          <w:color w:val="222222"/>
        </w:rPr>
        <w:t>Valič</w:t>
      </w:r>
      <w:proofErr w:type="spellEnd"/>
      <w:r w:rsidRPr="004C0E4D">
        <w:rPr>
          <w:color w:val="222222"/>
        </w:rPr>
        <w:t xml:space="preserve">, D. (2018). New developments in cervical cancer screening and prevention. Acta </w:t>
      </w:r>
      <w:proofErr w:type="spellStart"/>
      <w:r w:rsidRPr="004C0E4D">
        <w:rPr>
          <w:color w:val="222222"/>
        </w:rPr>
        <w:t>Dermatovenerol</w:t>
      </w:r>
      <w:proofErr w:type="spellEnd"/>
      <w:r w:rsidRPr="004C0E4D">
        <w:rPr>
          <w:color w:val="222222"/>
        </w:rPr>
        <w:t xml:space="preserve"> APA, 27(Suppl 2), 11-21.</w:t>
      </w:r>
    </w:p>
    <w:p w14:paraId="1676DB8C" w14:textId="77777777" w:rsidR="007B75E8" w:rsidRPr="004C0E4D" w:rsidRDefault="007B75E8" w:rsidP="007B75E8">
      <w:pPr>
        <w:shd w:val="clear" w:color="auto" w:fill="FFFFFF"/>
        <w:spacing w:line="360" w:lineRule="auto"/>
        <w:ind w:left="851" w:hanging="851"/>
        <w:jc w:val="both"/>
      </w:pPr>
      <w:r w:rsidRPr="004C0E4D">
        <w:t xml:space="preserve">Ronco, G., Dillner, J., </w:t>
      </w:r>
      <w:proofErr w:type="spellStart"/>
      <w:r w:rsidRPr="004C0E4D">
        <w:t>Elfström</w:t>
      </w:r>
      <w:proofErr w:type="spellEnd"/>
      <w:r w:rsidRPr="004C0E4D">
        <w:t xml:space="preserve">, K. M., </w:t>
      </w:r>
      <w:proofErr w:type="spellStart"/>
      <w:r w:rsidRPr="004C0E4D">
        <w:t>Tunesi</w:t>
      </w:r>
      <w:proofErr w:type="spellEnd"/>
      <w:r w:rsidRPr="004C0E4D">
        <w:t xml:space="preserve">, S., Snijders, P. J., </w:t>
      </w:r>
      <w:proofErr w:type="spellStart"/>
      <w:r w:rsidRPr="004C0E4D">
        <w:t>Arbyn</w:t>
      </w:r>
      <w:proofErr w:type="spellEnd"/>
      <w:r w:rsidRPr="004C0E4D">
        <w:t xml:space="preserve">, M., ... &amp; Kitchener, H. (2019). Efficacy of HPV-based screening for preventing invasive cervical cancer: follow-up of four European </w:t>
      </w:r>
      <w:proofErr w:type="spellStart"/>
      <w:r w:rsidRPr="004C0E4D">
        <w:t>randomised</w:t>
      </w:r>
      <w:proofErr w:type="spellEnd"/>
      <w:r w:rsidRPr="004C0E4D">
        <w:t xml:space="preserve"> controlled trials. The Lancet, 393(10167), 2449-2459. </w:t>
      </w:r>
      <w:proofErr w:type="spellStart"/>
      <w:r w:rsidRPr="004C0E4D">
        <w:t>doi</w:t>
      </w:r>
      <w:proofErr w:type="spellEnd"/>
      <w:r w:rsidRPr="004C0E4D">
        <w:t>: 10.1016/S0140-6736(18)32486-4</w:t>
      </w:r>
    </w:p>
    <w:p w14:paraId="68D147D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Ronco, G., Dillner, J., </w:t>
      </w:r>
      <w:proofErr w:type="spellStart"/>
      <w:r w:rsidRPr="004C0E4D">
        <w:rPr>
          <w:color w:val="222222"/>
        </w:rPr>
        <w:t>Elfström</w:t>
      </w:r>
      <w:proofErr w:type="spellEnd"/>
      <w:r w:rsidRPr="004C0E4D">
        <w:rPr>
          <w:color w:val="222222"/>
        </w:rPr>
        <w:t xml:space="preserve">, K. M., </w:t>
      </w:r>
      <w:proofErr w:type="spellStart"/>
      <w:r w:rsidRPr="004C0E4D">
        <w:rPr>
          <w:color w:val="222222"/>
        </w:rPr>
        <w:t>Tunesi</w:t>
      </w:r>
      <w:proofErr w:type="spellEnd"/>
      <w:r w:rsidRPr="004C0E4D">
        <w:rPr>
          <w:color w:val="222222"/>
        </w:rPr>
        <w:t xml:space="preserve">, S., Snijders, P. J., </w:t>
      </w:r>
      <w:proofErr w:type="spellStart"/>
      <w:r w:rsidRPr="004C0E4D">
        <w:rPr>
          <w:color w:val="222222"/>
        </w:rPr>
        <w:t>Arbyn</w:t>
      </w:r>
      <w:proofErr w:type="spellEnd"/>
      <w:r w:rsidRPr="004C0E4D">
        <w:rPr>
          <w:color w:val="222222"/>
        </w:rPr>
        <w:t>, M., ... &amp; Meijer, C. J. (2014). Efficacy of HPV-based screening for prevention of invasive cervical cancer: follow-up of four European randomized controlled trials. The Lancet, 383(9916), 524–532. https://doi.org/10.1016/S0140-6736(13)62218-7</w:t>
      </w:r>
    </w:p>
    <w:p w14:paraId="3FBD4BC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Sankaranarayanan R, Alemany L, Basu P. (2018). Visual Inspection with Acetic Acid (VIA) and Visual Inspection with Lugol’s Iodine (VILI) for Cervical Cancer Screening in Low-Resource Settings. Cochrane Database of Systematic Reviews, 2018(8), CD009955.</w:t>
      </w:r>
    </w:p>
    <w:p w14:paraId="5C121C17"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Sankaranarayanan, R., Basu, P., Wesley, R. S., Mahe, C., Keita, N., </w:t>
      </w:r>
      <w:proofErr w:type="spellStart"/>
      <w:r w:rsidRPr="004C0E4D">
        <w:rPr>
          <w:color w:val="222222"/>
        </w:rPr>
        <w:t>Mbalawa</w:t>
      </w:r>
      <w:proofErr w:type="spellEnd"/>
      <w:r w:rsidRPr="004C0E4D">
        <w:rPr>
          <w:color w:val="222222"/>
        </w:rPr>
        <w:t xml:space="preserve">, C. C., ... &amp; Parkin, D. M. (2004). Accuracy of visual screening for cervical neoplasia: Results from an IARC </w:t>
      </w:r>
      <w:proofErr w:type="spellStart"/>
      <w:r w:rsidRPr="004C0E4D">
        <w:rPr>
          <w:color w:val="222222"/>
        </w:rPr>
        <w:t>multicentre</w:t>
      </w:r>
      <w:proofErr w:type="spellEnd"/>
      <w:r w:rsidRPr="004C0E4D">
        <w:rPr>
          <w:color w:val="222222"/>
        </w:rPr>
        <w:t xml:space="preserve"> study in India and Africa. International Journal of Cancer, 110(6), 907–913. https://doi.org/10.1002/ijc.20190</w:t>
      </w:r>
    </w:p>
    <w:p w14:paraId="3DCC7AAB"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Sankaranarayanan, R., et al. (2004). Accuracy of visual screening for cervical neoplasia: an IARC </w:t>
      </w:r>
      <w:proofErr w:type="spellStart"/>
      <w:r w:rsidRPr="004C0E4D">
        <w:rPr>
          <w:color w:val="222222"/>
        </w:rPr>
        <w:t>multicentre</w:t>
      </w:r>
      <w:proofErr w:type="spellEnd"/>
      <w:r w:rsidRPr="004C0E4D">
        <w:rPr>
          <w:color w:val="222222"/>
        </w:rPr>
        <w:t xml:space="preserve"> study. International Journal of Cancer, 110(6), 907–913.</w:t>
      </w:r>
    </w:p>
    <w:p w14:paraId="688AC391"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Sankaranarayanan, R., Wesley, R. S., &amp; Thara, S. (2003). Introduction of rapid HPV testing with visual inspection methods in low-resource settings. International Journal of Cancer, 107(6), 807-810.</w:t>
      </w:r>
    </w:p>
    <w:p w14:paraId="41865F64"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Trottier H, Franco EL, Alemany L. (2006). Human Papillomavirus Infection and the Incidence of Cervical Neoplasia: A Systematic Review and Meta-analysis. CMAJ: Canadian Medical Association Journal, 175(5), 491-499.</w:t>
      </w:r>
    </w:p>
    <w:p w14:paraId="5B065951"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lastRenderedPageBreak/>
        <w:t>Trottier, H. et al. (2021). Age at infection and risk of persistent HPV infection. International Journal of Cancer, 148(3), 678–687.</w:t>
      </w:r>
    </w:p>
    <w:p w14:paraId="1D9D580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Trottier, H., &amp; Franco, E. L. (2017). The epidemiology of genital HPV infection. Vaccine, 35(46), 6010–6017. https://doi.org/10.1016/j.vaccine.2017.09.089</w:t>
      </w:r>
    </w:p>
    <w:p w14:paraId="55991CC7"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Were, E. et al. (2020). Prevalence and risk factors for HPV infection among women in western Kenya. African Journal of Reproductive Health, 24(2), 56–65.</w:t>
      </w:r>
    </w:p>
    <w:p w14:paraId="6DF1EC0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Were, E., </w:t>
      </w:r>
      <w:proofErr w:type="spellStart"/>
      <w:r w:rsidRPr="004C0E4D">
        <w:rPr>
          <w:color w:val="222222"/>
        </w:rPr>
        <w:t>Nyaberi</w:t>
      </w:r>
      <w:proofErr w:type="spellEnd"/>
      <w:r w:rsidRPr="004C0E4D">
        <w:rPr>
          <w:color w:val="222222"/>
        </w:rPr>
        <w:t xml:space="preserve">, Z., Buziba, N., </w:t>
      </w:r>
      <w:proofErr w:type="spellStart"/>
      <w:r w:rsidRPr="004C0E4D">
        <w:rPr>
          <w:color w:val="222222"/>
        </w:rPr>
        <w:t>Ogembo</w:t>
      </w:r>
      <w:proofErr w:type="spellEnd"/>
      <w:r w:rsidRPr="004C0E4D">
        <w:rPr>
          <w:color w:val="222222"/>
        </w:rPr>
        <w:t xml:space="preserve">, R., Wachira, J., &amp; </w:t>
      </w:r>
      <w:proofErr w:type="spellStart"/>
      <w:r w:rsidRPr="004C0E4D">
        <w:rPr>
          <w:color w:val="222222"/>
        </w:rPr>
        <w:t>Gichangi</w:t>
      </w:r>
      <w:proofErr w:type="spellEnd"/>
      <w:r w:rsidRPr="004C0E4D">
        <w:rPr>
          <w:color w:val="222222"/>
        </w:rPr>
        <w:t>, P. (2019). Determinants of high-risk human papillomavirus infection among HPV-unvaccinated young women in Kenya. Journal of medical virology, 91(5), 924-933.</w:t>
      </w:r>
    </w:p>
    <w:p w14:paraId="74F9FF9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Were, E., </w:t>
      </w:r>
      <w:proofErr w:type="spellStart"/>
      <w:r w:rsidRPr="004C0E4D">
        <w:rPr>
          <w:color w:val="222222"/>
        </w:rPr>
        <w:t>Nyaberi</w:t>
      </w:r>
      <w:proofErr w:type="spellEnd"/>
      <w:r w:rsidRPr="004C0E4D">
        <w:rPr>
          <w:color w:val="222222"/>
        </w:rPr>
        <w:t>, Z., Musandu, J. O., Wanyoike, M., &amp; Wamai, R. G. (2017). Challenges to implementing national cervical cancer screening guidelines in a devolved system: perspectives from sub-national level officers, Nairobi Kenya. BMC Health Services Research, 17(1), 1-10.</w:t>
      </w:r>
    </w:p>
    <w:p w14:paraId="35D0607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Wheeler CM, Skinner SR, Del Rosario-Raymundo MR, et al. Efficacy, safety, and immunogenicity of the human papillomavirus 16/18 AS04-adjuvanted vaccine in women older than 25 years: 7-year follow-up of the phase 3, double-blind, </w:t>
      </w:r>
      <w:proofErr w:type="spellStart"/>
      <w:r w:rsidRPr="004C0E4D">
        <w:rPr>
          <w:color w:val="222222"/>
        </w:rPr>
        <w:t>randomised</w:t>
      </w:r>
      <w:proofErr w:type="spellEnd"/>
      <w:r w:rsidRPr="004C0E4D">
        <w:rPr>
          <w:color w:val="222222"/>
        </w:rPr>
        <w:t xml:space="preserve"> controlled VIVIANE study. Lancet Infect Dis. 2016;16(10):1154-1168.</w:t>
      </w:r>
    </w:p>
    <w:p w14:paraId="591E187A" w14:textId="77777777" w:rsidR="007B75E8" w:rsidRPr="004C0E4D" w:rsidRDefault="007B75E8" w:rsidP="007B75E8">
      <w:pPr>
        <w:shd w:val="clear" w:color="auto" w:fill="FFFFFF"/>
        <w:spacing w:line="360" w:lineRule="auto"/>
        <w:ind w:left="851" w:hanging="851"/>
        <w:jc w:val="both"/>
        <w:rPr>
          <w:rStyle w:val="Hyperlink"/>
        </w:rPr>
      </w:pPr>
      <w:r w:rsidRPr="004C0E4D">
        <w:rPr>
          <w:color w:val="222222"/>
        </w:rPr>
        <w:t>World Health Organization. (2019). Comprehensive cervical cancer control: A guide to essential practice (2nd ed.). Retrieved from </w:t>
      </w:r>
      <w:hyperlink r:id="rId20" w:tgtFrame="_blank" w:history="1">
        <w:r w:rsidRPr="004C0E4D">
          <w:rPr>
            <w:rStyle w:val="Hyperlink"/>
          </w:rPr>
          <w:t>https://apps.who.int/iris/bitstream/handle/10665/144785/9789241548953_eng.pdf</w:t>
        </w:r>
      </w:hyperlink>
    </w:p>
    <w:p w14:paraId="729DF37B"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World Health Organization. (2020). Cervical Cancer. Available at: </w:t>
      </w:r>
      <w:hyperlink r:id="rId21" w:tgtFrame="_blank" w:history="1">
        <w:r w:rsidRPr="004C0E4D">
          <w:rPr>
            <w:rStyle w:val="Hyperlink"/>
            <w:color w:val="1155CC"/>
          </w:rPr>
          <w:t>https://www.who.int/news-room/fact-sheets/detail/human-papillomavirus-(hpv)-and-cervical-cancer</w:t>
        </w:r>
      </w:hyperlink>
    </w:p>
    <w:p w14:paraId="3092BCDB"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(2020). WHO Guidelines for the use of thermal ablation for cervical pre-cancer lesions. Geneva: World Health Organization. Retrieved from </w:t>
      </w:r>
      <w:hyperlink r:id="rId22" w:tgtFrame="_blank" w:history="1">
        <w:r w:rsidRPr="004C0E4D">
          <w:rPr>
            <w:rStyle w:val="Hyperlink"/>
          </w:rPr>
          <w:t>https://www.who.int/reproductivehealth/publications/cancers/cervical-cancer-thermal-ablative-treatment/en/</w:t>
        </w:r>
      </w:hyperlink>
    </w:p>
    <w:p w14:paraId="0863EB1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(2021). Human papillomavirus (HPV) and cervical cancer. Retrieved from </w:t>
      </w:r>
      <w:hyperlink r:id="rId23" w:tgtFrame="_blank" w:history="1">
        <w:r w:rsidRPr="004C0E4D">
          <w:rPr>
            <w:rStyle w:val="Hyperlink"/>
            <w:color w:val="1155CC"/>
          </w:rPr>
          <w:t>https://www.who.int/news-room/fact-sheets/detail/human-papillomavirus-(hpv)-and-cervical-cancer</w:t>
        </w:r>
      </w:hyperlink>
      <w:r w:rsidRPr="004C0E4D">
        <w:rPr>
          <w:color w:val="222222"/>
        </w:rPr>
        <w:t>.</w:t>
      </w:r>
    </w:p>
    <w:p w14:paraId="7C3F6AE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(2021). WHO guideline for screening and treatment of cervical pre-cancer lesions for cervical cancer prevention (2nd ed.). Geneva: WHO.</w:t>
      </w:r>
    </w:p>
    <w:p w14:paraId="27F643E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lastRenderedPageBreak/>
        <w:t>World Health Organization. (2021). WHO guidelines for screening and treatment of cervical pre-cancer lesions for cervical cancer prevention. Retrieved from </w:t>
      </w:r>
      <w:hyperlink r:id="rId24" w:tgtFrame="_blank" w:history="1">
        <w:r w:rsidRPr="004C0E4D">
          <w:rPr>
            <w:rStyle w:val="Hyperlink"/>
          </w:rPr>
          <w:t>https://www.who.int/reproductivehealth/publications/cancers/screening-and-treatment-of-cervical-pre-cancer/en/</w:t>
        </w:r>
      </w:hyperlink>
    </w:p>
    <w:p w14:paraId="4C953B00" w14:textId="31C374A2" w:rsidR="003807A4" w:rsidRPr="00833EAA" w:rsidRDefault="007B75E8" w:rsidP="00833EAA">
      <w:pPr>
        <w:shd w:val="clear" w:color="auto" w:fill="FFFFFF"/>
        <w:spacing w:line="360" w:lineRule="auto"/>
        <w:ind w:left="851" w:hanging="851"/>
        <w:jc w:val="both"/>
        <w:rPr>
          <w:color w:val="222222"/>
        </w:rPr>
      </w:pPr>
      <w:r w:rsidRPr="004C0E4D">
        <w:rPr>
          <w:color w:val="222222"/>
        </w:rPr>
        <w:t>World Health Organization. (2023). WHO guideline for screening and treatment of cervical pre-cancer lesions for cervical cancer prevention.</w:t>
      </w:r>
    </w:p>
    <w:sectPr w:rsidR="003807A4" w:rsidRPr="00833EAA" w:rsidSect="00A932D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FEDF" w14:textId="77777777" w:rsidR="00FA152A" w:rsidRDefault="00FA152A" w:rsidP="00542B56">
      <w:r>
        <w:separator/>
      </w:r>
    </w:p>
  </w:endnote>
  <w:endnote w:type="continuationSeparator" w:id="0">
    <w:p w14:paraId="76C0396B" w14:textId="77777777" w:rsidR="00FA152A" w:rsidRDefault="00FA152A" w:rsidP="0054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AA23" w14:textId="77777777" w:rsidR="00542B56" w:rsidRDefault="0054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A458" w14:textId="77777777" w:rsidR="00542B56" w:rsidRDefault="00542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9E5C" w14:textId="77777777" w:rsidR="00542B56" w:rsidRDefault="0054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51EB" w14:textId="77777777" w:rsidR="00FA152A" w:rsidRDefault="00FA152A" w:rsidP="00542B56">
      <w:r>
        <w:separator/>
      </w:r>
    </w:p>
  </w:footnote>
  <w:footnote w:type="continuationSeparator" w:id="0">
    <w:p w14:paraId="42C05922" w14:textId="77777777" w:rsidR="00FA152A" w:rsidRDefault="00FA152A" w:rsidP="0054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6182" w14:textId="076792AF" w:rsidR="00542B56" w:rsidRDefault="00542B56">
    <w:pPr>
      <w:pStyle w:val="Header"/>
    </w:pPr>
    <w:r>
      <w:rPr>
        <w:noProof/>
      </w:rPr>
      <w:pict w14:anchorId="4EA0B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0BA7" w14:textId="510561FE" w:rsidR="00542B56" w:rsidRDefault="00542B56">
    <w:pPr>
      <w:pStyle w:val="Header"/>
    </w:pPr>
    <w:r>
      <w:rPr>
        <w:noProof/>
      </w:rPr>
      <w:pict w14:anchorId="15900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90A" w14:textId="63A22E1C" w:rsidR="00542B56" w:rsidRDefault="00542B56">
    <w:pPr>
      <w:pStyle w:val="Header"/>
    </w:pPr>
    <w:r>
      <w:rPr>
        <w:noProof/>
      </w:rPr>
      <w:pict w14:anchorId="15010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4465A"/>
    <w:multiLevelType w:val="multilevel"/>
    <w:tmpl w:val="81E8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C64CF6"/>
    <w:multiLevelType w:val="multilevel"/>
    <w:tmpl w:val="6582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54"/>
    <w:rsid w:val="00057DB4"/>
    <w:rsid w:val="00057FB3"/>
    <w:rsid w:val="00090014"/>
    <w:rsid w:val="001513FB"/>
    <w:rsid w:val="00165DCA"/>
    <w:rsid w:val="001768F9"/>
    <w:rsid w:val="001A22AB"/>
    <w:rsid w:val="00220FDC"/>
    <w:rsid w:val="00237475"/>
    <w:rsid w:val="00264512"/>
    <w:rsid w:val="002D651A"/>
    <w:rsid w:val="00371B6D"/>
    <w:rsid w:val="003807A4"/>
    <w:rsid w:val="003A4EF0"/>
    <w:rsid w:val="003E16BC"/>
    <w:rsid w:val="003E5BD0"/>
    <w:rsid w:val="003F3591"/>
    <w:rsid w:val="00412616"/>
    <w:rsid w:val="00433F43"/>
    <w:rsid w:val="0047276A"/>
    <w:rsid w:val="00542B56"/>
    <w:rsid w:val="005C0077"/>
    <w:rsid w:val="006525E8"/>
    <w:rsid w:val="00663B93"/>
    <w:rsid w:val="00690D6F"/>
    <w:rsid w:val="006D401C"/>
    <w:rsid w:val="006F4E63"/>
    <w:rsid w:val="006F6AE7"/>
    <w:rsid w:val="00710254"/>
    <w:rsid w:val="007B3182"/>
    <w:rsid w:val="007B75E8"/>
    <w:rsid w:val="007D4876"/>
    <w:rsid w:val="007D510E"/>
    <w:rsid w:val="007F336D"/>
    <w:rsid w:val="008170BA"/>
    <w:rsid w:val="00833EAA"/>
    <w:rsid w:val="00847589"/>
    <w:rsid w:val="0087373A"/>
    <w:rsid w:val="008C29C8"/>
    <w:rsid w:val="00915228"/>
    <w:rsid w:val="0096552A"/>
    <w:rsid w:val="009C7E2A"/>
    <w:rsid w:val="00A63BEE"/>
    <w:rsid w:val="00A668C7"/>
    <w:rsid w:val="00A73A66"/>
    <w:rsid w:val="00A73BA0"/>
    <w:rsid w:val="00A8369C"/>
    <w:rsid w:val="00A932D1"/>
    <w:rsid w:val="00AA3182"/>
    <w:rsid w:val="00B03B27"/>
    <w:rsid w:val="00B50359"/>
    <w:rsid w:val="00B6136D"/>
    <w:rsid w:val="00D31F72"/>
    <w:rsid w:val="00DA5E71"/>
    <w:rsid w:val="00DC271C"/>
    <w:rsid w:val="00DD1E54"/>
    <w:rsid w:val="00DE410C"/>
    <w:rsid w:val="00E11ACA"/>
    <w:rsid w:val="00E13A68"/>
    <w:rsid w:val="00E225BB"/>
    <w:rsid w:val="00E91D23"/>
    <w:rsid w:val="00EC2BC7"/>
    <w:rsid w:val="00F02269"/>
    <w:rsid w:val="00F73938"/>
    <w:rsid w:val="00FA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53261"/>
  <w15:chartTrackingRefBased/>
  <w15:docId w15:val="{F82CE443-7C57-4220-BAC5-3E402902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2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1E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1E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1E5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1E5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1E5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1E5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1E5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1E5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1E5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E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E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E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E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54"/>
    <w:rPr>
      <w:rFonts w:eastAsiaTheme="majorEastAsia" w:cstheme="majorBidi"/>
      <w:color w:val="272727" w:themeColor="text1" w:themeTint="D8"/>
    </w:rPr>
  </w:style>
  <w:style w:type="paragraph" w:styleId="Title">
    <w:name w:val="Title"/>
    <w:basedOn w:val="Normal"/>
    <w:next w:val="Normal"/>
    <w:link w:val="TitleChar"/>
    <w:uiPriority w:val="10"/>
    <w:qFormat/>
    <w:rsid w:val="00DD1E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1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1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5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D1E54"/>
    <w:rPr>
      <w:i/>
      <w:iCs/>
      <w:color w:val="404040" w:themeColor="text1" w:themeTint="BF"/>
    </w:rPr>
  </w:style>
  <w:style w:type="paragraph" w:styleId="ListParagraph">
    <w:name w:val="List Paragraph"/>
    <w:basedOn w:val="Normal"/>
    <w:uiPriority w:val="34"/>
    <w:qFormat/>
    <w:rsid w:val="00DD1E5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D1E54"/>
    <w:rPr>
      <w:i/>
      <w:iCs/>
      <w:color w:val="2F5496" w:themeColor="accent1" w:themeShade="BF"/>
    </w:rPr>
  </w:style>
  <w:style w:type="paragraph" w:styleId="IntenseQuote">
    <w:name w:val="Intense Quote"/>
    <w:basedOn w:val="Normal"/>
    <w:next w:val="Normal"/>
    <w:link w:val="IntenseQuoteChar"/>
    <w:uiPriority w:val="30"/>
    <w:qFormat/>
    <w:rsid w:val="00DD1E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D1E54"/>
    <w:rPr>
      <w:i/>
      <w:iCs/>
      <w:color w:val="2F5496" w:themeColor="accent1" w:themeShade="BF"/>
    </w:rPr>
  </w:style>
  <w:style w:type="character" w:styleId="IntenseReference">
    <w:name w:val="Intense Reference"/>
    <w:basedOn w:val="DefaultParagraphFont"/>
    <w:uiPriority w:val="32"/>
    <w:qFormat/>
    <w:rsid w:val="00DD1E54"/>
    <w:rPr>
      <w:b/>
      <w:bCs/>
      <w:smallCaps/>
      <w:color w:val="2F5496" w:themeColor="accent1" w:themeShade="BF"/>
      <w:spacing w:val="5"/>
    </w:rPr>
  </w:style>
  <w:style w:type="character" w:styleId="Hyperlink">
    <w:name w:val="Hyperlink"/>
    <w:basedOn w:val="DefaultParagraphFont"/>
    <w:uiPriority w:val="99"/>
    <w:unhideWhenUsed/>
    <w:rsid w:val="00220FDC"/>
    <w:rPr>
      <w:color w:val="0563C1" w:themeColor="hyperlink"/>
      <w:u w:val="single"/>
    </w:rPr>
  </w:style>
  <w:style w:type="character" w:styleId="UnresolvedMention">
    <w:name w:val="Unresolved Mention"/>
    <w:basedOn w:val="DefaultParagraphFont"/>
    <w:uiPriority w:val="99"/>
    <w:semiHidden/>
    <w:unhideWhenUsed/>
    <w:rsid w:val="00220FDC"/>
    <w:rPr>
      <w:color w:val="605E5C"/>
      <w:shd w:val="clear" w:color="auto" w:fill="E1DFDD"/>
    </w:rPr>
  </w:style>
  <w:style w:type="character" w:styleId="LineNumber">
    <w:name w:val="line number"/>
    <w:basedOn w:val="DefaultParagraphFont"/>
    <w:uiPriority w:val="99"/>
    <w:semiHidden/>
    <w:unhideWhenUsed/>
    <w:rsid w:val="00220FDC"/>
  </w:style>
  <w:style w:type="table" w:customStyle="1" w:styleId="TableGrid">
    <w:name w:val="TableGrid"/>
    <w:rsid w:val="00165DCA"/>
    <w:pPr>
      <w:spacing w:after="0" w:line="240" w:lineRule="auto"/>
    </w:pPr>
    <w:rPr>
      <w:rFonts w:eastAsiaTheme="minorEastAsia"/>
      <w:lang w:val="en-GB"/>
    </w:rPr>
    <w:tblPr>
      <w:tblCellMar>
        <w:top w:w="0" w:type="dxa"/>
        <w:left w:w="0" w:type="dxa"/>
        <w:bottom w:w="0" w:type="dxa"/>
        <w:right w:w="0" w:type="dxa"/>
      </w:tblCellMar>
    </w:tblPr>
  </w:style>
  <w:style w:type="paragraph" w:styleId="Caption">
    <w:name w:val="caption"/>
    <w:basedOn w:val="Normal"/>
    <w:next w:val="Normal"/>
    <w:uiPriority w:val="35"/>
    <w:unhideWhenUsed/>
    <w:qFormat/>
    <w:rsid w:val="00A73A66"/>
    <w:pPr>
      <w:spacing w:after="200"/>
    </w:pPr>
    <w:rPr>
      <w:rFonts w:asciiTheme="minorHAnsi" w:eastAsiaTheme="minorHAnsi" w:hAnsiTheme="minorHAnsi" w:cstheme="minorBidi"/>
      <w:i/>
      <w:iCs/>
      <w:color w:val="44546A" w:themeColor="text2"/>
      <w:kern w:val="2"/>
      <w:sz w:val="18"/>
      <w:szCs w:val="18"/>
      <w14:ligatures w14:val="standardContextual"/>
    </w:rPr>
  </w:style>
  <w:style w:type="paragraph" w:styleId="Header">
    <w:name w:val="header"/>
    <w:basedOn w:val="Normal"/>
    <w:link w:val="HeaderChar"/>
    <w:uiPriority w:val="99"/>
    <w:unhideWhenUsed/>
    <w:rsid w:val="00542B56"/>
    <w:pPr>
      <w:tabs>
        <w:tab w:val="center" w:pos="4680"/>
        <w:tab w:val="right" w:pos="9360"/>
      </w:tabs>
    </w:pPr>
  </w:style>
  <w:style w:type="character" w:customStyle="1" w:styleId="HeaderChar">
    <w:name w:val="Header Char"/>
    <w:basedOn w:val="DefaultParagraphFont"/>
    <w:link w:val="Header"/>
    <w:uiPriority w:val="99"/>
    <w:rsid w:val="00542B5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42B56"/>
    <w:pPr>
      <w:tabs>
        <w:tab w:val="center" w:pos="4680"/>
        <w:tab w:val="right" w:pos="9360"/>
      </w:tabs>
    </w:pPr>
  </w:style>
  <w:style w:type="character" w:customStyle="1" w:styleId="FooterChar">
    <w:name w:val="Footer Char"/>
    <w:basedOn w:val="DefaultParagraphFont"/>
    <w:link w:val="Footer"/>
    <w:uiPriority w:val="99"/>
    <w:rsid w:val="00542B5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vaccines/vpd/hpv/hcp/recommendations.html" TargetMode="External"/><Relationship Id="rId18" Type="http://schemas.openxmlformats.org/officeDocument/2006/relationships/hyperlink" Target="http://globocan.iarc.fr/Pages/fact_sheets_cancer.aspx?cancer=cervi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ho.int/news-room/fact-sheets/detail/human-papillomavirus-(hpv)-and-cervical-cancer" TargetMode="External"/><Relationship Id="rId7" Type="http://schemas.openxmlformats.org/officeDocument/2006/relationships/endnotes" Target="endnotes.xml"/><Relationship Id="rId12" Type="http://schemas.openxmlformats.org/officeDocument/2006/relationships/hyperlink" Target="https://www.asccp.org/clinical-management-guidelines/2020/stand-alone-hpv-publ" TargetMode="External"/><Relationship Id="rId17" Type="http://schemas.openxmlformats.org/officeDocument/2006/relationships/hyperlink" Target="https://gco.iarc.fr/today/data/factsheets/cancers/23-Cervix-uteri-fact-sheet.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o.iarc.fr/today/home" TargetMode="External"/><Relationship Id="rId20" Type="http://schemas.openxmlformats.org/officeDocument/2006/relationships/hyperlink" Target="https://apps.who.int/iris/bitstream/handle/10665/144785/9789241548953_eng.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org/cancer/cervical-cancer/about.html" TargetMode="External"/><Relationship Id="rId24" Type="http://schemas.openxmlformats.org/officeDocument/2006/relationships/hyperlink" Target="https://www.who.int/reproductivehealth/publications/cancers/screening-and-treatment-of-cervical-pre-cancer/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co.iarc.fr/today/data/factsheets/populations/404-kenya-fact-sheets.pdf" TargetMode="External"/><Relationship Id="rId23" Type="http://schemas.openxmlformats.org/officeDocument/2006/relationships/hyperlink" Target="https://www.who.int/news-room/fact-sheets/detail/human-papillomavirus-(hpv)-and-cervical-cancer" TargetMode="External"/><Relationship Id="rId28" Type="http://schemas.openxmlformats.org/officeDocument/2006/relationships/footer" Target="footer2.xml"/><Relationship Id="rId10" Type="http://schemas.openxmlformats.org/officeDocument/2006/relationships/hyperlink" Target="https://www.isotechnology.com.br/upd_content/biblioteca/Documentacao_RBLHIV/documentos/Organizacoes_Diferentes/Publicacoes/MOZACS552353376_153697.pdf\" TargetMode="External"/><Relationship Id="rId19" Type="http://schemas.openxmlformats.org/officeDocument/2006/relationships/hyperlink" Target="https://www.cancer.gov/types/cervical/hp/cervical-screening-pdq"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pheid.com/en/tests/sexual-health/Xpert-HPV" TargetMode="External"/><Relationship Id="rId22" Type="http://schemas.openxmlformats.org/officeDocument/2006/relationships/hyperlink" Target="https://www.who.int/reproductivehealth/publications/cancers/cervical-cancer-thermal-ablative-treatment/e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06A587D-E884-46CD-99C8-6DB665D0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SDI 1180</cp:lastModifiedBy>
  <cp:revision>15</cp:revision>
  <dcterms:created xsi:type="dcterms:W3CDTF">2025-11-05T19:48:00Z</dcterms:created>
  <dcterms:modified xsi:type="dcterms:W3CDTF">2025-11-06T12:13:00Z</dcterms:modified>
</cp:coreProperties>
</file>