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05173" w14:textId="189FA242" w:rsidR="00940662" w:rsidRPr="00940662" w:rsidRDefault="00940662" w:rsidP="00940662">
      <w:pPr>
        <w:spacing w:after="0" w:line="480" w:lineRule="auto"/>
        <w:rPr>
          <w:rFonts w:ascii="Times New Roman" w:hAnsi="Times New Roman" w:cs="Times New Roman"/>
          <w:b/>
          <w:bCs/>
          <w:sz w:val="28"/>
          <w:szCs w:val="28"/>
          <w:u w:val="single"/>
        </w:rPr>
      </w:pPr>
      <w:r w:rsidRPr="00940662">
        <w:rPr>
          <w:rFonts w:ascii="Times New Roman" w:hAnsi="Times New Roman" w:cs="Times New Roman"/>
          <w:b/>
          <w:bCs/>
          <w:sz w:val="28"/>
          <w:szCs w:val="28"/>
          <w:u w:val="single"/>
        </w:rPr>
        <w:t>Original Research Article</w:t>
      </w:r>
    </w:p>
    <w:p w14:paraId="0E311BD6" w14:textId="7197A98C" w:rsidR="00640BAE" w:rsidRDefault="00D61645" w:rsidP="00640BAE">
      <w:pPr>
        <w:spacing w:after="0" w:line="480" w:lineRule="auto"/>
        <w:jc w:val="center"/>
        <w:rPr>
          <w:rFonts w:ascii="Times New Roman" w:hAnsi="Times New Roman" w:cs="Times New Roman"/>
          <w:b/>
          <w:bCs/>
          <w:sz w:val="28"/>
          <w:szCs w:val="28"/>
        </w:rPr>
      </w:pPr>
      <w:r w:rsidRPr="00D61645">
        <w:rPr>
          <w:rFonts w:ascii="Times New Roman" w:hAnsi="Times New Roman" w:cs="Times New Roman"/>
          <w:b/>
          <w:bCs/>
          <w:sz w:val="28"/>
          <w:szCs w:val="28"/>
        </w:rPr>
        <w:t>Assessment of Pyrazinamide-Associated Hyperuricemia Among Multidrug-Resistant Tuberculosis Patients Receiving Pyrazinamide-Containing Regimens: A Retrospective Cross-Sectional Study from Sudan</w:t>
      </w:r>
    </w:p>
    <w:p w14:paraId="4449BB3A" w14:textId="77777777" w:rsidR="00D3731A" w:rsidRPr="00D61645" w:rsidRDefault="00D3731A" w:rsidP="00640BAE">
      <w:pPr>
        <w:spacing w:after="0" w:line="480" w:lineRule="auto"/>
        <w:jc w:val="center"/>
        <w:rPr>
          <w:rFonts w:ascii="Times New Roman" w:eastAsia="Times New Roman" w:hAnsi="Times New Roman" w:cs="Times New Roman"/>
          <w:b/>
          <w:bCs/>
          <w:sz w:val="36"/>
          <w:szCs w:val="36"/>
        </w:rPr>
      </w:pPr>
    </w:p>
    <w:p w14:paraId="1F0328E0" w14:textId="77777777" w:rsidR="002F28DD" w:rsidRDefault="002F28DD" w:rsidP="00D61645">
      <w:pPr>
        <w:spacing w:after="0" w:line="480" w:lineRule="auto"/>
        <w:contextualSpacing/>
        <w:jc w:val="both"/>
        <w:rPr>
          <w:rFonts w:ascii="Times New Roman" w:eastAsia="Times New Roman" w:hAnsi="Times New Roman" w:cs="Times New Roman"/>
          <w:b/>
          <w:bCs/>
          <w:sz w:val="24"/>
          <w:szCs w:val="24"/>
        </w:rPr>
      </w:pPr>
    </w:p>
    <w:p w14:paraId="75678137" w14:textId="072E8724" w:rsidR="00D61645" w:rsidRPr="00D61645" w:rsidRDefault="00D61645" w:rsidP="00D61645">
      <w:pPr>
        <w:spacing w:after="0" w:line="480" w:lineRule="auto"/>
        <w:contextualSpacing/>
        <w:jc w:val="both"/>
        <w:rPr>
          <w:rFonts w:ascii="Times New Roman" w:eastAsia="Times New Roman" w:hAnsi="Times New Roman" w:cs="Times New Roman"/>
          <w:b/>
          <w:bCs/>
          <w:sz w:val="24"/>
          <w:szCs w:val="24"/>
        </w:rPr>
      </w:pPr>
      <w:r w:rsidRPr="00D61645">
        <w:rPr>
          <w:rFonts w:ascii="Times New Roman" w:eastAsia="Times New Roman" w:hAnsi="Times New Roman" w:cs="Times New Roman"/>
          <w:b/>
          <w:bCs/>
          <w:sz w:val="24"/>
          <w:szCs w:val="24"/>
        </w:rPr>
        <w:t>Abstract</w:t>
      </w:r>
    </w:p>
    <w:p w14:paraId="026AAAC3" w14:textId="54AE95D4" w:rsidR="00D61645" w:rsidRPr="00D61645" w:rsidRDefault="00D61645" w:rsidP="00D61645">
      <w:pPr>
        <w:spacing w:after="0" w:line="480" w:lineRule="auto"/>
        <w:contextualSpacing/>
        <w:jc w:val="both"/>
        <w:rPr>
          <w:rFonts w:ascii="Times New Roman" w:eastAsia="Times New Roman" w:hAnsi="Times New Roman" w:cs="Times New Roman"/>
          <w:sz w:val="24"/>
          <w:szCs w:val="24"/>
        </w:rPr>
      </w:pPr>
      <w:r w:rsidRPr="00D61645">
        <w:rPr>
          <w:rFonts w:ascii="Times New Roman" w:eastAsia="Times New Roman" w:hAnsi="Times New Roman" w:cs="Times New Roman"/>
          <w:b/>
          <w:bCs/>
          <w:sz w:val="24"/>
          <w:szCs w:val="24"/>
        </w:rPr>
        <w:t>Background:</w:t>
      </w:r>
      <w:r w:rsidRPr="00D61645">
        <w:rPr>
          <w:rFonts w:ascii="Times New Roman" w:eastAsia="Times New Roman" w:hAnsi="Times New Roman" w:cs="Times New Roman"/>
          <w:sz w:val="24"/>
          <w:szCs w:val="24"/>
        </w:rPr>
        <w:t xml:space="preserve"> Tuberculosis </w:t>
      </w:r>
      <w:r>
        <w:rPr>
          <w:rFonts w:ascii="Times New Roman" w:eastAsia="Times New Roman" w:hAnsi="Times New Roman" w:cs="Times New Roman"/>
          <w:sz w:val="24"/>
          <w:szCs w:val="24"/>
        </w:rPr>
        <w:t>(</w:t>
      </w:r>
      <w:r w:rsidRPr="00D61645">
        <w:rPr>
          <w:rFonts w:ascii="Times New Roman" w:eastAsia="Times New Roman" w:hAnsi="Times New Roman" w:cs="Times New Roman"/>
          <w:sz w:val="24"/>
          <w:szCs w:val="24"/>
        </w:rPr>
        <w:t>TB</w:t>
      </w:r>
      <w:r>
        <w:rPr>
          <w:rFonts w:ascii="Times New Roman" w:eastAsia="Times New Roman" w:hAnsi="Times New Roman" w:cs="Times New Roman"/>
          <w:sz w:val="24"/>
          <w:szCs w:val="24"/>
        </w:rPr>
        <w:t>)</w:t>
      </w:r>
      <w:r w:rsidRPr="00D61645">
        <w:rPr>
          <w:rFonts w:ascii="Times New Roman" w:eastAsia="Times New Roman" w:hAnsi="Times New Roman" w:cs="Times New Roman"/>
          <w:sz w:val="24"/>
          <w:szCs w:val="24"/>
        </w:rPr>
        <w:t xml:space="preserve"> is still one of the most important causes of morbidity and mortality worldwide. The problem multiplies whenever there is multidrug-resistant TB (MDR-TB), due to </w:t>
      </w:r>
      <w:r w:rsidRPr="00D61645">
        <w:rPr>
          <w:rFonts w:ascii="Times New Roman" w:eastAsia="Times New Roman" w:hAnsi="Times New Roman" w:cs="Times New Roman"/>
          <w:i/>
          <w:iCs/>
          <w:sz w:val="24"/>
          <w:szCs w:val="24"/>
        </w:rPr>
        <w:t>Mycobacterium tuberculosis</w:t>
      </w:r>
      <w:r w:rsidRPr="00D61645">
        <w:rPr>
          <w:rFonts w:ascii="Times New Roman" w:eastAsia="Times New Roman" w:hAnsi="Times New Roman" w:cs="Times New Roman"/>
          <w:sz w:val="24"/>
          <w:szCs w:val="24"/>
        </w:rPr>
        <w:t xml:space="preserve"> susceptibility to both Rifampicin and Isoniazid. Pyrazinamide (PZA) is often added to TB regimens if there is susceptibility; however, one adverse reaction to it is that it causes hyperuricemia.</w:t>
      </w:r>
      <w:r>
        <w:rPr>
          <w:rFonts w:ascii="Times New Roman" w:eastAsia="Times New Roman" w:hAnsi="Times New Roman" w:cs="Times New Roman"/>
          <w:sz w:val="24"/>
          <w:szCs w:val="24"/>
        </w:rPr>
        <w:t xml:space="preserve"> </w:t>
      </w:r>
      <w:r w:rsidRPr="00D61645">
        <w:rPr>
          <w:rFonts w:ascii="Times New Roman" w:eastAsia="Times New Roman" w:hAnsi="Times New Roman" w:cs="Times New Roman"/>
          <w:sz w:val="24"/>
          <w:szCs w:val="24"/>
        </w:rPr>
        <w:t xml:space="preserve">This study was conducted to investigate hyperuricemia induced by PZA among MDR-TB patients attending the Abu </w:t>
      </w:r>
      <w:proofErr w:type="spellStart"/>
      <w:r w:rsidRPr="00D61645">
        <w:rPr>
          <w:rFonts w:ascii="Times New Roman" w:eastAsia="Times New Roman" w:hAnsi="Times New Roman" w:cs="Times New Roman"/>
          <w:sz w:val="24"/>
          <w:szCs w:val="24"/>
        </w:rPr>
        <w:t>Ajja</w:t>
      </w:r>
      <w:proofErr w:type="spellEnd"/>
      <w:r w:rsidRPr="00D61645">
        <w:rPr>
          <w:rFonts w:ascii="Times New Roman" w:eastAsia="Times New Roman" w:hAnsi="Times New Roman" w:cs="Times New Roman"/>
          <w:sz w:val="24"/>
          <w:szCs w:val="24"/>
        </w:rPr>
        <w:t xml:space="preserve"> Teaching Hospital in the State of Khartoum, Sudan.</w:t>
      </w:r>
    </w:p>
    <w:p w14:paraId="5125A493" w14:textId="670F90C0" w:rsidR="00D61645" w:rsidRPr="00D61645" w:rsidRDefault="00D61645" w:rsidP="00D61645">
      <w:pPr>
        <w:spacing w:after="0" w:line="480" w:lineRule="auto"/>
        <w:contextualSpacing/>
        <w:jc w:val="both"/>
        <w:rPr>
          <w:rFonts w:ascii="Times New Roman" w:eastAsia="Times New Roman" w:hAnsi="Times New Roman" w:cs="Times New Roman"/>
          <w:sz w:val="24"/>
          <w:szCs w:val="24"/>
        </w:rPr>
      </w:pPr>
      <w:r w:rsidRPr="00D61645">
        <w:rPr>
          <w:rFonts w:ascii="Times New Roman" w:eastAsia="Times New Roman" w:hAnsi="Times New Roman" w:cs="Times New Roman"/>
          <w:b/>
          <w:bCs/>
          <w:sz w:val="24"/>
          <w:szCs w:val="24"/>
        </w:rPr>
        <w:t>Methods:</w:t>
      </w:r>
      <w:r w:rsidRPr="00D61645">
        <w:rPr>
          <w:rFonts w:ascii="Times New Roman" w:eastAsia="Times New Roman" w:hAnsi="Times New Roman" w:cs="Times New Roman"/>
          <w:sz w:val="24"/>
          <w:szCs w:val="24"/>
        </w:rPr>
        <w:t xml:space="preserve"> A retrospective cross-sectional study was carried out among 84 MDR-TB patients who received treatment in the hospital’s MDR-TB ward during 20</w:t>
      </w:r>
      <w:r>
        <w:rPr>
          <w:rFonts w:ascii="Times New Roman" w:eastAsia="Times New Roman" w:hAnsi="Times New Roman" w:cs="Times New Roman"/>
          <w:sz w:val="24"/>
          <w:szCs w:val="24"/>
        </w:rPr>
        <w:t>20</w:t>
      </w:r>
      <w:r w:rsidRPr="00D61645">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D61645">
        <w:rPr>
          <w:rFonts w:ascii="Times New Roman" w:eastAsia="Times New Roman" w:hAnsi="Times New Roman" w:cs="Times New Roman"/>
          <w:sz w:val="24"/>
          <w:szCs w:val="24"/>
        </w:rPr>
        <w:t xml:space="preserve">. Serum uric acid measurements (pre-PZA baseline values and months 1-5 post-PZA treatment initiation) were obtained by spectrophotometry. The data was </w:t>
      </w:r>
      <w:r w:rsidRPr="00D61645">
        <w:rPr>
          <w:rFonts w:ascii="Times New Roman" w:eastAsia="Times New Roman" w:hAnsi="Times New Roman" w:cs="Times New Roman"/>
          <w:sz w:val="24"/>
          <w:szCs w:val="24"/>
          <w:lang w:val="en-US"/>
        </w:rPr>
        <w:t>analyzed</w:t>
      </w:r>
      <w:r w:rsidRPr="00D61645">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paired</w:t>
      </w:r>
      <w:r w:rsidRPr="00D61645">
        <w:rPr>
          <w:rFonts w:ascii="Times New Roman" w:eastAsia="Times New Roman" w:hAnsi="Times New Roman" w:cs="Times New Roman"/>
          <w:sz w:val="24"/>
          <w:szCs w:val="24"/>
        </w:rPr>
        <w:t xml:space="preserve"> t-test to compare each group to the baseline values. A p-value &lt; 0.05 was taken to be statistically significant.</w:t>
      </w:r>
    </w:p>
    <w:p w14:paraId="01C988B1" w14:textId="25BDFA5F" w:rsidR="00D61645" w:rsidRPr="00D61645" w:rsidRDefault="00D61645" w:rsidP="00D61645">
      <w:pPr>
        <w:spacing w:after="0" w:line="480" w:lineRule="auto"/>
        <w:contextualSpacing/>
        <w:jc w:val="both"/>
        <w:rPr>
          <w:rFonts w:ascii="Times New Roman" w:eastAsia="Times New Roman" w:hAnsi="Times New Roman" w:cs="Times New Roman"/>
          <w:b/>
          <w:bCs/>
          <w:sz w:val="24"/>
          <w:szCs w:val="24"/>
        </w:rPr>
      </w:pPr>
      <w:r w:rsidRPr="00D61645">
        <w:rPr>
          <w:rFonts w:ascii="Times New Roman" w:eastAsia="Times New Roman" w:hAnsi="Times New Roman" w:cs="Times New Roman"/>
          <w:b/>
          <w:bCs/>
          <w:sz w:val="24"/>
          <w:szCs w:val="24"/>
        </w:rPr>
        <w:t>Results:</w:t>
      </w:r>
      <w:r>
        <w:rPr>
          <w:rFonts w:ascii="Times New Roman" w:eastAsia="Times New Roman" w:hAnsi="Times New Roman" w:cs="Times New Roman"/>
          <w:b/>
          <w:bCs/>
          <w:sz w:val="24"/>
          <w:szCs w:val="24"/>
        </w:rPr>
        <w:t xml:space="preserve"> </w:t>
      </w:r>
      <w:r w:rsidRPr="00D61645">
        <w:rPr>
          <w:rFonts w:ascii="Times New Roman" w:eastAsia="Times New Roman" w:hAnsi="Times New Roman" w:cs="Times New Roman"/>
          <w:sz w:val="24"/>
          <w:szCs w:val="24"/>
        </w:rPr>
        <w:t xml:space="preserve">Among the study population, 67.9% were male, and 48.8% were aged between 18 and 30 years. The majority (89.3%) were Sudanese, and 58.3% were classified as underweight. The mean baseline serum uric acid level prior to PZA therapy was 4.47 ± 1.17 mg/dL. Following the </w:t>
      </w:r>
      <w:r w:rsidRPr="00D61645">
        <w:rPr>
          <w:rFonts w:ascii="Times New Roman" w:eastAsia="Times New Roman" w:hAnsi="Times New Roman" w:cs="Times New Roman"/>
          <w:sz w:val="24"/>
          <w:szCs w:val="24"/>
        </w:rPr>
        <w:lastRenderedPageBreak/>
        <w:t>initiation of PZA, a progressive and statistically significant increase in serum uric acid was observed across all subsequent months: 8.67 ± 2.39 mg/dL (p &lt; 0.001) in month 1, 8.94 ± 2.07 mg/dL (p &lt; 0.001) in month 2, 9.04 ± 1.89 mg/dL (p &lt; 0.001) in month 3, and 9.56 ± 1.85 mg/dL (p &lt; 0.001) in month 4. By month 5, the mean serum uric acid level further increased to 9.69 ± 1.96 mg/dL (p &lt; 0.001) compared with baseline values.</w:t>
      </w:r>
    </w:p>
    <w:p w14:paraId="79FFE2F7" w14:textId="043AD5FF" w:rsidR="00D61645" w:rsidRDefault="00D61645" w:rsidP="00D61645">
      <w:pPr>
        <w:spacing w:after="0" w:line="480" w:lineRule="auto"/>
        <w:contextualSpacing/>
        <w:jc w:val="both"/>
        <w:rPr>
          <w:rFonts w:ascii="Times New Roman" w:eastAsia="Times New Roman" w:hAnsi="Times New Roman" w:cs="Times New Roman"/>
          <w:sz w:val="24"/>
          <w:szCs w:val="24"/>
        </w:rPr>
      </w:pPr>
      <w:r w:rsidRPr="00D61645">
        <w:rPr>
          <w:rFonts w:ascii="Times New Roman" w:eastAsia="Times New Roman" w:hAnsi="Times New Roman" w:cs="Times New Roman"/>
          <w:b/>
          <w:bCs/>
          <w:sz w:val="24"/>
          <w:szCs w:val="24"/>
        </w:rPr>
        <w:t>Conclusion:</w:t>
      </w:r>
      <w:r w:rsidRPr="00D61645">
        <w:rPr>
          <w:rFonts w:ascii="Times New Roman" w:eastAsia="Times New Roman" w:hAnsi="Times New Roman" w:cs="Times New Roman"/>
          <w:sz w:val="24"/>
          <w:szCs w:val="24"/>
        </w:rPr>
        <w:t xml:space="preserve"> In this group of patients with MDR-TB undergoing PZA-containing regimens, there was a statistically significant increase in the levels of uric acid in the blood during the initial five months of treatment. These results highlight the need to take uric acid levels into consideration during TB treatment regimens that include PZA, even in resource-limited </w:t>
      </w:r>
      <w:r w:rsidRPr="00D61645">
        <w:rPr>
          <w:rFonts w:ascii="Times New Roman" w:eastAsia="Times New Roman" w:hAnsi="Times New Roman" w:cs="Times New Roman"/>
          <w:sz w:val="24"/>
          <w:szCs w:val="24"/>
          <w:lang w:val="en-US"/>
        </w:rPr>
        <w:t>centers</w:t>
      </w:r>
      <w:r w:rsidRPr="00D61645">
        <w:rPr>
          <w:rFonts w:ascii="Times New Roman" w:eastAsia="Times New Roman" w:hAnsi="Times New Roman" w:cs="Times New Roman"/>
          <w:sz w:val="24"/>
          <w:szCs w:val="24"/>
        </w:rPr>
        <w:t>.</w:t>
      </w:r>
    </w:p>
    <w:p w14:paraId="6030560D" w14:textId="5743E713" w:rsidR="00D61645" w:rsidRDefault="00D61645" w:rsidP="00D61645">
      <w:pPr>
        <w:spacing w:after="0" w:line="480" w:lineRule="auto"/>
        <w:contextualSpacing/>
        <w:jc w:val="both"/>
        <w:rPr>
          <w:rFonts w:ascii="Times New Roman" w:eastAsia="Times New Roman" w:hAnsi="Times New Roman" w:cs="Times New Roman"/>
          <w:sz w:val="24"/>
          <w:szCs w:val="24"/>
        </w:rPr>
      </w:pPr>
      <w:r w:rsidRPr="00912CC2">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sidR="00912CC2" w:rsidRPr="00371977">
        <w:rPr>
          <w:rFonts w:ascii="Times New Roman" w:eastAsia="Times New Roman" w:hAnsi="Times New Roman" w:cs="Times New Roman"/>
          <w:sz w:val="24"/>
          <w:szCs w:val="24"/>
        </w:rPr>
        <w:t>Pyrazinamide</w:t>
      </w:r>
      <w:r w:rsidR="00912CC2">
        <w:rPr>
          <w:rFonts w:ascii="Times New Roman" w:eastAsia="Times New Roman" w:hAnsi="Times New Roman" w:cs="Times New Roman"/>
          <w:sz w:val="24"/>
          <w:szCs w:val="24"/>
        </w:rPr>
        <w:t xml:space="preserve">, </w:t>
      </w:r>
      <w:r w:rsidR="00912CC2" w:rsidRPr="00371977">
        <w:rPr>
          <w:rFonts w:ascii="Times New Roman" w:eastAsia="Times New Roman" w:hAnsi="Times New Roman" w:cs="Times New Roman"/>
          <w:sz w:val="24"/>
          <w:szCs w:val="24"/>
        </w:rPr>
        <w:t>Tuberculosis</w:t>
      </w:r>
      <w:r w:rsidR="00912CC2">
        <w:rPr>
          <w:rFonts w:ascii="Times New Roman" w:eastAsia="Times New Roman" w:hAnsi="Times New Roman" w:cs="Times New Roman"/>
          <w:sz w:val="24"/>
          <w:szCs w:val="24"/>
        </w:rPr>
        <w:t xml:space="preserve">, </w:t>
      </w:r>
      <w:r w:rsidR="00912CC2" w:rsidRPr="00371977">
        <w:rPr>
          <w:rFonts w:ascii="Times New Roman" w:eastAsia="Times New Roman" w:hAnsi="Times New Roman" w:cs="Times New Roman"/>
          <w:sz w:val="24"/>
          <w:szCs w:val="24"/>
        </w:rPr>
        <w:t>Multidrug-resistant tuberculosis</w:t>
      </w:r>
      <w:r w:rsidR="00912CC2">
        <w:rPr>
          <w:rFonts w:ascii="Times New Roman" w:eastAsia="Times New Roman" w:hAnsi="Times New Roman" w:cs="Times New Roman"/>
          <w:sz w:val="24"/>
          <w:szCs w:val="24"/>
        </w:rPr>
        <w:t xml:space="preserve">, </w:t>
      </w:r>
      <w:r w:rsidR="00912CC2" w:rsidRPr="00371977">
        <w:rPr>
          <w:rFonts w:ascii="Times New Roman" w:eastAsia="Times New Roman" w:hAnsi="Times New Roman" w:cs="Times New Roman"/>
          <w:sz w:val="24"/>
          <w:szCs w:val="24"/>
        </w:rPr>
        <w:t>Hyperuricemia</w:t>
      </w:r>
      <w:r w:rsidR="00912CC2">
        <w:rPr>
          <w:rFonts w:ascii="Times New Roman" w:eastAsia="Times New Roman" w:hAnsi="Times New Roman" w:cs="Times New Roman"/>
          <w:sz w:val="24"/>
          <w:szCs w:val="24"/>
        </w:rPr>
        <w:t xml:space="preserve">, </w:t>
      </w:r>
      <w:r w:rsidR="00912CC2" w:rsidRPr="00371977">
        <w:rPr>
          <w:rFonts w:ascii="Times New Roman" w:eastAsia="Times New Roman" w:hAnsi="Times New Roman" w:cs="Times New Roman"/>
          <w:sz w:val="24"/>
          <w:szCs w:val="24"/>
        </w:rPr>
        <w:t>Uric acid monitoring</w:t>
      </w:r>
      <w:r w:rsidR="00912CC2">
        <w:rPr>
          <w:rFonts w:ascii="Times New Roman" w:eastAsia="Times New Roman" w:hAnsi="Times New Roman" w:cs="Times New Roman"/>
          <w:sz w:val="24"/>
          <w:szCs w:val="24"/>
        </w:rPr>
        <w:t>, Sudan.</w:t>
      </w:r>
    </w:p>
    <w:p w14:paraId="6304AB9A" w14:textId="4318EA17" w:rsidR="002F28DD" w:rsidRPr="002F28DD" w:rsidRDefault="002F28DD" w:rsidP="00D61645">
      <w:pPr>
        <w:spacing w:after="0" w:line="48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2F28DD">
        <w:rPr>
          <w:rFonts w:ascii="Times New Roman" w:eastAsia="Times New Roman" w:hAnsi="Times New Roman" w:cs="Times New Roman"/>
          <w:b/>
          <w:bCs/>
          <w:sz w:val="24"/>
          <w:szCs w:val="24"/>
        </w:rPr>
        <w:t>Introduction</w:t>
      </w:r>
    </w:p>
    <w:p w14:paraId="1D9692B7" w14:textId="786840E2" w:rsidR="000E302E" w:rsidRDefault="002F28DD" w:rsidP="000E302E">
      <w:pPr>
        <w:spacing w:after="0" w:line="480" w:lineRule="auto"/>
        <w:ind w:firstLine="720"/>
        <w:contextualSpacing/>
        <w:jc w:val="both"/>
        <w:rPr>
          <w:rFonts w:ascii="Times New Roman" w:eastAsia="Times New Roman" w:hAnsi="Times New Roman" w:cs="Times New Roman"/>
          <w:sz w:val="24"/>
          <w:szCs w:val="24"/>
        </w:rPr>
      </w:pPr>
      <w:r w:rsidRPr="002F28DD">
        <w:rPr>
          <w:rFonts w:ascii="Times New Roman" w:eastAsia="Times New Roman" w:hAnsi="Times New Roman" w:cs="Times New Roman"/>
          <w:sz w:val="24"/>
          <w:szCs w:val="24"/>
        </w:rPr>
        <w:t xml:space="preserve">Tuberculosis (TB), attributed to the </w:t>
      </w:r>
      <w:r w:rsidRPr="002F28DD">
        <w:rPr>
          <w:rFonts w:ascii="Times New Roman" w:eastAsia="Times New Roman" w:hAnsi="Times New Roman" w:cs="Times New Roman"/>
          <w:i/>
          <w:iCs/>
          <w:sz w:val="24"/>
          <w:szCs w:val="24"/>
        </w:rPr>
        <w:t>Mycobacterium tuberculosis</w:t>
      </w:r>
      <w:r w:rsidRPr="002F28DD">
        <w:rPr>
          <w:rFonts w:ascii="Times New Roman" w:eastAsia="Times New Roman" w:hAnsi="Times New Roman" w:cs="Times New Roman"/>
          <w:sz w:val="24"/>
          <w:szCs w:val="24"/>
        </w:rPr>
        <w:t xml:space="preserve"> complex, remains one of the significant threats to the health of people across the globe</w:t>
      </w:r>
      <w:r w:rsidR="00D26C7C">
        <w:rPr>
          <w:rFonts w:ascii="Times New Roman" w:eastAsia="Times New Roman" w:hAnsi="Times New Roman" w:cs="Times New Roman"/>
          <w:sz w:val="24"/>
          <w:szCs w:val="24"/>
        </w:rPr>
        <w:t xml:space="preserve"> (1)</w:t>
      </w:r>
      <w:r w:rsidRPr="002F28DD">
        <w:rPr>
          <w:rFonts w:ascii="Times New Roman" w:eastAsia="Times New Roman" w:hAnsi="Times New Roman" w:cs="Times New Roman"/>
          <w:sz w:val="24"/>
          <w:szCs w:val="24"/>
        </w:rPr>
        <w:t>. In 2021, TB was accountable for 1.6 million deaths and 10.6 million new cases</w:t>
      </w:r>
      <w:r w:rsidR="00D26C7C">
        <w:rPr>
          <w:rFonts w:ascii="Times New Roman" w:eastAsia="Times New Roman" w:hAnsi="Times New Roman" w:cs="Times New Roman"/>
          <w:sz w:val="24"/>
          <w:szCs w:val="24"/>
        </w:rPr>
        <w:t xml:space="preserve"> (2,3)</w:t>
      </w:r>
      <w:r w:rsidRPr="002F28DD">
        <w:rPr>
          <w:rFonts w:ascii="Times New Roman" w:eastAsia="Times New Roman" w:hAnsi="Times New Roman" w:cs="Times New Roman"/>
          <w:sz w:val="24"/>
          <w:szCs w:val="24"/>
        </w:rPr>
        <w:t xml:space="preserve">. </w:t>
      </w:r>
      <w:r w:rsidR="00D26C7C" w:rsidRPr="00371977">
        <w:rPr>
          <w:rFonts w:ascii="Times New Roman" w:eastAsia="Times New Roman" w:hAnsi="Times New Roman" w:cs="Times New Roman"/>
          <w:sz w:val="24"/>
          <w:szCs w:val="24"/>
        </w:rPr>
        <w:t>Although TB primarily affects the lungs, extrapulmonary manifestations are common</w:t>
      </w:r>
      <w:r w:rsidR="00D26C7C">
        <w:rPr>
          <w:rFonts w:ascii="Times New Roman" w:eastAsia="Times New Roman" w:hAnsi="Times New Roman" w:cs="Times New Roman"/>
          <w:sz w:val="24"/>
          <w:szCs w:val="24"/>
        </w:rPr>
        <w:t xml:space="preserve"> (1,</w:t>
      </w:r>
      <w:r w:rsidR="008C29E4">
        <w:rPr>
          <w:rFonts w:ascii="Times New Roman" w:eastAsia="Times New Roman" w:hAnsi="Times New Roman" w:cs="Times New Roman"/>
          <w:sz w:val="24"/>
          <w:szCs w:val="24"/>
        </w:rPr>
        <w:t>4</w:t>
      </w:r>
      <w:r w:rsidR="00D26C7C">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 The most dangerous form of TB includes Multidrug-resistant TB (MDR-TB), which is defined as TB caused by bacteria that are resistant to the drugs ‘Rifampicin’ and ‘Isoniazid’</w:t>
      </w:r>
      <w:r w:rsidR="00D26C7C">
        <w:rPr>
          <w:rFonts w:ascii="Times New Roman" w:eastAsia="Times New Roman" w:hAnsi="Times New Roman" w:cs="Times New Roman"/>
          <w:sz w:val="24"/>
          <w:szCs w:val="24"/>
        </w:rPr>
        <w:t xml:space="preserve"> (</w:t>
      </w:r>
      <w:r w:rsidR="008C29E4">
        <w:rPr>
          <w:rFonts w:ascii="Times New Roman" w:eastAsia="Times New Roman" w:hAnsi="Times New Roman" w:cs="Times New Roman"/>
          <w:sz w:val="24"/>
          <w:szCs w:val="24"/>
        </w:rPr>
        <w:t>5</w:t>
      </w:r>
      <w:r w:rsidR="00D26C7C">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w:t>
      </w:r>
      <w:r w:rsidR="00D26C7C">
        <w:rPr>
          <w:rFonts w:ascii="Times New Roman" w:eastAsia="Times New Roman" w:hAnsi="Times New Roman" w:cs="Times New Roman"/>
          <w:sz w:val="24"/>
          <w:szCs w:val="24"/>
        </w:rPr>
        <w:t xml:space="preserve"> </w:t>
      </w:r>
      <w:r w:rsidRPr="002F28DD">
        <w:rPr>
          <w:rFonts w:ascii="Times New Roman" w:eastAsia="Times New Roman" w:hAnsi="Times New Roman" w:cs="Times New Roman"/>
          <w:sz w:val="24"/>
          <w:szCs w:val="24"/>
        </w:rPr>
        <w:t>Pyrazinamide (PZA) is still an essential medicine in most first-line regimens and those intended for MDR-TB patients after establishing susceptibility</w:t>
      </w:r>
      <w:r w:rsidR="00D26C7C">
        <w:rPr>
          <w:rFonts w:ascii="Times New Roman" w:eastAsia="Times New Roman" w:hAnsi="Times New Roman" w:cs="Times New Roman"/>
          <w:sz w:val="24"/>
          <w:szCs w:val="24"/>
        </w:rPr>
        <w:t xml:space="preserve"> (</w:t>
      </w:r>
      <w:r w:rsidR="008C29E4">
        <w:rPr>
          <w:rFonts w:ascii="Times New Roman" w:eastAsia="Times New Roman" w:hAnsi="Times New Roman" w:cs="Times New Roman"/>
          <w:sz w:val="24"/>
          <w:szCs w:val="24"/>
        </w:rPr>
        <w:t>6</w:t>
      </w:r>
      <w:r w:rsidR="00D26C7C">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 The sterilizing effect makes it possible to reduce the duration of treatment from nine to six months in drug-sensitive TB patients</w:t>
      </w:r>
      <w:r w:rsidR="00D26C7C">
        <w:rPr>
          <w:rFonts w:ascii="Times New Roman" w:eastAsia="Times New Roman" w:hAnsi="Times New Roman" w:cs="Times New Roman"/>
          <w:sz w:val="24"/>
          <w:szCs w:val="24"/>
        </w:rPr>
        <w:t xml:space="preserve"> (</w:t>
      </w:r>
      <w:r w:rsidR="008C29E4">
        <w:rPr>
          <w:rFonts w:ascii="Times New Roman" w:eastAsia="Times New Roman" w:hAnsi="Times New Roman" w:cs="Times New Roman"/>
          <w:sz w:val="24"/>
          <w:szCs w:val="24"/>
        </w:rPr>
        <w:t>7</w:t>
      </w:r>
      <w:r w:rsidR="00D26C7C">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 But it is also well-known that PZA has the effect of raising blood urate concentrations due to decreased urate clearance from the kidneys through inhibited renal tubular secretion and increased reabsorption</w:t>
      </w:r>
      <w:r w:rsidR="00D26C7C">
        <w:rPr>
          <w:rFonts w:ascii="Times New Roman" w:eastAsia="Times New Roman" w:hAnsi="Times New Roman" w:cs="Times New Roman"/>
          <w:sz w:val="24"/>
          <w:szCs w:val="24"/>
        </w:rPr>
        <w:t xml:space="preserve"> (</w:t>
      </w:r>
      <w:r w:rsidR="008C29E4">
        <w:rPr>
          <w:rFonts w:ascii="Times New Roman" w:eastAsia="Times New Roman" w:hAnsi="Times New Roman" w:cs="Times New Roman"/>
          <w:sz w:val="24"/>
          <w:szCs w:val="24"/>
        </w:rPr>
        <w:t>8</w:t>
      </w:r>
      <w:r w:rsidR="00D26C7C">
        <w:rPr>
          <w:rFonts w:ascii="Times New Roman" w:eastAsia="Times New Roman" w:hAnsi="Times New Roman" w:cs="Times New Roman"/>
          <w:sz w:val="24"/>
          <w:szCs w:val="24"/>
        </w:rPr>
        <w:t>,</w:t>
      </w:r>
      <w:r w:rsidR="008C29E4">
        <w:rPr>
          <w:rFonts w:ascii="Times New Roman" w:eastAsia="Times New Roman" w:hAnsi="Times New Roman" w:cs="Times New Roman"/>
          <w:sz w:val="24"/>
          <w:szCs w:val="24"/>
        </w:rPr>
        <w:t>9</w:t>
      </w:r>
      <w:r w:rsidR="00D26C7C">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w:t>
      </w:r>
    </w:p>
    <w:p w14:paraId="7F8F3A9C" w14:textId="4893A269" w:rsidR="002F28DD" w:rsidRPr="002F28DD" w:rsidRDefault="002F28DD" w:rsidP="000E302E">
      <w:pPr>
        <w:spacing w:after="0" w:line="480" w:lineRule="auto"/>
        <w:ind w:firstLine="720"/>
        <w:contextualSpacing/>
        <w:jc w:val="both"/>
        <w:rPr>
          <w:rFonts w:ascii="Times New Roman" w:eastAsia="Times New Roman" w:hAnsi="Times New Roman" w:cs="Times New Roman"/>
          <w:sz w:val="24"/>
          <w:szCs w:val="24"/>
        </w:rPr>
      </w:pPr>
      <w:r w:rsidRPr="002F28DD">
        <w:rPr>
          <w:rFonts w:ascii="Times New Roman" w:eastAsia="Times New Roman" w:hAnsi="Times New Roman" w:cs="Times New Roman"/>
          <w:sz w:val="24"/>
          <w:szCs w:val="24"/>
        </w:rPr>
        <w:lastRenderedPageBreak/>
        <w:t>Generally, hyperuricemia was defined as uric acid values above 6.8 mg/dL (404 µmol/L), beyond the saturation point for the crystallisation of monosodium urate. Urate crystals can increase the risk of gouty arthritis, nephrolithiasis, and renal dysfunction</w:t>
      </w:r>
      <w:r w:rsidR="000E302E">
        <w:rPr>
          <w:rFonts w:ascii="Times New Roman" w:eastAsia="Times New Roman" w:hAnsi="Times New Roman" w:cs="Times New Roman"/>
          <w:sz w:val="24"/>
          <w:szCs w:val="24"/>
        </w:rPr>
        <w:t xml:space="preserve"> (</w:t>
      </w:r>
      <w:r w:rsidR="008C29E4">
        <w:rPr>
          <w:rFonts w:ascii="Times New Roman" w:eastAsia="Times New Roman" w:hAnsi="Times New Roman" w:cs="Times New Roman"/>
          <w:sz w:val="24"/>
          <w:szCs w:val="24"/>
        </w:rPr>
        <w:t>10</w:t>
      </w:r>
      <w:r w:rsidR="000E302E">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 In the prolonged and complex regimen that constitutes MDR-TB treatment, the development of hyperuricemia can potentially complicate the medical management and lead to poor adherence to treatment due to musculoskeletal adverse reactions</w:t>
      </w:r>
      <w:r w:rsidR="000E302E">
        <w:rPr>
          <w:rFonts w:ascii="Times New Roman" w:eastAsia="Times New Roman" w:hAnsi="Times New Roman" w:cs="Times New Roman"/>
          <w:sz w:val="24"/>
          <w:szCs w:val="24"/>
        </w:rPr>
        <w:t xml:space="preserve"> (1</w:t>
      </w:r>
      <w:r w:rsidR="008C29E4">
        <w:rPr>
          <w:rFonts w:ascii="Times New Roman" w:eastAsia="Times New Roman" w:hAnsi="Times New Roman" w:cs="Times New Roman"/>
          <w:sz w:val="24"/>
          <w:szCs w:val="24"/>
        </w:rPr>
        <w:t>1</w:t>
      </w:r>
      <w:r w:rsidR="000E302E">
        <w:rPr>
          <w:rFonts w:ascii="Times New Roman" w:eastAsia="Times New Roman" w:hAnsi="Times New Roman" w:cs="Times New Roman"/>
          <w:sz w:val="24"/>
          <w:szCs w:val="24"/>
        </w:rPr>
        <w:t>)</w:t>
      </w:r>
      <w:r w:rsidRPr="002F28DD">
        <w:rPr>
          <w:rFonts w:ascii="Times New Roman" w:eastAsia="Times New Roman" w:hAnsi="Times New Roman" w:cs="Times New Roman"/>
          <w:sz w:val="24"/>
          <w:szCs w:val="24"/>
        </w:rPr>
        <w:t>.</w:t>
      </w:r>
    </w:p>
    <w:p w14:paraId="4356E88D" w14:textId="392AC6A8" w:rsidR="002F28DD" w:rsidRDefault="000E302E" w:rsidP="000E302E">
      <w:pPr>
        <w:spacing w:after="0" w:line="480" w:lineRule="auto"/>
        <w:ind w:firstLine="720"/>
        <w:contextualSpacing/>
        <w:jc w:val="both"/>
        <w:rPr>
          <w:rFonts w:ascii="Times New Roman" w:eastAsia="Times New Roman" w:hAnsi="Times New Roman" w:cs="Times New Roman"/>
          <w:sz w:val="24"/>
          <w:szCs w:val="24"/>
        </w:rPr>
      </w:pPr>
      <w:r w:rsidRPr="00371977">
        <w:rPr>
          <w:rFonts w:ascii="Times New Roman" w:eastAsia="Times New Roman" w:hAnsi="Times New Roman" w:cs="Times New Roman"/>
          <w:sz w:val="24"/>
          <w:szCs w:val="24"/>
        </w:rPr>
        <w:t>Despite this, data on PZA-induced hyperuricemia specifically in MDR-TB populations</w:t>
      </w:r>
      <w:r>
        <w:rPr>
          <w:rFonts w:ascii="Times New Roman" w:eastAsia="Times New Roman" w:hAnsi="Times New Roman" w:cs="Times New Roman"/>
          <w:sz w:val="24"/>
          <w:szCs w:val="24"/>
        </w:rPr>
        <w:t xml:space="preserve"> </w:t>
      </w:r>
      <w:r w:rsidRPr="00371977">
        <w:rPr>
          <w:rFonts w:ascii="Times New Roman" w:eastAsia="Times New Roman" w:hAnsi="Times New Roman" w:cs="Times New Roman"/>
          <w:sz w:val="24"/>
          <w:szCs w:val="24"/>
        </w:rPr>
        <w:t>particularly in low- and middle-income countries such as Sudan</w:t>
      </w:r>
      <w:r w:rsidR="002F28DD" w:rsidRPr="002F28DD">
        <w:rPr>
          <w:rFonts w:ascii="Times New Roman" w:eastAsia="Times New Roman" w:hAnsi="Times New Roman" w:cs="Times New Roman"/>
          <w:sz w:val="24"/>
          <w:szCs w:val="24"/>
        </w:rPr>
        <w:t>, are still scant. In fact, monitoring these side reactions has great potential in lessening morbidity brought about by the drugs among TB patients</w:t>
      </w:r>
      <w:r>
        <w:rPr>
          <w:rFonts w:ascii="Times New Roman" w:eastAsia="Times New Roman" w:hAnsi="Times New Roman" w:cs="Times New Roman"/>
          <w:sz w:val="24"/>
          <w:szCs w:val="24"/>
        </w:rPr>
        <w:t xml:space="preserve"> (1</w:t>
      </w:r>
      <w:r w:rsidR="008C29E4">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008C29E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2F28DD" w:rsidRPr="002F28DD">
        <w:rPr>
          <w:rFonts w:ascii="Times New Roman" w:eastAsia="Times New Roman" w:hAnsi="Times New Roman" w:cs="Times New Roman"/>
          <w:sz w:val="24"/>
          <w:szCs w:val="24"/>
        </w:rPr>
        <w:t>. Thus, the aim of this study was to assess the trend and extent to which uric acid levels are elevated due to the use of PZA among MDR-TB patients in the Abu-Anja Teaching Hospital in Khartoum State.</w:t>
      </w:r>
    </w:p>
    <w:p w14:paraId="2F819273" w14:textId="77777777" w:rsidR="000E302E" w:rsidRDefault="000E302E" w:rsidP="000E302E">
      <w:pPr>
        <w:spacing w:after="0" w:line="48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0E302E">
        <w:rPr>
          <w:rFonts w:ascii="Times New Roman" w:eastAsia="Times New Roman" w:hAnsi="Times New Roman" w:cs="Times New Roman"/>
          <w:b/>
          <w:bCs/>
          <w:sz w:val="24"/>
          <w:szCs w:val="24"/>
        </w:rPr>
        <w:t>Methods</w:t>
      </w:r>
    </w:p>
    <w:p w14:paraId="5C1712D5" w14:textId="77777777" w:rsidR="000E302E" w:rsidRPr="000E302E" w:rsidRDefault="000E302E" w:rsidP="000E302E">
      <w:pPr>
        <w:spacing w:after="0" w:line="480" w:lineRule="auto"/>
        <w:contextualSpacing/>
        <w:jc w:val="both"/>
        <w:rPr>
          <w:rFonts w:ascii="Times New Roman" w:eastAsia="Times New Roman" w:hAnsi="Times New Roman" w:cs="Times New Roman"/>
          <w:b/>
          <w:bCs/>
          <w:sz w:val="24"/>
          <w:szCs w:val="24"/>
        </w:rPr>
      </w:pPr>
      <w:r w:rsidRPr="000E302E">
        <w:rPr>
          <w:rFonts w:ascii="Times New Roman" w:eastAsia="Times New Roman" w:hAnsi="Times New Roman" w:cs="Times New Roman"/>
          <w:b/>
          <w:bCs/>
          <w:sz w:val="24"/>
          <w:szCs w:val="24"/>
        </w:rPr>
        <w:t>2.1. Study design and setting</w:t>
      </w:r>
    </w:p>
    <w:p w14:paraId="7364F44B" w14:textId="3C19DBEF" w:rsidR="000E302E" w:rsidRPr="00DD1694" w:rsidRDefault="000E302E" w:rsidP="000E302E">
      <w:pPr>
        <w:spacing w:after="0" w:line="48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A</w:t>
      </w:r>
      <w:r w:rsidRPr="00371977">
        <w:rPr>
          <w:rFonts w:ascii="Times New Roman" w:eastAsia="Times New Roman" w:hAnsi="Times New Roman" w:cs="Times New Roman"/>
          <w:sz w:val="24"/>
          <w:szCs w:val="24"/>
        </w:rPr>
        <w:t xml:space="preserve"> retrospective cross-sectional study </w:t>
      </w:r>
      <w:r>
        <w:rPr>
          <w:rFonts w:ascii="Times New Roman" w:eastAsia="Times New Roman" w:hAnsi="Times New Roman" w:cs="Times New Roman"/>
          <w:sz w:val="24"/>
          <w:szCs w:val="24"/>
        </w:rPr>
        <w:t xml:space="preserve">was conducted </w:t>
      </w:r>
      <w:r w:rsidRPr="00371977">
        <w:rPr>
          <w:rFonts w:ascii="Times New Roman" w:eastAsia="Times New Roman" w:hAnsi="Times New Roman" w:cs="Times New Roman"/>
          <w:sz w:val="24"/>
          <w:szCs w:val="24"/>
        </w:rPr>
        <w:t>within the MDR-TB unit of Abu-Anja Teaching Hospital</w:t>
      </w:r>
      <w:r>
        <w:rPr>
          <w:rFonts w:ascii="Times New Roman" w:eastAsia="Times New Roman" w:hAnsi="Times New Roman" w:cs="Times New Roman"/>
          <w:sz w:val="24"/>
          <w:szCs w:val="24"/>
        </w:rPr>
        <w:t xml:space="preserve">, </w:t>
      </w:r>
      <w:r w:rsidRPr="00371977">
        <w:rPr>
          <w:rFonts w:ascii="Times New Roman" w:eastAsia="Times New Roman" w:hAnsi="Times New Roman" w:cs="Times New Roman"/>
          <w:sz w:val="24"/>
          <w:szCs w:val="24"/>
        </w:rPr>
        <w:t>Khartoum, Sudan</w:t>
      </w:r>
      <w:r>
        <w:rPr>
          <w:rFonts w:ascii="Times New Roman" w:eastAsia="Times New Roman" w:hAnsi="Times New Roman" w:cs="Times New Roman"/>
          <w:sz w:val="24"/>
          <w:szCs w:val="24"/>
        </w:rPr>
        <w:t>. This hospital is</w:t>
      </w:r>
      <w:r w:rsidRPr="00371977">
        <w:rPr>
          <w:rFonts w:ascii="Times New Roman" w:eastAsia="Times New Roman" w:hAnsi="Times New Roman" w:cs="Times New Roman"/>
          <w:sz w:val="24"/>
          <w:szCs w:val="24"/>
        </w:rPr>
        <w:t xml:space="preserve"> the only centre within Khartoum State</w:t>
      </w:r>
      <w:r>
        <w:rPr>
          <w:rFonts w:ascii="Times New Roman" w:eastAsia="Times New Roman" w:hAnsi="Times New Roman" w:cs="Times New Roman"/>
          <w:sz w:val="24"/>
          <w:szCs w:val="24"/>
        </w:rPr>
        <w:t xml:space="preserve"> </w:t>
      </w:r>
      <w:r w:rsidRPr="00371977">
        <w:rPr>
          <w:rFonts w:ascii="Times New Roman" w:eastAsia="Times New Roman" w:hAnsi="Times New Roman" w:cs="Times New Roman"/>
          <w:sz w:val="24"/>
          <w:szCs w:val="24"/>
        </w:rPr>
        <w:t>specialising in MDR-TB treatment.</w:t>
      </w:r>
      <w:r>
        <w:rPr>
          <w:rFonts w:ascii="Times New Roman" w:eastAsia="Times New Roman" w:hAnsi="Times New Roman" w:cs="Times New Roman"/>
          <w:sz w:val="24"/>
          <w:szCs w:val="24"/>
        </w:rPr>
        <w:t xml:space="preserve"> </w:t>
      </w:r>
      <w:r w:rsidRPr="00DD1694">
        <w:rPr>
          <w:rFonts w:ascii="Times New Roman" w:hAnsi="Times New Roman" w:cs="Times New Roman"/>
          <w:sz w:val="24"/>
          <w:szCs w:val="24"/>
        </w:rPr>
        <w:t xml:space="preserve">The study included all </w:t>
      </w:r>
      <w:r w:rsidRPr="00371977">
        <w:rPr>
          <w:rFonts w:ascii="Times New Roman" w:eastAsia="Times New Roman" w:hAnsi="Times New Roman" w:cs="Times New Roman"/>
          <w:sz w:val="24"/>
          <w:szCs w:val="24"/>
        </w:rPr>
        <w:t xml:space="preserve">MDR-TB </w:t>
      </w:r>
      <w:r>
        <w:rPr>
          <w:rFonts w:ascii="Times New Roman" w:eastAsia="Times New Roman" w:hAnsi="Times New Roman" w:cs="Times New Roman"/>
          <w:sz w:val="24"/>
          <w:szCs w:val="24"/>
        </w:rPr>
        <w:t xml:space="preserve">patients </w:t>
      </w:r>
      <w:r w:rsidRPr="00DD1694">
        <w:rPr>
          <w:rFonts w:ascii="Times New Roman" w:hAnsi="Times New Roman" w:cs="Times New Roman"/>
          <w:sz w:val="24"/>
          <w:szCs w:val="24"/>
        </w:rPr>
        <w:t>between J</w:t>
      </w:r>
      <w:r>
        <w:rPr>
          <w:rFonts w:ascii="Times New Roman" w:hAnsi="Times New Roman" w:cs="Times New Roman"/>
          <w:sz w:val="24"/>
          <w:szCs w:val="24"/>
        </w:rPr>
        <w:t xml:space="preserve">une </w:t>
      </w:r>
      <w:r w:rsidRPr="00DD1694">
        <w:rPr>
          <w:rFonts w:ascii="Times New Roman" w:hAnsi="Times New Roman" w:cs="Times New Roman"/>
          <w:sz w:val="24"/>
          <w:szCs w:val="24"/>
        </w:rPr>
        <w:t>202</w:t>
      </w:r>
      <w:r>
        <w:rPr>
          <w:rFonts w:ascii="Times New Roman" w:hAnsi="Times New Roman" w:cs="Times New Roman"/>
          <w:sz w:val="24"/>
          <w:szCs w:val="24"/>
        </w:rPr>
        <w:t xml:space="preserve">0 </w:t>
      </w:r>
      <w:r w:rsidRPr="00DD1694">
        <w:rPr>
          <w:rFonts w:ascii="Times New Roman" w:hAnsi="Times New Roman" w:cs="Times New Roman"/>
          <w:sz w:val="24"/>
          <w:szCs w:val="24"/>
        </w:rPr>
        <w:t xml:space="preserve">and </w:t>
      </w:r>
      <w:r>
        <w:rPr>
          <w:rFonts w:ascii="Times New Roman" w:hAnsi="Times New Roman" w:cs="Times New Roman"/>
          <w:sz w:val="24"/>
          <w:szCs w:val="24"/>
        </w:rPr>
        <w:t>January</w:t>
      </w:r>
      <w:r w:rsidRPr="00DD1694">
        <w:rPr>
          <w:rFonts w:ascii="Times New Roman" w:hAnsi="Times New Roman" w:cs="Times New Roman"/>
          <w:sz w:val="24"/>
          <w:szCs w:val="24"/>
        </w:rPr>
        <w:t xml:space="preserve"> 202</w:t>
      </w:r>
      <w:r>
        <w:rPr>
          <w:rFonts w:ascii="Times New Roman" w:hAnsi="Times New Roman" w:cs="Times New Roman"/>
          <w:sz w:val="24"/>
          <w:szCs w:val="24"/>
        </w:rPr>
        <w:t>1</w:t>
      </w:r>
      <w:r w:rsidRPr="00DD1694">
        <w:rPr>
          <w:rFonts w:ascii="Times New Roman" w:hAnsi="Times New Roman" w:cs="Times New Roman"/>
          <w:sz w:val="24"/>
          <w:szCs w:val="24"/>
        </w:rPr>
        <w:t>.</w:t>
      </w:r>
    </w:p>
    <w:p w14:paraId="47613882" w14:textId="77777777" w:rsidR="000E302E" w:rsidRPr="000E302E" w:rsidRDefault="000E302E" w:rsidP="000E302E">
      <w:pPr>
        <w:spacing w:after="0" w:line="480" w:lineRule="auto"/>
        <w:contextualSpacing/>
        <w:jc w:val="both"/>
        <w:rPr>
          <w:rFonts w:ascii="Times New Roman" w:eastAsia="Times New Roman" w:hAnsi="Times New Roman" w:cs="Times New Roman"/>
          <w:b/>
          <w:bCs/>
          <w:sz w:val="24"/>
          <w:szCs w:val="24"/>
        </w:rPr>
      </w:pPr>
      <w:r w:rsidRPr="000E302E">
        <w:rPr>
          <w:rFonts w:ascii="Times New Roman" w:eastAsia="Times New Roman" w:hAnsi="Times New Roman" w:cs="Times New Roman"/>
          <w:b/>
          <w:bCs/>
          <w:sz w:val="24"/>
          <w:szCs w:val="24"/>
        </w:rPr>
        <w:t>2.2. Population and sampling</w:t>
      </w:r>
    </w:p>
    <w:p w14:paraId="45EA472A" w14:textId="58364B6C" w:rsidR="000E302E" w:rsidRDefault="000E302E" w:rsidP="000E302E">
      <w:pPr>
        <w:spacing w:after="0" w:line="48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Medical files</w:t>
      </w:r>
      <w:r w:rsidRPr="00371977">
        <w:rPr>
          <w:rFonts w:ascii="Times New Roman" w:eastAsia="Times New Roman" w:hAnsi="Times New Roman" w:cs="Times New Roman"/>
          <w:sz w:val="24"/>
          <w:szCs w:val="24"/>
        </w:rPr>
        <w:t xml:space="preserve"> of all patients diagnosed with MDR-TB and started on a regimen including PZA, with complete monthly uric acid assays for the first five months, were eligible. Of 206 patient </w:t>
      </w:r>
      <w:r>
        <w:rPr>
          <w:rFonts w:ascii="Times New Roman" w:eastAsia="Times New Roman" w:hAnsi="Times New Roman" w:cs="Times New Roman"/>
          <w:sz w:val="24"/>
          <w:szCs w:val="24"/>
        </w:rPr>
        <w:t>file</w:t>
      </w:r>
      <w:r w:rsidRPr="00371977">
        <w:rPr>
          <w:rFonts w:ascii="Times New Roman" w:eastAsia="Times New Roman" w:hAnsi="Times New Roman" w:cs="Times New Roman"/>
          <w:sz w:val="24"/>
          <w:szCs w:val="24"/>
        </w:rPr>
        <w:t xml:space="preserve">s reviewed, </w:t>
      </w:r>
      <w:r>
        <w:rPr>
          <w:rFonts w:ascii="Times New Roman" w:eastAsia="Times New Roman" w:hAnsi="Times New Roman" w:cs="Times New Roman"/>
          <w:sz w:val="24"/>
          <w:szCs w:val="24"/>
        </w:rPr>
        <w:t xml:space="preserve">only </w:t>
      </w:r>
      <w:r w:rsidRPr="00371977">
        <w:rPr>
          <w:rFonts w:ascii="Times New Roman" w:eastAsia="Times New Roman" w:hAnsi="Times New Roman" w:cs="Times New Roman"/>
          <w:sz w:val="24"/>
          <w:szCs w:val="24"/>
        </w:rPr>
        <w:t xml:space="preserve">84 </w:t>
      </w:r>
      <w:r>
        <w:rPr>
          <w:rFonts w:ascii="Times New Roman" w:eastAsia="Times New Roman" w:hAnsi="Times New Roman" w:cs="Times New Roman"/>
          <w:sz w:val="24"/>
          <w:szCs w:val="24"/>
        </w:rPr>
        <w:t xml:space="preserve">of them </w:t>
      </w:r>
      <w:r w:rsidRPr="00371977">
        <w:rPr>
          <w:rFonts w:ascii="Times New Roman" w:eastAsia="Times New Roman" w:hAnsi="Times New Roman" w:cs="Times New Roman"/>
          <w:sz w:val="24"/>
          <w:szCs w:val="24"/>
        </w:rPr>
        <w:t>had complete data and were included in the analysis</w:t>
      </w:r>
      <w:r>
        <w:rPr>
          <w:rFonts w:ascii="Times New Roman" w:eastAsia="Times New Roman" w:hAnsi="Times New Roman" w:cs="Times New Roman"/>
          <w:sz w:val="24"/>
          <w:szCs w:val="24"/>
        </w:rPr>
        <w:t xml:space="preserve"> of this study.</w:t>
      </w:r>
    </w:p>
    <w:p w14:paraId="46A08D37" w14:textId="348ED19F" w:rsidR="000E302E" w:rsidRPr="000E302E" w:rsidRDefault="000E302E" w:rsidP="000E302E">
      <w:pPr>
        <w:spacing w:after="0" w:line="480" w:lineRule="auto"/>
        <w:contextualSpacing/>
        <w:jc w:val="both"/>
        <w:rPr>
          <w:rFonts w:ascii="Times New Roman" w:eastAsia="Times New Roman" w:hAnsi="Times New Roman" w:cs="Times New Roman"/>
          <w:b/>
          <w:bCs/>
          <w:sz w:val="24"/>
          <w:szCs w:val="24"/>
        </w:rPr>
      </w:pPr>
      <w:r w:rsidRPr="000E302E">
        <w:rPr>
          <w:rFonts w:ascii="Times New Roman" w:eastAsia="Times New Roman" w:hAnsi="Times New Roman" w:cs="Times New Roman"/>
          <w:b/>
          <w:bCs/>
          <w:sz w:val="24"/>
          <w:szCs w:val="24"/>
        </w:rPr>
        <w:t xml:space="preserve">2.3. </w:t>
      </w:r>
      <w:r w:rsidRPr="00457429">
        <w:rPr>
          <w:rFonts w:ascii="Times New Roman" w:hAnsi="Times New Roman" w:cs="Times New Roman"/>
          <w:b/>
          <w:bCs/>
          <w:sz w:val="24"/>
          <w:szCs w:val="24"/>
        </w:rPr>
        <w:t>Data collection tool</w:t>
      </w:r>
    </w:p>
    <w:p w14:paraId="07ED6CB9" w14:textId="77777777" w:rsidR="000E302E" w:rsidRDefault="000E302E" w:rsidP="000E302E">
      <w:pPr>
        <w:spacing w:after="0" w:line="480" w:lineRule="auto"/>
        <w:ind w:firstLine="720"/>
        <w:contextualSpacing/>
        <w:jc w:val="both"/>
        <w:rPr>
          <w:rFonts w:ascii="Times New Roman" w:eastAsia="Times New Roman" w:hAnsi="Times New Roman" w:cs="Times New Roman"/>
          <w:sz w:val="24"/>
          <w:szCs w:val="24"/>
        </w:rPr>
      </w:pPr>
      <w:r w:rsidRPr="00DD1694">
        <w:rPr>
          <w:rFonts w:ascii="Times New Roman" w:hAnsi="Times New Roman" w:cs="Times New Roman"/>
          <w:sz w:val="24"/>
          <w:szCs w:val="24"/>
        </w:rPr>
        <w:lastRenderedPageBreak/>
        <w:t>A structured data collection form, which was researcher-developed, was created, and used to extract</w:t>
      </w:r>
      <w:r w:rsidRPr="003719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which include p</w:t>
      </w:r>
      <w:r w:rsidRPr="00371977">
        <w:rPr>
          <w:rFonts w:ascii="Times New Roman" w:eastAsia="Times New Roman" w:hAnsi="Times New Roman" w:cs="Times New Roman"/>
          <w:sz w:val="24"/>
          <w:szCs w:val="24"/>
        </w:rPr>
        <w:t>atient demographic (age, sex, nationality), anthropometric (weight classification underweight/normal/overweight), and clinical data (joint symptoms, number of affected joints) were extracted from medical records. Serum uric acid levels were obtained monthly (baseline before initiation of PZA therapy, then at months 1, 2, 3, 4, 5) via spectrophotometric assay per hospital laboratory standard practice.</w:t>
      </w:r>
    </w:p>
    <w:p w14:paraId="514BC6D6" w14:textId="77777777" w:rsidR="000E302E" w:rsidRPr="000E302E" w:rsidRDefault="000E302E" w:rsidP="000E302E">
      <w:pPr>
        <w:spacing w:after="0" w:line="480" w:lineRule="auto"/>
        <w:contextualSpacing/>
        <w:jc w:val="both"/>
        <w:rPr>
          <w:rFonts w:ascii="Times New Roman" w:eastAsia="Times New Roman" w:hAnsi="Times New Roman" w:cs="Times New Roman"/>
          <w:b/>
          <w:bCs/>
          <w:sz w:val="24"/>
          <w:szCs w:val="24"/>
        </w:rPr>
      </w:pPr>
      <w:r w:rsidRPr="000E302E">
        <w:rPr>
          <w:rFonts w:ascii="Times New Roman" w:eastAsia="Times New Roman" w:hAnsi="Times New Roman" w:cs="Times New Roman"/>
          <w:b/>
          <w:bCs/>
          <w:sz w:val="24"/>
          <w:szCs w:val="24"/>
        </w:rPr>
        <w:t>2.4. Statistical analysis</w:t>
      </w:r>
    </w:p>
    <w:p w14:paraId="7BEFF04F" w14:textId="7AB5957C" w:rsidR="0025626B" w:rsidRDefault="000E302E" w:rsidP="00622885">
      <w:pPr>
        <w:spacing w:after="0" w:line="480" w:lineRule="auto"/>
        <w:ind w:firstLine="720"/>
        <w:contextualSpacing/>
        <w:jc w:val="both"/>
        <w:rPr>
          <w:rFonts w:ascii="Times New Roman" w:eastAsia="Times New Roman" w:hAnsi="Times New Roman" w:cs="Times New Roman"/>
          <w:sz w:val="24"/>
          <w:szCs w:val="24"/>
        </w:rPr>
      </w:pPr>
      <w:r w:rsidRPr="00371977">
        <w:rPr>
          <w:rFonts w:ascii="Times New Roman" w:eastAsia="Times New Roman" w:hAnsi="Times New Roman" w:cs="Times New Roman"/>
          <w:sz w:val="24"/>
          <w:szCs w:val="24"/>
        </w:rPr>
        <w:t xml:space="preserve">Data were entered into IBM SPSS Statistics version </w:t>
      </w:r>
      <w:r w:rsidR="0025626B">
        <w:rPr>
          <w:rFonts w:ascii="Times New Roman" w:eastAsia="Times New Roman" w:hAnsi="Times New Roman" w:cs="Times New Roman"/>
          <w:sz w:val="24"/>
          <w:szCs w:val="24"/>
        </w:rPr>
        <w:t xml:space="preserve">22 </w:t>
      </w:r>
      <w:r w:rsidR="0025626B" w:rsidRPr="00DD1694">
        <w:rPr>
          <w:rFonts w:ascii="Times New Roman" w:hAnsi="Times New Roman" w:cs="Times New Roman"/>
          <w:sz w:val="24"/>
          <w:szCs w:val="24"/>
        </w:rPr>
        <w:t>(SPSS Inc., Chicago, Illinois, USA)</w:t>
      </w:r>
      <w:r w:rsidRPr="00371977">
        <w:rPr>
          <w:rFonts w:ascii="Times New Roman" w:eastAsia="Times New Roman" w:hAnsi="Times New Roman" w:cs="Times New Roman"/>
          <w:sz w:val="24"/>
          <w:szCs w:val="24"/>
        </w:rPr>
        <w:t xml:space="preserve">. Continuous variables are expressed as mean ± standard deviation (SD); categorical variables as number (percentage). A </w:t>
      </w:r>
      <w:r w:rsidR="00622885">
        <w:rPr>
          <w:rFonts w:ascii="Times New Roman" w:eastAsia="Times New Roman" w:hAnsi="Times New Roman" w:cs="Times New Roman"/>
          <w:sz w:val="24"/>
          <w:szCs w:val="24"/>
        </w:rPr>
        <w:t>paired</w:t>
      </w:r>
      <w:r w:rsidRPr="00371977">
        <w:rPr>
          <w:rFonts w:ascii="Times New Roman" w:eastAsia="Times New Roman" w:hAnsi="Times New Roman" w:cs="Times New Roman"/>
          <w:sz w:val="24"/>
          <w:szCs w:val="24"/>
        </w:rPr>
        <w:t xml:space="preserve"> t-test compared each monthly mean uric acid value to the baseline mean. A p-value &lt;0.05 was considered statistically significant.</w:t>
      </w:r>
    </w:p>
    <w:p w14:paraId="7DB5C292" w14:textId="77777777" w:rsidR="000E302E" w:rsidRPr="000E302E" w:rsidRDefault="000E302E" w:rsidP="000E302E">
      <w:pPr>
        <w:spacing w:after="0" w:line="480" w:lineRule="auto"/>
        <w:contextualSpacing/>
        <w:jc w:val="both"/>
        <w:rPr>
          <w:rFonts w:ascii="Times New Roman" w:eastAsia="Times New Roman" w:hAnsi="Times New Roman" w:cs="Times New Roman"/>
          <w:b/>
          <w:bCs/>
          <w:sz w:val="24"/>
          <w:szCs w:val="24"/>
        </w:rPr>
      </w:pPr>
      <w:r w:rsidRPr="000E302E">
        <w:rPr>
          <w:rFonts w:ascii="Times New Roman" w:eastAsia="Times New Roman" w:hAnsi="Times New Roman" w:cs="Times New Roman"/>
          <w:b/>
          <w:bCs/>
          <w:sz w:val="24"/>
          <w:szCs w:val="24"/>
        </w:rPr>
        <w:t>2.5. Ethical considerations</w:t>
      </w:r>
    </w:p>
    <w:p w14:paraId="133B186B" w14:textId="1CF7B9A3" w:rsidR="0025626B" w:rsidRPr="0025626B" w:rsidRDefault="0025626B" w:rsidP="0025626B">
      <w:pPr>
        <w:spacing w:after="0" w:line="480" w:lineRule="auto"/>
        <w:ind w:firstLine="720"/>
        <w:contextualSpacing/>
        <w:jc w:val="both"/>
        <w:rPr>
          <w:rFonts w:ascii="Times New Roman" w:hAnsi="Times New Roman" w:cs="Times New Roman"/>
          <w:sz w:val="24"/>
          <w:szCs w:val="24"/>
        </w:rPr>
      </w:pPr>
      <w:r w:rsidRPr="00DD1694">
        <w:rPr>
          <w:rFonts w:ascii="Times New Roman" w:hAnsi="Times New Roman" w:cs="Times New Roman"/>
          <w:sz w:val="24"/>
          <w:szCs w:val="24"/>
        </w:rPr>
        <w:t>The research adhered to the ethical guidelines of the 1975 Declaration of Helsinki</w:t>
      </w:r>
      <w:r>
        <w:rPr>
          <w:rFonts w:ascii="Times New Roman" w:hAnsi="Times New Roman" w:cs="Times New Roman"/>
          <w:sz w:val="24"/>
          <w:szCs w:val="24"/>
        </w:rPr>
        <w:t xml:space="preserve"> and </w:t>
      </w:r>
      <w:r w:rsidRPr="00DD1694">
        <w:rPr>
          <w:rFonts w:ascii="Times New Roman" w:hAnsi="Times New Roman" w:cs="Times New Roman"/>
          <w:sz w:val="24"/>
          <w:szCs w:val="24"/>
        </w:rPr>
        <w:t>approved by the Ethical Committee of Faculty of Pharmacy, University of Khartoum, Sudan (FPEC-</w:t>
      </w:r>
      <w:r>
        <w:rPr>
          <w:rFonts w:ascii="Times New Roman" w:hAnsi="Times New Roman" w:cs="Times New Roman"/>
          <w:sz w:val="24"/>
          <w:szCs w:val="24"/>
        </w:rPr>
        <w:t>43</w:t>
      </w:r>
      <w:r w:rsidRPr="00DD1694">
        <w:rPr>
          <w:rFonts w:ascii="Times New Roman" w:hAnsi="Times New Roman" w:cs="Times New Roman"/>
          <w:sz w:val="24"/>
          <w:szCs w:val="24"/>
        </w:rPr>
        <w:t>-202</w:t>
      </w:r>
      <w:r>
        <w:rPr>
          <w:rFonts w:ascii="Times New Roman" w:hAnsi="Times New Roman" w:cs="Times New Roman"/>
          <w:sz w:val="24"/>
          <w:szCs w:val="24"/>
        </w:rPr>
        <w:t>0</w:t>
      </w:r>
      <w:r w:rsidRPr="00DD1694">
        <w:rPr>
          <w:rFonts w:ascii="Times New Roman" w:hAnsi="Times New Roman" w:cs="Times New Roman"/>
          <w:sz w:val="24"/>
          <w:szCs w:val="24"/>
        </w:rPr>
        <w:t>)</w:t>
      </w:r>
      <w:r>
        <w:rPr>
          <w:rFonts w:ascii="Times New Roman" w:hAnsi="Times New Roman" w:cs="Times New Roman"/>
          <w:sz w:val="24"/>
          <w:szCs w:val="24"/>
        </w:rPr>
        <w:t>.</w:t>
      </w:r>
      <w:r w:rsidRPr="00DD1694">
        <w:rPr>
          <w:rFonts w:ascii="Times New Roman" w:hAnsi="Times New Roman" w:cs="Times New Roman"/>
          <w:sz w:val="24"/>
          <w:szCs w:val="24"/>
        </w:rPr>
        <w:t xml:space="preserve"> </w:t>
      </w:r>
      <w:r w:rsidRPr="0025626B">
        <w:rPr>
          <w:rFonts w:ascii="Times New Roman" w:hAnsi="Times New Roman" w:cs="Times New Roman"/>
          <w:sz w:val="24"/>
          <w:szCs w:val="24"/>
        </w:rPr>
        <w:t>Due to the retrospective nature of the study and the use of de-identified data, the need for informed consent was waived by the Ethics Committee</w:t>
      </w:r>
      <w:r w:rsidRPr="0006705D">
        <w:rPr>
          <w:rFonts w:ascii="Times New Roman" w:hAnsi="Times New Roman" w:cs="Times New Roman"/>
          <w:sz w:val="24"/>
          <w:szCs w:val="24"/>
        </w:rPr>
        <w:t>.</w:t>
      </w:r>
      <w:r>
        <w:rPr>
          <w:rFonts w:ascii="Times New Roman" w:hAnsi="Times New Roman" w:cs="Times New Roman"/>
          <w:sz w:val="24"/>
          <w:szCs w:val="24"/>
        </w:rPr>
        <w:t xml:space="preserve"> </w:t>
      </w:r>
      <w:r w:rsidRPr="0006705D">
        <w:rPr>
          <w:rFonts w:ascii="Times New Roman" w:hAnsi="Times New Roman" w:cs="Times New Roman"/>
          <w:sz w:val="24"/>
          <w:szCs w:val="24"/>
        </w:rPr>
        <w:t>All extracted data were anonymized and handled with strict confidentiality, used exclusively for research purposes, and stored securely to protect patient privacy</w:t>
      </w:r>
      <w:r w:rsidRPr="00DD1694">
        <w:rPr>
          <w:rFonts w:ascii="Times New Roman" w:hAnsi="Times New Roman" w:cs="Times New Roman"/>
          <w:sz w:val="24"/>
          <w:szCs w:val="24"/>
        </w:rPr>
        <w:t>.</w:t>
      </w:r>
    </w:p>
    <w:p w14:paraId="4F49631A" w14:textId="77777777" w:rsidR="00397519" w:rsidRPr="00397519" w:rsidRDefault="00397519" w:rsidP="00397519">
      <w:pPr>
        <w:spacing w:after="0" w:line="480" w:lineRule="auto"/>
        <w:contextualSpacing/>
        <w:jc w:val="both"/>
        <w:rPr>
          <w:rFonts w:ascii="Times New Roman" w:hAnsi="Times New Roman" w:cs="Times New Roman"/>
          <w:b/>
          <w:bCs/>
          <w:sz w:val="24"/>
          <w:szCs w:val="24"/>
        </w:rPr>
      </w:pPr>
      <w:r w:rsidRPr="00397519">
        <w:rPr>
          <w:rFonts w:ascii="Times New Roman" w:hAnsi="Times New Roman" w:cs="Times New Roman"/>
          <w:b/>
          <w:bCs/>
          <w:sz w:val="24"/>
          <w:szCs w:val="24"/>
        </w:rPr>
        <w:t>3. Results</w:t>
      </w:r>
    </w:p>
    <w:p w14:paraId="008BF70F" w14:textId="77777777" w:rsidR="00397519" w:rsidRPr="00397519" w:rsidRDefault="00397519" w:rsidP="00397519">
      <w:pPr>
        <w:spacing w:after="0" w:line="480" w:lineRule="auto"/>
        <w:contextualSpacing/>
        <w:jc w:val="both"/>
        <w:rPr>
          <w:rFonts w:ascii="Times New Roman" w:hAnsi="Times New Roman" w:cs="Times New Roman"/>
          <w:b/>
          <w:bCs/>
          <w:sz w:val="24"/>
          <w:szCs w:val="24"/>
        </w:rPr>
      </w:pPr>
      <w:r w:rsidRPr="00397519">
        <w:rPr>
          <w:rFonts w:ascii="Times New Roman" w:hAnsi="Times New Roman" w:cs="Times New Roman"/>
          <w:b/>
          <w:bCs/>
          <w:sz w:val="24"/>
          <w:szCs w:val="24"/>
        </w:rPr>
        <w:t>3.1. Demographics and baseline characteristics</w:t>
      </w:r>
    </w:p>
    <w:p w14:paraId="749E7B17" w14:textId="4CD1360E" w:rsidR="00DA14D4" w:rsidRDefault="00397519" w:rsidP="00DA14D4">
      <w:pPr>
        <w:spacing w:after="0" w:line="480" w:lineRule="auto"/>
        <w:ind w:firstLine="720"/>
        <w:contextualSpacing/>
        <w:jc w:val="both"/>
        <w:rPr>
          <w:rFonts w:ascii="Times New Roman" w:hAnsi="Times New Roman" w:cs="Times New Roman"/>
          <w:sz w:val="24"/>
          <w:szCs w:val="24"/>
        </w:rPr>
      </w:pPr>
      <w:r w:rsidRPr="00397519">
        <w:rPr>
          <w:rFonts w:ascii="Times New Roman" w:hAnsi="Times New Roman" w:cs="Times New Roman"/>
          <w:sz w:val="24"/>
          <w:szCs w:val="24"/>
        </w:rPr>
        <w:t>Of the 84 patients included, 57 (67.9 %) were male</w:t>
      </w:r>
      <w:r>
        <w:rPr>
          <w:rFonts w:ascii="Times New Roman" w:hAnsi="Times New Roman" w:cs="Times New Roman"/>
          <w:sz w:val="24"/>
          <w:szCs w:val="24"/>
        </w:rPr>
        <w:t>s</w:t>
      </w:r>
      <w:r w:rsidRPr="00397519">
        <w:rPr>
          <w:rFonts w:ascii="Times New Roman" w:hAnsi="Times New Roman" w:cs="Times New Roman"/>
          <w:sz w:val="24"/>
          <w:szCs w:val="24"/>
        </w:rPr>
        <w:t xml:space="preserve"> and 27 (32.1 %) females. </w:t>
      </w:r>
      <w:r>
        <w:rPr>
          <w:rFonts w:ascii="Times New Roman" w:hAnsi="Times New Roman" w:cs="Times New Roman"/>
          <w:sz w:val="24"/>
          <w:szCs w:val="24"/>
        </w:rPr>
        <w:t>Regarding the a</w:t>
      </w:r>
      <w:r w:rsidRPr="00397519">
        <w:rPr>
          <w:rFonts w:ascii="Times New Roman" w:hAnsi="Times New Roman" w:cs="Times New Roman"/>
          <w:sz w:val="24"/>
          <w:szCs w:val="24"/>
        </w:rPr>
        <w:t>ge distribution</w:t>
      </w:r>
      <w:r>
        <w:rPr>
          <w:rFonts w:ascii="Times New Roman" w:hAnsi="Times New Roman" w:cs="Times New Roman"/>
          <w:sz w:val="24"/>
          <w:szCs w:val="24"/>
        </w:rPr>
        <w:t>,</w:t>
      </w:r>
      <w:r w:rsidRPr="00397519">
        <w:rPr>
          <w:rFonts w:ascii="Times New Roman" w:hAnsi="Times New Roman" w:cs="Times New Roman"/>
          <w:sz w:val="24"/>
          <w:szCs w:val="24"/>
        </w:rPr>
        <w:t xml:space="preserve"> 41 (48.8 %) </w:t>
      </w:r>
      <w:r>
        <w:rPr>
          <w:rFonts w:ascii="Times New Roman" w:hAnsi="Times New Roman" w:cs="Times New Roman"/>
          <w:sz w:val="24"/>
          <w:szCs w:val="24"/>
        </w:rPr>
        <w:t xml:space="preserve">of them were </w:t>
      </w:r>
      <w:r w:rsidRPr="00397519">
        <w:rPr>
          <w:rFonts w:ascii="Times New Roman" w:hAnsi="Times New Roman" w:cs="Times New Roman"/>
          <w:sz w:val="24"/>
          <w:szCs w:val="24"/>
        </w:rPr>
        <w:t>aged 18-30 y</w:t>
      </w:r>
      <w:r>
        <w:rPr>
          <w:rFonts w:ascii="Times New Roman" w:hAnsi="Times New Roman" w:cs="Times New Roman"/>
          <w:sz w:val="24"/>
          <w:szCs w:val="24"/>
        </w:rPr>
        <w:t>ear</w:t>
      </w:r>
      <w:r w:rsidRPr="00397519">
        <w:rPr>
          <w:rFonts w:ascii="Times New Roman" w:hAnsi="Times New Roman" w:cs="Times New Roman"/>
          <w:sz w:val="24"/>
          <w:szCs w:val="24"/>
        </w:rPr>
        <w:t xml:space="preserve">s, </w:t>
      </w:r>
      <w:r>
        <w:rPr>
          <w:rFonts w:ascii="Times New Roman" w:hAnsi="Times New Roman" w:cs="Times New Roman"/>
          <w:sz w:val="24"/>
          <w:szCs w:val="24"/>
        </w:rPr>
        <w:t xml:space="preserve">and </w:t>
      </w:r>
      <w:r w:rsidRPr="00397519">
        <w:rPr>
          <w:rFonts w:ascii="Times New Roman" w:hAnsi="Times New Roman" w:cs="Times New Roman"/>
          <w:sz w:val="24"/>
          <w:szCs w:val="24"/>
        </w:rPr>
        <w:t>28 (33.3</w:t>
      </w:r>
      <w:r>
        <w:rPr>
          <w:rFonts w:ascii="Times New Roman" w:hAnsi="Times New Roman" w:cs="Times New Roman"/>
          <w:sz w:val="24"/>
          <w:szCs w:val="24"/>
        </w:rPr>
        <w:t xml:space="preserve"> </w:t>
      </w:r>
      <w:r w:rsidRPr="00397519">
        <w:rPr>
          <w:rFonts w:ascii="Times New Roman" w:hAnsi="Times New Roman" w:cs="Times New Roman"/>
          <w:sz w:val="24"/>
          <w:szCs w:val="24"/>
        </w:rPr>
        <w:t xml:space="preserve">%) </w:t>
      </w:r>
      <w:r>
        <w:rPr>
          <w:rFonts w:ascii="Times New Roman" w:hAnsi="Times New Roman" w:cs="Times New Roman"/>
          <w:sz w:val="24"/>
          <w:szCs w:val="24"/>
        </w:rPr>
        <w:t xml:space="preserve">of them were </w:t>
      </w:r>
      <w:r w:rsidRPr="00397519">
        <w:rPr>
          <w:rFonts w:ascii="Times New Roman" w:hAnsi="Times New Roman" w:cs="Times New Roman"/>
          <w:sz w:val="24"/>
          <w:szCs w:val="24"/>
        </w:rPr>
        <w:t>aged 31-50 y</w:t>
      </w:r>
      <w:r>
        <w:rPr>
          <w:rFonts w:ascii="Times New Roman" w:hAnsi="Times New Roman" w:cs="Times New Roman"/>
          <w:sz w:val="24"/>
          <w:szCs w:val="24"/>
        </w:rPr>
        <w:t>ear</w:t>
      </w:r>
      <w:r w:rsidRPr="00397519">
        <w:rPr>
          <w:rFonts w:ascii="Times New Roman" w:hAnsi="Times New Roman" w:cs="Times New Roman"/>
          <w:sz w:val="24"/>
          <w:szCs w:val="24"/>
        </w:rPr>
        <w:t>s</w:t>
      </w:r>
      <w:r>
        <w:rPr>
          <w:rFonts w:ascii="Times New Roman" w:hAnsi="Times New Roman" w:cs="Times New Roman"/>
          <w:sz w:val="24"/>
          <w:szCs w:val="24"/>
        </w:rPr>
        <w:t xml:space="preserve">. </w:t>
      </w:r>
      <w:r w:rsidRPr="00397519">
        <w:rPr>
          <w:rFonts w:ascii="Times New Roman" w:hAnsi="Times New Roman" w:cs="Times New Roman"/>
          <w:sz w:val="24"/>
          <w:szCs w:val="24"/>
        </w:rPr>
        <w:t>Among the total population, 75 (89</w:t>
      </w:r>
      <w:r w:rsidR="00DA14D4">
        <w:rPr>
          <w:rFonts w:ascii="Times New Roman" w:hAnsi="Times New Roman" w:cs="Times New Roman"/>
          <w:sz w:val="24"/>
          <w:szCs w:val="24"/>
        </w:rPr>
        <w:t>.2</w:t>
      </w:r>
      <w:r w:rsidRPr="00397519">
        <w:rPr>
          <w:rFonts w:ascii="Times New Roman" w:hAnsi="Times New Roman" w:cs="Times New Roman"/>
          <w:sz w:val="24"/>
          <w:szCs w:val="24"/>
        </w:rPr>
        <w:t xml:space="preserve">%) identified as Sudanese, while </w:t>
      </w:r>
      <w:r>
        <w:rPr>
          <w:rFonts w:ascii="Times New Roman" w:hAnsi="Times New Roman" w:cs="Times New Roman"/>
          <w:sz w:val="24"/>
          <w:szCs w:val="24"/>
        </w:rPr>
        <w:t xml:space="preserve">9 </w:t>
      </w:r>
      <w:r w:rsidRPr="00397519">
        <w:rPr>
          <w:rFonts w:ascii="Times New Roman" w:hAnsi="Times New Roman" w:cs="Times New Roman"/>
          <w:sz w:val="24"/>
          <w:szCs w:val="24"/>
        </w:rPr>
        <w:t>(1</w:t>
      </w:r>
      <w:r w:rsidR="00DA14D4">
        <w:rPr>
          <w:rFonts w:ascii="Times New Roman" w:hAnsi="Times New Roman" w:cs="Times New Roman"/>
          <w:sz w:val="24"/>
          <w:szCs w:val="24"/>
        </w:rPr>
        <w:t>0.8</w:t>
      </w:r>
      <w:r w:rsidRPr="00397519">
        <w:rPr>
          <w:rFonts w:ascii="Times New Roman" w:hAnsi="Times New Roman" w:cs="Times New Roman"/>
          <w:sz w:val="24"/>
          <w:szCs w:val="24"/>
        </w:rPr>
        <w:t xml:space="preserve">%) </w:t>
      </w:r>
      <w:r w:rsidRPr="00397519">
        <w:rPr>
          <w:rFonts w:ascii="Times New Roman" w:hAnsi="Times New Roman" w:cs="Times New Roman"/>
          <w:sz w:val="24"/>
          <w:szCs w:val="24"/>
        </w:rPr>
        <w:lastRenderedPageBreak/>
        <w:t xml:space="preserve">were non-Sudanese. </w:t>
      </w:r>
      <w:r>
        <w:rPr>
          <w:rFonts w:ascii="Times New Roman" w:hAnsi="Times New Roman" w:cs="Times New Roman"/>
          <w:sz w:val="24"/>
          <w:szCs w:val="24"/>
        </w:rPr>
        <w:t>Most</w:t>
      </w:r>
      <w:r w:rsidRPr="00397519">
        <w:rPr>
          <w:rFonts w:ascii="Times New Roman" w:hAnsi="Times New Roman" w:cs="Times New Roman"/>
          <w:sz w:val="24"/>
          <w:szCs w:val="24"/>
        </w:rPr>
        <w:t xml:space="preserve"> of the patients in this study were categorized as underweight, comprising (58</w:t>
      </w:r>
      <w:r w:rsidR="00DA14D4">
        <w:rPr>
          <w:rFonts w:ascii="Times New Roman" w:hAnsi="Times New Roman" w:cs="Times New Roman"/>
          <w:sz w:val="24"/>
          <w:szCs w:val="24"/>
        </w:rPr>
        <w:t>.3</w:t>
      </w:r>
      <w:r w:rsidRPr="00397519">
        <w:rPr>
          <w:rFonts w:ascii="Times New Roman" w:hAnsi="Times New Roman" w:cs="Times New Roman"/>
          <w:sz w:val="24"/>
          <w:szCs w:val="24"/>
        </w:rPr>
        <w:t>%</w:t>
      </w:r>
      <w:r>
        <w:rPr>
          <w:rFonts w:ascii="Times New Roman" w:hAnsi="Times New Roman" w:cs="Times New Roman"/>
          <w:sz w:val="24"/>
          <w:szCs w:val="24"/>
        </w:rPr>
        <w:t>, n=</w:t>
      </w:r>
      <w:r w:rsidR="00DA14D4">
        <w:rPr>
          <w:rFonts w:ascii="Times New Roman" w:hAnsi="Times New Roman" w:cs="Times New Roman"/>
          <w:sz w:val="24"/>
          <w:szCs w:val="24"/>
        </w:rPr>
        <w:t>4</w:t>
      </w:r>
      <w:r>
        <w:rPr>
          <w:rFonts w:ascii="Times New Roman" w:hAnsi="Times New Roman" w:cs="Times New Roman"/>
          <w:sz w:val="24"/>
          <w:szCs w:val="24"/>
        </w:rPr>
        <w:t>9</w:t>
      </w:r>
      <w:r w:rsidRPr="00397519">
        <w:rPr>
          <w:rFonts w:ascii="Times New Roman" w:hAnsi="Times New Roman" w:cs="Times New Roman"/>
          <w:sz w:val="24"/>
          <w:szCs w:val="24"/>
        </w:rPr>
        <w:t>) of the total. In regard to joint pain</w:t>
      </w:r>
      <w:r>
        <w:rPr>
          <w:rFonts w:ascii="Times New Roman" w:hAnsi="Times New Roman" w:cs="Times New Roman"/>
          <w:sz w:val="24"/>
          <w:szCs w:val="24"/>
        </w:rPr>
        <w:t>, t</w:t>
      </w:r>
      <w:r w:rsidRPr="00397519">
        <w:rPr>
          <w:rFonts w:ascii="Times New Roman" w:hAnsi="Times New Roman" w:cs="Times New Roman"/>
          <w:sz w:val="24"/>
          <w:szCs w:val="24"/>
        </w:rPr>
        <w:t>he feet joints were identified as the most affected organs, representing (42.8%)</w:t>
      </w:r>
      <w:r>
        <w:rPr>
          <w:rFonts w:ascii="Times New Roman" w:hAnsi="Times New Roman" w:cs="Times New Roman"/>
          <w:sz w:val="24"/>
          <w:szCs w:val="24"/>
        </w:rPr>
        <w:t xml:space="preserve">, followed by </w:t>
      </w:r>
      <w:r w:rsidRPr="00397519">
        <w:rPr>
          <w:rFonts w:ascii="Times New Roman" w:hAnsi="Times New Roman" w:cs="Times New Roman"/>
          <w:sz w:val="24"/>
          <w:szCs w:val="24"/>
        </w:rPr>
        <w:t>30 Multiple join (35.71%)</w:t>
      </w:r>
      <w:r>
        <w:rPr>
          <w:rFonts w:ascii="Times New Roman" w:hAnsi="Times New Roman" w:cs="Times New Roman"/>
          <w:sz w:val="24"/>
          <w:szCs w:val="24"/>
        </w:rPr>
        <w:t>.</w:t>
      </w:r>
    </w:p>
    <w:p w14:paraId="412D22BD" w14:textId="4E916A0F" w:rsidR="00DA14D4" w:rsidRDefault="00DA14D4" w:rsidP="00DA14D4">
      <w:pPr>
        <w:spacing w:after="0" w:line="480" w:lineRule="auto"/>
        <w:contextualSpacing/>
        <w:jc w:val="both"/>
        <w:rPr>
          <w:rFonts w:ascii="Times New Roman" w:hAnsi="Times New Roman" w:cs="Times New Roman"/>
          <w:sz w:val="24"/>
          <w:szCs w:val="24"/>
        </w:rPr>
      </w:pPr>
      <w:r w:rsidRPr="00DA14D4">
        <w:rPr>
          <w:rFonts w:ascii="Times New Roman" w:hAnsi="Times New Roman" w:cs="Times New Roman"/>
          <w:b/>
          <w:bCs/>
          <w:sz w:val="24"/>
          <w:szCs w:val="24"/>
        </w:rPr>
        <w:t>Table 1.</w:t>
      </w:r>
      <w:r>
        <w:rPr>
          <w:rFonts w:ascii="Times New Roman" w:hAnsi="Times New Roman" w:cs="Times New Roman"/>
          <w:sz w:val="24"/>
          <w:szCs w:val="24"/>
        </w:rPr>
        <w:t xml:space="preserve"> Socio-d</w:t>
      </w:r>
      <w:r w:rsidRPr="001A6201">
        <w:rPr>
          <w:rFonts w:ascii="Times New Roman" w:hAnsi="Times New Roman" w:cs="Times New Roman"/>
          <w:sz w:val="24"/>
          <w:szCs w:val="24"/>
        </w:rPr>
        <w:t xml:space="preserve">emographics </w:t>
      </w:r>
      <w:r>
        <w:rPr>
          <w:rFonts w:ascii="Times New Roman" w:hAnsi="Times New Roman" w:cs="Times New Roman"/>
          <w:sz w:val="24"/>
          <w:szCs w:val="24"/>
        </w:rPr>
        <w:t>c</w:t>
      </w:r>
      <w:r w:rsidRPr="001A6201">
        <w:rPr>
          <w:rFonts w:ascii="Times New Roman" w:hAnsi="Times New Roman" w:cs="Times New Roman"/>
          <w:sz w:val="24"/>
          <w:szCs w:val="24"/>
        </w:rPr>
        <w:t xml:space="preserve">haracteristics of </w:t>
      </w:r>
      <w:r w:rsidR="00DB79DA">
        <w:rPr>
          <w:rFonts w:ascii="Times New Roman" w:hAnsi="Times New Roman" w:cs="Times New Roman"/>
          <w:sz w:val="24"/>
          <w:szCs w:val="24"/>
        </w:rPr>
        <w:t xml:space="preserve">included </w:t>
      </w:r>
      <w:r w:rsidR="00DB79DA" w:rsidRPr="002F28DD">
        <w:rPr>
          <w:rFonts w:ascii="Times New Roman" w:eastAsia="Times New Roman" w:hAnsi="Times New Roman" w:cs="Times New Roman"/>
          <w:sz w:val="24"/>
          <w:szCs w:val="24"/>
        </w:rPr>
        <w:t xml:space="preserve">MDR-TB </w:t>
      </w:r>
      <w:r w:rsidR="00DB79DA" w:rsidRPr="00DB79DA">
        <w:rPr>
          <w:rFonts w:ascii="Times New Roman" w:hAnsi="Times New Roman" w:cs="Times New Roman"/>
          <w:sz w:val="24"/>
          <w:szCs w:val="24"/>
        </w:rPr>
        <w:t>patients</w:t>
      </w:r>
      <w:r w:rsidR="00DB79DA">
        <w:rPr>
          <w:rFonts w:ascii="Times New Roman" w:hAnsi="Times New Roman" w:cs="Times New Roman"/>
          <w:sz w:val="24"/>
          <w:szCs w:val="24"/>
        </w:rPr>
        <w:t xml:space="preserve"> (n= 84)</w:t>
      </w:r>
    </w:p>
    <w:tbl>
      <w:tblPr>
        <w:tblStyle w:val="TableGrid"/>
        <w:tblW w:w="9265" w:type="dxa"/>
        <w:tblLook w:val="04A0" w:firstRow="1" w:lastRow="0" w:firstColumn="1" w:lastColumn="0" w:noHBand="0" w:noVBand="1"/>
      </w:tblPr>
      <w:tblGrid>
        <w:gridCol w:w="2425"/>
        <w:gridCol w:w="2790"/>
        <w:gridCol w:w="1890"/>
        <w:gridCol w:w="2160"/>
      </w:tblGrid>
      <w:tr w:rsidR="00DA14D4" w14:paraId="44BE7CC2" w14:textId="77777777" w:rsidTr="00DA14D4">
        <w:tc>
          <w:tcPr>
            <w:tcW w:w="2425" w:type="dxa"/>
          </w:tcPr>
          <w:p w14:paraId="657C9DF3" w14:textId="1D18332B" w:rsidR="00DA14D4" w:rsidRDefault="00DA14D4" w:rsidP="00DA14D4">
            <w:pPr>
              <w:contextualSpacing/>
              <w:jc w:val="both"/>
              <w:rPr>
                <w:sz w:val="24"/>
                <w:szCs w:val="24"/>
              </w:rPr>
            </w:pPr>
            <w:r w:rsidRPr="00DA14D4">
              <w:rPr>
                <w:b/>
                <w:bCs/>
                <w:sz w:val="24"/>
                <w:szCs w:val="24"/>
                <w:lang w:val="en-US" w:bidi="ar-QA"/>
              </w:rPr>
              <w:t>Category</w:t>
            </w:r>
          </w:p>
        </w:tc>
        <w:tc>
          <w:tcPr>
            <w:tcW w:w="2790" w:type="dxa"/>
          </w:tcPr>
          <w:p w14:paraId="679E12B3" w14:textId="42F0D1B8" w:rsidR="00DA14D4" w:rsidRDefault="00DA14D4" w:rsidP="00DA14D4">
            <w:pPr>
              <w:contextualSpacing/>
              <w:jc w:val="both"/>
              <w:rPr>
                <w:sz w:val="24"/>
                <w:szCs w:val="24"/>
              </w:rPr>
            </w:pPr>
            <w:r w:rsidRPr="00DA14D4">
              <w:rPr>
                <w:b/>
                <w:bCs/>
                <w:sz w:val="24"/>
                <w:szCs w:val="24"/>
                <w:lang w:val="en-US" w:bidi="ar-QA"/>
              </w:rPr>
              <w:t>Items</w:t>
            </w:r>
          </w:p>
        </w:tc>
        <w:tc>
          <w:tcPr>
            <w:tcW w:w="1890" w:type="dxa"/>
          </w:tcPr>
          <w:p w14:paraId="73BCDD2C" w14:textId="685E5660" w:rsidR="00DA14D4" w:rsidRDefault="00DA14D4" w:rsidP="00DA14D4">
            <w:pPr>
              <w:contextualSpacing/>
              <w:jc w:val="center"/>
              <w:rPr>
                <w:sz w:val="24"/>
                <w:szCs w:val="24"/>
              </w:rPr>
            </w:pPr>
            <w:r w:rsidRPr="00DA14D4">
              <w:rPr>
                <w:b/>
                <w:bCs/>
                <w:sz w:val="24"/>
                <w:szCs w:val="24"/>
                <w:lang w:val="en-US" w:bidi="ar-QA"/>
              </w:rPr>
              <w:t>Number</w:t>
            </w:r>
          </w:p>
        </w:tc>
        <w:tc>
          <w:tcPr>
            <w:tcW w:w="2160" w:type="dxa"/>
          </w:tcPr>
          <w:p w14:paraId="7A837B67" w14:textId="70CBDE0B" w:rsidR="00DA14D4" w:rsidRDefault="00DA14D4" w:rsidP="00DA14D4">
            <w:pPr>
              <w:contextualSpacing/>
              <w:jc w:val="center"/>
              <w:rPr>
                <w:sz w:val="24"/>
                <w:szCs w:val="24"/>
              </w:rPr>
            </w:pPr>
            <w:r w:rsidRPr="00DA14D4">
              <w:rPr>
                <w:b/>
                <w:bCs/>
                <w:sz w:val="24"/>
                <w:szCs w:val="24"/>
                <w:lang w:val="en-US" w:bidi="ar-QA"/>
              </w:rPr>
              <w:t>Percentage</w:t>
            </w:r>
          </w:p>
        </w:tc>
      </w:tr>
      <w:tr w:rsidR="00DA14D4" w14:paraId="4F9667B2" w14:textId="77777777" w:rsidTr="00DA14D4">
        <w:tc>
          <w:tcPr>
            <w:tcW w:w="2425" w:type="dxa"/>
            <w:vMerge w:val="restart"/>
          </w:tcPr>
          <w:p w14:paraId="5AC50AF9" w14:textId="5CECBA77" w:rsidR="00DA14D4" w:rsidRPr="00DA14D4" w:rsidRDefault="00DA14D4" w:rsidP="00DA14D4">
            <w:pPr>
              <w:contextualSpacing/>
              <w:jc w:val="both"/>
              <w:rPr>
                <w:b/>
                <w:bCs/>
                <w:sz w:val="24"/>
                <w:szCs w:val="24"/>
              </w:rPr>
            </w:pPr>
            <w:r w:rsidRPr="00DA14D4">
              <w:rPr>
                <w:b/>
                <w:bCs/>
                <w:sz w:val="24"/>
                <w:szCs w:val="24"/>
              </w:rPr>
              <w:t>Gender</w:t>
            </w:r>
          </w:p>
        </w:tc>
        <w:tc>
          <w:tcPr>
            <w:tcW w:w="2790" w:type="dxa"/>
          </w:tcPr>
          <w:p w14:paraId="5DF7D599" w14:textId="2BAA66DF" w:rsidR="00DA14D4" w:rsidRDefault="00DA14D4" w:rsidP="00DA14D4">
            <w:pPr>
              <w:contextualSpacing/>
              <w:jc w:val="both"/>
              <w:rPr>
                <w:sz w:val="24"/>
                <w:szCs w:val="24"/>
              </w:rPr>
            </w:pPr>
            <w:r w:rsidRPr="00DA14D4">
              <w:rPr>
                <w:sz w:val="24"/>
                <w:szCs w:val="24"/>
                <w:lang w:val="en-US" w:bidi="ar-QA"/>
              </w:rPr>
              <w:t>Male</w:t>
            </w:r>
          </w:p>
        </w:tc>
        <w:tc>
          <w:tcPr>
            <w:tcW w:w="1890" w:type="dxa"/>
          </w:tcPr>
          <w:p w14:paraId="079A09C7" w14:textId="0624801D" w:rsidR="00DA14D4" w:rsidRDefault="00DA14D4" w:rsidP="00DA14D4">
            <w:pPr>
              <w:contextualSpacing/>
              <w:jc w:val="center"/>
              <w:rPr>
                <w:sz w:val="24"/>
                <w:szCs w:val="24"/>
              </w:rPr>
            </w:pPr>
            <w:r w:rsidRPr="00DA14D4">
              <w:rPr>
                <w:sz w:val="24"/>
                <w:szCs w:val="24"/>
                <w:lang w:val="en-US" w:bidi="ar-QA"/>
              </w:rPr>
              <w:t>57</w:t>
            </w:r>
          </w:p>
        </w:tc>
        <w:tc>
          <w:tcPr>
            <w:tcW w:w="2160" w:type="dxa"/>
          </w:tcPr>
          <w:p w14:paraId="31DE6F76" w14:textId="58124860" w:rsidR="00DA14D4" w:rsidRDefault="00DA14D4" w:rsidP="00DA14D4">
            <w:pPr>
              <w:contextualSpacing/>
              <w:jc w:val="center"/>
              <w:rPr>
                <w:sz w:val="24"/>
                <w:szCs w:val="24"/>
              </w:rPr>
            </w:pPr>
            <w:r w:rsidRPr="00DA14D4">
              <w:rPr>
                <w:sz w:val="24"/>
                <w:szCs w:val="24"/>
              </w:rPr>
              <w:t>67</w:t>
            </w:r>
            <w:r w:rsidRPr="00DA14D4">
              <w:rPr>
                <w:sz w:val="24"/>
                <w:szCs w:val="24"/>
                <w:lang w:val="en-US"/>
              </w:rPr>
              <w:t>.86</w:t>
            </w:r>
            <w:r w:rsidRPr="00DA14D4">
              <w:rPr>
                <w:sz w:val="24"/>
                <w:szCs w:val="24"/>
              </w:rPr>
              <w:t xml:space="preserve"> %</w:t>
            </w:r>
          </w:p>
        </w:tc>
      </w:tr>
      <w:tr w:rsidR="00DA14D4" w14:paraId="2EB0020F" w14:textId="77777777" w:rsidTr="00DA14D4">
        <w:tc>
          <w:tcPr>
            <w:tcW w:w="2425" w:type="dxa"/>
            <w:vMerge/>
          </w:tcPr>
          <w:p w14:paraId="5814FE9D" w14:textId="77777777" w:rsidR="00DA14D4" w:rsidRPr="00DA14D4" w:rsidRDefault="00DA14D4" w:rsidP="00DA14D4">
            <w:pPr>
              <w:contextualSpacing/>
              <w:jc w:val="both"/>
              <w:rPr>
                <w:b/>
                <w:bCs/>
                <w:sz w:val="24"/>
                <w:szCs w:val="24"/>
              </w:rPr>
            </w:pPr>
          </w:p>
        </w:tc>
        <w:tc>
          <w:tcPr>
            <w:tcW w:w="2790" w:type="dxa"/>
          </w:tcPr>
          <w:p w14:paraId="70D9B046" w14:textId="4339497C" w:rsidR="00DA14D4" w:rsidRDefault="00DA14D4" w:rsidP="00DA14D4">
            <w:pPr>
              <w:contextualSpacing/>
              <w:jc w:val="both"/>
              <w:rPr>
                <w:sz w:val="24"/>
                <w:szCs w:val="24"/>
              </w:rPr>
            </w:pPr>
            <w:r w:rsidRPr="00DA14D4">
              <w:rPr>
                <w:sz w:val="24"/>
                <w:szCs w:val="24"/>
                <w:lang w:val="en-US" w:bidi="ar-QA"/>
              </w:rPr>
              <w:t>Female</w:t>
            </w:r>
          </w:p>
        </w:tc>
        <w:tc>
          <w:tcPr>
            <w:tcW w:w="1890" w:type="dxa"/>
          </w:tcPr>
          <w:p w14:paraId="2FFC643B" w14:textId="415386D7" w:rsidR="00DA14D4" w:rsidRDefault="00DA14D4" w:rsidP="00DA14D4">
            <w:pPr>
              <w:contextualSpacing/>
              <w:jc w:val="center"/>
              <w:rPr>
                <w:sz w:val="24"/>
                <w:szCs w:val="24"/>
              </w:rPr>
            </w:pPr>
            <w:r w:rsidRPr="00DA14D4">
              <w:rPr>
                <w:sz w:val="24"/>
                <w:szCs w:val="24"/>
                <w:lang w:val="en-US" w:bidi="ar-QA"/>
              </w:rPr>
              <w:t>27</w:t>
            </w:r>
          </w:p>
        </w:tc>
        <w:tc>
          <w:tcPr>
            <w:tcW w:w="2160" w:type="dxa"/>
          </w:tcPr>
          <w:p w14:paraId="2E385E3B" w14:textId="506F78CB" w:rsidR="00DA14D4" w:rsidRDefault="00DA14D4" w:rsidP="00DA14D4">
            <w:pPr>
              <w:contextualSpacing/>
              <w:jc w:val="center"/>
              <w:rPr>
                <w:sz w:val="24"/>
                <w:szCs w:val="24"/>
              </w:rPr>
            </w:pPr>
            <w:r w:rsidRPr="00DA14D4">
              <w:rPr>
                <w:sz w:val="24"/>
                <w:szCs w:val="24"/>
              </w:rPr>
              <w:t>32</w:t>
            </w:r>
            <w:r w:rsidRPr="00DA14D4">
              <w:rPr>
                <w:sz w:val="24"/>
                <w:szCs w:val="24"/>
                <w:lang w:val="en-US"/>
              </w:rPr>
              <w:t>.14</w:t>
            </w:r>
            <w:r w:rsidRPr="00DA14D4">
              <w:rPr>
                <w:sz w:val="24"/>
                <w:szCs w:val="24"/>
              </w:rPr>
              <w:t>%</w:t>
            </w:r>
          </w:p>
        </w:tc>
      </w:tr>
      <w:tr w:rsidR="00DA14D4" w14:paraId="467E9484" w14:textId="77777777" w:rsidTr="00DA14D4">
        <w:tc>
          <w:tcPr>
            <w:tcW w:w="2425" w:type="dxa"/>
            <w:vMerge w:val="restart"/>
          </w:tcPr>
          <w:p w14:paraId="314BC8E0" w14:textId="0F64A1F5" w:rsidR="00DA14D4" w:rsidRPr="00DA14D4" w:rsidRDefault="00DA14D4" w:rsidP="00DA14D4">
            <w:pPr>
              <w:contextualSpacing/>
              <w:jc w:val="both"/>
              <w:rPr>
                <w:b/>
                <w:bCs/>
                <w:sz w:val="24"/>
                <w:szCs w:val="24"/>
              </w:rPr>
            </w:pPr>
            <w:r w:rsidRPr="00DA14D4">
              <w:rPr>
                <w:b/>
                <w:bCs/>
                <w:sz w:val="24"/>
                <w:szCs w:val="24"/>
              </w:rPr>
              <w:t>Age (Years)</w:t>
            </w:r>
          </w:p>
        </w:tc>
        <w:tc>
          <w:tcPr>
            <w:tcW w:w="2790" w:type="dxa"/>
          </w:tcPr>
          <w:p w14:paraId="11BA8A28" w14:textId="07C4F709" w:rsidR="00DA14D4" w:rsidRDefault="00DA14D4" w:rsidP="00DA14D4">
            <w:pPr>
              <w:contextualSpacing/>
              <w:jc w:val="both"/>
              <w:rPr>
                <w:sz w:val="24"/>
                <w:szCs w:val="24"/>
              </w:rPr>
            </w:pPr>
            <w:r w:rsidRPr="00DA14D4">
              <w:rPr>
                <w:sz w:val="24"/>
                <w:szCs w:val="24"/>
                <w:lang w:val="en-US" w:bidi="ar-QA"/>
              </w:rPr>
              <w:t>18 - 30</w:t>
            </w:r>
          </w:p>
        </w:tc>
        <w:tc>
          <w:tcPr>
            <w:tcW w:w="1890" w:type="dxa"/>
          </w:tcPr>
          <w:p w14:paraId="49EC7836" w14:textId="3C68C9B0" w:rsidR="00DA14D4" w:rsidRDefault="00DA14D4" w:rsidP="00DA14D4">
            <w:pPr>
              <w:contextualSpacing/>
              <w:jc w:val="center"/>
              <w:rPr>
                <w:sz w:val="24"/>
                <w:szCs w:val="24"/>
              </w:rPr>
            </w:pPr>
            <w:r w:rsidRPr="00DA14D4">
              <w:rPr>
                <w:sz w:val="24"/>
                <w:szCs w:val="24"/>
                <w:lang w:val="en-US" w:bidi="ar-QA"/>
              </w:rPr>
              <w:t>41</w:t>
            </w:r>
          </w:p>
        </w:tc>
        <w:tc>
          <w:tcPr>
            <w:tcW w:w="2160" w:type="dxa"/>
          </w:tcPr>
          <w:p w14:paraId="2F154195" w14:textId="5F79EF7E" w:rsidR="00DA14D4" w:rsidRDefault="00DA14D4" w:rsidP="00DA14D4">
            <w:pPr>
              <w:contextualSpacing/>
              <w:jc w:val="center"/>
              <w:rPr>
                <w:sz w:val="24"/>
                <w:szCs w:val="24"/>
              </w:rPr>
            </w:pPr>
            <w:r w:rsidRPr="00DA14D4">
              <w:rPr>
                <w:sz w:val="24"/>
                <w:szCs w:val="24"/>
                <w:lang w:val="en-US" w:bidi="ar-QA"/>
              </w:rPr>
              <w:t>48.81 %</w:t>
            </w:r>
          </w:p>
        </w:tc>
      </w:tr>
      <w:tr w:rsidR="00DA14D4" w14:paraId="1B48D221" w14:textId="77777777" w:rsidTr="00DA14D4">
        <w:tc>
          <w:tcPr>
            <w:tcW w:w="2425" w:type="dxa"/>
            <w:vMerge/>
          </w:tcPr>
          <w:p w14:paraId="01147502" w14:textId="77777777" w:rsidR="00DA14D4" w:rsidRPr="00DA14D4" w:rsidRDefault="00DA14D4" w:rsidP="00DA14D4">
            <w:pPr>
              <w:contextualSpacing/>
              <w:jc w:val="both"/>
              <w:rPr>
                <w:b/>
                <w:bCs/>
                <w:sz w:val="24"/>
                <w:szCs w:val="24"/>
              </w:rPr>
            </w:pPr>
          </w:p>
        </w:tc>
        <w:tc>
          <w:tcPr>
            <w:tcW w:w="2790" w:type="dxa"/>
          </w:tcPr>
          <w:p w14:paraId="4FD5CB52" w14:textId="2A45D7B5" w:rsidR="00DA14D4" w:rsidRDefault="00DA14D4" w:rsidP="00DA14D4">
            <w:pPr>
              <w:contextualSpacing/>
              <w:jc w:val="both"/>
              <w:rPr>
                <w:sz w:val="24"/>
                <w:szCs w:val="24"/>
              </w:rPr>
            </w:pPr>
            <w:r w:rsidRPr="00DA14D4">
              <w:rPr>
                <w:sz w:val="24"/>
                <w:szCs w:val="24"/>
                <w:lang w:val="en-US" w:bidi="ar-QA"/>
              </w:rPr>
              <w:t>31 - 50</w:t>
            </w:r>
          </w:p>
        </w:tc>
        <w:tc>
          <w:tcPr>
            <w:tcW w:w="1890" w:type="dxa"/>
          </w:tcPr>
          <w:p w14:paraId="37432DCD" w14:textId="1B0E27C7" w:rsidR="00DA14D4" w:rsidRDefault="00DA14D4" w:rsidP="00DA14D4">
            <w:pPr>
              <w:contextualSpacing/>
              <w:jc w:val="center"/>
              <w:rPr>
                <w:sz w:val="24"/>
                <w:szCs w:val="24"/>
              </w:rPr>
            </w:pPr>
            <w:r w:rsidRPr="00DA14D4">
              <w:rPr>
                <w:sz w:val="24"/>
                <w:szCs w:val="24"/>
                <w:lang w:val="en-US" w:bidi="ar-QA"/>
              </w:rPr>
              <w:t>28</w:t>
            </w:r>
          </w:p>
        </w:tc>
        <w:tc>
          <w:tcPr>
            <w:tcW w:w="2160" w:type="dxa"/>
          </w:tcPr>
          <w:p w14:paraId="57BEB8FB" w14:textId="63E59641" w:rsidR="00DA14D4" w:rsidRDefault="00DA14D4" w:rsidP="00DA14D4">
            <w:pPr>
              <w:contextualSpacing/>
              <w:jc w:val="center"/>
              <w:rPr>
                <w:sz w:val="24"/>
                <w:szCs w:val="24"/>
              </w:rPr>
            </w:pPr>
            <w:r w:rsidRPr="00DA14D4">
              <w:rPr>
                <w:sz w:val="24"/>
                <w:szCs w:val="24"/>
                <w:lang w:val="en-US" w:bidi="ar-QA"/>
              </w:rPr>
              <w:t>33.33 %</w:t>
            </w:r>
          </w:p>
        </w:tc>
      </w:tr>
      <w:tr w:rsidR="00DA14D4" w14:paraId="7DE6FA06" w14:textId="77777777" w:rsidTr="00DA14D4">
        <w:tc>
          <w:tcPr>
            <w:tcW w:w="2425" w:type="dxa"/>
            <w:vMerge/>
          </w:tcPr>
          <w:p w14:paraId="53B1EF9D" w14:textId="77777777" w:rsidR="00DA14D4" w:rsidRPr="00DA14D4" w:rsidRDefault="00DA14D4" w:rsidP="00DA14D4">
            <w:pPr>
              <w:contextualSpacing/>
              <w:jc w:val="both"/>
              <w:rPr>
                <w:b/>
                <w:bCs/>
                <w:sz w:val="24"/>
                <w:szCs w:val="24"/>
              </w:rPr>
            </w:pPr>
          </w:p>
        </w:tc>
        <w:tc>
          <w:tcPr>
            <w:tcW w:w="2790" w:type="dxa"/>
          </w:tcPr>
          <w:p w14:paraId="2B8151A6" w14:textId="54710083" w:rsidR="00DA14D4" w:rsidRDefault="00DA14D4" w:rsidP="00DA14D4">
            <w:pPr>
              <w:contextualSpacing/>
              <w:jc w:val="both"/>
              <w:rPr>
                <w:sz w:val="24"/>
                <w:szCs w:val="24"/>
              </w:rPr>
            </w:pPr>
            <w:r w:rsidRPr="00DA14D4">
              <w:rPr>
                <w:sz w:val="24"/>
                <w:szCs w:val="24"/>
                <w:lang w:val="en-US" w:bidi="ar-QA"/>
              </w:rPr>
              <w:t>51 - 75</w:t>
            </w:r>
          </w:p>
        </w:tc>
        <w:tc>
          <w:tcPr>
            <w:tcW w:w="1890" w:type="dxa"/>
          </w:tcPr>
          <w:p w14:paraId="7F8D795F" w14:textId="0918B1AC" w:rsidR="00DA14D4" w:rsidRDefault="00DA14D4" w:rsidP="00DA14D4">
            <w:pPr>
              <w:contextualSpacing/>
              <w:jc w:val="center"/>
              <w:rPr>
                <w:sz w:val="24"/>
                <w:szCs w:val="24"/>
              </w:rPr>
            </w:pPr>
            <w:r w:rsidRPr="00DA14D4">
              <w:rPr>
                <w:sz w:val="24"/>
                <w:szCs w:val="24"/>
                <w:lang w:val="en-US" w:bidi="ar-QA"/>
              </w:rPr>
              <w:t>15</w:t>
            </w:r>
          </w:p>
        </w:tc>
        <w:tc>
          <w:tcPr>
            <w:tcW w:w="2160" w:type="dxa"/>
          </w:tcPr>
          <w:p w14:paraId="74B789F1" w14:textId="79C22183" w:rsidR="00DA14D4" w:rsidRDefault="00DA14D4" w:rsidP="00DA14D4">
            <w:pPr>
              <w:contextualSpacing/>
              <w:jc w:val="center"/>
              <w:rPr>
                <w:sz w:val="24"/>
                <w:szCs w:val="24"/>
              </w:rPr>
            </w:pPr>
            <w:r w:rsidRPr="00DA14D4">
              <w:rPr>
                <w:sz w:val="24"/>
                <w:szCs w:val="24"/>
                <w:lang w:val="en-US" w:bidi="ar-QA"/>
              </w:rPr>
              <w:t>17.86 %</w:t>
            </w:r>
          </w:p>
        </w:tc>
      </w:tr>
      <w:tr w:rsidR="00DA14D4" w14:paraId="30077791" w14:textId="77777777" w:rsidTr="00DA14D4">
        <w:tc>
          <w:tcPr>
            <w:tcW w:w="2425" w:type="dxa"/>
            <w:vMerge w:val="restart"/>
          </w:tcPr>
          <w:p w14:paraId="2112AB32" w14:textId="2B82AFC0" w:rsidR="00DA14D4" w:rsidRPr="00DA14D4" w:rsidRDefault="00DA14D4" w:rsidP="00DA14D4">
            <w:pPr>
              <w:contextualSpacing/>
              <w:jc w:val="both"/>
              <w:rPr>
                <w:b/>
                <w:bCs/>
                <w:sz w:val="24"/>
                <w:szCs w:val="24"/>
              </w:rPr>
            </w:pPr>
            <w:r w:rsidRPr="00DA14D4">
              <w:rPr>
                <w:b/>
                <w:bCs/>
                <w:sz w:val="24"/>
                <w:szCs w:val="24"/>
              </w:rPr>
              <w:t>Nationality</w:t>
            </w:r>
          </w:p>
        </w:tc>
        <w:tc>
          <w:tcPr>
            <w:tcW w:w="2790" w:type="dxa"/>
          </w:tcPr>
          <w:p w14:paraId="2187AA50" w14:textId="0E2D7F8E" w:rsidR="00DA14D4" w:rsidRDefault="00DA14D4" w:rsidP="00DA14D4">
            <w:pPr>
              <w:contextualSpacing/>
              <w:jc w:val="both"/>
              <w:rPr>
                <w:sz w:val="24"/>
                <w:szCs w:val="24"/>
              </w:rPr>
            </w:pPr>
            <w:r w:rsidRPr="00DA14D4">
              <w:rPr>
                <w:sz w:val="24"/>
                <w:szCs w:val="24"/>
                <w:lang w:bidi="ar-QA"/>
              </w:rPr>
              <w:t>Sudanese</w:t>
            </w:r>
          </w:p>
        </w:tc>
        <w:tc>
          <w:tcPr>
            <w:tcW w:w="1890" w:type="dxa"/>
          </w:tcPr>
          <w:p w14:paraId="5C6421FD" w14:textId="1364C5B0" w:rsidR="00DA14D4" w:rsidRDefault="00DA14D4" w:rsidP="00DA14D4">
            <w:pPr>
              <w:contextualSpacing/>
              <w:jc w:val="center"/>
              <w:rPr>
                <w:sz w:val="24"/>
                <w:szCs w:val="24"/>
              </w:rPr>
            </w:pPr>
            <w:r w:rsidRPr="00DA14D4">
              <w:rPr>
                <w:sz w:val="24"/>
                <w:szCs w:val="24"/>
                <w:lang w:val="en-US" w:bidi="ar-QA"/>
              </w:rPr>
              <w:t>75</w:t>
            </w:r>
          </w:p>
        </w:tc>
        <w:tc>
          <w:tcPr>
            <w:tcW w:w="2160" w:type="dxa"/>
          </w:tcPr>
          <w:p w14:paraId="22EAA824" w14:textId="278C9FFE" w:rsidR="00DA14D4" w:rsidRDefault="00DA14D4" w:rsidP="00DA14D4">
            <w:pPr>
              <w:contextualSpacing/>
              <w:jc w:val="center"/>
              <w:rPr>
                <w:sz w:val="24"/>
                <w:szCs w:val="24"/>
              </w:rPr>
            </w:pPr>
            <w:r w:rsidRPr="00DA14D4">
              <w:rPr>
                <w:sz w:val="24"/>
                <w:szCs w:val="24"/>
                <w:lang w:val="en-US" w:bidi="ar-QA"/>
              </w:rPr>
              <w:t>89.28 %</w:t>
            </w:r>
          </w:p>
        </w:tc>
      </w:tr>
      <w:tr w:rsidR="00DA14D4" w14:paraId="0E5C10AF" w14:textId="77777777" w:rsidTr="00DA14D4">
        <w:tc>
          <w:tcPr>
            <w:tcW w:w="2425" w:type="dxa"/>
            <w:vMerge/>
          </w:tcPr>
          <w:p w14:paraId="2982D18A" w14:textId="77777777" w:rsidR="00DA14D4" w:rsidRPr="00DA14D4" w:rsidRDefault="00DA14D4" w:rsidP="00DA14D4">
            <w:pPr>
              <w:contextualSpacing/>
              <w:jc w:val="both"/>
              <w:rPr>
                <w:b/>
                <w:bCs/>
                <w:sz w:val="24"/>
                <w:szCs w:val="24"/>
              </w:rPr>
            </w:pPr>
          </w:p>
        </w:tc>
        <w:tc>
          <w:tcPr>
            <w:tcW w:w="2790" w:type="dxa"/>
          </w:tcPr>
          <w:p w14:paraId="73EE93DF" w14:textId="02831586" w:rsidR="00DA14D4" w:rsidRDefault="00DA14D4" w:rsidP="00DA14D4">
            <w:pPr>
              <w:contextualSpacing/>
              <w:jc w:val="both"/>
              <w:rPr>
                <w:sz w:val="24"/>
                <w:szCs w:val="24"/>
              </w:rPr>
            </w:pPr>
            <w:r w:rsidRPr="00DA14D4">
              <w:rPr>
                <w:sz w:val="24"/>
                <w:szCs w:val="24"/>
                <w:lang w:val="en-US" w:bidi="ar-QA"/>
              </w:rPr>
              <w:t>Non - Sudanese</w:t>
            </w:r>
          </w:p>
        </w:tc>
        <w:tc>
          <w:tcPr>
            <w:tcW w:w="1890" w:type="dxa"/>
          </w:tcPr>
          <w:p w14:paraId="1BFA5240" w14:textId="1C00BF3D" w:rsidR="00DA14D4" w:rsidRDefault="00DA14D4" w:rsidP="00DA14D4">
            <w:pPr>
              <w:contextualSpacing/>
              <w:jc w:val="center"/>
              <w:rPr>
                <w:sz w:val="24"/>
                <w:szCs w:val="24"/>
              </w:rPr>
            </w:pPr>
            <w:r w:rsidRPr="00DA14D4">
              <w:rPr>
                <w:sz w:val="24"/>
                <w:szCs w:val="24"/>
                <w:lang w:val="en-US" w:bidi="ar-QA"/>
              </w:rPr>
              <w:t>9</w:t>
            </w:r>
          </w:p>
        </w:tc>
        <w:tc>
          <w:tcPr>
            <w:tcW w:w="2160" w:type="dxa"/>
          </w:tcPr>
          <w:p w14:paraId="207C59E8" w14:textId="58E2A16C" w:rsidR="00DA14D4" w:rsidRDefault="00DA14D4" w:rsidP="00DA14D4">
            <w:pPr>
              <w:contextualSpacing/>
              <w:jc w:val="center"/>
              <w:rPr>
                <w:sz w:val="24"/>
                <w:szCs w:val="24"/>
              </w:rPr>
            </w:pPr>
            <w:r w:rsidRPr="00DA14D4">
              <w:rPr>
                <w:sz w:val="24"/>
                <w:szCs w:val="24"/>
                <w:lang w:val="en-US" w:bidi="ar-QA"/>
              </w:rPr>
              <w:t>10.72 %</w:t>
            </w:r>
          </w:p>
        </w:tc>
      </w:tr>
      <w:tr w:rsidR="00DA14D4" w14:paraId="411AD665" w14:textId="77777777" w:rsidTr="00DA14D4">
        <w:tc>
          <w:tcPr>
            <w:tcW w:w="2425" w:type="dxa"/>
            <w:vMerge w:val="restart"/>
          </w:tcPr>
          <w:p w14:paraId="349C4B7A" w14:textId="258F3B7E" w:rsidR="00DA14D4" w:rsidRPr="00DA14D4" w:rsidRDefault="00DA14D4" w:rsidP="00DA14D4">
            <w:pPr>
              <w:contextualSpacing/>
              <w:jc w:val="both"/>
              <w:rPr>
                <w:b/>
                <w:bCs/>
                <w:sz w:val="24"/>
                <w:szCs w:val="24"/>
              </w:rPr>
            </w:pPr>
            <w:r w:rsidRPr="00DA14D4">
              <w:rPr>
                <w:b/>
                <w:bCs/>
                <w:sz w:val="24"/>
                <w:szCs w:val="24"/>
              </w:rPr>
              <w:t>Weight</w:t>
            </w:r>
          </w:p>
        </w:tc>
        <w:tc>
          <w:tcPr>
            <w:tcW w:w="2790" w:type="dxa"/>
          </w:tcPr>
          <w:p w14:paraId="35CBCCCC" w14:textId="79DD6C39" w:rsidR="00DA14D4" w:rsidRDefault="00DA14D4" w:rsidP="00DA14D4">
            <w:pPr>
              <w:contextualSpacing/>
              <w:jc w:val="both"/>
              <w:rPr>
                <w:sz w:val="24"/>
                <w:szCs w:val="24"/>
              </w:rPr>
            </w:pPr>
            <w:r w:rsidRPr="00DA14D4">
              <w:rPr>
                <w:sz w:val="24"/>
                <w:szCs w:val="24"/>
                <w:lang w:val="en-US" w:bidi="ar-QA"/>
              </w:rPr>
              <w:t>Underweight</w:t>
            </w:r>
          </w:p>
        </w:tc>
        <w:tc>
          <w:tcPr>
            <w:tcW w:w="1890" w:type="dxa"/>
          </w:tcPr>
          <w:p w14:paraId="394B8776" w14:textId="63B559E1" w:rsidR="00DA14D4" w:rsidRDefault="00DA14D4" w:rsidP="00DA14D4">
            <w:pPr>
              <w:contextualSpacing/>
              <w:jc w:val="center"/>
              <w:rPr>
                <w:sz w:val="24"/>
                <w:szCs w:val="24"/>
              </w:rPr>
            </w:pPr>
            <w:r w:rsidRPr="00DA14D4">
              <w:rPr>
                <w:sz w:val="24"/>
                <w:szCs w:val="24"/>
                <w:lang w:val="en-US" w:bidi="ar-QA"/>
              </w:rPr>
              <w:t>49</w:t>
            </w:r>
          </w:p>
        </w:tc>
        <w:tc>
          <w:tcPr>
            <w:tcW w:w="2160" w:type="dxa"/>
          </w:tcPr>
          <w:p w14:paraId="406E3D5C" w14:textId="09579763" w:rsidR="00DA14D4" w:rsidRDefault="00DA14D4" w:rsidP="00DA14D4">
            <w:pPr>
              <w:contextualSpacing/>
              <w:jc w:val="center"/>
              <w:rPr>
                <w:sz w:val="24"/>
                <w:szCs w:val="24"/>
              </w:rPr>
            </w:pPr>
            <w:r w:rsidRPr="00DA14D4">
              <w:rPr>
                <w:sz w:val="24"/>
                <w:szCs w:val="24"/>
                <w:lang w:val="en-US" w:bidi="ar-QA"/>
              </w:rPr>
              <w:t>58.33 %</w:t>
            </w:r>
          </w:p>
        </w:tc>
      </w:tr>
      <w:tr w:rsidR="00DA14D4" w14:paraId="11A38CAE" w14:textId="77777777" w:rsidTr="00DA14D4">
        <w:tc>
          <w:tcPr>
            <w:tcW w:w="2425" w:type="dxa"/>
            <w:vMerge/>
          </w:tcPr>
          <w:p w14:paraId="6BA45DCA" w14:textId="77777777" w:rsidR="00DA14D4" w:rsidRPr="00DA14D4" w:rsidRDefault="00DA14D4" w:rsidP="00DA14D4">
            <w:pPr>
              <w:contextualSpacing/>
              <w:jc w:val="both"/>
              <w:rPr>
                <w:b/>
                <w:bCs/>
                <w:sz w:val="24"/>
                <w:szCs w:val="24"/>
              </w:rPr>
            </w:pPr>
          </w:p>
        </w:tc>
        <w:tc>
          <w:tcPr>
            <w:tcW w:w="2790" w:type="dxa"/>
          </w:tcPr>
          <w:p w14:paraId="4F2E0CD7" w14:textId="3E8DCFE7" w:rsidR="00DA14D4" w:rsidRDefault="00DA14D4" w:rsidP="00DA14D4">
            <w:pPr>
              <w:contextualSpacing/>
              <w:jc w:val="both"/>
              <w:rPr>
                <w:sz w:val="24"/>
                <w:szCs w:val="24"/>
              </w:rPr>
            </w:pPr>
            <w:r w:rsidRPr="00DA14D4">
              <w:rPr>
                <w:sz w:val="24"/>
                <w:szCs w:val="24"/>
                <w:lang w:val="en-US" w:bidi="ar-QA"/>
              </w:rPr>
              <w:t>Normal</w:t>
            </w:r>
          </w:p>
        </w:tc>
        <w:tc>
          <w:tcPr>
            <w:tcW w:w="1890" w:type="dxa"/>
          </w:tcPr>
          <w:p w14:paraId="752DDB02" w14:textId="3F45FAF5" w:rsidR="00DA14D4" w:rsidRDefault="00DA14D4" w:rsidP="00DA14D4">
            <w:pPr>
              <w:contextualSpacing/>
              <w:jc w:val="center"/>
              <w:rPr>
                <w:sz w:val="24"/>
                <w:szCs w:val="24"/>
              </w:rPr>
            </w:pPr>
            <w:r w:rsidRPr="00DA14D4">
              <w:rPr>
                <w:sz w:val="24"/>
                <w:szCs w:val="24"/>
                <w:lang w:val="en-US" w:bidi="ar-QA"/>
              </w:rPr>
              <w:t>33</w:t>
            </w:r>
          </w:p>
        </w:tc>
        <w:tc>
          <w:tcPr>
            <w:tcW w:w="2160" w:type="dxa"/>
          </w:tcPr>
          <w:p w14:paraId="651411EE" w14:textId="00575AB4" w:rsidR="00DA14D4" w:rsidRDefault="00DA14D4" w:rsidP="00DA14D4">
            <w:pPr>
              <w:contextualSpacing/>
              <w:jc w:val="center"/>
              <w:rPr>
                <w:sz w:val="24"/>
                <w:szCs w:val="24"/>
              </w:rPr>
            </w:pPr>
            <w:r w:rsidRPr="00DA14D4">
              <w:rPr>
                <w:sz w:val="24"/>
                <w:szCs w:val="24"/>
                <w:lang w:val="en-US" w:bidi="ar-QA"/>
              </w:rPr>
              <w:t>39.29 %</w:t>
            </w:r>
          </w:p>
        </w:tc>
      </w:tr>
      <w:tr w:rsidR="00DA14D4" w14:paraId="2C50E81D" w14:textId="77777777" w:rsidTr="00DA14D4">
        <w:tc>
          <w:tcPr>
            <w:tcW w:w="2425" w:type="dxa"/>
            <w:vMerge/>
          </w:tcPr>
          <w:p w14:paraId="273E975D" w14:textId="77777777" w:rsidR="00DA14D4" w:rsidRPr="00DA14D4" w:rsidRDefault="00DA14D4" w:rsidP="00DA14D4">
            <w:pPr>
              <w:contextualSpacing/>
              <w:jc w:val="both"/>
              <w:rPr>
                <w:b/>
                <w:bCs/>
                <w:sz w:val="24"/>
                <w:szCs w:val="24"/>
              </w:rPr>
            </w:pPr>
          </w:p>
        </w:tc>
        <w:tc>
          <w:tcPr>
            <w:tcW w:w="2790" w:type="dxa"/>
          </w:tcPr>
          <w:p w14:paraId="27419664" w14:textId="5CDB7A54" w:rsidR="00DA14D4" w:rsidRPr="00DA14D4" w:rsidRDefault="00DA14D4" w:rsidP="00DA14D4">
            <w:pPr>
              <w:contextualSpacing/>
              <w:jc w:val="both"/>
              <w:rPr>
                <w:sz w:val="24"/>
                <w:szCs w:val="24"/>
                <w:lang w:val="en-US" w:bidi="ar-QA"/>
              </w:rPr>
            </w:pPr>
            <w:r>
              <w:rPr>
                <w:sz w:val="24"/>
                <w:szCs w:val="24"/>
                <w:lang w:val="en-US" w:bidi="ar-QA"/>
              </w:rPr>
              <w:t>O</w:t>
            </w:r>
            <w:r w:rsidRPr="00DA14D4">
              <w:rPr>
                <w:sz w:val="24"/>
                <w:szCs w:val="24"/>
                <w:lang w:val="en-US" w:bidi="ar-QA"/>
              </w:rPr>
              <w:t>verweight</w:t>
            </w:r>
          </w:p>
        </w:tc>
        <w:tc>
          <w:tcPr>
            <w:tcW w:w="1890" w:type="dxa"/>
          </w:tcPr>
          <w:p w14:paraId="29C64228" w14:textId="7AB96A42" w:rsidR="00DA14D4" w:rsidRDefault="00DA14D4" w:rsidP="00DA14D4">
            <w:pPr>
              <w:contextualSpacing/>
              <w:jc w:val="center"/>
              <w:rPr>
                <w:sz w:val="24"/>
                <w:szCs w:val="24"/>
              </w:rPr>
            </w:pPr>
            <w:r w:rsidRPr="00DA14D4">
              <w:rPr>
                <w:sz w:val="24"/>
                <w:szCs w:val="24"/>
                <w:lang w:val="en-US" w:bidi="ar-QA"/>
              </w:rPr>
              <w:t>2</w:t>
            </w:r>
          </w:p>
        </w:tc>
        <w:tc>
          <w:tcPr>
            <w:tcW w:w="2160" w:type="dxa"/>
          </w:tcPr>
          <w:p w14:paraId="11054A71" w14:textId="323F6589" w:rsidR="00DA14D4" w:rsidRDefault="00DA14D4" w:rsidP="00DA14D4">
            <w:pPr>
              <w:contextualSpacing/>
              <w:jc w:val="center"/>
              <w:rPr>
                <w:sz w:val="24"/>
                <w:szCs w:val="24"/>
              </w:rPr>
            </w:pPr>
            <w:r w:rsidRPr="00DA14D4">
              <w:rPr>
                <w:sz w:val="24"/>
                <w:szCs w:val="24"/>
                <w:lang w:val="en-US" w:bidi="ar-QA"/>
              </w:rPr>
              <w:t>2.38 %</w:t>
            </w:r>
          </w:p>
        </w:tc>
      </w:tr>
      <w:tr w:rsidR="00DA14D4" w14:paraId="4C6F6D58" w14:textId="77777777" w:rsidTr="00DA14D4">
        <w:tc>
          <w:tcPr>
            <w:tcW w:w="2425" w:type="dxa"/>
            <w:vMerge w:val="restart"/>
          </w:tcPr>
          <w:p w14:paraId="3947A56E" w14:textId="7EC0633C" w:rsidR="00DA14D4" w:rsidRPr="00DA14D4" w:rsidRDefault="00DA14D4" w:rsidP="00DA14D4">
            <w:pPr>
              <w:contextualSpacing/>
              <w:jc w:val="both"/>
              <w:rPr>
                <w:b/>
                <w:bCs/>
                <w:sz w:val="24"/>
                <w:szCs w:val="24"/>
              </w:rPr>
            </w:pPr>
            <w:r w:rsidRPr="00DA14D4">
              <w:rPr>
                <w:b/>
                <w:bCs/>
                <w:color w:val="000000"/>
                <w:sz w:val="24"/>
                <w:szCs w:val="24"/>
                <w:lang w:val="en-US" w:eastAsia="en-US"/>
              </w:rPr>
              <w:t>Joint Affected</w:t>
            </w:r>
          </w:p>
        </w:tc>
        <w:tc>
          <w:tcPr>
            <w:tcW w:w="2790" w:type="dxa"/>
          </w:tcPr>
          <w:p w14:paraId="0CA23725" w14:textId="69C2A1FB" w:rsidR="00DA14D4" w:rsidRPr="00DA14D4" w:rsidRDefault="00DA14D4" w:rsidP="00DA14D4">
            <w:pPr>
              <w:contextualSpacing/>
              <w:jc w:val="both"/>
              <w:rPr>
                <w:sz w:val="24"/>
                <w:szCs w:val="24"/>
                <w:lang w:val="en-US" w:bidi="ar-QA"/>
              </w:rPr>
            </w:pPr>
            <w:r w:rsidRPr="00DA14D4">
              <w:rPr>
                <w:color w:val="000000"/>
                <w:sz w:val="24"/>
                <w:szCs w:val="24"/>
              </w:rPr>
              <w:t>Feet</w:t>
            </w:r>
          </w:p>
        </w:tc>
        <w:tc>
          <w:tcPr>
            <w:tcW w:w="1890" w:type="dxa"/>
          </w:tcPr>
          <w:p w14:paraId="2467AF35" w14:textId="362E5D57" w:rsidR="00DA14D4" w:rsidRDefault="00DA14D4" w:rsidP="00DA14D4">
            <w:pPr>
              <w:contextualSpacing/>
              <w:jc w:val="center"/>
              <w:rPr>
                <w:sz w:val="24"/>
                <w:szCs w:val="24"/>
              </w:rPr>
            </w:pPr>
            <w:r w:rsidRPr="00DA14D4">
              <w:rPr>
                <w:color w:val="000000"/>
                <w:sz w:val="24"/>
                <w:szCs w:val="24"/>
              </w:rPr>
              <w:t>36</w:t>
            </w:r>
          </w:p>
        </w:tc>
        <w:tc>
          <w:tcPr>
            <w:tcW w:w="2160" w:type="dxa"/>
          </w:tcPr>
          <w:p w14:paraId="578E8BA2" w14:textId="452710D0" w:rsidR="00DA14D4" w:rsidRDefault="00DA14D4" w:rsidP="00DA14D4">
            <w:pPr>
              <w:contextualSpacing/>
              <w:jc w:val="center"/>
              <w:rPr>
                <w:sz w:val="24"/>
                <w:szCs w:val="24"/>
              </w:rPr>
            </w:pPr>
            <w:r w:rsidRPr="00DA14D4">
              <w:rPr>
                <w:color w:val="000000"/>
                <w:sz w:val="24"/>
                <w:szCs w:val="24"/>
              </w:rPr>
              <w:t>42.8</w:t>
            </w:r>
            <w:r w:rsidRPr="00DA14D4">
              <w:rPr>
                <w:color w:val="000000"/>
                <w:sz w:val="24"/>
                <w:szCs w:val="24"/>
                <w:lang w:val="en-US"/>
              </w:rPr>
              <w:t xml:space="preserve">5 </w:t>
            </w:r>
            <w:r w:rsidRPr="00DA14D4">
              <w:rPr>
                <w:color w:val="000000"/>
                <w:sz w:val="24"/>
                <w:szCs w:val="24"/>
              </w:rPr>
              <w:t>%</w:t>
            </w:r>
          </w:p>
        </w:tc>
      </w:tr>
      <w:tr w:rsidR="00DA14D4" w14:paraId="18F1F4AB" w14:textId="77777777" w:rsidTr="00DA14D4">
        <w:tc>
          <w:tcPr>
            <w:tcW w:w="2425" w:type="dxa"/>
            <w:vMerge/>
          </w:tcPr>
          <w:p w14:paraId="793AA9F8" w14:textId="77777777" w:rsidR="00DA14D4" w:rsidRDefault="00DA14D4" w:rsidP="00DA14D4">
            <w:pPr>
              <w:contextualSpacing/>
              <w:jc w:val="both"/>
              <w:rPr>
                <w:sz w:val="24"/>
                <w:szCs w:val="24"/>
              </w:rPr>
            </w:pPr>
          </w:p>
        </w:tc>
        <w:tc>
          <w:tcPr>
            <w:tcW w:w="2790" w:type="dxa"/>
          </w:tcPr>
          <w:p w14:paraId="5A9776A5" w14:textId="1543FA13" w:rsidR="00DA14D4" w:rsidRPr="00DA14D4" w:rsidRDefault="00DA14D4" w:rsidP="00DA14D4">
            <w:pPr>
              <w:contextualSpacing/>
              <w:jc w:val="both"/>
              <w:rPr>
                <w:color w:val="000000"/>
                <w:sz w:val="24"/>
                <w:szCs w:val="24"/>
              </w:rPr>
            </w:pPr>
            <w:r w:rsidRPr="00DA14D4">
              <w:rPr>
                <w:color w:val="000000"/>
                <w:sz w:val="24"/>
                <w:szCs w:val="24"/>
                <w:lang w:val="en-US"/>
              </w:rPr>
              <w:t>All joint</w:t>
            </w:r>
          </w:p>
        </w:tc>
        <w:tc>
          <w:tcPr>
            <w:tcW w:w="1890" w:type="dxa"/>
          </w:tcPr>
          <w:p w14:paraId="353CCB5D" w14:textId="2BBF93B8" w:rsidR="00DA14D4" w:rsidRDefault="00DA14D4" w:rsidP="00DA14D4">
            <w:pPr>
              <w:contextualSpacing/>
              <w:jc w:val="center"/>
              <w:rPr>
                <w:sz w:val="24"/>
                <w:szCs w:val="24"/>
              </w:rPr>
            </w:pPr>
            <w:r w:rsidRPr="00DA14D4">
              <w:rPr>
                <w:color w:val="000000"/>
                <w:sz w:val="24"/>
                <w:szCs w:val="24"/>
                <w:lang w:val="en-US"/>
              </w:rPr>
              <w:t>30</w:t>
            </w:r>
          </w:p>
        </w:tc>
        <w:tc>
          <w:tcPr>
            <w:tcW w:w="2160" w:type="dxa"/>
          </w:tcPr>
          <w:p w14:paraId="2DAE5B4A" w14:textId="06BCCDD6" w:rsidR="00DA14D4" w:rsidRDefault="00DA14D4" w:rsidP="00DA14D4">
            <w:pPr>
              <w:contextualSpacing/>
              <w:jc w:val="center"/>
              <w:rPr>
                <w:sz w:val="24"/>
                <w:szCs w:val="24"/>
              </w:rPr>
            </w:pPr>
            <w:r w:rsidRPr="00DA14D4">
              <w:rPr>
                <w:color w:val="000000"/>
                <w:sz w:val="24"/>
                <w:szCs w:val="24"/>
                <w:lang w:val="en-US"/>
              </w:rPr>
              <w:t>35.71 %</w:t>
            </w:r>
          </w:p>
        </w:tc>
      </w:tr>
      <w:tr w:rsidR="00DA14D4" w14:paraId="52D3B101" w14:textId="77777777" w:rsidTr="00DA14D4">
        <w:tc>
          <w:tcPr>
            <w:tcW w:w="2425" w:type="dxa"/>
            <w:vMerge/>
          </w:tcPr>
          <w:p w14:paraId="19B2AD29" w14:textId="77777777" w:rsidR="00DA14D4" w:rsidRDefault="00DA14D4" w:rsidP="00DA14D4">
            <w:pPr>
              <w:contextualSpacing/>
              <w:jc w:val="both"/>
              <w:rPr>
                <w:sz w:val="24"/>
                <w:szCs w:val="24"/>
              </w:rPr>
            </w:pPr>
          </w:p>
        </w:tc>
        <w:tc>
          <w:tcPr>
            <w:tcW w:w="2790" w:type="dxa"/>
          </w:tcPr>
          <w:p w14:paraId="76A9B8DC" w14:textId="1E3A48B6" w:rsidR="00DA14D4" w:rsidRPr="00DA14D4" w:rsidRDefault="00DA14D4" w:rsidP="00DA14D4">
            <w:pPr>
              <w:contextualSpacing/>
              <w:jc w:val="both"/>
              <w:rPr>
                <w:color w:val="000000"/>
                <w:sz w:val="24"/>
                <w:szCs w:val="24"/>
                <w:lang w:val="en-US"/>
              </w:rPr>
            </w:pPr>
            <w:r w:rsidRPr="00DA14D4">
              <w:rPr>
                <w:color w:val="000000"/>
                <w:sz w:val="24"/>
                <w:szCs w:val="24"/>
              </w:rPr>
              <w:t>Shoulders</w:t>
            </w:r>
          </w:p>
        </w:tc>
        <w:tc>
          <w:tcPr>
            <w:tcW w:w="1890" w:type="dxa"/>
          </w:tcPr>
          <w:p w14:paraId="1127F59C" w14:textId="6F92CDC3" w:rsidR="00DA14D4" w:rsidRDefault="00DA14D4" w:rsidP="00DA14D4">
            <w:pPr>
              <w:contextualSpacing/>
              <w:jc w:val="center"/>
              <w:rPr>
                <w:sz w:val="24"/>
                <w:szCs w:val="24"/>
              </w:rPr>
            </w:pPr>
            <w:r w:rsidRPr="00DA14D4">
              <w:rPr>
                <w:color w:val="000000"/>
                <w:sz w:val="24"/>
                <w:szCs w:val="24"/>
              </w:rPr>
              <w:t>6</w:t>
            </w:r>
          </w:p>
        </w:tc>
        <w:tc>
          <w:tcPr>
            <w:tcW w:w="2160" w:type="dxa"/>
          </w:tcPr>
          <w:p w14:paraId="7AA963BB" w14:textId="14314F28" w:rsidR="00DA14D4" w:rsidRDefault="00DA14D4" w:rsidP="00DA14D4">
            <w:pPr>
              <w:contextualSpacing/>
              <w:jc w:val="center"/>
              <w:rPr>
                <w:sz w:val="24"/>
                <w:szCs w:val="24"/>
              </w:rPr>
            </w:pPr>
            <w:r w:rsidRPr="00DA14D4">
              <w:rPr>
                <w:color w:val="000000"/>
                <w:sz w:val="24"/>
                <w:szCs w:val="24"/>
              </w:rPr>
              <w:t>7.1</w:t>
            </w:r>
            <w:r w:rsidRPr="00DA14D4">
              <w:rPr>
                <w:color w:val="000000"/>
                <w:sz w:val="24"/>
                <w:szCs w:val="24"/>
                <w:lang w:val="en-US"/>
              </w:rPr>
              <w:t xml:space="preserve"> </w:t>
            </w:r>
            <w:r w:rsidRPr="00DA14D4">
              <w:rPr>
                <w:color w:val="000000"/>
                <w:sz w:val="24"/>
                <w:szCs w:val="24"/>
              </w:rPr>
              <w:t>%</w:t>
            </w:r>
          </w:p>
        </w:tc>
      </w:tr>
      <w:tr w:rsidR="00DA14D4" w14:paraId="7B11F7D0" w14:textId="77777777" w:rsidTr="00DA14D4">
        <w:tc>
          <w:tcPr>
            <w:tcW w:w="2425" w:type="dxa"/>
            <w:vMerge/>
          </w:tcPr>
          <w:p w14:paraId="28DF0749" w14:textId="77777777" w:rsidR="00DA14D4" w:rsidRDefault="00DA14D4" w:rsidP="00DA14D4">
            <w:pPr>
              <w:contextualSpacing/>
              <w:jc w:val="both"/>
              <w:rPr>
                <w:sz w:val="24"/>
                <w:szCs w:val="24"/>
              </w:rPr>
            </w:pPr>
          </w:p>
        </w:tc>
        <w:tc>
          <w:tcPr>
            <w:tcW w:w="2790" w:type="dxa"/>
          </w:tcPr>
          <w:p w14:paraId="0F275643" w14:textId="7B5CDA2C" w:rsidR="00DA14D4" w:rsidRPr="00DA14D4" w:rsidRDefault="00DA14D4" w:rsidP="00DA14D4">
            <w:pPr>
              <w:contextualSpacing/>
              <w:jc w:val="both"/>
              <w:rPr>
                <w:color w:val="000000"/>
                <w:sz w:val="24"/>
                <w:szCs w:val="24"/>
              </w:rPr>
            </w:pPr>
            <w:r w:rsidRPr="00DA14D4">
              <w:rPr>
                <w:color w:val="000000"/>
                <w:sz w:val="24"/>
                <w:szCs w:val="24"/>
              </w:rPr>
              <w:t>Hands</w:t>
            </w:r>
          </w:p>
        </w:tc>
        <w:tc>
          <w:tcPr>
            <w:tcW w:w="1890" w:type="dxa"/>
          </w:tcPr>
          <w:p w14:paraId="183A83E4" w14:textId="6DEC9C76" w:rsidR="00DA14D4" w:rsidRDefault="00DA14D4" w:rsidP="00DA14D4">
            <w:pPr>
              <w:contextualSpacing/>
              <w:jc w:val="center"/>
              <w:rPr>
                <w:sz w:val="24"/>
                <w:szCs w:val="24"/>
              </w:rPr>
            </w:pPr>
            <w:r w:rsidRPr="00DA14D4">
              <w:rPr>
                <w:color w:val="000000"/>
                <w:sz w:val="24"/>
                <w:szCs w:val="24"/>
              </w:rPr>
              <w:t>3</w:t>
            </w:r>
          </w:p>
        </w:tc>
        <w:tc>
          <w:tcPr>
            <w:tcW w:w="2160" w:type="dxa"/>
          </w:tcPr>
          <w:p w14:paraId="4AC4CFF2" w14:textId="42B65ECA" w:rsidR="00DA14D4" w:rsidRDefault="00DA14D4" w:rsidP="00DA14D4">
            <w:pPr>
              <w:contextualSpacing/>
              <w:jc w:val="center"/>
              <w:rPr>
                <w:sz w:val="24"/>
                <w:szCs w:val="24"/>
              </w:rPr>
            </w:pPr>
            <w:r w:rsidRPr="00DA14D4">
              <w:rPr>
                <w:color w:val="000000"/>
                <w:sz w:val="24"/>
                <w:szCs w:val="24"/>
              </w:rPr>
              <w:t>3.5</w:t>
            </w:r>
            <w:r w:rsidRPr="00DA14D4">
              <w:rPr>
                <w:color w:val="000000"/>
                <w:sz w:val="24"/>
                <w:szCs w:val="24"/>
                <w:lang w:val="en-US"/>
              </w:rPr>
              <w:t xml:space="preserve">7 </w:t>
            </w:r>
            <w:r w:rsidRPr="00DA14D4">
              <w:rPr>
                <w:color w:val="000000"/>
                <w:sz w:val="24"/>
                <w:szCs w:val="24"/>
              </w:rPr>
              <w:t>%</w:t>
            </w:r>
          </w:p>
        </w:tc>
      </w:tr>
      <w:tr w:rsidR="00DA14D4" w14:paraId="2925A81F" w14:textId="77777777" w:rsidTr="00DA14D4">
        <w:tc>
          <w:tcPr>
            <w:tcW w:w="2425" w:type="dxa"/>
            <w:vMerge/>
          </w:tcPr>
          <w:p w14:paraId="593D895A" w14:textId="77777777" w:rsidR="00DA14D4" w:rsidRDefault="00DA14D4" w:rsidP="00DA14D4">
            <w:pPr>
              <w:contextualSpacing/>
              <w:jc w:val="both"/>
              <w:rPr>
                <w:sz w:val="24"/>
                <w:szCs w:val="24"/>
              </w:rPr>
            </w:pPr>
          </w:p>
        </w:tc>
        <w:tc>
          <w:tcPr>
            <w:tcW w:w="2790" w:type="dxa"/>
          </w:tcPr>
          <w:p w14:paraId="28CB34F0" w14:textId="24AF7D10" w:rsidR="00DA14D4" w:rsidRPr="00DA14D4" w:rsidRDefault="00DA14D4" w:rsidP="00DA14D4">
            <w:pPr>
              <w:contextualSpacing/>
              <w:jc w:val="both"/>
              <w:rPr>
                <w:color w:val="000000"/>
                <w:sz w:val="24"/>
                <w:szCs w:val="24"/>
              </w:rPr>
            </w:pPr>
            <w:r w:rsidRPr="00DA14D4">
              <w:rPr>
                <w:color w:val="000000"/>
                <w:sz w:val="24"/>
                <w:szCs w:val="24"/>
              </w:rPr>
              <w:t>Do not have symptoms</w:t>
            </w:r>
          </w:p>
        </w:tc>
        <w:tc>
          <w:tcPr>
            <w:tcW w:w="1890" w:type="dxa"/>
          </w:tcPr>
          <w:p w14:paraId="65424870" w14:textId="293B46FE" w:rsidR="00DA14D4" w:rsidRDefault="00DA14D4" w:rsidP="00DA14D4">
            <w:pPr>
              <w:contextualSpacing/>
              <w:jc w:val="center"/>
              <w:rPr>
                <w:sz w:val="24"/>
                <w:szCs w:val="24"/>
              </w:rPr>
            </w:pPr>
            <w:r w:rsidRPr="00DA14D4">
              <w:rPr>
                <w:color w:val="000000"/>
                <w:sz w:val="24"/>
                <w:szCs w:val="24"/>
              </w:rPr>
              <w:t>9</w:t>
            </w:r>
          </w:p>
        </w:tc>
        <w:tc>
          <w:tcPr>
            <w:tcW w:w="2160" w:type="dxa"/>
          </w:tcPr>
          <w:p w14:paraId="39806416" w14:textId="695F3A21" w:rsidR="00DA14D4" w:rsidRDefault="00DA14D4" w:rsidP="00DA14D4">
            <w:pPr>
              <w:contextualSpacing/>
              <w:jc w:val="center"/>
              <w:rPr>
                <w:sz w:val="24"/>
                <w:szCs w:val="24"/>
              </w:rPr>
            </w:pPr>
            <w:r w:rsidRPr="00DA14D4">
              <w:rPr>
                <w:color w:val="000000"/>
                <w:sz w:val="24"/>
                <w:szCs w:val="24"/>
              </w:rPr>
              <w:t>10.7%</w:t>
            </w:r>
          </w:p>
        </w:tc>
      </w:tr>
    </w:tbl>
    <w:p w14:paraId="2EBDD5CD" w14:textId="77777777" w:rsidR="00884E4A" w:rsidRDefault="00884E4A" w:rsidP="00397519">
      <w:pPr>
        <w:spacing w:after="0" w:line="480" w:lineRule="auto"/>
        <w:contextualSpacing/>
        <w:jc w:val="both"/>
        <w:rPr>
          <w:rFonts w:ascii="Times New Roman" w:hAnsi="Times New Roman" w:cs="Times New Roman"/>
          <w:b/>
          <w:bCs/>
          <w:sz w:val="24"/>
          <w:szCs w:val="24"/>
        </w:rPr>
      </w:pPr>
    </w:p>
    <w:p w14:paraId="3083B128" w14:textId="5FB14556" w:rsidR="00397519" w:rsidRDefault="00397519" w:rsidP="00397519">
      <w:pPr>
        <w:spacing w:after="0" w:line="480" w:lineRule="auto"/>
        <w:contextualSpacing/>
        <w:jc w:val="both"/>
        <w:rPr>
          <w:rFonts w:ascii="Times New Roman" w:hAnsi="Times New Roman" w:cs="Times New Roman"/>
          <w:sz w:val="24"/>
          <w:szCs w:val="24"/>
        </w:rPr>
      </w:pPr>
      <w:r w:rsidRPr="00397519">
        <w:rPr>
          <w:rFonts w:ascii="Times New Roman" w:hAnsi="Times New Roman" w:cs="Times New Roman"/>
          <w:b/>
          <w:bCs/>
          <w:sz w:val="24"/>
          <w:szCs w:val="24"/>
        </w:rPr>
        <w:t>3.2. Uric acid levels over time</w:t>
      </w:r>
    </w:p>
    <w:p w14:paraId="76EC61F9" w14:textId="0793410D" w:rsidR="00397519" w:rsidRDefault="00397519" w:rsidP="00397519">
      <w:pPr>
        <w:spacing w:after="0" w:line="480" w:lineRule="auto"/>
        <w:ind w:firstLine="720"/>
        <w:contextualSpacing/>
        <w:jc w:val="both"/>
        <w:rPr>
          <w:rFonts w:ascii="Times New Roman" w:hAnsi="Times New Roman" w:cs="Times New Roman"/>
          <w:sz w:val="24"/>
          <w:szCs w:val="24"/>
        </w:rPr>
      </w:pPr>
      <w:r w:rsidRPr="00397519">
        <w:rPr>
          <w:rFonts w:ascii="Times New Roman" w:hAnsi="Times New Roman" w:cs="Times New Roman"/>
          <w:sz w:val="24"/>
          <w:szCs w:val="24"/>
        </w:rPr>
        <w:t>Table illustrate</w:t>
      </w:r>
      <w:r w:rsidR="00DB79DA">
        <w:rPr>
          <w:rFonts w:ascii="Times New Roman" w:hAnsi="Times New Roman" w:cs="Times New Roman"/>
          <w:sz w:val="24"/>
          <w:szCs w:val="24"/>
        </w:rPr>
        <w:t>s</w:t>
      </w:r>
      <w:r w:rsidRPr="00397519">
        <w:rPr>
          <w:rFonts w:ascii="Times New Roman" w:hAnsi="Times New Roman" w:cs="Times New Roman"/>
          <w:sz w:val="24"/>
          <w:szCs w:val="24"/>
        </w:rPr>
        <w:t xml:space="preserve"> </w:t>
      </w:r>
      <w:r w:rsidR="00DB79DA">
        <w:rPr>
          <w:rFonts w:ascii="Times New Roman" w:hAnsi="Times New Roman" w:cs="Times New Roman"/>
          <w:sz w:val="24"/>
          <w:szCs w:val="24"/>
        </w:rPr>
        <w:t>c</w:t>
      </w:r>
      <w:r w:rsidR="00DB79DA" w:rsidRPr="00DB79DA">
        <w:rPr>
          <w:rFonts w:ascii="Times New Roman" w:hAnsi="Times New Roman" w:cs="Times New Roman"/>
          <w:sz w:val="24"/>
          <w:szCs w:val="24"/>
        </w:rPr>
        <w:t xml:space="preserve">hanges in serum uric acid levels over five months of </w:t>
      </w:r>
      <w:bookmarkStart w:id="0" w:name="_Hlk213777701"/>
      <w:r w:rsidR="00DB79DA" w:rsidRPr="00DB79DA">
        <w:rPr>
          <w:rFonts w:ascii="Times New Roman" w:hAnsi="Times New Roman" w:cs="Times New Roman"/>
          <w:sz w:val="24"/>
          <w:szCs w:val="24"/>
        </w:rPr>
        <w:t xml:space="preserve">pyrazinamide-containing therapy </w:t>
      </w:r>
      <w:bookmarkEnd w:id="0"/>
      <w:r w:rsidR="00DB79DA" w:rsidRPr="00DB79DA">
        <w:rPr>
          <w:rFonts w:ascii="Times New Roman" w:hAnsi="Times New Roman" w:cs="Times New Roman"/>
          <w:sz w:val="24"/>
          <w:szCs w:val="24"/>
        </w:rPr>
        <w:t xml:space="preserve">in </w:t>
      </w:r>
      <w:r w:rsidR="00DB79DA" w:rsidRPr="002F28DD">
        <w:rPr>
          <w:rFonts w:ascii="Times New Roman" w:eastAsia="Times New Roman" w:hAnsi="Times New Roman" w:cs="Times New Roman"/>
          <w:sz w:val="24"/>
          <w:szCs w:val="24"/>
        </w:rPr>
        <w:t xml:space="preserve">MDR-TB </w:t>
      </w:r>
      <w:r w:rsidR="00DB79DA" w:rsidRPr="00DB79DA">
        <w:rPr>
          <w:rFonts w:ascii="Times New Roman" w:hAnsi="Times New Roman" w:cs="Times New Roman"/>
          <w:sz w:val="24"/>
          <w:szCs w:val="24"/>
        </w:rPr>
        <w:t>patients</w:t>
      </w:r>
      <w:r w:rsidRPr="00397519">
        <w:rPr>
          <w:rFonts w:ascii="Times New Roman" w:hAnsi="Times New Roman" w:cs="Times New Roman"/>
          <w:sz w:val="24"/>
          <w:szCs w:val="24"/>
        </w:rPr>
        <w:t xml:space="preserve">. The initial average (control group) uric acid level was 4.47 ± 1.17 mg/dL. Following the initiation of PZA treatment, the average uric acid values increased as follows: Month 1, 8.67 ± 2.39 mg/dL (p&lt;0.001); Month 2, 8.94 ± 2.07 mg/dL (p&lt;0.001); Month 3, 9.04 ± 1.89 mg/dL (p&lt;0.001); Month 4, 9.56 ± 1.85 mg/dL (p&lt;0.001); Month 5, 9.69 ± 1.96 mg/dL (p&lt;0.001). </w:t>
      </w:r>
    </w:p>
    <w:p w14:paraId="3733569B" w14:textId="38FB1899" w:rsidR="001C79C1" w:rsidRDefault="001C79C1" w:rsidP="001C79C1">
      <w:pPr>
        <w:spacing w:after="0" w:line="480" w:lineRule="auto"/>
        <w:ind w:firstLine="720"/>
        <w:contextualSpacing/>
        <w:jc w:val="both"/>
        <w:rPr>
          <w:rFonts w:ascii="Times New Roman" w:hAnsi="Times New Roman" w:cs="Times New Roman"/>
          <w:sz w:val="24"/>
          <w:szCs w:val="24"/>
        </w:rPr>
      </w:pPr>
      <w:r w:rsidRPr="00397519">
        <w:rPr>
          <w:rFonts w:ascii="Times New Roman" w:hAnsi="Times New Roman" w:cs="Times New Roman"/>
          <w:sz w:val="24"/>
          <w:szCs w:val="24"/>
        </w:rPr>
        <w:t>Although detailed inferential correlation between uric acid elevation and joint symptoms was limited by data completeness, the highest incidence of foot-joint complaints occurred alongside the period of elevated uric acid levels (&gt;8 mg/dL).</w:t>
      </w:r>
    </w:p>
    <w:p w14:paraId="3BC11644" w14:textId="20C0108A" w:rsidR="00811B7D" w:rsidRDefault="00811B7D" w:rsidP="00DB79DA">
      <w:pPr>
        <w:spacing w:after="0" w:line="480" w:lineRule="auto"/>
        <w:contextualSpacing/>
        <w:jc w:val="both"/>
        <w:rPr>
          <w:rFonts w:ascii="Times New Roman" w:hAnsi="Times New Roman" w:cs="Times New Roman"/>
          <w:sz w:val="24"/>
          <w:szCs w:val="24"/>
        </w:rPr>
      </w:pPr>
      <w:r w:rsidRPr="00DB79DA">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w:t>
      </w:r>
      <w:r w:rsidR="00DB79DA" w:rsidRPr="00DB79DA">
        <w:rPr>
          <w:rFonts w:ascii="Times New Roman" w:hAnsi="Times New Roman" w:cs="Times New Roman"/>
          <w:sz w:val="24"/>
          <w:szCs w:val="24"/>
        </w:rPr>
        <w:t xml:space="preserve">Changes in serum uric acid levels over five months of pyrazinamide-containing therapy in </w:t>
      </w:r>
      <w:r w:rsidR="00DB79DA" w:rsidRPr="002F28DD">
        <w:rPr>
          <w:rFonts w:ascii="Times New Roman" w:eastAsia="Times New Roman" w:hAnsi="Times New Roman" w:cs="Times New Roman"/>
          <w:sz w:val="24"/>
          <w:szCs w:val="24"/>
        </w:rPr>
        <w:t xml:space="preserve">MDR-TB </w:t>
      </w:r>
      <w:r w:rsidR="00DB79DA" w:rsidRPr="00DB79DA">
        <w:rPr>
          <w:rFonts w:ascii="Times New Roman" w:hAnsi="Times New Roman" w:cs="Times New Roman"/>
          <w:sz w:val="24"/>
          <w:szCs w:val="24"/>
        </w:rPr>
        <w:t>patients</w:t>
      </w:r>
      <w:r w:rsidR="00DB79DA">
        <w:rPr>
          <w:rFonts w:ascii="Times New Roman" w:hAnsi="Times New Roman" w:cs="Times New Roman"/>
          <w:sz w:val="24"/>
          <w:szCs w:val="24"/>
        </w:rPr>
        <w:t xml:space="preserve"> (n= 84)</w:t>
      </w:r>
    </w:p>
    <w:tbl>
      <w:tblPr>
        <w:tblStyle w:val="TableGrid"/>
        <w:tblW w:w="9350" w:type="dxa"/>
        <w:tblLook w:val="04A0" w:firstRow="1" w:lastRow="0" w:firstColumn="1" w:lastColumn="0" w:noHBand="0" w:noVBand="1"/>
      </w:tblPr>
      <w:tblGrid>
        <w:gridCol w:w="2053"/>
        <w:gridCol w:w="2068"/>
        <w:gridCol w:w="2077"/>
        <w:gridCol w:w="1646"/>
        <w:gridCol w:w="1506"/>
      </w:tblGrid>
      <w:tr w:rsidR="00811B7D" w14:paraId="4842D5B0" w14:textId="7884F1B0" w:rsidTr="00811B7D">
        <w:tc>
          <w:tcPr>
            <w:tcW w:w="2053" w:type="dxa"/>
            <w:vMerge w:val="restart"/>
          </w:tcPr>
          <w:p w14:paraId="433D1ADD" w14:textId="1DB10F50" w:rsidR="00811B7D" w:rsidRDefault="00811B7D" w:rsidP="00811B7D">
            <w:pPr>
              <w:contextualSpacing/>
              <w:jc w:val="both"/>
              <w:rPr>
                <w:sz w:val="24"/>
                <w:szCs w:val="24"/>
                <w:lang w:bidi="ar-QA"/>
              </w:rPr>
            </w:pPr>
            <w:r>
              <w:rPr>
                <w:sz w:val="24"/>
                <w:szCs w:val="24"/>
                <w:lang w:bidi="ar-QA"/>
              </w:rPr>
              <w:t>Time of reading</w:t>
            </w:r>
          </w:p>
        </w:tc>
        <w:tc>
          <w:tcPr>
            <w:tcW w:w="5791" w:type="dxa"/>
            <w:gridSpan w:val="3"/>
          </w:tcPr>
          <w:p w14:paraId="6116F1B0" w14:textId="407A296F" w:rsidR="00811B7D" w:rsidRDefault="00811B7D" w:rsidP="00811B7D">
            <w:pPr>
              <w:contextualSpacing/>
              <w:jc w:val="center"/>
              <w:rPr>
                <w:sz w:val="24"/>
                <w:szCs w:val="24"/>
                <w:lang w:bidi="ar-QA"/>
              </w:rPr>
            </w:pPr>
            <w:r>
              <w:rPr>
                <w:sz w:val="24"/>
                <w:szCs w:val="24"/>
                <w:lang w:bidi="ar-QA"/>
              </w:rPr>
              <w:t>P</w:t>
            </w:r>
            <w:r w:rsidRPr="00811B7D">
              <w:rPr>
                <w:sz w:val="24"/>
                <w:szCs w:val="24"/>
                <w:lang w:bidi="ar-QA"/>
              </w:rPr>
              <w:t>lasma uric acid</w:t>
            </w:r>
            <w:r>
              <w:rPr>
                <w:sz w:val="24"/>
                <w:szCs w:val="24"/>
                <w:lang w:bidi="ar-QA"/>
              </w:rPr>
              <w:t xml:space="preserve"> (</w:t>
            </w:r>
            <w:r w:rsidRPr="00811B7D">
              <w:rPr>
                <w:sz w:val="24"/>
                <w:szCs w:val="24"/>
                <w:lang w:bidi="ar-QA"/>
              </w:rPr>
              <w:t>mg/dL)</w:t>
            </w:r>
          </w:p>
        </w:tc>
        <w:tc>
          <w:tcPr>
            <w:tcW w:w="1506" w:type="dxa"/>
            <w:vMerge w:val="restart"/>
          </w:tcPr>
          <w:p w14:paraId="1F38F05D" w14:textId="6C30425D" w:rsidR="00811B7D" w:rsidRPr="00811B7D" w:rsidRDefault="00811B7D" w:rsidP="00811B7D">
            <w:pPr>
              <w:autoSpaceDE w:val="0"/>
              <w:autoSpaceDN w:val="0"/>
              <w:adjustRightInd w:val="0"/>
              <w:ind w:right="60"/>
              <w:jc w:val="center"/>
              <w:rPr>
                <w:sz w:val="24"/>
                <w:szCs w:val="24"/>
                <w:lang w:bidi="ar-QA"/>
              </w:rPr>
            </w:pPr>
            <w:r>
              <w:rPr>
                <w:sz w:val="24"/>
                <w:szCs w:val="24"/>
                <w:lang w:bidi="ar-QA"/>
              </w:rPr>
              <w:t>P value</w:t>
            </w:r>
          </w:p>
        </w:tc>
      </w:tr>
      <w:tr w:rsidR="00811B7D" w14:paraId="478B00AE" w14:textId="6669EA56" w:rsidTr="00811B7D">
        <w:tc>
          <w:tcPr>
            <w:tcW w:w="2053" w:type="dxa"/>
            <w:vMerge/>
          </w:tcPr>
          <w:p w14:paraId="3CC2BD84" w14:textId="77777777" w:rsidR="00811B7D" w:rsidRPr="00811B7D" w:rsidRDefault="00811B7D" w:rsidP="00811B7D">
            <w:pPr>
              <w:contextualSpacing/>
              <w:jc w:val="both"/>
              <w:rPr>
                <w:sz w:val="24"/>
                <w:szCs w:val="24"/>
                <w:lang w:bidi="ar-QA"/>
              </w:rPr>
            </w:pPr>
          </w:p>
        </w:tc>
        <w:tc>
          <w:tcPr>
            <w:tcW w:w="2068" w:type="dxa"/>
          </w:tcPr>
          <w:p w14:paraId="15ED5356" w14:textId="769562F4" w:rsidR="00811B7D" w:rsidRPr="00811B7D" w:rsidRDefault="00811B7D" w:rsidP="00811B7D">
            <w:pPr>
              <w:contextualSpacing/>
              <w:jc w:val="center"/>
              <w:rPr>
                <w:sz w:val="24"/>
                <w:szCs w:val="24"/>
                <w:lang w:bidi="ar-QA"/>
              </w:rPr>
            </w:pPr>
            <w:r w:rsidRPr="00811B7D">
              <w:rPr>
                <w:sz w:val="24"/>
                <w:szCs w:val="24"/>
                <w:lang w:bidi="ar-QA"/>
              </w:rPr>
              <w:t>Minimum</w:t>
            </w:r>
          </w:p>
        </w:tc>
        <w:tc>
          <w:tcPr>
            <w:tcW w:w="2077" w:type="dxa"/>
          </w:tcPr>
          <w:p w14:paraId="4CA2D0AD" w14:textId="5C0225E5" w:rsidR="00811B7D" w:rsidRPr="00811B7D" w:rsidRDefault="00811B7D" w:rsidP="00811B7D">
            <w:pPr>
              <w:contextualSpacing/>
              <w:jc w:val="center"/>
              <w:rPr>
                <w:sz w:val="24"/>
                <w:szCs w:val="24"/>
                <w:lang w:bidi="ar-QA"/>
              </w:rPr>
            </w:pPr>
            <w:r w:rsidRPr="00811B7D">
              <w:rPr>
                <w:sz w:val="24"/>
                <w:szCs w:val="24"/>
                <w:lang w:bidi="ar-QA"/>
              </w:rPr>
              <w:t>Maximum</w:t>
            </w:r>
          </w:p>
        </w:tc>
        <w:tc>
          <w:tcPr>
            <w:tcW w:w="1646" w:type="dxa"/>
          </w:tcPr>
          <w:p w14:paraId="1D2C4CCC" w14:textId="5974BAC0" w:rsidR="00811B7D" w:rsidRPr="00811B7D" w:rsidRDefault="00811B7D" w:rsidP="00811B7D">
            <w:pPr>
              <w:autoSpaceDE w:val="0"/>
              <w:autoSpaceDN w:val="0"/>
              <w:adjustRightInd w:val="0"/>
              <w:ind w:right="60"/>
              <w:jc w:val="center"/>
              <w:rPr>
                <w:sz w:val="24"/>
                <w:szCs w:val="24"/>
                <w:lang w:bidi="ar-QA"/>
              </w:rPr>
            </w:pPr>
            <w:r w:rsidRPr="00811B7D">
              <w:rPr>
                <w:sz w:val="24"/>
                <w:szCs w:val="24"/>
                <w:lang w:bidi="ar-QA"/>
              </w:rPr>
              <w:t>Mean ±</w:t>
            </w:r>
            <w:r>
              <w:rPr>
                <w:sz w:val="24"/>
                <w:szCs w:val="24"/>
                <w:lang w:bidi="ar-QA"/>
              </w:rPr>
              <w:t xml:space="preserve"> SD</w:t>
            </w:r>
          </w:p>
        </w:tc>
        <w:tc>
          <w:tcPr>
            <w:tcW w:w="1506" w:type="dxa"/>
            <w:vMerge/>
          </w:tcPr>
          <w:p w14:paraId="084FDB2F" w14:textId="77777777" w:rsidR="00811B7D" w:rsidRPr="00811B7D" w:rsidRDefault="00811B7D" w:rsidP="00811B7D">
            <w:pPr>
              <w:autoSpaceDE w:val="0"/>
              <w:autoSpaceDN w:val="0"/>
              <w:adjustRightInd w:val="0"/>
              <w:ind w:right="60"/>
              <w:jc w:val="center"/>
              <w:rPr>
                <w:sz w:val="24"/>
                <w:szCs w:val="24"/>
                <w:lang w:bidi="ar-QA"/>
              </w:rPr>
            </w:pPr>
          </w:p>
        </w:tc>
      </w:tr>
      <w:tr w:rsidR="00811B7D" w14:paraId="36E8219E" w14:textId="7A9849CD" w:rsidTr="00811B7D">
        <w:tc>
          <w:tcPr>
            <w:tcW w:w="2053" w:type="dxa"/>
            <w:vAlign w:val="center"/>
          </w:tcPr>
          <w:p w14:paraId="1A362582" w14:textId="155F6D74" w:rsidR="00811B7D" w:rsidRDefault="00811B7D" w:rsidP="00811B7D">
            <w:pPr>
              <w:contextualSpacing/>
              <w:jc w:val="both"/>
              <w:rPr>
                <w:sz w:val="24"/>
                <w:szCs w:val="24"/>
                <w:lang w:bidi="ar-QA"/>
              </w:rPr>
            </w:pPr>
            <w:r>
              <w:rPr>
                <w:sz w:val="24"/>
                <w:szCs w:val="24"/>
                <w:lang w:bidi="ar-QA"/>
              </w:rPr>
              <w:t>Baseline (C</w:t>
            </w:r>
            <w:r w:rsidRPr="00811B7D">
              <w:rPr>
                <w:sz w:val="24"/>
                <w:szCs w:val="24"/>
                <w:lang w:bidi="ar-QA"/>
              </w:rPr>
              <w:t>ontrol</w:t>
            </w:r>
            <w:r>
              <w:rPr>
                <w:sz w:val="24"/>
                <w:szCs w:val="24"/>
                <w:lang w:bidi="ar-QA"/>
              </w:rPr>
              <w:t>)</w:t>
            </w:r>
          </w:p>
        </w:tc>
        <w:tc>
          <w:tcPr>
            <w:tcW w:w="2068" w:type="dxa"/>
            <w:vAlign w:val="center"/>
          </w:tcPr>
          <w:p w14:paraId="470C983B" w14:textId="57EFBE0F" w:rsidR="00811B7D" w:rsidRDefault="00811B7D" w:rsidP="00811B7D">
            <w:pPr>
              <w:contextualSpacing/>
              <w:jc w:val="center"/>
              <w:rPr>
                <w:sz w:val="24"/>
                <w:szCs w:val="24"/>
                <w:lang w:bidi="ar-QA"/>
              </w:rPr>
            </w:pPr>
            <w:r w:rsidRPr="00811B7D">
              <w:rPr>
                <w:sz w:val="24"/>
                <w:szCs w:val="24"/>
                <w:lang w:bidi="ar-QA"/>
              </w:rPr>
              <w:t>2.90</w:t>
            </w:r>
          </w:p>
        </w:tc>
        <w:tc>
          <w:tcPr>
            <w:tcW w:w="2077" w:type="dxa"/>
            <w:vAlign w:val="center"/>
          </w:tcPr>
          <w:p w14:paraId="4938DA5D" w14:textId="235B3445" w:rsidR="00811B7D" w:rsidRDefault="00811B7D" w:rsidP="00811B7D">
            <w:pPr>
              <w:contextualSpacing/>
              <w:jc w:val="center"/>
              <w:rPr>
                <w:sz w:val="24"/>
                <w:szCs w:val="24"/>
                <w:lang w:bidi="ar-QA"/>
              </w:rPr>
            </w:pPr>
            <w:r w:rsidRPr="00811B7D">
              <w:rPr>
                <w:sz w:val="24"/>
                <w:szCs w:val="24"/>
                <w:lang w:bidi="ar-QA"/>
              </w:rPr>
              <w:t>9.00</w:t>
            </w:r>
          </w:p>
        </w:tc>
        <w:tc>
          <w:tcPr>
            <w:tcW w:w="1646" w:type="dxa"/>
            <w:vAlign w:val="center"/>
          </w:tcPr>
          <w:p w14:paraId="083A1299" w14:textId="37FBB6DC" w:rsidR="00811B7D" w:rsidRDefault="00811B7D" w:rsidP="00811B7D">
            <w:pPr>
              <w:contextualSpacing/>
              <w:jc w:val="center"/>
              <w:rPr>
                <w:sz w:val="24"/>
                <w:szCs w:val="24"/>
                <w:lang w:bidi="ar-QA"/>
              </w:rPr>
            </w:pPr>
            <w:r w:rsidRPr="00811B7D">
              <w:rPr>
                <w:sz w:val="24"/>
                <w:szCs w:val="24"/>
                <w:lang w:bidi="ar-QA"/>
              </w:rPr>
              <w:t>4.47 ± 1.17</w:t>
            </w:r>
          </w:p>
        </w:tc>
        <w:tc>
          <w:tcPr>
            <w:tcW w:w="1506" w:type="dxa"/>
          </w:tcPr>
          <w:p w14:paraId="3F54325C" w14:textId="126EE6EB" w:rsidR="00811B7D" w:rsidRPr="00811B7D" w:rsidRDefault="00811B7D" w:rsidP="00811B7D">
            <w:pPr>
              <w:contextualSpacing/>
              <w:jc w:val="center"/>
              <w:rPr>
                <w:sz w:val="24"/>
                <w:szCs w:val="24"/>
                <w:lang w:bidi="ar-QA"/>
              </w:rPr>
            </w:pPr>
            <w:r>
              <w:rPr>
                <w:sz w:val="24"/>
                <w:szCs w:val="24"/>
                <w:lang w:bidi="ar-QA"/>
              </w:rPr>
              <w:t>-</w:t>
            </w:r>
          </w:p>
        </w:tc>
      </w:tr>
      <w:tr w:rsidR="00811B7D" w14:paraId="263D3FD9" w14:textId="1C1CDB0D" w:rsidTr="00811B7D">
        <w:tc>
          <w:tcPr>
            <w:tcW w:w="2053" w:type="dxa"/>
            <w:vAlign w:val="center"/>
          </w:tcPr>
          <w:p w14:paraId="6655447E" w14:textId="49502E3B" w:rsidR="00811B7D" w:rsidRDefault="00811B7D" w:rsidP="00811B7D">
            <w:pPr>
              <w:contextualSpacing/>
              <w:jc w:val="both"/>
              <w:rPr>
                <w:sz w:val="24"/>
                <w:szCs w:val="24"/>
                <w:lang w:bidi="ar-QA"/>
              </w:rPr>
            </w:pPr>
            <w:r w:rsidRPr="00811B7D">
              <w:rPr>
                <w:sz w:val="24"/>
                <w:szCs w:val="24"/>
                <w:lang w:bidi="ar-QA"/>
              </w:rPr>
              <w:t>First Month</w:t>
            </w:r>
          </w:p>
        </w:tc>
        <w:tc>
          <w:tcPr>
            <w:tcW w:w="2068" w:type="dxa"/>
            <w:vAlign w:val="center"/>
          </w:tcPr>
          <w:p w14:paraId="025E806C" w14:textId="45B3915C" w:rsidR="00811B7D" w:rsidRDefault="00811B7D" w:rsidP="00811B7D">
            <w:pPr>
              <w:contextualSpacing/>
              <w:jc w:val="center"/>
              <w:rPr>
                <w:sz w:val="24"/>
                <w:szCs w:val="24"/>
                <w:lang w:bidi="ar-QA"/>
              </w:rPr>
            </w:pPr>
            <w:r w:rsidRPr="00811B7D">
              <w:rPr>
                <w:sz w:val="24"/>
                <w:szCs w:val="24"/>
                <w:lang w:bidi="ar-QA"/>
              </w:rPr>
              <w:t>3.80</w:t>
            </w:r>
          </w:p>
        </w:tc>
        <w:tc>
          <w:tcPr>
            <w:tcW w:w="2077" w:type="dxa"/>
            <w:vAlign w:val="center"/>
          </w:tcPr>
          <w:p w14:paraId="7E71506D" w14:textId="14DC60E6" w:rsidR="00811B7D" w:rsidRDefault="00811B7D" w:rsidP="00811B7D">
            <w:pPr>
              <w:contextualSpacing/>
              <w:jc w:val="center"/>
              <w:rPr>
                <w:sz w:val="24"/>
                <w:szCs w:val="24"/>
                <w:lang w:bidi="ar-QA"/>
              </w:rPr>
            </w:pPr>
            <w:r w:rsidRPr="00811B7D">
              <w:rPr>
                <w:sz w:val="24"/>
                <w:szCs w:val="24"/>
                <w:lang w:bidi="ar-QA"/>
              </w:rPr>
              <w:t>15.30</w:t>
            </w:r>
          </w:p>
        </w:tc>
        <w:tc>
          <w:tcPr>
            <w:tcW w:w="1646" w:type="dxa"/>
            <w:vAlign w:val="center"/>
          </w:tcPr>
          <w:p w14:paraId="6B689587" w14:textId="41C3A8DD" w:rsidR="00811B7D" w:rsidRDefault="00811B7D" w:rsidP="00811B7D">
            <w:pPr>
              <w:contextualSpacing/>
              <w:jc w:val="center"/>
              <w:rPr>
                <w:sz w:val="24"/>
                <w:szCs w:val="24"/>
                <w:lang w:bidi="ar-QA"/>
              </w:rPr>
            </w:pPr>
            <w:r w:rsidRPr="00811B7D">
              <w:rPr>
                <w:sz w:val="24"/>
                <w:szCs w:val="24"/>
                <w:lang w:bidi="ar-QA"/>
              </w:rPr>
              <w:t>8.67 ± 2.39</w:t>
            </w:r>
          </w:p>
        </w:tc>
        <w:tc>
          <w:tcPr>
            <w:tcW w:w="1506" w:type="dxa"/>
          </w:tcPr>
          <w:p w14:paraId="1A0C3D38" w14:textId="72A3D7FA" w:rsidR="00811B7D" w:rsidRPr="00811B7D" w:rsidRDefault="00811B7D" w:rsidP="00811B7D">
            <w:pPr>
              <w:contextualSpacing/>
              <w:jc w:val="center"/>
              <w:rPr>
                <w:sz w:val="24"/>
                <w:szCs w:val="24"/>
                <w:lang w:bidi="ar-QA"/>
              </w:rPr>
            </w:pPr>
            <w:r w:rsidRPr="00811B7D">
              <w:rPr>
                <w:sz w:val="24"/>
                <w:szCs w:val="24"/>
                <w:lang w:bidi="ar-QA"/>
              </w:rPr>
              <w:t>&lt; 0.001</w:t>
            </w:r>
            <w:r w:rsidR="00DB79DA" w:rsidRPr="00DB79DA">
              <w:rPr>
                <w:sz w:val="24"/>
                <w:szCs w:val="24"/>
                <w:vertAlign w:val="superscript"/>
                <w:lang w:bidi="ar-QA"/>
              </w:rPr>
              <w:t>*</w:t>
            </w:r>
          </w:p>
        </w:tc>
      </w:tr>
      <w:tr w:rsidR="00811B7D" w14:paraId="565871A8" w14:textId="6295495C" w:rsidTr="00811B7D">
        <w:tc>
          <w:tcPr>
            <w:tcW w:w="2053" w:type="dxa"/>
            <w:vAlign w:val="center"/>
          </w:tcPr>
          <w:p w14:paraId="33CD291F" w14:textId="240A66D3" w:rsidR="00811B7D" w:rsidRDefault="00811B7D" w:rsidP="00811B7D">
            <w:pPr>
              <w:contextualSpacing/>
              <w:jc w:val="both"/>
              <w:rPr>
                <w:sz w:val="24"/>
                <w:szCs w:val="24"/>
                <w:lang w:bidi="ar-QA"/>
              </w:rPr>
            </w:pPr>
            <w:r w:rsidRPr="00811B7D">
              <w:rPr>
                <w:sz w:val="24"/>
                <w:szCs w:val="24"/>
                <w:lang w:bidi="ar-QA"/>
              </w:rPr>
              <w:t>Second Month</w:t>
            </w:r>
          </w:p>
        </w:tc>
        <w:tc>
          <w:tcPr>
            <w:tcW w:w="2068" w:type="dxa"/>
            <w:vAlign w:val="center"/>
          </w:tcPr>
          <w:p w14:paraId="16C73F93" w14:textId="301DDC35" w:rsidR="00811B7D" w:rsidRDefault="00811B7D" w:rsidP="00811B7D">
            <w:pPr>
              <w:contextualSpacing/>
              <w:jc w:val="center"/>
              <w:rPr>
                <w:sz w:val="24"/>
                <w:szCs w:val="24"/>
                <w:lang w:bidi="ar-QA"/>
              </w:rPr>
            </w:pPr>
            <w:r w:rsidRPr="00811B7D">
              <w:rPr>
                <w:sz w:val="24"/>
                <w:szCs w:val="24"/>
                <w:lang w:bidi="ar-QA"/>
              </w:rPr>
              <w:t>4.30</w:t>
            </w:r>
          </w:p>
        </w:tc>
        <w:tc>
          <w:tcPr>
            <w:tcW w:w="2077" w:type="dxa"/>
            <w:vAlign w:val="center"/>
          </w:tcPr>
          <w:p w14:paraId="74DEB8C6" w14:textId="0495B1ED" w:rsidR="00811B7D" w:rsidRDefault="00811B7D" w:rsidP="00811B7D">
            <w:pPr>
              <w:contextualSpacing/>
              <w:jc w:val="center"/>
              <w:rPr>
                <w:sz w:val="24"/>
                <w:szCs w:val="24"/>
                <w:lang w:bidi="ar-QA"/>
              </w:rPr>
            </w:pPr>
            <w:r w:rsidRPr="00811B7D">
              <w:rPr>
                <w:sz w:val="24"/>
                <w:szCs w:val="24"/>
                <w:lang w:bidi="ar-QA"/>
              </w:rPr>
              <w:t>14.70</w:t>
            </w:r>
          </w:p>
        </w:tc>
        <w:tc>
          <w:tcPr>
            <w:tcW w:w="1646" w:type="dxa"/>
            <w:vAlign w:val="center"/>
          </w:tcPr>
          <w:p w14:paraId="47CB1E5B" w14:textId="7DD78E50" w:rsidR="00811B7D" w:rsidRDefault="00811B7D" w:rsidP="00811B7D">
            <w:pPr>
              <w:contextualSpacing/>
              <w:jc w:val="center"/>
              <w:rPr>
                <w:sz w:val="24"/>
                <w:szCs w:val="24"/>
                <w:lang w:bidi="ar-QA"/>
              </w:rPr>
            </w:pPr>
            <w:r w:rsidRPr="00811B7D">
              <w:rPr>
                <w:sz w:val="24"/>
                <w:szCs w:val="24"/>
                <w:lang w:bidi="ar-QA"/>
              </w:rPr>
              <w:t>8.94 ± 2.07</w:t>
            </w:r>
          </w:p>
        </w:tc>
        <w:tc>
          <w:tcPr>
            <w:tcW w:w="1506" w:type="dxa"/>
          </w:tcPr>
          <w:p w14:paraId="142C3B39" w14:textId="4821B6FC" w:rsidR="00811B7D" w:rsidRPr="00811B7D" w:rsidRDefault="00811B7D" w:rsidP="00811B7D">
            <w:pPr>
              <w:contextualSpacing/>
              <w:jc w:val="center"/>
              <w:rPr>
                <w:sz w:val="24"/>
                <w:szCs w:val="24"/>
                <w:lang w:bidi="ar-QA"/>
              </w:rPr>
            </w:pPr>
            <w:r w:rsidRPr="00811B7D">
              <w:rPr>
                <w:sz w:val="24"/>
                <w:szCs w:val="24"/>
                <w:lang w:bidi="ar-QA"/>
              </w:rPr>
              <w:t>&lt; 0.001</w:t>
            </w:r>
            <w:r w:rsidR="00DB79DA" w:rsidRPr="00DB79DA">
              <w:rPr>
                <w:sz w:val="24"/>
                <w:szCs w:val="24"/>
                <w:vertAlign w:val="superscript"/>
                <w:lang w:bidi="ar-QA"/>
              </w:rPr>
              <w:t>*</w:t>
            </w:r>
          </w:p>
        </w:tc>
      </w:tr>
      <w:tr w:rsidR="00811B7D" w14:paraId="0AD5E882" w14:textId="7FE8A34A" w:rsidTr="00811B7D">
        <w:tc>
          <w:tcPr>
            <w:tcW w:w="2053" w:type="dxa"/>
            <w:vAlign w:val="center"/>
          </w:tcPr>
          <w:p w14:paraId="42BA1577" w14:textId="3E177AE1" w:rsidR="00811B7D" w:rsidRDefault="00811B7D" w:rsidP="00811B7D">
            <w:pPr>
              <w:contextualSpacing/>
              <w:jc w:val="both"/>
              <w:rPr>
                <w:sz w:val="24"/>
                <w:szCs w:val="24"/>
                <w:lang w:bidi="ar-QA"/>
              </w:rPr>
            </w:pPr>
            <w:r w:rsidRPr="00811B7D">
              <w:rPr>
                <w:sz w:val="24"/>
                <w:szCs w:val="24"/>
                <w:lang w:bidi="ar-QA"/>
              </w:rPr>
              <w:t>Third Month</w:t>
            </w:r>
          </w:p>
        </w:tc>
        <w:tc>
          <w:tcPr>
            <w:tcW w:w="2068" w:type="dxa"/>
            <w:vAlign w:val="center"/>
          </w:tcPr>
          <w:p w14:paraId="1A0D29C1" w14:textId="517B7C43" w:rsidR="00811B7D" w:rsidRDefault="00811B7D" w:rsidP="00811B7D">
            <w:pPr>
              <w:contextualSpacing/>
              <w:jc w:val="center"/>
              <w:rPr>
                <w:sz w:val="24"/>
                <w:szCs w:val="24"/>
                <w:lang w:bidi="ar-QA"/>
              </w:rPr>
            </w:pPr>
            <w:r w:rsidRPr="00811B7D">
              <w:rPr>
                <w:sz w:val="24"/>
                <w:szCs w:val="24"/>
                <w:lang w:bidi="ar-QA"/>
              </w:rPr>
              <w:t>3.40</w:t>
            </w:r>
          </w:p>
        </w:tc>
        <w:tc>
          <w:tcPr>
            <w:tcW w:w="2077" w:type="dxa"/>
            <w:vAlign w:val="center"/>
          </w:tcPr>
          <w:p w14:paraId="06077DED" w14:textId="095AF115" w:rsidR="00811B7D" w:rsidRDefault="00811B7D" w:rsidP="00811B7D">
            <w:pPr>
              <w:contextualSpacing/>
              <w:jc w:val="center"/>
              <w:rPr>
                <w:sz w:val="24"/>
                <w:szCs w:val="24"/>
                <w:lang w:bidi="ar-QA"/>
              </w:rPr>
            </w:pPr>
            <w:r w:rsidRPr="00811B7D">
              <w:rPr>
                <w:sz w:val="24"/>
                <w:szCs w:val="24"/>
                <w:lang w:bidi="ar-QA"/>
              </w:rPr>
              <w:t>14.00</w:t>
            </w:r>
          </w:p>
        </w:tc>
        <w:tc>
          <w:tcPr>
            <w:tcW w:w="1646" w:type="dxa"/>
            <w:vAlign w:val="center"/>
          </w:tcPr>
          <w:p w14:paraId="27CD522A" w14:textId="141D785F" w:rsidR="00811B7D" w:rsidRDefault="00811B7D" w:rsidP="00811B7D">
            <w:pPr>
              <w:contextualSpacing/>
              <w:jc w:val="center"/>
              <w:rPr>
                <w:sz w:val="24"/>
                <w:szCs w:val="24"/>
                <w:lang w:bidi="ar-QA"/>
              </w:rPr>
            </w:pPr>
            <w:r w:rsidRPr="00811B7D">
              <w:rPr>
                <w:sz w:val="24"/>
                <w:szCs w:val="24"/>
                <w:lang w:bidi="ar-QA"/>
              </w:rPr>
              <w:t>9.04 ± 1.89</w:t>
            </w:r>
          </w:p>
        </w:tc>
        <w:tc>
          <w:tcPr>
            <w:tcW w:w="1506" w:type="dxa"/>
          </w:tcPr>
          <w:p w14:paraId="1ACD46D2" w14:textId="5075CCC5" w:rsidR="00811B7D" w:rsidRPr="00811B7D" w:rsidRDefault="00811B7D" w:rsidP="00811B7D">
            <w:pPr>
              <w:contextualSpacing/>
              <w:jc w:val="center"/>
              <w:rPr>
                <w:sz w:val="24"/>
                <w:szCs w:val="24"/>
                <w:lang w:bidi="ar-QA"/>
              </w:rPr>
            </w:pPr>
            <w:r w:rsidRPr="00811B7D">
              <w:rPr>
                <w:sz w:val="24"/>
                <w:szCs w:val="24"/>
                <w:lang w:bidi="ar-QA"/>
              </w:rPr>
              <w:t>&lt; 0.001</w:t>
            </w:r>
            <w:r w:rsidR="00DB79DA" w:rsidRPr="00DB79DA">
              <w:rPr>
                <w:sz w:val="24"/>
                <w:szCs w:val="24"/>
                <w:vertAlign w:val="superscript"/>
                <w:lang w:bidi="ar-QA"/>
              </w:rPr>
              <w:t>*</w:t>
            </w:r>
          </w:p>
        </w:tc>
      </w:tr>
      <w:tr w:rsidR="00811B7D" w14:paraId="79D7AB61" w14:textId="5022A05C" w:rsidTr="00811B7D">
        <w:tc>
          <w:tcPr>
            <w:tcW w:w="2053" w:type="dxa"/>
            <w:vAlign w:val="center"/>
          </w:tcPr>
          <w:p w14:paraId="71636FE2" w14:textId="25D1D57E" w:rsidR="00811B7D" w:rsidRDefault="00811B7D" w:rsidP="00811B7D">
            <w:pPr>
              <w:contextualSpacing/>
              <w:jc w:val="both"/>
              <w:rPr>
                <w:sz w:val="24"/>
                <w:szCs w:val="24"/>
                <w:lang w:bidi="ar-QA"/>
              </w:rPr>
            </w:pPr>
            <w:r w:rsidRPr="00811B7D">
              <w:rPr>
                <w:sz w:val="24"/>
                <w:szCs w:val="24"/>
                <w:lang w:bidi="ar-QA"/>
              </w:rPr>
              <w:t>Fourth Month</w:t>
            </w:r>
          </w:p>
        </w:tc>
        <w:tc>
          <w:tcPr>
            <w:tcW w:w="2068" w:type="dxa"/>
            <w:vAlign w:val="center"/>
          </w:tcPr>
          <w:p w14:paraId="4B456F22" w14:textId="152C0DAF" w:rsidR="00811B7D" w:rsidRDefault="00811B7D" w:rsidP="00811B7D">
            <w:pPr>
              <w:contextualSpacing/>
              <w:jc w:val="center"/>
              <w:rPr>
                <w:sz w:val="24"/>
                <w:szCs w:val="24"/>
                <w:lang w:bidi="ar-QA"/>
              </w:rPr>
            </w:pPr>
            <w:r w:rsidRPr="00811B7D">
              <w:rPr>
                <w:sz w:val="24"/>
                <w:szCs w:val="24"/>
                <w:lang w:bidi="ar-QA"/>
              </w:rPr>
              <w:t>4.60</w:t>
            </w:r>
          </w:p>
        </w:tc>
        <w:tc>
          <w:tcPr>
            <w:tcW w:w="2077" w:type="dxa"/>
            <w:vAlign w:val="center"/>
          </w:tcPr>
          <w:p w14:paraId="41C55620" w14:textId="56159EEF" w:rsidR="00811B7D" w:rsidRDefault="00811B7D" w:rsidP="00811B7D">
            <w:pPr>
              <w:contextualSpacing/>
              <w:jc w:val="center"/>
              <w:rPr>
                <w:sz w:val="24"/>
                <w:szCs w:val="24"/>
                <w:lang w:bidi="ar-QA"/>
              </w:rPr>
            </w:pPr>
            <w:r w:rsidRPr="00811B7D">
              <w:rPr>
                <w:sz w:val="24"/>
                <w:szCs w:val="24"/>
                <w:lang w:bidi="ar-QA"/>
              </w:rPr>
              <w:t>13.40</w:t>
            </w:r>
          </w:p>
        </w:tc>
        <w:tc>
          <w:tcPr>
            <w:tcW w:w="1646" w:type="dxa"/>
            <w:vAlign w:val="center"/>
          </w:tcPr>
          <w:p w14:paraId="0C8588A4" w14:textId="167F0A2F" w:rsidR="00811B7D" w:rsidRDefault="00811B7D" w:rsidP="00811B7D">
            <w:pPr>
              <w:contextualSpacing/>
              <w:jc w:val="center"/>
              <w:rPr>
                <w:sz w:val="24"/>
                <w:szCs w:val="24"/>
                <w:lang w:bidi="ar-QA"/>
              </w:rPr>
            </w:pPr>
            <w:r w:rsidRPr="00811B7D">
              <w:rPr>
                <w:sz w:val="24"/>
                <w:szCs w:val="24"/>
                <w:lang w:bidi="ar-QA"/>
              </w:rPr>
              <w:t>9.56 ± 1.85</w:t>
            </w:r>
          </w:p>
        </w:tc>
        <w:tc>
          <w:tcPr>
            <w:tcW w:w="1506" w:type="dxa"/>
          </w:tcPr>
          <w:p w14:paraId="5B6EBA7E" w14:textId="6CEDC606" w:rsidR="00811B7D" w:rsidRPr="00811B7D" w:rsidRDefault="00811B7D" w:rsidP="00811B7D">
            <w:pPr>
              <w:contextualSpacing/>
              <w:jc w:val="center"/>
              <w:rPr>
                <w:sz w:val="24"/>
                <w:szCs w:val="24"/>
                <w:lang w:bidi="ar-QA"/>
              </w:rPr>
            </w:pPr>
            <w:r w:rsidRPr="00811B7D">
              <w:rPr>
                <w:sz w:val="24"/>
                <w:szCs w:val="24"/>
                <w:lang w:bidi="ar-QA"/>
              </w:rPr>
              <w:t>&lt; 0.001</w:t>
            </w:r>
            <w:r w:rsidR="00DB79DA" w:rsidRPr="00DB79DA">
              <w:rPr>
                <w:sz w:val="24"/>
                <w:szCs w:val="24"/>
                <w:vertAlign w:val="superscript"/>
                <w:lang w:bidi="ar-QA"/>
              </w:rPr>
              <w:t>*</w:t>
            </w:r>
          </w:p>
        </w:tc>
      </w:tr>
      <w:tr w:rsidR="00811B7D" w14:paraId="3FD4E5BF" w14:textId="41F56225" w:rsidTr="00811B7D">
        <w:tc>
          <w:tcPr>
            <w:tcW w:w="2053" w:type="dxa"/>
            <w:vAlign w:val="center"/>
          </w:tcPr>
          <w:p w14:paraId="30F5D0A3" w14:textId="7DF80EBF" w:rsidR="00811B7D" w:rsidRDefault="00811B7D" w:rsidP="00811B7D">
            <w:pPr>
              <w:contextualSpacing/>
              <w:jc w:val="both"/>
              <w:rPr>
                <w:sz w:val="24"/>
                <w:szCs w:val="24"/>
                <w:lang w:bidi="ar-QA"/>
              </w:rPr>
            </w:pPr>
            <w:r w:rsidRPr="00811B7D">
              <w:rPr>
                <w:sz w:val="24"/>
                <w:szCs w:val="24"/>
                <w:lang w:bidi="ar-QA"/>
              </w:rPr>
              <w:t>Fifth Month</w:t>
            </w:r>
          </w:p>
        </w:tc>
        <w:tc>
          <w:tcPr>
            <w:tcW w:w="2068" w:type="dxa"/>
            <w:vAlign w:val="center"/>
          </w:tcPr>
          <w:p w14:paraId="61D6A418" w14:textId="22B676A8" w:rsidR="00811B7D" w:rsidRDefault="00811B7D" w:rsidP="00811B7D">
            <w:pPr>
              <w:contextualSpacing/>
              <w:jc w:val="center"/>
              <w:rPr>
                <w:sz w:val="24"/>
                <w:szCs w:val="24"/>
                <w:lang w:bidi="ar-QA"/>
              </w:rPr>
            </w:pPr>
            <w:r w:rsidRPr="00811B7D">
              <w:rPr>
                <w:sz w:val="24"/>
                <w:szCs w:val="24"/>
                <w:lang w:bidi="ar-QA"/>
              </w:rPr>
              <w:t>4.30</w:t>
            </w:r>
          </w:p>
        </w:tc>
        <w:tc>
          <w:tcPr>
            <w:tcW w:w="2077" w:type="dxa"/>
            <w:vAlign w:val="center"/>
          </w:tcPr>
          <w:p w14:paraId="0262104D" w14:textId="4CF2CCBE" w:rsidR="00811B7D" w:rsidRDefault="00811B7D" w:rsidP="00811B7D">
            <w:pPr>
              <w:contextualSpacing/>
              <w:jc w:val="center"/>
              <w:rPr>
                <w:sz w:val="24"/>
                <w:szCs w:val="24"/>
                <w:lang w:bidi="ar-QA"/>
              </w:rPr>
            </w:pPr>
            <w:r w:rsidRPr="00811B7D">
              <w:rPr>
                <w:sz w:val="24"/>
                <w:szCs w:val="24"/>
                <w:lang w:bidi="ar-QA"/>
              </w:rPr>
              <w:t>15.80</w:t>
            </w:r>
          </w:p>
        </w:tc>
        <w:tc>
          <w:tcPr>
            <w:tcW w:w="1646" w:type="dxa"/>
            <w:vAlign w:val="center"/>
          </w:tcPr>
          <w:p w14:paraId="43160BF1" w14:textId="19A57A54" w:rsidR="00811B7D" w:rsidRDefault="00811B7D" w:rsidP="00811B7D">
            <w:pPr>
              <w:contextualSpacing/>
              <w:jc w:val="center"/>
              <w:rPr>
                <w:sz w:val="24"/>
                <w:szCs w:val="24"/>
                <w:lang w:bidi="ar-QA"/>
              </w:rPr>
            </w:pPr>
            <w:r w:rsidRPr="00811B7D">
              <w:rPr>
                <w:sz w:val="24"/>
                <w:szCs w:val="24"/>
                <w:lang w:bidi="ar-QA"/>
              </w:rPr>
              <w:t>9.68 ± 1.96</w:t>
            </w:r>
          </w:p>
        </w:tc>
        <w:tc>
          <w:tcPr>
            <w:tcW w:w="1506" w:type="dxa"/>
          </w:tcPr>
          <w:p w14:paraId="7DC2EE45" w14:textId="78D2C89D" w:rsidR="00811B7D" w:rsidRPr="00811B7D" w:rsidRDefault="00811B7D" w:rsidP="00811B7D">
            <w:pPr>
              <w:contextualSpacing/>
              <w:jc w:val="center"/>
              <w:rPr>
                <w:sz w:val="24"/>
                <w:szCs w:val="24"/>
                <w:lang w:bidi="ar-QA"/>
              </w:rPr>
            </w:pPr>
            <w:r w:rsidRPr="00811B7D">
              <w:rPr>
                <w:sz w:val="24"/>
                <w:szCs w:val="24"/>
                <w:lang w:bidi="ar-QA"/>
              </w:rPr>
              <w:t>&lt; 0.001</w:t>
            </w:r>
            <w:r w:rsidR="00DB79DA" w:rsidRPr="00DB79DA">
              <w:rPr>
                <w:sz w:val="24"/>
                <w:szCs w:val="24"/>
                <w:vertAlign w:val="superscript"/>
                <w:lang w:bidi="ar-QA"/>
              </w:rPr>
              <w:t>*</w:t>
            </w:r>
          </w:p>
        </w:tc>
      </w:tr>
    </w:tbl>
    <w:p w14:paraId="6FAE065A" w14:textId="0B1299D0" w:rsidR="00811B7D" w:rsidRPr="00DB79DA" w:rsidRDefault="00DB79DA" w:rsidP="00DB79DA">
      <w:pPr>
        <w:spacing w:after="0" w:line="240" w:lineRule="auto"/>
        <w:contextualSpacing/>
        <w:jc w:val="both"/>
        <w:rPr>
          <w:rFonts w:ascii="Times New Roman" w:hAnsi="Times New Roman" w:cs="Times New Roman"/>
          <w:sz w:val="24"/>
          <w:szCs w:val="24"/>
        </w:rPr>
      </w:pPr>
      <w:r w:rsidRPr="00DB79DA">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DB79DA">
        <w:rPr>
          <w:rFonts w:ascii="Times New Roman" w:hAnsi="Times New Roman" w:cs="Times New Roman"/>
          <w:sz w:val="24"/>
          <w:szCs w:val="24"/>
        </w:rPr>
        <w:t xml:space="preserve">Values represent mean ± standard deviation (SD). P values were calculated using </w:t>
      </w:r>
      <w:r>
        <w:rPr>
          <w:rFonts w:ascii="Times New Roman" w:hAnsi="Times New Roman" w:cs="Times New Roman"/>
          <w:sz w:val="24"/>
          <w:szCs w:val="24"/>
        </w:rPr>
        <w:t>paired</w:t>
      </w:r>
      <w:r w:rsidRPr="00DB79DA">
        <w:rPr>
          <w:rFonts w:ascii="Times New Roman" w:hAnsi="Times New Roman" w:cs="Times New Roman"/>
          <w:sz w:val="24"/>
          <w:szCs w:val="24"/>
        </w:rPr>
        <w:t xml:space="preserve"> t-tests comparing each monthly mean with the baseline (pre-pyrazinamide) uric acid level. Significant at p &lt; 0.05 compared with baseline.</w:t>
      </w:r>
    </w:p>
    <w:p w14:paraId="4DD194E7" w14:textId="77777777" w:rsidR="001C79C1" w:rsidRDefault="001C79C1" w:rsidP="00010AA9">
      <w:pPr>
        <w:spacing w:after="0" w:line="480" w:lineRule="auto"/>
        <w:contextualSpacing/>
        <w:jc w:val="both"/>
        <w:rPr>
          <w:rFonts w:ascii="Times New Roman" w:hAnsi="Times New Roman" w:cs="Times New Roman"/>
          <w:b/>
          <w:bCs/>
          <w:sz w:val="24"/>
          <w:szCs w:val="24"/>
        </w:rPr>
      </w:pPr>
    </w:p>
    <w:p w14:paraId="27B81120" w14:textId="13EB881E" w:rsidR="00010AA9" w:rsidRPr="00010AA9" w:rsidRDefault="00010AA9" w:rsidP="00010AA9">
      <w:pPr>
        <w:spacing w:after="0" w:line="480" w:lineRule="auto"/>
        <w:contextualSpacing/>
        <w:jc w:val="both"/>
        <w:rPr>
          <w:rFonts w:ascii="Times New Roman" w:hAnsi="Times New Roman" w:cs="Times New Roman"/>
          <w:b/>
          <w:bCs/>
          <w:sz w:val="24"/>
          <w:szCs w:val="24"/>
        </w:rPr>
      </w:pPr>
      <w:r w:rsidRPr="00010AA9">
        <w:rPr>
          <w:rFonts w:ascii="Times New Roman" w:hAnsi="Times New Roman" w:cs="Times New Roman"/>
          <w:b/>
          <w:bCs/>
          <w:sz w:val="24"/>
          <w:szCs w:val="24"/>
        </w:rPr>
        <w:t>4. Discussion</w:t>
      </w:r>
    </w:p>
    <w:p w14:paraId="6EB562F1" w14:textId="23786E91" w:rsidR="00010AA9" w:rsidRPr="00010AA9" w:rsidRDefault="00010AA9" w:rsidP="00010AA9">
      <w:pPr>
        <w:spacing w:after="0" w:line="480" w:lineRule="auto"/>
        <w:ind w:firstLine="720"/>
        <w:contextualSpacing/>
        <w:jc w:val="both"/>
        <w:rPr>
          <w:rFonts w:ascii="Times New Roman" w:hAnsi="Times New Roman" w:cs="Times New Roman"/>
          <w:sz w:val="24"/>
          <w:szCs w:val="24"/>
        </w:rPr>
      </w:pPr>
      <w:r w:rsidRPr="00010AA9">
        <w:rPr>
          <w:rFonts w:ascii="Times New Roman" w:hAnsi="Times New Roman" w:cs="Times New Roman"/>
          <w:sz w:val="24"/>
          <w:szCs w:val="24"/>
        </w:rPr>
        <w:t xml:space="preserve">In our retrospective study among MDR-TB patients receiving treatment in </w:t>
      </w:r>
      <w:r w:rsidRPr="00371977">
        <w:rPr>
          <w:rFonts w:ascii="Times New Roman" w:eastAsia="Times New Roman" w:hAnsi="Times New Roman" w:cs="Times New Roman"/>
          <w:sz w:val="24"/>
          <w:szCs w:val="24"/>
        </w:rPr>
        <w:t xml:space="preserve">Abu-Anja </w:t>
      </w:r>
      <w:r w:rsidRPr="00010AA9">
        <w:rPr>
          <w:rFonts w:ascii="Times New Roman" w:hAnsi="Times New Roman" w:cs="Times New Roman"/>
          <w:sz w:val="24"/>
          <w:szCs w:val="24"/>
        </w:rPr>
        <w:t>teaching hospital, there was a pronounced and progressive rise in uric acid levels during the initial five months on anti-TB therapy also containing PZA. The average was almost double that of baseline in Month 1 and persisted thereafter. These results are in line with other studies that proved urate clearance was lower after taking PZA, and there was an increase in uric acid blood levels. For instance, there was an increase in the uric acid level in Indonesian TB patients with pulmonary TB taking PZA therapy. The study proved that uric acid levels elevated to 7.74 mg/dL from 5.14 mg/dL after two months of therapy (p=0.001)</w:t>
      </w:r>
      <w:r w:rsidR="00F955A9">
        <w:rPr>
          <w:rFonts w:ascii="Times New Roman" w:hAnsi="Times New Roman" w:cs="Times New Roman"/>
          <w:sz w:val="24"/>
          <w:szCs w:val="24"/>
        </w:rPr>
        <w:t xml:space="preserve"> (</w:t>
      </w:r>
      <w:r w:rsidR="008C29E4">
        <w:rPr>
          <w:rFonts w:ascii="Times New Roman" w:hAnsi="Times New Roman" w:cs="Times New Roman"/>
          <w:sz w:val="24"/>
          <w:szCs w:val="24"/>
        </w:rPr>
        <w:t>8</w:t>
      </w:r>
      <w:r w:rsidR="00F955A9">
        <w:rPr>
          <w:rFonts w:ascii="Times New Roman" w:hAnsi="Times New Roman" w:cs="Times New Roman"/>
          <w:sz w:val="24"/>
          <w:szCs w:val="24"/>
        </w:rPr>
        <w:t>)</w:t>
      </w:r>
      <w:r w:rsidRPr="00010AA9">
        <w:rPr>
          <w:rFonts w:ascii="Times New Roman" w:hAnsi="Times New Roman" w:cs="Times New Roman"/>
          <w:sz w:val="24"/>
          <w:szCs w:val="24"/>
        </w:rPr>
        <w:t>. In another study among TB patients receiving PZA among Koreans, there was hyperuricemia (more than 7 mg/dL in men and 6 mg/dL in women) in 82.3% TB patients</w:t>
      </w:r>
      <w:r w:rsidR="00F955A9">
        <w:rPr>
          <w:rFonts w:ascii="Times New Roman" w:hAnsi="Times New Roman" w:cs="Times New Roman"/>
          <w:sz w:val="24"/>
          <w:szCs w:val="24"/>
        </w:rPr>
        <w:t xml:space="preserve"> (1</w:t>
      </w:r>
      <w:r w:rsidR="008C29E4">
        <w:rPr>
          <w:rFonts w:ascii="Times New Roman" w:hAnsi="Times New Roman" w:cs="Times New Roman"/>
          <w:sz w:val="24"/>
          <w:szCs w:val="24"/>
        </w:rPr>
        <w:t>4</w:t>
      </w:r>
      <w:r w:rsidR="00F955A9">
        <w:rPr>
          <w:rFonts w:ascii="Times New Roman" w:hAnsi="Times New Roman" w:cs="Times New Roman"/>
          <w:sz w:val="24"/>
          <w:szCs w:val="24"/>
        </w:rPr>
        <w:t>)</w:t>
      </w:r>
      <w:r w:rsidRPr="00010AA9">
        <w:rPr>
          <w:rFonts w:ascii="Times New Roman" w:hAnsi="Times New Roman" w:cs="Times New Roman"/>
          <w:sz w:val="24"/>
          <w:szCs w:val="24"/>
        </w:rPr>
        <w:t>.</w:t>
      </w:r>
    </w:p>
    <w:p w14:paraId="09870129" w14:textId="29AD7751" w:rsidR="00EB751C" w:rsidRDefault="00010AA9" w:rsidP="00EB751C">
      <w:pPr>
        <w:spacing w:after="0" w:line="480" w:lineRule="auto"/>
        <w:ind w:firstLine="720"/>
        <w:contextualSpacing/>
        <w:jc w:val="both"/>
        <w:rPr>
          <w:rFonts w:ascii="Times New Roman" w:hAnsi="Times New Roman" w:cs="Times New Roman"/>
          <w:sz w:val="24"/>
          <w:szCs w:val="24"/>
        </w:rPr>
      </w:pPr>
      <w:r w:rsidRPr="00010AA9">
        <w:rPr>
          <w:rFonts w:ascii="Times New Roman" w:hAnsi="Times New Roman" w:cs="Times New Roman"/>
          <w:sz w:val="24"/>
          <w:szCs w:val="24"/>
        </w:rPr>
        <w:t xml:space="preserve">The degree of increase in our population (to approximately 9.7 mg/dL by month 5) appears to be greater than that in some other studies. This could be due to factors such as patient characteristics (being underweight in about 58% of our population, potential renal impairment, ethno-geographic variability), or extended observation during MDR-TB treatment rather than </w:t>
      </w:r>
      <w:r w:rsidRPr="00010AA9">
        <w:rPr>
          <w:rFonts w:ascii="Times New Roman" w:hAnsi="Times New Roman" w:cs="Times New Roman"/>
          <w:sz w:val="24"/>
          <w:szCs w:val="24"/>
        </w:rPr>
        <w:lastRenderedPageBreak/>
        <w:t>during the initial two months of intensive therapy.</w:t>
      </w:r>
      <w:r w:rsidR="00EB751C">
        <w:rPr>
          <w:rFonts w:ascii="Times New Roman" w:hAnsi="Times New Roman" w:cs="Times New Roman"/>
          <w:sz w:val="24"/>
          <w:szCs w:val="24"/>
        </w:rPr>
        <w:t xml:space="preserve"> </w:t>
      </w:r>
      <w:r w:rsidRPr="00010AA9">
        <w:rPr>
          <w:rFonts w:ascii="Times New Roman" w:hAnsi="Times New Roman" w:cs="Times New Roman"/>
          <w:sz w:val="24"/>
          <w:szCs w:val="24"/>
        </w:rPr>
        <w:t>As regards the findings in cases with hyperuricemia during TB treatment, it was shown to be asymptomatic; however, it does increase the risk for gout, renal impairment, and nephrolithiasis</w:t>
      </w:r>
      <w:r w:rsidR="00EB751C">
        <w:rPr>
          <w:rFonts w:ascii="Times New Roman" w:hAnsi="Times New Roman" w:cs="Times New Roman"/>
          <w:sz w:val="24"/>
          <w:szCs w:val="24"/>
        </w:rPr>
        <w:t xml:space="preserve"> (1</w:t>
      </w:r>
      <w:r w:rsidR="008C29E4">
        <w:rPr>
          <w:rFonts w:ascii="Times New Roman" w:hAnsi="Times New Roman" w:cs="Times New Roman"/>
          <w:sz w:val="24"/>
          <w:szCs w:val="24"/>
        </w:rPr>
        <w:t>5</w:t>
      </w:r>
      <w:r w:rsidR="00EB751C">
        <w:rPr>
          <w:rFonts w:ascii="Times New Roman" w:hAnsi="Times New Roman" w:cs="Times New Roman"/>
          <w:sz w:val="24"/>
          <w:szCs w:val="24"/>
        </w:rPr>
        <w:t>)</w:t>
      </w:r>
      <w:r w:rsidRPr="00010AA9">
        <w:rPr>
          <w:rFonts w:ascii="Times New Roman" w:hAnsi="Times New Roman" w:cs="Times New Roman"/>
          <w:sz w:val="24"/>
          <w:szCs w:val="24"/>
        </w:rPr>
        <w:t>. The lower extremities and feet were mostly involved in our study (42.8% incidence in the feet) as are the gouty manifestations according to other studies in TB treatment due to hyperuricemia induced by drugs</w:t>
      </w:r>
      <w:r w:rsidR="00EB751C">
        <w:rPr>
          <w:rFonts w:ascii="Times New Roman" w:hAnsi="Times New Roman" w:cs="Times New Roman"/>
          <w:sz w:val="24"/>
          <w:szCs w:val="24"/>
        </w:rPr>
        <w:t xml:space="preserve"> (1</w:t>
      </w:r>
      <w:r w:rsidR="008C29E4">
        <w:rPr>
          <w:rFonts w:ascii="Times New Roman" w:hAnsi="Times New Roman" w:cs="Times New Roman"/>
          <w:sz w:val="24"/>
          <w:szCs w:val="24"/>
        </w:rPr>
        <w:t>6</w:t>
      </w:r>
      <w:r w:rsidR="00EB751C">
        <w:rPr>
          <w:rFonts w:ascii="Times New Roman" w:hAnsi="Times New Roman" w:cs="Times New Roman"/>
          <w:sz w:val="24"/>
          <w:szCs w:val="24"/>
        </w:rPr>
        <w:t>)</w:t>
      </w:r>
      <w:r w:rsidRPr="00010AA9">
        <w:rPr>
          <w:rFonts w:ascii="Times New Roman" w:hAnsi="Times New Roman" w:cs="Times New Roman"/>
          <w:sz w:val="24"/>
          <w:szCs w:val="24"/>
        </w:rPr>
        <w:t>.</w:t>
      </w:r>
    </w:p>
    <w:p w14:paraId="26D60F71" w14:textId="61204A0C" w:rsidR="001C79C1" w:rsidRDefault="00010AA9" w:rsidP="001C79C1">
      <w:pPr>
        <w:spacing w:after="0" w:line="480" w:lineRule="auto"/>
        <w:ind w:firstLine="720"/>
        <w:contextualSpacing/>
        <w:jc w:val="both"/>
        <w:rPr>
          <w:rFonts w:ascii="Times New Roman" w:hAnsi="Times New Roman" w:cs="Times New Roman"/>
          <w:sz w:val="24"/>
          <w:szCs w:val="24"/>
        </w:rPr>
      </w:pPr>
      <w:r w:rsidRPr="00010AA9">
        <w:rPr>
          <w:rFonts w:ascii="Times New Roman" w:hAnsi="Times New Roman" w:cs="Times New Roman"/>
          <w:sz w:val="24"/>
          <w:szCs w:val="24"/>
        </w:rPr>
        <w:t xml:space="preserve">From the pharmacological perspective, the metabolism of PZA results in the production of </w:t>
      </w:r>
      <w:proofErr w:type="spellStart"/>
      <w:r w:rsidRPr="00010AA9">
        <w:rPr>
          <w:rFonts w:ascii="Times New Roman" w:hAnsi="Times New Roman" w:cs="Times New Roman"/>
          <w:sz w:val="24"/>
          <w:szCs w:val="24"/>
        </w:rPr>
        <w:t>pyrazinoic</w:t>
      </w:r>
      <w:proofErr w:type="spellEnd"/>
      <w:r w:rsidRPr="00010AA9">
        <w:rPr>
          <w:rFonts w:ascii="Times New Roman" w:hAnsi="Times New Roman" w:cs="Times New Roman"/>
          <w:sz w:val="24"/>
          <w:szCs w:val="24"/>
        </w:rPr>
        <w:t xml:space="preserve"> acid (POA), which results in decreased urate excretion in the kidneys through URAT1 and similar transport mechanisms</w:t>
      </w:r>
      <w:r w:rsidR="00EB751C">
        <w:rPr>
          <w:rFonts w:ascii="Times New Roman" w:hAnsi="Times New Roman" w:cs="Times New Roman"/>
          <w:sz w:val="24"/>
          <w:szCs w:val="24"/>
        </w:rPr>
        <w:t xml:space="preserve"> (1</w:t>
      </w:r>
      <w:r w:rsidR="008C29E4">
        <w:rPr>
          <w:rFonts w:ascii="Times New Roman" w:hAnsi="Times New Roman" w:cs="Times New Roman"/>
          <w:sz w:val="24"/>
          <w:szCs w:val="24"/>
        </w:rPr>
        <w:t>7</w:t>
      </w:r>
      <w:r w:rsidR="00EB751C">
        <w:rPr>
          <w:rFonts w:ascii="Times New Roman" w:hAnsi="Times New Roman" w:cs="Times New Roman"/>
          <w:sz w:val="24"/>
          <w:szCs w:val="24"/>
        </w:rPr>
        <w:t>,1</w:t>
      </w:r>
      <w:r w:rsidR="008C29E4">
        <w:rPr>
          <w:rFonts w:ascii="Times New Roman" w:hAnsi="Times New Roman" w:cs="Times New Roman"/>
          <w:sz w:val="24"/>
          <w:szCs w:val="24"/>
        </w:rPr>
        <w:t>8</w:t>
      </w:r>
      <w:r w:rsidR="00EB751C">
        <w:rPr>
          <w:rFonts w:ascii="Times New Roman" w:hAnsi="Times New Roman" w:cs="Times New Roman"/>
          <w:sz w:val="24"/>
          <w:szCs w:val="24"/>
        </w:rPr>
        <w:t>)</w:t>
      </w:r>
      <w:r w:rsidRPr="00010AA9">
        <w:rPr>
          <w:rFonts w:ascii="Times New Roman" w:hAnsi="Times New Roman" w:cs="Times New Roman"/>
          <w:sz w:val="24"/>
          <w:szCs w:val="24"/>
        </w:rPr>
        <w:t>. The monitoring of blood urate levels is rarely carried out within TB treatment protocols; however, based on our results, it might be useful within the context of MDR-TB</w:t>
      </w:r>
      <w:r w:rsidR="001C79C1">
        <w:rPr>
          <w:rFonts w:ascii="Times New Roman" w:hAnsi="Times New Roman" w:cs="Times New Roman"/>
          <w:sz w:val="24"/>
          <w:szCs w:val="24"/>
        </w:rPr>
        <w:t xml:space="preserve">, </w:t>
      </w:r>
      <w:r w:rsidR="001C79C1" w:rsidRPr="001C79C1">
        <w:rPr>
          <w:rFonts w:ascii="Times New Roman" w:hAnsi="Times New Roman" w:cs="Times New Roman"/>
          <w:sz w:val="24"/>
          <w:szCs w:val="24"/>
        </w:rPr>
        <w:t>particularly in those at risk for gout or other metabolic complications</w:t>
      </w:r>
      <w:r w:rsidR="001C79C1">
        <w:rPr>
          <w:rFonts w:ascii="Times New Roman" w:hAnsi="Times New Roman" w:cs="Times New Roman"/>
          <w:sz w:val="24"/>
          <w:szCs w:val="24"/>
        </w:rPr>
        <w:t xml:space="preserve"> (1</w:t>
      </w:r>
      <w:r w:rsidR="008C29E4">
        <w:rPr>
          <w:rFonts w:ascii="Times New Roman" w:hAnsi="Times New Roman" w:cs="Times New Roman"/>
          <w:sz w:val="24"/>
          <w:szCs w:val="24"/>
        </w:rPr>
        <w:t>2</w:t>
      </w:r>
      <w:r w:rsidR="001C79C1">
        <w:rPr>
          <w:rFonts w:ascii="Times New Roman" w:hAnsi="Times New Roman" w:cs="Times New Roman"/>
          <w:sz w:val="24"/>
          <w:szCs w:val="24"/>
        </w:rPr>
        <w:t>,1</w:t>
      </w:r>
      <w:r w:rsidR="008C29E4">
        <w:rPr>
          <w:rFonts w:ascii="Times New Roman" w:hAnsi="Times New Roman" w:cs="Times New Roman"/>
          <w:sz w:val="24"/>
          <w:szCs w:val="24"/>
        </w:rPr>
        <w:t>3</w:t>
      </w:r>
      <w:r w:rsidR="001C79C1">
        <w:rPr>
          <w:rFonts w:ascii="Times New Roman" w:hAnsi="Times New Roman" w:cs="Times New Roman"/>
          <w:sz w:val="24"/>
          <w:szCs w:val="24"/>
        </w:rPr>
        <w:t>)</w:t>
      </w:r>
      <w:r w:rsidR="001C79C1" w:rsidRPr="001C79C1">
        <w:rPr>
          <w:rFonts w:ascii="Times New Roman" w:hAnsi="Times New Roman" w:cs="Times New Roman"/>
          <w:sz w:val="24"/>
          <w:szCs w:val="24"/>
        </w:rPr>
        <w:t>.</w:t>
      </w:r>
      <w:r w:rsidR="001C79C1">
        <w:rPr>
          <w:rFonts w:ascii="Times New Roman" w:hAnsi="Times New Roman" w:cs="Times New Roman"/>
          <w:sz w:val="24"/>
          <w:szCs w:val="24"/>
        </w:rPr>
        <w:t xml:space="preserve"> </w:t>
      </w:r>
    </w:p>
    <w:p w14:paraId="50ED3F88" w14:textId="68820972" w:rsidR="001C79C1" w:rsidRDefault="00010AA9" w:rsidP="001C79C1">
      <w:pPr>
        <w:spacing w:after="0" w:line="480" w:lineRule="auto"/>
        <w:ind w:firstLine="720"/>
        <w:contextualSpacing/>
        <w:jc w:val="both"/>
        <w:rPr>
          <w:rFonts w:ascii="Times New Roman" w:hAnsi="Times New Roman" w:cs="Times New Roman"/>
          <w:sz w:val="24"/>
          <w:szCs w:val="24"/>
        </w:rPr>
      </w:pPr>
      <w:r w:rsidRPr="00010AA9">
        <w:rPr>
          <w:rFonts w:ascii="Times New Roman" w:hAnsi="Times New Roman" w:cs="Times New Roman"/>
          <w:sz w:val="24"/>
          <w:szCs w:val="24"/>
        </w:rPr>
        <w:t>Based on these results, we propose that uric acid screening be carried out before starting PZA and then follow-up uric acid examination every month during the first five months (and be extended if prolonged regimens are taken). Patients with evidence of escalating uric acid values above 8 mg/dL might require consultations about lifestyle modifications (increased hydration and lower purine diets), gout risk assessments, and possible urate-lowering therapy (allopurinol or febuxostat), if appropriate</w:t>
      </w:r>
      <w:r w:rsidR="00884E4A">
        <w:rPr>
          <w:rFonts w:ascii="Times New Roman" w:hAnsi="Times New Roman" w:cs="Times New Roman"/>
          <w:sz w:val="24"/>
          <w:szCs w:val="24"/>
        </w:rPr>
        <w:t xml:space="preserve"> (10,19)</w:t>
      </w:r>
      <w:r w:rsidRPr="00010AA9">
        <w:rPr>
          <w:rFonts w:ascii="Times New Roman" w:hAnsi="Times New Roman" w:cs="Times New Roman"/>
          <w:sz w:val="24"/>
          <w:szCs w:val="24"/>
        </w:rPr>
        <w:t>. Although stopping PZA in patients with asymptomatic hyperuricemia is infrequent, timely management might lower musculoskeletal side effects and improve patient compliance.</w:t>
      </w:r>
    </w:p>
    <w:p w14:paraId="2968838B" w14:textId="0F3DF675" w:rsidR="00010AA9" w:rsidRPr="00010AA9" w:rsidRDefault="00010AA9" w:rsidP="001C79C1">
      <w:pPr>
        <w:spacing w:after="0" w:line="480" w:lineRule="auto"/>
        <w:ind w:firstLine="720"/>
        <w:contextualSpacing/>
        <w:jc w:val="both"/>
        <w:rPr>
          <w:rFonts w:ascii="Times New Roman" w:hAnsi="Times New Roman" w:cs="Times New Roman"/>
          <w:sz w:val="24"/>
          <w:szCs w:val="24"/>
        </w:rPr>
      </w:pPr>
      <w:r w:rsidRPr="00010AA9">
        <w:rPr>
          <w:rFonts w:ascii="Times New Roman" w:hAnsi="Times New Roman" w:cs="Times New Roman"/>
          <w:sz w:val="24"/>
          <w:szCs w:val="24"/>
        </w:rPr>
        <w:t xml:space="preserve">This study has some limitations to its validity. </w:t>
      </w:r>
      <w:r w:rsidR="001C79C1">
        <w:rPr>
          <w:rFonts w:ascii="Times New Roman" w:hAnsi="Times New Roman" w:cs="Times New Roman"/>
          <w:sz w:val="24"/>
          <w:szCs w:val="24"/>
        </w:rPr>
        <w:t>Firstly, t</w:t>
      </w:r>
      <w:r w:rsidRPr="00010AA9">
        <w:rPr>
          <w:rFonts w:ascii="Times New Roman" w:hAnsi="Times New Roman" w:cs="Times New Roman"/>
          <w:sz w:val="24"/>
          <w:szCs w:val="24"/>
        </w:rPr>
        <w:t xml:space="preserve">he study was post-hoc in orientation and therefore did not allow us to investigate the underlying causes (renal function, other medications taken concomitantly with the study medications, diet/purine load, hydration status). </w:t>
      </w:r>
      <w:r w:rsidR="001C79C1">
        <w:rPr>
          <w:rFonts w:ascii="Times New Roman" w:hAnsi="Times New Roman" w:cs="Times New Roman"/>
          <w:sz w:val="24"/>
          <w:szCs w:val="24"/>
        </w:rPr>
        <w:t>Secondly, t</w:t>
      </w:r>
      <w:r w:rsidRPr="00010AA9">
        <w:rPr>
          <w:rFonts w:ascii="Times New Roman" w:hAnsi="Times New Roman" w:cs="Times New Roman"/>
          <w:sz w:val="24"/>
          <w:szCs w:val="24"/>
        </w:rPr>
        <w:t xml:space="preserve">he study did not include estimations of glomerular filtration rates (GFR) to establish underlying renal dysfunction and did not investigate the dose vs. plasma levels of PZA in relation </w:t>
      </w:r>
      <w:r w:rsidRPr="00010AA9">
        <w:rPr>
          <w:rFonts w:ascii="Times New Roman" w:hAnsi="Times New Roman" w:cs="Times New Roman"/>
          <w:sz w:val="24"/>
          <w:szCs w:val="24"/>
        </w:rPr>
        <w:lastRenderedPageBreak/>
        <w:t xml:space="preserve">to urate increase. </w:t>
      </w:r>
      <w:r w:rsidR="001C79C1">
        <w:rPr>
          <w:rFonts w:ascii="Times New Roman" w:hAnsi="Times New Roman" w:cs="Times New Roman"/>
          <w:sz w:val="24"/>
          <w:szCs w:val="24"/>
        </w:rPr>
        <w:t>Thirdly, this</w:t>
      </w:r>
      <w:r w:rsidRPr="00010AA9">
        <w:rPr>
          <w:rFonts w:ascii="Times New Roman" w:hAnsi="Times New Roman" w:cs="Times New Roman"/>
          <w:sz w:val="24"/>
          <w:szCs w:val="24"/>
        </w:rPr>
        <w:t xml:space="preserve"> study was conducted in one institution</w:t>
      </w:r>
      <w:r w:rsidR="001C79C1">
        <w:rPr>
          <w:rFonts w:ascii="Times New Roman" w:hAnsi="Times New Roman" w:cs="Times New Roman"/>
          <w:sz w:val="24"/>
          <w:szCs w:val="24"/>
        </w:rPr>
        <w:t xml:space="preserve">, so the findings could not be generalized to the whole country. Thus, </w:t>
      </w:r>
      <w:r w:rsidRPr="00010AA9">
        <w:rPr>
          <w:rFonts w:ascii="Times New Roman" w:hAnsi="Times New Roman" w:cs="Times New Roman"/>
          <w:sz w:val="24"/>
          <w:szCs w:val="24"/>
        </w:rPr>
        <w:t>there is need for prospective studies that entail evaluation of renal function, pharmacokinetics of PZA, uric acid pharmacokinetics</w:t>
      </w:r>
      <w:r w:rsidR="001C79C1">
        <w:rPr>
          <w:rFonts w:ascii="Times New Roman" w:hAnsi="Times New Roman" w:cs="Times New Roman"/>
          <w:sz w:val="24"/>
          <w:szCs w:val="24"/>
        </w:rPr>
        <w:t>,</w:t>
      </w:r>
      <w:r w:rsidRPr="00010AA9">
        <w:rPr>
          <w:rFonts w:ascii="Times New Roman" w:hAnsi="Times New Roman" w:cs="Times New Roman"/>
          <w:sz w:val="24"/>
          <w:szCs w:val="24"/>
        </w:rPr>
        <w:t xml:space="preserve"> and correlation with gout arthritis incidence. Interventional studies would also be justified to explore urate-lowering approaches while on PZA.</w:t>
      </w:r>
    </w:p>
    <w:p w14:paraId="298B3886" w14:textId="6C95214D" w:rsidR="00010AA9" w:rsidRPr="001C79C1" w:rsidRDefault="001C79C1" w:rsidP="00010AA9">
      <w:pPr>
        <w:spacing w:after="0" w:line="480" w:lineRule="auto"/>
        <w:contextualSpacing/>
        <w:jc w:val="both"/>
        <w:rPr>
          <w:rFonts w:ascii="Times New Roman" w:hAnsi="Times New Roman" w:cs="Times New Roman"/>
          <w:b/>
          <w:bCs/>
          <w:sz w:val="24"/>
          <w:szCs w:val="24"/>
        </w:rPr>
      </w:pPr>
      <w:r w:rsidRPr="001C79C1">
        <w:rPr>
          <w:rFonts w:ascii="Times New Roman" w:hAnsi="Times New Roman" w:cs="Times New Roman"/>
          <w:b/>
          <w:bCs/>
          <w:sz w:val="24"/>
          <w:szCs w:val="24"/>
        </w:rPr>
        <w:t xml:space="preserve">5. </w:t>
      </w:r>
      <w:r w:rsidR="00010AA9" w:rsidRPr="001C79C1">
        <w:rPr>
          <w:rFonts w:ascii="Times New Roman" w:hAnsi="Times New Roman" w:cs="Times New Roman"/>
          <w:b/>
          <w:bCs/>
          <w:sz w:val="24"/>
          <w:szCs w:val="24"/>
        </w:rPr>
        <w:t>Conclusion</w:t>
      </w:r>
    </w:p>
    <w:p w14:paraId="7AE5D9C8" w14:textId="5514BB08" w:rsidR="00010AA9" w:rsidRDefault="001C79C1" w:rsidP="001C79C1">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w:t>
      </w:r>
      <w:r w:rsidR="00010AA9" w:rsidRPr="00010AA9">
        <w:rPr>
          <w:rFonts w:ascii="Times New Roman" w:hAnsi="Times New Roman" w:cs="Times New Roman"/>
          <w:sz w:val="24"/>
          <w:szCs w:val="24"/>
        </w:rPr>
        <w:t>ur study among MDR-TB patients at the Abu-Anja Teaching Hospital has shown that there are significant and cumulative increments in uric acid levels in the sera over the initial five months with regimens containing PZA. We highlight the importance of routine uric acid monitoring and measures to manage hyperuricemia during TB therapy, particularly within resource-constrained settings among MDR-TB patients.</w:t>
      </w:r>
    </w:p>
    <w:p w14:paraId="27B61543" w14:textId="77777777" w:rsidR="001C79C1" w:rsidRPr="006611F7" w:rsidRDefault="001C79C1" w:rsidP="001C79C1">
      <w:pPr>
        <w:spacing w:after="0" w:line="480" w:lineRule="auto"/>
        <w:jc w:val="both"/>
        <w:rPr>
          <w:rFonts w:ascii="Times New Roman" w:hAnsi="Times New Roman" w:cs="Times New Roman"/>
          <w:b/>
          <w:bCs/>
          <w:sz w:val="24"/>
          <w:szCs w:val="24"/>
        </w:rPr>
      </w:pPr>
      <w:r w:rsidRPr="006611F7">
        <w:rPr>
          <w:rFonts w:ascii="Times New Roman" w:hAnsi="Times New Roman" w:cs="Times New Roman"/>
          <w:b/>
          <w:bCs/>
          <w:sz w:val="24"/>
          <w:szCs w:val="24"/>
        </w:rPr>
        <w:t>Disclaimer (Artificial intelligence)</w:t>
      </w:r>
    </w:p>
    <w:p w14:paraId="0F5A7D17" w14:textId="77777777" w:rsidR="001C79C1" w:rsidRDefault="001C79C1" w:rsidP="001C79C1">
      <w:pPr>
        <w:spacing w:after="0" w:line="480" w:lineRule="auto"/>
        <w:ind w:firstLine="720"/>
        <w:jc w:val="both"/>
        <w:rPr>
          <w:rFonts w:ascii="Times New Roman" w:hAnsi="Times New Roman" w:cs="Times New Roman"/>
          <w:sz w:val="24"/>
          <w:szCs w:val="24"/>
        </w:rPr>
      </w:pPr>
      <w:r w:rsidRPr="00E244F1">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099F560" w14:textId="77777777" w:rsidR="003F2827" w:rsidRDefault="003F2827" w:rsidP="001C79C1">
      <w:pPr>
        <w:spacing w:after="0" w:line="480" w:lineRule="auto"/>
        <w:ind w:firstLine="720"/>
        <w:jc w:val="both"/>
        <w:rPr>
          <w:rFonts w:ascii="Times New Roman" w:eastAsia="NanumGothic" w:hAnsi="Times New Roman" w:cs="Times New Roman"/>
          <w:sz w:val="24"/>
          <w:szCs w:val="24"/>
        </w:rPr>
      </w:pPr>
      <w:bookmarkStart w:id="1" w:name="_GoBack"/>
      <w:bookmarkEnd w:id="1"/>
    </w:p>
    <w:p w14:paraId="4D22214B" w14:textId="77777777" w:rsidR="003F2827" w:rsidRPr="003F2827" w:rsidRDefault="003F2827" w:rsidP="003F2827">
      <w:pPr>
        <w:spacing w:after="200" w:line="276" w:lineRule="auto"/>
        <w:jc w:val="both"/>
        <w:outlineLvl w:val="0"/>
        <w:rPr>
          <w:rFonts w:ascii="Arial" w:eastAsia="Times New Roman" w:hAnsi="Arial" w:cs="Arial"/>
          <w:lang w:eastAsia="en-GB"/>
        </w:rPr>
      </w:pPr>
      <w:r w:rsidRPr="003F2827">
        <w:rPr>
          <w:rFonts w:ascii="Arial" w:eastAsia="Times New Roman" w:hAnsi="Arial" w:cs="Arial"/>
          <w:b/>
          <w:bCs/>
          <w:lang w:eastAsia="en-GB"/>
        </w:rPr>
        <w:t>COMPETING INTERESTS DISCLAIMER:</w:t>
      </w:r>
    </w:p>
    <w:p w14:paraId="31641762" w14:textId="77777777" w:rsidR="003F2827" w:rsidRPr="003F2827" w:rsidRDefault="003F2827" w:rsidP="003F2827">
      <w:pPr>
        <w:spacing w:after="200" w:line="276" w:lineRule="auto"/>
        <w:rPr>
          <w:rFonts w:ascii="Calibri" w:eastAsia="Times New Roman" w:hAnsi="Calibri" w:cs="Times New Roman"/>
          <w:lang w:eastAsia="en-GB"/>
        </w:rPr>
      </w:pPr>
      <w:r w:rsidRPr="003F2827">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77E07EE4" w14:textId="77777777" w:rsidR="003F2827" w:rsidRDefault="003F2827" w:rsidP="001C79C1">
      <w:pPr>
        <w:spacing w:after="0" w:line="480" w:lineRule="auto"/>
        <w:ind w:firstLine="720"/>
        <w:jc w:val="both"/>
        <w:rPr>
          <w:rFonts w:ascii="Times New Roman" w:eastAsia="NanumGothic" w:hAnsi="Times New Roman" w:cs="Times New Roman"/>
          <w:sz w:val="24"/>
          <w:szCs w:val="24"/>
        </w:rPr>
      </w:pPr>
    </w:p>
    <w:p w14:paraId="6E504BEE" w14:textId="0ED615D0" w:rsidR="008C29E4" w:rsidRPr="00E5170A" w:rsidRDefault="001C79C1" w:rsidP="00E5170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197DEDDD" w14:textId="0B5340B2"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bookmarkStart w:id="2" w:name="_Hlk213762033"/>
      <w:proofErr w:type="spellStart"/>
      <w:r w:rsidRPr="00884E4A">
        <w:rPr>
          <w:rFonts w:ascii="Times New Roman" w:hAnsi="Times New Roman" w:cs="Times New Roman"/>
          <w:color w:val="212121"/>
          <w:sz w:val="24"/>
          <w:szCs w:val="24"/>
          <w:shd w:val="clear" w:color="auto" w:fill="FFFFFF"/>
        </w:rPr>
        <w:t>Maciejak-Jastrzębska</w:t>
      </w:r>
      <w:proofErr w:type="spellEnd"/>
      <w:r w:rsidRPr="00884E4A">
        <w:rPr>
          <w:rFonts w:ascii="Times New Roman" w:hAnsi="Times New Roman" w:cs="Times New Roman"/>
          <w:color w:val="212121"/>
          <w:sz w:val="24"/>
          <w:szCs w:val="24"/>
          <w:shd w:val="clear" w:color="auto" w:fill="FFFFFF"/>
        </w:rPr>
        <w:t xml:space="preserve"> A, </w:t>
      </w:r>
      <w:proofErr w:type="spellStart"/>
      <w:r w:rsidRPr="00884E4A">
        <w:rPr>
          <w:rFonts w:ascii="Times New Roman" w:hAnsi="Times New Roman" w:cs="Times New Roman"/>
          <w:color w:val="212121"/>
          <w:sz w:val="24"/>
          <w:szCs w:val="24"/>
          <w:shd w:val="clear" w:color="auto" w:fill="FFFFFF"/>
        </w:rPr>
        <w:t>Sygitowicz</w:t>
      </w:r>
      <w:proofErr w:type="spellEnd"/>
      <w:r w:rsidRPr="00884E4A">
        <w:rPr>
          <w:rFonts w:ascii="Times New Roman" w:hAnsi="Times New Roman" w:cs="Times New Roman"/>
          <w:color w:val="212121"/>
          <w:sz w:val="24"/>
          <w:szCs w:val="24"/>
          <w:shd w:val="clear" w:color="auto" w:fill="FFFFFF"/>
        </w:rPr>
        <w:t xml:space="preserve"> G, Brzezińska S, </w:t>
      </w:r>
      <w:proofErr w:type="spellStart"/>
      <w:r w:rsidRPr="00884E4A">
        <w:rPr>
          <w:rFonts w:ascii="Times New Roman" w:hAnsi="Times New Roman" w:cs="Times New Roman"/>
          <w:color w:val="212121"/>
          <w:sz w:val="24"/>
          <w:szCs w:val="24"/>
          <w:shd w:val="clear" w:color="auto" w:fill="FFFFFF"/>
        </w:rPr>
        <w:t>Bielska</w:t>
      </w:r>
      <w:proofErr w:type="spellEnd"/>
      <w:r w:rsidRPr="00884E4A">
        <w:rPr>
          <w:rFonts w:ascii="Times New Roman" w:hAnsi="Times New Roman" w:cs="Times New Roman"/>
          <w:color w:val="212121"/>
          <w:sz w:val="24"/>
          <w:szCs w:val="24"/>
          <w:shd w:val="clear" w:color="auto" w:fill="FFFFFF"/>
        </w:rPr>
        <w:t xml:space="preserve"> K, </w:t>
      </w:r>
      <w:proofErr w:type="spellStart"/>
      <w:r w:rsidRPr="00884E4A">
        <w:rPr>
          <w:rFonts w:ascii="Times New Roman" w:hAnsi="Times New Roman" w:cs="Times New Roman"/>
          <w:color w:val="212121"/>
          <w:sz w:val="24"/>
          <w:szCs w:val="24"/>
          <w:shd w:val="clear" w:color="auto" w:fill="FFFFFF"/>
        </w:rPr>
        <w:t>Augustynowicz-Kopeć</w:t>
      </w:r>
      <w:proofErr w:type="spellEnd"/>
      <w:r w:rsidRPr="00884E4A">
        <w:rPr>
          <w:rFonts w:ascii="Times New Roman" w:hAnsi="Times New Roman" w:cs="Times New Roman"/>
          <w:color w:val="212121"/>
          <w:sz w:val="24"/>
          <w:szCs w:val="24"/>
          <w:shd w:val="clear" w:color="auto" w:fill="FFFFFF"/>
        </w:rPr>
        <w:t xml:space="preserve"> E. Tuberculosis Today: Microbial Insights, Epidemiological Trends, and the Role of Molecular Diagnostics. Pathogens. 2025;14(10):965. </w:t>
      </w:r>
      <w:hyperlink r:id="rId7" w:history="1">
        <w:r w:rsidR="00884E4A" w:rsidRPr="007323E1">
          <w:rPr>
            <w:rStyle w:val="Hyperlink"/>
            <w:rFonts w:ascii="Times New Roman" w:hAnsi="Times New Roman" w:cs="Times New Roman"/>
            <w:sz w:val="24"/>
            <w:szCs w:val="24"/>
            <w:shd w:val="clear" w:color="auto" w:fill="FFFFFF"/>
          </w:rPr>
          <w:t>https://doi.org/10.3390/pathogens14100965</w:t>
        </w:r>
      </w:hyperlink>
    </w:p>
    <w:p w14:paraId="0F1AE944" w14:textId="1370847D"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lastRenderedPageBreak/>
        <w:t xml:space="preserve">Yang H, Ruan X, Li W, Xiong J, Zheng Y. Global, regional, and national burden of tuberculosis and attributable risk factors for 204 countries and territories, 1990-2021: a systematic analysis for the Global Burden of Diseases 2021 study. BMC Public Health. 2024;24(1):3111. </w:t>
      </w:r>
      <w:hyperlink r:id="rId8" w:history="1">
        <w:r w:rsidR="00884E4A" w:rsidRPr="007323E1">
          <w:rPr>
            <w:rStyle w:val="Hyperlink"/>
            <w:rFonts w:ascii="Times New Roman" w:hAnsi="Times New Roman" w:cs="Times New Roman"/>
            <w:sz w:val="24"/>
            <w:szCs w:val="24"/>
            <w:shd w:val="clear" w:color="auto" w:fill="FFFFFF"/>
          </w:rPr>
          <w:t>https://doi.org/10.1186/s12889-024-20664-w</w:t>
        </w:r>
      </w:hyperlink>
    </w:p>
    <w:p w14:paraId="16738F1A" w14:textId="5BEF1412"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proofErr w:type="spellStart"/>
      <w:r w:rsidRPr="00884E4A">
        <w:rPr>
          <w:rFonts w:ascii="Times New Roman" w:hAnsi="Times New Roman" w:cs="Times New Roman"/>
          <w:color w:val="212121"/>
          <w:sz w:val="24"/>
          <w:szCs w:val="24"/>
          <w:shd w:val="clear" w:color="auto" w:fill="FFFFFF"/>
        </w:rPr>
        <w:t>Falzon</w:t>
      </w:r>
      <w:proofErr w:type="spellEnd"/>
      <w:r w:rsidRPr="00884E4A">
        <w:rPr>
          <w:rFonts w:ascii="Times New Roman" w:hAnsi="Times New Roman" w:cs="Times New Roman"/>
          <w:color w:val="212121"/>
          <w:sz w:val="24"/>
          <w:szCs w:val="24"/>
          <w:shd w:val="clear" w:color="auto" w:fill="FFFFFF"/>
        </w:rPr>
        <w:t xml:space="preserve"> D, </w:t>
      </w:r>
      <w:proofErr w:type="spellStart"/>
      <w:r w:rsidRPr="00884E4A">
        <w:rPr>
          <w:rFonts w:ascii="Times New Roman" w:hAnsi="Times New Roman" w:cs="Times New Roman"/>
          <w:color w:val="212121"/>
          <w:sz w:val="24"/>
          <w:szCs w:val="24"/>
          <w:shd w:val="clear" w:color="auto" w:fill="FFFFFF"/>
        </w:rPr>
        <w:t>Zignol</w:t>
      </w:r>
      <w:proofErr w:type="spellEnd"/>
      <w:r w:rsidRPr="00884E4A">
        <w:rPr>
          <w:rFonts w:ascii="Times New Roman" w:hAnsi="Times New Roman" w:cs="Times New Roman"/>
          <w:color w:val="212121"/>
          <w:sz w:val="24"/>
          <w:szCs w:val="24"/>
          <w:shd w:val="clear" w:color="auto" w:fill="FFFFFF"/>
        </w:rPr>
        <w:t xml:space="preserve"> M, Bastard M, Floyd K, </w:t>
      </w:r>
      <w:proofErr w:type="spellStart"/>
      <w:r w:rsidRPr="00884E4A">
        <w:rPr>
          <w:rFonts w:ascii="Times New Roman" w:hAnsi="Times New Roman" w:cs="Times New Roman"/>
          <w:color w:val="212121"/>
          <w:sz w:val="24"/>
          <w:szCs w:val="24"/>
          <w:shd w:val="clear" w:color="auto" w:fill="FFFFFF"/>
        </w:rPr>
        <w:t>Kasaeva</w:t>
      </w:r>
      <w:proofErr w:type="spellEnd"/>
      <w:r w:rsidRPr="00884E4A">
        <w:rPr>
          <w:rFonts w:ascii="Times New Roman" w:hAnsi="Times New Roman" w:cs="Times New Roman"/>
          <w:color w:val="212121"/>
          <w:sz w:val="24"/>
          <w:szCs w:val="24"/>
          <w:shd w:val="clear" w:color="auto" w:fill="FFFFFF"/>
        </w:rPr>
        <w:t xml:space="preserve"> T. The impact of the COVID-19 pandemic on the global tuberculosis epidemic. Front Immunol. </w:t>
      </w:r>
      <w:proofErr w:type="gramStart"/>
      <w:r w:rsidRPr="00884E4A">
        <w:rPr>
          <w:rFonts w:ascii="Times New Roman" w:hAnsi="Times New Roman" w:cs="Times New Roman"/>
          <w:color w:val="212121"/>
          <w:sz w:val="24"/>
          <w:szCs w:val="24"/>
          <w:shd w:val="clear" w:color="auto" w:fill="FFFFFF"/>
        </w:rPr>
        <w:t>2023;14:1234785</w:t>
      </w:r>
      <w:proofErr w:type="gramEnd"/>
      <w:r w:rsidRPr="00884E4A">
        <w:rPr>
          <w:rFonts w:ascii="Times New Roman" w:hAnsi="Times New Roman" w:cs="Times New Roman"/>
          <w:color w:val="212121"/>
          <w:sz w:val="24"/>
          <w:szCs w:val="24"/>
          <w:shd w:val="clear" w:color="auto" w:fill="FFFFFF"/>
        </w:rPr>
        <w:t xml:space="preserve">. </w:t>
      </w:r>
      <w:hyperlink r:id="rId9" w:history="1">
        <w:r w:rsidR="00884E4A" w:rsidRPr="007323E1">
          <w:rPr>
            <w:rStyle w:val="Hyperlink"/>
            <w:rFonts w:ascii="Times New Roman" w:hAnsi="Times New Roman" w:cs="Times New Roman"/>
            <w:sz w:val="24"/>
            <w:szCs w:val="24"/>
            <w:shd w:val="clear" w:color="auto" w:fill="FFFFFF"/>
          </w:rPr>
          <w:t>https://doi.org/10.3389/fimmu.2023.1234785</w:t>
        </w:r>
      </w:hyperlink>
    </w:p>
    <w:p w14:paraId="6BE5CD36" w14:textId="386641ED"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Hassan HM, Guo HL, Yousef BA, </w:t>
      </w:r>
      <w:proofErr w:type="spellStart"/>
      <w:r w:rsidRPr="00884E4A">
        <w:rPr>
          <w:rFonts w:ascii="Times New Roman" w:hAnsi="Times New Roman" w:cs="Times New Roman"/>
          <w:color w:val="212121"/>
          <w:sz w:val="24"/>
          <w:szCs w:val="24"/>
          <w:shd w:val="clear" w:color="auto" w:fill="FFFFFF"/>
        </w:rPr>
        <w:t>Luyong</w:t>
      </w:r>
      <w:proofErr w:type="spellEnd"/>
      <w:r w:rsidRPr="00884E4A">
        <w:rPr>
          <w:rFonts w:ascii="Times New Roman" w:hAnsi="Times New Roman" w:cs="Times New Roman"/>
          <w:color w:val="212121"/>
          <w:sz w:val="24"/>
          <w:szCs w:val="24"/>
          <w:shd w:val="clear" w:color="auto" w:fill="FFFFFF"/>
        </w:rPr>
        <w:t xml:space="preserve"> Z, </w:t>
      </w:r>
      <w:proofErr w:type="spellStart"/>
      <w:r w:rsidRPr="00884E4A">
        <w:rPr>
          <w:rFonts w:ascii="Times New Roman" w:hAnsi="Times New Roman" w:cs="Times New Roman"/>
          <w:color w:val="212121"/>
          <w:sz w:val="24"/>
          <w:szCs w:val="24"/>
          <w:shd w:val="clear" w:color="auto" w:fill="FFFFFF"/>
        </w:rPr>
        <w:t>Zhenzhou</w:t>
      </w:r>
      <w:proofErr w:type="spellEnd"/>
      <w:r w:rsidRPr="00884E4A">
        <w:rPr>
          <w:rFonts w:ascii="Times New Roman" w:hAnsi="Times New Roman" w:cs="Times New Roman"/>
          <w:color w:val="212121"/>
          <w:sz w:val="24"/>
          <w:szCs w:val="24"/>
          <w:shd w:val="clear" w:color="auto" w:fill="FFFFFF"/>
        </w:rPr>
        <w:t xml:space="preserve"> J. Hepatotoxicity mechanisms of isoniazid: A mini-review. J </w:t>
      </w:r>
      <w:proofErr w:type="spellStart"/>
      <w:r w:rsidRPr="00884E4A">
        <w:rPr>
          <w:rFonts w:ascii="Times New Roman" w:hAnsi="Times New Roman" w:cs="Times New Roman"/>
          <w:color w:val="212121"/>
          <w:sz w:val="24"/>
          <w:szCs w:val="24"/>
          <w:shd w:val="clear" w:color="auto" w:fill="FFFFFF"/>
        </w:rPr>
        <w:t>Appl</w:t>
      </w:r>
      <w:proofErr w:type="spellEnd"/>
      <w:r w:rsidRPr="00884E4A">
        <w:rPr>
          <w:rFonts w:ascii="Times New Roman" w:hAnsi="Times New Roman" w:cs="Times New Roman"/>
          <w:color w:val="212121"/>
          <w:sz w:val="24"/>
          <w:szCs w:val="24"/>
          <w:shd w:val="clear" w:color="auto" w:fill="FFFFFF"/>
        </w:rPr>
        <w:t xml:space="preserve"> </w:t>
      </w:r>
      <w:proofErr w:type="spellStart"/>
      <w:r w:rsidRPr="00884E4A">
        <w:rPr>
          <w:rFonts w:ascii="Times New Roman" w:hAnsi="Times New Roman" w:cs="Times New Roman"/>
          <w:color w:val="212121"/>
          <w:sz w:val="24"/>
          <w:szCs w:val="24"/>
          <w:shd w:val="clear" w:color="auto" w:fill="FFFFFF"/>
        </w:rPr>
        <w:t>Toxicol</w:t>
      </w:r>
      <w:proofErr w:type="spellEnd"/>
      <w:r w:rsidRPr="00884E4A">
        <w:rPr>
          <w:rFonts w:ascii="Times New Roman" w:hAnsi="Times New Roman" w:cs="Times New Roman"/>
          <w:color w:val="212121"/>
          <w:sz w:val="24"/>
          <w:szCs w:val="24"/>
          <w:shd w:val="clear" w:color="auto" w:fill="FFFFFF"/>
        </w:rPr>
        <w:t xml:space="preserve">. 2015;35(12):1427-32. </w:t>
      </w:r>
      <w:hyperlink r:id="rId10" w:history="1">
        <w:r w:rsidR="00884E4A" w:rsidRPr="007323E1">
          <w:rPr>
            <w:rStyle w:val="Hyperlink"/>
            <w:rFonts w:ascii="Times New Roman" w:hAnsi="Times New Roman" w:cs="Times New Roman"/>
            <w:sz w:val="24"/>
            <w:szCs w:val="24"/>
            <w:shd w:val="clear" w:color="auto" w:fill="FFFFFF"/>
          </w:rPr>
          <w:t>https://doi.org/10.1002/jat.3175</w:t>
        </w:r>
      </w:hyperlink>
    </w:p>
    <w:p w14:paraId="6A45912A" w14:textId="5E89FB90"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Seung KJ, Keshavjee S, Rich ML. Multidrug-Resistant Tuberculosis and Extensively Drug-Resistant Tuberculosis. Cold Spring </w:t>
      </w:r>
      <w:proofErr w:type="spellStart"/>
      <w:r w:rsidRPr="00884E4A">
        <w:rPr>
          <w:rFonts w:ascii="Times New Roman" w:hAnsi="Times New Roman" w:cs="Times New Roman"/>
          <w:color w:val="212121"/>
          <w:sz w:val="24"/>
          <w:szCs w:val="24"/>
          <w:shd w:val="clear" w:color="auto" w:fill="FFFFFF"/>
        </w:rPr>
        <w:t>Harb</w:t>
      </w:r>
      <w:proofErr w:type="spellEnd"/>
      <w:r w:rsidRPr="00884E4A">
        <w:rPr>
          <w:rFonts w:ascii="Times New Roman" w:hAnsi="Times New Roman" w:cs="Times New Roman"/>
          <w:color w:val="212121"/>
          <w:sz w:val="24"/>
          <w:szCs w:val="24"/>
          <w:shd w:val="clear" w:color="auto" w:fill="FFFFFF"/>
        </w:rPr>
        <w:t xml:space="preserve"> </w:t>
      </w:r>
      <w:proofErr w:type="spellStart"/>
      <w:r w:rsidRPr="00884E4A">
        <w:rPr>
          <w:rFonts w:ascii="Times New Roman" w:hAnsi="Times New Roman" w:cs="Times New Roman"/>
          <w:color w:val="212121"/>
          <w:sz w:val="24"/>
          <w:szCs w:val="24"/>
          <w:shd w:val="clear" w:color="auto" w:fill="FFFFFF"/>
        </w:rPr>
        <w:t>Perspect</w:t>
      </w:r>
      <w:proofErr w:type="spellEnd"/>
      <w:r w:rsidRPr="00884E4A">
        <w:rPr>
          <w:rFonts w:ascii="Times New Roman" w:hAnsi="Times New Roman" w:cs="Times New Roman"/>
          <w:color w:val="212121"/>
          <w:sz w:val="24"/>
          <w:szCs w:val="24"/>
          <w:shd w:val="clear" w:color="auto" w:fill="FFFFFF"/>
        </w:rPr>
        <w:t xml:space="preserve"> Med. 2015;5(9</w:t>
      </w:r>
      <w:proofErr w:type="gramStart"/>
      <w:r w:rsidRPr="00884E4A">
        <w:rPr>
          <w:rFonts w:ascii="Times New Roman" w:hAnsi="Times New Roman" w:cs="Times New Roman"/>
          <w:color w:val="212121"/>
          <w:sz w:val="24"/>
          <w:szCs w:val="24"/>
          <w:shd w:val="clear" w:color="auto" w:fill="FFFFFF"/>
        </w:rPr>
        <w:t>):a</w:t>
      </w:r>
      <w:proofErr w:type="gramEnd"/>
      <w:r w:rsidRPr="00884E4A">
        <w:rPr>
          <w:rFonts w:ascii="Times New Roman" w:hAnsi="Times New Roman" w:cs="Times New Roman"/>
          <w:color w:val="212121"/>
          <w:sz w:val="24"/>
          <w:szCs w:val="24"/>
          <w:shd w:val="clear" w:color="auto" w:fill="FFFFFF"/>
        </w:rPr>
        <w:t xml:space="preserve">017863. </w:t>
      </w:r>
      <w:hyperlink r:id="rId11" w:history="1">
        <w:r w:rsidR="00884E4A" w:rsidRPr="007323E1">
          <w:rPr>
            <w:rStyle w:val="Hyperlink"/>
            <w:rFonts w:ascii="Times New Roman" w:hAnsi="Times New Roman" w:cs="Times New Roman"/>
            <w:sz w:val="24"/>
            <w:szCs w:val="24"/>
            <w:shd w:val="clear" w:color="auto" w:fill="FFFFFF"/>
          </w:rPr>
          <w:t>https://doi.org/10.1101/cshperspect.a017863</w:t>
        </w:r>
      </w:hyperlink>
    </w:p>
    <w:p w14:paraId="09DEE55B" w14:textId="31EED029"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Franke MF, Becerra MC, Tierney DB, Rich ML, Bonilla C, Bayona J, et al. Counting pyrazinamide in regimens for multidrug-resistant tuberculosis. Ann Am </w:t>
      </w:r>
      <w:proofErr w:type="spellStart"/>
      <w:r w:rsidRPr="00884E4A">
        <w:rPr>
          <w:rFonts w:ascii="Times New Roman" w:hAnsi="Times New Roman" w:cs="Times New Roman"/>
          <w:color w:val="212121"/>
          <w:sz w:val="24"/>
          <w:szCs w:val="24"/>
          <w:shd w:val="clear" w:color="auto" w:fill="FFFFFF"/>
        </w:rPr>
        <w:t>Thorac</w:t>
      </w:r>
      <w:proofErr w:type="spellEnd"/>
      <w:r w:rsidRPr="00884E4A">
        <w:rPr>
          <w:rFonts w:ascii="Times New Roman" w:hAnsi="Times New Roman" w:cs="Times New Roman"/>
          <w:color w:val="212121"/>
          <w:sz w:val="24"/>
          <w:szCs w:val="24"/>
          <w:shd w:val="clear" w:color="auto" w:fill="FFFFFF"/>
        </w:rPr>
        <w:t xml:space="preserve"> Soc. 2015;12(5):674-9. </w:t>
      </w:r>
      <w:hyperlink r:id="rId12" w:history="1">
        <w:r w:rsidR="00884E4A" w:rsidRPr="007323E1">
          <w:rPr>
            <w:rStyle w:val="Hyperlink"/>
            <w:rFonts w:ascii="Times New Roman" w:hAnsi="Times New Roman" w:cs="Times New Roman"/>
            <w:sz w:val="24"/>
            <w:szCs w:val="24"/>
            <w:shd w:val="clear" w:color="auto" w:fill="FFFFFF"/>
          </w:rPr>
          <w:t>https://doi.org/10.1513/AnnalsATS.201411-538OC</w:t>
        </w:r>
      </w:hyperlink>
    </w:p>
    <w:p w14:paraId="47119984" w14:textId="3BAF6494"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Singh V. Tuberculosis treatment-shortening. Drug </w:t>
      </w:r>
      <w:proofErr w:type="spellStart"/>
      <w:r w:rsidRPr="00884E4A">
        <w:rPr>
          <w:rFonts w:ascii="Times New Roman" w:hAnsi="Times New Roman" w:cs="Times New Roman"/>
          <w:color w:val="212121"/>
          <w:sz w:val="24"/>
          <w:szCs w:val="24"/>
          <w:shd w:val="clear" w:color="auto" w:fill="FFFFFF"/>
        </w:rPr>
        <w:t>Discov</w:t>
      </w:r>
      <w:proofErr w:type="spellEnd"/>
      <w:r w:rsidRPr="00884E4A">
        <w:rPr>
          <w:rFonts w:ascii="Times New Roman" w:hAnsi="Times New Roman" w:cs="Times New Roman"/>
          <w:color w:val="212121"/>
          <w:sz w:val="24"/>
          <w:szCs w:val="24"/>
          <w:shd w:val="clear" w:color="auto" w:fill="FFFFFF"/>
        </w:rPr>
        <w:t xml:space="preserve"> Today. 2024;29(5):103955. </w:t>
      </w:r>
      <w:hyperlink r:id="rId13" w:history="1">
        <w:r w:rsidR="00884E4A" w:rsidRPr="007323E1">
          <w:rPr>
            <w:rStyle w:val="Hyperlink"/>
            <w:rFonts w:ascii="Times New Roman" w:hAnsi="Times New Roman" w:cs="Times New Roman"/>
            <w:sz w:val="24"/>
            <w:szCs w:val="24"/>
            <w:shd w:val="clear" w:color="auto" w:fill="FFFFFF"/>
          </w:rPr>
          <w:t>https://doi.org/10.1016/j.drudis.2024.103955</w:t>
        </w:r>
      </w:hyperlink>
    </w:p>
    <w:p w14:paraId="093B4568" w14:textId="2AC85013"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Putra ON, </w:t>
      </w:r>
      <w:proofErr w:type="spellStart"/>
      <w:r w:rsidRPr="00884E4A">
        <w:rPr>
          <w:rFonts w:ascii="Times New Roman" w:hAnsi="Times New Roman" w:cs="Times New Roman"/>
          <w:color w:val="212121"/>
          <w:sz w:val="24"/>
          <w:szCs w:val="24"/>
          <w:shd w:val="clear" w:color="auto" w:fill="FFFFFF"/>
        </w:rPr>
        <w:t>Purnamasari</w:t>
      </w:r>
      <w:proofErr w:type="spellEnd"/>
      <w:r w:rsidRPr="00884E4A">
        <w:rPr>
          <w:rFonts w:ascii="Times New Roman" w:hAnsi="Times New Roman" w:cs="Times New Roman"/>
          <w:color w:val="212121"/>
          <w:sz w:val="24"/>
          <w:szCs w:val="24"/>
          <w:shd w:val="clear" w:color="auto" w:fill="FFFFFF"/>
        </w:rPr>
        <w:t xml:space="preserve"> T, </w:t>
      </w:r>
      <w:proofErr w:type="spellStart"/>
      <w:r w:rsidRPr="00884E4A">
        <w:rPr>
          <w:rFonts w:ascii="Times New Roman" w:hAnsi="Times New Roman" w:cs="Times New Roman"/>
          <w:color w:val="212121"/>
          <w:sz w:val="24"/>
          <w:szCs w:val="24"/>
          <w:shd w:val="clear" w:color="auto" w:fill="FFFFFF"/>
        </w:rPr>
        <w:t>Hamami</w:t>
      </w:r>
      <w:proofErr w:type="spellEnd"/>
      <w:r w:rsidRPr="00884E4A">
        <w:rPr>
          <w:rFonts w:ascii="Times New Roman" w:hAnsi="Times New Roman" w:cs="Times New Roman"/>
          <w:color w:val="212121"/>
          <w:sz w:val="24"/>
          <w:szCs w:val="24"/>
          <w:shd w:val="clear" w:color="auto" w:fill="FFFFFF"/>
        </w:rPr>
        <w:t xml:space="preserve"> NM. Pyrazinamide-induced Hyperuricemia in Pulmonary Tuberculosis Patients. Int J </w:t>
      </w:r>
      <w:proofErr w:type="spellStart"/>
      <w:r w:rsidRPr="00884E4A">
        <w:rPr>
          <w:rFonts w:ascii="Times New Roman" w:hAnsi="Times New Roman" w:cs="Times New Roman"/>
          <w:color w:val="212121"/>
          <w:sz w:val="24"/>
          <w:szCs w:val="24"/>
          <w:shd w:val="clear" w:color="auto" w:fill="FFFFFF"/>
        </w:rPr>
        <w:t>Mycobacteriol</w:t>
      </w:r>
      <w:proofErr w:type="spellEnd"/>
      <w:r w:rsidRPr="00884E4A">
        <w:rPr>
          <w:rFonts w:ascii="Times New Roman" w:hAnsi="Times New Roman" w:cs="Times New Roman"/>
          <w:color w:val="212121"/>
          <w:sz w:val="24"/>
          <w:szCs w:val="24"/>
          <w:shd w:val="clear" w:color="auto" w:fill="FFFFFF"/>
        </w:rPr>
        <w:t xml:space="preserve">. 2024;13(3):282-287. </w:t>
      </w:r>
      <w:hyperlink r:id="rId14" w:history="1">
        <w:r w:rsidR="00884E4A" w:rsidRPr="007323E1">
          <w:rPr>
            <w:rStyle w:val="Hyperlink"/>
            <w:rFonts w:ascii="Times New Roman" w:hAnsi="Times New Roman" w:cs="Times New Roman"/>
            <w:sz w:val="24"/>
            <w:szCs w:val="24"/>
            <w:shd w:val="clear" w:color="auto" w:fill="FFFFFF"/>
          </w:rPr>
          <w:t>https://doi.org/10.4103/ijmy.ijmy_178_23</w:t>
        </w:r>
      </w:hyperlink>
    </w:p>
    <w:p w14:paraId="41E26233" w14:textId="77777777" w:rsidR="008C29E4" w:rsidRPr="00884E4A"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Taki H, Ogawa K, Murakami T, Nikai T. Epidemiological survey of hyperuricemia as an adverse reaction to </w:t>
      </w:r>
      <w:proofErr w:type="spellStart"/>
      <w:r w:rsidRPr="00884E4A">
        <w:rPr>
          <w:rFonts w:ascii="Times New Roman" w:hAnsi="Times New Roman" w:cs="Times New Roman"/>
          <w:color w:val="212121"/>
          <w:sz w:val="24"/>
          <w:szCs w:val="24"/>
          <w:shd w:val="clear" w:color="auto" w:fill="FFFFFF"/>
        </w:rPr>
        <w:t>antituberculous</w:t>
      </w:r>
      <w:proofErr w:type="spellEnd"/>
      <w:r w:rsidRPr="00884E4A">
        <w:rPr>
          <w:rFonts w:ascii="Times New Roman" w:hAnsi="Times New Roman" w:cs="Times New Roman"/>
          <w:color w:val="212121"/>
          <w:sz w:val="24"/>
          <w:szCs w:val="24"/>
          <w:shd w:val="clear" w:color="auto" w:fill="FFFFFF"/>
        </w:rPr>
        <w:t xml:space="preserve"> therapy with pyrazinamide. </w:t>
      </w:r>
      <w:proofErr w:type="spellStart"/>
      <w:r w:rsidRPr="00884E4A">
        <w:rPr>
          <w:rFonts w:ascii="Times New Roman" w:hAnsi="Times New Roman" w:cs="Times New Roman"/>
          <w:color w:val="212121"/>
          <w:sz w:val="24"/>
          <w:szCs w:val="24"/>
          <w:shd w:val="clear" w:color="auto" w:fill="FFFFFF"/>
        </w:rPr>
        <w:t>Kekkaku</w:t>
      </w:r>
      <w:proofErr w:type="spellEnd"/>
      <w:r w:rsidRPr="00884E4A">
        <w:rPr>
          <w:rFonts w:ascii="Times New Roman" w:hAnsi="Times New Roman" w:cs="Times New Roman"/>
          <w:color w:val="212121"/>
          <w:sz w:val="24"/>
          <w:szCs w:val="24"/>
          <w:shd w:val="clear" w:color="auto" w:fill="FFFFFF"/>
        </w:rPr>
        <w:t>. 2008;83(7):497-501</w:t>
      </w:r>
    </w:p>
    <w:p w14:paraId="24DE19F1" w14:textId="0142C5D6" w:rsidR="008C29E4" w:rsidRPr="00884E4A"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lastRenderedPageBreak/>
        <w:t xml:space="preserve">George C, Leslie SW, Minter DA. Hyperuricemia. [Updated 2023 Oct 14]. In: </w:t>
      </w:r>
      <w:proofErr w:type="spellStart"/>
      <w:r w:rsidRPr="00884E4A">
        <w:rPr>
          <w:rFonts w:ascii="Times New Roman" w:hAnsi="Times New Roman" w:cs="Times New Roman"/>
          <w:color w:val="212121"/>
          <w:sz w:val="24"/>
          <w:szCs w:val="24"/>
          <w:shd w:val="clear" w:color="auto" w:fill="FFFFFF"/>
        </w:rPr>
        <w:t>StatPearls</w:t>
      </w:r>
      <w:proofErr w:type="spellEnd"/>
      <w:r w:rsidRPr="00884E4A">
        <w:rPr>
          <w:rFonts w:ascii="Times New Roman" w:hAnsi="Times New Roman" w:cs="Times New Roman"/>
          <w:color w:val="212121"/>
          <w:sz w:val="24"/>
          <w:szCs w:val="24"/>
          <w:shd w:val="clear" w:color="auto" w:fill="FFFFFF"/>
        </w:rPr>
        <w:t xml:space="preserve"> [Internet]. Treasure Island (FL): </w:t>
      </w:r>
      <w:proofErr w:type="spellStart"/>
      <w:r w:rsidRPr="00884E4A">
        <w:rPr>
          <w:rFonts w:ascii="Times New Roman" w:hAnsi="Times New Roman" w:cs="Times New Roman"/>
          <w:color w:val="212121"/>
          <w:sz w:val="24"/>
          <w:szCs w:val="24"/>
          <w:shd w:val="clear" w:color="auto" w:fill="FFFFFF"/>
        </w:rPr>
        <w:t>StatPearls</w:t>
      </w:r>
      <w:proofErr w:type="spellEnd"/>
      <w:r w:rsidRPr="00884E4A">
        <w:rPr>
          <w:rFonts w:ascii="Times New Roman" w:hAnsi="Times New Roman" w:cs="Times New Roman"/>
          <w:color w:val="212121"/>
          <w:sz w:val="24"/>
          <w:szCs w:val="24"/>
          <w:shd w:val="clear" w:color="auto" w:fill="FFFFFF"/>
        </w:rPr>
        <w:t xml:space="preserve"> Publishing; 2025 Jan-. </w:t>
      </w:r>
      <w:r w:rsidRPr="00884E4A">
        <w:rPr>
          <w:rFonts w:ascii="Times New Roman" w:hAnsi="Times New Roman" w:cs="Times New Roman"/>
          <w:color w:val="212121"/>
          <w:sz w:val="24"/>
          <w:szCs w:val="24"/>
        </w:rPr>
        <w:t xml:space="preserve">Available from: </w:t>
      </w:r>
      <w:hyperlink r:id="rId15" w:history="1">
        <w:r w:rsidR="00884E4A" w:rsidRPr="007323E1">
          <w:rPr>
            <w:rStyle w:val="Hyperlink"/>
            <w:rFonts w:ascii="Times New Roman" w:hAnsi="Times New Roman" w:cs="Times New Roman"/>
            <w:sz w:val="24"/>
            <w:szCs w:val="24"/>
          </w:rPr>
          <w:t>https://www.ncbi.nlm.nih.gov/books/NBK459218/</w:t>
        </w:r>
      </w:hyperlink>
    </w:p>
    <w:p w14:paraId="7795FD1A" w14:textId="62F65FD7"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Migliori GB, Tiberi S, Zumla A, Petersen E, </w:t>
      </w:r>
      <w:proofErr w:type="spellStart"/>
      <w:r w:rsidRPr="00884E4A">
        <w:rPr>
          <w:rFonts w:ascii="Times New Roman" w:hAnsi="Times New Roman" w:cs="Times New Roman"/>
          <w:color w:val="212121"/>
          <w:sz w:val="24"/>
          <w:szCs w:val="24"/>
          <w:shd w:val="clear" w:color="auto" w:fill="FFFFFF"/>
        </w:rPr>
        <w:t>Chakaya</w:t>
      </w:r>
      <w:proofErr w:type="spellEnd"/>
      <w:r w:rsidRPr="00884E4A">
        <w:rPr>
          <w:rFonts w:ascii="Times New Roman" w:hAnsi="Times New Roman" w:cs="Times New Roman"/>
          <w:color w:val="212121"/>
          <w:sz w:val="24"/>
          <w:szCs w:val="24"/>
          <w:shd w:val="clear" w:color="auto" w:fill="FFFFFF"/>
        </w:rPr>
        <w:t xml:space="preserve"> JM, </w:t>
      </w:r>
      <w:proofErr w:type="spellStart"/>
      <w:r w:rsidRPr="00884E4A">
        <w:rPr>
          <w:rFonts w:ascii="Times New Roman" w:hAnsi="Times New Roman" w:cs="Times New Roman"/>
          <w:color w:val="212121"/>
          <w:sz w:val="24"/>
          <w:szCs w:val="24"/>
          <w:shd w:val="clear" w:color="auto" w:fill="FFFFFF"/>
        </w:rPr>
        <w:t>Wejse</w:t>
      </w:r>
      <w:proofErr w:type="spellEnd"/>
      <w:r w:rsidRPr="00884E4A">
        <w:rPr>
          <w:rFonts w:ascii="Times New Roman" w:hAnsi="Times New Roman" w:cs="Times New Roman"/>
          <w:color w:val="212121"/>
          <w:sz w:val="24"/>
          <w:szCs w:val="24"/>
          <w:shd w:val="clear" w:color="auto" w:fill="FFFFFF"/>
        </w:rPr>
        <w:t xml:space="preserve"> C, et al. MDR/XDR-TB management of patients and contacts: Challenges facing the new decade. The 2020 clinical update by the Global Tuberculosis Network. Int J Infect Dis. </w:t>
      </w:r>
      <w:proofErr w:type="gramStart"/>
      <w:r w:rsidRPr="00884E4A">
        <w:rPr>
          <w:rFonts w:ascii="Times New Roman" w:hAnsi="Times New Roman" w:cs="Times New Roman"/>
          <w:color w:val="212121"/>
          <w:sz w:val="24"/>
          <w:szCs w:val="24"/>
          <w:shd w:val="clear" w:color="auto" w:fill="FFFFFF"/>
        </w:rPr>
        <w:t>2020;92S:S15</w:t>
      </w:r>
      <w:proofErr w:type="gramEnd"/>
      <w:r w:rsidRPr="00884E4A">
        <w:rPr>
          <w:rFonts w:ascii="Times New Roman" w:hAnsi="Times New Roman" w:cs="Times New Roman"/>
          <w:color w:val="212121"/>
          <w:sz w:val="24"/>
          <w:szCs w:val="24"/>
          <w:shd w:val="clear" w:color="auto" w:fill="FFFFFF"/>
        </w:rPr>
        <w:t xml:space="preserve">-S25. </w:t>
      </w:r>
      <w:hyperlink r:id="rId16" w:history="1">
        <w:r w:rsidR="00884E4A" w:rsidRPr="007323E1">
          <w:rPr>
            <w:rStyle w:val="Hyperlink"/>
            <w:rFonts w:ascii="Times New Roman" w:hAnsi="Times New Roman" w:cs="Times New Roman"/>
            <w:sz w:val="24"/>
            <w:szCs w:val="24"/>
            <w:shd w:val="clear" w:color="auto" w:fill="FFFFFF"/>
          </w:rPr>
          <w:t>https://doi.org/10.1016/j.ijid.2020.01.042</w:t>
        </w:r>
      </w:hyperlink>
    </w:p>
    <w:p w14:paraId="501BC462" w14:textId="4EE5D743"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Heyckendorf J, Georghiou SB, Frahm N, Heinrich N, </w:t>
      </w:r>
      <w:proofErr w:type="spellStart"/>
      <w:r w:rsidRPr="00884E4A">
        <w:rPr>
          <w:rFonts w:ascii="Times New Roman" w:hAnsi="Times New Roman" w:cs="Times New Roman"/>
          <w:color w:val="212121"/>
          <w:sz w:val="24"/>
          <w:szCs w:val="24"/>
          <w:shd w:val="clear" w:color="auto" w:fill="FFFFFF"/>
        </w:rPr>
        <w:t>Kontsevaya</w:t>
      </w:r>
      <w:proofErr w:type="spellEnd"/>
      <w:r w:rsidRPr="00884E4A">
        <w:rPr>
          <w:rFonts w:ascii="Times New Roman" w:hAnsi="Times New Roman" w:cs="Times New Roman"/>
          <w:color w:val="212121"/>
          <w:sz w:val="24"/>
          <w:szCs w:val="24"/>
          <w:shd w:val="clear" w:color="auto" w:fill="FFFFFF"/>
        </w:rPr>
        <w:t xml:space="preserve"> I, Reimann M, et al. Tuberculosis Treatment Monitoring and Outcome Measures: New Interest and New Strategies. Clin </w:t>
      </w:r>
      <w:proofErr w:type="spellStart"/>
      <w:r w:rsidRPr="00884E4A">
        <w:rPr>
          <w:rFonts w:ascii="Times New Roman" w:hAnsi="Times New Roman" w:cs="Times New Roman"/>
          <w:color w:val="212121"/>
          <w:sz w:val="24"/>
          <w:szCs w:val="24"/>
          <w:shd w:val="clear" w:color="auto" w:fill="FFFFFF"/>
        </w:rPr>
        <w:t>Microbiol</w:t>
      </w:r>
      <w:proofErr w:type="spellEnd"/>
      <w:r w:rsidRPr="00884E4A">
        <w:rPr>
          <w:rFonts w:ascii="Times New Roman" w:hAnsi="Times New Roman" w:cs="Times New Roman"/>
          <w:color w:val="212121"/>
          <w:sz w:val="24"/>
          <w:szCs w:val="24"/>
          <w:shd w:val="clear" w:color="auto" w:fill="FFFFFF"/>
        </w:rPr>
        <w:t xml:space="preserve"> Rev. 2022;35(3</w:t>
      </w:r>
      <w:proofErr w:type="gramStart"/>
      <w:r w:rsidRPr="00884E4A">
        <w:rPr>
          <w:rFonts w:ascii="Times New Roman" w:hAnsi="Times New Roman" w:cs="Times New Roman"/>
          <w:color w:val="212121"/>
          <w:sz w:val="24"/>
          <w:szCs w:val="24"/>
          <w:shd w:val="clear" w:color="auto" w:fill="FFFFFF"/>
        </w:rPr>
        <w:t>):e</w:t>
      </w:r>
      <w:proofErr w:type="gramEnd"/>
      <w:r w:rsidRPr="00884E4A">
        <w:rPr>
          <w:rFonts w:ascii="Times New Roman" w:hAnsi="Times New Roman" w:cs="Times New Roman"/>
          <w:color w:val="212121"/>
          <w:sz w:val="24"/>
          <w:szCs w:val="24"/>
          <w:shd w:val="clear" w:color="auto" w:fill="FFFFFF"/>
        </w:rPr>
        <w:t xml:space="preserve">0022721. </w:t>
      </w:r>
      <w:hyperlink r:id="rId17" w:history="1">
        <w:r w:rsidR="00884E4A" w:rsidRPr="007323E1">
          <w:rPr>
            <w:rStyle w:val="Hyperlink"/>
            <w:rFonts w:ascii="Times New Roman" w:hAnsi="Times New Roman" w:cs="Times New Roman"/>
            <w:sz w:val="24"/>
            <w:szCs w:val="24"/>
            <w:shd w:val="clear" w:color="auto" w:fill="FFFFFF"/>
          </w:rPr>
          <w:t>https://doi.org/10.1128/cmr.00227-21</w:t>
        </w:r>
      </w:hyperlink>
    </w:p>
    <w:p w14:paraId="5449B9D8" w14:textId="2241DC1C"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proofErr w:type="spellStart"/>
      <w:r w:rsidRPr="00884E4A">
        <w:rPr>
          <w:rFonts w:ascii="Times New Roman" w:hAnsi="Times New Roman" w:cs="Times New Roman"/>
          <w:color w:val="212121"/>
          <w:sz w:val="24"/>
          <w:szCs w:val="24"/>
          <w:shd w:val="clear" w:color="auto" w:fill="FFFFFF"/>
        </w:rPr>
        <w:t>Maranchick</w:t>
      </w:r>
      <w:proofErr w:type="spellEnd"/>
      <w:r w:rsidRPr="00884E4A">
        <w:rPr>
          <w:rFonts w:ascii="Times New Roman" w:hAnsi="Times New Roman" w:cs="Times New Roman"/>
          <w:color w:val="212121"/>
          <w:sz w:val="24"/>
          <w:szCs w:val="24"/>
          <w:shd w:val="clear" w:color="auto" w:fill="FFFFFF"/>
        </w:rPr>
        <w:t xml:space="preserve"> NF, Peloquin CA. Role of therapeutic drug monitoring in the treatment of multi-drug resistant tuberculosis. J Clin </w:t>
      </w:r>
      <w:proofErr w:type="spellStart"/>
      <w:r w:rsidRPr="00884E4A">
        <w:rPr>
          <w:rFonts w:ascii="Times New Roman" w:hAnsi="Times New Roman" w:cs="Times New Roman"/>
          <w:color w:val="212121"/>
          <w:sz w:val="24"/>
          <w:szCs w:val="24"/>
          <w:shd w:val="clear" w:color="auto" w:fill="FFFFFF"/>
        </w:rPr>
        <w:t>Tuberc</w:t>
      </w:r>
      <w:proofErr w:type="spellEnd"/>
      <w:r w:rsidRPr="00884E4A">
        <w:rPr>
          <w:rFonts w:ascii="Times New Roman" w:hAnsi="Times New Roman" w:cs="Times New Roman"/>
          <w:color w:val="212121"/>
          <w:sz w:val="24"/>
          <w:szCs w:val="24"/>
          <w:shd w:val="clear" w:color="auto" w:fill="FFFFFF"/>
        </w:rPr>
        <w:t xml:space="preserve"> Other </w:t>
      </w:r>
      <w:proofErr w:type="spellStart"/>
      <w:r w:rsidRPr="00884E4A">
        <w:rPr>
          <w:rFonts w:ascii="Times New Roman" w:hAnsi="Times New Roman" w:cs="Times New Roman"/>
          <w:color w:val="212121"/>
          <w:sz w:val="24"/>
          <w:szCs w:val="24"/>
          <w:shd w:val="clear" w:color="auto" w:fill="FFFFFF"/>
        </w:rPr>
        <w:t>Mycobact</w:t>
      </w:r>
      <w:proofErr w:type="spellEnd"/>
      <w:r w:rsidRPr="00884E4A">
        <w:rPr>
          <w:rFonts w:ascii="Times New Roman" w:hAnsi="Times New Roman" w:cs="Times New Roman"/>
          <w:color w:val="212121"/>
          <w:sz w:val="24"/>
          <w:szCs w:val="24"/>
          <w:shd w:val="clear" w:color="auto" w:fill="FFFFFF"/>
        </w:rPr>
        <w:t xml:space="preserve"> Dis. </w:t>
      </w:r>
      <w:proofErr w:type="gramStart"/>
      <w:r w:rsidRPr="00884E4A">
        <w:rPr>
          <w:rFonts w:ascii="Times New Roman" w:hAnsi="Times New Roman" w:cs="Times New Roman"/>
          <w:color w:val="212121"/>
          <w:sz w:val="24"/>
          <w:szCs w:val="24"/>
          <w:shd w:val="clear" w:color="auto" w:fill="FFFFFF"/>
        </w:rPr>
        <w:t>2024;36:100444</w:t>
      </w:r>
      <w:proofErr w:type="gramEnd"/>
      <w:r w:rsidRPr="00884E4A">
        <w:rPr>
          <w:rFonts w:ascii="Times New Roman" w:hAnsi="Times New Roman" w:cs="Times New Roman"/>
          <w:color w:val="212121"/>
          <w:sz w:val="24"/>
          <w:szCs w:val="24"/>
          <w:shd w:val="clear" w:color="auto" w:fill="FFFFFF"/>
        </w:rPr>
        <w:t xml:space="preserve">. </w:t>
      </w:r>
      <w:hyperlink r:id="rId18" w:history="1">
        <w:r w:rsidR="00884E4A" w:rsidRPr="007323E1">
          <w:rPr>
            <w:rStyle w:val="Hyperlink"/>
            <w:rFonts w:ascii="Times New Roman" w:hAnsi="Times New Roman" w:cs="Times New Roman"/>
            <w:sz w:val="24"/>
            <w:szCs w:val="24"/>
            <w:shd w:val="clear" w:color="auto" w:fill="FFFFFF"/>
          </w:rPr>
          <w:t>https://doi.org/10.1016/j.jctube.2024.100444</w:t>
        </w:r>
      </w:hyperlink>
    </w:p>
    <w:bookmarkEnd w:id="2"/>
    <w:p w14:paraId="2B6B6FEF" w14:textId="063DDF8F"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Shin HJ, Yoon JY, Na YO, Lee JK, Kho BG, Kim TO, et al. Major adverse cardiovascular events and hyperuricemia during tuberculosis treatment. </w:t>
      </w:r>
      <w:proofErr w:type="spellStart"/>
      <w:r w:rsidRPr="00884E4A">
        <w:rPr>
          <w:rFonts w:ascii="Times New Roman" w:hAnsi="Times New Roman" w:cs="Times New Roman"/>
          <w:color w:val="212121"/>
          <w:sz w:val="24"/>
          <w:szCs w:val="24"/>
          <w:shd w:val="clear" w:color="auto" w:fill="FFFFFF"/>
        </w:rPr>
        <w:t>PLoS</w:t>
      </w:r>
      <w:proofErr w:type="spellEnd"/>
      <w:r w:rsidRPr="00884E4A">
        <w:rPr>
          <w:rFonts w:ascii="Times New Roman" w:hAnsi="Times New Roman" w:cs="Times New Roman"/>
          <w:color w:val="212121"/>
          <w:sz w:val="24"/>
          <w:szCs w:val="24"/>
          <w:shd w:val="clear" w:color="auto" w:fill="FFFFFF"/>
        </w:rPr>
        <w:t xml:space="preserve"> One. 2023;18(11</w:t>
      </w:r>
      <w:proofErr w:type="gramStart"/>
      <w:r w:rsidRPr="00884E4A">
        <w:rPr>
          <w:rFonts w:ascii="Times New Roman" w:hAnsi="Times New Roman" w:cs="Times New Roman"/>
          <w:color w:val="212121"/>
          <w:sz w:val="24"/>
          <w:szCs w:val="24"/>
          <w:shd w:val="clear" w:color="auto" w:fill="FFFFFF"/>
        </w:rPr>
        <w:t>):e</w:t>
      </w:r>
      <w:proofErr w:type="gramEnd"/>
      <w:r w:rsidRPr="00884E4A">
        <w:rPr>
          <w:rFonts w:ascii="Times New Roman" w:hAnsi="Times New Roman" w:cs="Times New Roman"/>
          <w:color w:val="212121"/>
          <w:sz w:val="24"/>
          <w:szCs w:val="24"/>
          <w:shd w:val="clear" w:color="auto" w:fill="FFFFFF"/>
        </w:rPr>
        <w:t xml:space="preserve">0294490. </w:t>
      </w:r>
      <w:hyperlink r:id="rId19" w:history="1">
        <w:r w:rsidR="00884E4A" w:rsidRPr="007323E1">
          <w:rPr>
            <w:rStyle w:val="Hyperlink"/>
            <w:rFonts w:ascii="Times New Roman" w:hAnsi="Times New Roman" w:cs="Times New Roman"/>
            <w:sz w:val="24"/>
            <w:szCs w:val="24"/>
            <w:shd w:val="clear" w:color="auto" w:fill="FFFFFF"/>
          </w:rPr>
          <w:t>https://doi.org/10.1371/journal.pone.0294490</w:t>
        </w:r>
      </w:hyperlink>
    </w:p>
    <w:p w14:paraId="53B1DCD8" w14:textId="77777777" w:rsidR="008C29E4" w:rsidRPr="00884E4A"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Pham AQ, Doan A, Andersen M. Pyrazinamide-induced hyperuricemia. P T. 2014;39(10):695-715</w:t>
      </w:r>
    </w:p>
    <w:p w14:paraId="69722D12" w14:textId="78BA23D7" w:rsidR="008C29E4" w:rsidRPr="00884E4A"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1B1B1B"/>
          <w:sz w:val="24"/>
          <w:szCs w:val="24"/>
          <w:shd w:val="clear" w:color="auto" w:fill="FFFFFF"/>
        </w:rPr>
        <w:t xml:space="preserve">Kim CY, Ha JW, Jung I, Han M, Ahn SS. Risk of Gout Among Patients </w:t>
      </w:r>
      <w:proofErr w:type="gramStart"/>
      <w:r w:rsidRPr="00884E4A">
        <w:rPr>
          <w:rFonts w:ascii="Times New Roman" w:hAnsi="Times New Roman" w:cs="Times New Roman"/>
          <w:color w:val="1B1B1B"/>
          <w:sz w:val="24"/>
          <w:szCs w:val="24"/>
          <w:shd w:val="clear" w:color="auto" w:fill="FFFFFF"/>
        </w:rPr>
        <w:t>With</w:t>
      </w:r>
      <w:proofErr w:type="gramEnd"/>
      <w:r w:rsidRPr="00884E4A">
        <w:rPr>
          <w:rFonts w:ascii="Times New Roman" w:hAnsi="Times New Roman" w:cs="Times New Roman"/>
          <w:color w:val="1B1B1B"/>
          <w:sz w:val="24"/>
          <w:szCs w:val="24"/>
          <w:shd w:val="clear" w:color="auto" w:fill="FFFFFF"/>
        </w:rPr>
        <w:t xml:space="preserve"> Tuberculosis: A Nationwide Cohort Study in South Korea. Int J Rheum Dis. 2025;28(3</w:t>
      </w:r>
      <w:proofErr w:type="gramStart"/>
      <w:r w:rsidRPr="00884E4A">
        <w:rPr>
          <w:rFonts w:ascii="Times New Roman" w:hAnsi="Times New Roman" w:cs="Times New Roman"/>
          <w:color w:val="1B1B1B"/>
          <w:sz w:val="24"/>
          <w:szCs w:val="24"/>
          <w:shd w:val="clear" w:color="auto" w:fill="FFFFFF"/>
        </w:rPr>
        <w:t>):e</w:t>
      </w:r>
      <w:proofErr w:type="gramEnd"/>
      <w:r w:rsidRPr="00884E4A">
        <w:rPr>
          <w:rFonts w:ascii="Times New Roman" w:hAnsi="Times New Roman" w:cs="Times New Roman"/>
          <w:color w:val="1B1B1B"/>
          <w:sz w:val="24"/>
          <w:szCs w:val="24"/>
          <w:shd w:val="clear" w:color="auto" w:fill="FFFFFF"/>
        </w:rPr>
        <w:t xml:space="preserve">70197. </w:t>
      </w:r>
      <w:hyperlink r:id="rId20" w:history="1">
        <w:r w:rsidR="00884E4A" w:rsidRPr="007323E1">
          <w:rPr>
            <w:rStyle w:val="Hyperlink"/>
            <w:rFonts w:ascii="Times New Roman" w:hAnsi="Times New Roman" w:cs="Times New Roman"/>
            <w:sz w:val="24"/>
            <w:szCs w:val="24"/>
            <w:shd w:val="clear" w:color="auto" w:fill="FFFFFF"/>
          </w:rPr>
          <w:t>https://doi.org/10.1111/1756-185X.70197</w:t>
        </w:r>
      </w:hyperlink>
    </w:p>
    <w:p w14:paraId="5C380D3D" w14:textId="7C4DAD3F" w:rsidR="008C29E4" w:rsidRDefault="008C29E4"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Fontes FL, Rooker SA, Lynn-Barbe JK, Lyons MA, Crans DC, Crick DC. </w:t>
      </w:r>
      <w:proofErr w:type="spellStart"/>
      <w:r w:rsidRPr="00884E4A">
        <w:rPr>
          <w:rFonts w:ascii="Times New Roman" w:hAnsi="Times New Roman" w:cs="Times New Roman"/>
          <w:color w:val="212121"/>
          <w:sz w:val="24"/>
          <w:szCs w:val="24"/>
          <w:shd w:val="clear" w:color="auto" w:fill="FFFFFF"/>
        </w:rPr>
        <w:t>Pyrazinoic</w:t>
      </w:r>
      <w:proofErr w:type="spellEnd"/>
      <w:r w:rsidRPr="00884E4A">
        <w:rPr>
          <w:rFonts w:ascii="Times New Roman" w:hAnsi="Times New Roman" w:cs="Times New Roman"/>
          <w:color w:val="212121"/>
          <w:sz w:val="24"/>
          <w:szCs w:val="24"/>
          <w:shd w:val="clear" w:color="auto" w:fill="FFFFFF"/>
        </w:rPr>
        <w:t xml:space="preserve"> acid, the active form of the anti-tuberculosis drug pyrazinamide, and aromatic carboxylic acid </w:t>
      </w:r>
      <w:proofErr w:type="spellStart"/>
      <w:r w:rsidRPr="00884E4A">
        <w:rPr>
          <w:rFonts w:ascii="Times New Roman" w:hAnsi="Times New Roman" w:cs="Times New Roman"/>
          <w:color w:val="212121"/>
          <w:sz w:val="24"/>
          <w:szCs w:val="24"/>
          <w:shd w:val="clear" w:color="auto" w:fill="FFFFFF"/>
        </w:rPr>
        <w:t>analogs</w:t>
      </w:r>
      <w:proofErr w:type="spellEnd"/>
      <w:r w:rsidRPr="00884E4A">
        <w:rPr>
          <w:rFonts w:ascii="Times New Roman" w:hAnsi="Times New Roman" w:cs="Times New Roman"/>
          <w:color w:val="212121"/>
          <w:sz w:val="24"/>
          <w:szCs w:val="24"/>
          <w:shd w:val="clear" w:color="auto" w:fill="FFFFFF"/>
        </w:rPr>
        <w:t xml:space="preserve"> </w:t>
      </w:r>
      <w:r w:rsidRPr="00884E4A">
        <w:rPr>
          <w:rFonts w:ascii="Times New Roman" w:hAnsi="Times New Roman" w:cs="Times New Roman"/>
          <w:color w:val="212121"/>
          <w:sz w:val="24"/>
          <w:szCs w:val="24"/>
          <w:shd w:val="clear" w:color="auto" w:fill="FFFFFF"/>
        </w:rPr>
        <w:lastRenderedPageBreak/>
        <w:t xml:space="preserve">are protonophores. Front Mol </w:t>
      </w:r>
      <w:proofErr w:type="spellStart"/>
      <w:r w:rsidRPr="00884E4A">
        <w:rPr>
          <w:rFonts w:ascii="Times New Roman" w:hAnsi="Times New Roman" w:cs="Times New Roman"/>
          <w:color w:val="212121"/>
          <w:sz w:val="24"/>
          <w:szCs w:val="24"/>
          <w:shd w:val="clear" w:color="auto" w:fill="FFFFFF"/>
        </w:rPr>
        <w:t>Biosci</w:t>
      </w:r>
      <w:proofErr w:type="spellEnd"/>
      <w:r w:rsidRPr="00884E4A">
        <w:rPr>
          <w:rFonts w:ascii="Times New Roman" w:hAnsi="Times New Roman" w:cs="Times New Roman"/>
          <w:color w:val="212121"/>
          <w:sz w:val="24"/>
          <w:szCs w:val="24"/>
          <w:shd w:val="clear" w:color="auto" w:fill="FFFFFF"/>
        </w:rPr>
        <w:t xml:space="preserve">. </w:t>
      </w:r>
      <w:proofErr w:type="gramStart"/>
      <w:r w:rsidRPr="00884E4A">
        <w:rPr>
          <w:rFonts w:ascii="Times New Roman" w:hAnsi="Times New Roman" w:cs="Times New Roman"/>
          <w:color w:val="212121"/>
          <w:sz w:val="24"/>
          <w:szCs w:val="24"/>
          <w:shd w:val="clear" w:color="auto" w:fill="FFFFFF"/>
        </w:rPr>
        <w:t>2024;11:1350699</w:t>
      </w:r>
      <w:proofErr w:type="gramEnd"/>
      <w:r w:rsidRPr="00884E4A">
        <w:rPr>
          <w:rFonts w:ascii="Times New Roman" w:hAnsi="Times New Roman" w:cs="Times New Roman"/>
          <w:color w:val="212121"/>
          <w:sz w:val="24"/>
          <w:szCs w:val="24"/>
          <w:shd w:val="clear" w:color="auto" w:fill="FFFFFF"/>
        </w:rPr>
        <w:t xml:space="preserve">. </w:t>
      </w:r>
      <w:hyperlink r:id="rId21" w:history="1">
        <w:r w:rsidR="00884E4A" w:rsidRPr="007323E1">
          <w:rPr>
            <w:rStyle w:val="Hyperlink"/>
            <w:rFonts w:ascii="Times New Roman" w:hAnsi="Times New Roman" w:cs="Times New Roman"/>
            <w:sz w:val="24"/>
            <w:szCs w:val="24"/>
            <w:shd w:val="clear" w:color="auto" w:fill="FFFFFF"/>
          </w:rPr>
          <w:t>https://doi.org/10.3389/fmolb.2024.1350699</w:t>
        </w:r>
      </w:hyperlink>
    </w:p>
    <w:p w14:paraId="611702C8" w14:textId="6E56D80C" w:rsidR="00912CC2" w:rsidRPr="00884E4A" w:rsidRDefault="008C29E4" w:rsidP="00884E4A">
      <w:pPr>
        <w:pStyle w:val="ListParagraph"/>
        <w:numPr>
          <w:ilvl w:val="0"/>
          <w:numId w:val="2"/>
        </w:numPr>
        <w:spacing w:after="0" w:line="480" w:lineRule="auto"/>
        <w:ind w:left="360"/>
        <w:jc w:val="both"/>
        <w:rPr>
          <w:rFonts w:ascii="Segoe UI" w:hAnsi="Segoe UI" w:cs="Segoe UI"/>
          <w:color w:val="212121"/>
          <w:shd w:val="clear" w:color="auto" w:fill="FFFFFF"/>
        </w:rPr>
      </w:pPr>
      <w:proofErr w:type="spellStart"/>
      <w:r w:rsidRPr="00884E4A">
        <w:rPr>
          <w:rFonts w:ascii="Times New Roman" w:hAnsi="Times New Roman" w:cs="Times New Roman"/>
          <w:color w:val="212121"/>
          <w:sz w:val="24"/>
          <w:szCs w:val="24"/>
          <w:shd w:val="clear" w:color="auto" w:fill="FFFFFF"/>
        </w:rPr>
        <w:t>Louthrenoo</w:t>
      </w:r>
      <w:proofErr w:type="spellEnd"/>
      <w:r w:rsidRPr="00884E4A">
        <w:rPr>
          <w:rFonts w:ascii="Times New Roman" w:hAnsi="Times New Roman" w:cs="Times New Roman"/>
          <w:color w:val="212121"/>
          <w:sz w:val="24"/>
          <w:szCs w:val="24"/>
          <w:shd w:val="clear" w:color="auto" w:fill="FFFFFF"/>
        </w:rPr>
        <w:t xml:space="preserve"> W, </w:t>
      </w:r>
      <w:proofErr w:type="spellStart"/>
      <w:r w:rsidRPr="00884E4A">
        <w:rPr>
          <w:rFonts w:ascii="Times New Roman" w:hAnsi="Times New Roman" w:cs="Times New Roman"/>
          <w:color w:val="212121"/>
          <w:sz w:val="24"/>
          <w:szCs w:val="24"/>
          <w:shd w:val="clear" w:color="auto" w:fill="FFFFFF"/>
        </w:rPr>
        <w:t>Hongsongkiat</w:t>
      </w:r>
      <w:proofErr w:type="spellEnd"/>
      <w:r w:rsidRPr="00884E4A">
        <w:rPr>
          <w:rFonts w:ascii="Times New Roman" w:hAnsi="Times New Roman" w:cs="Times New Roman"/>
          <w:color w:val="212121"/>
          <w:sz w:val="24"/>
          <w:szCs w:val="24"/>
          <w:shd w:val="clear" w:color="auto" w:fill="FFFFFF"/>
        </w:rPr>
        <w:t xml:space="preserve"> S, </w:t>
      </w:r>
      <w:proofErr w:type="spellStart"/>
      <w:r w:rsidRPr="00884E4A">
        <w:rPr>
          <w:rFonts w:ascii="Times New Roman" w:hAnsi="Times New Roman" w:cs="Times New Roman"/>
          <w:color w:val="212121"/>
          <w:sz w:val="24"/>
          <w:szCs w:val="24"/>
          <w:shd w:val="clear" w:color="auto" w:fill="FFFFFF"/>
        </w:rPr>
        <w:t>Kasitanon</w:t>
      </w:r>
      <w:proofErr w:type="spellEnd"/>
      <w:r w:rsidRPr="00884E4A">
        <w:rPr>
          <w:rFonts w:ascii="Times New Roman" w:hAnsi="Times New Roman" w:cs="Times New Roman"/>
          <w:color w:val="212121"/>
          <w:sz w:val="24"/>
          <w:szCs w:val="24"/>
          <w:shd w:val="clear" w:color="auto" w:fill="FFFFFF"/>
        </w:rPr>
        <w:t xml:space="preserve"> N, </w:t>
      </w:r>
      <w:proofErr w:type="spellStart"/>
      <w:r w:rsidRPr="00884E4A">
        <w:rPr>
          <w:rFonts w:ascii="Times New Roman" w:hAnsi="Times New Roman" w:cs="Times New Roman"/>
          <w:color w:val="212121"/>
          <w:sz w:val="24"/>
          <w:szCs w:val="24"/>
          <w:shd w:val="clear" w:color="auto" w:fill="FFFFFF"/>
        </w:rPr>
        <w:t>Wangkaew</w:t>
      </w:r>
      <w:proofErr w:type="spellEnd"/>
      <w:r w:rsidRPr="00884E4A">
        <w:rPr>
          <w:rFonts w:ascii="Times New Roman" w:hAnsi="Times New Roman" w:cs="Times New Roman"/>
          <w:color w:val="212121"/>
          <w:sz w:val="24"/>
          <w:szCs w:val="24"/>
          <w:shd w:val="clear" w:color="auto" w:fill="FFFFFF"/>
        </w:rPr>
        <w:t xml:space="preserve"> S, </w:t>
      </w:r>
      <w:proofErr w:type="spellStart"/>
      <w:r w:rsidRPr="00884E4A">
        <w:rPr>
          <w:rFonts w:ascii="Times New Roman" w:hAnsi="Times New Roman" w:cs="Times New Roman"/>
          <w:color w:val="212121"/>
          <w:sz w:val="24"/>
          <w:szCs w:val="24"/>
          <w:shd w:val="clear" w:color="auto" w:fill="FFFFFF"/>
        </w:rPr>
        <w:t>Jatuworapruk</w:t>
      </w:r>
      <w:proofErr w:type="spellEnd"/>
      <w:r w:rsidRPr="00884E4A">
        <w:rPr>
          <w:rFonts w:ascii="Times New Roman" w:hAnsi="Times New Roman" w:cs="Times New Roman"/>
          <w:color w:val="212121"/>
          <w:sz w:val="24"/>
          <w:szCs w:val="24"/>
          <w:shd w:val="clear" w:color="auto" w:fill="FFFFFF"/>
        </w:rPr>
        <w:t xml:space="preserve"> K. Effect of </w:t>
      </w:r>
      <w:proofErr w:type="spellStart"/>
      <w:r w:rsidRPr="00884E4A">
        <w:rPr>
          <w:rFonts w:ascii="Times New Roman" w:hAnsi="Times New Roman" w:cs="Times New Roman"/>
          <w:color w:val="212121"/>
          <w:sz w:val="24"/>
          <w:szCs w:val="24"/>
          <w:shd w:val="clear" w:color="auto" w:fill="FFFFFF"/>
        </w:rPr>
        <w:t>Antituberculous</w:t>
      </w:r>
      <w:proofErr w:type="spellEnd"/>
      <w:r w:rsidRPr="00884E4A">
        <w:rPr>
          <w:rFonts w:ascii="Times New Roman" w:hAnsi="Times New Roman" w:cs="Times New Roman"/>
          <w:color w:val="212121"/>
          <w:sz w:val="24"/>
          <w:szCs w:val="24"/>
          <w:shd w:val="clear" w:color="auto" w:fill="FFFFFF"/>
        </w:rPr>
        <w:t xml:space="preserve"> Drugs on Serum Uric Acid and Urine Uric Acid Excretion. J Clin Rheumatol. 2015;21(7):346-8. </w:t>
      </w:r>
      <w:hyperlink r:id="rId22" w:history="1">
        <w:r w:rsidR="00884E4A" w:rsidRPr="007323E1">
          <w:rPr>
            <w:rStyle w:val="Hyperlink"/>
            <w:rFonts w:ascii="Times New Roman" w:hAnsi="Times New Roman" w:cs="Times New Roman"/>
            <w:sz w:val="24"/>
            <w:szCs w:val="24"/>
            <w:shd w:val="clear" w:color="auto" w:fill="FFFFFF"/>
          </w:rPr>
          <w:t>https://doi.org/10.1097/RHU.0000000000000297</w:t>
        </w:r>
      </w:hyperlink>
    </w:p>
    <w:p w14:paraId="14AB29AA" w14:textId="052515E9" w:rsidR="00884E4A" w:rsidRDefault="00884E4A" w:rsidP="00884E4A">
      <w:pPr>
        <w:pStyle w:val="ListParagraph"/>
        <w:numPr>
          <w:ilvl w:val="0"/>
          <w:numId w:val="2"/>
        </w:numPr>
        <w:spacing w:after="0" w:line="480" w:lineRule="auto"/>
        <w:ind w:left="360"/>
        <w:jc w:val="both"/>
        <w:rPr>
          <w:rFonts w:ascii="Times New Roman" w:hAnsi="Times New Roman" w:cs="Times New Roman"/>
          <w:color w:val="212121"/>
          <w:sz w:val="24"/>
          <w:szCs w:val="24"/>
          <w:shd w:val="clear" w:color="auto" w:fill="FFFFFF"/>
        </w:rPr>
      </w:pPr>
      <w:r w:rsidRPr="00884E4A">
        <w:rPr>
          <w:rFonts w:ascii="Times New Roman" w:hAnsi="Times New Roman" w:cs="Times New Roman"/>
          <w:color w:val="212121"/>
          <w:sz w:val="24"/>
          <w:szCs w:val="24"/>
          <w:shd w:val="clear" w:color="auto" w:fill="FFFFFF"/>
        </w:rPr>
        <w:t xml:space="preserve">Taha MM, Matar MS, </w:t>
      </w:r>
      <w:proofErr w:type="spellStart"/>
      <w:r w:rsidRPr="00884E4A">
        <w:rPr>
          <w:rFonts w:ascii="Times New Roman" w:hAnsi="Times New Roman" w:cs="Times New Roman"/>
          <w:color w:val="212121"/>
          <w:sz w:val="24"/>
          <w:szCs w:val="24"/>
          <w:shd w:val="clear" w:color="auto" w:fill="FFFFFF"/>
        </w:rPr>
        <w:t>Elhag</w:t>
      </w:r>
      <w:proofErr w:type="spellEnd"/>
      <w:r w:rsidRPr="00884E4A">
        <w:rPr>
          <w:rFonts w:ascii="Times New Roman" w:hAnsi="Times New Roman" w:cs="Times New Roman"/>
          <w:color w:val="212121"/>
          <w:sz w:val="24"/>
          <w:szCs w:val="24"/>
          <w:shd w:val="clear" w:color="auto" w:fill="FFFFFF"/>
        </w:rPr>
        <w:t xml:space="preserve"> EA, </w:t>
      </w:r>
      <w:proofErr w:type="spellStart"/>
      <w:r w:rsidRPr="00884E4A">
        <w:rPr>
          <w:rFonts w:ascii="Times New Roman" w:hAnsi="Times New Roman" w:cs="Times New Roman"/>
          <w:color w:val="212121"/>
          <w:sz w:val="24"/>
          <w:szCs w:val="24"/>
          <w:shd w:val="clear" w:color="auto" w:fill="FFFFFF"/>
        </w:rPr>
        <w:t>Hamadouk</w:t>
      </w:r>
      <w:proofErr w:type="spellEnd"/>
      <w:r w:rsidRPr="00884E4A">
        <w:rPr>
          <w:rFonts w:ascii="Times New Roman" w:hAnsi="Times New Roman" w:cs="Times New Roman"/>
          <w:color w:val="212121"/>
          <w:sz w:val="24"/>
          <w:szCs w:val="24"/>
          <w:shd w:val="clear" w:color="auto" w:fill="FFFFFF"/>
        </w:rPr>
        <w:t xml:space="preserve"> RM, Ahmed KO, Yousef BA. Physicians’ Knowledge, Attitudes, and Practices in Gout Management: A Cross-sectional Study at Soba Teaching Hospital. Journal of Advances in Medical and Pharmaceutical Sciences. 2025;27(5):53-64.</w:t>
      </w:r>
      <w:r>
        <w:rPr>
          <w:rFonts w:ascii="Times New Roman" w:hAnsi="Times New Roman" w:cs="Times New Roman"/>
          <w:color w:val="212121"/>
          <w:sz w:val="24"/>
          <w:szCs w:val="24"/>
          <w:shd w:val="clear" w:color="auto" w:fill="FFFFFF"/>
        </w:rPr>
        <w:t xml:space="preserve"> </w:t>
      </w:r>
      <w:hyperlink r:id="rId23" w:history="1">
        <w:r w:rsidRPr="007323E1">
          <w:rPr>
            <w:rStyle w:val="Hyperlink"/>
            <w:rFonts w:ascii="Times New Roman" w:hAnsi="Times New Roman" w:cs="Times New Roman"/>
            <w:sz w:val="24"/>
            <w:szCs w:val="24"/>
            <w:shd w:val="clear" w:color="auto" w:fill="FFFFFF"/>
          </w:rPr>
          <w:t>https://doi.org/10.9734/jamps/2025/v27i5777</w:t>
        </w:r>
      </w:hyperlink>
    </w:p>
    <w:sectPr w:rsidR="00884E4A" w:rsidSect="008323B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2DF97" w14:textId="77777777" w:rsidR="00D84561" w:rsidRDefault="00D84561" w:rsidP="005C7B4C">
      <w:pPr>
        <w:spacing w:after="0" w:line="240" w:lineRule="auto"/>
      </w:pPr>
      <w:r>
        <w:separator/>
      </w:r>
    </w:p>
  </w:endnote>
  <w:endnote w:type="continuationSeparator" w:id="0">
    <w:p w14:paraId="0E8E47FD" w14:textId="77777777" w:rsidR="00D84561" w:rsidRDefault="00D84561" w:rsidP="005C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4085" w14:textId="77777777" w:rsidR="005C7B4C" w:rsidRDefault="005C7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7D1D" w14:textId="77777777" w:rsidR="005C7B4C" w:rsidRDefault="005C7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3D6E" w14:textId="77777777" w:rsidR="005C7B4C" w:rsidRDefault="005C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440D6" w14:textId="77777777" w:rsidR="00D84561" w:rsidRDefault="00D84561" w:rsidP="005C7B4C">
      <w:pPr>
        <w:spacing w:after="0" w:line="240" w:lineRule="auto"/>
      </w:pPr>
      <w:r>
        <w:separator/>
      </w:r>
    </w:p>
  </w:footnote>
  <w:footnote w:type="continuationSeparator" w:id="0">
    <w:p w14:paraId="62F2C4DB" w14:textId="77777777" w:rsidR="00D84561" w:rsidRDefault="00D84561" w:rsidP="005C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1415" w14:textId="79F57F27" w:rsidR="005C7B4C" w:rsidRDefault="005C7B4C">
    <w:pPr>
      <w:pStyle w:val="Header"/>
    </w:pPr>
    <w:r>
      <w:rPr>
        <w:noProof/>
      </w:rPr>
      <w:pict w14:anchorId="5E7CE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99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AC07" w14:textId="2898E98F" w:rsidR="005C7B4C" w:rsidRDefault="005C7B4C">
    <w:pPr>
      <w:pStyle w:val="Header"/>
    </w:pPr>
    <w:r>
      <w:rPr>
        <w:noProof/>
      </w:rPr>
      <w:pict w14:anchorId="23D11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99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BCC0" w14:textId="21B3C847" w:rsidR="005C7B4C" w:rsidRDefault="005C7B4C">
    <w:pPr>
      <w:pStyle w:val="Header"/>
    </w:pPr>
    <w:r>
      <w:rPr>
        <w:noProof/>
      </w:rPr>
      <w:pict w14:anchorId="5341E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99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FA8"/>
    <w:multiLevelType w:val="hybridMultilevel"/>
    <w:tmpl w:val="4CD2A54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892CD3"/>
    <w:multiLevelType w:val="hybridMultilevel"/>
    <w:tmpl w:val="A1248000"/>
    <w:lvl w:ilvl="0" w:tplc="63DC73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EC"/>
    <w:rsid w:val="00010AA9"/>
    <w:rsid w:val="000E302E"/>
    <w:rsid w:val="001C79C1"/>
    <w:rsid w:val="0025626B"/>
    <w:rsid w:val="002F28DD"/>
    <w:rsid w:val="00397519"/>
    <w:rsid w:val="003F2827"/>
    <w:rsid w:val="005C7B4C"/>
    <w:rsid w:val="00622885"/>
    <w:rsid w:val="00637D2C"/>
    <w:rsid w:val="00640BAE"/>
    <w:rsid w:val="00793F13"/>
    <w:rsid w:val="00811B7D"/>
    <w:rsid w:val="008323B5"/>
    <w:rsid w:val="00884E4A"/>
    <w:rsid w:val="008C29E4"/>
    <w:rsid w:val="008E23EC"/>
    <w:rsid w:val="00912CC2"/>
    <w:rsid w:val="00940662"/>
    <w:rsid w:val="00C66D40"/>
    <w:rsid w:val="00D26C7C"/>
    <w:rsid w:val="00D3731A"/>
    <w:rsid w:val="00D61645"/>
    <w:rsid w:val="00D84561"/>
    <w:rsid w:val="00DA14D4"/>
    <w:rsid w:val="00DB79DA"/>
    <w:rsid w:val="00E5170A"/>
    <w:rsid w:val="00EB751C"/>
    <w:rsid w:val="00EF2A37"/>
    <w:rsid w:val="00F85C66"/>
    <w:rsid w:val="00F955A9"/>
    <w:rsid w:val="00FD5EE1"/>
    <w:rsid w:val="00FF1E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FF645"/>
  <w15:chartTrackingRefBased/>
  <w15:docId w15:val="{3F4993DF-4B97-4388-95CF-7FF77E49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645"/>
    <w:rPr>
      <w:color w:val="0563C1" w:themeColor="hyperlink"/>
      <w:u w:val="single"/>
    </w:rPr>
  </w:style>
  <w:style w:type="character" w:styleId="UnresolvedMention">
    <w:name w:val="Unresolved Mention"/>
    <w:basedOn w:val="DefaultParagraphFont"/>
    <w:uiPriority w:val="99"/>
    <w:semiHidden/>
    <w:unhideWhenUsed/>
    <w:rsid w:val="00D61645"/>
    <w:rPr>
      <w:color w:val="605E5C"/>
      <w:shd w:val="clear" w:color="auto" w:fill="E1DFDD"/>
    </w:rPr>
  </w:style>
  <w:style w:type="character" w:styleId="Strong">
    <w:name w:val="Strong"/>
    <w:basedOn w:val="DefaultParagraphFont"/>
    <w:uiPriority w:val="22"/>
    <w:qFormat/>
    <w:rsid w:val="00D61645"/>
    <w:rPr>
      <w:b/>
      <w:bCs/>
    </w:rPr>
  </w:style>
  <w:style w:type="paragraph" w:styleId="ListParagraph">
    <w:name w:val="List Paragraph"/>
    <w:basedOn w:val="Normal"/>
    <w:uiPriority w:val="34"/>
    <w:qFormat/>
    <w:rsid w:val="002F28DD"/>
    <w:pPr>
      <w:ind w:left="720"/>
      <w:contextualSpacing/>
    </w:pPr>
  </w:style>
  <w:style w:type="table" w:styleId="TableGrid">
    <w:name w:val="Table Grid"/>
    <w:basedOn w:val="TableNormal"/>
    <w:uiPriority w:val="59"/>
    <w:qFormat/>
    <w:rsid w:val="00DA14D4"/>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79DA"/>
    <w:rPr>
      <w:i/>
      <w:iCs/>
    </w:rPr>
  </w:style>
  <w:style w:type="paragraph" w:styleId="Header">
    <w:name w:val="header"/>
    <w:basedOn w:val="Normal"/>
    <w:link w:val="HeaderChar"/>
    <w:uiPriority w:val="99"/>
    <w:unhideWhenUsed/>
    <w:rsid w:val="005C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B4C"/>
  </w:style>
  <w:style w:type="paragraph" w:styleId="Footer">
    <w:name w:val="footer"/>
    <w:basedOn w:val="Normal"/>
    <w:link w:val="FooterChar"/>
    <w:uiPriority w:val="99"/>
    <w:unhideWhenUsed/>
    <w:rsid w:val="005C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4-20664-w" TargetMode="External"/><Relationship Id="rId13" Type="http://schemas.openxmlformats.org/officeDocument/2006/relationships/hyperlink" Target="https://doi.org/10.1016/j.drudis.2024.103955" TargetMode="External"/><Relationship Id="rId18" Type="http://schemas.openxmlformats.org/officeDocument/2006/relationships/hyperlink" Target="https://doi.org/10.1016/j.jctube.2024.10044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89/fmolb.2024.1350699" TargetMode="External"/><Relationship Id="rId7" Type="http://schemas.openxmlformats.org/officeDocument/2006/relationships/hyperlink" Target="https://doi.org/10.3390/pathogens14100965" TargetMode="External"/><Relationship Id="rId12" Type="http://schemas.openxmlformats.org/officeDocument/2006/relationships/hyperlink" Target="https://doi.org/10.1513/AnnalsATS.201411-538OC" TargetMode="External"/><Relationship Id="rId17" Type="http://schemas.openxmlformats.org/officeDocument/2006/relationships/hyperlink" Target="https://doi.org/10.1128/cmr.00227-2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ijid.2020.01.042" TargetMode="External"/><Relationship Id="rId20" Type="http://schemas.openxmlformats.org/officeDocument/2006/relationships/hyperlink" Target="https://doi.org/10.1111/1756-185X.7019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1/cshperspect.a01786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cbi.nlm.nih.gov/books/NBK459218/" TargetMode="External"/><Relationship Id="rId23" Type="http://schemas.openxmlformats.org/officeDocument/2006/relationships/hyperlink" Target="https://doi.org/10.9734/jamps/2025/v27i5777" TargetMode="External"/><Relationship Id="rId28" Type="http://schemas.openxmlformats.org/officeDocument/2006/relationships/header" Target="header3.xml"/><Relationship Id="rId10" Type="http://schemas.openxmlformats.org/officeDocument/2006/relationships/hyperlink" Target="https://doi.org/10.1002/jat.3175" TargetMode="External"/><Relationship Id="rId19" Type="http://schemas.openxmlformats.org/officeDocument/2006/relationships/hyperlink" Target="https://doi.org/10.1371/journal.pone.02944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immu.2023.1234785" TargetMode="External"/><Relationship Id="rId14" Type="http://schemas.openxmlformats.org/officeDocument/2006/relationships/hyperlink" Target="https://doi.org/10.4103/ijmy.ijmy_178_23" TargetMode="External"/><Relationship Id="rId22" Type="http://schemas.openxmlformats.org/officeDocument/2006/relationships/hyperlink" Target="https://doi.org/10.1097/RHU.000000000000029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11</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Alsiddig Yousef Mohamed Ahmed</dc:creator>
  <cp:keywords/>
  <dc:description/>
  <cp:lastModifiedBy>SDI 1084</cp:lastModifiedBy>
  <cp:revision>16</cp:revision>
  <dcterms:created xsi:type="dcterms:W3CDTF">2025-11-11T06:03:00Z</dcterms:created>
  <dcterms:modified xsi:type="dcterms:W3CDTF">2025-11-12T09:24:00Z</dcterms:modified>
</cp:coreProperties>
</file>