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1764F" w14:textId="6CA73F54" w:rsidR="00EF742C" w:rsidRDefault="00EF742C" w:rsidP="00E56AE4">
      <w:pPr>
        <w:spacing w:line="240" w:lineRule="auto"/>
        <w:rPr>
          <w:rFonts w:ascii="Calibri" w:hAnsi="Calibri" w:cs="Calibri"/>
          <w:b/>
          <w:bCs/>
          <w:sz w:val="20"/>
          <w:szCs w:val="20"/>
        </w:rPr>
      </w:pPr>
      <w:bookmarkStart w:id="0" w:name="_Toc198372508"/>
      <w:r w:rsidRPr="00EF742C">
        <w:rPr>
          <w:rFonts w:ascii="Calibri" w:hAnsi="Calibri" w:cs="Calibri"/>
          <w:b/>
          <w:bCs/>
          <w:sz w:val="20"/>
          <w:szCs w:val="20"/>
        </w:rPr>
        <w:t>Holding Time – The impact on Unfiltered Fresh Frozen Plasma</w:t>
      </w:r>
    </w:p>
    <w:p w14:paraId="695F6407" w14:textId="77777777" w:rsidR="001F6E77" w:rsidRDefault="001F6E77" w:rsidP="00E56AE4">
      <w:pPr>
        <w:spacing w:line="240" w:lineRule="auto"/>
        <w:rPr>
          <w:rFonts w:ascii="Calibri" w:hAnsi="Calibri" w:cs="Calibri"/>
          <w:b/>
          <w:bCs/>
          <w:sz w:val="20"/>
          <w:szCs w:val="20"/>
        </w:rPr>
      </w:pPr>
    </w:p>
    <w:p w14:paraId="24824C5C" w14:textId="77777777" w:rsidR="00E56AE4" w:rsidRDefault="00E56AE4" w:rsidP="00E56AE4">
      <w:pPr>
        <w:spacing w:line="240" w:lineRule="auto"/>
        <w:rPr>
          <w:rFonts w:ascii="Calibri" w:hAnsi="Calibri" w:cs="Calibri"/>
          <w:b/>
          <w:bCs/>
          <w:sz w:val="20"/>
          <w:szCs w:val="20"/>
        </w:rPr>
      </w:pPr>
    </w:p>
    <w:p w14:paraId="6F536B93" w14:textId="3FEDE54B" w:rsidR="00315014" w:rsidRPr="006112AD" w:rsidRDefault="00315014" w:rsidP="006112AD">
      <w:pPr>
        <w:spacing w:line="240" w:lineRule="auto"/>
        <w:rPr>
          <w:rFonts w:ascii="Calibri" w:hAnsi="Calibri" w:cs="Calibri"/>
          <w:b/>
          <w:bCs/>
          <w:sz w:val="20"/>
          <w:szCs w:val="20"/>
        </w:rPr>
      </w:pPr>
      <w:r w:rsidRPr="006112AD">
        <w:rPr>
          <w:rFonts w:ascii="Calibri" w:hAnsi="Calibri" w:cs="Calibri"/>
          <w:b/>
          <w:bCs/>
          <w:sz w:val="20"/>
          <w:szCs w:val="20"/>
        </w:rPr>
        <w:t>Abstract</w:t>
      </w:r>
      <w:bookmarkEnd w:id="0"/>
    </w:p>
    <w:p w14:paraId="5B1E0DC3" w14:textId="03C2D3C2" w:rsidR="00DD559D" w:rsidRDefault="00DD559D" w:rsidP="006112AD">
      <w:pPr>
        <w:spacing w:after="0" w:line="240" w:lineRule="auto"/>
        <w:jc w:val="both"/>
        <w:rPr>
          <w:rFonts w:ascii="Calibri" w:hAnsi="Calibri" w:cs="Calibri"/>
          <w:sz w:val="20"/>
          <w:szCs w:val="20"/>
        </w:rPr>
      </w:pPr>
      <w:r w:rsidRPr="00DD559D">
        <w:rPr>
          <w:rFonts w:ascii="Calibri" w:hAnsi="Calibri" w:cs="Calibri"/>
          <w:sz w:val="20"/>
          <w:szCs w:val="20"/>
        </w:rPr>
        <w:t>Ensuring the safety and quality of transfusion products is critical in transfusion medicine. Leucocytes in blood products can cause adverse reactions and increase the risk of transfusion-related complications, making it essential to minimize their presence before transfusion. Elevated leucocyte counts have been observed in unfiltered fresh frozen plasma (FFP) units derived from whole blood processed after a short holding time—the interval between blood collection and component separation. Adequate protein concentration is also a key quality parameter for plasma.</w:t>
      </w:r>
      <w:r w:rsidR="00540767">
        <w:rPr>
          <w:rFonts w:ascii="Calibri" w:hAnsi="Calibri" w:cs="Calibri"/>
          <w:sz w:val="20"/>
          <w:szCs w:val="20"/>
        </w:rPr>
        <w:t xml:space="preserve"> </w:t>
      </w:r>
      <w:r w:rsidRPr="00DD559D">
        <w:rPr>
          <w:rFonts w:ascii="Calibri" w:hAnsi="Calibri" w:cs="Calibri"/>
          <w:sz w:val="20"/>
          <w:szCs w:val="20"/>
        </w:rPr>
        <w:t xml:space="preserve">This study evaluated 100 non-filtered FFP units processed after a short holding time (SHT) and compared them </w:t>
      </w:r>
      <w:r w:rsidR="00EC7387">
        <w:rPr>
          <w:rFonts w:ascii="Calibri" w:hAnsi="Calibri" w:cs="Calibri"/>
          <w:sz w:val="20"/>
          <w:szCs w:val="20"/>
        </w:rPr>
        <w:t>to</w:t>
      </w:r>
      <w:r w:rsidRPr="00DD559D">
        <w:rPr>
          <w:rFonts w:ascii="Calibri" w:hAnsi="Calibri" w:cs="Calibri"/>
          <w:sz w:val="20"/>
          <w:szCs w:val="20"/>
        </w:rPr>
        <w:t xml:space="preserve"> 100 units processed after an overnight, long holding time (LHT).</w:t>
      </w:r>
      <w:r w:rsidR="00A0082F">
        <w:rPr>
          <w:rFonts w:ascii="Calibri" w:hAnsi="Calibri" w:cs="Calibri"/>
          <w:sz w:val="20"/>
          <w:szCs w:val="20"/>
        </w:rPr>
        <w:t xml:space="preserve"> Volume of the units </w:t>
      </w:r>
      <w:r w:rsidR="00B450C2">
        <w:rPr>
          <w:rFonts w:ascii="Calibri" w:hAnsi="Calibri" w:cs="Calibri"/>
          <w:sz w:val="20"/>
          <w:szCs w:val="20"/>
        </w:rPr>
        <w:t>w</w:t>
      </w:r>
      <w:r w:rsidR="00813912">
        <w:rPr>
          <w:rFonts w:ascii="Calibri" w:hAnsi="Calibri" w:cs="Calibri"/>
          <w:sz w:val="20"/>
          <w:szCs w:val="20"/>
        </w:rPr>
        <w:t>as</w:t>
      </w:r>
      <w:r w:rsidR="00B450C2">
        <w:rPr>
          <w:rFonts w:ascii="Calibri" w:hAnsi="Calibri" w:cs="Calibri"/>
          <w:sz w:val="20"/>
          <w:szCs w:val="20"/>
        </w:rPr>
        <w:t xml:space="preserve"> also assessed.</w:t>
      </w:r>
      <w:r w:rsidRPr="00DD559D">
        <w:rPr>
          <w:rFonts w:ascii="Calibri" w:hAnsi="Calibri" w:cs="Calibri"/>
          <w:sz w:val="20"/>
          <w:szCs w:val="20"/>
        </w:rPr>
        <w:t xml:space="preserve"> Residual leucocyte counts (RLC) and protein concentrations (PC) were measured and </w:t>
      </w:r>
      <w:r w:rsidR="006112AD" w:rsidRPr="00DD559D">
        <w:rPr>
          <w:rFonts w:ascii="Calibri" w:hAnsi="Calibri" w:cs="Calibri"/>
          <w:sz w:val="20"/>
          <w:szCs w:val="20"/>
        </w:rPr>
        <w:t>analysed</w:t>
      </w:r>
      <w:r w:rsidRPr="00DD559D">
        <w:rPr>
          <w:rFonts w:ascii="Calibri" w:hAnsi="Calibri" w:cs="Calibri"/>
          <w:sz w:val="20"/>
          <w:szCs w:val="20"/>
        </w:rPr>
        <w:t xml:space="preserve"> statistically. Longer holding times were associated with lower RLC and higher PC. Statistical process control (SPC) indicated that the SHT process was borderline to incapable in maintaining consistent product quality, even after outlier adjustment.</w:t>
      </w:r>
      <w:r w:rsidR="00A26241">
        <w:rPr>
          <w:rFonts w:ascii="Calibri" w:hAnsi="Calibri" w:cs="Calibri"/>
          <w:sz w:val="20"/>
          <w:szCs w:val="20"/>
        </w:rPr>
        <w:t xml:space="preserve"> </w:t>
      </w:r>
      <w:r w:rsidRPr="00DD559D">
        <w:rPr>
          <w:rFonts w:ascii="Calibri" w:hAnsi="Calibri" w:cs="Calibri"/>
          <w:sz w:val="20"/>
          <w:szCs w:val="20"/>
        </w:rPr>
        <w:t xml:space="preserve">These findings suggest that current short holding times may compromise plasma standardization. </w:t>
      </w:r>
      <w:r w:rsidR="00CD23F4" w:rsidRPr="006112AD">
        <w:rPr>
          <w:rFonts w:ascii="Calibri" w:hAnsi="Calibri" w:cs="Calibri"/>
          <w:sz w:val="20"/>
          <w:szCs w:val="20"/>
        </w:rPr>
        <w:t>Re-evaluation</w:t>
      </w:r>
      <w:r w:rsidRPr="00DD559D">
        <w:rPr>
          <w:rFonts w:ascii="Calibri" w:hAnsi="Calibri" w:cs="Calibri"/>
          <w:sz w:val="20"/>
          <w:szCs w:val="20"/>
        </w:rPr>
        <w:t xml:space="preserve"> of the minimum holding time is recommended to optimize leucocyte reduction and protein retention in FFP.</w:t>
      </w:r>
    </w:p>
    <w:p w14:paraId="2183AD4A" w14:textId="77777777" w:rsidR="00A466EA" w:rsidRDefault="00A466EA" w:rsidP="00A466EA">
      <w:pPr>
        <w:spacing w:after="0" w:line="240" w:lineRule="auto"/>
        <w:jc w:val="both"/>
        <w:rPr>
          <w:rFonts w:ascii="Calibri" w:hAnsi="Calibri" w:cs="Calibri"/>
          <w:sz w:val="20"/>
          <w:szCs w:val="20"/>
        </w:rPr>
      </w:pPr>
    </w:p>
    <w:p w14:paraId="0CC4336F" w14:textId="0331E35C" w:rsidR="0099040A" w:rsidRPr="00DD559D" w:rsidRDefault="00A466EA" w:rsidP="00A466EA">
      <w:pPr>
        <w:spacing w:after="0" w:line="240" w:lineRule="auto"/>
        <w:jc w:val="both"/>
        <w:rPr>
          <w:rFonts w:ascii="Calibri" w:hAnsi="Calibri" w:cs="Calibri"/>
          <w:sz w:val="20"/>
          <w:szCs w:val="20"/>
        </w:rPr>
      </w:pPr>
      <w:r w:rsidRPr="00A466EA">
        <w:rPr>
          <w:rFonts w:ascii="Calibri" w:hAnsi="Calibri" w:cs="Calibri"/>
          <w:sz w:val="20"/>
          <w:szCs w:val="20"/>
        </w:rPr>
        <w:t xml:space="preserve">Keywords: Fresh frozen plasma; holding time; residual leucocytes; plasma proteins; </w:t>
      </w:r>
      <w:proofErr w:type="spellStart"/>
      <w:r w:rsidRPr="00A466EA">
        <w:rPr>
          <w:rFonts w:ascii="Calibri" w:hAnsi="Calibri" w:cs="Calibri"/>
          <w:sz w:val="20"/>
          <w:szCs w:val="20"/>
        </w:rPr>
        <w:t>leucoreduction</w:t>
      </w:r>
      <w:proofErr w:type="spellEnd"/>
      <w:r w:rsidRPr="00A466EA">
        <w:rPr>
          <w:rFonts w:ascii="Calibri" w:hAnsi="Calibri" w:cs="Calibri"/>
          <w:sz w:val="20"/>
          <w:szCs w:val="20"/>
        </w:rPr>
        <w:t>;</w:t>
      </w:r>
      <w:r>
        <w:rPr>
          <w:rFonts w:ascii="Calibri" w:hAnsi="Calibri" w:cs="Calibri"/>
          <w:sz w:val="20"/>
          <w:szCs w:val="20"/>
        </w:rPr>
        <w:t xml:space="preserve"> </w:t>
      </w:r>
      <w:r w:rsidRPr="00A466EA">
        <w:rPr>
          <w:rFonts w:ascii="Calibri" w:hAnsi="Calibri" w:cs="Calibri"/>
          <w:sz w:val="20"/>
          <w:szCs w:val="20"/>
        </w:rPr>
        <w:t>transfusion safety.</w:t>
      </w:r>
    </w:p>
    <w:p w14:paraId="14F82833" w14:textId="77777777" w:rsidR="00AD6092" w:rsidRPr="006112AD" w:rsidRDefault="00AD6092" w:rsidP="006112AD">
      <w:pPr>
        <w:spacing w:after="0" w:line="240" w:lineRule="auto"/>
        <w:rPr>
          <w:rFonts w:ascii="Calibri" w:hAnsi="Calibri" w:cs="Calibri"/>
          <w:sz w:val="20"/>
          <w:szCs w:val="20"/>
        </w:rPr>
      </w:pPr>
    </w:p>
    <w:p w14:paraId="519FE107" w14:textId="77777777" w:rsidR="00AD6092" w:rsidRPr="006112AD" w:rsidRDefault="00AD6092" w:rsidP="006112AD">
      <w:pPr>
        <w:pStyle w:val="ListParagraph"/>
        <w:numPr>
          <w:ilvl w:val="0"/>
          <w:numId w:val="38"/>
        </w:numPr>
        <w:spacing w:after="0" w:line="240" w:lineRule="auto"/>
        <w:rPr>
          <w:rFonts w:ascii="Calibri" w:hAnsi="Calibri" w:cs="Calibri"/>
          <w:b/>
          <w:bCs/>
          <w:sz w:val="20"/>
          <w:szCs w:val="20"/>
        </w:rPr>
      </w:pPr>
      <w:r w:rsidRPr="006112AD">
        <w:rPr>
          <w:rFonts w:ascii="Calibri" w:hAnsi="Calibri" w:cs="Calibri"/>
          <w:b/>
          <w:bCs/>
          <w:sz w:val="20"/>
          <w:szCs w:val="20"/>
        </w:rPr>
        <w:t>Introduction</w:t>
      </w:r>
    </w:p>
    <w:p w14:paraId="48BA0008" w14:textId="77777777" w:rsidR="00AD6092" w:rsidRPr="006112AD" w:rsidRDefault="00AD6092" w:rsidP="006112AD">
      <w:pPr>
        <w:pStyle w:val="ListParagraph"/>
        <w:spacing w:after="0" w:line="240" w:lineRule="auto"/>
        <w:ind w:left="1080"/>
        <w:rPr>
          <w:rFonts w:ascii="Calibri" w:hAnsi="Calibri" w:cs="Calibri"/>
          <w:sz w:val="20"/>
          <w:szCs w:val="20"/>
        </w:rPr>
      </w:pPr>
    </w:p>
    <w:p w14:paraId="1B8B6912" w14:textId="77A6FA24" w:rsidR="00A26241" w:rsidRDefault="001B3F62" w:rsidP="00075317">
      <w:pPr>
        <w:tabs>
          <w:tab w:val="left" w:pos="3384"/>
        </w:tabs>
        <w:spacing w:after="0" w:line="240" w:lineRule="auto"/>
        <w:jc w:val="both"/>
        <w:rPr>
          <w:rFonts w:ascii="Calibri" w:hAnsi="Calibri" w:cs="Calibri"/>
          <w:sz w:val="20"/>
          <w:szCs w:val="20"/>
        </w:rPr>
      </w:pPr>
      <w:r w:rsidRPr="001B3F62">
        <w:rPr>
          <w:rFonts w:ascii="Calibri" w:hAnsi="Calibri" w:cs="Calibri"/>
          <w:sz w:val="20"/>
          <w:szCs w:val="20"/>
        </w:rPr>
        <w:t xml:space="preserve">Therapeutic </w:t>
      </w:r>
      <w:r>
        <w:rPr>
          <w:rFonts w:ascii="Calibri" w:hAnsi="Calibri" w:cs="Calibri"/>
          <w:sz w:val="20"/>
          <w:szCs w:val="20"/>
        </w:rPr>
        <w:t xml:space="preserve">efficacy and patient safety are very important aspects of transfusion. The therapeutic value of </w:t>
      </w:r>
      <w:r w:rsidR="007C4BAB">
        <w:rPr>
          <w:rFonts w:ascii="Calibri" w:hAnsi="Calibri" w:cs="Calibri"/>
          <w:sz w:val="20"/>
          <w:szCs w:val="20"/>
        </w:rPr>
        <w:t xml:space="preserve">fresh frozen </w:t>
      </w:r>
      <w:r>
        <w:rPr>
          <w:rFonts w:ascii="Calibri" w:hAnsi="Calibri" w:cs="Calibri"/>
          <w:sz w:val="20"/>
          <w:szCs w:val="20"/>
        </w:rPr>
        <w:t xml:space="preserve">plasma </w:t>
      </w:r>
      <w:r w:rsidR="007C4BAB">
        <w:rPr>
          <w:rFonts w:ascii="Calibri" w:hAnsi="Calibri" w:cs="Calibri"/>
          <w:sz w:val="20"/>
          <w:szCs w:val="20"/>
        </w:rPr>
        <w:t xml:space="preserve">(FFP) </w:t>
      </w:r>
      <w:r>
        <w:rPr>
          <w:rFonts w:ascii="Calibri" w:hAnsi="Calibri" w:cs="Calibri"/>
          <w:sz w:val="20"/>
          <w:szCs w:val="20"/>
        </w:rPr>
        <w:t>is m</w:t>
      </w:r>
      <w:r w:rsidR="005743A8">
        <w:rPr>
          <w:rFonts w:ascii="Calibri" w:hAnsi="Calibri" w:cs="Calibri"/>
          <w:sz w:val="20"/>
          <w:szCs w:val="20"/>
        </w:rPr>
        <w:t>ostly</w:t>
      </w:r>
      <w:r>
        <w:rPr>
          <w:rFonts w:ascii="Calibri" w:hAnsi="Calibri" w:cs="Calibri"/>
          <w:sz w:val="20"/>
          <w:szCs w:val="20"/>
        </w:rPr>
        <w:t xml:space="preserve"> determined by its protein content, </w:t>
      </w:r>
      <w:r w:rsidR="005743A8">
        <w:rPr>
          <w:rFonts w:ascii="Calibri" w:hAnsi="Calibri" w:cs="Calibri"/>
          <w:sz w:val="20"/>
          <w:szCs w:val="20"/>
        </w:rPr>
        <w:t>especially</w:t>
      </w:r>
      <w:r>
        <w:rPr>
          <w:rFonts w:ascii="Calibri" w:hAnsi="Calibri" w:cs="Calibri"/>
          <w:sz w:val="20"/>
          <w:szCs w:val="20"/>
        </w:rPr>
        <w:t xml:space="preserve"> coagulation factors. Patient safety is </w:t>
      </w:r>
      <w:r w:rsidR="005743A8">
        <w:rPr>
          <w:rFonts w:ascii="Calibri" w:hAnsi="Calibri" w:cs="Calibri"/>
          <w:sz w:val="20"/>
          <w:szCs w:val="20"/>
        </w:rPr>
        <w:t xml:space="preserve">mainly </w:t>
      </w:r>
      <w:r>
        <w:rPr>
          <w:rFonts w:ascii="Calibri" w:hAnsi="Calibri" w:cs="Calibri"/>
          <w:sz w:val="20"/>
          <w:szCs w:val="20"/>
        </w:rPr>
        <w:t>ensured by eliminating pathogens in the unit</w:t>
      </w:r>
      <w:r w:rsidR="005743A8">
        <w:rPr>
          <w:rFonts w:ascii="Calibri" w:hAnsi="Calibri" w:cs="Calibri"/>
          <w:sz w:val="20"/>
          <w:szCs w:val="20"/>
        </w:rPr>
        <w:t xml:space="preserve"> by phagocytosis or pathogen inactivation techniques,</w:t>
      </w:r>
      <w:r>
        <w:rPr>
          <w:rFonts w:ascii="Calibri" w:hAnsi="Calibri" w:cs="Calibri"/>
          <w:sz w:val="20"/>
          <w:szCs w:val="20"/>
        </w:rPr>
        <w:t xml:space="preserve"> and lowering the residual leucocyte count to a minimum, </w:t>
      </w:r>
      <w:r w:rsidR="00CC018D">
        <w:rPr>
          <w:rFonts w:ascii="Calibri" w:hAnsi="Calibri" w:cs="Calibri"/>
          <w:sz w:val="20"/>
          <w:szCs w:val="20"/>
        </w:rPr>
        <w:t>according to the followed guidelines</w:t>
      </w:r>
      <w:r w:rsidR="00DA0A4C">
        <w:rPr>
          <w:rFonts w:ascii="Calibri" w:hAnsi="Calibri" w:cs="Calibri"/>
          <w:sz w:val="20"/>
          <w:szCs w:val="20"/>
        </w:rPr>
        <w:t xml:space="preserve"> such as those set by the </w:t>
      </w:r>
      <w:r w:rsidR="00DA0A4C" w:rsidRPr="00DA0A4C">
        <w:rPr>
          <w:rFonts w:ascii="Calibri" w:hAnsi="Calibri" w:cs="Calibri"/>
          <w:sz w:val="20"/>
          <w:szCs w:val="20"/>
        </w:rPr>
        <w:t>European Directorate for the Quality of Medicines &amp; HealthCare</w:t>
      </w:r>
      <w:r w:rsidR="00DA0A4C">
        <w:rPr>
          <w:rFonts w:ascii="Calibri" w:hAnsi="Calibri" w:cs="Calibri"/>
          <w:sz w:val="20"/>
          <w:szCs w:val="20"/>
        </w:rPr>
        <w:t xml:space="preserve"> (EDQM)</w:t>
      </w:r>
      <w:r w:rsidR="009863A9">
        <w:rPr>
          <w:rFonts w:ascii="Calibri" w:hAnsi="Calibri" w:cs="Calibri"/>
          <w:sz w:val="20"/>
          <w:szCs w:val="20"/>
        </w:rPr>
        <w:fldChar w:fldCharType="begin"/>
      </w:r>
      <w:r w:rsidR="009863A9">
        <w:rPr>
          <w:rFonts w:ascii="Calibri" w:hAnsi="Calibri" w:cs="Calibri"/>
          <w:sz w:val="20"/>
          <w:szCs w:val="20"/>
        </w:rPr>
        <w:instrText xml:space="preserve"> ADDIN ZOTERO_ITEM CSL_CITATION {"citationID":"TuqInqk6","properties":{"formattedCitation":"(1)","plainCitation":"(1)","noteIndex":0},"citationItems":[{"id":5389,"uris":["http://zotero.org/users/3782744/items/CV6ESY35"],"itemData":{"id":5389,"type":"webpage","container-title":"European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HealthCare"}],"accessed":{"date-parts":[["2025",8,13]]}}}],"schema":"https://github.com/citation-style-language/schema/raw/master/csl-citation.json"} </w:instrText>
      </w:r>
      <w:r w:rsidR="009863A9">
        <w:rPr>
          <w:rFonts w:ascii="Calibri" w:hAnsi="Calibri" w:cs="Calibri"/>
          <w:sz w:val="20"/>
          <w:szCs w:val="20"/>
        </w:rPr>
        <w:fldChar w:fldCharType="separate"/>
      </w:r>
      <w:r w:rsidR="009863A9" w:rsidRPr="009863A9">
        <w:rPr>
          <w:rFonts w:ascii="Calibri" w:hAnsi="Calibri" w:cs="Calibri"/>
          <w:sz w:val="20"/>
        </w:rPr>
        <w:t>(1)</w:t>
      </w:r>
      <w:r w:rsidR="009863A9">
        <w:rPr>
          <w:rFonts w:ascii="Calibri" w:hAnsi="Calibri" w:cs="Calibri"/>
          <w:sz w:val="20"/>
          <w:szCs w:val="20"/>
        </w:rPr>
        <w:fldChar w:fldCharType="end"/>
      </w:r>
      <w:r w:rsidR="007165BE">
        <w:rPr>
          <w:rFonts w:ascii="Calibri" w:hAnsi="Calibri" w:cs="Calibri"/>
          <w:sz w:val="20"/>
          <w:szCs w:val="20"/>
        </w:rPr>
        <w:t xml:space="preserve">. </w:t>
      </w:r>
      <w:r w:rsidR="005743A8">
        <w:rPr>
          <w:rFonts w:ascii="Calibri" w:hAnsi="Calibri" w:cs="Calibri"/>
          <w:sz w:val="20"/>
          <w:szCs w:val="20"/>
        </w:rPr>
        <w:t>Several factors and steps throughout the process of blood product production can influence the final quality of the product, and therefore the therapeutic efficacy and safety. One of these factors is holding time, which is the time between whole blood collection and product separation</w:t>
      </w:r>
      <w:r w:rsidR="007165BE">
        <w:rPr>
          <w:rFonts w:ascii="Calibri" w:hAnsi="Calibri" w:cs="Calibri"/>
          <w:sz w:val="20"/>
          <w:szCs w:val="20"/>
        </w:rPr>
        <w:t xml:space="preserve"> </w:t>
      </w:r>
      <w:r w:rsidR="007165BE" w:rsidRPr="005167B6">
        <w:rPr>
          <w:rFonts w:ascii="Calibri" w:hAnsi="Calibri" w:cs="Calibri"/>
          <w:sz w:val="20"/>
          <w:szCs w:val="20"/>
        </w:rPr>
        <w:t>(Yousif</w:t>
      </w:r>
      <w:r w:rsidR="007165BE">
        <w:rPr>
          <w:rFonts w:ascii="Calibri" w:hAnsi="Calibri" w:cs="Calibri"/>
          <w:sz w:val="20"/>
          <w:szCs w:val="20"/>
        </w:rPr>
        <w:t>, Sammut et al.</w:t>
      </w:r>
      <w:r w:rsidR="007165BE" w:rsidRPr="005167B6">
        <w:rPr>
          <w:rFonts w:ascii="Calibri" w:hAnsi="Calibri" w:cs="Calibri"/>
          <w:sz w:val="20"/>
          <w:szCs w:val="20"/>
        </w:rPr>
        <w:t xml:space="preserve"> 2025)</w:t>
      </w:r>
      <w:r w:rsidR="007165BE">
        <w:rPr>
          <w:rFonts w:ascii="Calibri" w:hAnsi="Calibri" w:cs="Calibri"/>
          <w:sz w:val="20"/>
          <w:szCs w:val="20"/>
        </w:rPr>
        <w:t xml:space="preserve">.  </w:t>
      </w:r>
      <w:r w:rsidR="005743A8">
        <w:rPr>
          <w:rFonts w:ascii="Calibri" w:hAnsi="Calibri" w:cs="Calibri"/>
          <w:sz w:val="20"/>
          <w:szCs w:val="20"/>
        </w:rPr>
        <w:t>This time allow</w:t>
      </w:r>
      <w:r w:rsidR="00D135EE">
        <w:rPr>
          <w:rFonts w:ascii="Calibri" w:hAnsi="Calibri" w:cs="Calibri"/>
          <w:sz w:val="20"/>
          <w:szCs w:val="20"/>
        </w:rPr>
        <w:t>s</w:t>
      </w:r>
      <w:r w:rsidR="005743A8">
        <w:rPr>
          <w:rFonts w:ascii="Calibri" w:hAnsi="Calibri" w:cs="Calibri"/>
          <w:sz w:val="20"/>
          <w:szCs w:val="20"/>
        </w:rPr>
        <w:t xml:space="preserve"> leucocytes to phagocytose any bacteria</w:t>
      </w:r>
      <w:r w:rsidR="002F0614">
        <w:rPr>
          <w:rFonts w:ascii="Calibri" w:hAnsi="Calibri" w:cs="Calibri"/>
          <w:sz w:val="20"/>
          <w:szCs w:val="20"/>
        </w:rPr>
        <w:t xml:space="preserve"> present</w:t>
      </w:r>
      <w:r w:rsidR="005743A8">
        <w:rPr>
          <w:rFonts w:ascii="Calibri" w:hAnsi="Calibri" w:cs="Calibri"/>
          <w:sz w:val="20"/>
          <w:szCs w:val="20"/>
        </w:rPr>
        <w:t xml:space="preserve"> and</w:t>
      </w:r>
      <w:r w:rsidR="001A30E9">
        <w:rPr>
          <w:rFonts w:ascii="Calibri" w:hAnsi="Calibri" w:cs="Calibri"/>
          <w:sz w:val="20"/>
          <w:szCs w:val="20"/>
        </w:rPr>
        <w:t xml:space="preserve"> </w:t>
      </w:r>
      <w:r w:rsidR="005743A8">
        <w:rPr>
          <w:rFonts w:ascii="Calibri" w:hAnsi="Calibri" w:cs="Calibri"/>
          <w:sz w:val="20"/>
          <w:szCs w:val="20"/>
        </w:rPr>
        <w:t>to degrade and inactivate, thus minimizing the possibility of transfusion-related infection transmission and immunological reactions</w:t>
      </w:r>
      <w:r w:rsidR="00335A3F">
        <w:rPr>
          <w:rFonts w:ascii="Calibri" w:hAnsi="Calibri" w:cs="Calibri"/>
          <w:sz w:val="20"/>
          <w:szCs w:val="20"/>
        </w:rPr>
        <w:t>. H</w:t>
      </w:r>
      <w:r w:rsidR="00A020DA">
        <w:rPr>
          <w:rFonts w:ascii="Calibri" w:hAnsi="Calibri" w:cs="Calibri"/>
          <w:sz w:val="20"/>
          <w:szCs w:val="20"/>
        </w:rPr>
        <w:t>olding time has</w:t>
      </w:r>
      <w:r w:rsidR="001A30E9">
        <w:rPr>
          <w:rFonts w:ascii="Calibri" w:hAnsi="Calibri" w:cs="Calibri"/>
          <w:sz w:val="20"/>
          <w:szCs w:val="20"/>
        </w:rPr>
        <w:t xml:space="preserve"> its benefits but also</w:t>
      </w:r>
      <w:r w:rsidR="00A020DA">
        <w:rPr>
          <w:rFonts w:ascii="Calibri" w:hAnsi="Calibri" w:cs="Calibri"/>
          <w:sz w:val="20"/>
          <w:szCs w:val="20"/>
        </w:rPr>
        <w:t xml:space="preserve"> </w:t>
      </w:r>
      <w:r w:rsidR="00E42647">
        <w:rPr>
          <w:rFonts w:ascii="Calibri" w:hAnsi="Calibri" w:cs="Calibri"/>
          <w:sz w:val="20"/>
          <w:szCs w:val="20"/>
        </w:rPr>
        <w:t>has</w:t>
      </w:r>
      <w:r w:rsidR="00A020DA">
        <w:rPr>
          <w:rFonts w:ascii="Calibri" w:hAnsi="Calibri" w:cs="Calibri"/>
          <w:sz w:val="20"/>
          <w:szCs w:val="20"/>
        </w:rPr>
        <w:t xml:space="preserve"> its downside</w:t>
      </w:r>
      <w:r w:rsidR="009135D2">
        <w:rPr>
          <w:rFonts w:ascii="Calibri" w:hAnsi="Calibri" w:cs="Calibri"/>
          <w:sz w:val="20"/>
          <w:szCs w:val="20"/>
        </w:rPr>
        <w:t>. In the case of plasma</w:t>
      </w:r>
      <w:r w:rsidR="00A020DA">
        <w:rPr>
          <w:rFonts w:ascii="Calibri" w:hAnsi="Calibri" w:cs="Calibri"/>
          <w:sz w:val="20"/>
          <w:szCs w:val="20"/>
        </w:rPr>
        <w:t>,</w:t>
      </w:r>
      <w:r w:rsidR="009135D2">
        <w:rPr>
          <w:rFonts w:ascii="Calibri" w:hAnsi="Calibri" w:cs="Calibri"/>
          <w:sz w:val="20"/>
          <w:szCs w:val="20"/>
        </w:rPr>
        <w:t xml:space="preserve"> long holding times have been found to increase</w:t>
      </w:r>
      <w:r w:rsidR="00A020DA">
        <w:rPr>
          <w:rFonts w:ascii="Calibri" w:hAnsi="Calibri" w:cs="Calibri"/>
          <w:sz w:val="20"/>
          <w:szCs w:val="20"/>
        </w:rPr>
        <w:t xml:space="preserve"> the degradation of coagulation factors</w:t>
      </w:r>
      <w:r w:rsidR="009135D2">
        <w:rPr>
          <w:rFonts w:ascii="Calibri" w:hAnsi="Calibri" w:cs="Calibri"/>
          <w:sz w:val="20"/>
          <w:szCs w:val="20"/>
        </w:rPr>
        <w:t xml:space="preserve"> necessary for patients receiving FFP transfusion</w:t>
      </w:r>
      <w:r w:rsidR="00A020DA">
        <w:rPr>
          <w:rFonts w:ascii="Calibri" w:hAnsi="Calibri" w:cs="Calibri"/>
          <w:sz w:val="20"/>
          <w:szCs w:val="20"/>
        </w:rPr>
        <w:t>, particularly Factor VIII which is the most labile.</w:t>
      </w:r>
      <w:r w:rsidR="009135D2">
        <w:rPr>
          <w:rFonts w:ascii="Calibri" w:hAnsi="Calibri" w:cs="Calibri"/>
          <w:sz w:val="20"/>
          <w:szCs w:val="20"/>
        </w:rPr>
        <w:t xml:space="preserve"> Thus, the right duration of holding time is crucial to balance </w:t>
      </w:r>
      <w:r w:rsidR="00B80251">
        <w:rPr>
          <w:rFonts w:ascii="Calibri" w:hAnsi="Calibri" w:cs="Calibri"/>
          <w:sz w:val="20"/>
          <w:szCs w:val="20"/>
        </w:rPr>
        <w:t>re</w:t>
      </w:r>
      <w:r w:rsidR="007C4BAB">
        <w:rPr>
          <w:rFonts w:ascii="Calibri" w:hAnsi="Calibri" w:cs="Calibri"/>
          <w:sz w:val="20"/>
          <w:szCs w:val="20"/>
        </w:rPr>
        <w:t>sidual</w:t>
      </w:r>
      <w:r w:rsidR="00B80251">
        <w:rPr>
          <w:rFonts w:ascii="Calibri" w:hAnsi="Calibri" w:cs="Calibri"/>
          <w:sz w:val="20"/>
          <w:szCs w:val="20"/>
        </w:rPr>
        <w:t xml:space="preserve"> leuco</w:t>
      </w:r>
      <w:r w:rsidR="00CA2617">
        <w:rPr>
          <w:rFonts w:ascii="Calibri" w:hAnsi="Calibri" w:cs="Calibri"/>
          <w:sz w:val="20"/>
          <w:szCs w:val="20"/>
        </w:rPr>
        <w:t xml:space="preserve">cyte </w:t>
      </w:r>
      <w:r w:rsidR="00B80251">
        <w:rPr>
          <w:rFonts w:ascii="Calibri" w:hAnsi="Calibri" w:cs="Calibri"/>
          <w:sz w:val="20"/>
          <w:szCs w:val="20"/>
        </w:rPr>
        <w:t xml:space="preserve">count </w:t>
      </w:r>
      <w:r w:rsidR="00CA2617">
        <w:rPr>
          <w:rFonts w:ascii="Calibri" w:hAnsi="Calibri" w:cs="Calibri"/>
          <w:sz w:val="20"/>
          <w:szCs w:val="20"/>
        </w:rPr>
        <w:t xml:space="preserve">(RLC) </w:t>
      </w:r>
      <w:r w:rsidR="009135D2">
        <w:rPr>
          <w:rFonts w:ascii="Calibri" w:hAnsi="Calibri" w:cs="Calibri"/>
          <w:sz w:val="20"/>
          <w:szCs w:val="20"/>
        </w:rPr>
        <w:t xml:space="preserve">and </w:t>
      </w:r>
      <w:r w:rsidR="00B80251">
        <w:rPr>
          <w:rFonts w:ascii="Calibri" w:hAnsi="Calibri" w:cs="Calibri"/>
          <w:sz w:val="20"/>
          <w:szCs w:val="20"/>
        </w:rPr>
        <w:t>total protein conc</w:t>
      </w:r>
      <w:r w:rsidR="00CA2617">
        <w:rPr>
          <w:rFonts w:ascii="Calibri" w:hAnsi="Calibri" w:cs="Calibri"/>
          <w:sz w:val="20"/>
          <w:szCs w:val="20"/>
        </w:rPr>
        <w:t>en</w:t>
      </w:r>
      <w:r w:rsidR="00B80251">
        <w:rPr>
          <w:rFonts w:ascii="Calibri" w:hAnsi="Calibri" w:cs="Calibri"/>
          <w:sz w:val="20"/>
          <w:szCs w:val="20"/>
        </w:rPr>
        <w:t>tration</w:t>
      </w:r>
      <w:r w:rsidR="00CA2617">
        <w:rPr>
          <w:rFonts w:ascii="Calibri" w:hAnsi="Calibri" w:cs="Calibri"/>
          <w:sz w:val="20"/>
          <w:szCs w:val="20"/>
        </w:rPr>
        <w:t xml:space="preserve"> (PC)</w:t>
      </w:r>
      <w:r w:rsidR="001C6BD8">
        <w:rPr>
          <w:rFonts w:ascii="Calibri" w:hAnsi="Calibri" w:cs="Calibri"/>
          <w:sz w:val="20"/>
          <w:szCs w:val="20"/>
        </w:rPr>
        <w:fldChar w:fldCharType="begin"/>
      </w:r>
      <w:r w:rsidR="009863A9">
        <w:rPr>
          <w:rFonts w:ascii="Calibri" w:hAnsi="Calibri" w:cs="Calibri"/>
          <w:sz w:val="20"/>
          <w:szCs w:val="20"/>
        </w:rPr>
        <w:instrText xml:space="preserve"> ADDIN ZOTERO_ITEM CSL_CITATION {"citationID":"cJLcx7nS","properties":{"formattedCitation":"(2\\uc0\\u8211{}6)","plainCitation":"(2–6)","noteIndex":0},"citationItems":[{"id":5478,"uris":["http://zotero.org/users/3782744/items/XXJR3MUW"],"itemData":{"id":5478,"type":"article-journal","container-title":"International Blood Research &amp; Reviews","DOI":"10.9734/ibrr/2025/v16i3364","ISSN":"2321-7219","issue":"4","language":"en","page":"1-10","source":"journalibrr.com","title":"Holding Time Optimisation in Fresh Frozen Plasma: A Critical Factor Worth Investigating","title-short":"Holding Time Optimisation in Fresh Frozen Plasma","volume":"16","author":[{"family":"Yousif","given":"D."},{"family":"Sammut","given":"M."},{"family":"Zammit","given":"V."}],"issued":{"date-parts":[["2025",9,6]]}},"label":"page"},{"id":5411,"uris":["http://zotero.org/users/3782744/items/56K54K9U"],"itemData":{"id":5411,"type":"article-journal","abstract":"BACKGROUND: With buffy coat (BC) processing of whole blood (WB) donations, the preparation of plasma occurs within 24 hours rather than 8 hours of collection. The effect of this change on coagulation factor function in plasma and cryoprecipitate was evaluated during the validation of this production method and with routine production.\nSTUDY DESIGN AND METHODS: Plasma frozen after an overnight hold of WB was prepared via BC or whole blood filtration (WBF) methods and quality control (QC) variables were measured. Additionally, plasma prepared with the BC method was compared to plasma produced using the platelet-rich plasma (PRP) method with an extended plasma factor analysis. Selected plasma factor levels were also measured in both cryoprecipitate and cryosupernatant plasma prepared using the WBF method from plasma frozen on the day of collection or after an overnight hold of WB.\nRESULTS: When comparing BC plasma to PRP plasma, coagulation factors (F)II, VII, VIII, IX, X, and XI had somewhat lower levels, and fibrinogen and antithrombin levels were elevated. As expected the most sensitive to the prolongation of production time was FVIII with 72 and 78% of the activity of PRP plasma and cryoprecipitate, respectively. However, both still met QC standards. Similarly, products made in routine production show acceptable levels of FVIII.\nCONCLUSION: Plasma and cryoprecipitate products, prepared using methods in which the plasma is frozen close to 24 hours after collection, meet current quality standards. The longer WB storage time has been implemented into general use in Canada.","container-title":"Transfusion","DOI":"10.1111/j.1537-2995.2009.02441.x","ISSN":"1537-2995","issue":"2","journalAbbreviation":"Transfusion","language":"eng","note":"PMID: 19843287","page":"344-353","source":"PubMed","title":"Plasma and cryoprecipitate manufactured from whole blood held overnight at room temperature meet quality standards","volume":"50","author":[{"family":"Serrano","given":"Katherine"},{"family":"Scammell","given":"Ken"},{"family":"Weiss","given":"Sandra"},{"family":"Culibrk","given":"Brankica"},{"family":"Levin","given":"Elena"},{"family":"Gyöngyössy-Issa","given":"Maria"},{"family":"Devine","given":"Dana V."}],"issued":{"date-parts":[["2010",2]]}},"label":"page"},{"id":5374,"uris":["http://zotero.org/users/3782744/items/4E3TH5Y9"],"itemData":{"id":5374,"type":"article-journal","abstract":"BACKGROUND: There is increasing international interest in producing components from blood that has been stored at room temperature for 24 hours. The lack of comprehensive data on the quality of plasma produced from blood stored in this way led to this international study.\nSTUDY DESIGN AND METHODS: A total of 128 units of whole blood were pooled in groups of four and split to produce 32 sets of four identical blood units that were processed either within 8 hours of blood collection or after 24-hour storage at 18 to 25°C.\nRESULTS: Storage of whole blood for 24 hours resulted in a 23% decrease in the activity of Factor (F)VIII, but not significant loss of activity of coagulation factors FV, FVII, FXI, FXII, fibrinogen, antithrombin, or von Willebrand factor. There was a small, but significant decrease in levels of FII, FIX, and FX (all &lt;5%) as well as protein C (6%) and free protein S activity (14%). The ability of plasma to generate thrombin after 24-hour storage as whole blood was unaltered, as assessed by real-time thrombin generation tests as was the rate and strength of clot formation by rotational thombelastometry. Levels of all coagulation factors measured were above 0.50 U/mL in plasma produced from whole blood stored for 24 hours.\nCONCLUSION: These data show that there is minimal effect of storing whole blood at ambient temperature for 24 hours on the coagulation activity of plasma and that this is an acceptable alternative to producing plasma on the day of blood collection.","container-title":"Transfusion","DOI":"10.1111/j.1537-2995.2010.02963.x","ISSN":"1537-2995","journalAbbreviation":"Transfusion","language":"eng","note":"PMID: 21223296","page":"50S-57S","source":"PubMed","title":"Coagulation factor content of plasma produced from whole blood stored for 24 hours at ambient temperature: results from an international multicenter BEST Collaborative study","title-short":"Coagulation factor content of plasma produced from whole blood stored for 24 hours at ambient temperature","volume":"51 Suppl 1","author":[{"family":"Cardigan","given":"R."},{"family":"Van der Meer","given":"P. F."},{"family":"Pergande","given":"C."},{"family":"Cookson","given":"P."},{"family":"Baumann-Baretti","given":"B."},{"family":"Cancelas","given":"J. A."},{"family":"Devine","given":"D."},{"family":"Gulliksson","given":"H."},{"family":"Vassallo","given":"R."},{"family":"Wildt-Eggen","given":"J.","non-dropping-particle":"de"}],"issued":{"date-parts":[["2011",1]]}},"label":"page"},{"id":5407,"uris":["http://zotero.org/users/3782744/items/6W26QPPN"],"itemData":{"id":5407,"type":"article-journal","abstract":"BACKGROUND: The capability of holding whole blood (WB) units at ambient temperature, overnight, should help in platelet (PLT) concentrate preparation logistics. We summarize the results of a study conducted in the early 1990s that compared, in particular, PLT and red blood cell (RBC) in vivo viability properties following storage after preparation after 8- and 24-hour WB hold periods.\nSTUDY DESIGN AND METHODS: Individuals donated units of WB on two occasions. Centrifugation at 20 to 24°C to separate PLTs and additive system RBC placement at 1 to 6°C was completed 8 hours after phlebotomy or after 24 hours in randomized order. Components were not leukoreduced. Studies including in vitro biochemical and hematologic analyses and autologous in vivo RBC and PLT evaluations were conducted at two sites.\nRESULTS: RBC 24-hour in vivo (mean ± SD) recoveries (single-label approach), after 35 days of storage, were 79.2 ± 4.3 and 79.4 ± 3.9% (n = 9; p &gt; 0.05), with WB holding periods of 8 and 24 hours, respectively. With 42 days of storage, recovery after a 24-hour hold was slightly less than with an 8-hour hold (72.9 ± 6.5% vs. 76.0 ± 5.4%; n = 17; p &lt; 0.05). RBC 2,3-diphosphoglycerate acid levels were substantially less after the 24-hour hold compared to after the 8-hour hold (n = 18; p &lt; 0.05). PLT recovery after 5 days of storage with 8- and 24-hour hold periods were similar, 51.1 ± 14.9 and 50.6 ± 17.7%, respectively (n = 18; p &gt; 0.05). The PLT survival variable and in vitro properties reflecting storage quality also showed no significant difference.\nCONCLUSION: RBC and PLT in vivo variables, and most in vitro variables, were not significantly different after storage with WB holding times of 8 and 24 hours except for a slight diminution of RBC recovery with the 24-hour hold after 42 days of storage.","container-title":"Transfusion","DOI":"10.1111/j.1537-2995.2010.02958.x","ISSN":"1537-2995","journalAbbreviation":"Transfusion","language":"eng","note":"PMID: 21223290","page":"7S-14S","source":"PubMed","title":"Evaluation of the properties of components prepared and stored after holding of whole blood units for 8 and 24 hours at ambient temperature","volume":"51 Suppl 1","author":[{"family":"Moroff","given":"Gary"},{"family":"AuBuchon","given":"James P."},{"family":"Pickard","given":"Constance"},{"family":"Whitley","given":"Pamela H."},{"family":"Heaton","given":"W. Andrew"},{"family":"Holme","given":"Stein"}],"issued":{"date-parts":[["2011",1]]}},"label":"page"},{"id":5415,"uris":["http://zotero.org/users/3782744/items/2299JAR7"],"itemData":{"id":5415,"type":"article-journal","abstract":"BACKGROUND: The preparation of platelet (PLT) concentrates (PCs) from PLT-rich plasma (PRP) requires that whole blood (WB) be processed within 8 hours of collection. Increasing WB storage time to 24 hours would be logistically attractive. This study compares the in vitro quality of blood components prepared from WB stored for 8 and 24 hours at room temperature before processing with the PRP method.\nSTUDY DESIGN AND METHODS: WB units were collected from ABO-matched blood donors. To reduce individual variations, paired donations were drawn in parallel, pooled, and split back in the collection bag. One unit was held for 6 to 8 hours and the other for 22 to 24 hours at 20 to 24 degrees C. Prestorage leukoreduced components were prepared with the PRP as intermediate product and analyzed during storage.\nRESULTS: RBC units prepared after an 8- or 24-hour hold were comparable in terms of hemolysis, sodium, pH, and ATP levels. RBC 2,3- diphosphoglycerate (2,3-DPG) was significantly lower in RBCs prepared from 24-hour hold donations immediately after processing but not after 20 days of storage. Residual white blood cells were approximately fivefold higher (p &lt; 0.05) in 24-hour RBC units. For PCs, measurements for glucose, ATP, lactate, pH, extent of shape change, hypotonic shock response, and CD62p activation were similar. No differences were observed in the von Willebrand factor, factor (F)V, FVIII, and fibrinogen content of fresh-frozen plasma.\nCONCLUSIONS: The decrease in FVIII and RBC 2,3-DPG can be acceptable as a compromise to improve blood component logistics, but leukoreduction efficiency must be improved before considering the adoption of an overnight storage of WB before PRP processing.","container-title":"Transfusion","DOI":"10.1111/j.1537-2995.2006.00894.x","ISSN":"0041-1132","issue":"8","journalAbbreviation":"Transfusion","language":"eng","note":"PMID: 16934062","page":"1292-1299","source":"PubMed","title":"Characterization of blood components prepared from whole-blood donations after a 24-hour hold with the platelet-rich plasma method","volume":"46","author":[{"family":"Thibault","given":"Louis"},{"family":"Beauséjour","given":"Annie"},{"family":"Grandmont","given":"Marie Joëlle","non-dropping-particle":"de"},{"family":"Lemieux","given":"Réal"},{"family":"Leblanc","given":"Jean-François"}],"issued":{"date-parts":[["2006",8]]}},"label":"page"}],"schema":"https://github.com/citation-style-language/schema/raw/master/csl-citation.json"} </w:instrText>
      </w:r>
      <w:r w:rsidR="001C6BD8">
        <w:rPr>
          <w:rFonts w:ascii="Calibri" w:hAnsi="Calibri" w:cs="Calibri"/>
          <w:sz w:val="20"/>
          <w:szCs w:val="20"/>
        </w:rPr>
        <w:fldChar w:fldCharType="separate"/>
      </w:r>
      <w:r w:rsidR="009863A9" w:rsidRPr="009863A9">
        <w:rPr>
          <w:rFonts w:ascii="Calibri" w:hAnsi="Calibri" w:cs="Calibri"/>
          <w:kern w:val="0"/>
          <w:sz w:val="20"/>
        </w:rPr>
        <w:t>(2–6)</w:t>
      </w:r>
      <w:r w:rsidR="001C6BD8">
        <w:rPr>
          <w:rFonts w:ascii="Calibri" w:hAnsi="Calibri" w:cs="Calibri"/>
          <w:sz w:val="20"/>
          <w:szCs w:val="20"/>
        </w:rPr>
        <w:fldChar w:fldCharType="end"/>
      </w:r>
      <w:r w:rsidR="001C6BD8">
        <w:rPr>
          <w:rFonts w:ascii="Calibri" w:hAnsi="Calibri" w:cs="Calibri"/>
          <w:sz w:val="20"/>
          <w:szCs w:val="20"/>
        </w:rPr>
        <w:t>.</w:t>
      </w:r>
      <w:r w:rsidR="00A020DA">
        <w:rPr>
          <w:rFonts w:ascii="Calibri" w:hAnsi="Calibri" w:cs="Calibri"/>
          <w:sz w:val="20"/>
          <w:szCs w:val="20"/>
        </w:rPr>
        <w:t xml:space="preserve"> </w:t>
      </w:r>
      <w:r w:rsidR="005743A8">
        <w:rPr>
          <w:rFonts w:ascii="Calibri" w:hAnsi="Calibri" w:cs="Calibri"/>
          <w:sz w:val="20"/>
          <w:szCs w:val="20"/>
        </w:rPr>
        <w:t xml:space="preserve">This </w:t>
      </w:r>
      <w:r w:rsidR="00447D36">
        <w:rPr>
          <w:rFonts w:ascii="Calibri" w:hAnsi="Calibri" w:cs="Calibri"/>
          <w:sz w:val="20"/>
          <w:szCs w:val="20"/>
        </w:rPr>
        <w:t>has</w:t>
      </w:r>
      <w:r w:rsidR="005743A8">
        <w:rPr>
          <w:rFonts w:ascii="Calibri" w:hAnsi="Calibri" w:cs="Calibri"/>
          <w:sz w:val="20"/>
          <w:szCs w:val="20"/>
        </w:rPr>
        <w:t xml:space="preserve"> </w:t>
      </w:r>
      <w:r w:rsidR="007E2FFA">
        <w:rPr>
          <w:rFonts w:ascii="Calibri" w:hAnsi="Calibri" w:cs="Calibri"/>
          <w:sz w:val="20"/>
          <w:szCs w:val="20"/>
        </w:rPr>
        <w:t>highlighted</w:t>
      </w:r>
      <w:r w:rsidR="005743A8">
        <w:rPr>
          <w:rFonts w:ascii="Calibri" w:hAnsi="Calibri" w:cs="Calibri"/>
          <w:sz w:val="20"/>
          <w:szCs w:val="20"/>
        </w:rPr>
        <w:t xml:space="preserve"> the importance of investigating the relationship between holding time and different parameters including RLC and total PC</w:t>
      </w:r>
      <w:r w:rsidR="00392984">
        <w:rPr>
          <w:rFonts w:ascii="Calibri" w:hAnsi="Calibri" w:cs="Calibri"/>
          <w:sz w:val="20"/>
          <w:szCs w:val="20"/>
        </w:rPr>
        <w:t>,</w:t>
      </w:r>
      <w:r w:rsidR="005743A8">
        <w:rPr>
          <w:rFonts w:ascii="Calibri" w:hAnsi="Calibri" w:cs="Calibri"/>
          <w:sz w:val="20"/>
          <w:szCs w:val="20"/>
        </w:rPr>
        <w:t xml:space="preserve"> </w:t>
      </w:r>
      <w:r w:rsidR="00A442F5">
        <w:rPr>
          <w:rFonts w:ascii="Calibri" w:hAnsi="Calibri" w:cs="Calibri"/>
          <w:sz w:val="20"/>
          <w:szCs w:val="20"/>
        </w:rPr>
        <w:t xml:space="preserve">on </w:t>
      </w:r>
      <w:r w:rsidR="005743A8">
        <w:rPr>
          <w:rFonts w:ascii="Calibri" w:hAnsi="Calibri" w:cs="Calibri"/>
          <w:sz w:val="20"/>
          <w:szCs w:val="20"/>
        </w:rPr>
        <w:t>whic</w:t>
      </w:r>
      <w:r w:rsidR="00627626">
        <w:rPr>
          <w:rFonts w:ascii="Calibri" w:hAnsi="Calibri" w:cs="Calibri"/>
          <w:sz w:val="20"/>
          <w:szCs w:val="20"/>
        </w:rPr>
        <w:t xml:space="preserve">h </w:t>
      </w:r>
      <w:r w:rsidR="00A442F5">
        <w:rPr>
          <w:rFonts w:ascii="Calibri" w:hAnsi="Calibri" w:cs="Calibri"/>
          <w:sz w:val="20"/>
          <w:szCs w:val="20"/>
        </w:rPr>
        <w:t xml:space="preserve">there is limited research, </w:t>
      </w:r>
      <w:r w:rsidR="00627626">
        <w:rPr>
          <w:rFonts w:ascii="Calibri" w:hAnsi="Calibri" w:cs="Calibri"/>
          <w:sz w:val="20"/>
          <w:szCs w:val="20"/>
        </w:rPr>
        <w:t>especially with regards to RLCs in plasma</w:t>
      </w:r>
      <w:r w:rsidR="005743A8">
        <w:rPr>
          <w:rFonts w:ascii="Calibri" w:hAnsi="Calibri" w:cs="Calibri"/>
          <w:sz w:val="20"/>
          <w:szCs w:val="20"/>
        </w:rPr>
        <w:t>. By comparing units with a S</w:t>
      </w:r>
      <w:r w:rsidR="00D1143F">
        <w:rPr>
          <w:rFonts w:ascii="Calibri" w:hAnsi="Calibri" w:cs="Calibri"/>
          <w:sz w:val="20"/>
          <w:szCs w:val="20"/>
        </w:rPr>
        <w:t xml:space="preserve">hort </w:t>
      </w:r>
      <w:r w:rsidR="005743A8">
        <w:rPr>
          <w:rFonts w:ascii="Calibri" w:hAnsi="Calibri" w:cs="Calibri"/>
          <w:sz w:val="20"/>
          <w:szCs w:val="20"/>
        </w:rPr>
        <w:t>H</w:t>
      </w:r>
      <w:r w:rsidR="00D1143F">
        <w:rPr>
          <w:rFonts w:ascii="Calibri" w:hAnsi="Calibri" w:cs="Calibri"/>
          <w:sz w:val="20"/>
          <w:szCs w:val="20"/>
        </w:rPr>
        <w:t xml:space="preserve">olding </w:t>
      </w:r>
      <w:r w:rsidR="005743A8">
        <w:rPr>
          <w:rFonts w:ascii="Calibri" w:hAnsi="Calibri" w:cs="Calibri"/>
          <w:sz w:val="20"/>
          <w:szCs w:val="20"/>
        </w:rPr>
        <w:t>T</w:t>
      </w:r>
      <w:r w:rsidR="00D1143F">
        <w:rPr>
          <w:rFonts w:ascii="Calibri" w:hAnsi="Calibri" w:cs="Calibri"/>
          <w:sz w:val="20"/>
          <w:szCs w:val="20"/>
        </w:rPr>
        <w:t>ime (SHT)</w:t>
      </w:r>
      <w:r w:rsidR="005743A8">
        <w:rPr>
          <w:rFonts w:ascii="Calibri" w:hAnsi="Calibri" w:cs="Calibri"/>
          <w:sz w:val="20"/>
          <w:szCs w:val="20"/>
        </w:rPr>
        <w:t xml:space="preserve"> and L</w:t>
      </w:r>
      <w:r w:rsidR="00D1143F">
        <w:rPr>
          <w:rFonts w:ascii="Calibri" w:hAnsi="Calibri" w:cs="Calibri"/>
          <w:sz w:val="20"/>
          <w:szCs w:val="20"/>
        </w:rPr>
        <w:t xml:space="preserve">ong </w:t>
      </w:r>
      <w:r w:rsidR="005743A8">
        <w:rPr>
          <w:rFonts w:ascii="Calibri" w:hAnsi="Calibri" w:cs="Calibri"/>
          <w:sz w:val="20"/>
          <w:szCs w:val="20"/>
        </w:rPr>
        <w:t>H</w:t>
      </w:r>
      <w:r w:rsidR="00D1143F">
        <w:rPr>
          <w:rFonts w:ascii="Calibri" w:hAnsi="Calibri" w:cs="Calibri"/>
          <w:sz w:val="20"/>
          <w:szCs w:val="20"/>
        </w:rPr>
        <w:t xml:space="preserve">olding </w:t>
      </w:r>
      <w:r w:rsidR="005743A8">
        <w:rPr>
          <w:rFonts w:ascii="Calibri" w:hAnsi="Calibri" w:cs="Calibri"/>
          <w:sz w:val="20"/>
          <w:szCs w:val="20"/>
        </w:rPr>
        <w:t>T</w:t>
      </w:r>
      <w:r w:rsidR="00D1143F">
        <w:rPr>
          <w:rFonts w:ascii="Calibri" w:hAnsi="Calibri" w:cs="Calibri"/>
          <w:sz w:val="20"/>
          <w:szCs w:val="20"/>
        </w:rPr>
        <w:t>ime (LHT)</w:t>
      </w:r>
      <w:r w:rsidR="005743A8">
        <w:rPr>
          <w:rFonts w:ascii="Calibri" w:hAnsi="Calibri" w:cs="Calibri"/>
          <w:sz w:val="20"/>
          <w:szCs w:val="20"/>
        </w:rPr>
        <w:t>, this relationship, if present, can be identified and further investigated to determine whether the standard protocols should be reconsidered to</w:t>
      </w:r>
      <w:r w:rsidR="00DA0A4C">
        <w:rPr>
          <w:rFonts w:ascii="Calibri" w:hAnsi="Calibri" w:cs="Calibri"/>
          <w:sz w:val="20"/>
          <w:szCs w:val="20"/>
        </w:rPr>
        <w:t xml:space="preserve"> enhance the safety, effectiveness and clinical use of FFP</w:t>
      </w:r>
      <w:r w:rsidR="001C6BD8">
        <w:rPr>
          <w:rFonts w:ascii="Calibri" w:hAnsi="Calibri" w:cs="Calibri"/>
          <w:sz w:val="20"/>
          <w:szCs w:val="20"/>
        </w:rPr>
        <w:fldChar w:fldCharType="begin"/>
      </w:r>
      <w:r w:rsidR="009863A9">
        <w:rPr>
          <w:rFonts w:ascii="Calibri" w:hAnsi="Calibri" w:cs="Calibri"/>
          <w:sz w:val="20"/>
          <w:szCs w:val="20"/>
        </w:rPr>
        <w:instrText xml:space="preserve"> ADDIN ZOTERO_ITEM CSL_CITATION {"citationID":"tdOtV6jy","properties":{"formattedCitation":"(2)","plainCitation":"(2)","noteIndex":0},"citationItems":[{"id":5478,"uris":["http://zotero.org/users/3782744/items/XXJR3MUW"],"itemData":{"id":5478,"type":"article-journal","container-title":"International Blood Research &amp; Reviews","DOI":"10.9734/ibrr/2025/v16i3364","ISSN":"2321-7219","issue":"4","language":"en","page":"1-10","source":"journalibrr.com","title":"Holding Time Optimisation in Fresh Frozen Plasma: A Critical Factor Worth Investigating","title-short":"Holding Time Optimisation in Fresh Frozen Plasma","volume":"16","author":[{"family":"Yousif","given":"D."},{"family":"Sammut","given":"M."},{"family":"Zammit","given":"V."}],"issued":{"date-parts":[["2025",9,6]]}}}],"schema":"https://github.com/citation-style-language/schema/raw/master/csl-citation.json"} </w:instrText>
      </w:r>
      <w:r w:rsidR="001C6BD8">
        <w:rPr>
          <w:rFonts w:ascii="Calibri" w:hAnsi="Calibri" w:cs="Calibri"/>
          <w:sz w:val="20"/>
          <w:szCs w:val="20"/>
        </w:rPr>
        <w:fldChar w:fldCharType="separate"/>
      </w:r>
      <w:r w:rsidR="009863A9" w:rsidRPr="009863A9">
        <w:rPr>
          <w:rFonts w:ascii="Calibri" w:hAnsi="Calibri" w:cs="Calibri"/>
          <w:sz w:val="20"/>
        </w:rPr>
        <w:t>(2)</w:t>
      </w:r>
      <w:r w:rsidR="001C6BD8">
        <w:rPr>
          <w:rFonts w:ascii="Calibri" w:hAnsi="Calibri" w:cs="Calibri"/>
          <w:sz w:val="20"/>
          <w:szCs w:val="20"/>
        </w:rPr>
        <w:fldChar w:fldCharType="end"/>
      </w:r>
      <w:r w:rsidR="005743A8">
        <w:rPr>
          <w:rFonts w:ascii="Calibri" w:hAnsi="Calibri" w:cs="Calibri"/>
          <w:sz w:val="20"/>
          <w:szCs w:val="20"/>
        </w:rPr>
        <w:t xml:space="preserve">. </w:t>
      </w:r>
    </w:p>
    <w:p w14:paraId="43A7E8F7" w14:textId="77777777" w:rsidR="00075317" w:rsidRDefault="00075317" w:rsidP="00075317">
      <w:pPr>
        <w:tabs>
          <w:tab w:val="left" w:pos="3384"/>
        </w:tabs>
        <w:spacing w:after="0" w:line="240" w:lineRule="auto"/>
        <w:jc w:val="both"/>
        <w:rPr>
          <w:rFonts w:ascii="Calibri" w:hAnsi="Calibri" w:cs="Calibri"/>
          <w:sz w:val="20"/>
          <w:szCs w:val="20"/>
        </w:rPr>
      </w:pPr>
    </w:p>
    <w:p w14:paraId="140466BC" w14:textId="77777777" w:rsidR="00A466EA" w:rsidRDefault="00A466EA" w:rsidP="00075317">
      <w:pPr>
        <w:tabs>
          <w:tab w:val="left" w:pos="3384"/>
        </w:tabs>
        <w:spacing w:after="0" w:line="240" w:lineRule="auto"/>
        <w:jc w:val="both"/>
        <w:rPr>
          <w:rFonts w:ascii="Calibri" w:hAnsi="Calibri" w:cs="Calibri"/>
          <w:sz w:val="20"/>
          <w:szCs w:val="20"/>
        </w:rPr>
      </w:pPr>
    </w:p>
    <w:p w14:paraId="5FD532C8" w14:textId="77777777" w:rsidR="00392984" w:rsidRPr="00A26241" w:rsidRDefault="00392984" w:rsidP="00075317">
      <w:pPr>
        <w:tabs>
          <w:tab w:val="left" w:pos="3384"/>
        </w:tabs>
        <w:spacing w:after="0" w:line="240" w:lineRule="auto"/>
        <w:jc w:val="both"/>
        <w:rPr>
          <w:rFonts w:ascii="Calibri" w:hAnsi="Calibri" w:cs="Calibri"/>
          <w:sz w:val="20"/>
          <w:szCs w:val="20"/>
        </w:rPr>
      </w:pPr>
    </w:p>
    <w:p w14:paraId="4C1DE57E" w14:textId="77777777" w:rsidR="00E46A4A" w:rsidRPr="006112AD" w:rsidRDefault="00E46A4A" w:rsidP="006112AD">
      <w:pPr>
        <w:pStyle w:val="ListParagraph"/>
        <w:spacing w:after="0" w:line="240" w:lineRule="auto"/>
        <w:ind w:left="1080"/>
        <w:rPr>
          <w:rFonts w:ascii="Calibri" w:hAnsi="Calibri" w:cs="Calibri"/>
          <w:sz w:val="20"/>
          <w:szCs w:val="20"/>
        </w:rPr>
      </w:pPr>
    </w:p>
    <w:p w14:paraId="4B1EBD79" w14:textId="77777777" w:rsidR="00AD6092" w:rsidRPr="006112AD" w:rsidRDefault="004B073D" w:rsidP="006112AD">
      <w:pPr>
        <w:pStyle w:val="ListParagraph"/>
        <w:numPr>
          <w:ilvl w:val="0"/>
          <w:numId w:val="38"/>
        </w:numPr>
        <w:spacing w:after="0" w:line="240" w:lineRule="auto"/>
        <w:rPr>
          <w:rFonts w:ascii="Calibri" w:hAnsi="Calibri" w:cs="Calibri"/>
          <w:b/>
          <w:bCs/>
          <w:sz w:val="20"/>
          <w:szCs w:val="20"/>
        </w:rPr>
      </w:pPr>
      <w:r w:rsidRPr="006112AD">
        <w:rPr>
          <w:rFonts w:ascii="Calibri" w:hAnsi="Calibri" w:cs="Calibri"/>
          <w:b/>
          <w:bCs/>
          <w:sz w:val="20"/>
          <w:szCs w:val="20"/>
        </w:rPr>
        <w:t>Method</w:t>
      </w:r>
      <w:r w:rsidR="00AD6092" w:rsidRPr="006112AD">
        <w:rPr>
          <w:rFonts w:ascii="Calibri" w:hAnsi="Calibri" w:cs="Calibri"/>
          <w:b/>
          <w:bCs/>
          <w:sz w:val="20"/>
          <w:szCs w:val="20"/>
        </w:rPr>
        <w:t>ology</w:t>
      </w:r>
      <w:bookmarkStart w:id="1" w:name="_Toc170554776"/>
      <w:bookmarkStart w:id="2" w:name="_Toc170554778"/>
      <w:bookmarkStart w:id="3" w:name="_Toc170554779"/>
      <w:bookmarkStart w:id="4" w:name="_Toc170597975"/>
      <w:bookmarkStart w:id="5" w:name="_Toc170634187"/>
      <w:bookmarkStart w:id="6" w:name="_Toc170554780"/>
      <w:bookmarkStart w:id="7" w:name="_Toc170597976"/>
      <w:bookmarkStart w:id="8" w:name="_Toc170634188"/>
      <w:bookmarkStart w:id="9" w:name="_Toc170554781"/>
      <w:bookmarkStart w:id="10" w:name="_Toc170597977"/>
      <w:bookmarkStart w:id="11" w:name="_Toc170634189"/>
      <w:bookmarkStart w:id="12" w:name="_Toc170554782"/>
      <w:bookmarkStart w:id="13" w:name="_Toc170597978"/>
      <w:bookmarkStart w:id="14" w:name="_Toc170634190"/>
      <w:bookmarkStart w:id="15" w:name="_Toc170554783"/>
      <w:bookmarkStart w:id="16" w:name="_Toc170554784"/>
      <w:bookmarkStart w:id="17" w:name="_Toc170554785"/>
      <w:bookmarkStart w:id="18" w:name="_Toc170554786"/>
      <w:bookmarkStart w:id="19" w:name="_Toc170597979"/>
      <w:bookmarkStart w:id="20" w:name="_Toc170634191"/>
      <w:bookmarkStart w:id="21" w:name="_Hlk198377815"/>
      <w:bookmarkStart w:id="22" w:name="_Toc170554789"/>
      <w:bookmarkStart w:id="23" w:name="_Toc170597982"/>
      <w:bookmarkStart w:id="24" w:name="_Toc170634194"/>
      <w:bookmarkStart w:id="25" w:name="_Toc170554790"/>
      <w:bookmarkStart w:id="26" w:name="_Toc170597983"/>
      <w:bookmarkStart w:id="27" w:name="_Toc170634195"/>
      <w:bookmarkStart w:id="28" w:name="_Toc170554791"/>
      <w:bookmarkStart w:id="29" w:name="_Toc170597984"/>
      <w:bookmarkStart w:id="30" w:name="_Toc170634196"/>
      <w:bookmarkStart w:id="31" w:name="_Toc170554792"/>
      <w:bookmarkStart w:id="32" w:name="_Toc170597985"/>
      <w:bookmarkStart w:id="33" w:name="_Toc170634197"/>
      <w:bookmarkStart w:id="34" w:name="_Toc170554793"/>
      <w:bookmarkStart w:id="35" w:name="_Toc170597986"/>
      <w:bookmarkStart w:id="36" w:name="_Toc170634198"/>
      <w:bookmarkStart w:id="37" w:name="_Toc170554794"/>
      <w:bookmarkStart w:id="38" w:name="_Toc170597987"/>
      <w:bookmarkStart w:id="39" w:name="_Toc170634199"/>
      <w:bookmarkStart w:id="40" w:name="_Toc170554795"/>
      <w:bookmarkStart w:id="41" w:name="_Toc170597988"/>
      <w:bookmarkStart w:id="42" w:name="_Toc170634200"/>
      <w:bookmarkStart w:id="43" w:name="_Toc169787022"/>
      <w:bookmarkStart w:id="44" w:name="_Toc169787099"/>
      <w:bookmarkStart w:id="45" w:name="_Toc169787119"/>
      <w:bookmarkStart w:id="46" w:name="_Toc169787023"/>
      <w:bookmarkStart w:id="47" w:name="_Toc169787100"/>
      <w:bookmarkStart w:id="48" w:name="_Toc169787120"/>
      <w:bookmarkStart w:id="49" w:name="_Toc169787024"/>
      <w:bookmarkStart w:id="50" w:name="_Toc169787101"/>
      <w:bookmarkStart w:id="51" w:name="_Toc169787121"/>
      <w:bookmarkStart w:id="52" w:name="_Toc169787025"/>
      <w:bookmarkStart w:id="53" w:name="_Toc169787102"/>
      <w:bookmarkStart w:id="54" w:name="_Toc169787122"/>
      <w:bookmarkStart w:id="55" w:name="_Toc170133100"/>
      <w:bookmarkStart w:id="56" w:name="_Toc170554800"/>
      <w:bookmarkStart w:id="57" w:name="_Toc170554801"/>
      <w:bookmarkStart w:id="58" w:name="_Toc170554802"/>
      <w:bookmarkStart w:id="59" w:name="_Toc170554803"/>
      <w:bookmarkStart w:id="60" w:name="_Toc170554804"/>
      <w:bookmarkStart w:id="61" w:name="_Toc17055480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755797E8" w14:textId="77777777" w:rsidR="00AD6092" w:rsidRPr="006112AD" w:rsidRDefault="00AD6092" w:rsidP="006112AD">
      <w:pPr>
        <w:pStyle w:val="ListParagraph"/>
        <w:spacing w:line="240" w:lineRule="auto"/>
        <w:rPr>
          <w:rFonts w:ascii="Calibri" w:hAnsi="Calibri" w:cs="Calibri"/>
          <w:b/>
          <w:bCs/>
          <w:sz w:val="20"/>
          <w:szCs w:val="20"/>
        </w:rPr>
      </w:pPr>
    </w:p>
    <w:p w14:paraId="2FFC772B" w14:textId="62B1693A" w:rsidR="0098772B" w:rsidRPr="006112AD" w:rsidRDefault="00596AA0" w:rsidP="006112AD">
      <w:pPr>
        <w:pStyle w:val="ListParagraph"/>
        <w:numPr>
          <w:ilvl w:val="1"/>
          <w:numId w:val="38"/>
        </w:numPr>
        <w:spacing w:after="0" w:line="240" w:lineRule="auto"/>
        <w:rPr>
          <w:rFonts w:ascii="Calibri" w:hAnsi="Calibri" w:cs="Calibri"/>
          <w:sz w:val="20"/>
          <w:szCs w:val="20"/>
        </w:rPr>
      </w:pPr>
      <w:r w:rsidRPr="006112AD">
        <w:rPr>
          <w:rFonts w:ascii="Calibri" w:hAnsi="Calibri" w:cs="Calibri"/>
          <w:sz w:val="20"/>
          <w:szCs w:val="20"/>
        </w:rPr>
        <w:t>Experimental Design</w:t>
      </w:r>
    </w:p>
    <w:p w14:paraId="545FAC58" w14:textId="5BD730AF" w:rsidR="00E46A4A" w:rsidRDefault="00022FC3" w:rsidP="00227E39">
      <w:pPr>
        <w:spacing w:after="0" w:line="240" w:lineRule="auto"/>
        <w:jc w:val="both"/>
        <w:rPr>
          <w:rFonts w:ascii="Calibri" w:hAnsi="Calibri" w:cs="Calibri"/>
          <w:iCs/>
          <w:sz w:val="20"/>
          <w:szCs w:val="20"/>
        </w:rPr>
      </w:pPr>
      <w:r w:rsidRPr="00022FC3">
        <w:rPr>
          <w:rFonts w:ascii="Calibri" w:hAnsi="Calibri" w:cs="Calibri"/>
          <w:iCs/>
          <w:sz w:val="20"/>
          <w:szCs w:val="20"/>
        </w:rPr>
        <w:t xml:space="preserve">Donations from anonymous blood donors were collected at the donation centre. A total of 100 </w:t>
      </w:r>
      <w:r w:rsidR="00797125">
        <w:rPr>
          <w:rFonts w:ascii="Calibri" w:hAnsi="Calibri" w:cs="Calibri"/>
          <w:iCs/>
          <w:sz w:val="20"/>
          <w:szCs w:val="20"/>
        </w:rPr>
        <w:t>FFP</w:t>
      </w:r>
      <w:r w:rsidRPr="00022FC3">
        <w:rPr>
          <w:rFonts w:ascii="Calibri" w:hAnsi="Calibri" w:cs="Calibri"/>
          <w:iCs/>
          <w:sz w:val="20"/>
          <w:szCs w:val="20"/>
        </w:rPr>
        <w:t xml:space="preserve"> units processed after a short holding time (~3h</w:t>
      </w:r>
      <w:r w:rsidR="005178DA">
        <w:rPr>
          <w:rFonts w:ascii="Calibri" w:hAnsi="Calibri" w:cs="Calibri"/>
          <w:iCs/>
          <w:sz w:val="20"/>
          <w:szCs w:val="20"/>
        </w:rPr>
        <w:t>r</w:t>
      </w:r>
      <w:r w:rsidRPr="00022FC3">
        <w:rPr>
          <w:rFonts w:ascii="Calibri" w:hAnsi="Calibri" w:cs="Calibri"/>
          <w:iCs/>
          <w:sz w:val="20"/>
          <w:szCs w:val="20"/>
        </w:rPr>
        <w:t>) were tested for RLC and PC. Data from an additional 100 units processed after an overnight holding time were obtained from the quality control laboratory for comparison. The study design is summarized in Figure 1.</w:t>
      </w:r>
      <w:r w:rsidR="00B450C2">
        <w:rPr>
          <w:rFonts w:ascii="Calibri" w:hAnsi="Calibri" w:cs="Calibri"/>
          <w:iCs/>
          <w:sz w:val="20"/>
          <w:szCs w:val="20"/>
        </w:rPr>
        <w:t xml:space="preserve"> Volumes of all units were recorded.</w:t>
      </w:r>
    </w:p>
    <w:p w14:paraId="1C572E26" w14:textId="77777777" w:rsidR="00227E39" w:rsidRPr="006112AD" w:rsidRDefault="00227E39" w:rsidP="00227E39">
      <w:pPr>
        <w:spacing w:after="0" w:line="240" w:lineRule="auto"/>
        <w:jc w:val="both"/>
        <w:rPr>
          <w:rFonts w:ascii="Calibri" w:hAnsi="Calibri" w:cs="Calibri"/>
          <w:iCs/>
          <w:sz w:val="20"/>
          <w:szCs w:val="20"/>
        </w:rPr>
      </w:pPr>
    </w:p>
    <w:p w14:paraId="2E0661E2" w14:textId="3D4D2A61" w:rsidR="00022FC3" w:rsidRPr="00022FC3" w:rsidRDefault="00022FC3" w:rsidP="006112AD">
      <w:pPr>
        <w:spacing w:after="0" w:line="240" w:lineRule="auto"/>
        <w:ind w:left="360"/>
        <w:jc w:val="center"/>
        <w:rPr>
          <w:rFonts w:ascii="Calibri" w:hAnsi="Calibri" w:cs="Calibri"/>
          <w:iCs/>
          <w:sz w:val="20"/>
          <w:szCs w:val="20"/>
        </w:rPr>
      </w:pPr>
      <w:r w:rsidRPr="00022FC3">
        <w:rPr>
          <w:rFonts w:ascii="Calibri" w:hAnsi="Calibri" w:cs="Calibri"/>
          <w:iCs/>
          <w:noProof/>
          <w:sz w:val="20"/>
          <w:szCs w:val="20"/>
        </w:rPr>
        <w:lastRenderedPageBreak/>
        <w:drawing>
          <wp:inline distT="0" distB="0" distL="0" distR="0" wp14:anchorId="1F5D70F8" wp14:editId="120A0910">
            <wp:extent cx="4000935" cy="4206240"/>
            <wp:effectExtent l="0" t="0" r="0" b="0"/>
            <wp:docPr id="1309007984" name="Picture 23"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323003" name="Picture 23" descr="A black screen with white text&#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3447"/>
                    <a:stretch>
                      <a:fillRect/>
                    </a:stretch>
                  </pic:blipFill>
                  <pic:spPr bwMode="auto">
                    <a:xfrm>
                      <a:off x="0" y="0"/>
                      <a:ext cx="4002608" cy="4207999"/>
                    </a:xfrm>
                    <a:prstGeom prst="rect">
                      <a:avLst/>
                    </a:prstGeom>
                    <a:noFill/>
                    <a:ln>
                      <a:noFill/>
                    </a:ln>
                    <a:extLst>
                      <a:ext uri="{53640926-AAD7-44D8-BBD7-CCE9431645EC}">
                        <a14:shadowObscured xmlns:a14="http://schemas.microsoft.com/office/drawing/2010/main"/>
                      </a:ext>
                    </a:extLst>
                  </pic:spPr>
                </pic:pic>
              </a:graphicData>
            </a:graphic>
          </wp:inline>
        </w:drawing>
      </w:r>
    </w:p>
    <w:p w14:paraId="636A3E82" w14:textId="2004F5C6" w:rsidR="00E43677" w:rsidRPr="00227E39" w:rsidRDefault="00022FC3" w:rsidP="00227E39">
      <w:pPr>
        <w:spacing w:after="0" w:line="240" w:lineRule="auto"/>
        <w:ind w:left="360"/>
        <w:jc w:val="center"/>
        <w:rPr>
          <w:rFonts w:ascii="Calibri" w:hAnsi="Calibri" w:cs="Calibri"/>
          <w:b/>
          <w:bCs/>
          <w:sz w:val="20"/>
          <w:szCs w:val="20"/>
        </w:rPr>
      </w:pPr>
      <w:r w:rsidRPr="00022FC3">
        <w:rPr>
          <w:rFonts w:ascii="Calibri" w:hAnsi="Calibri" w:cs="Calibri"/>
          <w:b/>
          <w:bCs/>
          <w:sz w:val="20"/>
          <w:szCs w:val="20"/>
        </w:rPr>
        <w:t>Figure 1: Experimental design</w:t>
      </w:r>
    </w:p>
    <w:p w14:paraId="25E1DCE6" w14:textId="77777777" w:rsidR="00A32A1D" w:rsidRDefault="00A32A1D" w:rsidP="00A32A1D">
      <w:pPr>
        <w:pStyle w:val="ListParagraph"/>
        <w:spacing w:after="0" w:line="240" w:lineRule="auto"/>
        <w:ind w:left="1512"/>
        <w:rPr>
          <w:rFonts w:ascii="Calibri" w:hAnsi="Calibri" w:cs="Calibri"/>
          <w:sz w:val="20"/>
          <w:szCs w:val="20"/>
        </w:rPr>
      </w:pPr>
    </w:p>
    <w:p w14:paraId="1C7AA41C" w14:textId="77777777" w:rsidR="00A466EA" w:rsidRDefault="00A466EA" w:rsidP="00A32A1D">
      <w:pPr>
        <w:pStyle w:val="ListParagraph"/>
        <w:spacing w:after="0" w:line="240" w:lineRule="auto"/>
        <w:ind w:left="1512"/>
        <w:rPr>
          <w:rFonts w:ascii="Calibri" w:hAnsi="Calibri" w:cs="Calibri"/>
          <w:sz w:val="20"/>
          <w:szCs w:val="20"/>
        </w:rPr>
      </w:pPr>
    </w:p>
    <w:p w14:paraId="5AA78EA2" w14:textId="5B56A417" w:rsidR="00E43677" w:rsidRPr="006112AD" w:rsidRDefault="00022FC3" w:rsidP="006112AD">
      <w:pPr>
        <w:pStyle w:val="ListParagraph"/>
        <w:numPr>
          <w:ilvl w:val="1"/>
          <w:numId w:val="38"/>
        </w:numPr>
        <w:spacing w:after="0" w:line="240" w:lineRule="auto"/>
        <w:rPr>
          <w:rFonts w:ascii="Calibri" w:hAnsi="Calibri" w:cs="Calibri"/>
          <w:sz w:val="20"/>
          <w:szCs w:val="20"/>
        </w:rPr>
      </w:pPr>
      <w:r w:rsidRPr="006112AD">
        <w:rPr>
          <w:rFonts w:ascii="Calibri" w:hAnsi="Calibri" w:cs="Calibri"/>
          <w:sz w:val="20"/>
          <w:szCs w:val="20"/>
        </w:rPr>
        <w:t>Sample preparation and analysis</w:t>
      </w:r>
    </w:p>
    <w:p w14:paraId="1146AC7F" w14:textId="1E1CE5C7" w:rsidR="001E3296" w:rsidRPr="006112AD" w:rsidRDefault="001E3296" w:rsidP="006112AD">
      <w:pPr>
        <w:pStyle w:val="Heading2"/>
        <w:spacing w:after="0" w:line="240" w:lineRule="auto"/>
        <w:jc w:val="both"/>
        <w:rPr>
          <w:rFonts w:ascii="Calibri" w:hAnsi="Calibri" w:cs="Calibri"/>
          <w:i w:val="0"/>
          <w:iCs/>
          <w:sz w:val="20"/>
          <w:szCs w:val="20"/>
          <w:u w:val="none"/>
        </w:rPr>
      </w:pPr>
      <w:r w:rsidRPr="006112AD">
        <w:rPr>
          <w:rFonts w:ascii="Calibri" w:hAnsi="Calibri" w:cs="Calibri"/>
          <w:i w:val="0"/>
          <w:iCs/>
          <w:sz w:val="20"/>
          <w:szCs w:val="20"/>
          <w:u w:val="none"/>
        </w:rPr>
        <w:t xml:space="preserve">Plasma bags processed the previous day were weighed and volumes </w:t>
      </w:r>
      <w:r w:rsidR="008E07BE">
        <w:rPr>
          <w:rFonts w:ascii="Calibri" w:hAnsi="Calibri" w:cs="Calibri"/>
          <w:i w:val="0"/>
          <w:iCs/>
          <w:sz w:val="20"/>
          <w:szCs w:val="20"/>
          <w:u w:val="none"/>
        </w:rPr>
        <w:t xml:space="preserve">were </w:t>
      </w:r>
      <w:r w:rsidRPr="006112AD">
        <w:rPr>
          <w:rFonts w:ascii="Calibri" w:hAnsi="Calibri" w:cs="Calibri"/>
          <w:i w:val="0"/>
          <w:iCs/>
          <w:sz w:val="20"/>
          <w:szCs w:val="20"/>
          <w:u w:val="none"/>
        </w:rPr>
        <w:t>calculated after correcting for bag weight and plasma density. Units were mixed according to standard procedures</w:t>
      </w:r>
      <w:r w:rsidR="000C09A4">
        <w:rPr>
          <w:rFonts w:ascii="Calibri" w:hAnsi="Calibri" w:cs="Calibri"/>
          <w:i w:val="0"/>
          <w:iCs/>
          <w:sz w:val="20"/>
          <w:szCs w:val="20"/>
          <w:u w:val="none"/>
        </w:rPr>
        <w:t>,</w:t>
      </w:r>
      <w:r w:rsidRPr="006112AD">
        <w:rPr>
          <w:rFonts w:ascii="Calibri" w:hAnsi="Calibri" w:cs="Calibri"/>
          <w:i w:val="0"/>
          <w:iCs/>
          <w:sz w:val="20"/>
          <w:szCs w:val="20"/>
          <w:u w:val="none"/>
        </w:rPr>
        <w:t xml:space="preserve"> and plasma was aspirated with sterile syringes. Aliquots were transferred to clot-activator vacutainers for protein analysis (</w:t>
      </w:r>
      <w:r w:rsidR="0010565B" w:rsidRPr="006112AD">
        <w:rPr>
          <w:rFonts w:ascii="Calibri" w:hAnsi="Calibri" w:cs="Calibri"/>
          <w:i w:val="0"/>
          <w:iCs/>
          <w:sz w:val="20"/>
          <w:szCs w:val="20"/>
          <w:u w:val="none"/>
        </w:rPr>
        <w:t xml:space="preserve">which were sent to </w:t>
      </w:r>
      <w:r w:rsidRPr="006112AD">
        <w:rPr>
          <w:rFonts w:ascii="Calibri" w:hAnsi="Calibri" w:cs="Calibri"/>
          <w:i w:val="0"/>
          <w:iCs/>
          <w:sz w:val="20"/>
          <w:szCs w:val="20"/>
          <w:u w:val="none"/>
        </w:rPr>
        <w:t>external laboratory</w:t>
      </w:r>
      <w:r w:rsidR="0010565B" w:rsidRPr="006112AD">
        <w:rPr>
          <w:rFonts w:ascii="Calibri" w:hAnsi="Calibri" w:cs="Calibri"/>
          <w:i w:val="0"/>
          <w:iCs/>
          <w:sz w:val="20"/>
          <w:szCs w:val="20"/>
          <w:u w:val="none"/>
        </w:rPr>
        <w:t xml:space="preserve"> for analysis</w:t>
      </w:r>
      <w:r w:rsidRPr="006112AD">
        <w:rPr>
          <w:rFonts w:ascii="Calibri" w:hAnsi="Calibri" w:cs="Calibri"/>
          <w:i w:val="0"/>
          <w:iCs/>
          <w:sz w:val="20"/>
          <w:szCs w:val="20"/>
          <w:u w:val="none"/>
        </w:rPr>
        <w:t>) and to glass tubes for leucocyte enumeration.</w:t>
      </w:r>
      <w:r w:rsidR="00F3115B" w:rsidRPr="006112AD">
        <w:rPr>
          <w:rFonts w:ascii="Calibri" w:hAnsi="Calibri" w:cs="Calibri"/>
          <w:i w:val="0"/>
          <w:iCs/>
          <w:sz w:val="20"/>
          <w:szCs w:val="20"/>
          <w:u w:val="none"/>
        </w:rPr>
        <w:t xml:space="preserve"> </w:t>
      </w:r>
      <w:r w:rsidRPr="006112AD">
        <w:rPr>
          <w:rFonts w:ascii="Calibri" w:hAnsi="Calibri" w:cs="Calibri"/>
          <w:i w:val="0"/>
          <w:iCs/>
          <w:sz w:val="20"/>
          <w:szCs w:val="20"/>
          <w:u w:val="none"/>
        </w:rPr>
        <w:t xml:space="preserve">Leucocyte counts were obtained using the BD </w:t>
      </w:r>
      <w:proofErr w:type="spellStart"/>
      <w:r w:rsidRPr="006112AD">
        <w:rPr>
          <w:rFonts w:ascii="Calibri" w:hAnsi="Calibri" w:cs="Calibri"/>
          <w:i w:val="0"/>
          <w:iCs/>
          <w:sz w:val="20"/>
          <w:szCs w:val="20"/>
          <w:u w:val="none"/>
        </w:rPr>
        <w:t>Leucocount</w:t>
      </w:r>
      <w:proofErr w:type="spellEnd"/>
      <w:r w:rsidRPr="006112AD">
        <w:rPr>
          <w:rFonts w:ascii="Calibri" w:hAnsi="Calibri" w:cs="Calibri"/>
          <w:i w:val="0"/>
          <w:iCs/>
          <w:sz w:val="20"/>
          <w:szCs w:val="20"/>
          <w:u w:val="none"/>
        </w:rPr>
        <w:t xml:space="preserve">™ Kit and </w:t>
      </w:r>
      <w:proofErr w:type="spellStart"/>
      <w:r w:rsidRPr="006112AD">
        <w:rPr>
          <w:rFonts w:ascii="Calibri" w:hAnsi="Calibri" w:cs="Calibri"/>
          <w:i w:val="0"/>
          <w:iCs/>
          <w:sz w:val="20"/>
          <w:szCs w:val="20"/>
          <w:u w:val="none"/>
        </w:rPr>
        <w:t>FACSCanto</w:t>
      </w:r>
      <w:proofErr w:type="spellEnd"/>
      <w:r w:rsidRPr="006112AD">
        <w:rPr>
          <w:rFonts w:ascii="Calibri" w:hAnsi="Calibri" w:cs="Calibri"/>
          <w:i w:val="0"/>
          <w:iCs/>
          <w:sz w:val="20"/>
          <w:szCs w:val="20"/>
          <w:u w:val="none"/>
        </w:rPr>
        <w:t xml:space="preserve">™ II flow cytometer. Counts were expressed as absolute leucocyte concentration (×10⁹/L) </w:t>
      </w:r>
      <w:r w:rsidR="002E5BD1">
        <w:rPr>
          <w:rFonts w:ascii="Calibri" w:hAnsi="Calibri" w:cs="Calibri"/>
          <w:i w:val="0"/>
          <w:iCs/>
          <w:sz w:val="20"/>
          <w:szCs w:val="20"/>
          <w:u w:val="none"/>
        </w:rPr>
        <w:t>and tested as per the</w:t>
      </w:r>
      <w:r w:rsidRPr="006112AD">
        <w:rPr>
          <w:rFonts w:ascii="Calibri" w:hAnsi="Calibri" w:cs="Calibri"/>
          <w:i w:val="0"/>
          <w:iCs/>
          <w:sz w:val="20"/>
          <w:szCs w:val="20"/>
          <w:u w:val="none"/>
        </w:rPr>
        <w:t xml:space="preserve"> manufacturer’s </w:t>
      </w:r>
      <w:r w:rsidR="002E5BD1">
        <w:rPr>
          <w:rFonts w:ascii="Calibri" w:hAnsi="Calibri" w:cs="Calibri"/>
          <w:i w:val="0"/>
          <w:iCs/>
          <w:sz w:val="20"/>
          <w:szCs w:val="20"/>
          <w:u w:val="none"/>
        </w:rPr>
        <w:t>instructions</w:t>
      </w:r>
      <w:r w:rsidRPr="006112AD">
        <w:rPr>
          <w:rFonts w:ascii="Calibri" w:hAnsi="Calibri" w:cs="Calibri"/>
          <w:i w:val="0"/>
          <w:iCs/>
          <w:sz w:val="20"/>
          <w:szCs w:val="20"/>
          <w:u w:val="none"/>
        </w:rPr>
        <w:t>.</w:t>
      </w:r>
    </w:p>
    <w:p w14:paraId="23E7EC4B" w14:textId="77777777" w:rsidR="0098772B" w:rsidRPr="00AD6092" w:rsidRDefault="0098772B" w:rsidP="00DD559D">
      <w:pPr>
        <w:spacing w:after="0" w:line="360" w:lineRule="auto"/>
        <w:rPr>
          <w:rFonts w:ascii="Calibri" w:hAnsi="Calibri" w:cs="Calibri"/>
          <w:iCs/>
          <w:sz w:val="20"/>
          <w:szCs w:val="20"/>
        </w:rPr>
      </w:pPr>
    </w:p>
    <w:p w14:paraId="38C21C87" w14:textId="6B2EEB1F" w:rsidR="0098772B" w:rsidRPr="006112AD" w:rsidRDefault="0098772B" w:rsidP="006112AD">
      <w:pPr>
        <w:pStyle w:val="Heading2"/>
        <w:numPr>
          <w:ilvl w:val="0"/>
          <w:numId w:val="38"/>
        </w:numPr>
        <w:spacing w:after="0" w:line="240" w:lineRule="auto"/>
        <w:rPr>
          <w:rFonts w:ascii="Calibri" w:hAnsi="Calibri" w:cs="Calibri"/>
          <w:b/>
          <w:bCs/>
          <w:i w:val="0"/>
          <w:iCs/>
          <w:sz w:val="20"/>
          <w:szCs w:val="20"/>
          <w:u w:val="none"/>
        </w:rPr>
      </w:pPr>
      <w:bookmarkStart w:id="62" w:name="_Toc198372527"/>
      <w:bookmarkStart w:id="63" w:name="_Toc198372528"/>
      <w:bookmarkStart w:id="64" w:name="_Toc198372529"/>
      <w:bookmarkStart w:id="65" w:name="_Toc198372530"/>
      <w:bookmarkStart w:id="66" w:name="_Toc198372531"/>
      <w:bookmarkStart w:id="67" w:name="_Toc198372532"/>
      <w:bookmarkStart w:id="68" w:name="_Toc198372533"/>
      <w:bookmarkStart w:id="69" w:name="_Toc198372534"/>
      <w:bookmarkStart w:id="70" w:name="_Toc198372535"/>
      <w:bookmarkStart w:id="71" w:name="_Toc198372537"/>
      <w:bookmarkStart w:id="72" w:name="_Toc198372538"/>
      <w:bookmarkStart w:id="73" w:name="_Toc198372542"/>
      <w:bookmarkStart w:id="74" w:name="_Toc198372543"/>
      <w:bookmarkStart w:id="75" w:name="_Toc198372544"/>
      <w:bookmarkStart w:id="76" w:name="_Toc198372545"/>
      <w:bookmarkStart w:id="77" w:name="_Toc198372546"/>
      <w:bookmarkStart w:id="78" w:name="_Toc198372548"/>
      <w:bookmarkStart w:id="79" w:name="_Toc198372549"/>
      <w:bookmarkStart w:id="80" w:name="_Toc198372550"/>
      <w:bookmarkStart w:id="81" w:name="_Toc198372551"/>
      <w:bookmarkStart w:id="82" w:name="_Toc198372552"/>
      <w:bookmarkStart w:id="83" w:name="_Toc198372553"/>
      <w:bookmarkStart w:id="84" w:name="_Toc198372554"/>
      <w:bookmarkStart w:id="85" w:name="_Toc198372555"/>
      <w:bookmarkStart w:id="86" w:name="_Toc198372556"/>
      <w:bookmarkStart w:id="87" w:name="_Toc199078004"/>
      <w:bookmarkStart w:id="88" w:name="_Toc198372557"/>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6112AD">
        <w:rPr>
          <w:rFonts w:ascii="Calibri" w:hAnsi="Calibri" w:cs="Calibri"/>
          <w:b/>
          <w:bCs/>
          <w:i w:val="0"/>
          <w:iCs/>
          <w:sz w:val="20"/>
          <w:szCs w:val="20"/>
          <w:u w:val="none"/>
        </w:rPr>
        <w:t>Data Analysis</w:t>
      </w:r>
      <w:bookmarkEnd w:id="87"/>
      <w:r w:rsidRPr="006112AD">
        <w:rPr>
          <w:rFonts w:ascii="Calibri" w:hAnsi="Calibri" w:cs="Calibri"/>
          <w:b/>
          <w:bCs/>
          <w:i w:val="0"/>
          <w:iCs/>
          <w:sz w:val="20"/>
          <w:szCs w:val="20"/>
          <w:u w:val="none"/>
        </w:rPr>
        <w:t xml:space="preserve"> </w:t>
      </w:r>
      <w:bookmarkEnd w:id="88"/>
    </w:p>
    <w:p w14:paraId="4DDB3E3E" w14:textId="77777777" w:rsidR="0099040A" w:rsidRDefault="0098772B" w:rsidP="006112AD">
      <w:pPr>
        <w:pStyle w:val="Heading2"/>
        <w:numPr>
          <w:ilvl w:val="1"/>
          <w:numId w:val="38"/>
        </w:numPr>
        <w:spacing w:after="0" w:line="240" w:lineRule="auto"/>
        <w:rPr>
          <w:rFonts w:ascii="Calibri" w:hAnsi="Calibri" w:cs="Calibri"/>
          <w:sz w:val="20"/>
          <w:szCs w:val="20"/>
        </w:rPr>
      </w:pPr>
      <w:bookmarkStart w:id="89" w:name="_Toc198372558"/>
      <w:bookmarkStart w:id="90" w:name="_Toc199078005"/>
      <w:r w:rsidRPr="006112AD">
        <w:rPr>
          <w:rFonts w:ascii="Calibri" w:hAnsi="Calibri" w:cs="Calibri"/>
          <w:i w:val="0"/>
          <w:iCs/>
          <w:sz w:val="20"/>
          <w:szCs w:val="20"/>
          <w:u w:val="none"/>
        </w:rPr>
        <w:t>Statistical Analysis</w:t>
      </w:r>
      <w:bookmarkEnd w:id="89"/>
      <w:bookmarkEnd w:id="90"/>
      <w:r w:rsidRPr="006112AD">
        <w:rPr>
          <w:rFonts w:ascii="Calibri" w:hAnsi="Calibri" w:cs="Calibri"/>
          <w:b/>
          <w:bCs/>
          <w:sz w:val="20"/>
          <w:szCs w:val="20"/>
        </w:rPr>
        <w:t xml:space="preserve"> </w:t>
      </w:r>
    </w:p>
    <w:p w14:paraId="1120F1D5" w14:textId="48B4C3B6" w:rsidR="00D32091" w:rsidRPr="006112AD" w:rsidRDefault="00D32091" w:rsidP="0099040A">
      <w:pPr>
        <w:pStyle w:val="Heading2"/>
        <w:spacing w:after="0" w:line="240" w:lineRule="auto"/>
        <w:jc w:val="both"/>
        <w:rPr>
          <w:rFonts w:ascii="Calibri" w:hAnsi="Calibri" w:cs="Calibri"/>
          <w:i w:val="0"/>
          <w:sz w:val="20"/>
          <w:szCs w:val="20"/>
          <w:u w:val="none"/>
        </w:rPr>
      </w:pPr>
      <w:r w:rsidRPr="0099040A">
        <w:rPr>
          <w:rFonts w:ascii="Calibri" w:hAnsi="Calibri" w:cs="Calibri"/>
          <w:i w:val="0"/>
          <w:sz w:val="20"/>
          <w:szCs w:val="20"/>
          <w:u w:val="none"/>
        </w:rPr>
        <w:t xml:space="preserve">Data were organized in Excel and </w:t>
      </w:r>
      <w:r w:rsidR="005D3B2E" w:rsidRPr="0099040A">
        <w:rPr>
          <w:rFonts w:ascii="Calibri" w:hAnsi="Calibri" w:cs="Calibri"/>
          <w:i w:val="0"/>
          <w:sz w:val="20"/>
          <w:szCs w:val="20"/>
          <w:u w:val="none"/>
        </w:rPr>
        <w:t>analysed</w:t>
      </w:r>
      <w:r w:rsidRPr="0099040A">
        <w:rPr>
          <w:rFonts w:ascii="Calibri" w:hAnsi="Calibri" w:cs="Calibri"/>
          <w:i w:val="0"/>
          <w:sz w:val="20"/>
          <w:szCs w:val="20"/>
          <w:u w:val="none"/>
        </w:rPr>
        <w:t xml:space="preserve"> using SPSS (Version 29.0). Descriptive statistics (mean, standard deviation) were calculated for RLC and </w:t>
      </w:r>
      <w:r w:rsidR="005D3B2E">
        <w:rPr>
          <w:rFonts w:ascii="Calibri" w:hAnsi="Calibri" w:cs="Calibri"/>
          <w:i w:val="0"/>
          <w:sz w:val="20"/>
          <w:szCs w:val="20"/>
          <w:u w:val="none"/>
        </w:rPr>
        <w:t xml:space="preserve">total </w:t>
      </w:r>
      <w:r w:rsidRPr="0099040A">
        <w:rPr>
          <w:rFonts w:ascii="Calibri" w:hAnsi="Calibri" w:cs="Calibri"/>
          <w:i w:val="0"/>
          <w:sz w:val="20"/>
          <w:szCs w:val="20"/>
          <w:u w:val="none"/>
        </w:rPr>
        <w:t>PC. Outliers were identified using Z-scores, with values exceeding ±3 considered extreme.</w:t>
      </w:r>
      <w:r w:rsidR="0099040A">
        <w:rPr>
          <w:rFonts w:ascii="Calibri" w:hAnsi="Calibri" w:cs="Calibri"/>
          <w:i w:val="0"/>
          <w:sz w:val="20"/>
          <w:szCs w:val="20"/>
          <w:u w:val="none"/>
        </w:rPr>
        <w:t xml:space="preserve"> </w:t>
      </w:r>
      <w:r w:rsidRPr="006112AD">
        <w:rPr>
          <w:rFonts w:ascii="Calibri" w:hAnsi="Calibri" w:cs="Calibri"/>
          <w:i w:val="0"/>
          <w:sz w:val="20"/>
          <w:szCs w:val="20"/>
          <w:u w:val="none"/>
        </w:rPr>
        <w:t xml:space="preserve">Normality of distributions was assessed with the Shapiro–Wilk test. RLC data were non-normally distributed and </w:t>
      </w:r>
      <w:r w:rsidR="00DC602B">
        <w:rPr>
          <w:rFonts w:ascii="Calibri" w:hAnsi="Calibri" w:cs="Calibri"/>
          <w:i w:val="0"/>
          <w:sz w:val="20"/>
          <w:szCs w:val="20"/>
          <w:u w:val="none"/>
        </w:rPr>
        <w:t xml:space="preserve">means were </w:t>
      </w:r>
      <w:r w:rsidRPr="006112AD">
        <w:rPr>
          <w:rFonts w:ascii="Calibri" w:hAnsi="Calibri" w:cs="Calibri"/>
          <w:i w:val="0"/>
          <w:sz w:val="20"/>
          <w:szCs w:val="20"/>
          <w:u w:val="none"/>
        </w:rPr>
        <w:t>compared between cohorts using the Mann–Whitney U test. Independent-samples t-tests were used only to obtain descriptive statistics (mean and SD).</w:t>
      </w:r>
      <w:r w:rsidR="0099040A">
        <w:rPr>
          <w:rFonts w:ascii="Calibri" w:hAnsi="Calibri" w:cs="Calibri"/>
          <w:i w:val="0"/>
          <w:sz w:val="20"/>
          <w:szCs w:val="20"/>
          <w:u w:val="none"/>
        </w:rPr>
        <w:t xml:space="preserve"> </w:t>
      </w:r>
      <w:r w:rsidRPr="006112AD">
        <w:rPr>
          <w:rFonts w:ascii="Calibri" w:hAnsi="Calibri" w:cs="Calibri"/>
          <w:i w:val="0"/>
          <w:sz w:val="20"/>
          <w:szCs w:val="20"/>
          <w:u w:val="none"/>
        </w:rPr>
        <w:t>PC data followed a normal distribution. Equality of variances was first assessed with Levene’s test, after which means were compared using</w:t>
      </w:r>
      <w:r w:rsidR="00DC602B">
        <w:rPr>
          <w:rFonts w:ascii="Calibri" w:hAnsi="Calibri" w:cs="Calibri"/>
          <w:i w:val="0"/>
          <w:sz w:val="20"/>
          <w:szCs w:val="20"/>
          <w:u w:val="none"/>
        </w:rPr>
        <w:t xml:space="preserve"> the</w:t>
      </w:r>
      <w:r w:rsidRPr="006112AD">
        <w:rPr>
          <w:rFonts w:ascii="Calibri" w:hAnsi="Calibri" w:cs="Calibri"/>
          <w:i w:val="0"/>
          <w:sz w:val="20"/>
          <w:szCs w:val="20"/>
          <w:u w:val="none"/>
        </w:rPr>
        <w:t xml:space="preserve"> independent-samples t-test. A significance threshold of p &lt; 0.05 was applied throughout.</w:t>
      </w:r>
    </w:p>
    <w:p w14:paraId="22F11452" w14:textId="09DC3BBF" w:rsidR="0098772B" w:rsidRPr="006112AD" w:rsidRDefault="0098772B" w:rsidP="006112AD">
      <w:pPr>
        <w:pStyle w:val="Heading3"/>
        <w:numPr>
          <w:ilvl w:val="1"/>
          <w:numId w:val="38"/>
        </w:numPr>
        <w:spacing w:after="0" w:line="240" w:lineRule="auto"/>
        <w:rPr>
          <w:rFonts w:ascii="Calibri" w:hAnsi="Calibri" w:cs="Calibri"/>
          <w:iCs/>
          <w:sz w:val="20"/>
          <w:szCs w:val="20"/>
        </w:rPr>
      </w:pPr>
      <w:bookmarkStart w:id="91" w:name="_Toc198372559"/>
      <w:bookmarkStart w:id="92" w:name="_Toc199078006"/>
      <w:r w:rsidRPr="006112AD">
        <w:rPr>
          <w:rFonts w:ascii="Calibri" w:hAnsi="Calibri" w:cs="Calibri"/>
          <w:iCs/>
          <w:sz w:val="20"/>
          <w:szCs w:val="20"/>
        </w:rPr>
        <w:t>Statistical Process Control</w:t>
      </w:r>
      <w:bookmarkEnd w:id="91"/>
      <w:bookmarkEnd w:id="92"/>
      <w:r w:rsidRPr="006112AD">
        <w:rPr>
          <w:rFonts w:ascii="Calibri" w:hAnsi="Calibri" w:cs="Calibri"/>
          <w:iCs/>
          <w:sz w:val="20"/>
          <w:szCs w:val="20"/>
        </w:rPr>
        <w:t xml:space="preserve"> </w:t>
      </w:r>
    </w:p>
    <w:p w14:paraId="334150B9" w14:textId="6973A248" w:rsidR="00B7310D" w:rsidRPr="006112AD" w:rsidRDefault="00BC2143" w:rsidP="00B7310D">
      <w:pPr>
        <w:spacing w:line="240" w:lineRule="auto"/>
        <w:jc w:val="both"/>
        <w:rPr>
          <w:rFonts w:ascii="Calibri" w:eastAsiaTheme="majorEastAsia" w:hAnsi="Calibri" w:cs="Calibri"/>
          <w:iCs/>
          <w:sz w:val="20"/>
          <w:szCs w:val="20"/>
        </w:rPr>
      </w:pPr>
      <w:r w:rsidRPr="00BC2143">
        <w:rPr>
          <w:rFonts w:ascii="Calibri" w:eastAsiaTheme="majorEastAsia" w:hAnsi="Calibri" w:cs="Calibri"/>
          <w:iCs/>
          <w:sz w:val="20"/>
          <w:szCs w:val="20"/>
        </w:rPr>
        <w:t>In addition to statistical analyses, statistical process control (SPC) was applied to assess whether the holding time procedure was stable and within control. SPC monitors variation in a process over time and identifies deviations requiring corrective action, thereby ensuring consistent product quality.</w:t>
      </w:r>
      <w:r w:rsidR="005D3B2E">
        <w:rPr>
          <w:rFonts w:ascii="Calibri" w:eastAsiaTheme="majorEastAsia" w:hAnsi="Calibri" w:cs="Calibri"/>
          <w:iCs/>
          <w:sz w:val="20"/>
          <w:szCs w:val="20"/>
        </w:rPr>
        <w:t xml:space="preserve"> </w:t>
      </w:r>
      <w:r w:rsidRPr="00BC2143">
        <w:rPr>
          <w:rFonts w:ascii="Calibri" w:eastAsiaTheme="majorEastAsia" w:hAnsi="Calibri" w:cs="Calibri"/>
          <w:iCs/>
          <w:sz w:val="20"/>
          <w:szCs w:val="20"/>
        </w:rPr>
        <w:t>Parameters were assigned levels of criticality according to process capability, with classification based on the potential impact on product efficacy and patient safety</w:t>
      </w:r>
      <w:r w:rsidR="00B7310D">
        <w:rPr>
          <w:rFonts w:ascii="Calibri" w:eastAsiaTheme="majorEastAsia" w:hAnsi="Calibri" w:cs="Calibri"/>
          <w:iCs/>
          <w:sz w:val="20"/>
          <w:szCs w:val="20"/>
        </w:rPr>
        <w:t xml:space="preserve"> </w:t>
      </w:r>
      <w:r w:rsidR="00B7310D" w:rsidRPr="00BC2143">
        <w:rPr>
          <w:rFonts w:ascii="Calibri" w:eastAsiaTheme="majorEastAsia" w:hAnsi="Calibri" w:cs="Calibri"/>
          <w:iCs/>
          <w:sz w:val="20"/>
          <w:szCs w:val="20"/>
        </w:rPr>
        <w:t>(Figure 2)</w:t>
      </w:r>
      <w:r w:rsidRPr="00BC2143">
        <w:rPr>
          <w:rFonts w:ascii="Calibri" w:eastAsiaTheme="majorEastAsia" w:hAnsi="Calibri" w:cs="Calibri"/>
          <w:iCs/>
          <w:sz w:val="20"/>
          <w:szCs w:val="20"/>
        </w:rPr>
        <w:t xml:space="preserve">. The process capability index was then calculated to determine whether the </w:t>
      </w:r>
      <w:r w:rsidRPr="00BC2143">
        <w:rPr>
          <w:rFonts w:ascii="Calibri" w:eastAsiaTheme="majorEastAsia" w:hAnsi="Calibri" w:cs="Calibri"/>
          <w:iCs/>
          <w:sz w:val="20"/>
          <w:szCs w:val="20"/>
        </w:rPr>
        <w:lastRenderedPageBreak/>
        <w:t>procedure was capable, borderline, or incapable</w:t>
      </w:r>
      <w:r w:rsidR="00B7310D">
        <w:rPr>
          <w:rFonts w:ascii="Calibri" w:eastAsiaTheme="majorEastAsia" w:hAnsi="Calibri" w:cs="Calibri"/>
          <w:iCs/>
          <w:sz w:val="20"/>
          <w:szCs w:val="20"/>
        </w:rPr>
        <w:t xml:space="preserve">. </w:t>
      </w:r>
      <w:r w:rsidR="00B7310D" w:rsidRPr="006112AD">
        <w:rPr>
          <w:rFonts w:ascii="Calibri" w:eastAsiaTheme="majorEastAsia" w:hAnsi="Calibri" w:cs="Calibri"/>
          <w:iCs/>
          <w:sz w:val="20"/>
          <w:szCs w:val="20"/>
        </w:rPr>
        <w:t>Process capability was evaluated using the process capability index (</w:t>
      </w:r>
      <w:proofErr w:type="spellStart"/>
      <w:r w:rsidR="00B7310D" w:rsidRPr="006112AD">
        <w:rPr>
          <w:rFonts w:ascii="Calibri" w:eastAsiaTheme="majorEastAsia" w:hAnsi="Calibri" w:cs="Calibri"/>
          <w:iCs/>
          <w:sz w:val="20"/>
          <w:szCs w:val="20"/>
        </w:rPr>
        <w:t>Cpk</w:t>
      </w:r>
      <w:proofErr w:type="spellEnd"/>
      <w:r w:rsidR="00B7310D" w:rsidRPr="006112AD">
        <w:rPr>
          <w:rFonts w:ascii="Calibri" w:eastAsiaTheme="majorEastAsia" w:hAnsi="Calibri" w:cs="Calibri"/>
          <w:iCs/>
          <w:sz w:val="20"/>
          <w:szCs w:val="20"/>
        </w:rPr>
        <w:t>)</w:t>
      </w:r>
      <w:r w:rsidR="00B7310D">
        <w:rPr>
          <w:rFonts w:ascii="Calibri" w:eastAsiaTheme="majorEastAsia" w:hAnsi="Calibri" w:cs="Calibri"/>
          <w:iCs/>
          <w:sz w:val="20"/>
          <w:szCs w:val="20"/>
        </w:rPr>
        <w:t xml:space="preserve"> since RLC and PC are</w:t>
      </w:r>
      <w:r w:rsidR="00B7310D" w:rsidRPr="006112AD">
        <w:rPr>
          <w:rFonts w:ascii="Calibri" w:eastAsiaTheme="majorEastAsia" w:hAnsi="Calibri" w:cs="Calibri"/>
          <w:iCs/>
          <w:sz w:val="20"/>
          <w:szCs w:val="20"/>
        </w:rPr>
        <w:t xml:space="preserve"> one-sided parameters</w:t>
      </w:r>
      <w:r w:rsidR="00B7310D">
        <w:rPr>
          <w:rFonts w:ascii="Calibri" w:eastAsiaTheme="majorEastAsia" w:hAnsi="Calibri" w:cs="Calibri"/>
          <w:iCs/>
          <w:sz w:val="20"/>
          <w:szCs w:val="20"/>
        </w:rPr>
        <w:t xml:space="preserve"> (only an upper or lower limit)</w:t>
      </w:r>
      <w:r w:rsidR="00B7310D" w:rsidRPr="006112AD">
        <w:rPr>
          <w:rFonts w:ascii="Calibri" w:eastAsiaTheme="majorEastAsia" w:hAnsi="Calibri" w:cs="Calibri"/>
          <w:iCs/>
          <w:sz w:val="20"/>
          <w:szCs w:val="20"/>
        </w:rPr>
        <w:t xml:space="preserve">. The relationship between </w:t>
      </w:r>
      <w:proofErr w:type="spellStart"/>
      <w:r w:rsidR="00B7310D" w:rsidRPr="006112AD">
        <w:rPr>
          <w:rFonts w:ascii="Calibri" w:eastAsiaTheme="majorEastAsia" w:hAnsi="Calibri" w:cs="Calibri"/>
          <w:iCs/>
          <w:sz w:val="20"/>
          <w:szCs w:val="20"/>
        </w:rPr>
        <w:t>Cpk</w:t>
      </w:r>
      <w:proofErr w:type="spellEnd"/>
      <w:r w:rsidR="00B7310D" w:rsidRPr="006112AD">
        <w:rPr>
          <w:rFonts w:ascii="Calibri" w:eastAsiaTheme="majorEastAsia" w:hAnsi="Calibri" w:cs="Calibri"/>
          <w:iCs/>
          <w:sz w:val="20"/>
          <w:szCs w:val="20"/>
        </w:rPr>
        <w:t xml:space="preserve"> values, parameter criticality, and SPC outcomes is presented in Table 1.</w:t>
      </w:r>
    </w:p>
    <w:p w14:paraId="57097A69" w14:textId="6BC28B4B" w:rsidR="00BC2143" w:rsidRDefault="00BC2143" w:rsidP="006112AD">
      <w:pPr>
        <w:spacing w:after="0" w:line="240" w:lineRule="auto"/>
        <w:jc w:val="both"/>
        <w:rPr>
          <w:rFonts w:ascii="Calibri" w:eastAsiaTheme="majorEastAsia" w:hAnsi="Calibri" w:cs="Calibri"/>
          <w:iCs/>
          <w:sz w:val="20"/>
          <w:szCs w:val="20"/>
        </w:rPr>
      </w:pPr>
      <w:r w:rsidRPr="00BC2143">
        <w:rPr>
          <w:rFonts w:ascii="Calibri" w:eastAsiaTheme="majorEastAsia" w:hAnsi="Calibri" w:cs="Calibri"/>
          <w:iCs/>
          <w:sz w:val="20"/>
          <w:szCs w:val="20"/>
        </w:rPr>
        <w:t xml:space="preserve"> </w:t>
      </w:r>
    </w:p>
    <w:p w14:paraId="34855D13" w14:textId="77777777" w:rsidR="005D3B2E" w:rsidRPr="00BC2143" w:rsidRDefault="005D3B2E" w:rsidP="006112AD">
      <w:pPr>
        <w:spacing w:after="0" w:line="240" w:lineRule="auto"/>
        <w:jc w:val="both"/>
        <w:rPr>
          <w:rFonts w:ascii="Calibri" w:eastAsiaTheme="majorEastAsia" w:hAnsi="Calibri" w:cs="Calibri"/>
          <w:iCs/>
          <w:sz w:val="20"/>
          <w:szCs w:val="20"/>
        </w:rPr>
      </w:pPr>
    </w:p>
    <w:p w14:paraId="40DD5063" w14:textId="77777777" w:rsidR="0098772B" w:rsidRPr="006112AD" w:rsidRDefault="0098772B" w:rsidP="006112AD">
      <w:pPr>
        <w:spacing w:line="240" w:lineRule="auto"/>
        <w:jc w:val="center"/>
        <w:rPr>
          <w:rFonts w:ascii="Calibri" w:eastAsiaTheme="majorEastAsia" w:hAnsi="Calibri" w:cs="Calibri"/>
          <w:iCs/>
          <w:sz w:val="20"/>
          <w:szCs w:val="20"/>
        </w:rPr>
      </w:pPr>
      <w:r w:rsidRPr="006112AD">
        <w:rPr>
          <w:rFonts w:ascii="Calibri" w:hAnsi="Calibri" w:cs="Calibri"/>
          <w:noProof/>
          <w:sz w:val="20"/>
          <w:szCs w:val="20"/>
        </w:rPr>
        <w:drawing>
          <wp:inline distT="0" distB="0" distL="0" distR="0" wp14:anchorId="431055A7" wp14:editId="11D56AD2">
            <wp:extent cx="2824851" cy="3329940"/>
            <wp:effectExtent l="0" t="0" r="0" b="3810"/>
            <wp:docPr id="1558558908" name="Picture 1" descr="A flowch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558908" name="Picture 1" descr="A flowchart with black text&#10;&#10;AI-generated content may be incorrect."/>
                    <pic:cNvPicPr/>
                  </pic:nvPicPr>
                  <pic:blipFill rotWithShape="1">
                    <a:blip r:embed="rId9"/>
                    <a:srcRect t="1953" b="898"/>
                    <a:stretch/>
                  </pic:blipFill>
                  <pic:spPr bwMode="auto">
                    <a:xfrm>
                      <a:off x="0" y="0"/>
                      <a:ext cx="2958739" cy="3487767"/>
                    </a:xfrm>
                    <a:prstGeom prst="rect">
                      <a:avLst/>
                    </a:prstGeom>
                    <a:ln>
                      <a:noFill/>
                    </a:ln>
                    <a:extLst>
                      <a:ext uri="{53640926-AAD7-44D8-BBD7-CCE9431645EC}">
                        <a14:shadowObscured xmlns:a14="http://schemas.microsoft.com/office/drawing/2010/main"/>
                      </a:ext>
                    </a:extLst>
                  </pic:spPr>
                </pic:pic>
              </a:graphicData>
            </a:graphic>
          </wp:inline>
        </w:drawing>
      </w:r>
    </w:p>
    <w:p w14:paraId="0561BFE2" w14:textId="4DC624DD" w:rsidR="0098772B" w:rsidRPr="006112AD" w:rsidRDefault="0098772B" w:rsidP="006112AD">
      <w:pPr>
        <w:pStyle w:val="ListParagraph"/>
        <w:spacing w:line="240" w:lineRule="auto"/>
        <w:ind w:left="0"/>
        <w:jc w:val="center"/>
        <w:rPr>
          <w:rFonts w:ascii="Calibri" w:eastAsiaTheme="majorEastAsia" w:hAnsi="Calibri" w:cs="Calibri"/>
          <w:b/>
          <w:bCs/>
          <w:iCs/>
          <w:sz w:val="20"/>
          <w:szCs w:val="20"/>
        </w:rPr>
      </w:pPr>
      <w:bookmarkStart w:id="93" w:name="_Toc198711471"/>
      <w:bookmarkStart w:id="94" w:name="_Hlk198378019"/>
      <w:r w:rsidRPr="006112AD">
        <w:rPr>
          <w:rStyle w:val="FigureHeadingChar"/>
          <w:rFonts w:ascii="Calibri" w:hAnsi="Calibri" w:cs="Calibri"/>
          <w:sz w:val="20"/>
          <w:szCs w:val="20"/>
        </w:rPr>
        <w:t>Figure 2: Criticality classification</w:t>
      </w:r>
      <w:bookmarkEnd w:id="93"/>
      <w:r w:rsidRPr="006112AD">
        <w:rPr>
          <w:rFonts w:ascii="Calibri" w:eastAsiaTheme="majorEastAsia" w:hAnsi="Calibri" w:cs="Calibri"/>
          <w:b/>
          <w:bCs/>
          <w:iCs/>
          <w:sz w:val="20"/>
          <w:szCs w:val="20"/>
        </w:rPr>
        <w:t xml:space="preserve"> </w:t>
      </w:r>
      <w:bookmarkEnd w:id="94"/>
      <w:r w:rsidRPr="006112AD">
        <w:rPr>
          <w:rFonts w:ascii="Calibri" w:eastAsiaTheme="majorEastAsia" w:hAnsi="Calibri" w:cs="Calibri"/>
          <w:iCs/>
          <w:sz w:val="20"/>
          <w:szCs w:val="20"/>
        </w:rPr>
        <w:t>(Adapted from Beckman et al.</w:t>
      </w:r>
      <w:r w:rsidR="00040157">
        <w:rPr>
          <w:rFonts w:ascii="Calibri" w:eastAsiaTheme="majorEastAsia" w:hAnsi="Calibri" w:cs="Calibri"/>
          <w:iCs/>
          <w:sz w:val="20"/>
          <w:szCs w:val="20"/>
        </w:rPr>
        <w:fldChar w:fldCharType="begin"/>
      </w:r>
      <w:r w:rsidR="00040157">
        <w:rPr>
          <w:rFonts w:ascii="Calibri" w:eastAsiaTheme="majorEastAsia" w:hAnsi="Calibri" w:cs="Calibri"/>
          <w:iCs/>
          <w:sz w:val="20"/>
          <w:szCs w:val="20"/>
        </w:rPr>
        <w:instrText xml:space="preserve"> ADDIN ZOTERO_ITEM CSL_CITATION {"citationID":"s259SlDd","properties":{"formattedCitation":"(7)","plainCitation":"(7)","noteIndex":0},"citationItems":[{"id":5488,"uris":["http://zotero.org/users/3782744/items/XPP7R8S8"],"itemData":{"id":5488,"type":"article-journal","abstract":"Legislation, guidelines and recommendations for blood components related to statistical process control (SPC) and the selection of a quality monitoring (QM) sampling regimen are subject to misinterpretation and lack practical guidance on implementation. The aim of this article is: to review and interpret applicable European legislation and guidelines and to develop an SPC strategy that meets these requirements; and to provide practical guidance on the selection and application of appropriate techniques and the interpretation of resultant blood component QM data. A methodology is presented which utilizes: an algorithm to select an appropriate quality-monitoring strategy for the blood component parameter under consideration; a range of straightforward, validated SPC techniques for variable data and an assessment of process capability (Cpk) and blood component parameter 'criticality' to determine the sampling regimen. The methodology was applied to routine National Health Service Blood and Transplant (NHSBT) blood component data for 2005-2006. Cpk values ranged from 0.22 to &gt;3 and their predicted non-conformance rates were close to those observed (23 to &lt;0.001%). Required sample size ranged from 0.01 to 10%. Chosen techniques identified significant deviation from 'as validated' performance within an appropriate time-scale. Thus the methodology was straightforward to apply and prompted the choice of a clinically and operationally appropriate sampling regimen and analysis for each blood component parameter. This evidence-based, targeted use of SPC for blood component monitoring provides an essential focus on processes with a low capability in achieving their specifications.","container-title":"Transfusion Medicine (Oxford, England)","DOI":"10.1111/j.1365-3148.2009.00942.x","ISSN":"1365-3148","issue":"6","journalAbbreviation":"Transfus Med","language":"eng","note":"PMID: 19761545","page":"329-339","source":"PubMed","title":"Practical guidelines for applying statistical process control to blood component production","volume":"19","author":[{"family":"Beckman","given":"N."},{"family":"Nightingale","given":"M. J."},{"family":"Pamphilon","given":"D."}],"issued":{"date-parts":[["2009",12]]}}}],"schema":"https://github.com/citation-style-language/schema/raw/master/csl-citation.json"} </w:instrText>
      </w:r>
      <w:r w:rsidR="00040157">
        <w:rPr>
          <w:rFonts w:ascii="Calibri" w:eastAsiaTheme="majorEastAsia" w:hAnsi="Calibri" w:cs="Calibri"/>
          <w:iCs/>
          <w:sz w:val="20"/>
          <w:szCs w:val="20"/>
        </w:rPr>
        <w:fldChar w:fldCharType="separate"/>
      </w:r>
      <w:r w:rsidR="00040157" w:rsidRPr="00040157">
        <w:rPr>
          <w:rFonts w:ascii="Calibri" w:hAnsi="Calibri" w:cs="Calibri"/>
          <w:sz w:val="20"/>
        </w:rPr>
        <w:t>(7)</w:t>
      </w:r>
      <w:r w:rsidR="00040157">
        <w:rPr>
          <w:rFonts w:ascii="Calibri" w:eastAsiaTheme="majorEastAsia" w:hAnsi="Calibri" w:cs="Calibri"/>
          <w:iCs/>
          <w:sz w:val="20"/>
          <w:szCs w:val="20"/>
        </w:rPr>
        <w:fldChar w:fldCharType="end"/>
      </w:r>
      <w:r w:rsidRPr="006112AD">
        <w:rPr>
          <w:rFonts w:ascii="Calibri" w:eastAsiaTheme="majorEastAsia" w:hAnsi="Calibri" w:cs="Calibri"/>
          <w:iCs/>
          <w:sz w:val="20"/>
          <w:szCs w:val="20"/>
        </w:rPr>
        <w:t>)</w:t>
      </w:r>
    </w:p>
    <w:p w14:paraId="113DEF9D" w14:textId="77777777" w:rsidR="00521069" w:rsidRDefault="00521069" w:rsidP="006112AD">
      <w:pPr>
        <w:spacing w:after="0" w:line="240" w:lineRule="auto"/>
        <w:jc w:val="both"/>
        <w:rPr>
          <w:rFonts w:ascii="Calibri" w:eastAsiaTheme="majorEastAsia" w:hAnsi="Calibri" w:cs="Calibri"/>
          <w:iCs/>
          <w:sz w:val="20"/>
          <w:szCs w:val="20"/>
        </w:rPr>
      </w:pPr>
    </w:p>
    <w:p w14:paraId="013A9B24" w14:textId="77777777" w:rsidR="005178DA" w:rsidRDefault="005178DA" w:rsidP="006112AD">
      <w:pPr>
        <w:spacing w:after="0" w:line="240" w:lineRule="auto"/>
        <w:jc w:val="both"/>
        <w:rPr>
          <w:rFonts w:ascii="Calibri" w:eastAsiaTheme="majorEastAsia" w:hAnsi="Calibri" w:cs="Calibri"/>
          <w:iCs/>
          <w:sz w:val="20"/>
          <w:szCs w:val="20"/>
        </w:rPr>
      </w:pPr>
    </w:p>
    <w:p w14:paraId="7CA0C9D2" w14:textId="77777777" w:rsidR="005178DA" w:rsidRDefault="005178DA" w:rsidP="006112AD">
      <w:pPr>
        <w:spacing w:after="0" w:line="240" w:lineRule="auto"/>
        <w:jc w:val="both"/>
        <w:rPr>
          <w:rFonts w:ascii="Calibri" w:eastAsiaTheme="majorEastAsia" w:hAnsi="Calibri" w:cs="Calibri"/>
          <w:iCs/>
          <w:sz w:val="20"/>
          <w:szCs w:val="20"/>
        </w:rPr>
      </w:pPr>
    </w:p>
    <w:p w14:paraId="561A08E4" w14:textId="77777777" w:rsidR="005178DA" w:rsidRDefault="005178DA" w:rsidP="006112AD">
      <w:pPr>
        <w:spacing w:after="0" w:line="240" w:lineRule="auto"/>
        <w:jc w:val="both"/>
        <w:rPr>
          <w:rFonts w:ascii="Calibri" w:eastAsiaTheme="majorEastAsia" w:hAnsi="Calibri" w:cs="Calibri"/>
          <w:iCs/>
          <w:sz w:val="20"/>
          <w:szCs w:val="20"/>
        </w:rPr>
      </w:pPr>
    </w:p>
    <w:p w14:paraId="15EAED11" w14:textId="77777777" w:rsidR="005178DA" w:rsidRDefault="005178DA" w:rsidP="006112AD">
      <w:pPr>
        <w:spacing w:after="0" w:line="240" w:lineRule="auto"/>
        <w:jc w:val="both"/>
        <w:rPr>
          <w:rFonts w:ascii="Calibri" w:eastAsiaTheme="majorEastAsia" w:hAnsi="Calibri" w:cs="Calibri"/>
          <w:iCs/>
          <w:sz w:val="20"/>
          <w:szCs w:val="20"/>
        </w:rPr>
      </w:pPr>
    </w:p>
    <w:p w14:paraId="11C462E7" w14:textId="77777777" w:rsidR="005178DA" w:rsidRDefault="005178DA" w:rsidP="006112AD">
      <w:pPr>
        <w:spacing w:after="0" w:line="240" w:lineRule="auto"/>
        <w:jc w:val="both"/>
        <w:rPr>
          <w:rFonts w:ascii="Calibri" w:eastAsiaTheme="majorEastAsia" w:hAnsi="Calibri" w:cs="Calibri"/>
          <w:iCs/>
          <w:sz w:val="20"/>
          <w:szCs w:val="20"/>
        </w:rPr>
      </w:pPr>
    </w:p>
    <w:p w14:paraId="7257B24A" w14:textId="77777777" w:rsidR="005178DA" w:rsidRDefault="005178DA" w:rsidP="006112AD">
      <w:pPr>
        <w:spacing w:after="0" w:line="240" w:lineRule="auto"/>
        <w:jc w:val="both"/>
        <w:rPr>
          <w:rFonts w:ascii="Calibri" w:eastAsiaTheme="majorEastAsia" w:hAnsi="Calibri" w:cs="Calibri"/>
          <w:iCs/>
          <w:sz w:val="20"/>
          <w:szCs w:val="20"/>
        </w:rPr>
      </w:pPr>
    </w:p>
    <w:p w14:paraId="45EE3453" w14:textId="77777777" w:rsidR="005178DA" w:rsidRDefault="005178DA" w:rsidP="006112AD">
      <w:pPr>
        <w:spacing w:after="0" w:line="240" w:lineRule="auto"/>
        <w:jc w:val="both"/>
        <w:rPr>
          <w:rFonts w:ascii="Calibri" w:eastAsiaTheme="majorEastAsia" w:hAnsi="Calibri" w:cs="Calibri"/>
          <w:iCs/>
          <w:sz w:val="20"/>
          <w:szCs w:val="20"/>
        </w:rPr>
      </w:pPr>
    </w:p>
    <w:p w14:paraId="5055A5EF" w14:textId="77777777" w:rsidR="005178DA" w:rsidRDefault="005178DA" w:rsidP="006112AD">
      <w:pPr>
        <w:spacing w:after="0" w:line="240" w:lineRule="auto"/>
        <w:jc w:val="both"/>
        <w:rPr>
          <w:rFonts w:ascii="Calibri" w:eastAsiaTheme="majorEastAsia" w:hAnsi="Calibri" w:cs="Calibri"/>
          <w:iCs/>
          <w:sz w:val="20"/>
          <w:szCs w:val="20"/>
        </w:rPr>
      </w:pPr>
    </w:p>
    <w:p w14:paraId="0CB5FC8D" w14:textId="77777777" w:rsidR="005178DA" w:rsidRPr="006112AD" w:rsidRDefault="005178DA" w:rsidP="006112AD">
      <w:pPr>
        <w:spacing w:after="0" w:line="240" w:lineRule="auto"/>
        <w:jc w:val="both"/>
        <w:rPr>
          <w:rFonts w:ascii="Calibri" w:eastAsiaTheme="majorEastAsia" w:hAnsi="Calibri" w:cs="Calibri"/>
          <w:iCs/>
          <w:sz w:val="20"/>
          <w:szCs w:val="20"/>
        </w:rPr>
      </w:pPr>
    </w:p>
    <w:p w14:paraId="6750E384" w14:textId="7C134B1E" w:rsidR="0098772B" w:rsidRPr="006112AD" w:rsidRDefault="0098772B" w:rsidP="006112AD">
      <w:pPr>
        <w:pStyle w:val="ListParagraph"/>
        <w:spacing w:line="240" w:lineRule="auto"/>
        <w:ind w:left="360"/>
        <w:jc w:val="center"/>
        <w:rPr>
          <w:rFonts w:ascii="Calibri" w:eastAsiaTheme="majorEastAsia" w:hAnsi="Calibri" w:cs="Calibri"/>
          <w:b/>
          <w:bCs/>
          <w:iCs/>
          <w:sz w:val="20"/>
          <w:szCs w:val="20"/>
        </w:rPr>
      </w:pPr>
      <w:bookmarkStart w:id="95" w:name="_Toc198711780"/>
      <w:bookmarkStart w:id="96" w:name="_Hlk198378033"/>
      <w:r w:rsidRPr="006112AD">
        <w:rPr>
          <w:rStyle w:val="TableHeadingChar"/>
          <w:rFonts w:ascii="Calibri" w:hAnsi="Calibri" w:cs="Calibri"/>
          <w:sz w:val="20"/>
          <w:szCs w:val="20"/>
        </w:rPr>
        <w:t xml:space="preserve">Table 1: Determining </w:t>
      </w:r>
      <w:proofErr w:type="spellStart"/>
      <w:r w:rsidRPr="006112AD">
        <w:rPr>
          <w:rStyle w:val="TableHeadingChar"/>
          <w:rFonts w:ascii="Calibri" w:hAnsi="Calibri" w:cs="Calibri"/>
          <w:sz w:val="20"/>
          <w:szCs w:val="20"/>
        </w:rPr>
        <w:t>Cpk</w:t>
      </w:r>
      <w:proofErr w:type="spellEnd"/>
      <w:r w:rsidRPr="006112AD">
        <w:rPr>
          <w:rStyle w:val="TableHeadingChar"/>
          <w:rFonts w:ascii="Calibri" w:hAnsi="Calibri" w:cs="Calibri"/>
          <w:sz w:val="20"/>
          <w:szCs w:val="20"/>
        </w:rPr>
        <w:t xml:space="preserve"> Bandings from Criticality and </w:t>
      </w:r>
      <w:proofErr w:type="spellStart"/>
      <w:r w:rsidRPr="006112AD">
        <w:rPr>
          <w:rStyle w:val="TableHeadingChar"/>
          <w:rFonts w:ascii="Calibri" w:hAnsi="Calibri" w:cs="Calibri"/>
          <w:sz w:val="20"/>
          <w:szCs w:val="20"/>
        </w:rPr>
        <w:t>Cpk</w:t>
      </w:r>
      <w:proofErr w:type="spellEnd"/>
      <w:r w:rsidRPr="006112AD">
        <w:rPr>
          <w:rStyle w:val="TableHeadingChar"/>
          <w:rFonts w:ascii="Calibri" w:hAnsi="Calibri" w:cs="Calibri"/>
          <w:sz w:val="20"/>
          <w:szCs w:val="20"/>
        </w:rPr>
        <w:t xml:space="preserve"> Measurements</w:t>
      </w:r>
      <w:bookmarkEnd w:id="95"/>
      <w:r w:rsidRPr="006112AD">
        <w:rPr>
          <w:rFonts w:ascii="Calibri" w:eastAsiaTheme="majorEastAsia" w:hAnsi="Calibri" w:cs="Calibri"/>
          <w:b/>
          <w:bCs/>
          <w:iCs/>
          <w:sz w:val="20"/>
          <w:szCs w:val="20"/>
        </w:rPr>
        <w:t xml:space="preserve"> </w:t>
      </w:r>
      <w:bookmarkEnd w:id="96"/>
      <w:r w:rsidRPr="006112AD">
        <w:rPr>
          <w:rFonts w:ascii="Calibri" w:eastAsiaTheme="majorEastAsia" w:hAnsi="Calibri" w:cs="Calibri"/>
          <w:iCs/>
          <w:sz w:val="20"/>
          <w:szCs w:val="20"/>
        </w:rPr>
        <w:t>(Ad</w:t>
      </w:r>
      <w:r w:rsidR="006D423E" w:rsidRPr="006112AD">
        <w:rPr>
          <w:rFonts w:ascii="Calibri" w:eastAsiaTheme="majorEastAsia" w:hAnsi="Calibri" w:cs="Calibri"/>
          <w:iCs/>
          <w:sz w:val="20"/>
          <w:szCs w:val="20"/>
        </w:rPr>
        <w:t>o</w:t>
      </w:r>
      <w:r w:rsidRPr="006112AD">
        <w:rPr>
          <w:rFonts w:ascii="Calibri" w:eastAsiaTheme="majorEastAsia" w:hAnsi="Calibri" w:cs="Calibri"/>
          <w:iCs/>
          <w:sz w:val="20"/>
          <w:szCs w:val="20"/>
        </w:rPr>
        <w:t>pted from Beckman</w:t>
      </w:r>
      <w:r w:rsidR="00040157">
        <w:rPr>
          <w:rFonts w:ascii="Calibri" w:eastAsiaTheme="majorEastAsia" w:hAnsi="Calibri" w:cs="Calibri"/>
          <w:iCs/>
          <w:sz w:val="20"/>
          <w:szCs w:val="20"/>
        </w:rPr>
        <w:fldChar w:fldCharType="begin"/>
      </w:r>
      <w:r w:rsidR="00040157">
        <w:rPr>
          <w:rFonts w:ascii="Calibri" w:eastAsiaTheme="majorEastAsia" w:hAnsi="Calibri" w:cs="Calibri"/>
          <w:iCs/>
          <w:sz w:val="20"/>
          <w:szCs w:val="20"/>
        </w:rPr>
        <w:instrText xml:space="preserve"> ADDIN ZOTERO_ITEM CSL_CITATION {"citationID":"nJ1SOBxG","properties":{"formattedCitation":"(7)","plainCitation":"(7)","noteIndex":0},"citationItems":[{"id":5488,"uris":["http://zotero.org/users/3782744/items/XPP7R8S8"],"itemData":{"id":5488,"type":"article-journal","abstract":"Legislation, guidelines and recommendations for blood components related to statistical process control (SPC) and the selection of a quality monitoring (QM) sampling regimen are subject to misinterpretation and lack practical guidance on implementation. The aim of this article is: to review and interpret applicable European legislation and guidelines and to develop an SPC strategy that meets these requirements; and to provide practical guidance on the selection and application of appropriate techniques and the interpretation of resultant blood component QM data. A methodology is presented which utilizes: an algorithm to select an appropriate quality-monitoring strategy for the blood component parameter under consideration; a range of straightforward, validated SPC techniques for variable data and an assessment of process capability (Cpk) and blood component parameter 'criticality' to determine the sampling regimen. The methodology was applied to routine National Health Service Blood and Transplant (NHSBT) blood component data for 2005-2006. Cpk values ranged from 0.22 to &gt;3 and their predicted non-conformance rates were close to those observed (23 to &lt;0.001%). Required sample size ranged from 0.01 to 10%. Chosen techniques identified significant deviation from 'as validated' performance within an appropriate time-scale. Thus the methodology was straightforward to apply and prompted the choice of a clinically and operationally appropriate sampling regimen and analysis for each blood component parameter. This evidence-based, targeted use of SPC for blood component monitoring provides an essential focus on processes with a low capability in achieving their specifications.","container-title":"Transfusion Medicine (Oxford, England)","DOI":"10.1111/j.1365-3148.2009.00942.x","ISSN":"1365-3148","issue":"6","journalAbbreviation":"Transfus Med","language":"eng","note":"PMID: 19761545","page":"329-339","source":"PubMed","title":"Practical guidelines for applying statistical process control to blood component production","volume":"19","author":[{"family":"Beckman","given":"N."},{"family":"Nightingale","given":"M. J."},{"family":"Pamphilon","given":"D."}],"issued":{"date-parts":[["2009",12]]}}}],"schema":"https://github.com/citation-style-language/schema/raw/master/csl-citation.json"} </w:instrText>
      </w:r>
      <w:r w:rsidR="00040157">
        <w:rPr>
          <w:rFonts w:ascii="Calibri" w:eastAsiaTheme="majorEastAsia" w:hAnsi="Calibri" w:cs="Calibri"/>
          <w:iCs/>
          <w:sz w:val="20"/>
          <w:szCs w:val="20"/>
        </w:rPr>
        <w:fldChar w:fldCharType="separate"/>
      </w:r>
      <w:r w:rsidR="00040157" w:rsidRPr="00040157">
        <w:rPr>
          <w:rFonts w:ascii="Calibri" w:hAnsi="Calibri" w:cs="Calibri"/>
          <w:sz w:val="20"/>
        </w:rPr>
        <w:t>(7)</w:t>
      </w:r>
      <w:r w:rsidR="00040157">
        <w:rPr>
          <w:rFonts w:ascii="Calibri" w:eastAsiaTheme="majorEastAsia" w:hAnsi="Calibri" w:cs="Calibri"/>
          <w:iCs/>
          <w:sz w:val="20"/>
          <w:szCs w:val="20"/>
        </w:rPr>
        <w:fldChar w:fldCharType="end"/>
      </w:r>
      <w:r w:rsidRPr="006112AD">
        <w:rPr>
          <w:rFonts w:ascii="Calibri" w:eastAsiaTheme="majorEastAsia" w:hAnsi="Calibri" w:cs="Calibri"/>
          <w:iCs/>
          <w:sz w:val="20"/>
          <w:szCs w:val="20"/>
        </w:rPr>
        <w:t>)</w:t>
      </w:r>
    </w:p>
    <w:tbl>
      <w:tblPr>
        <w:tblStyle w:val="TableGrid"/>
        <w:tblW w:w="8970" w:type="dxa"/>
        <w:jc w:val="center"/>
        <w:tblLayout w:type="fixed"/>
        <w:tblLook w:val="04A0" w:firstRow="1" w:lastRow="0" w:firstColumn="1" w:lastColumn="0" w:noHBand="0" w:noVBand="1"/>
      </w:tblPr>
      <w:tblGrid>
        <w:gridCol w:w="1349"/>
        <w:gridCol w:w="1082"/>
        <w:gridCol w:w="1087"/>
        <w:gridCol w:w="1086"/>
        <w:gridCol w:w="1094"/>
        <w:gridCol w:w="1091"/>
        <w:gridCol w:w="1086"/>
        <w:gridCol w:w="1095"/>
      </w:tblGrid>
      <w:tr w:rsidR="0098772B" w:rsidRPr="006112AD" w14:paraId="72F118BC" w14:textId="77777777" w:rsidTr="00521069">
        <w:trPr>
          <w:trHeight w:val="533"/>
          <w:jc w:val="center"/>
        </w:trPr>
        <w:tc>
          <w:tcPr>
            <w:tcW w:w="1349" w:type="dxa"/>
            <w:vAlign w:val="center"/>
          </w:tcPr>
          <w:p w14:paraId="2535283B" w14:textId="77777777" w:rsidR="0098772B" w:rsidRPr="006112AD" w:rsidRDefault="0098772B" w:rsidP="006112AD">
            <w:pPr>
              <w:pStyle w:val="ListParagraph"/>
              <w:ind w:left="0"/>
              <w:jc w:val="center"/>
              <w:rPr>
                <w:rFonts w:ascii="Calibri" w:eastAsiaTheme="majorEastAsia" w:hAnsi="Calibri" w:cs="Calibri"/>
                <w:b/>
                <w:bCs/>
                <w:iCs/>
                <w:sz w:val="20"/>
                <w:szCs w:val="20"/>
              </w:rPr>
            </w:pPr>
            <w:r w:rsidRPr="006112AD">
              <w:rPr>
                <w:rFonts w:ascii="Calibri" w:eastAsiaTheme="majorEastAsia" w:hAnsi="Calibri" w:cs="Calibri"/>
                <w:b/>
                <w:bCs/>
                <w:iCs/>
                <w:sz w:val="20"/>
                <w:szCs w:val="20"/>
              </w:rPr>
              <w:t>Specification type</w:t>
            </w:r>
          </w:p>
        </w:tc>
        <w:tc>
          <w:tcPr>
            <w:tcW w:w="7621" w:type="dxa"/>
            <w:gridSpan w:val="7"/>
            <w:vAlign w:val="center"/>
          </w:tcPr>
          <w:p w14:paraId="03551AC8" w14:textId="77777777" w:rsidR="0098772B" w:rsidRPr="006112AD" w:rsidRDefault="0098772B" w:rsidP="006112AD">
            <w:pPr>
              <w:pStyle w:val="ListParagraph"/>
              <w:ind w:left="0"/>
              <w:jc w:val="center"/>
              <w:rPr>
                <w:rFonts w:ascii="Calibri" w:eastAsiaTheme="majorEastAsia" w:hAnsi="Calibri" w:cs="Calibri"/>
                <w:b/>
                <w:bCs/>
                <w:iCs/>
                <w:sz w:val="20"/>
                <w:szCs w:val="20"/>
              </w:rPr>
            </w:pPr>
            <w:proofErr w:type="spellStart"/>
            <w:r w:rsidRPr="006112AD">
              <w:rPr>
                <w:rFonts w:ascii="Calibri" w:eastAsiaTheme="majorEastAsia" w:hAnsi="Calibri" w:cs="Calibri"/>
                <w:b/>
                <w:bCs/>
                <w:iCs/>
                <w:sz w:val="20"/>
                <w:szCs w:val="20"/>
              </w:rPr>
              <w:t>Cpk</w:t>
            </w:r>
            <w:proofErr w:type="spellEnd"/>
            <w:r w:rsidRPr="006112AD">
              <w:rPr>
                <w:rFonts w:ascii="Calibri" w:eastAsiaTheme="majorEastAsia" w:hAnsi="Calibri" w:cs="Calibri"/>
                <w:b/>
                <w:bCs/>
                <w:iCs/>
                <w:sz w:val="20"/>
                <w:szCs w:val="20"/>
              </w:rPr>
              <w:t xml:space="preserve"> values</w:t>
            </w:r>
          </w:p>
        </w:tc>
      </w:tr>
      <w:tr w:rsidR="0098772B" w:rsidRPr="006112AD" w14:paraId="2E5F9CBC" w14:textId="77777777" w:rsidTr="00521069">
        <w:trPr>
          <w:trHeight w:val="533"/>
          <w:jc w:val="center"/>
        </w:trPr>
        <w:tc>
          <w:tcPr>
            <w:tcW w:w="1349" w:type="dxa"/>
            <w:vAlign w:val="center"/>
          </w:tcPr>
          <w:p w14:paraId="264ED957" w14:textId="77777777" w:rsidR="0098772B" w:rsidRPr="006112AD" w:rsidRDefault="0098772B" w:rsidP="006112AD">
            <w:pPr>
              <w:pStyle w:val="ListParagraph"/>
              <w:ind w:left="0"/>
              <w:jc w:val="center"/>
              <w:rPr>
                <w:rFonts w:ascii="Calibri" w:eastAsiaTheme="majorEastAsia" w:hAnsi="Calibri" w:cs="Calibri"/>
                <w:b/>
                <w:bCs/>
                <w:iCs/>
                <w:sz w:val="20"/>
                <w:szCs w:val="20"/>
              </w:rPr>
            </w:pPr>
            <w:r w:rsidRPr="006112AD">
              <w:rPr>
                <w:rFonts w:ascii="Calibri" w:eastAsiaTheme="majorEastAsia" w:hAnsi="Calibri" w:cs="Calibri"/>
                <w:b/>
                <w:bCs/>
                <w:iCs/>
                <w:sz w:val="20"/>
                <w:szCs w:val="20"/>
              </w:rPr>
              <w:t>Two sided</w:t>
            </w:r>
          </w:p>
        </w:tc>
        <w:tc>
          <w:tcPr>
            <w:tcW w:w="1082" w:type="dxa"/>
            <w:vAlign w:val="center"/>
          </w:tcPr>
          <w:p w14:paraId="39F49E85"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&gt;1.47</w:t>
            </w:r>
          </w:p>
        </w:tc>
        <w:tc>
          <w:tcPr>
            <w:tcW w:w="1087" w:type="dxa"/>
            <w:vAlign w:val="center"/>
          </w:tcPr>
          <w:p w14:paraId="78722BD4"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1.30 - 1.46</w:t>
            </w:r>
          </w:p>
        </w:tc>
        <w:tc>
          <w:tcPr>
            <w:tcW w:w="1086" w:type="dxa"/>
            <w:vAlign w:val="center"/>
          </w:tcPr>
          <w:p w14:paraId="4F086A36"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1.10 – 1.29</w:t>
            </w:r>
          </w:p>
        </w:tc>
        <w:tc>
          <w:tcPr>
            <w:tcW w:w="1094" w:type="dxa"/>
            <w:vAlign w:val="center"/>
          </w:tcPr>
          <w:p w14:paraId="10DF7FBF"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0.86 – 1.09</w:t>
            </w:r>
          </w:p>
        </w:tc>
        <w:tc>
          <w:tcPr>
            <w:tcW w:w="1091" w:type="dxa"/>
            <w:vAlign w:val="center"/>
          </w:tcPr>
          <w:p w14:paraId="69348BF7"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0.54 – 0.85</w:t>
            </w:r>
          </w:p>
        </w:tc>
        <w:tc>
          <w:tcPr>
            <w:tcW w:w="1086" w:type="dxa"/>
            <w:vAlign w:val="center"/>
          </w:tcPr>
          <w:p w14:paraId="1FEA6ACF"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0.39 – 0.53</w:t>
            </w:r>
          </w:p>
        </w:tc>
        <w:tc>
          <w:tcPr>
            <w:tcW w:w="1095" w:type="dxa"/>
            <w:vAlign w:val="center"/>
          </w:tcPr>
          <w:p w14:paraId="7F104623"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&lt;0.39</w:t>
            </w:r>
          </w:p>
        </w:tc>
      </w:tr>
      <w:tr w:rsidR="0098772B" w:rsidRPr="006112AD" w14:paraId="515FFBB8" w14:textId="77777777" w:rsidTr="00521069">
        <w:trPr>
          <w:trHeight w:val="533"/>
          <w:jc w:val="center"/>
        </w:trPr>
        <w:tc>
          <w:tcPr>
            <w:tcW w:w="1349" w:type="dxa"/>
            <w:vAlign w:val="center"/>
          </w:tcPr>
          <w:p w14:paraId="250CA10E" w14:textId="77777777" w:rsidR="0098772B" w:rsidRPr="006112AD" w:rsidRDefault="0098772B" w:rsidP="006112AD">
            <w:pPr>
              <w:pStyle w:val="ListParagraph"/>
              <w:ind w:left="0"/>
              <w:jc w:val="center"/>
              <w:rPr>
                <w:rFonts w:ascii="Calibri" w:eastAsiaTheme="majorEastAsia" w:hAnsi="Calibri" w:cs="Calibri"/>
                <w:b/>
                <w:bCs/>
                <w:iCs/>
                <w:sz w:val="20"/>
                <w:szCs w:val="20"/>
              </w:rPr>
            </w:pPr>
            <w:r w:rsidRPr="006112AD">
              <w:rPr>
                <w:rFonts w:ascii="Calibri" w:eastAsiaTheme="majorEastAsia" w:hAnsi="Calibri" w:cs="Calibri"/>
                <w:b/>
                <w:bCs/>
                <w:iCs/>
                <w:sz w:val="20"/>
                <w:szCs w:val="20"/>
              </w:rPr>
              <w:t>One sided</w:t>
            </w:r>
          </w:p>
        </w:tc>
        <w:tc>
          <w:tcPr>
            <w:tcW w:w="1082" w:type="dxa"/>
            <w:vAlign w:val="center"/>
          </w:tcPr>
          <w:p w14:paraId="708B57DF"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&gt;1.40</w:t>
            </w:r>
          </w:p>
        </w:tc>
        <w:tc>
          <w:tcPr>
            <w:tcW w:w="1087" w:type="dxa"/>
            <w:vAlign w:val="center"/>
          </w:tcPr>
          <w:p w14:paraId="2CB6F249"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1.23 – 1.39</w:t>
            </w:r>
          </w:p>
        </w:tc>
        <w:tc>
          <w:tcPr>
            <w:tcW w:w="1086" w:type="dxa"/>
            <w:vAlign w:val="center"/>
          </w:tcPr>
          <w:p w14:paraId="0179A022"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1.03 – 1.22</w:t>
            </w:r>
          </w:p>
        </w:tc>
        <w:tc>
          <w:tcPr>
            <w:tcW w:w="1094" w:type="dxa"/>
            <w:vAlign w:val="center"/>
          </w:tcPr>
          <w:p w14:paraId="3200E203"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0.77 – 1.02</w:t>
            </w:r>
          </w:p>
        </w:tc>
        <w:tc>
          <w:tcPr>
            <w:tcW w:w="1091" w:type="dxa"/>
            <w:vAlign w:val="center"/>
          </w:tcPr>
          <w:p w14:paraId="66EB66A1"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0.43 – 0.76</w:t>
            </w:r>
          </w:p>
        </w:tc>
        <w:tc>
          <w:tcPr>
            <w:tcW w:w="1086" w:type="dxa"/>
            <w:vAlign w:val="center"/>
          </w:tcPr>
          <w:p w14:paraId="6FCD1626"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0.21 – 0.42</w:t>
            </w:r>
          </w:p>
        </w:tc>
        <w:tc>
          <w:tcPr>
            <w:tcW w:w="1095" w:type="dxa"/>
            <w:vAlign w:val="center"/>
          </w:tcPr>
          <w:p w14:paraId="29D7A84B"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&lt;0.21</w:t>
            </w:r>
          </w:p>
        </w:tc>
      </w:tr>
      <w:tr w:rsidR="0098772B" w:rsidRPr="006112AD" w14:paraId="17C52754" w14:textId="77777777" w:rsidTr="00521069">
        <w:trPr>
          <w:trHeight w:val="533"/>
          <w:jc w:val="center"/>
        </w:trPr>
        <w:tc>
          <w:tcPr>
            <w:tcW w:w="1349" w:type="dxa"/>
            <w:vAlign w:val="center"/>
          </w:tcPr>
          <w:p w14:paraId="6A489DB4" w14:textId="77777777" w:rsidR="0098772B" w:rsidRPr="006112AD" w:rsidRDefault="0098772B" w:rsidP="006112AD">
            <w:pPr>
              <w:pStyle w:val="ListParagraph"/>
              <w:ind w:left="0"/>
              <w:jc w:val="center"/>
              <w:rPr>
                <w:rFonts w:ascii="Calibri" w:eastAsiaTheme="majorEastAsia" w:hAnsi="Calibri" w:cs="Calibri"/>
                <w:b/>
                <w:bCs/>
                <w:iCs/>
                <w:sz w:val="20"/>
                <w:szCs w:val="20"/>
              </w:rPr>
            </w:pPr>
            <w:r w:rsidRPr="006112AD">
              <w:rPr>
                <w:rFonts w:ascii="Calibri" w:eastAsiaTheme="majorEastAsia" w:hAnsi="Calibri" w:cs="Calibri"/>
                <w:b/>
                <w:bCs/>
                <w:iCs/>
                <w:sz w:val="20"/>
                <w:szCs w:val="20"/>
              </w:rPr>
              <w:t>Parameter criticality</w:t>
            </w:r>
          </w:p>
        </w:tc>
        <w:tc>
          <w:tcPr>
            <w:tcW w:w="7621" w:type="dxa"/>
            <w:gridSpan w:val="7"/>
            <w:vAlign w:val="center"/>
          </w:tcPr>
          <w:p w14:paraId="7ED6F6C0" w14:textId="77777777" w:rsidR="0098772B" w:rsidRPr="006112AD" w:rsidRDefault="0098772B" w:rsidP="006112AD">
            <w:pPr>
              <w:pStyle w:val="ListParagraph"/>
              <w:ind w:left="0"/>
              <w:jc w:val="center"/>
              <w:rPr>
                <w:rFonts w:ascii="Calibri" w:eastAsiaTheme="majorEastAsia" w:hAnsi="Calibri" w:cs="Calibri"/>
                <w:b/>
                <w:bCs/>
                <w:iCs/>
                <w:sz w:val="20"/>
                <w:szCs w:val="20"/>
              </w:rPr>
            </w:pPr>
            <w:proofErr w:type="spellStart"/>
            <w:r w:rsidRPr="006112AD">
              <w:rPr>
                <w:rFonts w:ascii="Calibri" w:eastAsiaTheme="majorEastAsia" w:hAnsi="Calibri" w:cs="Calibri"/>
                <w:b/>
                <w:bCs/>
                <w:iCs/>
                <w:sz w:val="20"/>
                <w:szCs w:val="20"/>
              </w:rPr>
              <w:t>Cpk</w:t>
            </w:r>
            <w:proofErr w:type="spellEnd"/>
            <w:r w:rsidRPr="006112AD">
              <w:rPr>
                <w:rFonts w:ascii="Calibri" w:eastAsiaTheme="majorEastAsia" w:hAnsi="Calibri" w:cs="Calibri"/>
                <w:b/>
                <w:bCs/>
                <w:iCs/>
                <w:sz w:val="20"/>
                <w:szCs w:val="20"/>
              </w:rPr>
              <w:t xml:space="preserve"> banding</w:t>
            </w:r>
          </w:p>
        </w:tc>
      </w:tr>
      <w:tr w:rsidR="0098772B" w:rsidRPr="006112AD" w14:paraId="44D03EDD" w14:textId="77777777" w:rsidTr="00521069">
        <w:trPr>
          <w:trHeight w:val="295"/>
          <w:jc w:val="center"/>
        </w:trPr>
        <w:tc>
          <w:tcPr>
            <w:tcW w:w="1349" w:type="dxa"/>
            <w:vAlign w:val="center"/>
          </w:tcPr>
          <w:p w14:paraId="0182737F" w14:textId="77777777" w:rsidR="0098772B" w:rsidRPr="006112AD" w:rsidRDefault="0098772B" w:rsidP="006112AD">
            <w:pPr>
              <w:pStyle w:val="ListParagraph"/>
              <w:ind w:left="0"/>
              <w:jc w:val="center"/>
              <w:rPr>
                <w:rFonts w:ascii="Calibri" w:eastAsiaTheme="majorEastAsia" w:hAnsi="Calibri" w:cs="Calibri"/>
                <w:b/>
                <w:bCs/>
                <w:iCs/>
                <w:sz w:val="20"/>
                <w:szCs w:val="20"/>
              </w:rPr>
            </w:pPr>
            <w:r w:rsidRPr="006112AD">
              <w:rPr>
                <w:rFonts w:ascii="Calibri" w:eastAsiaTheme="majorEastAsia" w:hAnsi="Calibri" w:cs="Calibri"/>
                <w:b/>
                <w:bCs/>
                <w:iCs/>
                <w:sz w:val="20"/>
                <w:szCs w:val="20"/>
              </w:rPr>
              <w:t>High</w:t>
            </w:r>
          </w:p>
        </w:tc>
        <w:tc>
          <w:tcPr>
            <w:tcW w:w="2169" w:type="dxa"/>
            <w:gridSpan w:val="2"/>
            <w:vAlign w:val="center"/>
          </w:tcPr>
          <w:p w14:paraId="04958889"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Capable</w:t>
            </w:r>
          </w:p>
        </w:tc>
        <w:tc>
          <w:tcPr>
            <w:tcW w:w="1086" w:type="dxa"/>
            <w:vAlign w:val="center"/>
          </w:tcPr>
          <w:p w14:paraId="77A3A87D"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Borderline</w:t>
            </w:r>
          </w:p>
        </w:tc>
        <w:tc>
          <w:tcPr>
            <w:tcW w:w="4366" w:type="dxa"/>
            <w:gridSpan w:val="4"/>
            <w:vAlign w:val="center"/>
          </w:tcPr>
          <w:p w14:paraId="5C83BC00"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Incapable</w:t>
            </w:r>
          </w:p>
        </w:tc>
      </w:tr>
      <w:tr w:rsidR="0098772B" w:rsidRPr="006112AD" w14:paraId="32662BCD" w14:textId="77777777" w:rsidTr="00521069">
        <w:trPr>
          <w:trHeight w:val="295"/>
          <w:jc w:val="center"/>
        </w:trPr>
        <w:tc>
          <w:tcPr>
            <w:tcW w:w="1349" w:type="dxa"/>
            <w:vAlign w:val="center"/>
          </w:tcPr>
          <w:p w14:paraId="04088F96" w14:textId="77777777" w:rsidR="0098772B" w:rsidRPr="006112AD" w:rsidRDefault="0098772B" w:rsidP="006112AD">
            <w:pPr>
              <w:pStyle w:val="ListParagraph"/>
              <w:ind w:left="0"/>
              <w:jc w:val="center"/>
              <w:rPr>
                <w:rFonts w:ascii="Calibri" w:eastAsiaTheme="majorEastAsia" w:hAnsi="Calibri" w:cs="Calibri"/>
                <w:b/>
                <w:bCs/>
                <w:iCs/>
                <w:sz w:val="20"/>
                <w:szCs w:val="20"/>
              </w:rPr>
            </w:pPr>
            <w:r w:rsidRPr="006112AD">
              <w:rPr>
                <w:rFonts w:ascii="Calibri" w:eastAsiaTheme="majorEastAsia" w:hAnsi="Calibri" w:cs="Calibri"/>
                <w:b/>
                <w:bCs/>
                <w:iCs/>
                <w:sz w:val="20"/>
                <w:szCs w:val="20"/>
              </w:rPr>
              <w:t>Medium</w:t>
            </w:r>
          </w:p>
        </w:tc>
        <w:tc>
          <w:tcPr>
            <w:tcW w:w="4349" w:type="dxa"/>
            <w:gridSpan w:val="4"/>
            <w:vAlign w:val="center"/>
          </w:tcPr>
          <w:p w14:paraId="5779252A"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Capable</w:t>
            </w:r>
          </w:p>
        </w:tc>
        <w:tc>
          <w:tcPr>
            <w:tcW w:w="1091" w:type="dxa"/>
            <w:vAlign w:val="center"/>
          </w:tcPr>
          <w:p w14:paraId="5D939486"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Borderline</w:t>
            </w:r>
          </w:p>
        </w:tc>
        <w:tc>
          <w:tcPr>
            <w:tcW w:w="2181" w:type="dxa"/>
            <w:gridSpan w:val="2"/>
            <w:vAlign w:val="center"/>
          </w:tcPr>
          <w:p w14:paraId="01B5B179"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Incapable</w:t>
            </w:r>
          </w:p>
        </w:tc>
      </w:tr>
      <w:tr w:rsidR="0098772B" w:rsidRPr="006112AD" w14:paraId="6C183352" w14:textId="77777777" w:rsidTr="00521069">
        <w:trPr>
          <w:trHeight w:val="295"/>
          <w:jc w:val="center"/>
        </w:trPr>
        <w:tc>
          <w:tcPr>
            <w:tcW w:w="1349" w:type="dxa"/>
            <w:vAlign w:val="center"/>
          </w:tcPr>
          <w:p w14:paraId="14AB1DD6" w14:textId="77777777" w:rsidR="0098772B" w:rsidRPr="006112AD" w:rsidRDefault="0098772B" w:rsidP="006112AD">
            <w:pPr>
              <w:pStyle w:val="ListParagraph"/>
              <w:ind w:left="0"/>
              <w:jc w:val="center"/>
              <w:rPr>
                <w:rFonts w:ascii="Calibri" w:eastAsiaTheme="majorEastAsia" w:hAnsi="Calibri" w:cs="Calibri"/>
                <w:b/>
                <w:bCs/>
                <w:iCs/>
                <w:sz w:val="20"/>
                <w:szCs w:val="20"/>
              </w:rPr>
            </w:pPr>
            <w:r w:rsidRPr="006112AD">
              <w:rPr>
                <w:rFonts w:ascii="Calibri" w:eastAsiaTheme="majorEastAsia" w:hAnsi="Calibri" w:cs="Calibri"/>
                <w:b/>
                <w:bCs/>
                <w:iCs/>
                <w:sz w:val="20"/>
                <w:szCs w:val="20"/>
              </w:rPr>
              <w:t>Low</w:t>
            </w:r>
          </w:p>
        </w:tc>
        <w:tc>
          <w:tcPr>
            <w:tcW w:w="5440" w:type="dxa"/>
            <w:gridSpan w:val="5"/>
            <w:vAlign w:val="center"/>
          </w:tcPr>
          <w:p w14:paraId="03A4545E"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Capable</w:t>
            </w:r>
          </w:p>
        </w:tc>
        <w:tc>
          <w:tcPr>
            <w:tcW w:w="1086" w:type="dxa"/>
            <w:vAlign w:val="center"/>
          </w:tcPr>
          <w:p w14:paraId="52454169"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Borderline</w:t>
            </w:r>
          </w:p>
        </w:tc>
        <w:tc>
          <w:tcPr>
            <w:tcW w:w="1095" w:type="dxa"/>
            <w:vAlign w:val="center"/>
          </w:tcPr>
          <w:p w14:paraId="45EB39E0" w14:textId="77777777" w:rsidR="0098772B" w:rsidRPr="006112AD" w:rsidRDefault="0098772B" w:rsidP="006112AD">
            <w:pPr>
              <w:pStyle w:val="ListParagraph"/>
              <w:ind w:left="0"/>
              <w:jc w:val="center"/>
              <w:rPr>
                <w:rFonts w:ascii="Calibri" w:eastAsiaTheme="majorEastAsia" w:hAnsi="Calibri" w:cs="Calibri"/>
                <w:iCs/>
                <w:sz w:val="20"/>
                <w:szCs w:val="20"/>
              </w:rPr>
            </w:pPr>
            <w:r w:rsidRPr="006112AD">
              <w:rPr>
                <w:rFonts w:ascii="Calibri" w:eastAsiaTheme="majorEastAsia" w:hAnsi="Calibri" w:cs="Calibri"/>
                <w:iCs/>
                <w:sz w:val="20"/>
                <w:szCs w:val="20"/>
              </w:rPr>
              <w:t>Incapable</w:t>
            </w:r>
          </w:p>
        </w:tc>
      </w:tr>
    </w:tbl>
    <w:p w14:paraId="4E177D77" w14:textId="77777777" w:rsidR="00227E39" w:rsidRDefault="00227E39" w:rsidP="006112AD">
      <w:pPr>
        <w:spacing w:line="240" w:lineRule="auto"/>
        <w:rPr>
          <w:rFonts w:ascii="Calibri" w:hAnsi="Calibri" w:cs="Calibri"/>
          <w:sz w:val="20"/>
          <w:szCs w:val="20"/>
        </w:rPr>
      </w:pPr>
    </w:p>
    <w:p w14:paraId="0DA740AF" w14:textId="77777777" w:rsidR="00075317" w:rsidRPr="006112AD" w:rsidRDefault="00075317" w:rsidP="006112AD">
      <w:pPr>
        <w:spacing w:line="240" w:lineRule="auto"/>
        <w:rPr>
          <w:rFonts w:ascii="Calibri" w:hAnsi="Calibri" w:cs="Calibri"/>
          <w:sz w:val="20"/>
          <w:szCs w:val="20"/>
        </w:rPr>
      </w:pPr>
    </w:p>
    <w:p w14:paraId="53AABACA" w14:textId="77777777" w:rsidR="0002494C" w:rsidRDefault="0098772B" w:rsidP="0002494C">
      <w:pPr>
        <w:pStyle w:val="ListParagraph"/>
        <w:numPr>
          <w:ilvl w:val="0"/>
          <w:numId w:val="38"/>
        </w:numPr>
        <w:spacing w:line="240" w:lineRule="auto"/>
        <w:rPr>
          <w:rFonts w:ascii="Calibri" w:hAnsi="Calibri" w:cs="Calibri"/>
          <w:b/>
          <w:bCs/>
          <w:sz w:val="20"/>
          <w:szCs w:val="20"/>
        </w:rPr>
      </w:pPr>
      <w:bookmarkStart w:id="97" w:name="_Toc199078008"/>
      <w:r w:rsidRPr="0002494C">
        <w:rPr>
          <w:rFonts w:ascii="Calibri" w:hAnsi="Calibri" w:cs="Calibri"/>
          <w:b/>
          <w:bCs/>
          <w:sz w:val="20"/>
          <w:szCs w:val="20"/>
        </w:rPr>
        <w:lastRenderedPageBreak/>
        <w:t>Results</w:t>
      </w:r>
      <w:bookmarkEnd w:id="97"/>
    </w:p>
    <w:p w14:paraId="5542FAA9" w14:textId="1201D916" w:rsidR="00FC5954" w:rsidRPr="0002494C" w:rsidRDefault="00FC5954" w:rsidP="00227E39">
      <w:pPr>
        <w:spacing w:line="240" w:lineRule="auto"/>
        <w:jc w:val="both"/>
        <w:rPr>
          <w:rFonts w:ascii="Calibri" w:hAnsi="Calibri" w:cs="Calibri"/>
          <w:b/>
          <w:bCs/>
          <w:sz w:val="20"/>
          <w:szCs w:val="20"/>
        </w:rPr>
      </w:pPr>
      <w:r w:rsidRPr="0002494C">
        <w:rPr>
          <w:rFonts w:ascii="Calibri" w:hAnsi="Calibri" w:cs="Calibri"/>
          <w:sz w:val="20"/>
          <w:szCs w:val="20"/>
        </w:rPr>
        <w:t>Data were organized by parameter and holding time. Each holding time cohort—SHT</w:t>
      </w:r>
      <w:r w:rsidR="0002494C">
        <w:rPr>
          <w:rFonts w:ascii="Calibri" w:hAnsi="Calibri" w:cs="Calibri"/>
          <w:sz w:val="20"/>
          <w:szCs w:val="20"/>
        </w:rPr>
        <w:t xml:space="preserve"> </w:t>
      </w:r>
      <w:r w:rsidRPr="0002494C">
        <w:rPr>
          <w:rFonts w:ascii="Calibri" w:hAnsi="Calibri" w:cs="Calibri"/>
          <w:sz w:val="20"/>
          <w:szCs w:val="20"/>
        </w:rPr>
        <w:t xml:space="preserve">and LHT—consisted of 100 FFP units. The parameters assessed were plasma volume, RLC, and PC, resulting in six groups: SHT volume, LHT volume, SHT RLC, LHT RLC, SHT PC, and LHT PC. </w:t>
      </w:r>
    </w:p>
    <w:p w14:paraId="05970648" w14:textId="77777777" w:rsidR="00FC5954" w:rsidRDefault="00FC5954" w:rsidP="00227E39">
      <w:pPr>
        <w:pStyle w:val="Heading2"/>
        <w:spacing w:after="0" w:line="240" w:lineRule="auto"/>
        <w:jc w:val="both"/>
        <w:rPr>
          <w:rFonts w:ascii="Calibri" w:hAnsi="Calibri" w:cs="Calibri"/>
          <w:i w:val="0"/>
          <w:sz w:val="20"/>
          <w:szCs w:val="20"/>
          <w:u w:val="none"/>
        </w:rPr>
      </w:pPr>
      <w:r w:rsidRPr="006112AD">
        <w:rPr>
          <w:rFonts w:ascii="Calibri" w:hAnsi="Calibri" w:cs="Calibri"/>
          <w:i w:val="0"/>
          <w:sz w:val="20"/>
          <w:szCs w:val="20"/>
          <w:u w:val="none"/>
        </w:rPr>
        <w:t>Normality of the distributions was evaluated using the Shapiro–Wilk test, which is appropriate for sample sizes under 300, such as those in this study.</w:t>
      </w:r>
    </w:p>
    <w:p w14:paraId="575658E7" w14:textId="77777777" w:rsidR="00540767" w:rsidRPr="00540767" w:rsidRDefault="00540767" w:rsidP="00227E39">
      <w:pPr>
        <w:jc w:val="both"/>
      </w:pPr>
    </w:p>
    <w:p w14:paraId="0B0EBB7E" w14:textId="38DE6B13" w:rsidR="00521069" w:rsidRPr="00540767" w:rsidRDefault="0098772B" w:rsidP="006112AD">
      <w:pPr>
        <w:pStyle w:val="Heading2"/>
        <w:numPr>
          <w:ilvl w:val="1"/>
          <w:numId w:val="38"/>
        </w:numPr>
        <w:spacing w:after="0" w:line="240" w:lineRule="auto"/>
        <w:rPr>
          <w:rFonts w:ascii="Calibri" w:hAnsi="Calibri" w:cs="Calibri"/>
          <w:i w:val="0"/>
          <w:sz w:val="20"/>
          <w:szCs w:val="20"/>
        </w:rPr>
      </w:pPr>
      <w:bookmarkStart w:id="98" w:name="_Toc198372562"/>
      <w:bookmarkStart w:id="99" w:name="_Toc199078010"/>
      <w:r w:rsidRPr="00540767">
        <w:rPr>
          <w:rFonts w:ascii="Calibri" w:hAnsi="Calibri" w:cs="Calibri"/>
          <w:i w:val="0"/>
          <w:sz w:val="20"/>
          <w:szCs w:val="20"/>
          <w:u w:val="none"/>
        </w:rPr>
        <w:t>Volume</w:t>
      </w:r>
      <w:bookmarkEnd w:id="98"/>
      <w:bookmarkEnd w:id="99"/>
    </w:p>
    <w:p w14:paraId="1392DD1F" w14:textId="6E376AEE" w:rsidR="0098772B" w:rsidRPr="006112AD" w:rsidRDefault="0098772B" w:rsidP="006112AD">
      <w:pPr>
        <w:spacing w:line="240" w:lineRule="auto"/>
        <w:jc w:val="both"/>
        <w:rPr>
          <w:rFonts w:ascii="Calibri" w:eastAsiaTheme="majorEastAsia" w:hAnsi="Calibri" w:cs="Calibri"/>
          <w:iCs/>
          <w:sz w:val="20"/>
          <w:szCs w:val="20"/>
        </w:rPr>
      </w:pPr>
      <w:r w:rsidRPr="006112AD">
        <w:rPr>
          <w:rFonts w:ascii="Calibri" w:eastAsiaTheme="majorEastAsia" w:hAnsi="Calibri" w:cs="Calibri"/>
          <w:iCs/>
          <w:sz w:val="20"/>
          <w:szCs w:val="20"/>
        </w:rPr>
        <w:t xml:space="preserve">The mean volume between the two holding time cohorts was calculated and compared. </w:t>
      </w:r>
      <w:r w:rsidRPr="006112AD">
        <w:rPr>
          <w:rFonts w:ascii="Calibri" w:hAnsi="Calibri" w:cs="Calibri"/>
          <w:iCs/>
          <w:sz w:val="20"/>
          <w:szCs w:val="20"/>
        </w:rPr>
        <w:t xml:space="preserve">As </w:t>
      </w:r>
      <w:r w:rsidR="00745129" w:rsidRPr="006112AD">
        <w:rPr>
          <w:rFonts w:ascii="Calibri" w:hAnsi="Calibri" w:cs="Calibri"/>
          <w:iCs/>
          <w:sz w:val="20"/>
          <w:szCs w:val="20"/>
        </w:rPr>
        <w:t xml:space="preserve">shown </w:t>
      </w:r>
      <w:r w:rsidRPr="006112AD">
        <w:rPr>
          <w:rFonts w:ascii="Calibri" w:hAnsi="Calibri" w:cs="Calibri"/>
          <w:iCs/>
          <w:sz w:val="20"/>
          <w:szCs w:val="20"/>
        </w:rPr>
        <w:t xml:space="preserve">in Table </w:t>
      </w:r>
      <w:r w:rsidR="00745129" w:rsidRPr="006112AD">
        <w:rPr>
          <w:rFonts w:ascii="Calibri" w:hAnsi="Calibri" w:cs="Calibri"/>
          <w:iCs/>
          <w:sz w:val="20"/>
          <w:szCs w:val="20"/>
        </w:rPr>
        <w:t>2</w:t>
      </w:r>
      <w:r w:rsidRPr="006112AD">
        <w:rPr>
          <w:rFonts w:ascii="Calibri" w:hAnsi="Calibri" w:cs="Calibri"/>
          <w:iCs/>
          <w:sz w:val="20"/>
          <w:szCs w:val="20"/>
        </w:rPr>
        <w:t xml:space="preserve"> the SHT cohort had a lower mean unit volume of 276ml, whilst that of the LHT cohort was 283ml, with a difference of 7ml.</w:t>
      </w:r>
    </w:p>
    <w:p w14:paraId="0439978D" w14:textId="4D9C566D" w:rsidR="0098772B" w:rsidRPr="006112AD" w:rsidRDefault="0098772B" w:rsidP="006112AD">
      <w:pPr>
        <w:pStyle w:val="TableHeading"/>
        <w:spacing w:line="240" w:lineRule="auto"/>
        <w:rPr>
          <w:rFonts w:ascii="Calibri" w:hAnsi="Calibri" w:cs="Calibri"/>
          <w:sz w:val="20"/>
          <w:szCs w:val="20"/>
        </w:rPr>
      </w:pPr>
      <w:bookmarkStart w:id="100" w:name="_Toc198711781"/>
      <w:bookmarkStart w:id="101" w:name="_Hlk198378191"/>
      <w:r w:rsidRPr="006112AD">
        <w:rPr>
          <w:rFonts w:ascii="Calibri" w:hAnsi="Calibri" w:cs="Calibri"/>
          <w:sz w:val="20"/>
          <w:szCs w:val="20"/>
        </w:rPr>
        <w:t>Table</w:t>
      </w:r>
      <w:r w:rsidR="00745129" w:rsidRPr="006112AD">
        <w:rPr>
          <w:rFonts w:ascii="Calibri" w:hAnsi="Calibri" w:cs="Calibri"/>
          <w:sz w:val="20"/>
          <w:szCs w:val="20"/>
        </w:rPr>
        <w:t xml:space="preserve"> 2</w:t>
      </w:r>
      <w:r w:rsidRPr="006112AD">
        <w:rPr>
          <w:rFonts w:ascii="Calibri" w:hAnsi="Calibri" w:cs="Calibri"/>
          <w:sz w:val="20"/>
          <w:szCs w:val="20"/>
        </w:rPr>
        <w:t>: Mean volumes and Standard Deviation</w:t>
      </w:r>
      <w:bookmarkEnd w:id="100"/>
    </w:p>
    <w:bookmarkEnd w:id="101"/>
    <w:p w14:paraId="7B17D223" w14:textId="42C33932" w:rsidR="0098772B" w:rsidRPr="006112AD" w:rsidRDefault="0098772B" w:rsidP="006112AD">
      <w:pPr>
        <w:spacing w:line="240" w:lineRule="auto"/>
        <w:jc w:val="center"/>
        <w:rPr>
          <w:rFonts w:ascii="Calibri" w:eastAsiaTheme="majorEastAsia" w:hAnsi="Calibri" w:cs="Calibri"/>
          <w:iCs/>
          <w:sz w:val="20"/>
          <w:szCs w:val="20"/>
        </w:rPr>
      </w:pPr>
      <w:r w:rsidRPr="006112AD">
        <w:rPr>
          <w:rFonts w:ascii="Calibri" w:eastAsiaTheme="majorEastAsia" w:hAnsi="Calibri" w:cs="Calibri"/>
          <w:iCs/>
          <w:sz w:val="20"/>
          <w:szCs w:val="20"/>
        </w:rPr>
        <w:t>Legend: FFP - Fresh frozen plasma, SHT - short holding time, LHT - long holding time.</w:t>
      </w:r>
    </w:p>
    <w:tbl>
      <w:tblPr>
        <w:tblStyle w:val="TableGrid"/>
        <w:tblW w:w="901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38"/>
        <w:gridCol w:w="1237"/>
        <w:gridCol w:w="3337"/>
        <w:gridCol w:w="3203"/>
      </w:tblGrid>
      <w:tr w:rsidR="0098772B" w:rsidRPr="006112AD" w14:paraId="3EBFE75E" w14:textId="77777777" w:rsidTr="00DB7A2B">
        <w:trPr>
          <w:trHeight w:val="333"/>
        </w:trPr>
        <w:tc>
          <w:tcPr>
            <w:tcW w:w="1238" w:type="dxa"/>
            <w:vAlign w:val="center"/>
          </w:tcPr>
          <w:p w14:paraId="5BE570B7" w14:textId="77777777" w:rsidR="0098772B" w:rsidRPr="006112AD" w:rsidRDefault="0098772B" w:rsidP="006112AD">
            <w:pPr>
              <w:jc w:val="center"/>
              <w:rPr>
                <w:rFonts w:ascii="Calibri" w:hAnsi="Calibri" w:cs="Calibri"/>
                <w:iCs/>
                <w:sz w:val="20"/>
                <w:szCs w:val="20"/>
              </w:rPr>
            </w:pPr>
          </w:p>
        </w:tc>
        <w:tc>
          <w:tcPr>
            <w:tcW w:w="1237" w:type="dxa"/>
            <w:vAlign w:val="bottom"/>
          </w:tcPr>
          <w:p w14:paraId="0C21FAD2"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N</w:t>
            </w:r>
          </w:p>
        </w:tc>
        <w:tc>
          <w:tcPr>
            <w:tcW w:w="3337" w:type="dxa"/>
            <w:vAlign w:val="bottom"/>
          </w:tcPr>
          <w:p w14:paraId="0E9FF1B4"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Mean FFP unit Volume (mL)</w:t>
            </w:r>
          </w:p>
        </w:tc>
        <w:tc>
          <w:tcPr>
            <w:tcW w:w="3203" w:type="dxa"/>
            <w:vAlign w:val="bottom"/>
          </w:tcPr>
          <w:p w14:paraId="29084EB3"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Standard Deviation</w:t>
            </w:r>
          </w:p>
        </w:tc>
      </w:tr>
      <w:tr w:rsidR="0098772B" w:rsidRPr="006112AD" w14:paraId="7D83B9DC" w14:textId="77777777" w:rsidTr="00521069">
        <w:trPr>
          <w:trHeight w:val="333"/>
        </w:trPr>
        <w:tc>
          <w:tcPr>
            <w:tcW w:w="1238" w:type="dxa"/>
            <w:vAlign w:val="center"/>
          </w:tcPr>
          <w:p w14:paraId="631BDFC8"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SHT</w:t>
            </w:r>
          </w:p>
        </w:tc>
        <w:tc>
          <w:tcPr>
            <w:tcW w:w="1237" w:type="dxa"/>
            <w:vAlign w:val="center"/>
          </w:tcPr>
          <w:p w14:paraId="3F64E54E"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3337" w:type="dxa"/>
            <w:vAlign w:val="center"/>
          </w:tcPr>
          <w:p w14:paraId="1CBDBF86"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276</w:t>
            </w:r>
          </w:p>
        </w:tc>
        <w:tc>
          <w:tcPr>
            <w:tcW w:w="3203" w:type="dxa"/>
            <w:vAlign w:val="center"/>
          </w:tcPr>
          <w:p w14:paraId="36693785"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13.706</w:t>
            </w:r>
          </w:p>
        </w:tc>
      </w:tr>
      <w:tr w:rsidR="0098772B" w:rsidRPr="006112AD" w14:paraId="15E9390C" w14:textId="77777777" w:rsidTr="00521069">
        <w:trPr>
          <w:trHeight w:val="333"/>
        </w:trPr>
        <w:tc>
          <w:tcPr>
            <w:tcW w:w="1238" w:type="dxa"/>
            <w:tcBorders>
              <w:bottom w:val="single" w:sz="4" w:space="0" w:color="auto"/>
            </w:tcBorders>
            <w:vAlign w:val="center"/>
          </w:tcPr>
          <w:p w14:paraId="417E373D"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LHT</w:t>
            </w:r>
          </w:p>
        </w:tc>
        <w:tc>
          <w:tcPr>
            <w:tcW w:w="1237" w:type="dxa"/>
            <w:tcBorders>
              <w:bottom w:val="single" w:sz="4" w:space="0" w:color="auto"/>
            </w:tcBorders>
            <w:vAlign w:val="center"/>
          </w:tcPr>
          <w:p w14:paraId="221A04FD"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3337" w:type="dxa"/>
            <w:tcBorders>
              <w:bottom w:val="single" w:sz="4" w:space="0" w:color="auto"/>
            </w:tcBorders>
            <w:vAlign w:val="center"/>
          </w:tcPr>
          <w:p w14:paraId="5B3E31FA"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283</w:t>
            </w:r>
          </w:p>
        </w:tc>
        <w:tc>
          <w:tcPr>
            <w:tcW w:w="3203" w:type="dxa"/>
            <w:tcBorders>
              <w:bottom w:val="single" w:sz="4" w:space="0" w:color="auto"/>
            </w:tcBorders>
            <w:vAlign w:val="center"/>
          </w:tcPr>
          <w:p w14:paraId="7C103C60"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13.176</w:t>
            </w:r>
          </w:p>
        </w:tc>
      </w:tr>
    </w:tbl>
    <w:p w14:paraId="002D4B0A" w14:textId="77777777" w:rsidR="0098772B" w:rsidRPr="006112AD" w:rsidRDefault="0098772B" w:rsidP="006112AD">
      <w:pPr>
        <w:spacing w:line="240" w:lineRule="auto"/>
        <w:rPr>
          <w:rFonts w:ascii="Calibri" w:hAnsi="Calibri" w:cs="Calibri"/>
          <w:sz w:val="20"/>
          <w:szCs w:val="20"/>
        </w:rPr>
      </w:pPr>
    </w:p>
    <w:p w14:paraId="15880B77" w14:textId="055E15D3" w:rsidR="0098772B" w:rsidRPr="006112AD" w:rsidRDefault="0098772B" w:rsidP="006112AD">
      <w:pPr>
        <w:spacing w:before="240" w:after="0" w:line="240" w:lineRule="auto"/>
        <w:jc w:val="both"/>
        <w:rPr>
          <w:rFonts w:ascii="Calibri" w:hAnsi="Calibri" w:cs="Calibri"/>
          <w:iCs/>
          <w:sz w:val="20"/>
          <w:szCs w:val="20"/>
        </w:rPr>
      </w:pPr>
      <w:r w:rsidRPr="006112AD">
        <w:rPr>
          <w:rFonts w:ascii="Calibri" w:hAnsi="Calibri" w:cs="Calibri"/>
          <w:iCs/>
          <w:sz w:val="20"/>
          <w:szCs w:val="20"/>
        </w:rPr>
        <w:t>Table 3</w:t>
      </w:r>
      <w:r w:rsidR="005F5925" w:rsidRPr="006112AD">
        <w:rPr>
          <w:rFonts w:ascii="Calibri" w:hAnsi="Calibri" w:cs="Calibri"/>
          <w:iCs/>
          <w:sz w:val="20"/>
          <w:szCs w:val="20"/>
        </w:rPr>
        <w:t xml:space="preserve"> </w:t>
      </w:r>
      <w:r w:rsidRPr="006112AD">
        <w:rPr>
          <w:rFonts w:ascii="Calibri" w:hAnsi="Calibri" w:cs="Calibri"/>
          <w:iCs/>
          <w:sz w:val="20"/>
          <w:szCs w:val="20"/>
        </w:rPr>
        <w:t xml:space="preserve">displays the normality test results for the volume parameter of the SHT and LHT cohorts. The resulting p-value for the SHT cohort was 0.179. This exceeded the 0.05 level of significance and the null hypothesis, which assumed a normal data distribution, was accepted and therefore determined that the set of volumes for this cohort followed a normal distribution. The resulting p-value for the LHT cohort was 0.043, which was just below the 0.05 criterion, therefore indicating that this cohort had a non-normal distribution of volumes.  </w:t>
      </w:r>
    </w:p>
    <w:p w14:paraId="1F2C9CEA" w14:textId="77777777" w:rsidR="0098772B" w:rsidRPr="006112AD" w:rsidRDefault="0098772B" w:rsidP="006112AD">
      <w:pPr>
        <w:spacing w:line="240" w:lineRule="auto"/>
        <w:rPr>
          <w:rFonts w:ascii="Calibri" w:hAnsi="Calibri" w:cs="Calibri"/>
          <w:sz w:val="20"/>
          <w:szCs w:val="20"/>
        </w:rPr>
      </w:pPr>
    </w:p>
    <w:p w14:paraId="0D8C77D4" w14:textId="67663742" w:rsidR="0098772B" w:rsidRPr="006112AD" w:rsidRDefault="0098772B" w:rsidP="006112AD">
      <w:pPr>
        <w:spacing w:after="0" w:line="240" w:lineRule="auto"/>
        <w:jc w:val="center"/>
        <w:rPr>
          <w:rFonts w:ascii="Calibri" w:hAnsi="Calibri" w:cs="Calibri"/>
          <w:iCs/>
          <w:sz w:val="20"/>
          <w:szCs w:val="20"/>
        </w:rPr>
      </w:pPr>
      <w:bookmarkStart w:id="102" w:name="_Hlk198378218"/>
      <w:bookmarkStart w:id="103" w:name="_Toc198711782"/>
      <w:r w:rsidRPr="006112AD">
        <w:rPr>
          <w:rStyle w:val="TableHeadingChar"/>
          <w:rFonts w:ascii="Calibri" w:hAnsi="Calibri" w:cs="Calibri"/>
          <w:sz w:val="20"/>
          <w:szCs w:val="20"/>
        </w:rPr>
        <w:t>Table 3: Test of Normality</w:t>
      </w:r>
      <w:bookmarkEnd w:id="102"/>
      <w:bookmarkEnd w:id="103"/>
    </w:p>
    <w:p w14:paraId="379CF385" w14:textId="17938E64" w:rsidR="0098772B" w:rsidRPr="006112AD" w:rsidRDefault="0098772B" w:rsidP="006112AD">
      <w:pPr>
        <w:spacing w:line="240" w:lineRule="auto"/>
        <w:jc w:val="center"/>
        <w:rPr>
          <w:rFonts w:ascii="Calibri" w:hAnsi="Calibri" w:cs="Calibri"/>
          <w:iCs/>
          <w:sz w:val="20"/>
          <w:szCs w:val="20"/>
        </w:rPr>
      </w:pPr>
      <w:r w:rsidRPr="006112AD">
        <w:rPr>
          <w:rFonts w:ascii="Calibri" w:hAnsi="Calibri" w:cs="Calibri"/>
          <w:iCs/>
          <w:sz w:val="20"/>
          <w:szCs w:val="20"/>
        </w:rPr>
        <w:t>Legend: FFP - Fresh frozen plasma; SHT - Short holding time; LHT - Long holding time.</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34"/>
        <w:gridCol w:w="1494"/>
        <w:gridCol w:w="1494"/>
        <w:gridCol w:w="1495"/>
      </w:tblGrid>
      <w:tr w:rsidR="0098772B" w:rsidRPr="006112AD" w14:paraId="3268C4A2" w14:textId="77777777" w:rsidTr="009B30C1">
        <w:trPr>
          <w:trHeight w:val="163"/>
          <w:jc w:val="center"/>
        </w:trPr>
        <w:tc>
          <w:tcPr>
            <w:tcW w:w="1134" w:type="dxa"/>
            <w:vAlign w:val="bottom"/>
          </w:tcPr>
          <w:p w14:paraId="1B3701E5" w14:textId="77777777" w:rsidR="0098772B" w:rsidRPr="006112AD" w:rsidRDefault="0098772B" w:rsidP="006112AD">
            <w:pPr>
              <w:jc w:val="center"/>
              <w:rPr>
                <w:rFonts w:ascii="Calibri" w:hAnsi="Calibri" w:cs="Calibri"/>
                <w:iCs/>
                <w:sz w:val="20"/>
                <w:szCs w:val="20"/>
              </w:rPr>
            </w:pPr>
          </w:p>
        </w:tc>
        <w:tc>
          <w:tcPr>
            <w:tcW w:w="4483" w:type="dxa"/>
            <w:gridSpan w:val="3"/>
          </w:tcPr>
          <w:p w14:paraId="28507A18"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Shapiro-Wilk</w:t>
            </w:r>
          </w:p>
        </w:tc>
      </w:tr>
      <w:tr w:rsidR="0098772B" w:rsidRPr="006112AD" w14:paraId="05D80815" w14:textId="77777777" w:rsidTr="00521069">
        <w:trPr>
          <w:trHeight w:val="317"/>
          <w:jc w:val="center"/>
        </w:trPr>
        <w:tc>
          <w:tcPr>
            <w:tcW w:w="1134" w:type="dxa"/>
            <w:vAlign w:val="center"/>
          </w:tcPr>
          <w:p w14:paraId="784C537D" w14:textId="77777777" w:rsidR="0098772B" w:rsidRPr="006112AD" w:rsidRDefault="0098772B" w:rsidP="006112AD">
            <w:pPr>
              <w:jc w:val="center"/>
              <w:rPr>
                <w:rFonts w:ascii="Calibri" w:hAnsi="Calibri" w:cs="Calibri"/>
                <w:iCs/>
                <w:sz w:val="20"/>
                <w:szCs w:val="20"/>
              </w:rPr>
            </w:pPr>
          </w:p>
        </w:tc>
        <w:tc>
          <w:tcPr>
            <w:tcW w:w="1494" w:type="dxa"/>
            <w:vAlign w:val="center"/>
          </w:tcPr>
          <w:p w14:paraId="232BDE0B"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Statistic</w:t>
            </w:r>
          </w:p>
        </w:tc>
        <w:tc>
          <w:tcPr>
            <w:tcW w:w="1494" w:type="dxa"/>
            <w:vAlign w:val="center"/>
          </w:tcPr>
          <w:p w14:paraId="64F21ABE"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df</w:t>
            </w:r>
          </w:p>
        </w:tc>
        <w:tc>
          <w:tcPr>
            <w:tcW w:w="1495" w:type="dxa"/>
            <w:vAlign w:val="center"/>
          </w:tcPr>
          <w:p w14:paraId="36F8E78E" w14:textId="27E86715"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p-value</w:t>
            </w:r>
          </w:p>
        </w:tc>
      </w:tr>
      <w:tr w:rsidR="0098772B" w:rsidRPr="006112AD" w14:paraId="276A5958" w14:textId="77777777" w:rsidTr="00521069">
        <w:trPr>
          <w:trHeight w:val="317"/>
          <w:jc w:val="center"/>
        </w:trPr>
        <w:tc>
          <w:tcPr>
            <w:tcW w:w="1134" w:type="dxa"/>
            <w:vAlign w:val="center"/>
          </w:tcPr>
          <w:p w14:paraId="4BBACAC5"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SHT</w:t>
            </w:r>
          </w:p>
        </w:tc>
        <w:tc>
          <w:tcPr>
            <w:tcW w:w="1494" w:type="dxa"/>
            <w:vAlign w:val="center"/>
          </w:tcPr>
          <w:p w14:paraId="5801C9CC"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0.982</w:t>
            </w:r>
          </w:p>
        </w:tc>
        <w:tc>
          <w:tcPr>
            <w:tcW w:w="1494" w:type="dxa"/>
            <w:vAlign w:val="center"/>
          </w:tcPr>
          <w:p w14:paraId="57A775F8"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1495" w:type="dxa"/>
            <w:vAlign w:val="center"/>
          </w:tcPr>
          <w:p w14:paraId="4E658349"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0.179</w:t>
            </w:r>
          </w:p>
        </w:tc>
      </w:tr>
      <w:tr w:rsidR="0098772B" w:rsidRPr="006112AD" w14:paraId="4021B030" w14:textId="77777777" w:rsidTr="009B30C1">
        <w:trPr>
          <w:trHeight w:val="317"/>
          <w:jc w:val="center"/>
        </w:trPr>
        <w:tc>
          <w:tcPr>
            <w:tcW w:w="1134" w:type="dxa"/>
            <w:tcBorders>
              <w:bottom w:val="single" w:sz="4" w:space="0" w:color="auto"/>
            </w:tcBorders>
            <w:vAlign w:val="center"/>
          </w:tcPr>
          <w:p w14:paraId="35F245EF"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LHT</w:t>
            </w:r>
          </w:p>
        </w:tc>
        <w:tc>
          <w:tcPr>
            <w:tcW w:w="1494" w:type="dxa"/>
            <w:tcBorders>
              <w:bottom w:val="single" w:sz="4" w:space="0" w:color="auto"/>
            </w:tcBorders>
            <w:vAlign w:val="center"/>
          </w:tcPr>
          <w:p w14:paraId="2A71A7CF"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0.974</w:t>
            </w:r>
          </w:p>
        </w:tc>
        <w:tc>
          <w:tcPr>
            <w:tcW w:w="1494" w:type="dxa"/>
            <w:tcBorders>
              <w:bottom w:val="single" w:sz="4" w:space="0" w:color="auto"/>
            </w:tcBorders>
            <w:vAlign w:val="center"/>
          </w:tcPr>
          <w:p w14:paraId="653F7CB3"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1495" w:type="dxa"/>
            <w:tcBorders>
              <w:bottom w:val="single" w:sz="4" w:space="0" w:color="auto"/>
            </w:tcBorders>
            <w:vAlign w:val="center"/>
          </w:tcPr>
          <w:p w14:paraId="4F9FCA53"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0.043</w:t>
            </w:r>
          </w:p>
        </w:tc>
      </w:tr>
    </w:tbl>
    <w:p w14:paraId="6770F9B3" w14:textId="77777777" w:rsidR="0098772B" w:rsidRDefault="0098772B" w:rsidP="006112AD">
      <w:pPr>
        <w:spacing w:line="240" w:lineRule="auto"/>
        <w:rPr>
          <w:rFonts w:ascii="Calibri" w:hAnsi="Calibri" w:cs="Calibri"/>
          <w:sz w:val="20"/>
          <w:szCs w:val="20"/>
        </w:rPr>
      </w:pPr>
    </w:p>
    <w:p w14:paraId="5FF7F28F" w14:textId="77777777" w:rsidR="00227E39" w:rsidRPr="006112AD" w:rsidRDefault="00227E39" w:rsidP="006112AD">
      <w:pPr>
        <w:spacing w:line="240" w:lineRule="auto"/>
        <w:rPr>
          <w:rFonts w:ascii="Calibri" w:hAnsi="Calibri" w:cs="Calibri"/>
          <w:sz w:val="20"/>
          <w:szCs w:val="20"/>
        </w:rPr>
      </w:pPr>
    </w:p>
    <w:p w14:paraId="34ADFA6D" w14:textId="0362145F" w:rsidR="004B073D" w:rsidRPr="000462D0" w:rsidRDefault="0098772B" w:rsidP="000462D0">
      <w:pPr>
        <w:pStyle w:val="Heading2"/>
        <w:numPr>
          <w:ilvl w:val="1"/>
          <w:numId w:val="38"/>
        </w:numPr>
        <w:spacing w:after="0" w:line="240" w:lineRule="auto"/>
        <w:rPr>
          <w:rFonts w:ascii="Calibri" w:hAnsi="Calibri" w:cs="Calibri"/>
          <w:i w:val="0"/>
          <w:sz w:val="20"/>
          <w:szCs w:val="20"/>
          <w:u w:val="none"/>
        </w:rPr>
      </w:pPr>
      <w:bookmarkStart w:id="104" w:name="_Toc198372563"/>
      <w:bookmarkStart w:id="105" w:name="_Toc199078012"/>
      <w:r w:rsidRPr="000462D0">
        <w:rPr>
          <w:rFonts w:ascii="Calibri" w:hAnsi="Calibri" w:cs="Calibri"/>
          <w:i w:val="0"/>
          <w:sz w:val="20"/>
          <w:szCs w:val="20"/>
          <w:u w:val="none"/>
        </w:rPr>
        <w:t>Residual Leucocyte Counts</w:t>
      </w:r>
      <w:bookmarkEnd w:id="104"/>
      <w:bookmarkEnd w:id="105"/>
      <w:r w:rsidRPr="000462D0">
        <w:rPr>
          <w:rFonts w:ascii="Calibri" w:hAnsi="Calibri" w:cs="Calibri"/>
          <w:i w:val="0"/>
          <w:sz w:val="20"/>
          <w:szCs w:val="20"/>
          <w:u w:val="none"/>
        </w:rPr>
        <w:t xml:space="preserve"> </w:t>
      </w:r>
    </w:p>
    <w:p w14:paraId="27C163FC" w14:textId="77777777" w:rsidR="004B073D" w:rsidRPr="006112AD" w:rsidRDefault="004B073D" w:rsidP="006112AD">
      <w:pPr>
        <w:spacing w:after="0" w:line="240" w:lineRule="auto"/>
        <w:rPr>
          <w:rFonts w:ascii="Calibri" w:hAnsi="Calibri" w:cs="Calibri"/>
          <w:sz w:val="20"/>
          <w:szCs w:val="20"/>
        </w:rPr>
      </w:pPr>
    </w:p>
    <w:p w14:paraId="1EFC723B" w14:textId="650CCD12" w:rsidR="0098772B" w:rsidRPr="006112AD" w:rsidRDefault="0098772B" w:rsidP="006112AD">
      <w:pPr>
        <w:pStyle w:val="Heading33"/>
        <w:spacing w:line="240" w:lineRule="auto"/>
        <w:ind w:left="0"/>
        <w:rPr>
          <w:rFonts w:ascii="Calibri" w:hAnsi="Calibri" w:cs="Calibri"/>
          <w:sz w:val="20"/>
          <w:szCs w:val="20"/>
        </w:rPr>
      </w:pPr>
      <w:r w:rsidRPr="006112AD">
        <w:rPr>
          <w:rFonts w:ascii="Calibri" w:hAnsi="Calibri" w:cs="Calibri"/>
          <w:sz w:val="20"/>
          <w:szCs w:val="20"/>
        </w:rPr>
        <w:t xml:space="preserve">As </w:t>
      </w:r>
      <w:r w:rsidR="001B494C" w:rsidRPr="006112AD">
        <w:rPr>
          <w:rFonts w:ascii="Calibri" w:hAnsi="Calibri" w:cs="Calibri"/>
          <w:sz w:val="20"/>
          <w:szCs w:val="20"/>
        </w:rPr>
        <w:t xml:space="preserve">shown in </w:t>
      </w:r>
      <w:r w:rsidRPr="006112AD">
        <w:rPr>
          <w:rFonts w:ascii="Calibri" w:hAnsi="Calibri" w:cs="Calibri"/>
          <w:sz w:val="20"/>
          <w:szCs w:val="20"/>
        </w:rPr>
        <w:t xml:space="preserve">Table </w:t>
      </w:r>
      <w:r w:rsidR="00966389" w:rsidRPr="006112AD">
        <w:rPr>
          <w:rFonts w:ascii="Calibri" w:hAnsi="Calibri" w:cs="Calibri"/>
          <w:sz w:val="20"/>
          <w:szCs w:val="20"/>
        </w:rPr>
        <w:t>4</w:t>
      </w:r>
      <w:r w:rsidRPr="006112AD">
        <w:rPr>
          <w:rFonts w:ascii="Calibri" w:hAnsi="Calibri" w:cs="Calibri"/>
          <w:sz w:val="20"/>
          <w:szCs w:val="20"/>
        </w:rPr>
        <w:t>, the mean RLC of units with a SHT was more than double that of those with</w:t>
      </w:r>
      <w:r w:rsidR="001B494C" w:rsidRPr="006112AD">
        <w:rPr>
          <w:rFonts w:ascii="Calibri" w:hAnsi="Calibri" w:cs="Calibri"/>
          <w:sz w:val="20"/>
          <w:szCs w:val="20"/>
        </w:rPr>
        <w:t>in</w:t>
      </w:r>
      <w:r w:rsidRPr="006112AD">
        <w:rPr>
          <w:rFonts w:ascii="Calibri" w:hAnsi="Calibri" w:cs="Calibri"/>
          <w:sz w:val="20"/>
          <w:szCs w:val="20"/>
        </w:rPr>
        <w:t xml:space="preserve"> </w:t>
      </w:r>
      <w:r w:rsidR="001B494C" w:rsidRPr="006112AD">
        <w:rPr>
          <w:rFonts w:ascii="Calibri" w:hAnsi="Calibri" w:cs="Calibri"/>
          <w:sz w:val="20"/>
          <w:szCs w:val="20"/>
        </w:rPr>
        <w:t xml:space="preserve">the </w:t>
      </w:r>
      <w:r w:rsidRPr="006112AD">
        <w:rPr>
          <w:rFonts w:ascii="Calibri" w:hAnsi="Calibri" w:cs="Calibri"/>
          <w:sz w:val="20"/>
          <w:szCs w:val="20"/>
        </w:rPr>
        <w:t>LHT</w:t>
      </w:r>
      <w:r w:rsidR="001B494C" w:rsidRPr="006112AD">
        <w:rPr>
          <w:rFonts w:ascii="Calibri" w:hAnsi="Calibri" w:cs="Calibri"/>
          <w:sz w:val="20"/>
          <w:szCs w:val="20"/>
        </w:rPr>
        <w:t xml:space="preserve"> cohort</w:t>
      </w:r>
      <w:r w:rsidRPr="006112AD">
        <w:rPr>
          <w:rFonts w:ascii="Calibri" w:hAnsi="Calibri" w:cs="Calibri"/>
          <w:sz w:val="20"/>
          <w:szCs w:val="20"/>
        </w:rPr>
        <w:t>. However, both means were still below the maximum acceptable value of 0.1x10</w:t>
      </w:r>
      <w:r w:rsidRPr="006112AD">
        <w:rPr>
          <w:rFonts w:ascii="Calibri" w:hAnsi="Calibri" w:cs="Calibri"/>
          <w:sz w:val="20"/>
          <w:szCs w:val="20"/>
          <w:vertAlign w:val="superscript"/>
        </w:rPr>
        <w:t>9</w:t>
      </w:r>
      <w:r w:rsidRPr="006112AD">
        <w:rPr>
          <w:rFonts w:ascii="Calibri" w:hAnsi="Calibri" w:cs="Calibri"/>
          <w:sz w:val="20"/>
          <w:szCs w:val="20"/>
        </w:rPr>
        <w:t xml:space="preserve"> cells/L according to the EDQM.</w:t>
      </w:r>
    </w:p>
    <w:p w14:paraId="55B70551" w14:textId="082D113B" w:rsidR="0098772B" w:rsidRPr="006112AD" w:rsidRDefault="0098772B" w:rsidP="006112AD">
      <w:pPr>
        <w:pStyle w:val="TableHeading"/>
        <w:spacing w:line="240" w:lineRule="auto"/>
        <w:rPr>
          <w:rFonts w:ascii="Calibri" w:hAnsi="Calibri" w:cs="Calibri"/>
          <w:sz w:val="20"/>
          <w:szCs w:val="20"/>
        </w:rPr>
      </w:pPr>
      <w:bookmarkStart w:id="106" w:name="_Toc198711783"/>
      <w:bookmarkStart w:id="107" w:name="_Hlk198378274"/>
      <w:r w:rsidRPr="006112AD">
        <w:rPr>
          <w:rFonts w:ascii="Calibri" w:hAnsi="Calibri" w:cs="Calibri"/>
          <w:sz w:val="20"/>
          <w:szCs w:val="20"/>
        </w:rPr>
        <w:t xml:space="preserve">Table </w:t>
      </w:r>
      <w:r w:rsidR="00767507" w:rsidRPr="006112AD">
        <w:rPr>
          <w:rFonts w:ascii="Calibri" w:hAnsi="Calibri" w:cs="Calibri"/>
          <w:sz w:val="20"/>
          <w:szCs w:val="20"/>
        </w:rPr>
        <w:t>4</w:t>
      </w:r>
      <w:r w:rsidR="00227E39">
        <w:rPr>
          <w:rFonts w:ascii="Calibri" w:hAnsi="Calibri" w:cs="Calibri"/>
          <w:sz w:val="20"/>
          <w:szCs w:val="20"/>
        </w:rPr>
        <w:t>:</w:t>
      </w:r>
      <w:r w:rsidRPr="006112AD">
        <w:rPr>
          <w:rFonts w:ascii="Calibri" w:hAnsi="Calibri" w:cs="Calibri"/>
          <w:sz w:val="20"/>
          <w:szCs w:val="20"/>
        </w:rPr>
        <w:t xml:space="preserve"> Descriptive Statistics</w:t>
      </w:r>
      <w:bookmarkEnd w:id="106"/>
    </w:p>
    <w:bookmarkEnd w:id="107"/>
    <w:p w14:paraId="525E72DF" w14:textId="31ACA38E" w:rsidR="0098772B" w:rsidRPr="006112AD" w:rsidRDefault="0098772B" w:rsidP="006112AD">
      <w:pPr>
        <w:spacing w:after="0" w:line="240" w:lineRule="auto"/>
        <w:jc w:val="center"/>
        <w:rPr>
          <w:rFonts w:ascii="Calibri" w:eastAsiaTheme="majorEastAsia" w:hAnsi="Calibri" w:cs="Calibri"/>
          <w:iCs/>
          <w:sz w:val="20"/>
          <w:szCs w:val="20"/>
        </w:rPr>
      </w:pPr>
      <w:r w:rsidRPr="006112AD">
        <w:rPr>
          <w:rFonts w:ascii="Calibri" w:hAnsi="Calibri" w:cs="Calibri"/>
          <w:iCs/>
          <w:sz w:val="20"/>
          <w:szCs w:val="20"/>
        </w:rPr>
        <w:t>Legend: RLC - Residual leucocyte count</w:t>
      </w:r>
      <w:r w:rsidRPr="006112AD">
        <w:rPr>
          <w:rFonts w:ascii="Calibri" w:eastAsiaTheme="majorEastAsia" w:hAnsi="Calibri" w:cs="Calibri"/>
          <w:iCs/>
          <w:sz w:val="20"/>
          <w:szCs w:val="20"/>
        </w:rPr>
        <w:t>, SHT - short holding time, LHT - long holding time.</w:t>
      </w:r>
    </w:p>
    <w:tbl>
      <w:tblPr>
        <w:tblStyle w:val="TableGrid"/>
        <w:tblW w:w="6916"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49"/>
        <w:gridCol w:w="948"/>
        <w:gridCol w:w="2561"/>
        <w:gridCol w:w="2458"/>
      </w:tblGrid>
      <w:tr w:rsidR="0098772B" w:rsidRPr="006112AD" w14:paraId="316C0DC0" w14:textId="77777777" w:rsidTr="009B30C1">
        <w:trPr>
          <w:trHeight w:val="327"/>
          <w:jc w:val="center"/>
        </w:trPr>
        <w:tc>
          <w:tcPr>
            <w:tcW w:w="949" w:type="dxa"/>
            <w:vAlign w:val="center"/>
          </w:tcPr>
          <w:p w14:paraId="657BA4D3" w14:textId="77777777" w:rsidR="0098772B" w:rsidRPr="006112AD" w:rsidRDefault="0098772B" w:rsidP="006112AD">
            <w:pPr>
              <w:jc w:val="center"/>
              <w:rPr>
                <w:rFonts w:ascii="Calibri" w:hAnsi="Calibri" w:cs="Calibri"/>
                <w:iCs/>
                <w:sz w:val="20"/>
                <w:szCs w:val="20"/>
              </w:rPr>
            </w:pPr>
          </w:p>
        </w:tc>
        <w:tc>
          <w:tcPr>
            <w:tcW w:w="948" w:type="dxa"/>
            <w:vAlign w:val="bottom"/>
          </w:tcPr>
          <w:p w14:paraId="536F19AE"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N</w:t>
            </w:r>
          </w:p>
        </w:tc>
        <w:tc>
          <w:tcPr>
            <w:tcW w:w="2561" w:type="dxa"/>
            <w:vAlign w:val="bottom"/>
          </w:tcPr>
          <w:p w14:paraId="6838F8AF"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Mean RLC (x10</w:t>
            </w:r>
            <w:r w:rsidRPr="006112AD">
              <w:rPr>
                <w:rFonts w:ascii="Calibri" w:hAnsi="Calibri" w:cs="Calibri"/>
                <w:b/>
                <w:bCs/>
                <w:iCs/>
                <w:sz w:val="20"/>
                <w:szCs w:val="20"/>
                <w:vertAlign w:val="superscript"/>
              </w:rPr>
              <w:t>9</w:t>
            </w:r>
            <w:r w:rsidRPr="006112AD">
              <w:rPr>
                <w:rFonts w:ascii="Calibri" w:hAnsi="Calibri" w:cs="Calibri"/>
                <w:b/>
                <w:bCs/>
                <w:iCs/>
                <w:sz w:val="20"/>
                <w:szCs w:val="20"/>
              </w:rPr>
              <w:t>/L)</w:t>
            </w:r>
          </w:p>
        </w:tc>
        <w:tc>
          <w:tcPr>
            <w:tcW w:w="2458" w:type="dxa"/>
            <w:vAlign w:val="bottom"/>
          </w:tcPr>
          <w:p w14:paraId="6CA92E8F"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Standard Deviation</w:t>
            </w:r>
          </w:p>
        </w:tc>
      </w:tr>
      <w:tr w:rsidR="0098772B" w:rsidRPr="006112AD" w14:paraId="7317EC15" w14:textId="77777777" w:rsidTr="009B30C1">
        <w:trPr>
          <w:trHeight w:val="327"/>
          <w:jc w:val="center"/>
        </w:trPr>
        <w:tc>
          <w:tcPr>
            <w:tcW w:w="949" w:type="dxa"/>
            <w:vAlign w:val="center"/>
          </w:tcPr>
          <w:p w14:paraId="19584483"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SHT</w:t>
            </w:r>
          </w:p>
        </w:tc>
        <w:tc>
          <w:tcPr>
            <w:tcW w:w="948" w:type="dxa"/>
            <w:vAlign w:val="center"/>
          </w:tcPr>
          <w:p w14:paraId="6A490D2F"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2561" w:type="dxa"/>
            <w:vAlign w:val="center"/>
          </w:tcPr>
          <w:p w14:paraId="0F8BBBBD"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0.029</w:t>
            </w:r>
          </w:p>
        </w:tc>
        <w:tc>
          <w:tcPr>
            <w:tcW w:w="2458" w:type="dxa"/>
            <w:vAlign w:val="center"/>
          </w:tcPr>
          <w:p w14:paraId="7EADF834"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0.040</w:t>
            </w:r>
          </w:p>
        </w:tc>
      </w:tr>
      <w:tr w:rsidR="0098772B" w:rsidRPr="006112AD" w14:paraId="4FB4A054" w14:textId="77777777" w:rsidTr="009B30C1">
        <w:trPr>
          <w:trHeight w:val="327"/>
          <w:jc w:val="center"/>
        </w:trPr>
        <w:tc>
          <w:tcPr>
            <w:tcW w:w="949" w:type="dxa"/>
            <w:tcBorders>
              <w:bottom w:val="single" w:sz="4" w:space="0" w:color="auto"/>
            </w:tcBorders>
            <w:vAlign w:val="center"/>
          </w:tcPr>
          <w:p w14:paraId="77C8D1F1"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LHT</w:t>
            </w:r>
          </w:p>
        </w:tc>
        <w:tc>
          <w:tcPr>
            <w:tcW w:w="948" w:type="dxa"/>
            <w:tcBorders>
              <w:bottom w:val="single" w:sz="4" w:space="0" w:color="auto"/>
            </w:tcBorders>
            <w:vAlign w:val="center"/>
          </w:tcPr>
          <w:p w14:paraId="6E2B158A"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2561" w:type="dxa"/>
            <w:tcBorders>
              <w:bottom w:val="single" w:sz="4" w:space="0" w:color="auto"/>
            </w:tcBorders>
            <w:vAlign w:val="center"/>
          </w:tcPr>
          <w:p w14:paraId="05E64D3E"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0.013</w:t>
            </w:r>
          </w:p>
        </w:tc>
        <w:tc>
          <w:tcPr>
            <w:tcW w:w="2458" w:type="dxa"/>
            <w:tcBorders>
              <w:bottom w:val="single" w:sz="4" w:space="0" w:color="auto"/>
            </w:tcBorders>
            <w:vAlign w:val="center"/>
          </w:tcPr>
          <w:p w14:paraId="6F2DEB9C"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0.013</w:t>
            </w:r>
          </w:p>
        </w:tc>
      </w:tr>
    </w:tbl>
    <w:p w14:paraId="1B8E4D61" w14:textId="77777777" w:rsidR="004B78CF" w:rsidRPr="006112AD" w:rsidRDefault="004B78CF" w:rsidP="006112AD">
      <w:pPr>
        <w:spacing w:after="0" w:line="240" w:lineRule="auto"/>
        <w:jc w:val="both"/>
        <w:rPr>
          <w:rFonts w:ascii="Calibri" w:hAnsi="Calibri" w:cs="Calibri"/>
          <w:iCs/>
          <w:sz w:val="20"/>
          <w:szCs w:val="20"/>
        </w:rPr>
      </w:pPr>
    </w:p>
    <w:p w14:paraId="2D7BDCB4" w14:textId="4F9B8F27" w:rsidR="0098772B" w:rsidRDefault="0098772B" w:rsidP="006112AD">
      <w:pPr>
        <w:spacing w:after="0" w:line="240" w:lineRule="auto"/>
        <w:jc w:val="both"/>
        <w:rPr>
          <w:rFonts w:ascii="Calibri" w:hAnsi="Calibri" w:cs="Calibri"/>
          <w:iCs/>
          <w:sz w:val="20"/>
          <w:szCs w:val="20"/>
        </w:rPr>
      </w:pPr>
      <w:r w:rsidRPr="006112AD">
        <w:rPr>
          <w:rFonts w:ascii="Calibri" w:hAnsi="Calibri" w:cs="Calibri"/>
          <w:iCs/>
          <w:sz w:val="20"/>
          <w:szCs w:val="20"/>
        </w:rPr>
        <w:t>The calculated Z scores were used to produce the histograms shown in Figures 3</w:t>
      </w:r>
      <w:r w:rsidR="00705739" w:rsidRPr="006112AD">
        <w:rPr>
          <w:rFonts w:ascii="Calibri" w:hAnsi="Calibri" w:cs="Calibri"/>
          <w:iCs/>
          <w:sz w:val="20"/>
          <w:szCs w:val="20"/>
        </w:rPr>
        <w:t xml:space="preserve"> </w:t>
      </w:r>
      <w:r w:rsidRPr="006112AD">
        <w:rPr>
          <w:rFonts w:ascii="Calibri" w:hAnsi="Calibri" w:cs="Calibri"/>
          <w:iCs/>
          <w:sz w:val="20"/>
          <w:szCs w:val="20"/>
        </w:rPr>
        <w:t xml:space="preserve">and 4, which visually demonstrated that both cohorts had a non-normal distribution of values. In fact, it is evident that both graphs are right-skewed. The same distribution would be observed if the Z score were to be replaced by the RLC of each unit. A threshold of +/- 3 was set to distinguish between statistically normal values, which are within a Z score of +/-3 and outliers which are outside of those limits.   </w:t>
      </w:r>
    </w:p>
    <w:p w14:paraId="0587EAA5" w14:textId="77777777" w:rsidR="00227E39" w:rsidRPr="006112AD" w:rsidRDefault="00227E39" w:rsidP="006112AD">
      <w:pPr>
        <w:spacing w:after="0" w:line="240" w:lineRule="auto"/>
        <w:jc w:val="both"/>
        <w:rPr>
          <w:rFonts w:ascii="Calibri" w:hAnsi="Calibri" w:cs="Calibri"/>
          <w:iCs/>
          <w:sz w:val="20"/>
          <w:szCs w:val="20"/>
        </w:rPr>
      </w:pPr>
    </w:p>
    <w:p w14:paraId="03CEBCD6" w14:textId="77777777" w:rsidR="0098772B" w:rsidRPr="006112AD" w:rsidRDefault="0098772B" w:rsidP="006112AD">
      <w:pPr>
        <w:spacing w:after="0" w:line="240" w:lineRule="auto"/>
        <w:jc w:val="center"/>
        <w:rPr>
          <w:rFonts w:ascii="Calibri" w:hAnsi="Calibri" w:cs="Calibri"/>
          <w:iCs/>
          <w:sz w:val="20"/>
          <w:szCs w:val="20"/>
        </w:rPr>
      </w:pPr>
      <w:r w:rsidRPr="006112AD">
        <w:rPr>
          <w:rFonts w:ascii="Calibri" w:hAnsi="Calibri" w:cs="Calibri"/>
          <w:iCs/>
          <w:noProof/>
          <w:sz w:val="20"/>
          <w:szCs w:val="20"/>
        </w:rPr>
        <w:drawing>
          <wp:inline distT="0" distB="0" distL="0" distR="0" wp14:anchorId="4ED43DFA" wp14:editId="76FE6ACA">
            <wp:extent cx="3197955" cy="1996307"/>
            <wp:effectExtent l="0" t="0" r="2540" b="4445"/>
            <wp:docPr id="1752534191" name="Picture 1" descr="A graph with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34191" name="Picture 1" descr="A graph with blue bars&#10;&#10;AI-generated content may be incorrect."/>
                    <pic:cNvPicPr/>
                  </pic:nvPicPr>
                  <pic:blipFill rotWithShape="1">
                    <a:blip r:embed="rId10"/>
                    <a:srcRect l="1994" t="2719"/>
                    <a:stretch/>
                  </pic:blipFill>
                  <pic:spPr bwMode="auto">
                    <a:xfrm>
                      <a:off x="0" y="0"/>
                      <a:ext cx="3197955" cy="1996307"/>
                    </a:xfrm>
                    <a:prstGeom prst="rect">
                      <a:avLst/>
                    </a:prstGeom>
                    <a:ln>
                      <a:noFill/>
                    </a:ln>
                    <a:extLst>
                      <a:ext uri="{53640926-AAD7-44D8-BBD7-CCE9431645EC}">
                        <a14:shadowObscured xmlns:a14="http://schemas.microsoft.com/office/drawing/2010/main"/>
                      </a:ext>
                    </a:extLst>
                  </pic:spPr>
                </pic:pic>
              </a:graphicData>
            </a:graphic>
          </wp:inline>
        </w:drawing>
      </w:r>
    </w:p>
    <w:p w14:paraId="2D2F103F" w14:textId="1DCFA4A2" w:rsidR="0098772B" w:rsidRPr="006112AD" w:rsidRDefault="0098772B" w:rsidP="006112AD">
      <w:pPr>
        <w:pStyle w:val="FigureHeading"/>
        <w:spacing w:line="240" w:lineRule="auto"/>
        <w:rPr>
          <w:rFonts w:ascii="Calibri" w:hAnsi="Calibri" w:cs="Calibri"/>
          <w:sz w:val="20"/>
          <w:szCs w:val="20"/>
        </w:rPr>
      </w:pPr>
      <w:bookmarkStart w:id="108" w:name="_Toc198711475"/>
      <w:bookmarkStart w:id="109" w:name="_Hlk198378360"/>
      <w:bookmarkStart w:id="110" w:name="_Hlk193297203"/>
      <w:r w:rsidRPr="006112AD">
        <w:rPr>
          <w:rFonts w:ascii="Calibri" w:hAnsi="Calibri" w:cs="Calibri"/>
          <w:sz w:val="20"/>
          <w:szCs w:val="20"/>
        </w:rPr>
        <w:t>Figure 3: Z-score distribution (SHT)</w:t>
      </w:r>
      <w:bookmarkEnd w:id="108"/>
    </w:p>
    <w:bookmarkEnd w:id="109"/>
    <w:bookmarkEnd w:id="110"/>
    <w:p w14:paraId="23D43F10" w14:textId="77777777" w:rsidR="0098772B" w:rsidRPr="006112AD" w:rsidRDefault="0098772B" w:rsidP="006112AD">
      <w:pPr>
        <w:spacing w:line="240" w:lineRule="auto"/>
        <w:jc w:val="center"/>
        <w:rPr>
          <w:rFonts w:ascii="Calibri" w:eastAsiaTheme="majorEastAsia" w:hAnsi="Calibri" w:cs="Calibri"/>
          <w:iCs/>
          <w:sz w:val="20"/>
          <w:szCs w:val="20"/>
        </w:rPr>
      </w:pPr>
      <w:r w:rsidRPr="006112AD">
        <w:rPr>
          <w:rFonts w:ascii="Calibri" w:hAnsi="Calibri" w:cs="Calibri"/>
          <w:iCs/>
          <w:sz w:val="20"/>
          <w:szCs w:val="20"/>
        </w:rPr>
        <w:t>Legend: RLC - Residual leucocyte count</w:t>
      </w:r>
      <w:r w:rsidRPr="006112AD">
        <w:rPr>
          <w:rFonts w:ascii="Calibri" w:eastAsiaTheme="majorEastAsia" w:hAnsi="Calibri" w:cs="Calibri"/>
          <w:iCs/>
          <w:sz w:val="20"/>
          <w:szCs w:val="20"/>
        </w:rPr>
        <w:t>, SHT - short holding time.</w:t>
      </w:r>
    </w:p>
    <w:p w14:paraId="20840116" w14:textId="77777777" w:rsidR="0098772B" w:rsidRPr="006112AD" w:rsidRDefault="0098772B" w:rsidP="006112AD">
      <w:pPr>
        <w:spacing w:line="240" w:lineRule="auto"/>
        <w:jc w:val="center"/>
        <w:rPr>
          <w:rFonts w:ascii="Calibri" w:eastAsiaTheme="majorEastAsia" w:hAnsi="Calibri" w:cs="Calibri"/>
          <w:iCs/>
          <w:sz w:val="20"/>
          <w:szCs w:val="20"/>
        </w:rPr>
      </w:pPr>
    </w:p>
    <w:p w14:paraId="51ED0606" w14:textId="77777777" w:rsidR="0098772B" w:rsidRPr="006112AD" w:rsidRDefault="0098772B" w:rsidP="006112AD">
      <w:pPr>
        <w:spacing w:after="0" w:line="240" w:lineRule="auto"/>
        <w:jc w:val="center"/>
        <w:rPr>
          <w:rFonts w:ascii="Calibri" w:hAnsi="Calibri" w:cs="Calibri"/>
          <w:iCs/>
          <w:sz w:val="20"/>
          <w:szCs w:val="20"/>
        </w:rPr>
      </w:pPr>
    </w:p>
    <w:p w14:paraId="0D0CFBBC" w14:textId="77777777" w:rsidR="0098772B" w:rsidRPr="006112AD" w:rsidRDefault="0098772B" w:rsidP="006112AD">
      <w:pPr>
        <w:spacing w:after="0" w:line="240" w:lineRule="auto"/>
        <w:jc w:val="center"/>
        <w:rPr>
          <w:rFonts w:ascii="Calibri" w:hAnsi="Calibri" w:cs="Calibri"/>
          <w:iCs/>
          <w:sz w:val="20"/>
          <w:szCs w:val="20"/>
        </w:rPr>
      </w:pPr>
      <w:r w:rsidRPr="006112AD">
        <w:rPr>
          <w:rFonts w:ascii="Calibri" w:hAnsi="Calibri" w:cs="Calibri"/>
          <w:iCs/>
          <w:noProof/>
          <w:sz w:val="20"/>
          <w:szCs w:val="20"/>
        </w:rPr>
        <w:drawing>
          <wp:inline distT="0" distB="0" distL="0" distR="0" wp14:anchorId="0B5F0C90" wp14:editId="40C35938">
            <wp:extent cx="3310422" cy="2055616"/>
            <wp:effectExtent l="0" t="0" r="4445" b="1905"/>
            <wp:docPr id="1109458652" name="Picture 1" descr="A graph of a number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58652" name="Picture 1" descr="A graph of a number of blue bars&#10;&#10;AI-generated content may be incorrect."/>
                    <pic:cNvPicPr/>
                  </pic:nvPicPr>
                  <pic:blipFill rotWithShape="1">
                    <a:blip r:embed="rId11"/>
                    <a:srcRect l="1596" t="2857" r="1199" b="2196"/>
                    <a:stretch/>
                  </pic:blipFill>
                  <pic:spPr bwMode="auto">
                    <a:xfrm>
                      <a:off x="0" y="0"/>
                      <a:ext cx="3326210" cy="2065420"/>
                    </a:xfrm>
                    <a:prstGeom prst="rect">
                      <a:avLst/>
                    </a:prstGeom>
                    <a:ln>
                      <a:noFill/>
                    </a:ln>
                    <a:extLst>
                      <a:ext uri="{53640926-AAD7-44D8-BBD7-CCE9431645EC}">
                        <a14:shadowObscured xmlns:a14="http://schemas.microsoft.com/office/drawing/2010/main"/>
                      </a:ext>
                    </a:extLst>
                  </pic:spPr>
                </pic:pic>
              </a:graphicData>
            </a:graphic>
          </wp:inline>
        </w:drawing>
      </w:r>
    </w:p>
    <w:p w14:paraId="73C0984E" w14:textId="3C947232" w:rsidR="0098772B" w:rsidRPr="006112AD" w:rsidRDefault="0098772B" w:rsidP="006112AD">
      <w:pPr>
        <w:pStyle w:val="FigureHeading"/>
        <w:spacing w:line="240" w:lineRule="auto"/>
        <w:rPr>
          <w:rFonts w:ascii="Calibri" w:hAnsi="Calibri" w:cs="Calibri"/>
          <w:sz w:val="20"/>
          <w:szCs w:val="20"/>
        </w:rPr>
      </w:pPr>
      <w:bookmarkStart w:id="111" w:name="_Toc198711476"/>
      <w:bookmarkStart w:id="112" w:name="_Hlk198378369"/>
      <w:r w:rsidRPr="006112AD">
        <w:rPr>
          <w:rFonts w:ascii="Calibri" w:hAnsi="Calibri" w:cs="Calibri"/>
          <w:sz w:val="20"/>
          <w:szCs w:val="20"/>
        </w:rPr>
        <w:t>Figure 4: Z-score Distribution (LHT)</w:t>
      </w:r>
      <w:bookmarkEnd w:id="111"/>
    </w:p>
    <w:bookmarkEnd w:id="112"/>
    <w:p w14:paraId="3DB78F65" w14:textId="77777777" w:rsidR="0098772B" w:rsidRPr="006112AD" w:rsidRDefault="0098772B" w:rsidP="006112AD">
      <w:pPr>
        <w:spacing w:line="240" w:lineRule="auto"/>
        <w:jc w:val="center"/>
        <w:rPr>
          <w:rFonts w:ascii="Calibri" w:eastAsiaTheme="majorEastAsia" w:hAnsi="Calibri" w:cs="Calibri"/>
          <w:iCs/>
          <w:sz w:val="20"/>
          <w:szCs w:val="20"/>
        </w:rPr>
      </w:pPr>
      <w:r w:rsidRPr="006112AD">
        <w:rPr>
          <w:rFonts w:ascii="Calibri" w:hAnsi="Calibri" w:cs="Calibri"/>
          <w:iCs/>
          <w:sz w:val="20"/>
          <w:szCs w:val="20"/>
        </w:rPr>
        <w:t>Legend: RLC - Residual leucocyte count</w:t>
      </w:r>
      <w:r w:rsidRPr="006112AD">
        <w:rPr>
          <w:rFonts w:ascii="Calibri" w:eastAsiaTheme="majorEastAsia" w:hAnsi="Calibri" w:cs="Calibri"/>
          <w:iCs/>
          <w:sz w:val="20"/>
          <w:szCs w:val="20"/>
        </w:rPr>
        <w:t>, LHT - long holding time.</w:t>
      </w:r>
    </w:p>
    <w:p w14:paraId="4865AF0F" w14:textId="33E24BBB" w:rsidR="0098772B" w:rsidRPr="006112AD" w:rsidRDefault="0098772B" w:rsidP="006112AD">
      <w:pPr>
        <w:spacing w:after="0" w:line="240" w:lineRule="auto"/>
        <w:jc w:val="both"/>
        <w:rPr>
          <w:rFonts w:ascii="Calibri" w:hAnsi="Calibri" w:cs="Calibri"/>
          <w:iCs/>
          <w:sz w:val="20"/>
          <w:szCs w:val="20"/>
        </w:rPr>
      </w:pPr>
      <w:r w:rsidRPr="006112AD">
        <w:rPr>
          <w:rFonts w:ascii="Calibri" w:hAnsi="Calibri" w:cs="Calibri"/>
          <w:iCs/>
          <w:sz w:val="20"/>
          <w:szCs w:val="20"/>
        </w:rPr>
        <w:t xml:space="preserve">The probability that the Z score exceeded the threshold of -/+3 by chance was calculated using the function </w:t>
      </w:r>
      <w:proofErr w:type="gramStart"/>
      <w:r w:rsidRPr="006112AD">
        <w:rPr>
          <w:rFonts w:ascii="Calibri" w:hAnsi="Calibri" w:cs="Calibri"/>
          <w:iCs/>
          <w:sz w:val="20"/>
          <w:szCs w:val="20"/>
        </w:rPr>
        <w:t>NORM.S.DIST</w:t>
      </w:r>
      <w:proofErr w:type="gramEnd"/>
      <w:r w:rsidRPr="006112AD">
        <w:rPr>
          <w:rFonts w:ascii="Calibri" w:hAnsi="Calibri" w:cs="Calibri"/>
          <w:iCs/>
          <w:sz w:val="20"/>
          <w:szCs w:val="20"/>
        </w:rPr>
        <w:t xml:space="preserve"> in excel and resulted to be 0.0027 (0.00135 x 2), or 2 in 1000. This probability is measured by calculating the area under the graph of the unshaded areas as shown in Figure 5 on both ends of the curve. </w:t>
      </w:r>
    </w:p>
    <w:p w14:paraId="5791548F" w14:textId="764D4861" w:rsidR="0098772B" w:rsidRDefault="0098772B" w:rsidP="006112AD">
      <w:pPr>
        <w:spacing w:after="0" w:line="240" w:lineRule="auto"/>
        <w:jc w:val="both"/>
        <w:rPr>
          <w:rFonts w:ascii="Calibri" w:hAnsi="Calibri" w:cs="Calibri"/>
          <w:iCs/>
          <w:sz w:val="20"/>
          <w:szCs w:val="20"/>
        </w:rPr>
      </w:pPr>
      <w:r w:rsidRPr="006112AD">
        <w:rPr>
          <w:rFonts w:ascii="Calibri" w:hAnsi="Calibri" w:cs="Calibri"/>
          <w:iCs/>
          <w:sz w:val="20"/>
          <w:szCs w:val="20"/>
        </w:rPr>
        <w:t>The fact that in 100 observations, 3 Z scores exceeded 3 (3%) for units with a SHT indicates that they are outliers. For units with a LHT, only 1 outlier was identified in 100 observations (1%).  These outliers can be seen on the far right of the histograms in Figures 3 and 4. All other values were within the Z score values of -3 and 3.</w:t>
      </w:r>
    </w:p>
    <w:p w14:paraId="334A0DCC" w14:textId="77777777" w:rsidR="000462D0" w:rsidRPr="006112AD" w:rsidRDefault="000462D0" w:rsidP="006112AD">
      <w:pPr>
        <w:spacing w:after="0" w:line="240" w:lineRule="auto"/>
        <w:jc w:val="both"/>
        <w:rPr>
          <w:rFonts w:ascii="Calibri" w:hAnsi="Calibri" w:cs="Calibri"/>
          <w:iCs/>
          <w:sz w:val="20"/>
          <w:szCs w:val="20"/>
        </w:rPr>
      </w:pPr>
    </w:p>
    <w:p w14:paraId="7D65DAFF" w14:textId="0C9B8122" w:rsidR="0098772B" w:rsidRPr="006112AD" w:rsidRDefault="00375A3B" w:rsidP="006112AD">
      <w:pPr>
        <w:spacing w:after="0" w:line="240" w:lineRule="auto"/>
        <w:jc w:val="center"/>
        <w:rPr>
          <w:rFonts w:ascii="Calibri" w:hAnsi="Calibri" w:cs="Calibri"/>
          <w:iCs/>
          <w:sz w:val="20"/>
          <w:szCs w:val="20"/>
        </w:rPr>
      </w:pPr>
      <w:r w:rsidRPr="006112AD">
        <w:rPr>
          <w:rFonts w:ascii="Calibri" w:hAnsi="Calibri" w:cs="Calibri"/>
          <w:iCs/>
          <w:noProof/>
          <w:sz w:val="20"/>
          <w:szCs w:val="20"/>
        </w:rPr>
        <mc:AlternateContent>
          <mc:Choice Requires="wps">
            <w:drawing>
              <wp:anchor distT="0" distB="0" distL="114300" distR="114300" simplePos="0" relativeHeight="251672576" behindDoc="0" locked="0" layoutInCell="1" allowOverlap="1" wp14:anchorId="01FE84C4" wp14:editId="46EEBD8D">
                <wp:simplePos x="0" y="0"/>
                <wp:positionH relativeFrom="column">
                  <wp:posOffset>1867535</wp:posOffset>
                </wp:positionH>
                <wp:positionV relativeFrom="paragraph">
                  <wp:posOffset>1812290</wp:posOffset>
                </wp:positionV>
                <wp:extent cx="0" cy="194310"/>
                <wp:effectExtent l="0" t="0" r="38100" b="15240"/>
                <wp:wrapNone/>
                <wp:docPr id="453985250" name="Straight Connector 4"/>
                <wp:cNvGraphicFramePr/>
                <a:graphic xmlns:a="http://schemas.openxmlformats.org/drawingml/2006/main">
                  <a:graphicData uri="http://schemas.microsoft.com/office/word/2010/wordprocessingShape">
                    <wps:wsp>
                      <wps:cNvCnPr/>
                      <wps:spPr>
                        <a:xfrm flipV="1">
                          <a:off x="0" y="0"/>
                          <a:ext cx="0" cy="19431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6778C1" id="Straight Connector 4"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47.05pt,142.7pt" to="147.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" strokecolor="black [3200]" strokeweight="1pt">
                <v:stroke joinstyle="miter"/>
              </v:line>
            </w:pict>
          </mc:Fallback>
        </mc:AlternateContent>
      </w:r>
      <w:r w:rsidRPr="006112AD">
        <w:rPr>
          <w:rFonts w:ascii="Calibri" w:hAnsi="Calibri" w:cs="Calibri"/>
          <w:iCs/>
          <w:noProof/>
          <w:sz w:val="20"/>
          <w:szCs w:val="20"/>
        </w:rPr>
        <mc:AlternateContent>
          <mc:Choice Requires="wps">
            <w:drawing>
              <wp:anchor distT="0" distB="0" distL="114300" distR="114300" simplePos="0" relativeHeight="251673600" behindDoc="0" locked="0" layoutInCell="1" allowOverlap="1" wp14:anchorId="6B15EC3A" wp14:editId="33D3062C">
                <wp:simplePos x="0" y="0"/>
                <wp:positionH relativeFrom="column">
                  <wp:posOffset>4171950</wp:posOffset>
                </wp:positionH>
                <wp:positionV relativeFrom="paragraph">
                  <wp:posOffset>1817733</wp:posOffset>
                </wp:positionV>
                <wp:extent cx="0" cy="194310"/>
                <wp:effectExtent l="0" t="0" r="38100" b="15240"/>
                <wp:wrapNone/>
                <wp:docPr id="632967032" name="Straight Connector 4"/>
                <wp:cNvGraphicFramePr/>
                <a:graphic xmlns:a="http://schemas.openxmlformats.org/drawingml/2006/main">
                  <a:graphicData uri="http://schemas.microsoft.com/office/word/2010/wordprocessingShape">
                    <wps:wsp>
                      <wps:cNvCnPr/>
                      <wps:spPr>
                        <a:xfrm flipV="1">
                          <a:off x="0" y="0"/>
                          <a:ext cx="0" cy="19431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286728" id="Straight Connector 4"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328.5pt,143.15pt" to="328.5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" strokecolor="black [3200]" strokeweight="1pt">
                <v:stroke joinstyle="miter"/>
              </v:line>
            </w:pict>
          </mc:Fallback>
        </mc:AlternateContent>
      </w:r>
      <w:r w:rsidRPr="006112AD">
        <w:rPr>
          <w:rFonts w:ascii="Calibri" w:hAnsi="Calibri" w:cs="Calibri"/>
          <w:iCs/>
          <w:noProof/>
          <w:sz w:val="20"/>
          <w:szCs w:val="20"/>
        </w:rPr>
        <mc:AlternateContent>
          <mc:Choice Requires="wps">
            <w:drawing>
              <wp:anchor distT="45720" distB="45720" distL="114300" distR="114300" simplePos="0" relativeHeight="251671552" behindDoc="0" locked="0" layoutInCell="1" allowOverlap="1" wp14:anchorId="6FA89722" wp14:editId="44B5B245">
                <wp:simplePos x="0" y="0"/>
                <wp:positionH relativeFrom="column">
                  <wp:posOffset>3869690</wp:posOffset>
                </wp:positionH>
                <wp:positionV relativeFrom="paragraph">
                  <wp:posOffset>1418953</wp:posOffset>
                </wp:positionV>
                <wp:extent cx="805815" cy="440055"/>
                <wp:effectExtent l="0" t="0" r="0" b="0"/>
                <wp:wrapNone/>
                <wp:docPr id="366888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440055"/>
                        </a:xfrm>
                        <a:prstGeom prst="rect">
                          <a:avLst/>
                        </a:prstGeom>
                        <a:noFill/>
                        <a:ln w="9525">
                          <a:noFill/>
                          <a:miter lim="800000"/>
                          <a:headEnd/>
                          <a:tailEnd/>
                        </a:ln>
                      </wps:spPr>
                      <wps:txbx>
                        <w:txbxContent>
                          <w:p w14:paraId="29DC7A03" w14:textId="3169C92A" w:rsidR="0098772B" w:rsidRPr="009B30C1" w:rsidRDefault="0098772B" w:rsidP="00FD1FB0">
                            <w:pPr>
                              <w:rPr>
                                <w:rFonts w:ascii="Times New Roman" w:hAnsi="Times New Roman" w:cs="Times New Roman"/>
                                <w:sz w:val="20"/>
                                <w:szCs w:val="20"/>
                              </w:rPr>
                            </w:pPr>
                            <w:r>
                              <w:rPr>
                                <w:rFonts w:ascii="Times New Roman" w:hAnsi="Times New Roman" w:cs="Times New Roman"/>
                                <w:sz w:val="20"/>
                                <w:szCs w:val="20"/>
                              </w:rPr>
                              <w:t>p-</w:t>
                            </w:r>
                            <w:r w:rsidRPr="009B30C1">
                              <w:rPr>
                                <w:rFonts w:ascii="Times New Roman" w:hAnsi="Times New Roman" w:cs="Times New Roman"/>
                                <w:sz w:val="20"/>
                                <w:szCs w:val="20"/>
                              </w:rPr>
                              <w:t>value = 0.00135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89722" id="_x0000_t202" coordsize="21600,21600" o:spt="202" path="m,l,21600r21600,l21600,xe">
                <v:stroke joinstyle="miter"/>
                <v:path gradientshapeok="t" o:connecttype="rect"/>
              </v:shapetype>
              <v:shape id="Text Box 2" o:spid="_x0000_s1026" type="#_x0000_t202" style="position:absolute;left:0;text-align:left;margin-left:304.7pt;margin-top:111.75pt;width:63.45pt;height:34.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" filled="f" stroked="f">
                <v:textbox>
                  <w:txbxContent>
                    <w:p w14:paraId="29DC7A03" w14:textId="3169C92A" w:rsidR="0098772B" w:rsidRPr="009B30C1" w:rsidRDefault="0098772B" w:rsidP="00FD1FB0">
                      <w:pPr>
                        <w:rPr>
                          <w:rFonts w:ascii="Times New Roman" w:hAnsi="Times New Roman" w:cs="Times New Roman"/>
                          <w:sz w:val="20"/>
                          <w:szCs w:val="20"/>
                        </w:rPr>
                      </w:pPr>
                      <w:r>
                        <w:rPr>
                          <w:rFonts w:ascii="Times New Roman" w:hAnsi="Times New Roman" w:cs="Times New Roman"/>
                          <w:sz w:val="20"/>
                          <w:szCs w:val="20"/>
                        </w:rPr>
                        <w:t>p-</w:t>
                      </w:r>
                      <w:r w:rsidRPr="009B30C1">
                        <w:rPr>
                          <w:rFonts w:ascii="Times New Roman" w:hAnsi="Times New Roman" w:cs="Times New Roman"/>
                          <w:sz w:val="20"/>
                          <w:szCs w:val="20"/>
                        </w:rPr>
                        <w:t>value = 0.00135</w:t>
                      </w:r>
                    </w:p>
                  </w:txbxContent>
                </v:textbox>
              </v:shape>
            </w:pict>
          </mc:Fallback>
        </mc:AlternateContent>
      </w:r>
      <w:r w:rsidR="005178DA" w:rsidRPr="006112AD">
        <w:rPr>
          <w:rFonts w:ascii="Calibri" w:hAnsi="Calibri" w:cs="Calibri"/>
          <w:iCs/>
          <w:noProof/>
          <w:sz w:val="20"/>
          <w:szCs w:val="20"/>
        </w:rPr>
        <mc:AlternateContent>
          <mc:Choice Requires="wps">
            <w:drawing>
              <wp:anchor distT="45720" distB="45720" distL="114300" distR="114300" simplePos="0" relativeHeight="251670528" behindDoc="0" locked="0" layoutInCell="1" allowOverlap="1" wp14:anchorId="1E3552D8" wp14:editId="3DF3E3D5">
                <wp:simplePos x="0" y="0"/>
                <wp:positionH relativeFrom="column">
                  <wp:posOffset>1552575</wp:posOffset>
                </wp:positionH>
                <wp:positionV relativeFrom="paragraph">
                  <wp:posOffset>1423670</wp:posOffset>
                </wp:positionV>
                <wp:extent cx="805815" cy="440055"/>
                <wp:effectExtent l="0" t="0" r="0" b="0"/>
                <wp:wrapNone/>
                <wp:docPr id="466278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440055"/>
                        </a:xfrm>
                        <a:prstGeom prst="rect">
                          <a:avLst/>
                        </a:prstGeom>
                        <a:noFill/>
                        <a:ln w="9525">
                          <a:noFill/>
                          <a:miter lim="800000"/>
                          <a:headEnd/>
                          <a:tailEnd/>
                        </a:ln>
                      </wps:spPr>
                      <wps:txbx>
                        <w:txbxContent>
                          <w:p w14:paraId="324CF4B1" w14:textId="256F8D53" w:rsidR="0098772B" w:rsidRPr="009B30C1" w:rsidRDefault="0098772B">
                            <w:pPr>
                              <w:rPr>
                                <w:rFonts w:ascii="Times New Roman" w:hAnsi="Times New Roman" w:cs="Times New Roman"/>
                                <w:sz w:val="20"/>
                                <w:szCs w:val="20"/>
                              </w:rPr>
                            </w:pPr>
                            <w:r>
                              <w:rPr>
                                <w:rFonts w:ascii="Times New Roman" w:hAnsi="Times New Roman" w:cs="Times New Roman"/>
                                <w:sz w:val="20"/>
                                <w:szCs w:val="20"/>
                              </w:rPr>
                              <w:t>p-</w:t>
                            </w:r>
                            <w:r w:rsidRPr="009B30C1">
                              <w:rPr>
                                <w:rFonts w:ascii="Times New Roman" w:hAnsi="Times New Roman" w:cs="Times New Roman"/>
                                <w:sz w:val="20"/>
                                <w:szCs w:val="20"/>
                              </w:rPr>
                              <w:t>value = 0.00135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552D8" id="_x0000_s1027" type="#_x0000_t202" style="position:absolute;left:0;text-align:left;margin-left:122.25pt;margin-top:112.1pt;width:63.45pt;height:34.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" filled="f" stroked="f">
                <v:textbox>
                  <w:txbxContent>
                    <w:p w14:paraId="324CF4B1" w14:textId="256F8D53" w:rsidR="0098772B" w:rsidRPr="009B30C1" w:rsidRDefault="0098772B">
                      <w:pPr>
                        <w:rPr>
                          <w:rFonts w:ascii="Times New Roman" w:hAnsi="Times New Roman" w:cs="Times New Roman"/>
                          <w:sz w:val="20"/>
                          <w:szCs w:val="20"/>
                        </w:rPr>
                      </w:pPr>
                      <w:r>
                        <w:rPr>
                          <w:rFonts w:ascii="Times New Roman" w:hAnsi="Times New Roman" w:cs="Times New Roman"/>
                          <w:sz w:val="20"/>
                          <w:szCs w:val="20"/>
                        </w:rPr>
                        <w:t>p-</w:t>
                      </w:r>
                      <w:r w:rsidRPr="009B30C1">
                        <w:rPr>
                          <w:rFonts w:ascii="Times New Roman" w:hAnsi="Times New Roman" w:cs="Times New Roman"/>
                          <w:sz w:val="20"/>
                          <w:szCs w:val="20"/>
                        </w:rPr>
                        <w:t>value = 0.00135</w:t>
                      </w:r>
                    </w:p>
                  </w:txbxContent>
                </v:textbox>
              </v:shape>
            </w:pict>
          </mc:Fallback>
        </mc:AlternateContent>
      </w:r>
      <w:r w:rsidR="0098772B" w:rsidRPr="006112AD">
        <w:rPr>
          <w:rFonts w:ascii="Calibri" w:hAnsi="Calibri" w:cs="Calibri"/>
          <w:noProof/>
          <w:sz w:val="20"/>
          <w:szCs w:val="20"/>
        </w:rPr>
        <w:drawing>
          <wp:inline distT="0" distB="0" distL="0" distR="0" wp14:anchorId="293D573A" wp14:editId="50783E3E">
            <wp:extent cx="3447336" cy="2295805"/>
            <wp:effectExtent l="0" t="0" r="1270" b="0"/>
            <wp:docPr id="235032879" name="Picture 3" descr="A red and blue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32879" name="Picture 3" descr="A red and blue curve&#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3487724" cy="2322702"/>
                    </a:xfrm>
                    <a:prstGeom prst="rect">
                      <a:avLst/>
                    </a:prstGeom>
                    <a:noFill/>
                    <a:ln>
                      <a:noFill/>
                    </a:ln>
                    <a:extLst>
                      <a:ext uri="{53640926-AAD7-44D8-BBD7-CCE9431645EC}">
                        <a14:shadowObscured xmlns:a14="http://schemas.microsoft.com/office/drawing/2010/main"/>
                      </a:ext>
                    </a:extLst>
                  </pic:spPr>
                </pic:pic>
              </a:graphicData>
            </a:graphic>
          </wp:inline>
        </w:drawing>
      </w:r>
    </w:p>
    <w:p w14:paraId="478F5BCD" w14:textId="4F3CDA56" w:rsidR="0098772B" w:rsidRPr="006112AD" w:rsidRDefault="0098772B" w:rsidP="006112AD">
      <w:pPr>
        <w:pStyle w:val="FigureHeading"/>
        <w:spacing w:line="240" w:lineRule="auto"/>
        <w:rPr>
          <w:rFonts w:ascii="Calibri" w:hAnsi="Calibri" w:cs="Calibri"/>
          <w:sz w:val="20"/>
          <w:szCs w:val="20"/>
        </w:rPr>
      </w:pPr>
      <w:bookmarkStart w:id="113" w:name="_Toc198711477"/>
      <w:bookmarkStart w:id="114" w:name="_Hlk198378380"/>
      <w:r w:rsidRPr="006112AD">
        <w:rPr>
          <w:rFonts w:ascii="Calibri" w:hAnsi="Calibri" w:cs="Calibri"/>
          <w:sz w:val="20"/>
          <w:szCs w:val="20"/>
        </w:rPr>
        <w:lastRenderedPageBreak/>
        <w:t>Figure 5: Normal Distribution Curve</w:t>
      </w:r>
      <w:bookmarkEnd w:id="113"/>
    </w:p>
    <w:bookmarkEnd w:id="114"/>
    <w:p w14:paraId="70D6A5FC" w14:textId="2649E63E" w:rsidR="003E5915" w:rsidRPr="006112AD" w:rsidRDefault="0098772B" w:rsidP="000462D0">
      <w:pPr>
        <w:spacing w:after="0" w:line="240" w:lineRule="auto"/>
        <w:jc w:val="center"/>
        <w:rPr>
          <w:rFonts w:ascii="Calibri" w:hAnsi="Calibri" w:cs="Calibri"/>
          <w:iCs/>
          <w:sz w:val="20"/>
          <w:szCs w:val="20"/>
        </w:rPr>
      </w:pPr>
      <w:r w:rsidRPr="006112AD">
        <w:rPr>
          <w:rFonts w:ascii="Calibri" w:hAnsi="Calibri" w:cs="Calibri"/>
          <w:iCs/>
          <w:sz w:val="20"/>
          <w:szCs w:val="20"/>
        </w:rPr>
        <w:t>Normal distribution curve to demonstrate how the probability that values will have a Z-score above or below a certain threshold, in this case +/-3 is calculated. These outliers would be found in the unshaded areas. The total probability would be the p-value multiplied by 2 to add both ends of the curve, thus 0.0027 (0.00135 x 2) in this case.</w:t>
      </w:r>
    </w:p>
    <w:p w14:paraId="76519A99" w14:textId="5F1D5189" w:rsidR="004B78CF" w:rsidRPr="006112AD" w:rsidRDefault="0098772B" w:rsidP="006112AD">
      <w:pPr>
        <w:spacing w:after="0" w:line="240" w:lineRule="auto"/>
        <w:jc w:val="both"/>
        <w:rPr>
          <w:rFonts w:ascii="Calibri" w:hAnsi="Calibri" w:cs="Calibri"/>
          <w:iCs/>
          <w:sz w:val="20"/>
          <w:szCs w:val="20"/>
        </w:rPr>
      </w:pPr>
      <w:r w:rsidRPr="006112AD">
        <w:rPr>
          <w:rFonts w:ascii="Calibri" w:hAnsi="Calibri" w:cs="Calibri"/>
          <w:iCs/>
          <w:sz w:val="20"/>
          <w:szCs w:val="20"/>
        </w:rPr>
        <w:t xml:space="preserve">As can be seen in Table </w:t>
      </w:r>
      <w:r w:rsidR="004974F8" w:rsidRPr="006112AD">
        <w:rPr>
          <w:rFonts w:ascii="Calibri" w:hAnsi="Calibri" w:cs="Calibri"/>
          <w:iCs/>
          <w:sz w:val="20"/>
          <w:szCs w:val="20"/>
        </w:rPr>
        <w:t>5</w:t>
      </w:r>
      <w:r w:rsidRPr="006112AD">
        <w:rPr>
          <w:rFonts w:ascii="Calibri" w:hAnsi="Calibri" w:cs="Calibri"/>
          <w:iCs/>
          <w:sz w:val="20"/>
          <w:szCs w:val="20"/>
        </w:rPr>
        <w:t xml:space="preserve">, the p-values for both RLC cohorts resulted to be &lt;0.001 with regards to RLC. Since the p-values were less than the 0.05 level of significance, the null hypothesis, which assumed a normal data distribution, was rejected and this confirmed that both cohorts followed a non-normal distribution. </w:t>
      </w:r>
    </w:p>
    <w:p w14:paraId="5E040A9B" w14:textId="77777777" w:rsidR="0098772B" w:rsidRPr="006112AD" w:rsidRDefault="0098772B" w:rsidP="006112AD">
      <w:pPr>
        <w:spacing w:after="0" w:line="240" w:lineRule="auto"/>
        <w:jc w:val="both"/>
        <w:rPr>
          <w:rFonts w:ascii="Calibri" w:hAnsi="Calibri" w:cs="Calibri"/>
          <w:iCs/>
          <w:sz w:val="20"/>
          <w:szCs w:val="20"/>
        </w:rPr>
      </w:pPr>
    </w:p>
    <w:p w14:paraId="198A89BD" w14:textId="300B3F59" w:rsidR="0098772B" w:rsidRPr="006112AD" w:rsidRDefault="0098772B" w:rsidP="006112AD">
      <w:pPr>
        <w:pStyle w:val="TableHeading"/>
        <w:spacing w:line="240" w:lineRule="auto"/>
        <w:rPr>
          <w:rFonts w:ascii="Calibri" w:hAnsi="Calibri" w:cs="Calibri"/>
          <w:sz w:val="20"/>
          <w:szCs w:val="20"/>
        </w:rPr>
      </w:pPr>
      <w:bookmarkStart w:id="115" w:name="_Toc198711784"/>
      <w:r w:rsidRPr="006112AD">
        <w:rPr>
          <w:rFonts w:ascii="Calibri" w:hAnsi="Calibri" w:cs="Calibri"/>
          <w:sz w:val="20"/>
          <w:szCs w:val="20"/>
        </w:rPr>
        <w:t xml:space="preserve">Table </w:t>
      </w:r>
      <w:r w:rsidR="004974F8" w:rsidRPr="006112AD">
        <w:rPr>
          <w:rFonts w:ascii="Calibri" w:hAnsi="Calibri" w:cs="Calibri"/>
          <w:sz w:val="20"/>
          <w:szCs w:val="20"/>
        </w:rPr>
        <w:t>5</w:t>
      </w:r>
      <w:r w:rsidRPr="006112AD">
        <w:rPr>
          <w:rFonts w:ascii="Calibri" w:hAnsi="Calibri" w:cs="Calibri"/>
          <w:sz w:val="20"/>
          <w:szCs w:val="20"/>
        </w:rPr>
        <w:t>: Test of Normalit</w:t>
      </w:r>
      <w:r w:rsidR="00107B2B" w:rsidRPr="006112AD">
        <w:rPr>
          <w:rFonts w:ascii="Calibri" w:hAnsi="Calibri" w:cs="Calibri"/>
          <w:sz w:val="20"/>
          <w:szCs w:val="20"/>
        </w:rPr>
        <w:t>y</w:t>
      </w:r>
      <w:bookmarkEnd w:id="115"/>
    </w:p>
    <w:p w14:paraId="72D2E595" w14:textId="1D2CB32A" w:rsidR="0098772B" w:rsidRPr="006112AD" w:rsidRDefault="0098772B" w:rsidP="006112AD">
      <w:pPr>
        <w:spacing w:after="0" w:line="240" w:lineRule="auto"/>
        <w:jc w:val="center"/>
        <w:rPr>
          <w:rFonts w:ascii="Calibri" w:hAnsi="Calibri" w:cs="Calibri"/>
          <w:iCs/>
          <w:sz w:val="20"/>
          <w:szCs w:val="20"/>
        </w:rPr>
      </w:pPr>
      <w:r w:rsidRPr="006112AD">
        <w:rPr>
          <w:rFonts w:ascii="Calibri" w:hAnsi="Calibri" w:cs="Calibri"/>
          <w:iCs/>
          <w:sz w:val="20"/>
          <w:szCs w:val="20"/>
        </w:rPr>
        <w:t>The p-value obtained was &lt;0.001 for both cohorts, therefore smaller than the 0.05 level of significance, showing that both data distributions were non-normal.</w:t>
      </w:r>
    </w:p>
    <w:p w14:paraId="1FBE81BD" w14:textId="74CF5C4B" w:rsidR="0098772B" w:rsidRPr="006112AD" w:rsidRDefault="0098772B" w:rsidP="006112AD">
      <w:pPr>
        <w:spacing w:line="240" w:lineRule="auto"/>
        <w:jc w:val="center"/>
        <w:rPr>
          <w:rFonts w:ascii="Calibri" w:hAnsi="Calibri" w:cs="Calibri"/>
          <w:iCs/>
          <w:sz w:val="20"/>
          <w:szCs w:val="20"/>
        </w:rPr>
      </w:pPr>
      <w:r w:rsidRPr="006112AD">
        <w:rPr>
          <w:rFonts w:ascii="Calibri" w:hAnsi="Calibri" w:cs="Calibri"/>
          <w:iCs/>
          <w:sz w:val="20"/>
          <w:szCs w:val="20"/>
        </w:rPr>
        <w:t>Legend: RLC - Residual leucocyte count, SHT - Short holding time, LHT - Long holding time.</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3"/>
        <w:gridCol w:w="1309"/>
        <w:gridCol w:w="1309"/>
        <w:gridCol w:w="1310"/>
      </w:tblGrid>
      <w:tr w:rsidR="0098772B" w:rsidRPr="006112AD" w14:paraId="7E169E6A" w14:textId="77777777" w:rsidTr="009B30C1">
        <w:trPr>
          <w:trHeight w:val="122"/>
          <w:jc w:val="center"/>
        </w:trPr>
        <w:tc>
          <w:tcPr>
            <w:tcW w:w="993" w:type="dxa"/>
            <w:vAlign w:val="bottom"/>
          </w:tcPr>
          <w:p w14:paraId="6A83E5D5" w14:textId="77777777" w:rsidR="0098772B" w:rsidRPr="006112AD" w:rsidRDefault="0098772B" w:rsidP="006112AD">
            <w:pPr>
              <w:jc w:val="center"/>
              <w:rPr>
                <w:rFonts w:ascii="Calibri" w:hAnsi="Calibri" w:cs="Calibri"/>
                <w:iCs/>
                <w:sz w:val="20"/>
                <w:szCs w:val="20"/>
              </w:rPr>
            </w:pPr>
          </w:p>
        </w:tc>
        <w:tc>
          <w:tcPr>
            <w:tcW w:w="3928" w:type="dxa"/>
            <w:gridSpan w:val="3"/>
          </w:tcPr>
          <w:p w14:paraId="611502BB"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Shapiro-Wilk</w:t>
            </w:r>
          </w:p>
        </w:tc>
      </w:tr>
      <w:tr w:rsidR="0098772B" w:rsidRPr="006112AD" w14:paraId="048DED83" w14:textId="77777777" w:rsidTr="009B30C1">
        <w:trPr>
          <w:trHeight w:val="122"/>
          <w:jc w:val="center"/>
        </w:trPr>
        <w:tc>
          <w:tcPr>
            <w:tcW w:w="993" w:type="dxa"/>
            <w:vAlign w:val="bottom"/>
          </w:tcPr>
          <w:p w14:paraId="44C84A95" w14:textId="77777777" w:rsidR="0098772B" w:rsidRPr="006112AD" w:rsidRDefault="0098772B" w:rsidP="006112AD">
            <w:pPr>
              <w:jc w:val="center"/>
              <w:rPr>
                <w:rFonts w:ascii="Calibri" w:hAnsi="Calibri" w:cs="Calibri"/>
                <w:iCs/>
                <w:sz w:val="20"/>
                <w:szCs w:val="20"/>
              </w:rPr>
            </w:pPr>
          </w:p>
        </w:tc>
        <w:tc>
          <w:tcPr>
            <w:tcW w:w="1309" w:type="dxa"/>
            <w:vAlign w:val="bottom"/>
          </w:tcPr>
          <w:p w14:paraId="52E21C8E"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Statistic</w:t>
            </w:r>
          </w:p>
        </w:tc>
        <w:tc>
          <w:tcPr>
            <w:tcW w:w="1309" w:type="dxa"/>
            <w:vAlign w:val="center"/>
          </w:tcPr>
          <w:p w14:paraId="476E590A"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df</w:t>
            </w:r>
          </w:p>
        </w:tc>
        <w:tc>
          <w:tcPr>
            <w:tcW w:w="1310" w:type="dxa"/>
            <w:vAlign w:val="center"/>
          </w:tcPr>
          <w:p w14:paraId="6F5AAC39" w14:textId="5BA60AA1"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p-value</w:t>
            </w:r>
          </w:p>
        </w:tc>
      </w:tr>
      <w:tr w:rsidR="0098772B" w:rsidRPr="006112AD" w14:paraId="5DE1BD4C" w14:textId="77777777" w:rsidTr="009B30C1">
        <w:trPr>
          <w:trHeight w:val="317"/>
          <w:jc w:val="center"/>
        </w:trPr>
        <w:tc>
          <w:tcPr>
            <w:tcW w:w="993" w:type="dxa"/>
            <w:vAlign w:val="center"/>
          </w:tcPr>
          <w:p w14:paraId="53DD7628"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SHT</w:t>
            </w:r>
          </w:p>
        </w:tc>
        <w:tc>
          <w:tcPr>
            <w:tcW w:w="1309" w:type="dxa"/>
            <w:vAlign w:val="center"/>
          </w:tcPr>
          <w:p w14:paraId="720AC5E1"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0.535</w:t>
            </w:r>
          </w:p>
        </w:tc>
        <w:tc>
          <w:tcPr>
            <w:tcW w:w="1309" w:type="dxa"/>
            <w:vAlign w:val="center"/>
          </w:tcPr>
          <w:p w14:paraId="2256316A"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1310" w:type="dxa"/>
            <w:vAlign w:val="center"/>
          </w:tcPr>
          <w:p w14:paraId="5FB27FE7"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&lt;0.001</w:t>
            </w:r>
          </w:p>
        </w:tc>
      </w:tr>
      <w:tr w:rsidR="0098772B" w:rsidRPr="006112AD" w14:paraId="46E40E59" w14:textId="77777777" w:rsidTr="009B30C1">
        <w:trPr>
          <w:trHeight w:val="318"/>
          <w:jc w:val="center"/>
        </w:trPr>
        <w:tc>
          <w:tcPr>
            <w:tcW w:w="993" w:type="dxa"/>
            <w:tcBorders>
              <w:bottom w:val="single" w:sz="4" w:space="0" w:color="auto"/>
            </w:tcBorders>
            <w:vAlign w:val="center"/>
          </w:tcPr>
          <w:p w14:paraId="3827FA88"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LHT</w:t>
            </w:r>
          </w:p>
        </w:tc>
        <w:tc>
          <w:tcPr>
            <w:tcW w:w="1309" w:type="dxa"/>
            <w:tcBorders>
              <w:bottom w:val="single" w:sz="4" w:space="0" w:color="auto"/>
            </w:tcBorders>
            <w:vAlign w:val="center"/>
          </w:tcPr>
          <w:p w14:paraId="70C2F8CA"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0.691</w:t>
            </w:r>
          </w:p>
        </w:tc>
        <w:tc>
          <w:tcPr>
            <w:tcW w:w="1309" w:type="dxa"/>
            <w:tcBorders>
              <w:bottom w:val="single" w:sz="4" w:space="0" w:color="auto"/>
            </w:tcBorders>
            <w:vAlign w:val="center"/>
          </w:tcPr>
          <w:p w14:paraId="02CF3EDE"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1310" w:type="dxa"/>
            <w:tcBorders>
              <w:bottom w:val="single" w:sz="4" w:space="0" w:color="auto"/>
            </w:tcBorders>
            <w:vAlign w:val="center"/>
          </w:tcPr>
          <w:p w14:paraId="63AB8A43"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&lt;0.001</w:t>
            </w:r>
          </w:p>
        </w:tc>
      </w:tr>
    </w:tbl>
    <w:p w14:paraId="434E6D09" w14:textId="77777777" w:rsidR="0098772B" w:rsidRPr="006112AD" w:rsidRDefault="0098772B" w:rsidP="006112AD">
      <w:pPr>
        <w:spacing w:after="0" w:line="240" w:lineRule="auto"/>
        <w:rPr>
          <w:rFonts w:ascii="Calibri" w:hAnsi="Calibri" w:cs="Calibri"/>
          <w:b/>
          <w:bCs/>
          <w:iCs/>
          <w:sz w:val="20"/>
          <w:szCs w:val="20"/>
        </w:rPr>
      </w:pPr>
    </w:p>
    <w:p w14:paraId="0401AEB7" w14:textId="06F80512" w:rsidR="0098772B" w:rsidRPr="006112AD" w:rsidRDefault="0098772B" w:rsidP="006112AD">
      <w:pPr>
        <w:spacing w:before="240" w:after="0" w:line="240" w:lineRule="auto"/>
        <w:jc w:val="both"/>
        <w:rPr>
          <w:rFonts w:ascii="Calibri" w:hAnsi="Calibri" w:cs="Calibri"/>
          <w:iCs/>
          <w:sz w:val="20"/>
          <w:szCs w:val="20"/>
        </w:rPr>
      </w:pPr>
      <w:r w:rsidRPr="006112AD">
        <w:rPr>
          <w:rFonts w:ascii="Calibri" w:hAnsi="Calibri" w:cs="Calibri"/>
          <w:iCs/>
          <w:sz w:val="20"/>
          <w:szCs w:val="20"/>
        </w:rPr>
        <w:t xml:space="preserve">The Mann-Whitney test also showed a p-value of &lt;0.05 when comparing the two cohorts as can be seen in Table </w:t>
      </w:r>
      <w:r w:rsidR="004974F8" w:rsidRPr="006112AD">
        <w:rPr>
          <w:rFonts w:ascii="Calibri" w:hAnsi="Calibri" w:cs="Calibri"/>
          <w:iCs/>
          <w:sz w:val="20"/>
          <w:szCs w:val="20"/>
        </w:rPr>
        <w:t>6</w:t>
      </w:r>
      <w:r w:rsidRPr="006112AD">
        <w:rPr>
          <w:rFonts w:ascii="Calibri" w:hAnsi="Calibri" w:cs="Calibri"/>
          <w:iCs/>
          <w:sz w:val="20"/>
          <w:szCs w:val="20"/>
        </w:rPr>
        <w:t xml:space="preserve">. Therefore, in this case, the null hypothesis which stated that there is an insignificant difference between the means, was rejected. Hence, there is a significance statistical difference between the means of the two cohorts. </w:t>
      </w:r>
    </w:p>
    <w:p w14:paraId="0905AAF6" w14:textId="77777777" w:rsidR="004974F8" w:rsidRPr="006112AD" w:rsidRDefault="004974F8" w:rsidP="006112AD">
      <w:pPr>
        <w:pStyle w:val="TableHeading"/>
        <w:spacing w:line="240" w:lineRule="auto"/>
        <w:rPr>
          <w:rFonts w:ascii="Calibri" w:hAnsi="Calibri" w:cs="Calibri"/>
          <w:sz w:val="20"/>
          <w:szCs w:val="20"/>
        </w:rPr>
      </w:pPr>
      <w:bookmarkStart w:id="116" w:name="_Hlk198378454"/>
      <w:bookmarkStart w:id="117" w:name="_Toc198711785"/>
    </w:p>
    <w:p w14:paraId="20CA9954" w14:textId="34150019" w:rsidR="0098772B" w:rsidRPr="006112AD" w:rsidRDefault="0098772B" w:rsidP="006112AD">
      <w:pPr>
        <w:pStyle w:val="TableHeading"/>
        <w:spacing w:line="240" w:lineRule="auto"/>
        <w:rPr>
          <w:rFonts w:ascii="Calibri" w:hAnsi="Calibri" w:cs="Calibri"/>
          <w:sz w:val="20"/>
          <w:szCs w:val="20"/>
        </w:rPr>
      </w:pPr>
      <w:r w:rsidRPr="006112AD">
        <w:rPr>
          <w:rFonts w:ascii="Calibri" w:hAnsi="Calibri" w:cs="Calibri"/>
          <w:sz w:val="20"/>
          <w:szCs w:val="20"/>
        </w:rPr>
        <w:t xml:space="preserve">Table </w:t>
      </w:r>
      <w:r w:rsidR="00540767">
        <w:rPr>
          <w:rFonts w:ascii="Calibri" w:hAnsi="Calibri" w:cs="Calibri"/>
          <w:sz w:val="20"/>
          <w:szCs w:val="20"/>
        </w:rPr>
        <w:t>6</w:t>
      </w:r>
      <w:r w:rsidRPr="006112AD">
        <w:rPr>
          <w:rFonts w:ascii="Calibri" w:hAnsi="Calibri" w:cs="Calibri"/>
          <w:sz w:val="20"/>
          <w:szCs w:val="20"/>
        </w:rPr>
        <w:t>: Mann-Whitney Test</w:t>
      </w:r>
      <w:bookmarkEnd w:id="116"/>
      <w:bookmarkEnd w:id="117"/>
    </w:p>
    <w:p w14:paraId="1768DE78" w14:textId="2741C345" w:rsidR="0098772B" w:rsidRPr="006112AD" w:rsidRDefault="0098772B" w:rsidP="006112AD">
      <w:pPr>
        <w:spacing w:after="0" w:line="240" w:lineRule="auto"/>
        <w:jc w:val="center"/>
        <w:rPr>
          <w:rFonts w:ascii="Calibri" w:hAnsi="Calibri" w:cs="Calibri"/>
          <w:iCs/>
          <w:sz w:val="20"/>
          <w:szCs w:val="20"/>
        </w:rPr>
      </w:pPr>
      <w:r w:rsidRPr="006112AD">
        <w:rPr>
          <w:rFonts w:ascii="Calibri" w:hAnsi="Calibri" w:cs="Calibri"/>
          <w:iCs/>
          <w:sz w:val="20"/>
          <w:szCs w:val="20"/>
        </w:rPr>
        <w:t>The p-value of &lt;0.001 determined that there was a significant difference between the means of the two holding time cohorts with regards to RLC.</w:t>
      </w:r>
    </w:p>
    <w:p w14:paraId="2D2B68DA" w14:textId="76877134" w:rsidR="0098772B" w:rsidRPr="006112AD" w:rsidRDefault="0098772B" w:rsidP="006112AD">
      <w:pPr>
        <w:spacing w:line="240" w:lineRule="auto"/>
        <w:jc w:val="center"/>
        <w:rPr>
          <w:rFonts w:ascii="Calibri" w:hAnsi="Calibri" w:cs="Calibri"/>
          <w:iCs/>
          <w:sz w:val="20"/>
          <w:szCs w:val="20"/>
        </w:rPr>
      </w:pPr>
      <w:r w:rsidRPr="006112AD">
        <w:rPr>
          <w:rFonts w:ascii="Calibri" w:hAnsi="Calibri" w:cs="Calibri"/>
          <w:iCs/>
          <w:sz w:val="20"/>
          <w:szCs w:val="20"/>
        </w:rPr>
        <w:t>Legend: RLC - Residual leucocyte count</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40"/>
        <w:gridCol w:w="1640"/>
      </w:tblGrid>
      <w:tr w:rsidR="0098772B" w:rsidRPr="006112AD" w14:paraId="6F04AA8E" w14:textId="77777777" w:rsidTr="009B30C1">
        <w:trPr>
          <w:trHeight w:val="276"/>
          <w:jc w:val="center"/>
        </w:trPr>
        <w:tc>
          <w:tcPr>
            <w:tcW w:w="1640" w:type="dxa"/>
            <w:tcBorders>
              <w:top w:val="single" w:sz="4" w:space="0" w:color="auto"/>
            </w:tcBorders>
            <w:vAlign w:val="center"/>
          </w:tcPr>
          <w:p w14:paraId="75624311" w14:textId="52F27E78"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U-value</w:t>
            </w:r>
          </w:p>
        </w:tc>
        <w:tc>
          <w:tcPr>
            <w:tcW w:w="1640" w:type="dxa"/>
            <w:tcBorders>
              <w:top w:val="single" w:sz="4" w:space="0" w:color="auto"/>
            </w:tcBorders>
            <w:vAlign w:val="center"/>
          </w:tcPr>
          <w:p w14:paraId="55B3D524"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3058</w:t>
            </w:r>
          </w:p>
        </w:tc>
      </w:tr>
      <w:tr w:rsidR="0098772B" w:rsidRPr="006112AD" w14:paraId="45396FFC" w14:textId="77777777" w:rsidTr="009B30C1">
        <w:trPr>
          <w:trHeight w:val="276"/>
          <w:jc w:val="center"/>
        </w:trPr>
        <w:tc>
          <w:tcPr>
            <w:tcW w:w="1640" w:type="dxa"/>
            <w:tcBorders>
              <w:bottom w:val="single" w:sz="4" w:space="0" w:color="auto"/>
            </w:tcBorders>
            <w:vAlign w:val="center"/>
          </w:tcPr>
          <w:p w14:paraId="210FF9AE" w14:textId="7F0DE40B"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p-value</w:t>
            </w:r>
          </w:p>
        </w:tc>
        <w:tc>
          <w:tcPr>
            <w:tcW w:w="1640" w:type="dxa"/>
            <w:tcBorders>
              <w:bottom w:val="single" w:sz="4" w:space="0" w:color="auto"/>
            </w:tcBorders>
            <w:vAlign w:val="center"/>
          </w:tcPr>
          <w:p w14:paraId="7CEA57DB"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&lt;0.001</w:t>
            </w:r>
          </w:p>
        </w:tc>
      </w:tr>
    </w:tbl>
    <w:p w14:paraId="4C35BD1A" w14:textId="77777777" w:rsidR="009275F3" w:rsidRDefault="009275F3" w:rsidP="006112AD">
      <w:pPr>
        <w:spacing w:after="0" w:line="240" w:lineRule="auto"/>
        <w:jc w:val="both"/>
        <w:rPr>
          <w:rFonts w:ascii="Calibri" w:hAnsi="Calibri" w:cs="Calibri"/>
          <w:iCs/>
          <w:sz w:val="20"/>
          <w:szCs w:val="20"/>
        </w:rPr>
      </w:pPr>
    </w:p>
    <w:p w14:paraId="198D8C09" w14:textId="2AB06595" w:rsidR="0098772B" w:rsidRPr="006112AD" w:rsidRDefault="0098772B" w:rsidP="006112AD">
      <w:pPr>
        <w:spacing w:after="0" w:line="240" w:lineRule="auto"/>
        <w:jc w:val="both"/>
        <w:rPr>
          <w:rFonts w:ascii="Calibri" w:hAnsi="Calibri" w:cs="Calibri"/>
          <w:iCs/>
          <w:sz w:val="20"/>
          <w:szCs w:val="20"/>
        </w:rPr>
      </w:pPr>
      <w:r w:rsidRPr="006112AD">
        <w:rPr>
          <w:rFonts w:ascii="Calibri" w:hAnsi="Calibri" w:cs="Calibri"/>
          <w:iCs/>
          <w:sz w:val="20"/>
          <w:szCs w:val="20"/>
        </w:rPr>
        <w:t xml:space="preserve">The error bar graph in Figure 6 displays the 95% confidence interval for the actual mean RLC for short and long holding times respectively. The fact that the two confidence intervals, represented by the whiskers in the figure, do not overlap, indicates that the mean RLC for units with a SHT is significantly larger than the corresponding mean RLC for the LHT cohort. The lower limit for the SHT cohort is larger than the higher limit of the LHT cohort as shown by the whiskers on the graph. It can also be noted that the SHT bar is much higher, showing that there was a wider range of values, whereas the LHT cohort had more consistent values within a smaller range.  </w:t>
      </w:r>
    </w:p>
    <w:p w14:paraId="6641EF56" w14:textId="77777777" w:rsidR="0098772B" w:rsidRPr="006112AD" w:rsidRDefault="0098772B" w:rsidP="006112AD">
      <w:pPr>
        <w:spacing w:after="0" w:line="240" w:lineRule="auto"/>
        <w:jc w:val="both"/>
        <w:rPr>
          <w:rFonts w:ascii="Calibri" w:hAnsi="Calibri" w:cs="Calibri"/>
          <w:iCs/>
          <w:sz w:val="20"/>
          <w:szCs w:val="20"/>
        </w:rPr>
      </w:pPr>
    </w:p>
    <w:p w14:paraId="121EB438" w14:textId="4158EB32" w:rsidR="0098772B" w:rsidRPr="006112AD" w:rsidRDefault="0098772B" w:rsidP="006112AD">
      <w:pPr>
        <w:spacing w:after="0" w:line="240" w:lineRule="auto"/>
        <w:jc w:val="center"/>
        <w:rPr>
          <w:rFonts w:ascii="Calibri" w:hAnsi="Calibri" w:cs="Calibri"/>
          <w:b/>
          <w:bCs/>
          <w:iCs/>
          <w:sz w:val="20"/>
          <w:szCs w:val="20"/>
        </w:rPr>
      </w:pPr>
      <w:r w:rsidRPr="006112AD">
        <w:rPr>
          <w:rFonts w:ascii="Calibri" w:hAnsi="Calibri" w:cs="Calibri"/>
          <w:iCs/>
          <w:noProof/>
          <w:sz w:val="20"/>
          <w:szCs w:val="20"/>
        </w:rPr>
        <w:drawing>
          <wp:inline distT="0" distB="0" distL="0" distR="0" wp14:anchorId="1805D891" wp14:editId="5509F7C7">
            <wp:extent cx="3520685" cy="2157660"/>
            <wp:effectExtent l="0" t="0" r="3810" b="0"/>
            <wp:docPr id="10230469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1728" b="4999"/>
                    <a:stretch/>
                  </pic:blipFill>
                  <pic:spPr bwMode="auto">
                    <a:xfrm>
                      <a:off x="0" y="0"/>
                      <a:ext cx="3548711" cy="2174835"/>
                    </a:xfrm>
                    <a:prstGeom prst="rect">
                      <a:avLst/>
                    </a:prstGeom>
                    <a:noFill/>
                    <a:ln>
                      <a:noFill/>
                    </a:ln>
                    <a:extLst>
                      <a:ext uri="{53640926-AAD7-44D8-BBD7-CCE9431645EC}">
                        <a14:shadowObscured xmlns:a14="http://schemas.microsoft.com/office/drawing/2010/main"/>
                      </a:ext>
                    </a:extLst>
                  </pic:spPr>
                </pic:pic>
              </a:graphicData>
            </a:graphic>
          </wp:inline>
        </w:drawing>
      </w:r>
      <w:bookmarkStart w:id="118" w:name="_Hlk198378477"/>
    </w:p>
    <w:p w14:paraId="14D21BE9" w14:textId="3FF92518" w:rsidR="008660D8" w:rsidRPr="006112AD" w:rsidRDefault="008660D8" w:rsidP="006112AD">
      <w:pPr>
        <w:spacing w:after="0" w:line="240" w:lineRule="auto"/>
        <w:jc w:val="center"/>
        <w:rPr>
          <w:rFonts w:ascii="Calibri" w:hAnsi="Calibri" w:cs="Calibri"/>
          <w:iCs/>
          <w:sz w:val="20"/>
          <w:szCs w:val="20"/>
        </w:rPr>
      </w:pPr>
      <w:bookmarkStart w:id="119" w:name="_Toc198711478"/>
      <w:bookmarkEnd w:id="118"/>
      <w:r w:rsidRPr="006112AD">
        <w:rPr>
          <w:rStyle w:val="FigureHeadingChar"/>
          <w:rFonts w:ascii="Calibri" w:hAnsi="Calibri" w:cs="Calibri"/>
          <w:sz w:val="20"/>
          <w:szCs w:val="20"/>
        </w:rPr>
        <w:t>Figure 6: Error bar graph of RLC cohorts</w:t>
      </w:r>
      <w:bookmarkEnd w:id="119"/>
    </w:p>
    <w:p w14:paraId="3EF4912D" w14:textId="6FEDE419" w:rsidR="0098772B" w:rsidRPr="006112AD" w:rsidRDefault="0098772B" w:rsidP="006112AD">
      <w:pPr>
        <w:spacing w:after="0" w:line="240" w:lineRule="auto"/>
        <w:jc w:val="center"/>
        <w:rPr>
          <w:rFonts w:ascii="Calibri" w:hAnsi="Calibri" w:cs="Calibri"/>
          <w:iCs/>
          <w:sz w:val="20"/>
          <w:szCs w:val="20"/>
        </w:rPr>
      </w:pPr>
      <w:r w:rsidRPr="006112AD">
        <w:rPr>
          <w:rFonts w:ascii="Calibri" w:hAnsi="Calibri" w:cs="Calibri"/>
          <w:iCs/>
          <w:sz w:val="20"/>
          <w:szCs w:val="20"/>
        </w:rPr>
        <w:t>This graph allows comparison of the means of two cohorts and visualises the range of values.</w:t>
      </w:r>
    </w:p>
    <w:p w14:paraId="3089BBB1" w14:textId="13447E3C" w:rsidR="0053430B" w:rsidRPr="000462D0" w:rsidRDefault="0098772B" w:rsidP="000462D0">
      <w:pPr>
        <w:spacing w:line="240" w:lineRule="auto"/>
        <w:jc w:val="center"/>
        <w:rPr>
          <w:rFonts w:ascii="Calibri" w:eastAsiaTheme="majorEastAsia" w:hAnsi="Calibri" w:cs="Calibri"/>
          <w:iCs/>
          <w:sz w:val="20"/>
          <w:szCs w:val="20"/>
        </w:rPr>
      </w:pPr>
      <w:r w:rsidRPr="006112AD">
        <w:rPr>
          <w:rFonts w:ascii="Calibri" w:hAnsi="Calibri" w:cs="Calibri"/>
          <w:iCs/>
          <w:sz w:val="20"/>
          <w:szCs w:val="20"/>
        </w:rPr>
        <w:t>Legend: RLC - Residual leucocyte count</w:t>
      </w:r>
    </w:p>
    <w:p w14:paraId="36D5658B" w14:textId="2216BFB9" w:rsidR="0098772B" w:rsidRPr="000462D0" w:rsidRDefault="0098772B" w:rsidP="000462D0">
      <w:pPr>
        <w:pStyle w:val="Heading2"/>
        <w:numPr>
          <w:ilvl w:val="1"/>
          <w:numId w:val="38"/>
        </w:numPr>
        <w:spacing w:after="0" w:line="240" w:lineRule="auto"/>
        <w:rPr>
          <w:rFonts w:ascii="Calibri" w:hAnsi="Calibri" w:cs="Calibri"/>
          <w:i w:val="0"/>
          <w:sz w:val="20"/>
          <w:szCs w:val="20"/>
          <w:u w:val="none"/>
        </w:rPr>
      </w:pPr>
      <w:bookmarkStart w:id="120" w:name="_Toc198372564"/>
      <w:bookmarkStart w:id="121" w:name="_Toc199078017"/>
      <w:r w:rsidRPr="000462D0">
        <w:rPr>
          <w:rFonts w:ascii="Calibri" w:hAnsi="Calibri" w:cs="Calibri"/>
          <w:i w:val="0"/>
          <w:sz w:val="20"/>
          <w:szCs w:val="20"/>
          <w:u w:val="none"/>
        </w:rPr>
        <w:lastRenderedPageBreak/>
        <w:t>Protein</w:t>
      </w:r>
      <w:bookmarkEnd w:id="120"/>
      <w:r w:rsidR="00845C56" w:rsidRPr="000462D0">
        <w:rPr>
          <w:rFonts w:ascii="Calibri" w:hAnsi="Calibri" w:cs="Calibri"/>
          <w:i w:val="0"/>
          <w:sz w:val="20"/>
          <w:szCs w:val="20"/>
          <w:u w:val="none"/>
        </w:rPr>
        <w:t xml:space="preserve"> Concentrations</w:t>
      </w:r>
      <w:bookmarkEnd w:id="121"/>
      <w:r w:rsidRPr="000462D0">
        <w:rPr>
          <w:rFonts w:ascii="Calibri" w:hAnsi="Calibri" w:cs="Calibri"/>
          <w:i w:val="0"/>
          <w:sz w:val="20"/>
          <w:szCs w:val="20"/>
          <w:u w:val="none"/>
        </w:rPr>
        <w:t xml:space="preserve"> </w:t>
      </w:r>
    </w:p>
    <w:p w14:paraId="1AFFAFF3" w14:textId="29FE89BF" w:rsidR="0098772B" w:rsidRPr="006112AD" w:rsidRDefault="0098772B" w:rsidP="006112AD">
      <w:pPr>
        <w:spacing w:line="240" w:lineRule="auto"/>
        <w:jc w:val="both"/>
        <w:rPr>
          <w:rFonts w:ascii="Calibri" w:hAnsi="Calibri" w:cs="Calibri"/>
          <w:iCs/>
          <w:sz w:val="20"/>
          <w:szCs w:val="20"/>
        </w:rPr>
      </w:pPr>
      <w:r w:rsidRPr="006112AD">
        <w:rPr>
          <w:rFonts w:ascii="Calibri" w:hAnsi="Calibri" w:cs="Calibri"/>
          <w:iCs/>
          <w:sz w:val="20"/>
          <w:szCs w:val="20"/>
        </w:rPr>
        <w:t xml:space="preserve">From the results displayed in Table </w:t>
      </w:r>
      <w:r w:rsidR="004974F8" w:rsidRPr="006112AD">
        <w:rPr>
          <w:rFonts w:ascii="Calibri" w:hAnsi="Calibri" w:cs="Calibri"/>
          <w:iCs/>
          <w:sz w:val="20"/>
          <w:szCs w:val="20"/>
        </w:rPr>
        <w:t>7</w:t>
      </w:r>
      <w:r w:rsidRPr="006112AD">
        <w:rPr>
          <w:rFonts w:ascii="Calibri" w:hAnsi="Calibri" w:cs="Calibri"/>
          <w:iCs/>
          <w:sz w:val="20"/>
          <w:szCs w:val="20"/>
        </w:rPr>
        <w:t xml:space="preserve">, it can be noted that the mean PC of the two cohorts differed by 2.03g/L, with the LHT cohort having a higher concentration of 62.55g/L and that of the SHT cohort being 60.52g/L. </w:t>
      </w:r>
    </w:p>
    <w:p w14:paraId="5E0DC9A1" w14:textId="3B51D1CC" w:rsidR="0098772B" w:rsidRPr="006112AD" w:rsidRDefault="0098772B" w:rsidP="006112AD">
      <w:pPr>
        <w:pStyle w:val="TableHeading"/>
        <w:spacing w:line="240" w:lineRule="auto"/>
        <w:rPr>
          <w:rFonts w:ascii="Calibri" w:hAnsi="Calibri" w:cs="Calibri"/>
          <w:sz w:val="20"/>
          <w:szCs w:val="20"/>
        </w:rPr>
      </w:pPr>
      <w:bookmarkStart w:id="122" w:name="_Toc198711786"/>
      <w:bookmarkStart w:id="123" w:name="_Hlk198378502"/>
      <w:r w:rsidRPr="006112AD">
        <w:rPr>
          <w:rFonts w:ascii="Calibri" w:hAnsi="Calibri" w:cs="Calibri"/>
          <w:sz w:val="20"/>
          <w:szCs w:val="20"/>
        </w:rPr>
        <w:t xml:space="preserve">Table </w:t>
      </w:r>
      <w:r w:rsidR="004974F8" w:rsidRPr="006112AD">
        <w:rPr>
          <w:rFonts w:ascii="Calibri" w:hAnsi="Calibri" w:cs="Calibri"/>
          <w:sz w:val="20"/>
          <w:szCs w:val="20"/>
        </w:rPr>
        <w:t>7</w:t>
      </w:r>
      <w:r w:rsidRPr="006112AD">
        <w:rPr>
          <w:rFonts w:ascii="Calibri" w:hAnsi="Calibri" w:cs="Calibri"/>
          <w:sz w:val="20"/>
          <w:szCs w:val="20"/>
        </w:rPr>
        <w:t>: Descriptive Statistics</w:t>
      </w:r>
      <w:bookmarkEnd w:id="122"/>
    </w:p>
    <w:bookmarkEnd w:id="123"/>
    <w:p w14:paraId="60937AB0" w14:textId="77777777" w:rsidR="0098772B" w:rsidRPr="006112AD" w:rsidRDefault="0098772B" w:rsidP="006112AD">
      <w:pPr>
        <w:spacing w:line="240" w:lineRule="auto"/>
        <w:jc w:val="center"/>
        <w:rPr>
          <w:rFonts w:ascii="Calibri" w:hAnsi="Calibri" w:cs="Calibri"/>
          <w:iCs/>
          <w:sz w:val="20"/>
          <w:szCs w:val="20"/>
        </w:rPr>
      </w:pPr>
      <w:r w:rsidRPr="006112AD">
        <w:rPr>
          <w:rFonts w:ascii="Calibri" w:hAnsi="Calibri" w:cs="Calibri"/>
          <w:iCs/>
          <w:sz w:val="20"/>
          <w:szCs w:val="20"/>
        </w:rPr>
        <w:t>Legend: PC - protein concentration,</w:t>
      </w:r>
      <w:r w:rsidRPr="006112AD">
        <w:rPr>
          <w:rFonts w:ascii="Calibri" w:eastAsiaTheme="majorEastAsia" w:hAnsi="Calibri" w:cs="Calibri"/>
          <w:iCs/>
          <w:sz w:val="20"/>
          <w:szCs w:val="20"/>
        </w:rPr>
        <w:t xml:space="preserve"> SHT - short holding time, LHT - long holding time.</w:t>
      </w:r>
    </w:p>
    <w:tbl>
      <w:tblPr>
        <w:tblStyle w:val="TableGrid"/>
        <w:tblW w:w="0" w:type="auto"/>
        <w:tblInd w:w="988" w:type="dxa"/>
        <w:tblBorders>
          <w:left w:val="none" w:sz="0" w:space="0" w:color="auto"/>
          <w:right w:val="none" w:sz="0" w:space="0" w:color="auto"/>
          <w:insideV w:val="none" w:sz="0" w:space="0" w:color="auto"/>
        </w:tblBorders>
        <w:tblLook w:val="04A0" w:firstRow="1" w:lastRow="0" w:firstColumn="1" w:lastColumn="0" w:noHBand="0" w:noVBand="1"/>
      </w:tblPr>
      <w:tblGrid>
        <w:gridCol w:w="892"/>
        <w:gridCol w:w="1784"/>
        <w:gridCol w:w="1784"/>
        <w:gridCol w:w="2344"/>
      </w:tblGrid>
      <w:tr w:rsidR="0098772B" w:rsidRPr="006112AD" w14:paraId="0C5CCAB0" w14:textId="77777777" w:rsidTr="0053430B">
        <w:trPr>
          <w:trHeight w:val="253"/>
        </w:trPr>
        <w:tc>
          <w:tcPr>
            <w:tcW w:w="892" w:type="dxa"/>
            <w:tcBorders>
              <w:top w:val="nil"/>
            </w:tcBorders>
          </w:tcPr>
          <w:p w14:paraId="14D691C6" w14:textId="77777777" w:rsidR="0098772B" w:rsidRPr="006112AD" w:rsidRDefault="0098772B" w:rsidP="006112AD">
            <w:pPr>
              <w:jc w:val="center"/>
              <w:rPr>
                <w:rFonts w:ascii="Calibri" w:hAnsi="Calibri" w:cs="Calibri"/>
                <w:b/>
                <w:bCs/>
                <w:iCs/>
                <w:sz w:val="20"/>
                <w:szCs w:val="20"/>
              </w:rPr>
            </w:pPr>
          </w:p>
        </w:tc>
        <w:tc>
          <w:tcPr>
            <w:tcW w:w="1784" w:type="dxa"/>
            <w:tcBorders>
              <w:top w:val="nil"/>
            </w:tcBorders>
            <w:vAlign w:val="bottom"/>
          </w:tcPr>
          <w:p w14:paraId="06A3189F"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N</w:t>
            </w:r>
          </w:p>
        </w:tc>
        <w:tc>
          <w:tcPr>
            <w:tcW w:w="1784" w:type="dxa"/>
            <w:tcBorders>
              <w:top w:val="nil"/>
            </w:tcBorders>
            <w:vAlign w:val="bottom"/>
          </w:tcPr>
          <w:p w14:paraId="39F44E60"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Mean PC(g/L)</w:t>
            </w:r>
          </w:p>
        </w:tc>
        <w:tc>
          <w:tcPr>
            <w:tcW w:w="2344" w:type="dxa"/>
            <w:tcBorders>
              <w:top w:val="nil"/>
            </w:tcBorders>
            <w:vAlign w:val="bottom"/>
          </w:tcPr>
          <w:p w14:paraId="6C6F7EB5"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Standard Deviation</w:t>
            </w:r>
          </w:p>
        </w:tc>
      </w:tr>
      <w:tr w:rsidR="0098772B" w:rsidRPr="006112AD" w14:paraId="1EFC7A3F" w14:textId="77777777" w:rsidTr="0053430B">
        <w:trPr>
          <w:trHeight w:val="253"/>
        </w:trPr>
        <w:tc>
          <w:tcPr>
            <w:tcW w:w="892" w:type="dxa"/>
            <w:vAlign w:val="center"/>
          </w:tcPr>
          <w:p w14:paraId="5ED868D3"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SHT</w:t>
            </w:r>
          </w:p>
        </w:tc>
        <w:tc>
          <w:tcPr>
            <w:tcW w:w="1784" w:type="dxa"/>
            <w:vAlign w:val="center"/>
          </w:tcPr>
          <w:p w14:paraId="2F3A4AE8"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1784" w:type="dxa"/>
            <w:vAlign w:val="center"/>
          </w:tcPr>
          <w:p w14:paraId="6A588177"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60.52</w:t>
            </w:r>
          </w:p>
        </w:tc>
        <w:tc>
          <w:tcPr>
            <w:tcW w:w="2344" w:type="dxa"/>
            <w:vAlign w:val="center"/>
          </w:tcPr>
          <w:p w14:paraId="606BB49B"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3.57</w:t>
            </w:r>
          </w:p>
        </w:tc>
      </w:tr>
      <w:tr w:rsidR="0098772B" w:rsidRPr="006112AD" w14:paraId="30567508" w14:textId="77777777" w:rsidTr="0053430B">
        <w:trPr>
          <w:trHeight w:val="253"/>
        </w:trPr>
        <w:tc>
          <w:tcPr>
            <w:tcW w:w="892" w:type="dxa"/>
            <w:vAlign w:val="center"/>
          </w:tcPr>
          <w:p w14:paraId="56EA97DB"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LHT</w:t>
            </w:r>
          </w:p>
        </w:tc>
        <w:tc>
          <w:tcPr>
            <w:tcW w:w="1784" w:type="dxa"/>
            <w:vAlign w:val="center"/>
          </w:tcPr>
          <w:p w14:paraId="00D085A7"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1784" w:type="dxa"/>
            <w:vAlign w:val="center"/>
          </w:tcPr>
          <w:p w14:paraId="5AA40A05"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62.55</w:t>
            </w:r>
          </w:p>
        </w:tc>
        <w:tc>
          <w:tcPr>
            <w:tcW w:w="2344" w:type="dxa"/>
            <w:vAlign w:val="center"/>
          </w:tcPr>
          <w:p w14:paraId="62213E0D"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2.76</w:t>
            </w:r>
          </w:p>
        </w:tc>
      </w:tr>
    </w:tbl>
    <w:p w14:paraId="334AF337" w14:textId="77777777" w:rsidR="0098772B" w:rsidRPr="006112AD" w:rsidRDefault="0098772B" w:rsidP="006112AD">
      <w:pPr>
        <w:spacing w:line="240" w:lineRule="auto"/>
        <w:rPr>
          <w:rFonts w:ascii="Calibri" w:hAnsi="Calibri" w:cs="Calibri"/>
          <w:iCs/>
          <w:sz w:val="20"/>
          <w:szCs w:val="20"/>
        </w:rPr>
      </w:pPr>
    </w:p>
    <w:p w14:paraId="15941B0B" w14:textId="77777777" w:rsidR="0053430B" w:rsidRPr="006112AD" w:rsidRDefault="0053430B" w:rsidP="006112AD">
      <w:pPr>
        <w:pStyle w:val="Heading3"/>
        <w:spacing w:after="0" w:line="240" w:lineRule="auto"/>
        <w:ind w:left="0"/>
        <w:rPr>
          <w:rFonts w:ascii="Calibri" w:hAnsi="Calibri" w:cs="Calibri"/>
          <w:sz w:val="20"/>
          <w:szCs w:val="20"/>
        </w:rPr>
      </w:pPr>
    </w:p>
    <w:p w14:paraId="3BD20C1B" w14:textId="6FCD6E85" w:rsidR="0098772B" w:rsidRPr="006112AD" w:rsidRDefault="0098772B" w:rsidP="000462D0">
      <w:pPr>
        <w:spacing w:line="240" w:lineRule="auto"/>
        <w:jc w:val="both"/>
        <w:rPr>
          <w:rFonts w:ascii="Calibri" w:hAnsi="Calibri" w:cs="Calibri"/>
          <w:iCs/>
          <w:sz w:val="20"/>
          <w:szCs w:val="20"/>
        </w:rPr>
      </w:pPr>
      <w:r w:rsidRPr="006112AD">
        <w:rPr>
          <w:rFonts w:ascii="Calibri" w:hAnsi="Calibri" w:cs="Calibri"/>
          <w:iCs/>
          <w:sz w:val="20"/>
          <w:szCs w:val="20"/>
        </w:rPr>
        <w:t>As demonstrated by the histogram in Figure 7, the Z score values showed a normal data distribution for the SHT cohort. Figure</w:t>
      </w:r>
      <w:r w:rsidR="001A0F87" w:rsidRPr="006112AD">
        <w:rPr>
          <w:rFonts w:ascii="Calibri" w:hAnsi="Calibri" w:cs="Calibri"/>
          <w:iCs/>
          <w:sz w:val="20"/>
          <w:szCs w:val="20"/>
        </w:rPr>
        <w:t xml:space="preserve"> </w:t>
      </w:r>
      <w:r w:rsidRPr="006112AD">
        <w:rPr>
          <w:rFonts w:ascii="Calibri" w:hAnsi="Calibri" w:cs="Calibri"/>
          <w:iCs/>
          <w:sz w:val="20"/>
          <w:szCs w:val="20"/>
        </w:rPr>
        <w:t xml:space="preserve">8 shows a less normal distribution for the LHT cohort. For both cohorts, all values were within a Z score of +/‐3. The same histogram would be obtained if the Z score was to be replaced by the PC of each FFP unit. </w:t>
      </w:r>
    </w:p>
    <w:p w14:paraId="04274B51" w14:textId="77777777" w:rsidR="0098772B" w:rsidRPr="006112AD" w:rsidRDefault="0098772B" w:rsidP="006112AD">
      <w:pPr>
        <w:spacing w:after="0" w:line="240" w:lineRule="auto"/>
        <w:jc w:val="center"/>
        <w:rPr>
          <w:rFonts w:ascii="Calibri" w:hAnsi="Calibri" w:cs="Calibri"/>
          <w:iCs/>
          <w:sz w:val="20"/>
          <w:szCs w:val="20"/>
        </w:rPr>
      </w:pPr>
      <w:r w:rsidRPr="006112AD">
        <w:rPr>
          <w:rFonts w:ascii="Calibri" w:hAnsi="Calibri" w:cs="Calibri"/>
          <w:iCs/>
          <w:noProof/>
          <w:sz w:val="20"/>
          <w:szCs w:val="20"/>
        </w:rPr>
        <w:drawing>
          <wp:inline distT="0" distB="0" distL="0" distR="0" wp14:anchorId="6AF9952E" wp14:editId="5B4CB0A4">
            <wp:extent cx="3628261" cy="2275602"/>
            <wp:effectExtent l="0" t="0" r="0" b="0"/>
            <wp:docPr id="746923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3316" name=""/>
                    <pic:cNvPicPr/>
                  </pic:nvPicPr>
                  <pic:blipFill>
                    <a:blip r:embed="rId14"/>
                    <a:stretch>
                      <a:fillRect/>
                    </a:stretch>
                  </pic:blipFill>
                  <pic:spPr>
                    <a:xfrm>
                      <a:off x="0" y="0"/>
                      <a:ext cx="3645793" cy="2286598"/>
                    </a:xfrm>
                    <a:prstGeom prst="rect">
                      <a:avLst/>
                    </a:prstGeom>
                  </pic:spPr>
                </pic:pic>
              </a:graphicData>
            </a:graphic>
          </wp:inline>
        </w:drawing>
      </w:r>
    </w:p>
    <w:p w14:paraId="5E74021B" w14:textId="7296B9D3" w:rsidR="0098772B" w:rsidRPr="006112AD" w:rsidRDefault="0098772B" w:rsidP="006112AD">
      <w:pPr>
        <w:pStyle w:val="FigureHeading"/>
        <w:spacing w:line="240" w:lineRule="auto"/>
        <w:rPr>
          <w:rFonts w:ascii="Calibri" w:hAnsi="Calibri" w:cs="Calibri"/>
          <w:sz w:val="20"/>
          <w:szCs w:val="20"/>
        </w:rPr>
      </w:pPr>
      <w:bookmarkStart w:id="124" w:name="_Toc198711479"/>
      <w:bookmarkStart w:id="125" w:name="_Hlk198378523"/>
      <w:r w:rsidRPr="006112AD">
        <w:rPr>
          <w:rFonts w:ascii="Calibri" w:hAnsi="Calibri" w:cs="Calibri"/>
          <w:sz w:val="20"/>
          <w:szCs w:val="20"/>
        </w:rPr>
        <w:t>Figure 7: Distribution of Z-scores</w:t>
      </w:r>
      <w:bookmarkEnd w:id="124"/>
    </w:p>
    <w:bookmarkEnd w:id="125"/>
    <w:p w14:paraId="3E9CF790" w14:textId="77777777" w:rsidR="0098772B" w:rsidRPr="006112AD" w:rsidRDefault="0098772B" w:rsidP="006112AD">
      <w:pPr>
        <w:spacing w:line="240" w:lineRule="auto"/>
        <w:jc w:val="center"/>
        <w:rPr>
          <w:rFonts w:ascii="Calibri" w:eastAsiaTheme="majorEastAsia" w:hAnsi="Calibri" w:cs="Calibri"/>
          <w:iCs/>
          <w:sz w:val="20"/>
          <w:szCs w:val="20"/>
        </w:rPr>
      </w:pPr>
      <w:r w:rsidRPr="006112AD">
        <w:rPr>
          <w:rFonts w:ascii="Calibri" w:hAnsi="Calibri" w:cs="Calibri"/>
          <w:iCs/>
          <w:sz w:val="20"/>
          <w:szCs w:val="20"/>
        </w:rPr>
        <w:t xml:space="preserve">Legend: </w:t>
      </w:r>
      <w:r w:rsidRPr="006112AD">
        <w:rPr>
          <w:rFonts w:ascii="Calibri" w:eastAsiaTheme="majorEastAsia" w:hAnsi="Calibri" w:cs="Calibri"/>
          <w:iCs/>
          <w:sz w:val="20"/>
          <w:szCs w:val="20"/>
        </w:rPr>
        <w:t>SHT - short holding time.</w:t>
      </w:r>
    </w:p>
    <w:p w14:paraId="684AC5C9" w14:textId="77777777" w:rsidR="0098772B" w:rsidRPr="006112AD" w:rsidRDefault="0098772B" w:rsidP="006112AD">
      <w:pPr>
        <w:spacing w:after="0" w:line="240" w:lineRule="auto"/>
        <w:jc w:val="both"/>
        <w:rPr>
          <w:rFonts w:ascii="Calibri" w:hAnsi="Calibri" w:cs="Calibri"/>
          <w:iCs/>
          <w:sz w:val="20"/>
          <w:szCs w:val="20"/>
        </w:rPr>
      </w:pPr>
    </w:p>
    <w:p w14:paraId="6E716F8E" w14:textId="17F349B0" w:rsidR="0098772B" w:rsidRPr="006112AD" w:rsidRDefault="0098772B" w:rsidP="006112AD">
      <w:pPr>
        <w:spacing w:after="0" w:line="240" w:lineRule="auto"/>
        <w:jc w:val="center"/>
        <w:rPr>
          <w:rFonts w:ascii="Calibri" w:hAnsi="Calibri" w:cs="Calibri"/>
          <w:iCs/>
          <w:sz w:val="20"/>
          <w:szCs w:val="20"/>
        </w:rPr>
      </w:pPr>
      <w:r w:rsidRPr="006112AD">
        <w:rPr>
          <w:rFonts w:ascii="Calibri" w:hAnsi="Calibri" w:cs="Calibri"/>
          <w:iCs/>
          <w:noProof/>
          <w:sz w:val="20"/>
          <w:szCs w:val="20"/>
        </w:rPr>
        <w:drawing>
          <wp:inline distT="0" distB="0" distL="0" distR="0" wp14:anchorId="4337F65E" wp14:editId="48108107">
            <wp:extent cx="3666380" cy="2190648"/>
            <wp:effectExtent l="0" t="0" r="0" b="635"/>
            <wp:docPr id="188912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124700" name=""/>
                    <pic:cNvPicPr/>
                  </pic:nvPicPr>
                  <pic:blipFill>
                    <a:blip r:embed="rId15"/>
                    <a:stretch>
                      <a:fillRect/>
                    </a:stretch>
                  </pic:blipFill>
                  <pic:spPr>
                    <a:xfrm>
                      <a:off x="0" y="0"/>
                      <a:ext cx="3677600" cy="2197352"/>
                    </a:xfrm>
                    <a:prstGeom prst="rect">
                      <a:avLst/>
                    </a:prstGeom>
                  </pic:spPr>
                </pic:pic>
              </a:graphicData>
            </a:graphic>
          </wp:inline>
        </w:drawing>
      </w:r>
    </w:p>
    <w:p w14:paraId="10D17C5F" w14:textId="7F9097D8" w:rsidR="0098772B" w:rsidRPr="006112AD" w:rsidRDefault="0098772B" w:rsidP="006112AD">
      <w:pPr>
        <w:pStyle w:val="FigureHeading"/>
        <w:spacing w:line="240" w:lineRule="auto"/>
        <w:rPr>
          <w:rFonts w:ascii="Calibri" w:hAnsi="Calibri" w:cs="Calibri"/>
          <w:sz w:val="20"/>
          <w:szCs w:val="20"/>
        </w:rPr>
      </w:pPr>
      <w:bookmarkStart w:id="126" w:name="_Toc198711480"/>
      <w:bookmarkStart w:id="127" w:name="_Hlk198378534"/>
      <w:r w:rsidRPr="006112AD">
        <w:rPr>
          <w:rFonts w:ascii="Calibri" w:hAnsi="Calibri" w:cs="Calibri"/>
          <w:sz w:val="20"/>
          <w:szCs w:val="20"/>
        </w:rPr>
        <w:t>Figure 8: Distribution of Z-scores</w:t>
      </w:r>
      <w:bookmarkEnd w:id="126"/>
    </w:p>
    <w:bookmarkEnd w:id="127"/>
    <w:p w14:paraId="2AF0491D" w14:textId="77777777" w:rsidR="0098772B" w:rsidRPr="006112AD" w:rsidRDefault="0098772B" w:rsidP="006112AD">
      <w:pPr>
        <w:spacing w:after="0" w:line="240" w:lineRule="auto"/>
        <w:jc w:val="center"/>
        <w:rPr>
          <w:rFonts w:ascii="Calibri" w:eastAsiaTheme="majorEastAsia" w:hAnsi="Calibri" w:cs="Calibri"/>
          <w:iCs/>
          <w:sz w:val="20"/>
          <w:szCs w:val="20"/>
        </w:rPr>
      </w:pPr>
      <w:r w:rsidRPr="006112AD">
        <w:rPr>
          <w:rFonts w:ascii="Calibri" w:hAnsi="Calibri" w:cs="Calibri"/>
          <w:iCs/>
          <w:sz w:val="20"/>
          <w:szCs w:val="20"/>
        </w:rPr>
        <w:t xml:space="preserve">Legend: </w:t>
      </w:r>
      <w:r w:rsidRPr="006112AD">
        <w:rPr>
          <w:rFonts w:ascii="Calibri" w:eastAsiaTheme="majorEastAsia" w:hAnsi="Calibri" w:cs="Calibri"/>
          <w:iCs/>
          <w:sz w:val="20"/>
          <w:szCs w:val="20"/>
        </w:rPr>
        <w:t>LHT - long holding time.</w:t>
      </w:r>
    </w:p>
    <w:p w14:paraId="48735940" w14:textId="77777777" w:rsidR="00800EB8" w:rsidRPr="006112AD" w:rsidRDefault="00800EB8" w:rsidP="006112AD">
      <w:pPr>
        <w:spacing w:after="0" w:line="240" w:lineRule="auto"/>
        <w:rPr>
          <w:rFonts w:ascii="Calibri" w:eastAsiaTheme="majorEastAsia" w:hAnsi="Calibri" w:cs="Calibri"/>
          <w:iCs/>
          <w:sz w:val="20"/>
          <w:szCs w:val="20"/>
        </w:rPr>
      </w:pPr>
    </w:p>
    <w:p w14:paraId="3266EB3F" w14:textId="37189E19" w:rsidR="007D66BB" w:rsidRPr="000462D0" w:rsidRDefault="0098772B" w:rsidP="000462D0">
      <w:pPr>
        <w:pStyle w:val="Heading2"/>
        <w:numPr>
          <w:ilvl w:val="1"/>
          <w:numId w:val="38"/>
        </w:numPr>
        <w:spacing w:after="0" w:line="240" w:lineRule="auto"/>
        <w:rPr>
          <w:rFonts w:ascii="Calibri" w:hAnsi="Calibri" w:cs="Calibri"/>
          <w:i w:val="0"/>
          <w:sz w:val="20"/>
          <w:szCs w:val="20"/>
          <w:u w:val="none"/>
        </w:rPr>
      </w:pPr>
      <w:bookmarkStart w:id="128" w:name="_Toc199078020"/>
      <w:r w:rsidRPr="000462D0">
        <w:rPr>
          <w:rFonts w:ascii="Calibri" w:hAnsi="Calibri" w:cs="Calibri"/>
          <w:i w:val="0"/>
          <w:sz w:val="20"/>
          <w:szCs w:val="20"/>
          <w:u w:val="none"/>
        </w:rPr>
        <w:t>Shapiro-Wilk Test for Proteins</w:t>
      </w:r>
      <w:bookmarkEnd w:id="128"/>
    </w:p>
    <w:p w14:paraId="4A6CC878" w14:textId="31CD459A" w:rsidR="0098772B" w:rsidRPr="006112AD" w:rsidRDefault="0098772B" w:rsidP="006112AD">
      <w:pPr>
        <w:spacing w:before="240" w:line="240" w:lineRule="auto"/>
        <w:jc w:val="both"/>
        <w:rPr>
          <w:rFonts w:ascii="Calibri" w:hAnsi="Calibri" w:cs="Calibri"/>
          <w:iCs/>
          <w:sz w:val="20"/>
          <w:szCs w:val="20"/>
        </w:rPr>
      </w:pPr>
      <w:r w:rsidRPr="006112AD">
        <w:rPr>
          <w:rFonts w:ascii="Calibri" w:hAnsi="Calibri" w:cs="Calibri"/>
          <w:iCs/>
          <w:sz w:val="20"/>
          <w:szCs w:val="20"/>
        </w:rPr>
        <w:t xml:space="preserve">With regards to PC, when testing normality, the p-value for the SHT cohort resulted to be 0.744. On the other hand, the p-value for the LHT cohort resulted to be 0.051 as can be seen in Table </w:t>
      </w:r>
      <w:r w:rsidR="00A46464" w:rsidRPr="006112AD">
        <w:rPr>
          <w:rFonts w:ascii="Calibri" w:hAnsi="Calibri" w:cs="Calibri"/>
          <w:iCs/>
          <w:sz w:val="20"/>
          <w:szCs w:val="20"/>
        </w:rPr>
        <w:t>8</w:t>
      </w:r>
      <w:r w:rsidRPr="006112AD">
        <w:rPr>
          <w:rFonts w:ascii="Calibri" w:hAnsi="Calibri" w:cs="Calibri"/>
          <w:iCs/>
          <w:sz w:val="20"/>
          <w:szCs w:val="20"/>
        </w:rPr>
        <w:t xml:space="preserve">. Both p-values exceeded the </w:t>
      </w:r>
      <w:r w:rsidRPr="006112AD">
        <w:rPr>
          <w:rFonts w:ascii="Calibri" w:hAnsi="Calibri" w:cs="Calibri"/>
          <w:iCs/>
          <w:sz w:val="20"/>
          <w:szCs w:val="20"/>
        </w:rPr>
        <w:lastRenderedPageBreak/>
        <w:t xml:space="preserve">0.05 level of significance, and therefore the null hypothesis which stated that the data distribution is normal was accepted for both cohorts. However, it was noted that the LHT cohort had a borderline normality since the p-value just passed the 0.05 level of significance by 0.001. </w:t>
      </w:r>
    </w:p>
    <w:p w14:paraId="7EE629AB" w14:textId="6AFE53A8" w:rsidR="0098772B" w:rsidRPr="006112AD" w:rsidRDefault="0098772B" w:rsidP="006112AD">
      <w:pPr>
        <w:pStyle w:val="TableHeading"/>
        <w:spacing w:line="240" w:lineRule="auto"/>
        <w:rPr>
          <w:rFonts w:ascii="Calibri" w:hAnsi="Calibri" w:cs="Calibri"/>
          <w:sz w:val="20"/>
          <w:szCs w:val="20"/>
        </w:rPr>
      </w:pPr>
      <w:bookmarkStart w:id="129" w:name="_Hlk198378554"/>
      <w:bookmarkStart w:id="130" w:name="_Toc198711787"/>
      <w:r w:rsidRPr="006112AD">
        <w:rPr>
          <w:rFonts w:ascii="Calibri" w:hAnsi="Calibri" w:cs="Calibri"/>
          <w:sz w:val="20"/>
          <w:szCs w:val="20"/>
        </w:rPr>
        <w:t xml:space="preserve">Table </w:t>
      </w:r>
      <w:r w:rsidR="00A46464" w:rsidRPr="006112AD">
        <w:rPr>
          <w:rFonts w:ascii="Calibri" w:hAnsi="Calibri" w:cs="Calibri"/>
          <w:sz w:val="20"/>
          <w:szCs w:val="20"/>
        </w:rPr>
        <w:t>8</w:t>
      </w:r>
      <w:r w:rsidRPr="006112AD">
        <w:rPr>
          <w:rFonts w:ascii="Calibri" w:hAnsi="Calibri" w:cs="Calibri"/>
          <w:sz w:val="20"/>
          <w:szCs w:val="20"/>
        </w:rPr>
        <w:t>: Test of Normality</w:t>
      </w:r>
      <w:bookmarkEnd w:id="129"/>
      <w:bookmarkEnd w:id="130"/>
    </w:p>
    <w:p w14:paraId="5713B2F9" w14:textId="3F14147A" w:rsidR="0098772B" w:rsidRPr="006112AD" w:rsidRDefault="0098772B" w:rsidP="006112AD">
      <w:pPr>
        <w:spacing w:line="240" w:lineRule="auto"/>
        <w:jc w:val="center"/>
        <w:rPr>
          <w:rFonts w:ascii="Calibri" w:hAnsi="Calibri" w:cs="Calibri"/>
          <w:iCs/>
          <w:sz w:val="20"/>
          <w:szCs w:val="20"/>
        </w:rPr>
      </w:pPr>
      <w:r w:rsidRPr="006112AD">
        <w:rPr>
          <w:rFonts w:ascii="Calibri" w:hAnsi="Calibri" w:cs="Calibri"/>
          <w:iCs/>
          <w:sz w:val="20"/>
          <w:szCs w:val="20"/>
        </w:rPr>
        <w:t>Legend: SHT - Short holding time, LHT - Long holding time</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82"/>
        <w:gridCol w:w="1294"/>
        <w:gridCol w:w="1282"/>
        <w:gridCol w:w="1148"/>
      </w:tblGrid>
      <w:tr w:rsidR="0098772B" w:rsidRPr="006112AD" w14:paraId="47EA3927" w14:textId="77777777" w:rsidTr="009B30C1">
        <w:trPr>
          <w:trHeight w:val="99"/>
          <w:jc w:val="center"/>
        </w:trPr>
        <w:tc>
          <w:tcPr>
            <w:tcW w:w="1282" w:type="dxa"/>
            <w:vAlign w:val="bottom"/>
          </w:tcPr>
          <w:p w14:paraId="29C5CD08" w14:textId="77777777" w:rsidR="0098772B" w:rsidRPr="006112AD" w:rsidRDefault="0098772B" w:rsidP="006112AD">
            <w:pPr>
              <w:jc w:val="center"/>
              <w:rPr>
                <w:rFonts w:ascii="Calibri" w:hAnsi="Calibri" w:cs="Calibri"/>
                <w:iCs/>
                <w:sz w:val="20"/>
                <w:szCs w:val="20"/>
              </w:rPr>
            </w:pPr>
          </w:p>
        </w:tc>
        <w:tc>
          <w:tcPr>
            <w:tcW w:w="3724" w:type="dxa"/>
            <w:gridSpan w:val="3"/>
          </w:tcPr>
          <w:p w14:paraId="245765D4"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Shapiro-Wilk</w:t>
            </w:r>
          </w:p>
        </w:tc>
      </w:tr>
      <w:tr w:rsidR="0098772B" w:rsidRPr="006112AD" w14:paraId="114A5A09" w14:textId="77777777" w:rsidTr="009B30C1">
        <w:trPr>
          <w:trHeight w:val="276"/>
          <w:jc w:val="center"/>
        </w:trPr>
        <w:tc>
          <w:tcPr>
            <w:tcW w:w="1282" w:type="dxa"/>
            <w:vAlign w:val="center"/>
          </w:tcPr>
          <w:p w14:paraId="7F9F5D6A" w14:textId="77777777" w:rsidR="0098772B" w:rsidRPr="006112AD" w:rsidRDefault="0098772B" w:rsidP="006112AD">
            <w:pPr>
              <w:jc w:val="center"/>
              <w:rPr>
                <w:rFonts w:ascii="Calibri" w:hAnsi="Calibri" w:cs="Calibri"/>
                <w:iCs/>
                <w:sz w:val="20"/>
                <w:szCs w:val="20"/>
              </w:rPr>
            </w:pPr>
          </w:p>
        </w:tc>
        <w:tc>
          <w:tcPr>
            <w:tcW w:w="1294" w:type="dxa"/>
            <w:vAlign w:val="center"/>
          </w:tcPr>
          <w:p w14:paraId="1FCF99F4"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Statistic</w:t>
            </w:r>
          </w:p>
        </w:tc>
        <w:tc>
          <w:tcPr>
            <w:tcW w:w="1282" w:type="dxa"/>
            <w:vAlign w:val="center"/>
          </w:tcPr>
          <w:p w14:paraId="7A51F596"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df</w:t>
            </w:r>
          </w:p>
        </w:tc>
        <w:tc>
          <w:tcPr>
            <w:tcW w:w="1148" w:type="dxa"/>
            <w:vAlign w:val="center"/>
          </w:tcPr>
          <w:p w14:paraId="3547746D" w14:textId="00626E1B"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p-value</w:t>
            </w:r>
          </w:p>
        </w:tc>
      </w:tr>
      <w:tr w:rsidR="0098772B" w:rsidRPr="006112AD" w14:paraId="6BFEDD59" w14:textId="77777777" w:rsidTr="009B30C1">
        <w:trPr>
          <w:trHeight w:val="276"/>
          <w:jc w:val="center"/>
        </w:trPr>
        <w:tc>
          <w:tcPr>
            <w:tcW w:w="1282" w:type="dxa"/>
            <w:vAlign w:val="center"/>
          </w:tcPr>
          <w:p w14:paraId="6C6CB5FA"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SHT</w:t>
            </w:r>
          </w:p>
        </w:tc>
        <w:tc>
          <w:tcPr>
            <w:tcW w:w="1294" w:type="dxa"/>
            <w:vAlign w:val="center"/>
          </w:tcPr>
          <w:p w14:paraId="218E2631"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0.991</w:t>
            </w:r>
          </w:p>
        </w:tc>
        <w:tc>
          <w:tcPr>
            <w:tcW w:w="1282" w:type="dxa"/>
            <w:vAlign w:val="center"/>
          </w:tcPr>
          <w:p w14:paraId="655BEEB4"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1148" w:type="dxa"/>
            <w:vAlign w:val="center"/>
          </w:tcPr>
          <w:p w14:paraId="12E1657B"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0.744</w:t>
            </w:r>
          </w:p>
        </w:tc>
      </w:tr>
      <w:tr w:rsidR="0098772B" w:rsidRPr="006112AD" w14:paraId="6721B9A4" w14:textId="77777777" w:rsidTr="009B30C1">
        <w:trPr>
          <w:trHeight w:val="276"/>
          <w:jc w:val="center"/>
        </w:trPr>
        <w:tc>
          <w:tcPr>
            <w:tcW w:w="1282" w:type="dxa"/>
            <w:tcBorders>
              <w:bottom w:val="single" w:sz="4" w:space="0" w:color="auto"/>
            </w:tcBorders>
            <w:vAlign w:val="center"/>
          </w:tcPr>
          <w:p w14:paraId="2B7E8BFB"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LHT</w:t>
            </w:r>
          </w:p>
        </w:tc>
        <w:tc>
          <w:tcPr>
            <w:tcW w:w="1294" w:type="dxa"/>
            <w:tcBorders>
              <w:bottom w:val="single" w:sz="4" w:space="0" w:color="auto"/>
            </w:tcBorders>
            <w:vAlign w:val="center"/>
          </w:tcPr>
          <w:p w14:paraId="30CCDE59"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0.975</w:t>
            </w:r>
          </w:p>
        </w:tc>
        <w:tc>
          <w:tcPr>
            <w:tcW w:w="1282" w:type="dxa"/>
            <w:tcBorders>
              <w:bottom w:val="single" w:sz="4" w:space="0" w:color="auto"/>
            </w:tcBorders>
            <w:vAlign w:val="center"/>
          </w:tcPr>
          <w:p w14:paraId="3E7ABEB8"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100</w:t>
            </w:r>
          </w:p>
        </w:tc>
        <w:tc>
          <w:tcPr>
            <w:tcW w:w="1148" w:type="dxa"/>
            <w:tcBorders>
              <w:bottom w:val="single" w:sz="4" w:space="0" w:color="auto"/>
            </w:tcBorders>
            <w:vAlign w:val="center"/>
          </w:tcPr>
          <w:p w14:paraId="05F37024"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0.051</w:t>
            </w:r>
          </w:p>
        </w:tc>
      </w:tr>
    </w:tbl>
    <w:p w14:paraId="3DF3C5F4" w14:textId="77777777" w:rsidR="0098772B" w:rsidRPr="006112AD" w:rsidRDefault="0098772B" w:rsidP="006112AD">
      <w:pPr>
        <w:spacing w:line="240" w:lineRule="auto"/>
        <w:jc w:val="both"/>
        <w:rPr>
          <w:rFonts w:ascii="Calibri" w:hAnsi="Calibri" w:cs="Calibri"/>
          <w:iCs/>
          <w:sz w:val="20"/>
          <w:szCs w:val="20"/>
        </w:rPr>
      </w:pPr>
    </w:p>
    <w:p w14:paraId="6BB6578F" w14:textId="26F7310F" w:rsidR="0098772B" w:rsidRPr="006112AD" w:rsidRDefault="0098772B" w:rsidP="006112AD">
      <w:pPr>
        <w:pStyle w:val="Heading33"/>
        <w:spacing w:before="240" w:line="240" w:lineRule="auto"/>
        <w:ind w:left="0"/>
        <w:rPr>
          <w:rFonts w:ascii="Calibri" w:eastAsiaTheme="minorHAnsi" w:hAnsi="Calibri" w:cs="Calibri"/>
          <w:sz w:val="20"/>
          <w:szCs w:val="20"/>
        </w:rPr>
      </w:pPr>
      <w:r w:rsidRPr="006112AD">
        <w:rPr>
          <w:rFonts w:ascii="Calibri" w:eastAsiaTheme="minorHAnsi" w:hAnsi="Calibri" w:cs="Calibri"/>
          <w:sz w:val="20"/>
          <w:szCs w:val="20"/>
        </w:rPr>
        <w:t xml:space="preserve">The p-value of the Levene’s test for equality of variances was 0.071 </w:t>
      </w:r>
      <w:r w:rsidR="00FA19F6" w:rsidRPr="006112AD">
        <w:rPr>
          <w:rFonts w:ascii="Calibri" w:eastAsiaTheme="minorHAnsi" w:hAnsi="Calibri" w:cs="Calibri"/>
          <w:sz w:val="20"/>
          <w:szCs w:val="20"/>
        </w:rPr>
        <w:t>(</w:t>
      </w:r>
      <w:r w:rsidRPr="006112AD">
        <w:rPr>
          <w:rFonts w:ascii="Calibri" w:eastAsiaTheme="minorHAnsi" w:hAnsi="Calibri" w:cs="Calibri"/>
          <w:sz w:val="20"/>
          <w:szCs w:val="20"/>
        </w:rPr>
        <w:t xml:space="preserve">Table </w:t>
      </w:r>
      <w:r w:rsidR="004C3B0D" w:rsidRPr="006112AD">
        <w:rPr>
          <w:rFonts w:ascii="Calibri" w:eastAsiaTheme="minorHAnsi" w:hAnsi="Calibri" w:cs="Calibri"/>
          <w:sz w:val="20"/>
          <w:szCs w:val="20"/>
        </w:rPr>
        <w:t>9</w:t>
      </w:r>
      <w:r w:rsidR="00FA19F6" w:rsidRPr="006112AD">
        <w:rPr>
          <w:rFonts w:ascii="Calibri" w:eastAsiaTheme="minorHAnsi" w:hAnsi="Calibri" w:cs="Calibri"/>
          <w:sz w:val="20"/>
          <w:szCs w:val="20"/>
        </w:rPr>
        <w:t>)</w:t>
      </w:r>
      <w:r w:rsidRPr="006112AD">
        <w:rPr>
          <w:rFonts w:ascii="Calibri" w:eastAsiaTheme="minorHAnsi" w:hAnsi="Calibri" w:cs="Calibri"/>
          <w:sz w:val="20"/>
          <w:szCs w:val="20"/>
        </w:rPr>
        <w:t xml:space="preserve">. This value is greater than the 0.05 level of significance. Therefore, the null hypothesis which stated that there is no statistical difference between the two standard deviations was accepted, indicating that the standard deviations of the two cohorts are similar.  </w:t>
      </w:r>
    </w:p>
    <w:p w14:paraId="4D49EB54" w14:textId="4FAFA30B" w:rsidR="0098772B" w:rsidRPr="006112AD" w:rsidRDefault="0098772B" w:rsidP="006112AD">
      <w:pPr>
        <w:pStyle w:val="TableHeading"/>
        <w:spacing w:line="240" w:lineRule="auto"/>
        <w:rPr>
          <w:rFonts w:ascii="Calibri" w:hAnsi="Calibri" w:cs="Calibri"/>
          <w:sz w:val="20"/>
          <w:szCs w:val="20"/>
        </w:rPr>
      </w:pPr>
      <w:bookmarkStart w:id="131" w:name="_Toc198711788"/>
      <w:bookmarkStart w:id="132" w:name="_Hlk198378578"/>
      <w:r w:rsidRPr="006112AD">
        <w:rPr>
          <w:rFonts w:ascii="Calibri" w:hAnsi="Calibri" w:cs="Calibri"/>
          <w:sz w:val="20"/>
          <w:szCs w:val="20"/>
        </w:rPr>
        <w:t xml:space="preserve">Table </w:t>
      </w:r>
      <w:r w:rsidR="004C3B0D" w:rsidRPr="006112AD">
        <w:rPr>
          <w:rFonts w:ascii="Calibri" w:hAnsi="Calibri" w:cs="Calibri"/>
          <w:sz w:val="20"/>
          <w:szCs w:val="20"/>
        </w:rPr>
        <w:t>9</w:t>
      </w:r>
      <w:r w:rsidRPr="006112AD">
        <w:rPr>
          <w:rFonts w:ascii="Calibri" w:hAnsi="Calibri" w:cs="Calibri"/>
          <w:sz w:val="20"/>
          <w:szCs w:val="20"/>
        </w:rPr>
        <w:t>: Levene’s test</w:t>
      </w:r>
      <w:bookmarkEnd w:id="131"/>
    </w:p>
    <w:bookmarkEnd w:id="132"/>
    <w:p w14:paraId="27D5E263" w14:textId="6995AE98" w:rsidR="0098772B" w:rsidRPr="006112AD" w:rsidRDefault="0098772B" w:rsidP="006112AD">
      <w:pPr>
        <w:spacing w:line="240" w:lineRule="auto"/>
        <w:jc w:val="center"/>
        <w:rPr>
          <w:rFonts w:ascii="Calibri" w:hAnsi="Calibri" w:cs="Calibri"/>
          <w:iCs/>
          <w:color w:val="FF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48"/>
        <w:gridCol w:w="1748"/>
      </w:tblGrid>
      <w:tr w:rsidR="0098772B" w:rsidRPr="006112AD" w14:paraId="1911F3E2" w14:textId="77777777" w:rsidTr="00FF0CD1">
        <w:trPr>
          <w:trHeight w:val="276"/>
          <w:jc w:val="center"/>
        </w:trPr>
        <w:tc>
          <w:tcPr>
            <w:tcW w:w="1748" w:type="dxa"/>
            <w:tcBorders>
              <w:top w:val="single" w:sz="4" w:space="0" w:color="auto"/>
            </w:tcBorders>
            <w:vAlign w:val="center"/>
          </w:tcPr>
          <w:p w14:paraId="535AC6E1"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F-value</w:t>
            </w:r>
          </w:p>
        </w:tc>
        <w:tc>
          <w:tcPr>
            <w:tcW w:w="1748" w:type="dxa"/>
            <w:tcBorders>
              <w:top w:val="single" w:sz="4" w:space="0" w:color="auto"/>
            </w:tcBorders>
            <w:vAlign w:val="center"/>
          </w:tcPr>
          <w:p w14:paraId="5C8C9A8D"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3.287</w:t>
            </w:r>
          </w:p>
        </w:tc>
      </w:tr>
      <w:tr w:rsidR="0098772B" w:rsidRPr="006112AD" w14:paraId="250BDF5E" w14:textId="77777777" w:rsidTr="007D66BB">
        <w:trPr>
          <w:trHeight w:val="276"/>
          <w:jc w:val="center"/>
        </w:trPr>
        <w:tc>
          <w:tcPr>
            <w:tcW w:w="1748" w:type="dxa"/>
            <w:tcBorders>
              <w:bottom w:val="single" w:sz="4" w:space="0" w:color="auto"/>
            </w:tcBorders>
            <w:vAlign w:val="center"/>
          </w:tcPr>
          <w:p w14:paraId="60C5E4B7" w14:textId="77777777"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p-value</w:t>
            </w:r>
          </w:p>
        </w:tc>
        <w:tc>
          <w:tcPr>
            <w:tcW w:w="1748" w:type="dxa"/>
            <w:tcBorders>
              <w:bottom w:val="single" w:sz="4" w:space="0" w:color="auto"/>
            </w:tcBorders>
            <w:vAlign w:val="center"/>
          </w:tcPr>
          <w:p w14:paraId="22E4227D"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0.071</w:t>
            </w:r>
          </w:p>
        </w:tc>
      </w:tr>
    </w:tbl>
    <w:p w14:paraId="5384D757" w14:textId="77777777" w:rsidR="0098772B" w:rsidRPr="006112AD" w:rsidRDefault="0098772B" w:rsidP="006112AD">
      <w:pPr>
        <w:pStyle w:val="Heading33"/>
        <w:spacing w:line="240" w:lineRule="auto"/>
        <w:ind w:left="0"/>
        <w:rPr>
          <w:rFonts w:ascii="Calibri" w:eastAsiaTheme="minorHAnsi" w:hAnsi="Calibri" w:cs="Calibri"/>
          <w:sz w:val="20"/>
          <w:szCs w:val="20"/>
        </w:rPr>
      </w:pPr>
    </w:p>
    <w:p w14:paraId="2A45F54E" w14:textId="2E57F614" w:rsidR="0098772B" w:rsidRPr="006112AD" w:rsidRDefault="0098772B" w:rsidP="006112AD">
      <w:pPr>
        <w:spacing w:line="240" w:lineRule="auto"/>
        <w:jc w:val="both"/>
        <w:rPr>
          <w:rFonts w:ascii="Calibri" w:hAnsi="Calibri" w:cs="Calibri"/>
          <w:iCs/>
          <w:sz w:val="20"/>
          <w:szCs w:val="20"/>
        </w:rPr>
      </w:pPr>
      <w:r w:rsidRPr="006112AD">
        <w:rPr>
          <w:rFonts w:ascii="Calibri" w:hAnsi="Calibri" w:cs="Calibri"/>
          <w:iCs/>
          <w:sz w:val="20"/>
          <w:szCs w:val="20"/>
        </w:rPr>
        <w:t xml:space="preserve">The p-value for the independent samples T-test resulted to be less than 0.05 (&lt;0.001), as shown in Table </w:t>
      </w:r>
      <w:r w:rsidR="004C3B0D" w:rsidRPr="006112AD">
        <w:rPr>
          <w:rFonts w:ascii="Calibri" w:hAnsi="Calibri" w:cs="Calibri"/>
          <w:iCs/>
          <w:sz w:val="20"/>
          <w:szCs w:val="20"/>
        </w:rPr>
        <w:t>10</w:t>
      </w:r>
      <w:r w:rsidRPr="006112AD">
        <w:rPr>
          <w:rFonts w:ascii="Calibri" w:hAnsi="Calibri" w:cs="Calibri"/>
          <w:iCs/>
          <w:sz w:val="20"/>
          <w:szCs w:val="20"/>
        </w:rPr>
        <w:t xml:space="preserve">, thus the null hypothesis which stated that there is no statistical difference between the means of the two independent groups was rejected. </w:t>
      </w:r>
      <w:r w:rsidR="00FF0CD1" w:rsidRPr="006112AD">
        <w:rPr>
          <w:rFonts w:ascii="Calibri" w:hAnsi="Calibri" w:cs="Calibri"/>
          <w:iCs/>
          <w:sz w:val="20"/>
          <w:szCs w:val="20"/>
        </w:rPr>
        <w:t>Therefore,</w:t>
      </w:r>
      <w:r w:rsidRPr="006112AD">
        <w:rPr>
          <w:rFonts w:ascii="Calibri" w:hAnsi="Calibri" w:cs="Calibri"/>
          <w:iCs/>
          <w:sz w:val="20"/>
          <w:szCs w:val="20"/>
        </w:rPr>
        <w:t xml:space="preserve"> indicating that there is a statistical difference between the means of the two cohorts with regards to PC.  </w:t>
      </w:r>
    </w:p>
    <w:p w14:paraId="58E07CDD" w14:textId="7F883694" w:rsidR="0098772B" w:rsidRPr="006112AD" w:rsidRDefault="0098772B" w:rsidP="006112AD">
      <w:pPr>
        <w:pStyle w:val="TableHeading"/>
        <w:tabs>
          <w:tab w:val="left" w:pos="4962"/>
        </w:tabs>
        <w:spacing w:line="240" w:lineRule="auto"/>
        <w:rPr>
          <w:rFonts w:ascii="Calibri" w:hAnsi="Calibri" w:cs="Calibri"/>
          <w:sz w:val="20"/>
          <w:szCs w:val="20"/>
        </w:rPr>
      </w:pPr>
      <w:bookmarkStart w:id="133" w:name="_Toc198711789"/>
      <w:bookmarkStart w:id="134" w:name="_Hlk198378611"/>
      <w:r w:rsidRPr="006112AD">
        <w:rPr>
          <w:rFonts w:ascii="Calibri" w:hAnsi="Calibri" w:cs="Calibri"/>
          <w:sz w:val="20"/>
          <w:szCs w:val="20"/>
        </w:rPr>
        <w:t xml:space="preserve">Table </w:t>
      </w:r>
      <w:r w:rsidR="004C3B0D" w:rsidRPr="006112AD">
        <w:rPr>
          <w:rFonts w:ascii="Calibri" w:hAnsi="Calibri" w:cs="Calibri"/>
          <w:sz w:val="20"/>
          <w:szCs w:val="20"/>
        </w:rPr>
        <w:t>10</w:t>
      </w:r>
      <w:r w:rsidRPr="006112AD">
        <w:rPr>
          <w:rFonts w:ascii="Calibri" w:hAnsi="Calibri" w:cs="Calibri"/>
          <w:sz w:val="20"/>
          <w:szCs w:val="20"/>
        </w:rPr>
        <w:t>: Independent Samples T-test</w:t>
      </w:r>
      <w:bookmarkEnd w:id="133"/>
    </w:p>
    <w:bookmarkEnd w:id="134"/>
    <w:p w14:paraId="372307B9" w14:textId="21A95867" w:rsidR="0098772B" w:rsidRPr="006112AD" w:rsidRDefault="0098772B" w:rsidP="006112AD">
      <w:pPr>
        <w:spacing w:line="240" w:lineRule="auto"/>
        <w:jc w:val="center"/>
        <w:rPr>
          <w:rFonts w:ascii="Calibri" w:hAnsi="Calibri" w:cs="Calibri"/>
          <w:iCs/>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26"/>
        <w:gridCol w:w="1827"/>
      </w:tblGrid>
      <w:tr w:rsidR="0098772B" w:rsidRPr="006112AD" w14:paraId="49C459F5" w14:textId="77777777" w:rsidTr="000A3083">
        <w:trPr>
          <w:trHeight w:val="124"/>
          <w:jc w:val="center"/>
        </w:trPr>
        <w:tc>
          <w:tcPr>
            <w:tcW w:w="1826" w:type="dxa"/>
            <w:tcBorders>
              <w:top w:val="single" w:sz="4" w:space="0" w:color="auto"/>
            </w:tcBorders>
            <w:vAlign w:val="bottom"/>
          </w:tcPr>
          <w:p w14:paraId="55EC0B17" w14:textId="7EC59362"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T-value</w:t>
            </w:r>
          </w:p>
        </w:tc>
        <w:tc>
          <w:tcPr>
            <w:tcW w:w="1827" w:type="dxa"/>
            <w:tcBorders>
              <w:top w:val="single" w:sz="4" w:space="0" w:color="auto"/>
            </w:tcBorders>
            <w:vAlign w:val="bottom"/>
          </w:tcPr>
          <w:p w14:paraId="5B7244C0"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4.479</w:t>
            </w:r>
          </w:p>
        </w:tc>
      </w:tr>
      <w:tr w:rsidR="0098772B" w:rsidRPr="006112AD" w14:paraId="3A1C76C9" w14:textId="77777777" w:rsidTr="000A3083">
        <w:trPr>
          <w:trHeight w:val="201"/>
          <w:jc w:val="center"/>
        </w:trPr>
        <w:tc>
          <w:tcPr>
            <w:tcW w:w="1826" w:type="dxa"/>
            <w:tcBorders>
              <w:bottom w:val="single" w:sz="4" w:space="0" w:color="auto"/>
            </w:tcBorders>
          </w:tcPr>
          <w:p w14:paraId="0CBBEE8A" w14:textId="371ED25C" w:rsidR="0098772B" w:rsidRPr="006112AD" w:rsidRDefault="0098772B" w:rsidP="006112AD">
            <w:pPr>
              <w:jc w:val="center"/>
              <w:rPr>
                <w:rFonts w:ascii="Calibri" w:hAnsi="Calibri" w:cs="Calibri"/>
                <w:b/>
                <w:bCs/>
                <w:iCs/>
                <w:sz w:val="20"/>
                <w:szCs w:val="20"/>
              </w:rPr>
            </w:pPr>
            <w:r w:rsidRPr="006112AD">
              <w:rPr>
                <w:rFonts w:ascii="Calibri" w:hAnsi="Calibri" w:cs="Calibri"/>
                <w:b/>
                <w:bCs/>
                <w:iCs/>
                <w:sz w:val="20"/>
                <w:szCs w:val="20"/>
              </w:rPr>
              <w:t>p-value</w:t>
            </w:r>
          </w:p>
        </w:tc>
        <w:tc>
          <w:tcPr>
            <w:tcW w:w="1827" w:type="dxa"/>
            <w:tcBorders>
              <w:bottom w:val="single" w:sz="4" w:space="0" w:color="auto"/>
            </w:tcBorders>
            <w:vAlign w:val="center"/>
          </w:tcPr>
          <w:p w14:paraId="20BAD224" w14:textId="77777777" w:rsidR="0098772B" w:rsidRPr="006112AD" w:rsidRDefault="0098772B" w:rsidP="006112AD">
            <w:pPr>
              <w:jc w:val="center"/>
              <w:rPr>
                <w:rFonts w:ascii="Calibri" w:hAnsi="Calibri" w:cs="Calibri"/>
                <w:iCs/>
                <w:sz w:val="20"/>
                <w:szCs w:val="20"/>
              </w:rPr>
            </w:pPr>
            <w:r w:rsidRPr="006112AD">
              <w:rPr>
                <w:rFonts w:ascii="Calibri" w:hAnsi="Calibri" w:cs="Calibri"/>
                <w:iCs/>
                <w:sz w:val="20"/>
                <w:szCs w:val="20"/>
              </w:rPr>
              <w:t>&lt;0.001</w:t>
            </w:r>
          </w:p>
        </w:tc>
      </w:tr>
    </w:tbl>
    <w:p w14:paraId="7105D056" w14:textId="77777777" w:rsidR="0098772B" w:rsidRPr="006112AD" w:rsidRDefault="0098772B" w:rsidP="006112AD">
      <w:pPr>
        <w:pStyle w:val="Heading33"/>
        <w:spacing w:line="240" w:lineRule="auto"/>
        <w:ind w:left="0"/>
        <w:rPr>
          <w:rFonts w:ascii="Calibri" w:eastAsiaTheme="minorHAnsi" w:hAnsi="Calibri" w:cs="Calibri"/>
          <w:sz w:val="20"/>
          <w:szCs w:val="20"/>
        </w:rPr>
      </w:pPr>
    </w:p>
    <w:p w14:paraId="071672D9" w14:textId="78B118B8" w:rsidR="0098772B" w:rsidRPr="006112AD" w:rsidRDefault="0098772B" w:rsidP="006112AD">
      <w:pPr>
        <w:spacing w:after="0" w:line="240" w:lineRule="auto"/>
        <w:jc w:val="both"/>
        <w:rPr>
          <w:rFonts w:ascii="Calibri" w:hAnsi="Calibri" w:cs="Calibri"/>
          <w:sz w:val="20"/>
          <w:szCs w:val="20"/>
        </w:rPr>
      </w:pPr>
      <w:r w:rsidRPr="006112AD">
        <w:rPr>
          <w:rFonts w:ascii="Calibri" w:hAnsi="Calibri" w:cs="Calibri"/>
          <w:iCs/>
          <w:sz w:val="20"/>
          <w:szCs w:val="20"/>
        </w:rPr>
        <w:t xml:space="preserve">Figure </w:t>
      </w:r>
      <w:r w:rsidR="004C3B0D" w:rsidRPr="006112AD">
        <w:rPr>
          <w:rFonts w:ascii="Calibri" w:hAnsi="Calibri" w:cs="Calibri"/>
          <w:iCs/>
          <w:sz w:val="20"/>
          <w:szCs w:val="20"/>
        </w:rPr>
        <w:t>9</w:t>
      </w:r>
      <w:r w:rsidRPr="006112AD">
        <w:rPr>
          <w:rFonts w:ascii="Calibri" w:hAnsi="Calibri" w:cs="Calibri"/>
          <w:iCs/>
          <w:sz w:val="20"/>
          <w:szCs w:val="20"/>
        </w:rPr>
        <w:t xml:space="preserve"> displays the 95% confidence interval for the actual mean </w:t>
      </w:r>
      <w:r w:rsidR="00113DF1" w:rsidRPr="006112AD">
        <w:rPr>
          <w:rFonts w:ascii="Calibri" w:hAnsi="Calibri" w:cs="Calibri"/>
          <w:iCs/>
          <w:sz w:val="20"/>
          <w:szCs w:val="20"/>
        </w:rPr>
        <w:t>PC</w:t>
      </w:r>
      <w:r w:rsidRPr="006112AD">
        <w:rPr>
          <w:rFonts w:ascii="Calibri" w:hAnsi="Calibri" w:cs="Calibri"/>
          <w:iCs/>
          <w:sz w:val="20"/>
          <w:szCs w:val="20"/>
        </w:rPr>
        <w:t xml:space="preserve"> for short and long holding times respectively. The two confidence intervals do not overlap, indicating that the mean PC for units with a </w:t>
      </w:r>
      <w:r w:rsidR="00E56922" w:rsidRPr="006112AD">
        <w:rPr>
          <w:rFonts w:ascii="Calibri" w:hAnsi="Calibri" w:cs="Calibri"/>
          <w:iCs/>
          <w:sz w:val="20"/>
          <w:szCs w:val="20"/>
        </w:rPr>
        <w:t>L</w:t>
      </w:r>
      <w:r w:rsidRPr="006112AD">
        <w:rPr>
          <w:rFonts w:ascii="Calibri" w:hAnsi="Calibri" w:cs="Calibri"/>
          <w:iCs/>
          <w:sz w:val="20"/>
          <w:szCs w:val="20"/>
        </w:rPr>
        <w:t xml:space="preserve">HT is significantly larger than the corresponding mean PC for the </w:t>
      </w:r>
      <w:r w:rsidR="00E56922" w:rsidRPr="006112AD">
        <w:rPr>
          <w:rFonts w:ascii="Calibri" w:hAnsi="Calibri" w:cs="Calibri"/>
          <w:iCs/>
          <w:sz w:val="20"/>
          <w:szCs w:val="20"/>
        </w:rPr>
        <w:t>S</w:t>
      </w:r>
      <w:r w:rsidRPr="006112AD">
        <w:rPr>
          <w:rFonts w:ascii="Calibri" w:hAnsi="Calibri" w:cs="Calibri"/>
          <w:iCs/>
          <w:sz w:val="20"/>
          <w:szCs w:val="20"/>
        </w:rPr>
        <w:t xml:space="preserve">HT cohort. The lower limit for the </w:t>
      </w:r>
      <w:r w:rsidR="00E56922" w:rsidRPr="006112AD">
        <w:rPr>
          <w:rFonts w:ascii="Calibri" w:hAnsi="Calibri" w:cs="Calibri"/>
          <w:iCs/>
          <w:sz w:val="20"/>
          <w:szCs w:val="20"/>
        </w:rPr>
        <w:t>L</w:t>
      </w:r>
      <w:r w:rsidRPr="006112AD">
        <w:rPr>
          <w:rFonts w:ascii="Calibri" w:hAnsi="Calibri" w:cs="Calibri"/>
          <w:iCs/>
          <w:sz w:val="20"/>
          <w:szCs w:val="20"/>
        </w:rPr>
        <w:t xml:space="preserve">HT is larger than the higher limit of the </w:t>
      </w:r>
      <w:r w:rsidR="00E56922" w:rsidRPr="006112AD">
        <w:rPr>
          <w:rFonts w:ascii="Calibri" w:hAnsi="Calibri" w:cs="Calibri"/>
          <w:iCs/>
          <w:sz w:val="20"/>
          <w:szCs w:val="20"/>
        </w:rPr>
        <w:t>S</w:t>
      </w:r>
      <w:r w:rsidRPr="006112AD">
        <w:rPr>
          <w:rFonts w:ascii="Calibri" w:hAnsi="Calibri" w:cs="Calibri"/>
          <w:iCs/>
          <w:sz w:val="20"/>
          <w:szCs w:val="20"/>
        </w:rPr>
        <w:t xml:space="preserve">HT as can be seen by the whiskers on the graph. The two bars can be seen to be of similar height, showing that there was a similar range of values. </w:t>
      </w:r>
    </w:p>
    <w:p w14:paraId="22442E50" w14:textId="77777777" w:rsidR="0098772B" w:rsidRPr="006112AD" w:rsidRDefault="0098772B" w:rsidP="006112AD">
      <w:pPr>
        <w:spacing w:after="0" w:line="240" w:lineRule="auto"/>
        <w:jc w:val="center"/>
        <w:rPr>
          <w:rFonts w:ascii="Calibri" w:hAnsi="Calibri" w:cs="Calibri"/>
          <w:b/>
          <w:bCs/>
          <w:iCs/>
          <w:sz w:val="20"/>
          <w:szCs w:val="20"/>
        </w:rPr>
      </w:pPr>
    </w:p>
    <w:p w14:paraId="2E38BC7A" w14:textId="2C4B0085" w:rsidR="0098772B" w:rsidRPr="006112AD" w:rsidRDefault="0098772B" w:rsidP="006112AD">
      <w:pPr>
        <w:spacing w:before="240" w:after="0" w:line="240" w:lineRule="auto"/>
        <w:jc w:val="center"/>
        <w:rPr>
          <w:rFonts w:ascii="Calibri" w:hAnsi="Calibri" w:cs="Calibri"/>
          <w:iCs/>
          <w:sz w:val="20"/>
          <w:szCs w:val="20"/>
        </w:rPr>
      </w:pPr>
    </w:p>
    <w:p w14:paraId="51A35E93" w14:textId="77777777" w:rsidR="0098772B" w:rsidRPr="006112AD" w:rsidRDefault="0098772B" w:rsidP="006112AD">
      <w:pPr>
        <w:tabs>
          <w:tab w:val="left" w:pos="8789"/>
        </w:tabs>
        <w:spacing w:after="0" w:line="240" w:lineRule="auto"/>
        <w:jc w:val="center"/>
        <w:rPr>
          <w:rFonts w:ascii="Calibri" w:hAnsi="Calibri" w:cs="Calibri"/>
          <w:iCs/>
          <w:sz w:val="20"/>
          <w:szCs w:val="20"/>
        </w:rPr>
      </w:pPr>
      <w:r w:rsidRPr="006112AD">
        <w:rPr>
          <w:rFonts w:ascii="Calibri" w:hAnsi="Calibri" w:cs="Calibri"/>
          <w:iCs/>
          <w:noProof/>
          <w:sz w:val="20"/>
          <w:szCs w:val="20"/>
        </w:rPr>
        <w:drawing>
          <wp:inline distT="0" distB="0" distL="0" distR="0" wp14:anchorId="417292D0" wp14:editId="5194D0C0">
            <wp:extent cx="3261523" cy="2071967"/>
            <wp:effectExtent l="0" t="0" r="0" b="5080"/>
            <wp:docPr id="308562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62628" name=""/>
                    <pic:cNvPicPr/>
                  </pic:nvPicPr>
                  <pic:blipFill>
                    <a:blip r:embed="rId16"/>
                    <a:stretch>
                      <a:fillRect/>
                    </a:stretch>
                  </pic:blipFill>
                  <pic:spPr>
                    <a:xfrm>
                      <a:off x="0" y="0"/>
                      <a:ext cx="3273956" cy="2079865"/>
                    </a:xfrm>
                    <a:prstGeom prst="rect">
                      <a:avLst/>
                    </a:prstGeom>
                  </pic:spPr>
                </pic:pic>
              </a:graphicData>
            </a:graphic>
          </wp:inline>
        </w:drawing>
      </w:r>
    </w:p>
    <w:p w14:paraId="03700778" w14:textId="69113524" w:rsidR="0098772B" w:rsidRPr="006112AD" w:rsidRDefault="0098772B" w:rsidP="006112AD">
      <w:pPr>
        <w:pStyle w:val="FigureHeading"/>
        <w:spacing w:line="240" w:lineRule="auto"/>
        <w:rPr>
          <w:rFonts w:ascii="Calibri" w:hAnsi="Calibri" w:cs="Calibri"/>
          <w:sz w:val="20"/>
          <w:szCs w:val="20"/>
        </w:rPr>
      </w:pPr>
      <w:bookmarkStart w:id="135" w:name="_Toc198711481"/>
      <w:r w:rsidRPr="006112AD">
        <w:rPr>
          <w:rFonts w:ascii="Calibri" w:hAnsi="Calibri" w:cs="Calibri"/>
          <w:sz w:val="20"/>
          <w:szCs w:val="20"/>
        </w:rPr>
        <w:t xml:space="preserve">Figure </w:t>
      </w:r>
      <w:r w:rsidR="004C3B0D" w:rsidRPr="006112AD">
        <w:rPr>
          <w:rFonts w:ascii="Calibri" w:hAnsi="Calibri" w:cs="Calibri"/>
          <w:sz w:val="20"/>
          <w:szCs w:val="20"/>
        </w:rPr>
        <w:t>9</w:t>
      </w:r>
      <w:r w:rsidRPr="006112AD">
        <w:rPr>
          <w:rFonts w:ascii="Calibri" w:hAnsi="Calibri" w:cs="Calibri"/>
          <w:sz w:val="20"/>
          <w:szCs w:val="20"/>
        </w:rPr>
        <w:t>: Error bar graph of protein cohort means</w:t>
      </w:r>
      <w:bookmarkStart w:id="136" w:name="_Hlk198378627"/>
      <w:bookmarkEnd w:id="135"/>
    </w:p>
    <w:bookmarkEnd w:id="136"/>
    <w:p w14:paraId="241A5DD7" w14:textId="77777777" w:rsidR="0098772B" w:rsidRDefault="0098772B" w:rsidP="006112AD">
      <w:pPr>
        <w:tabs>
          <w:tab w:val="left" w:pos="8789"/>
        </w:tabs>
        <w:spacing w:line="240" w:lineRule="auto"/>
        <w:rPr>
          <w:rFonts w:ascii="Calibri" w:hAnsi="Calibri" w:cs="Calibri"/>
          <w:b/>
          <w:bCs/>
          <w:iCs/>
          <w:sz w:val="20"/>
          <w:szCs w:val="20"/>
        </w:rPr>
      </w:pPr>
    </w:p>
    <w:p w14:paraId="323CDA08" w14:textId="77777777" w:rsidR="00075317" w:rsidRPr="006112AD" w:rsidRDefault="00075317" w:rsidP="006112AD">
      <w:pPr>
        <w:tabs>
          <w:tab w:val="left" w:pos="8789"/>
        </w:tabs>
        <w:spacing w:line="240" w:lineRule="auto"/>
        <w:rPr>
          <w:rFonts w:ascii="Calibri" w:hAnsi="Calibri" w:cs="Calibri"/>
          <w:b/>
          <w:bCs/>
          <w:iCs/>
          <w:sz w:val="20"/>
          <w:szCs w:val="20"/>
        </w:rPr>
      </w:pPr>
    </w:p>
    <w:p w14:paraId="16B31D88" w14:textId="7669F790" w:rsidR="00F6633D" w:rsidRPr="000462D0" w:rsidRDefault="0098772B" w:rsidP="000462D0">
      <w:pPr>
        <w:pStyle w:val="ListParagraph"/>
        <w:numPr>
          <w:ilvl w:val="0"/>
          <w:numId w:val="38"/>
        </w:numPr>
        <w:spacing w:line="240" w:lineRule="auto"/>
        <w:rPr>
          <w:rFonts w:ascii="Calibri" w:hAnsi="Calibri" w:cs="Calibri"/>
          <w:b/>
          <w:bCs/>
          <w:sz w:val="20"/>
          <w:szCs w:val="20"/>
        </w:rPr>
      </w:pPr>
      <w:bookmarkStart w:id="137" w:name="_Toc198372566"/>
      <w:bookmarkStart w:id="138" w:name="_Toc199078023"/>
      <w:r w:rsidRPr="006112AD">
        <w:rPr>
          <w:rFonts w:ascii="Calibri" w:hAnsi="Calibri" w:cs="Calibri"/>
          <w:b/>
          <w:bCs/>
          <w:sz w:val="20"/>
          <w:szCs w:val="20"/>
        </w:rPr>
        <w:t>Statistical Process Control</w:t>
      </w:r>
      <w:bookmarkEnd w:id="137"/>
      <w:bookmarkEnd w:id="138"/>
    </w:p>
    <w:p w14:paraId="46F9913B" w14:textId="3B48B036" w:rsidR="0098772B" w:rsidRPr="006112AD" w:rsidRDefault="0098772B" w:rsidP="006112AD">
      <w:pPr>
        <w:spacing w:before="240" w:line="240" w:lineRule="auto"/>
        <w:jc w:val="both"/>
        <w:rPr>
          <w:rFonts w:ascii="Calibri" w:hAnsi="Calibri" w:cs="Calibri"/>
          <w:iCs/>
          <w:sz w:val="20"/>
          <w:szCs w:val="20"/>
        </w:rPr>
      </w:pPr>
      <w:r w:rsidRPr="006112AD">
        <w:rPr>
          <w:rFonts w:ascii="Calibri" w:hAnsi="Calibri" w:cs="Calibri"/>
          <w:iCs/>
          <w:sz w:val="20"/>
          <w:szCs w:val="20"/>
        </w:rPr>
        <w:t xml:space="preserve">According to statistical process control classification, leucocytes are classified as a critical parameter </w:t>
      </w:r>
      <w:r w:rsidR="00C33939">
        <w:rPr>
          <w:rFonts w:ascii="Calibri" w:hAnsi="Calibri" w:cs="Calibri"/>
          <w:iCs/>
          <w:sz w:val="20"/>
          <w:szCs w:val="20"/>
        </w:rPr>
        <w:t>since</w:t>
      </w:r>
      <w:r w:rsidRPr="006112AD">
        <w:rPr>
          <w:rFonts w:ascii="Calibri" w:hAnsi="Calibri" w:cs="Calibri"/>
          <w:iCs/>
          <w:sz w:val="20"/>
          <w:szCs w:val="20"/>
        </w:rPr>
        <w:t xml:space="preserve"> high levels put the patient in immediate harm due to the development of unwanted transfusion reactions. On the other hand, since plasma is not transfused for its total protein properties, a lower dose of protein would not put the patient at risk, thus this parameter is classified as having a low criticality level. The plasma volume is also considered to be of low criticality, as the indications for plasma transfusion are very limited and </w:t>
      </w:r>
      <w:r w:rsidR="003E0661" w:rsidRPr="006112AD">
        <w:rPr>
          <w:rFonts w:ascii="Calibri" w:hAnsi="Calibri" w:cs="Calibri"/>
          <w:iCs/>
          <w:sz w:val="20"/>
          <w:szCs w:val="20"/>
        </w:rPr>
        <w:t>the plasma product</w:t>
      </w:r>
      <w:r w:rsidR="003F4276" w:rsidRPr="006112AD">
        <w:rPr>
          <w:rFonts w:ascii="Calibri" w:hAnsi="Calibri" w:cs="Calibri"/>
          <w:iCs/>
          <w:sz w:val="20"/>
          <w:szCs w:val="20"/>
        </w:rPr>
        <w:t xml:space="preserve"> </w:t>
      </w:r>
      <w:r w:rsidRPr="006112AD">
        <w:rPr>
          <w:rFonts w:ascii="Calibri" w:hAnsi="Calibri" w:cs="Calibri"/>
          <w:iCs/>
          <w:sz w:val="20"/>
          <w:szCs w:val="20"/>
        </w:rPr>
        <w:t xml:space="preserve">is </w:t>
      </w:r>
      <w:r w:rsidR="003E0661" w:rsidRPr="006112AD">
        <w:rPr>
          <w:rFonts w:ascii="Calibri" w:hAnsi="Calibri" w:cs="Calibri"/>
          <w:iCs/>
          <w:sz w:val="20"/>
          <w:szCs w:val="20"/>
        </w:rPr>
        <w:t>most</w:t>
      </w:r>
      <w:r w:rsidR="003F4276" w:rsidRPr="006112AD">
        <w:rPr>
          <w:rFonts w:ascii="Calibri" w:hAnsi="Calibri" w:cs="Calibri"/>
          <w:iCs/>
          <w:sz w:val="20"/>
          <w:szCs w:val="20"/>
        </w:rPr>
        <w:t>ly</w:t>
      </w:r>
      <w:r w:rsidR="003E0661" w:rsidRPr="006112AD">
        <w:rPr>
          <w:rFonts w:ascii="Calibri" w:hAnsi="Calibri" w:cs="Calibri"/>
          <w:iCs/>
          <w:sz w:val="20"/>
          <w:szCs w:val="20"/>
        </w:rPr>
        <w:t xml:space="preserve"> used</w:t>
      </w:r>
      <w:r w:rsidRPr="006112AD">
        <w:rPr>
          <w:rFonts w:ascii="Calibri" w:hAnsi="Calibri" w:cs="Calibri"/>
          <w:iCs/>
          <w:sz w:val="20"/>
          <w:szCs w:val="20"/>
        </w:rPr>
        <w:t xml:space="preserve"> in conjunction with other blood components during massive blood loss </w:t>
      </w:r>
      <w:r w:rsidR="00947279">
        <w:rPr>
          <w:rFonts w:ascii="Calibri" w:hAnsi="Calibri" w:cs="Calibri"/>
          <w:iCs/>
          <w:sz w:val="20"/>
          <w:szCs w:val="20"/>
        </w:rPr>
        <w:t>or</w:t>
      </w:r>
      <w:r w:rsidRPr="006112AD">
        <w:rPr>
          <w:rFonts w:ascii="Calibri" w:hAnsi="Calibri" w:cs="Calibri"/>
          <w:iCs/>
          <w:sz w:val="20"/>
          <w:szCs w:val="20"/>
        </w:rPr>
        <w:t xml:space="preserve"> as a replacement fluid in plasma exchange therapies. Using the parameter criticality and calculated </w:t>
      </w:r>
      <w:proofErr w:type="spellStart"/>
      <w:r w:rsidRPr="006112AD">
        <w:rPr>
          <w:rFonts w:ascii="Calibri" w:hAnsi="Calibri" w:cs="Calibri"/>
          <w:iCs/>
          <w:sz w:val="20"/>
          <w:szCs w:val="20"/>
        </w:rPr>
        <w:t>Cpk</w:t>
      </w:r>
      <w:proofErr w:type="spellEnd"/>
      <w:r w:rsidRPr="006112AD">
        <w:rPr>
          <w:rFonts w:ascii="Calibri" w:hAnsi="Calibri" w:cs="Calibri"/>
          <w:iCs/>
          <w:sz w:val="20"/>
          <w:szCs w:val="20"/>
        </w:rPr>
        <w:t xml:space="preserve"> values, the capability outcome could be determined. These results </w:t>
      </w:r>
      <w:r w:rsidR="003F4276" w:rsidRPr="006112AD">
        <w:rPr>
          <w:rFonts w:ascii="Calibri" w:hAnsi="Calibri" w:cs="Calibri"/>
          <w:iCs/>
          <w:sz w:val="20"/>
          <w:szCs w:val="20"/>
        </w:rPr>
        <w:t xml:space="preserve">have been </w:t>
      </w:r>
      <w:r w:rsidRPr="006112AD">
        <w:rPr>
          <w:rFonts w:ascii="Calibri" w:hAnsi="Calibri" w:cs="Calibri"/>
          <w:iCs/>
          <w:sz w:val="20"/>
          <w:szCs w:val="20"/>
        </w:rPr>
        <w:t xml:space="preserve">compiled in Table </w:t>
      </w:r>
      <w:r w:rsidR="0012038C" w:rsidRPr="006112AD">
        <w:rPr>
          <w:rFonts w:ascii="Calibri" w:hAnsi="Calibri" w:cs="Calibri"/>
          <w:iCs/>
          <w:sz w:val="20"/>
          <w:szCs w:val="20"/>
        </w:rPr>
        <w:t>11</w:t>
      </w:r>
      <w:r w:rsidRPr="006112AD">
        <w:rPr>
          <w:rFonts w:ascii="Calibri" w:hAnsi="Calibri" w:cs="Calibri"/>
          <w:iCs/>
          <w:sz w:val="20"/>
          <w:szCs w:val="20"/>
        </w:rPr>
        <w:t xml:space="preserve">. </w:t>
      </w:r>
    </w:p>
    <w:p w14:paraId="031955F5" w14:textId="77777777" w:rsidR="007872A2" w:rsidRDefault="007872A2" w:rsidP="006112AD">
      <w:pPr>
        <w:pStyle w:val="TableHeading"/>
        <w:spacing w:line="240" w:lineRule="auto"/>
        <w:rPr>
          <w:rFonts w:ascii="Calibri" w:hAnsi="Calibri" w:cs="Calibri"/>
          <w:sz w:val="20"/>
          <w:szCs w:val="20"/>
        </w:rPr>
      </w:pPr>
      <w:bookmarkStart w:id="139" w:name="_Hlk198378654"/>
      <w:bookmarkStart w:id="140" w:name="_Toc198711790"/>
    </w:p>
    <w:p w14:paraId="7A32541F" w14:textId="15D62A3E" w:rsidR="0098772B" w:rsidRPr="006112AD" w:rsidRDefault="0098772B" w:rsidP="006112AD">
      <w:pPr>
        <w:pStyle w:val="TableHeading"/>
        <w:spacing w:line="240" w:lineRule="auto"/>
        <w:rPr>
          <w:rFonts w:ascii="Calibri" w:hAnsi="Calibri" w:cs="Calibri"/>
          <w:sz w:val="20"/>
          <w:szCs w:val="20"/>
        </w:rPr>
      </w:pPr>
      <w:r w:rsidRPr="006112AD">
        <w:rPr>
          <w:rFonts w:ascii="Calibri" w:hAnsi="Calibri" w:cs="Calibri"/>
          <w:sz w:val="20"/>
          <w:szCs w:val="20"/>
        </w:rPr>
        <w:t>Table 1</w:t>
      </w:r>
      <w:r w:rsidR="0012038C" w:rsidRPr="006112AD">
        <w:rPr>
          <w:rFonts w:ascii="Calibri" w:hAnsi="Calibri" w:cs="Calibri"/>
          <w:sz w:val="20"/>
          <w:szCs w:val="20"/>
        </w:rPr>
        <w:t>1</w:t>
      </w:r>
      <w:r w:rsidRPr="006112AD">
        <w:rPr>
          <w:rFonts w:ascii="Calibri" w:hAnsi="Calibri" w:cs="Calibri"/>
          <w:sz w:val="20"/>
          <w:szCs w:val="20"/>
        </w:rPr>
        <w:t>: SPC Capabilities</w:t>
      </w:r>
      <w:bookmarkEnd w:id="139"/>
      <w:bookmarkEnd w:id="140"/>
    </w:p>
    <w:p w14:paraId="77D21980" w14:textId="77777777" w:rsidR="0098772B" w:rsidRPr="006112AD" w:rsidRDefault="0098772B" w:rsidP="006112AD">
      <w:pPr>
        <w:spacing w:after="0" w:line="240" w:lineRule="auto"/>
        <w:jc w:val="center"/>
        <w:rPr>
          <w:rFonts w:ascii="Calibri" w:hAnsi="Calibri" w:cs="Calibri"/>
          <w:iCs/>
          <w:sz w:val="20"/>
          <w:szCs w:val="20"/>
        </w:rPr>
      </w:pPr>
      <w:r w:rsidRPr="006112AD">
        <w:rPr>
          <w:rFonts w:ascii="Calibri" w:hAnsi="Calibri" w:cs="Calibri"/>
          <w:iCs/>
          <w:sz w:val="20"/>
          <w:szCs w:val="20"/>
        </w:rPr>
        <w:t xml:space="preserve">The calculated </w:t>
      </w:r>
      <w:proofErr w:type="spellStart"/>
      <w:r w:rsidRPr="006112AD">
        <w:rPr>
          <w:rFonts w:ascii="Calibri" w:hAnsi="Calibri" w:cs="Calibri"/>
          <w:iCs/>
          <w:sz w:val="20"/>
          <w:szCs w:val="20"/>
        </w:rPr>
        <w:t>Cpk</w:t>
      </w:r>
      <w:proofErr w:type="spellEnd"/>
      <w:r w:rsidRPr="006112AD">
        <w:rPr>
          <w:rFonts w:ascii="Calibri" w:hAnsi="Calibri" w:cs="Calibri"/>
          <w:iCs/>
          <w:sz w:val="20"/>
          <w:szCs w:val="20"/>
        </w:rPr>
        <w:t xml:space="preserve"> value of each cohort for unit volume, RLC and protein concentration is represented in this table, together with the determined capability outcome, based on the </w:t>
      </w:r>
      <w:proofErr w:type="spellStart"/>
      <w:r w:rsidRPr="006112AD">
        <w:rPr>
          <w:rFonts w:ascii="Calibri" w:hAnsi="Calibri" w:cs="Calibri"/>
          <w:iCs/>
          <w:sz w:val="20"/>
          <w:szCs w:val="20"/>
        </w:rPr>
        <w:t>Cpk</w:t>
      </w:r>
      <w:proofErr w:type="spellEnd"/>
      <w:r w:rsidRPr="006112AD">
        <w:rPr>
          <w:rFonts w:ascii="Calibri" w:hAnsi="Calibri" w:cs="Calibri"/>
          <w:iCs/>
          <w:sz w:val="20"/>
          <w:szCs w:val="20"/>
        </w:rPr>
        <w:t xml:space="preserve"> value and criticality.</w:t>
      </w:r>
    </w:p>
    <w:p w14:paraId="52294799" w14:textId="448A2CF5" w:rsidR="0098772B" w:rsidRPr="006112AD" w:rsidRDefault="0098772B" w:rsidP="006112AD">
      <w:pPr>
        <w:spacing w:after="0" w:line="240" w:lineRule="auto"/>
        <w:jc w:val="center"/>
        <w:rPr>
          <w:rFonts w:ascii="Calibri" w:hAnsi="Calibri" w:cs="Calibri"/>
          <w:iCs/>
          <w:sz w:val="20"/>
          <w:szCs w:val="20"/>
        </w:rPr>
      </w:pPr>
      <w:r w:rsidRPr="006112AD">
        <w:rPr>
          <w:rFonts w:ascii="Calibri" w:hAnsi="Calibri" w:cs="Calibri"/>
          <w:iCs/>
          <w:sz w:val="20"/>
          <w:szCs w:val="20"/>
        </w:rPr>
        <w:t xml:space="preserve">Legend: </w:t>
      </w:r>
      <w:proofErr w:type="spellStart"/>
      <w:r w:rsidRPr="006112AD">
        <w:rPr>
          <w:rFonts w:ascii="Calibri" w:hAnsi="Calibri" w:cs="Calibri"/>
          <w:iCs/>
          <w:sz w:val="20"/>
          <w:szCs w:val="20"/>
        </w:rPr>
        <w:t>Cpk</w:t>
      </w:r>
      <w:proofErr w:type="spellEnd"/>
      <w:r w:rsidRPr="006112AD">
        <w:rPr>
          <w:rFonts w:ascii="Calibri" w:hAnsi="Calibri" w:cs="Calibri"/>
          <w:iCs/>
          <w:sz w:val="20"/>
          <w:szCs w:val="20"/>
        </w:rPr>
        <w:t xml:space="preserve"> – Capability index k/process capability index, RLC – Residual leucocyte count, OOS – out of specifications.</w:t>
      </w:r>
    </w:p>
    <w:tbl>
      <w:tblPr>
        <w:tblStyle w:val="TableGrid"/>
        <w:tblW w:w="92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2359"/>
        <w:gridCol w:w="1284"/>
        <w:gridCol w:w="1126"/>
        <w:gridCol w:w="834"/>
        <w:gridCol w:w="1284"/>
        <w:gridCol w:w="1297"/>
      </w:tblGrid>
      <w:tr w:rsidR="0098772B" w:rsidRPr="006112AD" w14:paraId="7EA09309" w14:textId="77777777" w:rsidTr="00F6633D">
        <w:trPr>
          <w:jc w:val="center"/>
        </w:trPr>
        <w:tc>
          <w:tcPr>
            <w:tcW w:w="1043" w:type="dxa"/>
            <w:tcBorders>
              <w:bottom w:val="single" w:sz="4" w:space="0" w:color="auto"/>
            </w:tcBorders>
          </w:tcPr>
          <w:p w14:paraId="14AC9B6A" w14:textId="77777777" w:rsidR="0098772B" w:rsidRPr="006112AD" w:rsidRDefault="0098772B" w:rsidP="006112AD">
            <w:pPr>
              <w:jc w:val="center"/>
              <w:rPr>
                <w:rFonts w:ascii="Calibri" w:hAnsi="Calibri" w:cs="Calibri"/>
                <w:iCs/>
                <w:sz w:val="20"/>
                <w:szCs w:val="20"/>
              </w:rPr>
            </w:pPr>
          </w:p>
        </w:tc>
        <w:tc>
          <w:tcPr>
            <w:tcW w:w="2359" w:type="dxa"/>
            <w:tcBorders>
              <w:bottom w:val="single" w:sz="4" w:space="0" w:color="auto"/>
            </w:tcBorders>
            <w:vAlign w:val="bottom"/>
          </w:tcPr>
          <w:p w14:paraId="3CD2FB63" w14:textId="77777777" w:rsidR="0098772B" w:rsidRPr="006112AD" w:rsidRDefault="0098772B" w:rsidP="006112AD">
            <w:pPr>
              <w:jc w:val="center"/>
              <w:rPr>
                <w:rFonts w:ascii="Calibri" w:hAnsi="Calibri" w:cs="Calibri"/>
                <w:iCs/>
                <w:sz w:val="20"/>
                <w:szCs w:val="20"/>
              </w:rPr>
            </w:pPr>
            <w:r w:rsidRPr="006112AD">
              <w:rPr>
                <w:rFonts w:ascii="Calibri" w:hAnsi="Calibri" w:cs="Calibri"/>
                <w:b/>
                <w:bCs/>
                <w:sz w:val="20"/>
                <w:szCs w:val="20"/>
              </w:rPr>
              <w:t>Parameter</w:t>
            </w:r>
          </w:p>
        </w:tc>
        <w:tc>
          <w:tcPr>
            <w:tcW w:w="1284" w:type="dxa"/>
            <w:tcBorders>
              <w:bottom w:val="single" w:sz="4" w:space="0" w:color="auto"/>
            </w:tcBorders>
            <w:vAlign w:val="bottom"/>
          </w:tcPr>
          <w:p w14:paraId="0502E28E" w14:textId="77777777" w:rsidR="0098772B" w:rsidRPr="006112AD" w:rsidRDefault="0098772B" w:rsidP="006112AD">
            <w:pPr>
              <w:jc w:val="center"/>
              <w:rPr>
                <w:rFonts w:ascii="Calibri" w:hAnsi="Calibri" w:cs="Calibri"/>
                <w:iCs/>
                <w:sz w:val="20"/>
                <w:szCs w:val="20"/>
              </w:rPr>
            </w:pPr>
            <w:r w:rsidRPr="006112AD">
              <w:rPr>
                <w:rFonts w:ascii="Calibri" w:eastAsia="Times New Roman" w:hAnsi="Calibri" w:cs="Calibri"/>
                <w:b/>
                <w:bCs/>
                <w:color w:val="000000"/>
                <w:kern w:val="0"/>
                <w:sz w:val="20"/>
                <w:szCs w:val="20"/>
                <w:lang w:eastAsia="en-GB"/>
                <w14:ligatures w14:val="none"/>
              </w:rPr>
              <w:t>Criticality</w:t>
            </w:r>
          </w:p>
        </w:tc>
        <w:tc>
          <w:tcPr>
            <w:tcW w:w="1126" w:type="dxa"/>
            <w:tcBorders>
              <w:bottom w:val="single" w:sz="4" w:space="0" w:color="auto"/>
            </w:tcBorders>
            <w:vAlign w:val="bottom"/>
          </w:tcPr>
          <w:p w14:paraId="5ABA100A" w14:textId="77777777" w:rsidR="0098772B" w:rsidRPr="006112AD" w:rsidRDefault="0098772B" w:rsidP="006112AD">
            <w:pPr>
              <w:jc w:val="center"/>
              <w:rPr>
                <w:rFonts w:ascii="Calibri" w:hAnsi="Calibri" w:cs="Calibri"/>
                <w:iCs/>
                <w:sz w:val="20"/>
                <w:szCs w:val="20"/>
              </w:rPr>
            </w:pPr>
            <w:r w:rsidRPr="006112AD">
              <w:rPr>
                <w:rFonts w:ascii="Calibri" w:hAnsi="Calibri" w:cs="Calibri"/>
                <w:b/>
                <w:bCs/>
                <w:sz w:val="20"/>
                <w:szCs w:val="20"/>
              </w:rPr>
              <w:t>Mean</w:t>
            </w:r>
          </w:p>
        </w:tc>
        <w:tc>
          <w:tcPr>
            <w:tcW w:w="834" w:type="dxa"/>
            <w:tcBorders>
              <w:bottom w:val="single" w:sz="4" w:space="0" w:color="auto"/>
            </w:tcBorders>
            <w:vAlign w:val="bottom"/>
          </w:tcPr>
          <w:p w14:paraId="2F064127" w14:textId="77777777" w:rsidR="0098772B" w:rsidRPr="006112AD" w:rsidRDefault="0098772B" w:rsidP="006112AD">
            <w:pPr>
              <w:jc w:val="center"/>
              <w:rPr>
                <w:rFonts w:ascii="Calibri" w:hAnsi="Calibri" w:cs="Calibri"/>
                <w:iCs/>
                <w:sz w:val="20"/>
                <w:szCs w:val="20"/>
              </w:rPr>
            </w:pPr>
            <w:r w:rsidRPr="006112AD">
              <w:rPr>
                <w:rFonts w:ascii="Calibri" w:hAnsi="Calibri" w:cs="Calibri"/>
                <w:b/>
                <w:bCs/>
                <w:sz w:val="20"/>
                <w:szCs w:val="20"/>
              </w:rPr>
              <w:t>SD</w:t>
            </w:r>
          </w:p>
        </w:tc>
        <w:tc>
          <w:tcPr>
            <w:tcW w:w="1284" w:type="dxa"/>
            <w:tcBorders>
              <w:bottom w:val="single" w:sz="4" w:space="0" w:color="auto"/>
            </w:tcBorders>
            <w:vAlign w:val="bottom"/>
          </w:tcPr>
          <w:p w14:paraId="1DFE2FC4" w14:textId="77777777" w:rsidR="0098772B" w:rsidRPr="006112AD" w:rsidRDefault="0098772B" w:rsidP="006112AD">
            <w:pPr>
              <w:jc w:val="center"/>
              <w:rPr>
                <w:rFonts w:ascii="Calibri" w:hAnsi="Calibri" w:cs="Calibri"/>
                <w:iCs/>
                <w:sz w:val="20"/>
                <w:szCs w:val="20"/>
              </w:rPr>
            </w:pPr>
            <w:proofErr w:type="spellStart"/>
            <w:r w:rsidRPr="006112AD">
              <w:rPr>
                <w:rFonts w:ascii="Calibri" w:hAnsi="Calibri" w:cs="Calibri"/>
                <w:b/>
                <w:bCs/>
                <w:sz w:val="20"/>
                <w:szCs w:val="20"/>
              </w:rPr>
              <w:t>Cpk</w:t>
            </w:r>
            <w:proofErr w:type="spellEnd"/>
          </w:p>
        </w:tc>
        <w:tc>
          <w:tcPr>
            <w:tcW w:w="1297" w:type="dxa"/>
            <w:tcBorders>
              <w:bottom w:val="single" w:sz="4" w:space="0" w:color="auto"/>
            </w:tcBorders>
            <w:vAlign w:val="bottom"/>
          </w:tcPr>
          <w:p w14:paraId="3B7B2754" w14:textId="77777777" w:rsidR="0098772B" w:rsidRPr="006112AD" w:rsidRDefault="0098772B" w:rsidP="006112AD">
            <w:pPr>
              <w:jc w:val="center"/>
              <w:rPr>
                <w:rFonts w:ascii="Calibri" w:hAnsi="Calibri" w:cs="Calibri"/>
                <w:iCs/>
                <w:sz w:val="20"/>
                <w:szCs w:val="20"/>
              </w:rPr>
            </w:pPr>
            <w:r w:rsidRPr="006112AD">
              <w:rPr>
                <w:rFonts w:ascii="Calibri" w:hAnsi="Calibri" w:cs="Calibri"/>
                <w:b/>
                <w:bCs/>
                <w:sz w:val="20"/>
                <w:szCs w:val="20"/>
              </w:rPr>
              <w:t>Capability outcome</w:t>
            </w:r>
          </w:p>
        </w:tc>
      </w:tr>
      <w:tr w:rsidR="0098772B" w:rsidRPr="006112AD" w14:paraId="4EF7A03B" w14:textId="77777777" w:rsidTr="0012349D">
        <w:trPr>
          <w:jc w:val="center"/>
        </w:trPr>
        <w:tc>
          <w:tcPr>
            <w:tcW w:w="1043" w:type="dxa"/>
            <w:vMerge w:val="restart"/>
            <w:tcBorders>
              <w:top w:val="single" w:sz="4" w:space="0" w:color="auto"/>
            </w:tcBorders>
            <w:vAlign w:val="center"/>
          </w:tcPr>
          <w:p w14:paraId="7135B215" w14:textId="77777777" w:rsidR="0098772B" w:rsidRPr="006112AD" w:rsidRDefault="0098772B" w:rsidP="006112AD">
            <w:pPr>
              <w:jc w:val="center"/>
              <w:rPr>
                <w:rFonts w:ascii="Calibri" w:hAnsi="Calibri" w:cs="Calibri"/>
                <w:iCs/>
                <w:sz w:val="20"/>
                <w:szCs w:val="20"/>
              </w:rPr>
            </w:pPr>
            <w:r w:rsidRPr="006112AD">
              <w:rPr>
                <w:rFonts w:ascii="Calibri" w:hAnsi="Calibri" w:cs="Calibri"/>
                <w:b/>
                <w:bCs/>
                <w:sz w:val="20"/>
                <w:szCs w:val="20"/>
              </w:rPr>
              <w:t>Short Holding Time</w:t>
            </w:r>
          </w:p>
        </w:tc>
        <w:tc>
          <w:tcPr>
            <w:tcW w:w="2359" w:type="dxa"/>
            <w:tcBorders>
              <w:top w:val="single" w:sz="4" w:space="0" w:color="auto"/>
            </w:tcBorders>
            <w:vAlign w:val="center"/>
          </w:tcPr>
          <w:p w14:paraId="33FDCC89"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Volume</w:t>
            </w:r>
          </w:p>
        </w:tc>
        <w:tc>
          <w:tcPr>
            <w:tcW w:w="1284" w:type="dxa"/>
            <w:tcBorders>
              <w:top w:val="single" w:sz="4" w:space="0" w:color="auto"/>
            </w:tcBorders>
            <w:vAlign w:val="center"/>
          </w:tcPr>
          <w:p w14:paraId="2A9C75D1" w14:textId="77777777" w:rsidR="0098772B" w:rsidRPr="006112AD" w:rsidRDefault="0098772B" w:rsidP="006112AD">
            <w:pPr>
              <w:jc w:val="center"/>
              <w:rPr>
                <w:rFonts w:ascii="Calibri" w:hAnsi="Calibri" w:cs="Calibri"/>
                <w:iCs/>
                <w:sz w:val="20"/>
                <w:szCs w:val="20"/>
              </w:rPr>
            </w:pPr>
            <w:r w:rsidRPr="006112AD">
              <w:rPr>
                <w:rFonts w:ascii="Calibri" w:eastAsia="Times New Roman" w:hAnsi="Calibri" w:cs="Calibri"/>
                <w:color w:val="000000"/>
                <w:kern w:val="0"/>
                <w:sz w:val="20"/>
                <w:szCs w:val="20"/>
                <w:lang w:eastAsia="en-GB"/>
                <w14:ligatures w14:val="none"/>
              </w:rPr>
              <w:t>Low</w:t>
            </w:r>
          </w:p>
        </w:tc>
        <w:tc>
          <w:tcPr>
            <w:tcW w:w="1126" w:type="dxa"/>
            <w:tcBorders>
              <w:top w:val="single" w:sz="4" w:space="0" w:color="auto"/>
            </w:tcBorders>
            <w:vAlign w:val="center"/>
          </w:tcPr>
          <w:p w14:paraId="4F60A8CB"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276.17</w:t>
            </w:r>
          </w:p>
        </w:tc>
        <w:tc>
          <w:tcPr>
            <w:tcW w:w="834" w:type="dxa"/>
            <w:tcBorders>
              <w:top w:val="single" w:sz="4" w:space="0" w:color="auto"/>
            </w:tcBorders>
            <w:vAlign w:val="center"/>
          </w:tcPr>
          <w:p w14:paraId="4A3853BB"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13.71</w:t>
            </w:r>
          </w:p>
        </w:tc>
        <w:tc>
          <w:tcPr>
            <w:tcW w:w="1284" w:type="dxa"/>
            <w:tcBorders>
              <w:top w:val="single" w:sz="4" w:space="0" w:color="auto"/>
            </w:tcBorders>
            <w:vAlign w:val="center"/>
          </w:tcPr>
          <w:p w14:paraId="6DF0FA8F"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0.68</w:t>
            </w:r>
          </w:p>
        </w:tc>
        <w:tc>
          <w:tcPr>
            <w:tcW w:w="1297" w:type="dxa"/>
            <w:tcBorders>
              <w:top w:val="single" w:sz="4" w:space="0" w:color="auto"/>
            </w:tcBorders>
            <w:vAlign w:val="center"/>
          </w:tcPr>
          <w:p w14:paraId="50C920AE"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Capable</w:t>
            </w:r>
          </w:p>
        </w:tc>
      </w:tr>
      <w:tr w:rsidR="0098772B" w:rsidRPr="006112AD" w14:paraId="73748E0B" w14:textId="77777777" w:rsidTr="0012349D">
        <w:trPr>
          <w:jc w:val="center"/>
        </w:trPr>
        <w:tc>
          <w:tcPr>
            <w:tcW w:w="1043" w:type="dxa"/>
            <w:vMerge/>
            <w:vAlign w:val="center"/>
          </w:tcPr>
          <w:p w14:paraId="0CCADC4A" w14:textId="77777777" w:rsidR="0098772B" w:rsidRPr="006112AD" w:rsidRDefault="0098772B" w:rsidP="006112AD">
            <w:pPr>
              <w:jc w:val="center"/>
              <w:rPr>
                <w:rFonts w:ascii="Calibri" w:hAnsi="Calibri" w:cs="Calibri"/>
                <w:iCs/>
                <w:sz w:val="20"/>
                <w:szCs w:val="20"/>
              </w:rPr>
            </w:pPr>
          </w:p>
        </w:tc>
        <w:tc>
          <w:tcPr>
            <w:tcW w:w="2359" w:type="dxa"/>
            <w:vAlign w:val="center"/>
          </w:tcPr>
          <w:p w14:paraId="5D71C917"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Leucocytes</w:t>
            </w:r>
          </w:p>
        </w:tc>
        <w:tc>
          <w:tcPr>
            <w:tcW w:w="1284" w:type="dxa"/>
            <w:vAlign w:val="center"/>
          </w:tcPr>
          <w:p w14:paraId="713C58C2" w14:textId="77777777" w:rsidR="0098772B" w:rsidRPr="006112AD" w:rsidRDefault="0098772B" w:rsidP="006112AD">
            <w:pPr>
              <w:jc w:val="center"/>
              <w:rPr>
                <w:rFonts w:ascii="Calibri" w:hAnsi="Calibri" w:cs="Calibri"/>
                <w:iCs/>
                <w:sz w:val="20"/>
                <w:szCs w:val="20"/>
              </w:rPr>
            </w:pPr>
            <w:r w:rsidRPr="006112AD">
              <w:rPr>
                <w:rFonts w:ascii="Calibri" w:eastAsia="Times New Roman" w:hAnsi="Calibri" w:cs="Calibri"/>
                <w:color w:val="000000"/>
                <w:kern w:val="0"/>
                <w:sz w:val="20"/>
                <w:szCs w:val="20"/>
                <w:lang w:eastAsia="en-GB"/>
                <w14:ligatures w14:val="none"/>
              </w:rPr>
              <w:t>High</w:t>
            </w:r>
          </w:p>
        </w:tc>
        <w:tc>
          <w:tcPr>
            <w:tcW w:w="1126" w:type="dxa"/>
            <w:vAlign w:val="center"/>
          </w:tcPr>
          <w:p w14:paraId="33260FC6"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0.03</w:t>
            </w:r>
          </w:p>
        </w:tc>
        <w:tc>
          <w:tcPr>
            <w:tcW w:w="834" w:type="dxa"/>
            <w:vAlign w:val="center"/>
          </w:tcPr>
          <w:p w14:paraId="5637FE2A"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0.04</w:t>
            </w:r>
          </w:p>
        </w:tc>
        <w:tc>
          <w:tcPr>
            <w:tcW w:w="1284" w:type="dxa"/>
            <w:vAlign w:val="center"/>
          </w:tcPr>
          <w:p w14:paraId="3D1E65ED"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0.50</w:t>
            </w:r>
          </w:p>
        </w:tc>
        <w:tc>
          <w:tcPr>
            <w:tcW w:w="1297" w:type="dxa"/>
            <w:vAlign w:val="center"/>
          </w:tcPr>
          <w:p w14:paraId="523918AD"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Incapable</w:t>
            </w:r>
          </w:p>
        </w:tc>
      </w:tr>
      <w:tr w:rsidR="0098772B" w:rsidRPr="006112AD" w14:paraId="2DDBB5D3" w14:textId="77777777" w:rsidTr="0012349D">
        <w:trPr>
          <w:jc w:val="center"/>
        </w:trPr>
        <w:tc>
          <w:tcPr>
            <w:tcW w:w="1043" w:type="dxa"/>
            <w:vMerge/>
            <w:vAlign w:val="center"/>
          </w:tcPr>
          <w:p w14:paraId="597A3D19" w14:textId="77777777" w:rsidR="0098772B" w:rsidRPr="006112AD" w:rsidRDefault="0098772B" w:rsidP="006112AD">
            <w:pPr>
              <w:jc w:val="center"/>
              <w:rPr>
                <w:rFonts w:ascii="Calibri" w:hAnsi="Calibri" w:cs="Calibri"/>
                <w:iCs/>
                <w:sz w:val="20"/>
                <w:szCs w:val="20"/>
              </w:rPr>
            </w:pPr>
          </w:p>
        </w:tc>
        <w:tc>
          <w:tcPr>
            <w:tcW w:w="2359" w:type="dxa"/>
            <w:vAlign w:val="center"/>
          </w:tcPr>
          <w:p w14:paraId="4186C0B9"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Leucocytes (no OOS)</w:t>
            </w:r>
          </w:p>
        </w:tc>
        <w:tc>
          <w:tcPr>
            <w:tcW w:w="1284" w:type="dxa"/>
            <w:vAlign w:val="center"/>
          </w:tcPr>
          <w:p w14:paraId="699C4E79" w14:textId="77777777" w:rsidR="0098772B" w:rsidRPr="006112AD" w:rsidRDefault="0098772B" w:rsidP="006112AD">
            <w:pPr>
              <w:jc w:val="center"/>
              <w:rPr>
                <w:rFonts w:ascii="Calibri" w:hAnsi="Calibri" w:cs="Calibri"/>
                <w:iCs/>
                <w:sz w:val="20"/>
                <w:szCs w:val="20"/>
              </w:rPr>
            </w:pPr>
            <w:r w:rsidRPr="006112AD">
              <w:rPr>
                <w:rFonts w:ascii="Calibri" w:eastAsia="Times New Roman" w:hAnsi="Calibri" w:cs="Calibri"/>
                <w:color w:val="000000"/>
                <w:kern w:val="0"/>
                <w:sz w:val="20"/>
                <w:szCs w:val="20"/>
                <w:lang w:eastAsia="en-GB"/>
                <w14:ligatures w14:val="none"/>
              </w:rPr>
              <w:t>High</w:t>
            </w:r>
          </w:p>
        </w:tc>
        <w:tc>
          <w:tcPr>
            <w:tcW w:w="1126" w:type="dxa"/>
            <w:vAlign w:val="center"/>
          </w:tcPr>
          <w:p w14:paraId="2C7B6CEC"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0.02</w:t>
            </w:r>
          </w:p>
        </w:tc>
        <w:tc>
          <w:tcPr>
            <w:tcW w:w="834" w:type="dxa"/>
            <w:vAlign w:val="center"/>
          </w:tcPr>
          <w:p w14:paraId="160E61F8"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0.02</w:t>
            </w:r>
          </w:p>
        </w:tc>
        <w:tc>
          <w:tcPr>
            <w:tcW w:w="1284" w:type="dxa"/>
            <w:vAlign w:val="center"/>
          </w:tcPr>
          <w:p w14:paraId="40D11E77"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1.17</w:t>
            </w:r>
          </w:p>
        </w:tc>
        <w:tc>
          <w:tcPr>
            <w:tcW w:w="1297" w:type="dxa"/>
            <w:vAlign w:val="center"/>
          </w:tcPr>
          <w:p w14:paraId="318A9DFD"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Borderline</w:t>
            </w:r>
          </w:p>
        </w:tc>
      </w:tr>
      <w:tr w:rsidR="0098772B" w:rsidRPr="006112AD" w14:paraId="09BDDB31" w14:textId="77777777" w:rsidTr="0012349D">
        <w:trPr>
          <w:jc w:val="center"/>
        </w:trPr>
        <w:tc>
          <w:tcPr>
            <w:tcW w:w="1043" w:type="dxa"/>
            <w:vMerge/>
            <w:tcBorders>
              <w:bottom w:val="single" w:sz="4" w:space="0" w:color="auto"/>
            </w:tcBorders>
            <w:vAlign w:val="center"/>
          </w:tcPr>
          <w:p w14:paraId="60DB1AFE" w14:textId="77777777" w:rsidR="0098772B" w:rsidRPr="006112AD" w:rsidRDefault="0098772B" w:rsidP="006112AD">
            <w:pPr>
              <w:jc w:val="center"/>
              <w:rPr>
                <w:rFonts w:ascii="Calibri" w:hAnsi="Calibri" w:cs="Calibri"/>
                <w:iCs/>
                <w:sz w:val="20"/>
                <w:szCs w:val="20"/>
              </w:rPr>
            </w:pPr>
          </w:p>
        </w:tc>
        <w:tc>
          <w:tcPr>
            <w:tcW w:w="2359" w:type="dxa"/>
            <w:tcBorders>
              <w:bottom w:val="single" w:sz="4" w:space="0" w:color="auto"/>
            </w:tcBorders>
            <w:vAlign w:val="center"/>
          </w:tcPr>
          <w:p w14:paraId="50A77D15"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Proteins</w:t>
            </w:r>
          </w:p>
        </w:tc>
        <w:tc>
          <w:tcPr>
            <w:tcW w:w="1284" w:type="dxa"/>
            <w:tcBorders>
              <w:bottom w:val="single" w:sz="4" w:space="0" w:color="auto"/>
            </w:tcBorders>
            <w:vAlign w:val="center"/>
          </w:tcPr>
          <w:p w14:paraId="44765D4E"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Low</w:t>
            </w:r>
          </w:p>
        </w:tc>
        <w:tc>
          <w:tcPr>
            <w:tcW w:w="1126" w:type="dxa"/>
            <w:tcBorders>
              <w:bottom w:val="single" w:sz="4" w:space="0" w:color="auto"/>
            </w:tcBorders>
            <w:vAlign w:val="center"/>
          </w:tcPr>
          <w:p w14:paraId="0BE6488A"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60.52</w:t>
            </w:r>
          </w:p>
        </w:tc>
        <w:tc>
          <w:tcPr>
            <w:tcW w:w="834" w:type="dxa"/>
            <w:tcBorders>
              <w:bottom w:val="single" w:sz="4" w:space="0" w:color="auto"/>
            </w:tcBorders>
            <w:vAlign w:val="center"/>
          </w:tcPr>
          <w:p w14:paraId="1C798963"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3.57</w:t>
            </w:r>
          </w:p>
        </w:tc>
        <w:tc>
          <w:tcPr>
            <w:tcW w:w="1284" w:type="dxa"/>
            <w:tcBorders>
              <w:bottom w:val="single" w:sz="4" w:space="0" w:color="auto"/>
            </w:tcBorders>
            <w:vAlign w:val="center"/>
          </w:tcPr>
          <w:p w14:paraId="7D9857BA"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0.98</w:t>
            </w:r>
          </w:p>
        </w:tc>
        <w:tc>
          <w:tcPr>
            <w:tcW w:w="1297" w:type="dxa"/>
            <w:tcBorders>
              <w:bottom w:val="single" w:sz="4" w:space="0" w:color="auto"/>
            </w:tcBorders>
            <w:vAlign w:val="center"/>
          </w:tcPr>
          <w:p w14:paraId="586A86AF"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Capable</w:t>
            </w:r>
          </w:p>
        </w:tc>
      </w:tr>
      <w:tr w:rsidR="0098772B" w:rsidRPr="006112AD" w14:paraId="7A41A28A" w14:textId="77777777" w:rsidTr="0012349D">
        <w:trPr>
          <w:jc w:val="center"/>
        </w:trPr>
        <w:tc>
          <w:tcPr>
            <w:tcW w:w="1043" w:type="dxa"/>
            <w:vMerge w:val="restart"/>
            <w:tcBorders>
              <w:top w:val="single" w:sz="4" w:space="0" w:color="auto"/>
            </w:tcBorders>
            <w:vAlign w:val="center"/>
          </w:tcPr>
          <w:p w14:paraId="538EA4B1" w14:textId="77777777" w:rsidR="0098772B" w:rsidRPr="006112AD" w:rsidRDefault="0098772B" w:rsidP="006112AD">
            <w:pPr>
              <w:jc w:val="center"/>
              <w:rPr>
                <w:rFonts w:ascii="Calibri" w:hAnsi="Calibri" w:cs="Calibri"/>
                <w:iCs/>
                <w:sz w:val="20"/>
                <w:szCs w:val="20"/>
              </w:rPr>
            </w:pPr>
            <w:r w:rsidRPr="006112AD">
              <w:rPr>
                <w:rFonts w:ascii="Calibri" w:hAnsi="Calibri" w:cs="Calibri"/>
                <w:b/>
                <w:bCs/>
                <w:sz w:val="20"/>
                <w:szCs w:val="20"/>
              </w:rPr>
              <w:t>Long Holding Time</w:t>
            </w:r>
          </w:p>
        </w:tc>
        <w:tc>
          <w:tcPr>
            <w:tcW w:w="2359" w:type="dxa"/>
            <w:tcBorders>
              <w:top w:val="single" w:sz="4" w:space="0" w:color="auto"/>
            </w:tcBorders>
            <w:vAlign w:val="center"/>
          </w:tcPr>
          <w:p w14:paraId="2250F57E"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Volume</w:t>
            </w:r>
          </w:p>
        </w:tc>
        <w:tc>
          <w:tcPr>
            <w:tcW w:w="1284" w:type="dxa"/>
            <w:tcBorders>
              <w:top w:val="single" w:sz="4" w:space="0" w:color="auto"/>
            </w:tcBorders>
            <w:vAlign w:val="center"/>
          </w:tcPr>
          <w:p w14:paraId="16E6986D" w14:textId="77777777" w:rsidR="0098772B" w:rsidRPr="006112AD" w:rsidRDefault="0098772B" w:rsidP="006112AD">
            <w:pPr>
              <w:jc w:val="center"/>
              <w:rPr>
                <w:rFonts w:ascii="Calibri" w:hAnsi="Calibri" w:cs="Calibri"/>
                <w:iCs/>
                <w:sz w:val="20"/>
                <w:szCs w:val="20"/>
              </w:rPr>
            </w:pPr>
            <w:r w:rsidRPr="006112AD">
              <w:rPr>
                <w:rFonts w:ascii="Calibri" w:eastAsia="Times New Roman" w:hAnsi="Calibri" w:cs="Calibri"/>
                <w:color w:val="000000"/>
                <w:kern w:val="0"/>
                <w:sz w:val="20"/>
                <w:szCs w:val="20"/>
                <w:lang w:eastAsia="en-GB"/>
                <w14:ligatures w14:val="none"/>
              </w:rPr>
              <w:t>Low</w:t>
            </w:r>
          </w:p>
        </w:tc>
        <w:tc>
          <w:tcPr>
            <w:tcW w:w="1126" w:type="dxa"/>
            <w:tcBorders>
              <w:top w:val="single" w:sz="4" w:space="0" w:color="auto"/>
            </w:tcBorders>
            <w:vAlign w:val="center"/>
          </w:tcPr>
          <w:p w14:paraId="2772432C"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282.72</w:t>
            </w:r>
          </w:p>
        </w:tc>
        <w:tc>
          <w:tcPr>
            <w:tcW w:w="834" w:type="dxa"/>
            <w:tcBorders>
              <w:top w:val="single" w:sz="4" w:space="0" w:color="auto"/>
            </w:tcBorders>
            <w:vAlign w:val="center"/>
          </w:tcPr>
          <w:p w14:paraId="6587C3F3"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13.18</w:t>
            </w:r>
          </w:p>
        </w:tc>
        <w:tc>
          <w:tcPr>
            <w:tcW w:w="1284" w:type="dxa"/>
            <w:tcBorders>
              <w:top w:val="single" w:sz="4" w:space="0" w:color="auto"/>
            </w:tcBorders>
            <w:vAlign w:val="center"/>
          </w:tcPr>
          <w:p w14:paraId="247540BB"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0.71</w:t>
            </w:r>
          </w:p>
        </w:tc>
        <w:tc>
          <w:tcPr>
            <w:tcW w:w="1297" w:type="dxa"/>
            <w:tcBorders>
              <w:top w:val="single" w:sz="4" w:space="0" w:color="auto"/>
            </w:tcBorders>
            <w:vAlign w:val="center"/>
          </w:tcPr>
          <w:p w14:paraId="41411EA6"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Capable</w:t>
            </w:r>
          </w:p>
        </w:tc>
      </w:tr>
      <w:tr w:rsidR="0098772B" w:rsidRPr="006112AD" w14:paraId="5A12ED88" w14:textId="77777777" w:rsidTr="0012349D">
        <w:trPr>
          <w:jc w:val="center"/>
        </w:trPr>
        <w:tc>
          <w:tcPr>
            <w:tcW w:w="1043" w:type="dxa"/>
            <w:vMerge/>
            <w:vAlign w:val="center"/>
          </w:tcPr>
          <w:p w14:paraId="430578FA" w14:textId="77777777" w:rsidR="0098772B" w:rsidRPr="006112AD" w:rsidRDefault="0098772B" w:rsidP="006112AD">
            <w:pPr>
              <w:jc w:val="center"/>
              <w:rPr>
                <w:rFonts w:ascii="Calibri" w:hAnsi="Calibri" w:cs="Calibri"/>
                <w:iCs/>
                <w:sz w:val="20"/>
                <w:szCs w:val="20"/>
              </w:rPr>
            </w:pPr>
          </w:p>
        </w:tc>
        <w:tc>
          <w:tcPr>
            <w:tcW w:w="2359" w:type="dxa"/>
            <w:vAlign w:val="center"/>
          </w:tcPr>
          <w:p w14:paraId="43FED793"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Leucocytes</w:t>
            </w:r>
          </w:p>
        </w:tc>
        <w:tc>
          <w:tcPr>
            <w:tcW w:w="1284" w:type="dxa"/>
            <w:vAlign w:val="center"/>
          </w:tcPr>
          <w:p w14:paraId="22A10A8E"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High</w:t>
            </w:r>
          </w:p>
        </w:tc>
        <w:tc>
          <w:tcPr>
            <w:tcW w:w="1126" w:type="dxa"/>
            <w:vAlign w:val="center"/>
          </w:tcPr>
          <w:p w14:paraId="171EAF7F"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0.01</w:t>
            </w:r>
          </w:p>
        </w:tc>
        <w:tc>
          <w:tcPr>
            <w:tcW w:w="834" w:type="dxa"/>
            <w:vAlign w:val="center"/>
          </w:tcPr>
          <w:p w14:paraId="0F3F60AC"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0.01</w:t>
            </w:r>
          </w:p>
        </w:tc>
        <w:tc>
          <w:tcPr>
            <w:tcW w:w="1284" w:type="dxa"/>
            <w:vAlign w:val="center"/>
          </w:tcPr>
          <w:p w14:paraId="0D6C6F8B"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9.55</w:t>
            </w:r>
          </w:p>
        </w:tc>
        <w:tc>
          <w:tcPr>
            <w:tcW w:w="1297" w:type="dxa"/>
            <w:vAlign w:val="center"/>
          </w:tcPr>
          <w:p w14:paraId="13FFDECC"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Capable</w:t>
            </w:r>
          </w:p>
        </w:tc>
      </w:tr>
      <w:tr w:rsidR="0098772B" w:rsidRPr="006112AD" w14:paraId="25DAD372" w14:textId="77777777" w:rsidTr="0012349D">
        <w:trPr>
          <w:jc w:val="center"/>
        </w:trPr>
        <w:tc>
          <w:tcPr>
            <w:tcW w:w="1043" w:type="dxa"/>
            <w:vMerge/>
            <w:tcBorders>
              <w:bottom w:val="single" w:sz="4" w:space="0" w:color="auto"/>
            </w:tcBorders>
          </w:tcPr>
          <w:p w14:paraId="232F67CE" w14:textId="77777777" w:rsidR="0098772B" w:rsidRPr="006112AD" w:rsidRDefault="0098772B" w:rsidP="006112AD">
            <w:pPr>
              <w:jc w:val="center"/>
              <w:rPr>
                <w:rFonts w:ascii="Calibri" w:hAnsi="Calibri" w:cs="Calibri"/>
                <w:iCs/>
                <w:sz w:val="20"/>
                <w:szCs w:val="20"/>
              </w:rPr>
            </w:pPr>
          </w:p>
        </w:tc>
        <w:tc>
          <w:tcPr>
            <w:tcW w:w="2359" w:type="dxa"/>
            <w:tcBorders>
              <w:bottom w:val="single" w:sz="4" w:space="0" w:color="auto"/>
            </w:tcBorders>
            <w:vAlign w:val="center"/>
          </w:tcPr>
          <w:p w14:paraId="6CAE04CD"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Proteins</w:t>
            </w:r>
          </w:p>
        </w:tc>
        <w:tc>
          <w:tcPr>
            <w:tcW w:w="1284" w:type="dxa"/>
            <w:tcBorders>
              <w:bottom w:val="single" w:sz="4" w:space="0" w:color="auto"/>
            </w:tcBorders>
            <w:vAlign w:val="center"/>
          </w:tcPr>
          <w:p w14:paraId="6AFB2ACD"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Low</w:t>
            </w:r>
          </w:p>
        </w:tc>
        <w:tc>
          <w:tcPr>
            <w:tcW w:w="1126" w:type="dxa"/>
            <w:tcBorders>
              <w:bottom w:val="single" w:sz="4" w:space="0" w:color="auto"/>
            </w:tcBorders>
            <w:vAlign w:val="center"/>
          </w:tcPr>
          <w:p w14:paraId="40A5DDE7"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62.55</w:t>
            </w:r>
          </w:p>
        </w:tc>
        <w:tc>
          <w:tcPr>
            <w:tcW w:w="834" w:type="dxa"/>
            <w:tcBorders>
              <w:bottom w:val="single" w:sz="4" w:space="0" w:color="auto"/>
            </w:tcBorders>
            <w:vAlign w:val="center"/>
          </w:tcPr>
          <w:p w14:paraId="363EC242"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2.76</w:t>
            </w:r>
          </w:p>
        </w:tc>
        <w:tc>
          <w:tcPr>
            <w:tcW w:w="1284" w:type="dxa"/>
            <w:tcBorders>
              <w:bottom w:val="single" w:sz="4" w:space="0" w:color="auto"/>
            </w:tcBorders>
            <w:vAlign w:val="center"/>
          </w:tcPr>
          <w:p w14:paraId="20AF2190"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1.52</w:t>
            </w:r>
          </w:p>
        </w:tc>
        <w:tc>
          <w:tcPr>
            <w:tcW w:w="1297" w:type="dxa"/>
            <w:tcBorders>
              <w:bottom w:val="single" w:sz="4" w:space="0" w:color="auto"/>
            </w:tcBorders>
            <w:vAlign w:val="center"/>
          </w:tcPr>
          <w:p w14:paraId="79A76501" w14:textId="77777777" w:rsidR="0098772B" w:rsidRPr="006112AD" w:rsidRDefault="0098772B" w:rsidP="006112AD">
            <w:pPr>
              <w:jc w:val="center"/>
              <w:rPr>
                <w:rFonts w:ascii="Calibri" w:hAnsi="Calibri" w:cs="Calibri"/>
                <w:iCs/>
                <w:sz w:val="20"/>
                <w:szCs w:val="20"/>
              </w:rPr>
            </w:pPr>
            <w:r w:rsidRPr="006112AD">
              <w:rPr>
                <w:rFonts w:ascii="Calibri" w:hAnsi="Calibri" w:cs="Calibri"/>
                <w:sz w:val="20"/>
                <w:szCs w:val="20"/>
              </w:rPr>
              <w:t>Capable</w:t>
            </w:r>
          </w:p>
        </w:tc>
      </w:tr>
    </w:tbl>
    <w:p w14:paraId="56EE8E76" w14:textId="77777777" w:rsidR="0098772B" w:rsidRPr="006112AD" w:rsidRDefault="0098772B" w:rsidP="006112AD">
      <w:pPr>
        <w:spacing w:after="0" w:line="240" w:lineRule="auto"/>
        <w:jc w:val="center"/>
        <w:rPr>
          <w:rFonts w:ascii="Calibri" w:hAnsi="Calibri" w:cs="Calibri"/>
          <w:iCs/>
          <w:sz w:val="20"/>
          <w:szCs w:val="20"/>
        </w:rPr>
      </w:pPr>
    </w:p>
    <w:p w14:paraId="18DC1ABD" w14:textId="77777777" w:rsidR="0098772B" w:rsidRPr="006112AD" w:rsidRDefault="0098772B" w:rsidP="006112AD">
      <w:pPr>
        <w:spacing w:after="0" w:line="240" w:lineRule="auto"/>
        <w:jc w:val="center"/>
        <w:rPr>
          <w:rFonts w:ascii="Calibri" w:hAnsi="Calibri" w:cs="Calibri"/>
          <w:iCs/>
          <w:sz w:val="20"/>
          <w:szCs w:val="20"/>
        </w:rPr>
      </w:pPr>
    </w:p>
    <w:p w14:paraId="547DBAFF" w14:textId="201D9DDF" w:rsidR="0098772B" w:rsidRPr="006112AD" w:rsidRDefault="0098772B" w:rsidP="006112AD">
      <w:pPr>
        <w:spacing w:line="240" w:lineRule="auto"/>
        <w:jc w:val="both"/>
        <w:rPr>
          <w:rFonts w:ascii="Calibri" w:hAnsi="Calibri" w:cs="Calibri"/>
          <w:iCs/>
          <w:sz w:val="20"/>
          <w:szCs w:val="20"/>
        </w:rPr>
      </w:pPr>
      <w:r w:rsidRPr="006112AD">
        <w:rPr>
          <w:rFonts w:ascii="Calibri" w:hAnsi="Calibri" w:cs="Calibri"/>
          <w:iCs/>
          <w:sz w:val="20"/>
          <w:szCs w:val="20"/>
        </w:rPr>
        <w:t xml:space="preserve">Also shown in Table </w:t>
      </w:r>
      <w:r w:rsidR="002C1209" w:rsidRPr="006112AD">
        <w:rPr>
          <w:rFonts w:ascii="Calibri" w:hAnsi="Calibri" w:cs="Calibri"/>
          <w:iCs/>
          <w:sz w:val="20"/>
          <w:szCs w:val="20"/>
        </w:rPr>
        <w:t>11</w:t>
      </w:r>
      <w:r w:rsidRPr="006112AD">
        <w:rPr>
          <w:rFonts w:ascii="Calibri" w:hAnsi="Calibri" w:cs="Calibri"/>
          <w:iCs/>
          <w:sz w:val="20"/>
          <w:szCs w:val="20"/>
        </w:rPr>
        <w:t xml:space="preserve">, when considering the volumes of FFP units, the capability outcome was capable for both cohorts. This is also true for PC. On the other hand, the capability outcome for the RLC of units with a SHT, was incapable. The process however was capable for units with </w:t>
      </w:r>
      <w:r w:rsidR="00FF6069" w:rsidRPr="006112AD">
        <w:rPr>
          <w:rFonts w:ascii="Calibri" w:hAnsi="Calibri" w:cs="Calibri"/>
          <w:iCs/>
          <w:sz w:val="20"/>
          <w:szCs w:val="20"/>
        </w:rPr>
        <w:t>an</w:t>
      </w:r>
      <w:r w:rsidRPr="006112AD">
        <w:rPr>
          <w:rFonts w:ascii="Calibri" w:hAnsi="Calibri" w:cs="Calibri"/>
          <w:iCs/>
          <w:sz w:val="20"/>
          <w:szCs w:val="20"/>
        </w:rPr>
        <w:t xml:space="preserve"> LHT. </w:t>
      </w:r>
    </w:p>
    <w:p w14:paraId="767BBA60" w14:textId="6A768799" w:rsidR="0098772B" w:rsidRDefault="0098772B" w:rsidP="006112AD">
      <w:pPr>
        <w:spacing w:line="240" w:lineRule="auto"/>
        <w:jc w:val="both"/>
        <w:rPr>
          <w:rFonts w:ascii="Calibri" w:hAnsi="Calibri" w:cs="Calibri"/>
          <w:iCs/>
          <w:sz w:val="20"/>
          <w:szCs w:val="20"/>
        </w:rPr>
      </w:pPr>
      <w:r w:rsidRPr="006112AD">
        <w:rPr>
          <w:rFonts w:ascii="Calibri" w:hAnsi="Calibri" w:cs="Calibri"/>
          <w:iCs/>
          <w:sz w:val="20"/>
          <w:szCs w:val="20"/>
        </w:rPr>
        <w:t xml:space="preserve">Out of specification (OOS) values were removed from the SHT cohort for RLC to assess the influence of outliers. When this was done, the process capability changed from incapable to borderline. </w:t>
      </w:r>
    </w:p>
    <w:p w14:paraId="3AA4C823" w14:textId="77777777" w:rsidR="00844576" w:rsidRPr="006112AD" w:rsidRDefault="00844576" w:rsidP="006112AD">
      <w:pPr>
        <w:spacing w:line="240" w:lineRule="auto"/>
        <w:jc w:val="both"/>
        <w:rPr>
          <w:rFonts w:ascii="Calibri" w:hAnsi="Calibri" w:cs="Calibri"/>
          <w:iCs/>
          <w:sz w:val="20"/>
          <w:szCs w:val="20"/>
        </w:rPr>
      </w:pPr>
    </w:p>
    <w:p w14:paraId="7C3E6028" w14:textId="4B0DCB1E" w:rsidR="00F6633D" w:rsidRPr="000462D0" w:rsidRDefault="0098772B" w:rsidP="000462D0">
      <w:pPr>
        <w:pStyle w:val="ListParagraph"/>
        <w:numPr>
          <w:ilvl w:val="0"/>
          <w:numId w:val="38"/>
        </w:numPr>
        <w:spacing w:line="240" w:lineRule="auto"/>
        <w:rPr>
          <w:rFonts w:ascii="Calibri" w:hAnsi="Calibri" w:cs="Calibri"/>
          <w:b/>
          <w:bCs/>
          <w:sz w:val="20"/>
          <w:szCs w:val="20"/>
        </w:rPr>
      </w:pPr>
      <w:bookmarkStart w:id="141" w:name="_Toc198372567"/>
      <w:bookmarkStart w:id="142" w:name="_Toc199078024"/>
      <w:r w:rsidRPr="000462D0">
        <w:rPr>
          <w:rFonts w:ascii="Calibri" w:hAnsi="Calibri" w:cs="Calibri"/>
          <w:b/>
          <w:bCs/>
          <w:sz w:val="20"/>
          <w:szCs w:val="20"/>
        </w:rPr>
        <w:t>Discussion</w:t>
      </w:r>
      <w:bookmarkEnd w:id="141"/>
      <w:bookmarkEnd w:id="142"/>
    </w:p>
    <w:p w14:paraId="13EB7322" w14:textId="0A8D857E" w:rsidR="0098772B" w:rsidRPr="006112AD" w:rsidRDefault="0098772B" w:rsidP="006112AD">
      <w:pPr>
        <w:spacing w:line="240" w:lineRule="auto"/>
        <w:jc w:val="both"/>
        <w:rPr>
          <w:rFonts w:ascii="Calibri" w:hAnsi="Calibri" w:cs="Calibri"/>
          <w:sz w:val="20"/>
          <w:szCs w:val="20"/>
        </w:rPr>
      </w:pPr>
      <w:r w:rsidRPr="006112AD">
        <w:rPr>
          <w:rFonts w:ascii="Calibri" w:hAnsi="Calibri" w:cs="Calibri"/>
          <w:sz w:val="20"/>
          <w:szCs w:val="20"/>
        </w:rPr>
        <w:t>FFP is a vital transfusion product which is indicated in cases of complex coagulopathies, severe bleeding, Vitamin K deficiency, and burns amongst others. As with other blood products, FFP is required to be of optimal quality for transfusion to ensure that the product has a therapeutic effect, and any unwanted adverse transfusion reactions are avoided for the safety of the patient. According to the EDQM non-filtered FFP must have a</w:t>
      </w:r>
      <w:r w:rsidR="003F4A41" w:rsidRPr="006112AD">
        <w:rPr>
          <w:rFonts w:ascii="Calibri" w:hAnsi="Calibri" w:cs="Calibri"/>
          <w:sz w:val="20"/>
          <w:szCs w:val="20"/>
        </w:rPr>
        <w:t xml:space="preserve"> </w:t>
      </w:r>
      <w:r w:rsidRPr="006112AD">
        <w:rPr>
          <w:rFonts w:ascii="Calibri" w:hAnsi="Calibri" w:cs="Calibri"/>
          <w:sz w:val="20"/>
          <w:szCs w:val="20"/>
        </w:rPr>
        <w:t>RLC of &lt;0.1x10</w:t>
      </w:r>
      <w:r w:rsidRPr="006112AD">
        <w:rPr>
          <w:rFonts w:ascii="Calibri" w:hAnsi="Calibri" w:cs="Calibri"/>
          <w:sz w:val="20"/>
          <w:szCs w:val="20"/>
          <w:vertAlign w:val="superscript"/>
        </w:rPr>
        <w:t>9</w:t>
      </w:r>
      <w:r w:rsidRPr="006112AD">
        <w:rPr>
          <w:rFonts w:ascii="Calibri" w:hAnsi="Calibri" w:cs="Calibri"/>
          <w:sz w:val="20"/>
          <w:szCs w:val="20"/>
        </w:rPr>
        <w:t xml:space="preserve"> cells/L and a total PC of ≥50g/L</w:t>
      </w:r>
      <w:r w:rsidR="00871EAA">
        <w:rPr>
          <w:rFonts w:ascii="Calibri" w:hAnsi="Calibri" w:cs="Calibri"/>
          <w:sz w:val="20"/>
          <w:szCs w:val="20"/>
        </w:rPr>
        <w:fldChar w:fldCharType="begin"/>
      </w:r>
      <w:r w:rsidR="00871EAA">
        <w:rPr>
          <w:rFonts w:ascii="Calibri" w:hAnsi="Calibri" w:cs="Calibri"/>
          <w:sz w:val="20"/>
          <w:szCs w:val="20"/>
        </w:rPr>
        <w:instrText xml:space="preserve"> ADDIN ZOTERO_ITEM CSL_CITATION {"citationID":"pLa5PFfn","properties":{"formattedCitation":"(1)","plainCitation":"(1)","noteIndex":0},"citationItems":[{"id":5389,"uris":["http://zotero.org/users/3782744/items/CV6ESY35"],"itemData":{"id":5389,"type":"webpage","container-title":"European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HealthCare"}],"accessed":{"date-parts":[["2025",8,13]]}}}],"schema":"https://github.com/citation-style-language/schema/raw/master/csl-citation.json"} </w:instrText>
      </w:r>
      <w:r w:rsidR="00871EAA">
        <w:rPr>
          <w:rFonts w:ascii="Calibri" w:hAnsi="Calibri" w:cs="Calibri"/>
          <w:sz w:val="20"/>
          <w:szCs w:val="20"/>
        </w:rPr>
        <w:fldChar w:fldCharType="separate"/>
      </w:r>
      <w:r w:rsidR="00871EAA" w:rsidRPr="00871EAA">
        <w:rPr>
          <w:rFonts w:ascii="Calibri" w:hAnsi="Calibri" w:cs="Calibri"/>
          <w:sz w:val="20"/>
        </w:rPr>
        <w:t>(1)</w:t>
      </w:r>
      <w:r w:rsidR="00871EAA">
        <w:rPr>
          <w:rFonts w:ascii="Calibri" w:hAnsi="Calibri" w:cs="Calibri"/>
          <w:sz w:val="20"/>
          <w:szCs w:val="20"/>
        </w:rPr>
        <w:fldChar w:fldCharType="end"/>
      </w:r>
      <w:r w:rsidRPr="006112AD">
        <w:rPr>
          <w:rFonts w:ascii="Calibri" w:hAnsi="Calibri" w:cs="Calibri"/>
          <w:sz w:val="20"/>
          <w:szCs w:val="20"/>
        </w:rPr>
        <w:t>. These parameters are subject to variations due to various factors such as temperature, storage conditions, blood separation techniques and holding time which varies between units and is currently limited to 3 to 20 hours</w:t>
      </w:r>
      <w:r w:rsidR="00871EAA">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{"citationID":"czx6gawe","properties":{"formattedCitation":"(1,8)","plainCitation":"(1,8)","noteIndex":0},"citationItems":[{"id":5389,"uris":["http://zotero.org/users/3782744/items/CV6ESY35"],"itemData":{"id":5389,"type":"webpage","container-title":"European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HealthCare"}],"accessed":{"date-parts":[["2025",8,13]]}},"label":"page"},{"id":5417,"uris":["http://zotero.org/users/3782744/items/WTNJCVMG"],"itemData":{"id":5417,"type":"article-journal","abstract":"Whole blood is not usually collected close to the processing site, which results in a holding time between collection and processing. In some countries, the holding time is limited to 8 hours, after which the units are cooled, rendering them useless for platelet preparation. Other countries allow a 24-hour (“overnight”) ambient hold to allow platelet preparation. The impact of this holding time on subsequent blood components will be reviewed in this article. In addition, there are various “in-process” holding times that further prolong the time before the final blood component is ready. Particularly, these in-process holding times are not well defined and poorly controlled,but can nevertheless affect the biochemical and functional characteristics of blood components. Furthermore, current, non–evidence-based, guidelines have restricted the length of some of these holding times. This article summarizes the evidence and fills gaps where evidence is lacking.","container-title":"Transfusion Medicine Reviews","DOI":"10.1016/j.tmrv.2014.10.001","ISSN":"1532-9496","issue":"1","journalAbbreviation":"Transfus Med Rev","language":"eng","note":"PMID: 25432073","page":"24-34","source":"PubMed","title":"The effect of holding times of whole blood and its components during processing on in vitro and in vivo quality","volume":"29","author":[{"family":"Meer","given":"Pieter F.","non-dropping-particle":"van der"},{"family":"Korte","given":"Dirk","non-dropping-particle":"de"}],"issued":{"date-parts":[["2015",1]]}},"label":"page"}],"schema":"https://github.com/citation-style-language/schema/raw/master/csl-citation.json"} </w:instrText>
      </w:r>
      <w:r w:rsidR="00871EAA">
        <w:rPr>
          <w:rFonts w:ascii="Calibri" w:hAnsi="Calibri" w:cs="Calibri"/>
          <w:sz w:val="20"/>
          <w:szCs w:val="20"/>
        </w:rPr>
        <w:fldChar w:fldCharType="separate"/>
      </w:r>
      <w:r w:rsidR="00040157" w:rsidRPr="00040157">
        <w:rPr>
          <w:rFonts w:ascii="Calibri" w:hAnsi="Calibri" w:cs="Calibri"/>
          <w:sz w:val="20"/>
        </w:rPr>
        <w:t>(1,8)</w:t>
      </w:r>
      <w:r w:rsidR="00871EAA">
        <w:rPr>
          <w:rFonts w:ascii="Calibri" w:hAnsi="Calibri" w:cs="Calibri"/>
          <w:sz w:val="20"/>
          <w:szCs w:val="20"/>
        </w:rPr>
        <w:fldChar w:fldCharType="end"/>
      </w:r>
      <w:r w:rsidR="005D0B19" w:rsidRPr="006112AD">
        <w:rPr>
          <w:rFonts w:ascii="Calibri" w:hAnsi="Calibri" w:cs="Calibri"/>
          <w:sz w:val="20"/>
          <w:szCs w:val="20"/>
        </w:rPr>
        <w:t>.</w:t>
      </w:r>
      <w:r w:rsidRPr="006112AD">
        <w:rPr>
          <w:rFonts w:ascii="Calibri" w:hAnsi="Calibri" w:cs="Calibri"/>
          <w:sz w:val="20"/>
          <w:szCs w:val="20"/>
        </w:rPr>
        <w:t xml:space="preserve"> This period between the collection of a blood donation and its separation is necessary for phagocytosis of any microorganisms by the bactericidal action of leucocytes, and leucocyte degradation</w:t>
      </w:r>
      <w:r w:rsidR="00947279">
        <w:rPr>
          <w:rFonts w:ascii="Calibri" w:hAnsi="Calibri" w:cs="Calibri"/>
          <w:sz w:val="20"/>
          <w:szCs w:val="20"/>
        </w:rPr>
        <w:t xml:space="preserve"> and inactivation</w:t>
      </w:r>
      <w:r w:rsidRPr="006112AD">
        <w:rPr>
          <w:rFonts w:ascii="Calibri" w:hAnsi="Calibri" w:cs="Calibri"/>
          <w:sz w:val="20"/>
          <w:szCs w:val="20"/>
        </w:rPr>
        <w:t xml:space="preserve">.  </w:t>
      </w:r>
    </w:p>
    <w:p w14:paraId="171E917A" w14:textId="6E9CDA43" w:rsidR="00D47008" w:rsidRDefault="0098772B" w:rsidP="00D47008">
      <w:pPr>
        <w:spacing w:before="240" w:line="240" w:lineRule="auto"/>
        <w:jc w:val="both"/>
        <w:rPr>
          <w:rFonts w:ascii="Calibri" w:hAnsi="Calibri" w:cs="Calibri"/>
          <w:sz w:val="20"/>
          <w:szCs w:val="20"/>
        </w:rPr>
      </w:pPr>
      <w:r w:rsidRPr="006112AD">
        <w:rPr>
          <w:rFonts w:ascii="Calibri" w:hAnsi="Calibri" w:cs="Calibri"/>
          <w:sz w:val="20"/>
          <w:szCs w:val="20"/>
        </w:rPr>
        <w:t xml:space="preserve">Thus, the aim of this study was to investigate whether there is a statistical correlation between holding time and RLC, as well as holding time and PC on which no </w:t>
      </w:r>
      <w:r w:rsidR="004913FB">
        <w:rPr>
          <w:rFonts w:ascii="Calibri" w:hAnsi="Calibri" w:cs="Calibri"/>
          <w:sz w:val="20"/>
          <w:szCs w:val="20"/>
        </w:rPr>
        <w:t>relative</w:t>
      </w:r>
      <w:r w:rsidRPr="006112AD">
        <w:rPr>
          <w:rFonts w:ascii="Calibri" w:hAnsi="Calibri" w:cs="Calibri"/>
          <w:sz w:val="20"/>
          <w:szCs w:val="20"/>
        </w:rPr>
        <w:t xml:space="preserve"> data is available in relation to holding time. In </w:t>
      </w:r>
      <w:r w:rsidR="00B50300" w:rsidRPr="006112AD">
        <w:rPr>
          <w:rFonts w:ascii="Calibri" w:hAnsi="Calibri" w:cs="Calibri"/>
          <w:sz w:val="20"/>
          <w:szCs w:val="20"/>
        </w:rPr>
        <w:t>addition,</w:t>
      </w:r>
      <w:r w:rsidRPr="006112AD">
        <w:rPr>
          <w:rFonts w:ascii="Calibri" w:hAnsi="Calibri" w:cs="Calibri"/>
          <w:sz w:val="20"/>
          <w:szCs w:val="20"/>
        </w:rPr>
        <w:t xml:space="preserve"> the study also aim</w:t>
      </w:r>
      <w:r w:rsidR="004812E0">
        <w:rPr>
          <w:rFonts w:ascii="Calibri" w:hAnsi="Calibri" w:cs="Calibri"/>
          <w:sz w:val="20"/>
          <w:szCs w:val="20"/>
        </w:rPr>
        <w:t>ed</w:t>
      </w:r>
      <w:r w:rsidRPr="006112AD">
        <w:rPr>
          <w:rFonts w:ascii="Calibri" w:hAnsi="Calibri" w:cs="Calibri"/>
          <w:sz w:val="20"/>
          <w:szCs w:val="20"/>
        </w:rPr>
        <w:t xml:space="preserve"> to determine if good procedural control is maintained by monitoring of SPC. The determination of a correlation between holding time and the RLC and PC parameters would enable further standardisation of whole blood processing. The objectives to establish this, were to measure and compare RLCs and PCs in a cohort of 100 units with a SHT and a cohort of another 100 units with </w:t>
      </w:r>
      <w:proofErr w:type="gramStart"/>
      <w:r w:rsidRPr="006112AD">
        <w:rPr>
          <w:rFonts w:ascii="Calibri" w:hAnsi="Calibri" w:cs="Calibri"/>
          <w:sz w:val="20"/>
          <w:szCs w:val="20"/>
        </w:rPr>
        <w:t>a</w:t>
      </w:r>
      <w:proofErr w:type="gramEnd"/>
      <w:r w:rsidRPr="006112AD">
        <w:rPr>
          <w:rFonts w:ascii="Calibri" w:hAnsi="Calibri" w:cs="Calibri"/>
          <w:sz w:val="20"/>
          <w:szCs w:val="20"/>
        </w:rPr>
        <w:t xml:space="preserve"> LHT. </w:t>
      </w:r>
      <w:r w:rsidR="008751FF" w:rsidRPr="006112AD">
        <w:rPr>
          <w:rFonts w:ascii="Calibri" w:hAnsi="Calibri" w:cs="Calibri"/>
          <w:sz w:val="20"/>
          <w:szCs w:val="20"/>
        </w:rPr>
        <w:t xml:space="preserve">The </w:t>
      </w:r>
      <w:r w:rsidRPr="006112AD">
        <w:rPr>
          <w:rFonts w:ascii="Calibri" w:hAnsi="Calibri" w:cs="Calibri"/>
          <w:sz w:val="20"/>
          <w:szCs w:val="20"/>
        </w:rPr>
        <w:t xml:space="preserve">LHT </w:t>
      </w:r>
      <w:r w:rsidR="008751FF" w:rsidRPr="006112AD">
        <w:rPr>
          <w:rFonts w:ascii="Calibri" w:hAnsi="Calibri" w:cs="Calibri"/>
          <w:sz w:val="20"/>
          <w:szCs w:val="20"/>
        </w:rPr>
        <w:t xml:space="preserve">cohort </w:t>
      </w:r>
      <w:r w:rsidR="007E091D" w:rsidRPr="006112AD">
        <w:rPr>
          <w:rFonts w:ascii="Calibri" w:hAnsi="Calibri" w:cs="Calibri"/>
          <w:sz w:val="20"/>
          <w:szCs w:val="20"/>
        </w:rPr>
        <w:t xml:space="preserve">refers </w:t>
      </w:r>
      <w:r w:rsidR="007E091D" w:rsidRPr="006112AD">
        <w:rPr>
          <w:rFonts w:ascii="Calibri" w:hAnsi="Calibri" w:cs="Calibri"/>
          <w:sz w:val="20"/>
          <w:szCs w:val="20"/>
        </w:rPr>
        <w:lastRenderedPageBreak/>
        <w:t>to</w:t>
      </w:r>
      <w:r w:rsidRPr="006112AD">
        <w:rPr>
          <w:rFonts w:ascii="Calibri" w:hAnsi="Calibri" w:cs="Calibri"/>
          <w:sz w:val="20"/>
          <w:szCs w:val="20"/>
        </w:rPr>
        <w:t xml:space="preserve"> units collected</w:t>
      </w:r>
      <w:r w:rsidR="00C0086D" w:rsidRPr="006112AD">
        <w:rPr>
          <w:rFonts w:ascii="Calibri" w:hAnsi="Calibri" w:cs="Calibri"/>
          <w:sz w:val="20"/>
          <w:szCs w:val="20"/>
        </w:rPr>
        <w:t>,</w:t>
      </w:r>
      <w:r w:rsidRPr="006112AD">
        <w:rPr>
          <w:rFonts w:ascii="Calibri" w:hAnsi="Calibri" w:cs="Calibri"/>
          <w:sz w:val="20"/>
          <w:szCs w:val="20"/>
        </w:rPr>
        <w:t xml:space="preserve"> left overnight and processed the following day. </w:t>
      </w:r>
      <w:r w:rsidR="00FA156C" w:rsidRPr="006112AD">
        <w:rPr>
          <w:rFonts w:ascii="Calibri" w:hAnsi="Calibri" w:cs="Calibri"/>
          <w:sz w:val="20"/>
          <w:szCs w:val="20"/>
        </w:rPr>
        <w:t xml:space="preserve">SHT </w:t>
      </w:r>
      <w:r w:rsidR="00E44F01" w:rsidRPr="006112AD">
        <w:rPr>
          <w:rFonts w:ascii="Calibri" w:hAnsi="Calibri" w:cs="Calibri"/>
          <w:sz w:val="20"/>
          <w:szCs w:val="20"/>
        </w:rPr>
        <w:t xml:space="preserve">are units collected and processed on the same day </w:t>
      </w:r>
      <w:r w:rsidR="00B947BE" w:rsidRPr="006112AD">
        <w:rPr>
          <w:rFonts w:ascii="Calibri" w:hAnsi="Calibri" w:cs="Calibri"/>
          <w:sz w:val="20"/>
          <w:szCs w:val="20"/>
        </w:rPr>
        <w:t>with a standing time of approximately 3 – 4 hours.</w:t>
      </w:r>
      <w:r w:rsidR="003E7793" w:rsidRPr="006112AD">
        <w:rPr>
          <w:rFonts w:ascii="Calibri" w:hAnsi="Calibri" w:cs="Calibri"/>
          <w:sz w:val="20"/>
          <w:szCs w:val="20"/>
        </w:rPr>
        <w:t xml:space="preserve"> </w:t>
      </w:r>
      <w:r w:rsidRPr="006112AD">
        <w:rPr>
          <w:rFonts w:ascii="Calibri" w:hAnsi="Calibri" w:cs="Calibri"/>
          <w:sz w:val="20"/>
          <w:szCs w:val="20"/>
        </w:rPr>
        <w:t xml:space="preserve">The FFP unit volume, RLC, and PC were measured for each unit of the two cohorts. </w:t>
      </w:r>
    </w:p>
    <w:p w14:paraId="0B84044E" w14:textId="126E2F0F" w:rsidR="00D47008" w:rsidRPr="006112AD" w:rsidRDefault="00D47008" w:rsidP="00D47008">
      <w:pPr>
        <w:spacing w:before="240" w:line="240" w:lineRule="auto"/>
        <w:jc w:val="both"/>
        <w:rPr>
          <w:rFonts w:ascii="Calibri" w:hAnsi="Calibri" w:cs="Calibri"/>
          <w:color w:val="FF0000"/>
          <w:sz w:val="20"/>
          <w:szCs w:val="20"/>
        </w:rPr>
      </w:pPr>
      <w:r w:rsidRPr="006112AD">
        <w:rPr>
          <w:rFonts w:ascii="Calibri" w:hAnsi="Calibri" w:cs="Calibri"/>
          <w:sz w:val="20"/>
          <w:szCs w:val="20"/>
        </w:rPr>
        <w:t>The volumes of FFP units varied between 251mL and 306mL, with the mean of the LHT cohort being higher by 7mL tha</w:t>
      </w:r>
      <w:r w:rsidR="00FF47EF">
        <w:rPr>
          <w:rFonts w:ascii="Calibri" w:hAnsi="Calibri" w:cs="Calibri"/>
          <w:sz w:val="20"/>
          <w:szCs w:val="20"/>
        </w:rPr>
        <w:t>n</w:t>
      </w:r>
      <w:r w:rsidRPr="006112AD">
        <w:rPr>
          <w:rFonts w:ascii="Calibri" w:hAnsi="Calibri" w:cs="Calibri"/>
          <w:sz w:val="20"/>
          <w:szCs w:val="20"/>
        </w:rPr>
        <w:t xml:space="preserve"> that of the SHT cohort. The volume of a unit may be influenced by various factors including the automated separator used to derive the plasma component and centrifugation speed when separating the whole blood components</w:t>
      </w:r>
      <w:r w:rsidR="00871EAA">
        <w:rPr>
          <w:rFonts w:ascii="Calibri" w:hAnsi="Calibri" w:cs="Calibri"/>
          <w:sz w:val="20"/>
          <w:szCs w:val="20"/>
        </w:rPr>
        <w:fldChar w:fldCharType="begin"/>
      </w:r>
      <w:r w:rsidR="00871EAA">
        <w:rPr>
          <w:rFonts w:ascii="Calibri" w:hAnsi="Calibri" w:cs="Calibri"/>
          <w:sz w:val="20"/>
          <w:szCs w:val="20"/>
        </w:rPr>
        <w:instrText xml:space="preserve"> ADDIN ZOTERO_ITEM CSL_CITATION {"citationID":"knTlrO9h","properties":{"formattedCitation":"(1)","plainCitation":"(1)","noteIndex":0},"citationItems":[{"id":5389,"uris":["http://zotero.org/users/3782744/items/CV6ESY35"],"itemData":{"id":5389,"type":"webpage","container-title":"European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HealthCare"}],"accessed":{"date-parts":[["2025",8,13]]}}}],"schema":"https://github.com/citation-style-language/schema/raw/master/csl-citation.json"} </w:instrText>
      </w:r>
      <w:r w:rsidR="00871EAA">
        <w:rPr>
          <w:rFonts w:ascii="Calibri" w:hAnsi="Calibri" w:cs="Calibri"/>
          <w:sz w:val="20"/>
          <w:szCs w:val="20"/>
        </w:rPr>
        <w:fldChar w:fldCharType="separate"/>
      </w:r>
      <w:r w:rsidR="00871EAA" w:rsidRPr="00871EAA">
        <w:rPr>
          <w:rFonts w:ascii="Calibri" w:hAnsi="Calibri" w:cs="Calibri"/>
          <w:sz w:val="20"/>
        </w:rPr>
        <w:t>(1)</w:t>
      </w:r>
      <w:r w:rsidR="00871EAA">
        <w:rPr>
          <w:rFonts w:ascii="Calibri" w:hAnsi="Calibri" w:cs="Calibri"/>
          <w:sz w:val="20"/>
          <w:szCs w:val="20"/>
        </w:rPr>
        <w:fldChar w:fldCharType="end"/>
      </w:r>
      <w:r w:rsidRPr="006112AD">
        <w:rPr>
          <w:rFonts w:ascii="Calibri" w:hAnsi="Calibri" w:cs="Calibri"/>
          <w:sz w:val="20"/>
          <w:szCs w:val="20"/>
        </w:rPr>
        <w:t xml:space="preserve">. Unfortunately, no literature which relates SHT and LHT in terms of volumes was discovered. </w:t>
      </w:r>
    </w:p>
    <w:p w14:paraId="60CA727E" w14:textId="6A553ACF" w:rsidR="006D4B1A" w:rsidRPr="006112AD" w:rsidRDefault="0098772B" w:rsidP="006112AD">
      <w:pPr>
        <w:spacing w:before="240" w:line="240" w:lineRule="auto"/>
        <w:jc w:val="both"/>
        <w:rPr>
          <w:rFonts w:ascii="Calibri" w:hAnsi="Calibri" w:cs="Calibri"/>
          <w:sz w:val="20"/>
          <w:szCs w:val="20"/>
        </w:rPr>
      </w:pPr>
      <w:r w:rsidRPr="006112AD">
        <w:rPr>
          <w:rFonts w:ascii="Calibri" w:hAnsi="Calibri" w:cs="Calibri"/>
          <w:sz w:val="20"/>
          <w:szCs w:val="20"/>
        </w:rPr>
        <w:t xml:space="preserve">FFP unit volumes differed by 7ml between the two cohorts, with that of the LHT cohort being higher. A higher number of FFP units with elevated RLCs were identified in the SHT cohort, which also had a wider variation of values. From this cohort of 100 units, 3 were identified as statistical outliers, </w:t>
      </w:r>
      <w:r w:rsidR="00AD17AF" w:rsidRPr="006112AD">
        <w:rPr>
          <w:rFonts w:ascii="Calibri" w:hAnsi="Calibri" w:cs="Calibri"/>
          <w:sz w:val="20"/>
          <w:szCs w:val="20"/>
        </w:rPr>
        <w:t xml:space="preserve">and overall, a total of </w:t>
      </w:r>
      <w:r w:rsidRPr="006112AD">
        <w:rPr>
          <w:rFonts w:ascii="Calibri" w:hAnsi="Calibri" w:cs="Calibri"/>
          <w:sz w:val="20"/>
          <w:szCs w:val="20"/>
        </w:rPr>
        <w:t xml:space="preserve">5 </w:t>
      </w:r>
      <w:r w:rsidR="001310AB" w:rsidRPr="006112AD">
        <w:rPr>
          <w:rFonts w:ascii="Calibri" w:hAnsi="Calibri" w:cs="Calibri"/>
          <w:sz w:val="20"/>
          <w:szCs w:val="20"/>
        </w:rPr>
        <w:t xml:space="preserve">units </w:t>
      </w:r>
      <w:r w:rsidRPr="006112AD">
        <w:rPr>
          <w:rFonts w:ascii="Calibri" w:hAnsi="Calibri" w:cs="Calibri"/>
          <w:sz w:val="20"/>
          <w:szCs w:val="20"/>
        </w:rPr>
        <w:t>exceeded the minimum acceptable RLC of &lt;0.1x10</w:t>
      </w:r>
      <w:r w:rsidRPr="006112AD">
        <w:rPr>
          <w:rFonts w:ascii="Calibri" w:hAnsi="Calibri" w:cs="Calibri"/>
          <w:sz w:val="20"/>
          <w:szCs w:val="20"/>
          <w:vertAlign w:val="superscript"/>
        </w:rPr>
        <w:t>9</w:t>
      </w:r>
      <w:r w:rsidRPr="006112AD">
        <w:rPr>
          <w:rFonts w:ascii="Calibri" w:hAnsi="Calibri" w:cs="Calibri"/>
          <w:sz w:val="20"/>
          <w:szCs w:val="20"/>
        </w:rPr>
        <w:t xml:space="preserve"> cells/L, making the difference between cohorts due to a SHT more significant. All units from the LHT cohort had acceptable RLCs, although a single unit was identified as an outlier statistically. The mean RLC of the SHT cohort was more than double that of the LHT cohort. PCs were all found to be adequate in both cohorts, however there was a statistical difference between the mean PCs of the two cohorts. </w:t>
      </w:r>
    </w:p>
    <w:p w14:paraId="26E78326" w14:textId="3BB01AD4" w:rsidR="005F463C" w:rsidRPr="006112AD" w:rsidRDefault="005F463C" w:rsidP="006112AD">
      <w:pPr>
        <w:spacing w:line="240" w:lineRule="auto"/>
        <w:jc w:val="both"/>
        <w:rPr>
          <w:rFonts w:ascii="Calibri" w:hAnsi="Calibri" w:cs="Calibri"/>
          <w:sz w:val="20"/>
          <w:szCs w:val="20"/>
        </w:rPr>
      </w:pPr>
      <w:r w:rsidRPr="006112AD">
        <w:rPr>
          <w:rFonts w:ascii="Calibri" w:hAnsi="Calibri" w:cs="Calibri"/>
          <w:sz w:val="20"/>
          <w:szCs w:val="20"/>
        </w:rPr>
        <w:t>Using a standard normal distribution</w:t>
      </w:r>
      <w:r w:rsidR="00FD2FF0">
        <w:rPr>
          <w:rFonts w:ascii="Calibri" w:hAnsi="Calibri" w:cs="Calibri"/>
          <w:sz w:val="20"/>
          <w:szCs w:val="20"/>
        </w:rPr>
        <w:t xml:space="preserve"> curve</w:t>
      </w:r>
      <w:r w:rsidRPr="006112AD">
        <w:rPr>
          <w:rFonts w:ascii="Calibri" w:hAnsi="Calibri" w:cs="Calibri"/>
          <w:sz w:val="20"/>
          <w:szCs w:val="20"/>
        </w:rPr>
        <w:t>, the probability of a unit having a Z-score exceeding ±3 is 0.27% (2 in 1000). Applied to a sample of 1000 units, this predicts approximately 2 outliers. In the SHT cohort of 100 units, 3 outliers (3%) were observed—substantially higher than expected. By contrast, the long holding time LHT cohort also of 100 units had only 1 outlier (1%), which, while slightly above the expected rate, was three times fewer than in the SHT cohort. These findings indicate that shorter holding times may be associated with increased variability and a higher likelihood of units exceeding acceptable leucocyte limits.</w:t>
      </w:r>
    </w:p>
    <w:p w14:paraId="736A6E16" w14:textId="0749540E" w:rsidR="0098772B" w:rsidRPr="006112AD" w:rsidRDefault="0098772B" w:rsidP="006112AD">
      <w:pPr>
        <w:spacing w:line="240" w:lineRule="auto"/>
        <w:jc w:val="both"/>
        <w:rPr>
          <w:rFonts w:ascii="Calibri" w:hAnsi="Calibri" w:cs="Calibri"/>
          <w:sz w:val="20"/>
          <w:szCs w:val="20"/>
        </w:rPr>
      </w:pPr>
      <w:r w:rsidRPr="006112AD">
        <w:rPr>
          <w:rFonts w:ascii="Calibri" w:hAnsi="Calibri" w:cs="Calibri"/>
          <w:sz w:val="20"/>
          <w:szCs w:val="20"/>
        </w:rPr>
        <w:t>The data collected showed that when comparing mean RLCs the two cohorts were found to be statistically different using the Mann Whitney test (p = &lt;0.001), with the mean of the SHT cohort being larger (0.029x10</w:t>
      </w:r>
      <w:r w:rsidRPr="006112AD">
        <w:rPr>
          <w:rFonts w:ascii="Calibri" w:hAnsi="Calibri" w:cs="Calibri"/>
          <w:sz w:val="20"/>
          <w:szCs w:val="20"/>
          <w:vertAlign w:val="superscript"/>
        </w:rPr>
        <w:t xml:space="preserve">9 </w:t>
      </w:r>
      <w:r w:rsidRPr="006112AD">
        <w:rPr>
          <w:rFonts w:ascii="Calibri" w:hAnsi="Calibri" w:cs="Calibri"/>
          <w:sz w:val="20"/>
          <w:szCs w:val="20"/>
        </w:rPr>
        <w:t>cells/L) than that of the LHT cohort (0.013x10</w:t>
      </w:r>
      <w:r w:rsidRPr="006112AD">
        <w:rPr>
          <w:rFonts w:ascii="Calibri" w:hAnsi="Calibri" w:cs="Calibri"/>
          <w:sz w:val="20"/>
          <w:szCs w:val="20"/>
          <w:vertAlign w:val="superscript"/>
        </w:rPr>
        <w:t>9</w:t>
      </w:r>
      <w:r w:rsidRPr="006112AD">
        <w:rPr>
          <w:rFonts w:ascii="Calibri" w:hAnsi="Calibri" w:cs="Calibri"/>
          <w:sz w:val="20"/>
          <w:szCs w:val="20"/>
        </w:rPr>
        <w:t xml:space="preserve"> cells/L) by more than twice as much. The presence of</w:t>
      </w:r>
      <w:r w:rsidR="00402675" w:rsidRPr="006112AD">
        <w:rPr>
          <w:rFonts w:ascii="Calibri" w:hAnsi="Calibri" w:cs="Calibri"/>
          <w:sz w:val="20"/>
          <w:szCs w:val="20"/>
        </w:rPr>
        <w:t xml:space="preserve"> OOS</w:t>
      </w:r>
      <w:r w:rsidRPr="006112AD">
        <w:rPr>
          <w:rFonts w:ascii="Calibri" w:hAnsi="Calibri" w:cs="Calibri"/>
          <w:sz w:val="20"/>
          <w:szCs w:val="20"/>
        </w:rPr>
        <w:t xml:space="preserve"> values most likely had some influence on the mean value since the data set was right-skewed, but the fact that more units with an elevated RLC were identified in the SHT cohort showed that the holding time did in fact have an influence on this parameter and this was consistent with the findings of the </w:t>
      </w:r>
      <w:r w:rsidR="003E7793" w:rsidRPr="006112AD">
        <w:rPr>
          <w:rFonts w:ascii="Calibri" w:hAnsi="Calibri" w:cs="Calibri"/>
          <w:sz w:val="20"/>
          <w:szCs w:val="20"/>
        </w:rPr>
        <w:t>local establishment</w:t>
      </w:r>
      <w:r w:rsidRPr="006112AD">
        <w:rPr>
          <w:rFonts w:ascii="Calibri" w:hAnsi="Calibri" w:cs="Calibri"/>
          <w:sz w:val="20"/>
          <w:szCs w:val="20"/>
        </w:rPr>
        <w:t xml:space="preserve">. </w:t>
      </w:r>
    </w:p>
    <w:p w14:paraId="00FC997B" w14:textId="3536654B" w:rsidR="00AE610B" w:rsidRPr="006112AD" w:rsidRDefault="0098772B" w:rsidP="006112AD">
      <w:pPr>
        <w:spacing w:line="240" w:lineRule="auto"/>
        <w:jc w:val="both"/>
        <w:rPr>
          <w:rFonts w:ascii="Calibri" w:hAnsi="Calibri" w:cs="Calibri"/>
          <w:sz w:val="20"/>
          <w:szCs w:val="20"/>
        </w:rPr>
      </w:pPr>
      <w:r w:rsidRPr="006112AD">
        <w:rPr>
          <w:rFonts w:ascii="Calibri" w:hAnsi="Calibri" w:cs="Calibri"/>
          <w:sz w:val="20"/>
          <w:szCs w:val="20"/>
        </w:rPr>
        <w:t>Various factors influencing transfusion products have been studied in the past few decades, however, there has been very little if any research specifically on the influence that holding time has on the RLC in plasma</w:t>
      </w:r>
      <w:r w:rsidR="00F6779D">
        <w:rPr>
          <w:rFonts w:ascii="Calibri" w:hAnsi="Calibri" w:cs="Calibri"/>
          <w:sz w:val="20"/>
          <w:szCs w:val="20"/>
        </w:rPr>
        <w:t xml:space="preserve"> </w:t>
      </w:r>
      <w:r w:rsidR="00871EAA">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bMTNmhjA","properties":{"formattedCitation":"(5,8\\uc0\\u8211{}14)","plainCitation":"(5,8–14)","noteIndex":0},"citationItems":[{"id":5407,"uris":["http://zotero.org/users/3782744/items/6W26QPPN"],"itemData":{"id":5407,"type":"article-journal","abstract":"BACKGROUND: The capability of holding whole blood (WB) units at ambient temperature, overnight, should help in platelet (PLT) concentrate preparation logistics. We summarize the results of a study conducted in the early 1990s that compared, in particular, PLT and red blood cell (RBC) in vivo viability properties following storage after preparation after 8- and 24-hour WB hold periods.\nSTUDY DESIGN AND METHODS: Individuals donated units of WB on two occasions. Centrifugation at 20 to 24°C to separate PLTs and additive system RBC placement at 1 to 6°C was completed 8 hours after phlebotomy or after 24 hours in randomized order. Components were not leukoreduced. Studies including in vitro biochemical and hematologic analyses and autologous in vivo RBC and PLT evaluations were conducted at two sites.\nRESULTS: RBC 24-hour in vivo (mean ± SD) recoveries (single-label approach), after 35 days of storage, were 79.2 ± 4.3 and 79.4 ± 3.9% (n = 9; p &gt; 0.05), with WB holding periods of 8 and 24 hours, respectively. With 42 days of storage, recovery after a 24-hour hold was slightly less than with an 8-hour hold (72.9 ± 6.5% vs. 76.0 ± 5.4%; n = 17; p &lt; 0.05). RBC 2,3-diphosphoglycerate acid levels were substantially less after the 24-hour hold compared to after the 8-hour hold (n = 18; p &lt; 0.05). PLT recovery after 5 days of storage with 8- and 24-hour hold periods were similar, 51.1 ± 14.9 and 50.6 ± 17.7%, respectively (n = 18; p &gt; 0.05). The PLT survival variable and in vitro properties reflecting storage quality also showed no significant difference.\nCONCLUSION: RBC and PLT in vivo variables, and most in vitro variables, were not significantly different after storage with WB holding times of 8 and 24 hours except for a slight diminution of RBC recovery with the 24-hour hold after 42 days of storage.","container-title":"Transfusion","DOI":"10.1111/j.1537-2995.2010.02958.x","ISSN":"1537-2995","journalAbbreviation":"Transfusion","language":"eng","note":"PMID: 21223290","page":"7S-14S","source":"PubMed","title":"Evaluation of the properties of components prepared and stored after holding of whole blood units for 8 and 24 hours at ambient temperature","volume":"51 Suppl 1","author":[{"family":"Moroff","given":"Gary"},{"family":"AuBuchon","given":"James P."},{"family":"Pickard","given":"Constance"},{"family":"Whitley","given":"Pamela H."},{"family":"Heaton","given":"W. Andrew"},{"family":"Holme","given":"Stein"}],"issued":{"date-parts":[["2011",1]]}},"label":"page"},{"id":5417,"uris":["http://zotero.org/users/3782744/items/WTNJCVMG"],"itemData":{"id":5417,"type":"article-journal","abstract":"Whole blood is not usually collected close to the processing site, which results in a holding time between collection and processing. In some countries, the holding time is limited to 8 hours, after which the units are cooled, rendering them useless for platelet preparation. Other countries allow a 24-hour (“overnight”) ambient hold to allow platelet preparation. The impact of this holding time on subsequent blood components will be reviewed in this article. In addition, there are various “in-process” holding times that further prolong the time before the final blood component is ready. Particularly, these in-process holding times are not well defined and poorly controlled,but can nevertheless affect the biochemical and functional characteristics of blood components. Furthermore, current, non–evidence-based, guidelines have restricted the length of some of these holding times. This article summarizes the evidence and fills gaps where evidence is lacking.","container-title":"Transfusion Medicine Reviews","DOI":"10.1016/j.tmrv.2014.10.001","ISSN":"1532-9496","issue":"1","journalAbbreviation":"Transfus Med Rev","language":"eng","note":"PMID: 25432073","page":"24-34","source":"PubMed","title":"The effect of holding times of whole blood and its components during processing on in vitro and in vivo quality","volume":"29","author":[{"family":"Meer","given":"Pieter F.","non-dropping-particle":"van der"},{"family":"Korte","given":"Dirk","non-dropping-particle":"de"}],"issued":{"date-parts":[["2015",1]]}},"label":"page"},{"id":5405,"uris":["http://zotero.org/users/3782744/items/DYG6Q6HQ"],"itemData":{"id":5405,"type":"article-journal","abstract":"BACKGROUND: With buffy coat (BC) processing of whole blood (WB) donations, increase in WB storage time to facilitate overnight holding before the separation of blood components would be a logistically attractive development. This study undertakes a comparative in vitro characterization of blood components prepared from WB samples that were either processed within 8 hours or stored overnight at room temperature before processing by the BC method.\nSTUDY DESIGN AND METHODS: The WB units (400 mL) collected were either processed within 8 hours (fresh blood) or stored overnight (overnight blood) at room temperature. WB units were separated into individual-component red blood cells (RBCs), BC, and plasma. The in vitro quality of these blood components (RBCs, pooled platelet concentrates [PCs], and plasma) was analyzed during storage.\nRESULTS: Levels of 2,3-diphosphoglycerate (2,3-DPG) were found to be significantly lower immediately after processing, compared with the fresh WB samples, in RBCs that had been separated from an overnight-hold sample. However, this difference was not apparent after 14 days of storage. In pooled PCs, measurements for glucose, lactate, PO(2), PCO(2), extent of shape change, and hypotonic shock response were similar. The platelet yield in PCs prepared from an overnight-hold WB sample was significantly higher, while CD62P expression and annexin V binding were lower (p &lt; 0.05). For frozen plasma (FP), no significant differences were observed for the coagulation factors (F)II, FVII, FV, F IX, FX, and FXI; fibrinogen; and von Willebrand factor content between the 8- and 24-hour FP. The FVIII was the component that was most sensitive to the prolongation of production time and it only had 80% of the activity of the 8-hour FP.\nCONCLUSION: These data suggest that blood components (RBCs, pooled PCs, and FP) separated from WB that has been stored overnight at room temperature by the BC method are of acceptable quality.","container-title":"Transfusion","DOI":"10.1111/j.1537-2995.2011.03137.x","ISSN":"1537-2995","issue":"10","journalAbbreviation":"Transfusion","language":"eng","note":"PMID: 21492181","page":"2199-2207","source":"PubMed","title":"Characterization of blood components separated from donated whole blood after an overnight holding at room temperature with the buffy coat method","volume":"51","author":[{"family":"Lu","given":"Fa Qiang"},{"family":"Kang","given":"Wei"},{"family":"Peng","given":"Yu"},{"family":"Wang","given":"Wei Ming"}],"issued":{"date-parts":[["2011",10]]}},"label":"page"},{"id":5444,"uris":["http://zotero.org/users/3782744/items/HSA37AVI"],"itemData":{"id":5444,"type":"article-journal","abstract":"BACKGROUND: The manufacture of fresh-frozen plasma (FFP) requires that plasma be frozen within 8 hours of collection and 24-hour frozen plasma requires 1 to 6°C refrigeration before freezing. Manufacture of plasma after a room temperature hold for 24 hours, while convenient, could compromise clotting factor levels.\nSTUDY DESIGN AND METHODS: Pairs of FFP and 24-hour room temperature-frozen plasma (PLT-rich plasma [PRP]-24HRTFP) were manufactured from PRP after a room temperature hold for 8 and 24 hours, respectively. Additional whole blood (WB) donations were kept at room temperature for 24 hours before plasma manufacture (WB-24HRTFP). The frozen plasma products were stored at -18°C, thawed, and then stored at 1 to 6°C, with coagulation factor assays performed for up to 7 days.\nRESULTS: On the day of thaw, Factor (F)VIII was lower in PRP-24HRTFP by 13% (p = 0.002) but not in WB-24HRTFP (p = 0.3) compared to FFP. All other clotting factors were within normal range. During the postthaw period FVIII and FV declined 25 and 6%, respectively, in WB-24HRTFP and 23 to 50% in the paired products; however, the difference between both types of 24HRTFP and FFP is insignificant by Day 7 (p &gt; 0.05). Other clotting factors either were unchanged or showed minimal reduction (&lt; 15%).\nCONCLUSION: Plasma manufactured after a 24-hour room temperature hold contains coagulation factors comparable to FFP except for a possible reduction of up to 20% in FVIII. This plasma appears suitable as a transfusable product and extension of liquid storage to 7 days merits consideration.","container-title":"Transfusion","DOI":"10.1111/j.1537-2995.2010.02648.x","ISSN":"1537-2995","issue":"9","journalAbbreviation":"Transfusion","language":"eng","note":"PMID: 20412526","page":"1934-1942","source":"PubMed","title":"Stability of coagulation factors in plasma prepared after a 24-hour room temperature hold","volume":"50","author":[{"family":"Alhumaidan","given":"Hiba"},{"family":"Cheves","given":"Tracey"},{"family":"Holme","given":"Stein"},{"family":"Sweeney","given":"Joseph"}],"issued":{"date-parts":[["2010",9]]}},"label":"page"},{"id":5480,"uris":["http://zotero.org/users/3782744/items/8RYK7BBN"],"itemData":{"id":5480,"type":"article-journal","abstract":"Background:\nThe aim of this study was to analyse and compare the activity of factor V, VIII and fibrinogen level in fresh frozen plasma and frozen plasma frozen after 8 hrs but within 24 hours after phlebotomy.\n\nMaterials and Methods:\nFresh frozen plasma separated from whole blood within 8 hours was compared with plasma separated within 24 hours after phlebotomy in terms of coagulation factors V and VIII and level of fibrinogen by standard methods using semi automated coagulometer sysmex CA50.\n\nResults:\nLonger storage of whole blood before processing resulted in significant decrease (18.4%) in activity of factor VIII but the fall in activity of factor V (6.52%) or level of fibrinogen (1.81%) was not significant.\n\nDiscussion:\nThese data suggest that there is good retention of coagulation factors in both types of plasma. Although there is significant fall in activity of factor VIII, but it is an acute phase reactant and raised in most of the diseases so it is suggested that frozen plasma would be an acceptable product for most patients requiring fresh frozen plasma.","container-title":"Asian Journal of Transfusion Science","DOI":"10.4103/0973-6247.150936","ISSN":"0973-6247","issue":"1","journalAbbreviation":"Asian J Transfus Sci","note":"PMID: 25722564\nPMCID: PMC4339934","page":"6-8","source":"PubMed Central","title":"Comparative analysis of activity of coagulation Factors V and VIII and level of fibrinogen in fresh frozen plasma and frozen plasma","volume":"9","author":[{"family":"Dogra","given":"Mitu"},{"family":"Sidhu","given":"Meena"},{"family":"Vasudev","given":"Rahul"},{"family":"Dogra","given":"Ashu"}],"issued":{"date-parts":[["2015"]]}},"label":"page"},{"id":5482,"uris":["http://zotero.org/users/3782744/items/G4MS4YFP"],"itemData":{"id":5482,"type":"article-journal","abstract":"BACKGROUND AND OBJECTIVES: The aim of this study was to evaluate the quality of leucocyte-depleted plasma produced from leucocyte-depleted whole blood, stored for different periods of times before filtration through polyurethane filters.\nMATERIALS AND METHODS: Whole blood was collected, from 48 voluntary donors, into quadruple blood bag sets with integrated whole-blood filters, and stored at room temperature for 1, 2, 6, or 18 h before filtration. Five samples were taken: one directly from the donor; one immediately after collection; one before and one after filtration; and one from plasma units before freezing. All samples were analysed for the following parameters: prothrombin time; activated partial thromboplastin time; prothrombin fragments F1+2; fibrinogen; factors VIII, XI and XII; von Willebrand factor antigen; ristocetin cofactor activity; collagen-binding capacity; multimers; and complement C3a-desArg.\nRESULTS: Different whole-blood storage times before filtration did not have a significant effect on the stability of coagulation factors. The activity of all investigated coagulation factors in plasma was generally above 90 U/dl, even after 18 h of storage of whole blood before filtration. von Willebrand factor multimeric distribution remained stable throughout the process. However, activation of complement did occur during storage.\nCONCLUSIONS: Leucodepleted plasma originating from leucodepleted whole blood maintains a satisfactory level of coagulation factors, even after the storage of whole blood for 18 h at room temperature before filtration.","container-title":"Vox Sanguinis","DOI":"10.1111/j.1423-0410.2004.00563.x","ISSN":"0042-9007","issue":"3","journalAbbreviation":"Vox Sang","language":"eng","note":"PMID: 15569067","page":"156-164","source":"PubMed","title":"Effects of extended storage of whole blood before leucocyte depletion on coagulation factors in plasma","volume":"87","author":[{"family":"Kretzschmar","given":"E."},{"family":"Kruse","given":"F."},{"family":"Greiss","given":"O."},{"family":"Paunovic","given":"D."},{"family":"Kallweit","given":"T."},{"family":"Trobisch","given":"H."}],"issued":{"date-parts":[["2004",10]]}},"label":"page"},{"id":5486,"uris":["http://zotero.org/users/3782744/items/MK3U2PN7"],"itemData":{"id":5486,"type":"article-journal","abstract":"BACKGROUND: Whole blood (WB) can be stored for some time before it is processed into components. After introduction of universal white cell (WBC) reduction, it was observed that longer WB storage was associated with more residual WBCs in the WBC-reduced red cells (RBCs). Also, weak propidium iodide (PI)-positive events were observed in the flow cytometric WBC counting method, presumably WBC fragments. The effect of storage time on the composition of WB and subsequently prepared WBC-reduced RBCs was studied.\nSTUDY DESIGN AND METHODS: WB was collected in bottom-and-top collection systems with inline filters, obtained from Baxter, Fresenius, or MacoPharma. Units were stored at room temperature and separated into components in 4-hour intervals between 4 and 24 hours after collection. RBCs were WBC-reduced by inline filtration (approx. 50/group).\nRESULTS: Platelet (PLT) counts were lower in WB stored for 4 to 8 hours compared to 20 to 24 hours (mean +/- SD): 79 +/- 31 versus 102 +/- 30 for Baxter (p &lt; 0.01); 91 +/- 31 versus 101 +/- 35 for Fresenius (not significant); and 73 +/- 47 versus 97 +/- 31 (all x 10(9) per unit) for MacoPharma (p &lt; 0.01), respectively. The median residual WBC counts in WBC-reduced RBCs for WB stored for 4 to 8 and 20 to 24 hours were 0.03 versus 0.17 for Baxter (p &lt; 0.001), 0.00 versus 0.06 for Fresenius (p &lt; 0.001), and 0.13 versus 0.26 (all x 10(6) per unit) for MacoPharma (not significant), respectively. All WBC-reduced RBCs contained fewer than 5 x 10(6) WBCs per unit. A longer storage time of WB was associated with more weak PI-positive events, irrespective of the filter.\nCONCLUSION: Longer storage of WB before processing results in counting higher numbers of PLTs in WB, higher numbers of WBCs in WBC-reduced RBCs, and more weak PI-positive events.","container-title":"Transfusion","DOI":"10.1111/j.1537-2995.2006.00778.x","ISSN":"0041-1132","issue":"4","journalAbbreviation":"Transfusion","language":"eng","note":"PMID: 16584435","page":"589-594","source":"PubMed","title":"The effect of whole-blood storage time on the number of white cells and platelets in whole blood and in white cell-reduced red cells","volume":"46","author":[{"family":"Meer","given":"Pieter F.","non-dropping-particle":"van der"},{"family":"Wildt-Eggen","given":"Janny","non-dropping-particle":"de"}],"issued":{"date-parts":[["2006",4]]}},"label":"page"},{"id":5484,"uris":["http://zotero.org/users/3782744/items/YNVW5A6G"],"itemData":{"id":5484,"type":"article-journal","abstract":"Blood services routinely separate whole blood into components that are then stored under different conditions. The storage conditions used for whole blood prior to separation must therefore be a compromise between the needs of the red cells (which benefit from refrigeration) and plasma and platelets (which are better preserved at ambient temperature). For many years, the approach has been to manufacture plasma and platelet components on the day of blood collection, and to refrigerate any unprocessed blood for manufacture into red cell components on the following day. However, this can make it challenging to maintain adequate stocks of all components. The European practice of 'ambient hold' of whole blood for up to 24 hours prior to processing allows greater flexibility in blood component manufacture, and the data reviewed suggest there is relatively little impact on the quality of red cell or plasma components, and an improvement in the quality of platelet components.","container-title":"Transfusion Medicine (Oxford, England)","DOI":"10.1111/j.1365-3148.2010.01025.x","ISSN":"1365-3148","issue":"6","journalAbbreviation":"Transfus Med","language":"eng","note":"PMID: 20667039","page":"361-368","source":"PubMed","title":"Ambient overnight hold of whole blood prior to the manufacture of blood components","volume":"20","author":[{"family":"Thomas","given":"Stephen"}],"issued":{"date-parts":[["2010",12]]}},"label":"page"}],"schema":"https://github.com/citation-style-language/schema/raw/master/csl-citation.json"} </w:instrText>
      </w:r>
      <w:r w:rsidR="00871EAA">
        <w:rPr>
          <w:rFonts w:ascii="Calibri" w:hAnsi="Calibri" w:cs="Calibri"/>
          <w:sz w:val="20"/>
          <w:szCs w:val="20"/>
        </w:rPr>
        <w:fldChar w:fldCharType="separate"/>
      </w:r>
      <w:r w:rsidR="00040157" w:rsidRPr="00040157">
        <w:rPr>
          <w:rFonts w:ascii="Calibri" w:hAnsi="Calibri" w:cs="Calibri"/>
          <w:kern w:val="0"/>
          <w:sz w:val="20"/>
        </w:rPr>
        <w:t>(5,8–14)</w:t>
      </w:r>
      <w:r w:rsidR="00871EAA">
        <w:rPr>
          <w:rFonts w:ascii="Calibri" w:hAnsi="Calibri" w:cs="Calibri"/>
          <w:sz w:val="20"/>
          <w:szCs w:val="20"/>
        </w:rPr>
        <w:fldChar w:fldCharType="end"/>
      </w:r>
      <w:r w:rsidRPr="006112AD">
        <w:rPr>
          <w:rFonts w:ascii="Calibri" w:hAnsi="Calibri" w:cs="Calibri"/>
          <w:sz w:val="20"/>
          <w:szCs w:val="20"/>
        </w:rPr>
        <w:t xml:space="preserve"> There was a similar study carried out by van der Meer</w:t>
      </w:r>
      <w:r w:rsidR="00E73FB3">
        <w:rPr>
          <w:rFonts w:ascii="Calibri" w:hAnsi="Calibri" w:cs="Calibri"/>
          <w:sz w:val="20"/>
          <w:szCs w:val="20"/>
        </w:rPr>
        <w:t xml:space="preserve"> et al. </w:t>
      </w:r>
      <w:r w:rsidR="00E92DA4">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{"citationID":"VndF2Wgf","properties":{"formattedCitation":"(13)","plainCitation":"(13)","noteIndex":0},"citationItems":[{"id":5486,"uris":["http://zotero.org/users/3782744/items/MK3U2PN7"],"itemData":{"id":5486,"type":"article-journal","abstract":"BACKGROUND: Whole blood (WB) can be stored for some time before it is processed into components. After introduction of universal white cell (WBC) reduction, it was observed that longer WB storage was associated with more residual WBCs in the WBC-reduced red cells (RBCs). Also, weak propidium iodide (PI)-positive events were observed in the flow cytometric WBC counting method, presumably WBC fragments. The effect of storage time on the composition of WB and subsequently prepared WBC-reduced RBCs was studied.\nSTUDY DESIGN AND METHODS: WB was collected in bottom-and-top collection systems with inline filters, obtained from Baxter, Fresenius, or MacoPharma. Units were stored at room temperature and separated into components in 4-hour intervals between 4 and 24 hours after collection. RBCs were WBC-reduced by inline filtration (approx. 50/group).\nRESULTS: Platelet (PLT) counts were lower in WB stored for 4 to 8 hours compared to 20 to 24 hours (mean +/- SD): 79 +/- 31 versus 102 +/- 30 for Baxter (p &lt; 0.01); 91 +/- 31 versus 101 +/- 35 for Fresenius (not significant); and 73 +/- 47 versus 97 +/- 31 (all x 10(9) per unit) for MacoPharma (p &lt; 0.01), respectively. The median residual WBC counts in WBC-reduced RBCs for WB stored for 4 to 8 and 20 to 24 hours were 0.03 versus 0.17 for Baxter (p &lt; 0.001), 0.00 versus 0.06 for Fresenius (p &lt; 0.001), and 0.13 versus 0.26 (all x 10(6) per unit) for MacoPharma (not significant), respectively. All WBC-reduced RBCs contained fewer than 5 x 10(6) WBCs per unit. A longer storage time of WB was associated with more weak PI-positive events, irrespective of the filter.\nCONCLUSION: Longer storage of WB before processing results in counting higher numbers of PLTs in WB, higher numbers of WBCs in WBC-reduced RBCs, and more weak PI-positive events.","container-title":"Transfusion","DOI":"10.1111/j.1537-2995.2006.00778.x","ISSN":"0041-1132","issue":"4","journalAbbreviation":"Transfusion","language":"eng","note":"PMID: 16584435","page":"589-594","source":"PubMed","title":"The effect of whole-blood storage time on the number of white cells and platelets in whole blood and in white cell-reduced red cells","volume":"46","author":[{"family":"Meer","given":"Pieter F.","non-dropping-particle":"van der"},{"family":"Wildt-Eggen","given":"Janny","non-dropping-particle":"de"}],"issued":{"date-parts":[["2006",4]]}}}],"schema":"https://github.com/citation-style-language/schema/raw/master/csl-citation.json"} </w:instrText>
      </w:r>
      <w:r w:rsidR="00E92DA4">
        <w:rPr>
          <w:rFonts w:ascii="Calibri" w:hAnsi="Calibri" w:cs="Calibri"/>
          <w:sz w:val="20"/>
          <w:szCs w:val="20"/>
        </w:rPr>
        <w:fldChar w:fldCharType="separate"/>
      </w:r>
      <w:r w:rsidR="00040157" w:rsidRPr="00040157">
        <w:rPr>
          <w:rFonts w:ascii="Calibri" w:hAnsi="Calibri" w:cs="Calibri"/>
          <w:sz w:val="20"/>
        </w:rPr>
        <w:t>(13)</w:t>
      </w:r>
      <w:r w:rsidR="00E92DA4">
        <w:rPr>
          <w:rFonts w:ascii="Calibri" w:hAnsi="Calibri" w:cs="Calibri"/>
          <w:sz w:val="20"/>
          <w:szCs w:val="20"/>
        </w:rPr>
        <w:fldChar w:fldCharType="end"/>
      </w:r>
      <w:r w:rsidR="00E92DA4">
        <w:rPr>
          <w:rFonts w:ascii="Calibri" w:hAnsi="Calibri" w:cs="Calibri"/>
          <w:sz w:val="20"/>
          <w:szCs w:val="20"/>
        </w:rPr>
        <w:t xml:space="preserve"> </w:t>
      </w:r>
      <w:r w:rsidRPr="006112AD">
        <w:rPr>
          <w:rFonts w:ascii="Calibri" w:hAnsi="Calibri" w:cs="Calibri"/>
          <w:sz w:val="20"/>
          <w:szCs w:val="20"/>
        </w:rPr>
        <w:t xml:space="preserve">where this correlation between RLC and holding time was tested in whole blood and </w:t>
      </w:r>
      <w:proofErr w:type="spellStart"/>
      <w:r w:rsidRPr="006112AD">
        <w:rPr>
          <w:rFonts w:ascii="Calibri" w:hAnsi="Calibri" w:cs="Calibri"/>
          <w:sz w:val="20"/>
          <w:szCs w:val="20"/>
        </w:rPr>
        <w:t>leucodepleted</w:t>
      </w:r>
      <w:proofErr w:type="spellEnd"/>
      <w:r w:rsidRPr="006112AD">
        <w:rPr>
          <w:rFonts w:ascii="Calibri" w:hAnsi="Calibri" w:cs="Calibri"/>
          <w:sz w:val="20"/>
          <w:szCs w:val="20"/>
        </w:rPr>
        <w:t xml:space="preserve"> red cell concentrates. RLCs were measured at different holding times and were found to increase with a longer holding time prior to whole blood processing</w:t>
      </w:r>
      <w:r w:rsidR="00E92DA4">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{"citationID":"l20ht12U","properties":{"formattedCitation":"(13,14)","plainCitation":"(13,14)","noteIndex":0},"citationItems":[{"id":5486,"uris":["http://zotero.org/users/3782744/items/MK3U2PN7"],"itemData":{"id":5486,"type":"article-journal","abstract":"BACKGROUND: Whole blood (WB) can be stored for some time before it is processed into components. After introduction of universal white cell (WBC) reduction, it was observed that longer WB storage was associated with more residual WBCs in the WBC-reduced red cells (RBCs). Also, weak propidium iodide (PI)-positive events were observed in the flow cytometric WBC counting method, presumably WBC fragments. The effect of storage time on the composition of WB and subsequently prepared WBC-reduced RBCs was studied.\nSTUDY DESIGN AND METHODS: WB was collected in bottom-and-top collection systems with inline filters, obtained from Baxter, Fresenius, or MacoPharma. Units were stored at room temperature and separated into components in 4-hour intervals between 4 and 24 hours after collection. RBCs were WBC-reduced by inline filtration (approx. 50/group).\nRESULTS: Platelet (PLT) counts were lower in WB stored for 4 to 8 hours compared to 20 to 24 hours (mean +/- SD): 79 +/- 31 versus 102 +/- 30 for Baxter (p &lt; 0.01); 91 +/- 31 versus 101 +/- 35 for Fresenius (not significant); and 73 +/- 47 versus 97 +/- 31 (all x 10(9) per unit) for MacoPharma (p &lt; 0.01), respectively. The median residual WBC counts in WBC-reduced RBCs for WB stored for 4 to 8 and 20 to 24 hours were 0.03 versus 0.17 for Baxter (p &lt; 0.001), 0.00 versus 0.06 for Fresenius (p &lt; 0.001), and 0.13 versus 0.26 (all x 10(6) per unit) for MacoPharma (not significant), respectively. All WBC-reduced RBCs contained fewer than 5 x 10(6) WBCs per unit. A longer storage time of WB was associated with more weak PI-positive events, irrespective of the filter.\nCONCLUSION: Longer storage of WB before processing results in counting higher numbers of PLTs in WB, higher numbers of WBCs in WBC-reduced RBCs, and more weak PI-positive events.","container-title":"Transfusion","DOI":"10.1111/j.1537-2995.2006.00778.x","ISSN":"0041-1132","issue":"4","journalAbbreviation":"Transfusion","language":"eng","note":"PMID: 16584435","page":"589-594","source":"PubMed","title":"The effect of whole-blood storage time on the number of white cells and platelets in whole blood and in white cell-reduced red cells","volume":"46","author":[{"family":"Meer","given":"Pieter F.","non-dropping-particle":"van der"},{"family":"Wildt-Eggen","given":"Janny","non-dropping-particle":"de"}],"issued":{"date-parts":[["2006",4]]}},"label":"page"},{"id":5484,"uris":["http://zotero.org/users/3782744/items/YNVW5A6G"],"itemData":{"id":5484,"type":"article-journal","abstract":"Blood services routinely separate whole blood into components that are then stored under different conditions. The storage conditions used for whole blood prior to separation must therefore be a compromise between the needs of the red cells (which benefit from refrigeration) and plasma and platelets (which are better preserved at ambient temperature). For many years, the approach has been to manufacture plasma and platelet components on the day of blood collection, and to refrigerate any unprocessed blood for manufacture into red cell components on the following day. However, this can make it challenging to maintain adequate stocks of all components. The European practice of 'ambient hold' of whole blood for up to 24 hours prior to processing allows greater flexibility in blood component manufacture, and the data reviewed suggest there is relatively little impact on the quality of red cell or plasma components, and an improvement in the quality of platelet components.","container-title":"Transfusion Medicine (Oxford, England)","DOI":"10.1111/j.1365-3148.2010.01025.x","ISSN":"1365-3148","issue":"6","journalAbbreviation":"Transfus Med","language":"eng","note":"PMID: 20667039","page":"361-368","source":"PubMed","title":"Ambient overnight hold of whole blood prior to the manufacture of blood components","volume":"20","author":[{"family":"Thomas","given":"Stephen"}],"issued":{"date-parts":[["2010",12]]}},"label":"page"}],"schema":"https://github.com/citation-style-language/schema/raw/master/csl-citation.json"} </w:instrText>
      </w:r>
      <w:r w:rsidR="00E92DA4">
        <w:rPr>
          <w:rFonts w:ascii="Calibri" w:hAnsi="Calibri" w:cs="Calibri"/>
          <w:sz w:val="20"/>
          <w:szCs w:val="20"/>
        </w:rPr>
        <w:fldChar w:fldCharType="separate"/>
      </w:r>
      <w:r w:rsidR="00040157" w:rsidRPr="00040157">
        <w:rPr>
          <w:rFonts w:ascii="Calibri" w:hAnsi="Calibri" w:cs="Calibri"/>
          <w:sz w:val="20"/>
        </w:rPr>
        <w:t>(13,14)</w:t>
      </w:r>
      <w:r w:rsidR="00E92DA4">
        <w:rPr>
          <w:rFonts w:ascii="Calibri" w:hAnsi="Calibri" w:cs="Calibri"/>
          <w:sz w:val="20"/>
          <w:szCs w:val="20"/>
        </w:rPr>
        <w:fldChar w:fldCharType="end"/>
      </w:r>
      <w:r w:rsidR="00E92DA4">
        <w:rPr>
          <w:rFonts w:ascii="Calibri" w:hAnsi="Calibri" w:cs="Calibri"/>
          <w:sz w:val="20"/>
          <w:szCs w:val="20"/>
        </w:rPr>
        <w:t>,</w:t>
      </w:r>
      <w:r w:rsidRPr="006112AD">
        <w:rPr>
          <w:rFonts w:ascii="Calibri" w:hAnsi="Calibri" w:cs="Calibri"/>
          <w:sz w:val="20"/>
          <w:szCs w:val="20"/>
        </w:rPr>
        <w:t xml:space="preserve"> whereas the findings in the current study showed that the mean RLCs decreased with time, most likely due to leucocyte degradation. However, it must be considered that in the study by van der Meer</w:t>
      </w:r>
      <w:r w:rsidR="00E73FB3">
        <w:rPr>
          <w:rFonts w:ascii="Calibri" w:hAnsi="Calibri" w:cs="Calibri"/>
          <w:sz w:val="20"/>
          <w:szCs w:val="20"/>
        </w:rPr>
        <w:t xml:space="preserve"> et al. </w:t>
      </w:r>
      <w:r w:rsidR="00E92DA4">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{"citationID":"chPiECIC","properties":{"formattedCitation":"(13)","plainCitation":"(13)","noteIndex":0},"citationItems":[{"id":5486,"uris":["http://zotero.org/users/3782744/items/MK3U2PN7"],"itemData":{"id":5486,"type":"article-journal","abstract":"BACKGROUND: Whole blood (WB) can be stored for some time before it is processed into components. After introduction of universal white cell (WBC) reduction, it was observed that longer WB storage was associated with more residual WBCs in the WBC-reduced red cells (RBCs). Also, weak propidium iodide (PI)-positive events were observed in the flow cytometric WBC counting method, presumably WBC fragments. The effect of storage time on the composition of WB and subsequently prepared WBC-reduced RBCs was studied.\nSTUDY DESIGN AND METHODS: WB was collected in bottom-and-top collection systems with inline filters, obtained from Baxter, Fresenius, or MacoPharma. Units were stored at room temperature and separated into components in 4-hour intervals between 4 and 24 hours after collection. RBCs were WBC-reduced by inline filtration (approx. 50/group).\nRESULTS: Platelet (PLT) counts were lower in WB stored for 4 to 8 hours compared to 20 to 24 hours (mean +/- SD): 79 +/- 31 versus 102 +/- 30 for Baxter (p &lt; 0.01); 91 +/- 31 versus 101 +/- 35 for Fresenius (not significant); and 73 +/- 47 versus 97 +/- 31 (all x 10(9) per unit) for MacoPharma (p &lt; 0.01), respectively. The median residual WBC counts in WBC-reduced RBCs for WB stored for 4 to 8 and 20 to 24 hours were 0.03 versus 0.17 for Baxter (p &lt; 0.001), 0.00 versus 0.06 for Fresenius (p &lt; 0.001), and 0.13 versus 0.26 (all x 10(6) per unit) for MacoPharma (not significant), respectively. All WBC-reduced RBCs contained fewer than 5 x 10(6) WBCs per unit. A longer storage time of WB was associated with more weak PI-positive events, irrespective of the filter.\nCONCLUSION: Longer storage of WB before processing results in counting higher numbers of PLTs in WB, higher numbers of WBCs in WBC-reduced RBCs, and more weak PI-positive events.","container-title":"Transfusion","DOI":"10.1111/j.1537-2995.2006.00778.x","ISSN":"0041-1132","issue":"4","journalAbbreviation":"Transfusion","language":"eng","note":"PMID: 16584435","page":"589-594","source":"PubMed","title":"The effect of whole-blood storage time on the number of white cells and platelets in whole blood and in white cell-reduced red cells","volume":"46","author":[{"family":"Meer","given":"Pieter F.","non-dropping-particle":"van der"},{"family":"Wildt-Eggen","given":"Janny","non-dropping-particle":"de"}],"issued":{"date-parts":[["2006",4]]}}}],"schema":"https://github.com/citation-style-language/schema/raw/master/csl-citation.json"} </w:instrText>
      </w:r>
      <w:r w:rsidR="00E92DA4">
        <w:rPr>
          <w:rFonts w:ascii="Calibri" w:hAnsi="Calibri" w:cs="Calibri"/>
          <w:sz w:val="20"/>
          <w:szCs w:val="20"/>
        </w:rPr>
        <w:fldChar w:fldCharType="separate"/>
      </w:r>
      <w:r w:rsidR="00040157" w:rsidRPr="00040157">
        <w:rPr>
          <w:rFonts w:ascii="Calibri" w:hAnsi="Calibri" w:cs="Calibri"/>
          <w:sz w:val="20"/>
        </w:rPr>
        <w:t>(13)</w:t>
      </w:r>
      <w:r w:rsidR="00E92DA4">
        <w:rPr>
          <w:rFonts w:ascii="Calibri" w:hAnsi="Calibri" w:cs="Calibri"/>
          <w:sz w:val="20"/>
          <w:szCs w:val="20"/>
        </w:rPr>
        <w:fldChar w:fldCharType="end"/>
      </w:r>
      <w:r w:rsidRPr="006112AD">
        <w:rPr>
          <w:rFonts w:ascii="Calibri" w:hAnsi="Calibri" w:cs="Calibri"/>
          <w:sz w:val="20"/>
          <w:szCs w:val="20"/>
        </w:rPr>
        <w:t xml:space="preserve"> this parameter was tested in other blood products and not FFP. Additionally, the blood products were </w:t>
      </w:r>
      <w:proofErr w:type="spellStart"/>
      <w:r w:rsidRPr="006112AD">
        <w:rPr>
          <w:rFonts w:ascii="Calibri" w:hAnsi="Calibri" w:cs="Calibri"/>
          <w:sz w:val="20"/>
          <w:szCs w:val="20"/>
        </w:rPr>
        <w:t>leucodepleted</w:t>
      </w:r>
      <w:proofErr w:type="spellEnd"/>
      <w:r w:rsidRPr="006112AD">
        <w:rPr>
          <w:rFonts w:ascii="Calibri" w:hAnsi="Calibri" w:cs="Calibri"/>
          <w:sz w:val="20"/>
          <w:szCs w:val="20"/>
        </w:rPr>
        <w:t xml:space="preserve"> prior to testing, unlike the current study which used non-filtered FFP.</w:t>
      </w:r>
      <w:r w:rsidR="00AE610B" w:rsidRPr="006112AD">
        <w:rPr>
          <w:rFonts w:ascii="Calibri" w:hAnsi="Calibri" w:cs="Calibri"/>
          <w:sz w:val="20"/>
          <w:szCs w:val="20"/>
        </w:rPr>
        <w:t xml:space="preserve"> </w:t>
      </w:r>
    </w:p>
    <w:p w14:paraId="55ED068F" w14:textId="4F50F39C" w:rsidR="0098772B" w:rsidRPr="006112AD" w:rsidRDefault="00AE610B" w:rsidP="006112AD">
      <w:pPr>
        <w:spacing w:line="240" w:lineRule="auto"/>
        <w:jc w:val="both"/>
        <w:rPr>
          <w:rFonts w:ascii="Calibri" w:hAnsi="Calibri" w:cs="Calibri"/>
          <w:sz w:val="20"/>
          <w:szCs w:val="20"/>
        </w:rPr>
      </w:pPr>
      <w:r w:rsidRPr="006112AD">
        <w:rPr>
          <w:rFonts w:ascii="Calibri" w:hAnsi="Calibri" w:cs="Calibri"/>
          <w:sz w:val="20"/>
          <w:szCs w:val="20"/>
        </w:rPr>
        <w:t>W</w:t>
      </w:r>
      <w:r w:rsidR="0098772B" w:rsidRPr="006112AD">
        <w:rPr>
          <w:rFonts w:ascii="Calibri" w:hAnsi="Calibri" w:cs="Calibri"/>
          <w:sz w:val="20"/>
          <w:szCs w:val="20"/>
        </w:rPr>
        <w:t xml:space="preserve">ith regards to PCs, although no outliers were identified and all PCs were above the minimum limit set by the EDQM (that is ≥50g/L), the means of the two cohorts were also deemed to have a statistical difference according to the p-value obtained from the independent samples T-test (p = &lt;0.001). Since the LHT cohort had a larger mean value (62.55g/L) than that of the SHT (60.52g/L) this would indicate that a longer holding time resulted in a slightly higher mean PC. </w:t>
      </w:r>
    </w:p>
    <w:p w14:paraId="40D72BCA" w14:textId="0A4A2091" w:rsidR="0098772B" w:rsidRPr="006112AD" w:rsidRDefault="0098772B" w:rsidP="006112AD">
      <w:pPr>
        <w:spacing w:before="240" w:line="240" w:lineRule="auto"/>
        <w:jc w:val="both"/>
        <w:rPr>
          <w:rFonts w:ascii="Calibri" w:hAnsi="Calibri" w:cs="Calibri"/>
          <w:sz w:val="20"/>
          <w:szCs w:val="20"/>
        </w:rPr>
      </w:pPr>
      <w:r w:rsidRPr="006112AD">
        <w:rPr>
          <w:rFonts w:ascii="Calibri" w:hAnsi="Calibri" w:cs="Calibri"/>
          <w:sz w:val="20"/>
          <w:szCs w:val="20"/>
        </w:rPr>
        <w:t xml:space="preserve">Unlike RLCs, proteins in plasma products have been more extensively studied, however such studies did not test total PCs, but rather </w:t>
      </w:r>
      <w:r w:rsidR="00DF5330" w:rsidRPr="006112AD">
        <w:rPr>
          <w:rFonts w:ascii="Calibri" w:hAnsi="Calibri" w:cs="Calibri"/>
          <w:sz w:val="20"/>
          <w:szCs w:val="20"/>
        </w:rPr>
        <w:t xml:space="preserve">specific proteins, mainly </w:t>
      </w:r>
      <w:r w:rsidRPr="006112AD">
        <w:rPr>
          <w:rFonts w:ascii="Calibri" w:hAnsi="Calibri" w:cs="Calibri"/>
          <w:sz w:val="20"/>
          <w:szCs w:val="20"/>
        </w:rPr>
        <w:t>coagulation factors</w:t>
      </w:r>
      <w:r w:rsidR="00EF778F">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{"citationID":"h8vpc1OM","properties":{"formattedCitation":"(10,12)","plainCitation":"(10,12)","noteIndex":0},"citationItems":[{"id":5444,"uris":["http://zotero.org/users/3782744/items/HSA37AVI"],"itemData":{"id":5444,"type":"article-journal","abstract":"BACKGROUND: The manufacture of fresh-frozen plasma (FFP) requires that plasma be frozen within 8 hours of collection and 24-hour frozen plasma requires 1 to 6°C refrigeration before freezing. Manufacture of plasma after a room temperature hold for 24 hours, while convenient, could compromise clotting factor levels.\nSTUDY DESIGN AND METHODS: Pairs of FFP and 24-hour room temperature-frozen plasma (PLT-rich plasma [PRP]-24HRTFP) were manufactured from PRP after a room temperature hold for 8 and 24 hours, respectively. Additional whole blood (WB) donations were kept at room temperature for 24 hours before plasma manufacture (WB-24HRTFP). The frozen plasma products were stored at -18°C, thawed, and then stored at 1 to 6°C, with coagulation factor assays performed for up to 7 days.\nRESULTS: On the day of thaw, Factor (F)VIII was lower in PRP-24HRTFP by 13% (p = 0.002) but not in WB-24HRTFP (p = 0.3) compared to FFP. All other clotting factors were within normal range. During the postthaw period FVIII and FV declined 25 and 6%, respectively, in WB-24HRTFP and 23 to 50% in the paired products; however, the difference between both types of 24HRTFP and FFP is insignificant by Day 7 (p &gt; 0.05). Other clotting factors either were unchanged or showed minimal reduction (&lt; 15%).\nCONCLUSION: Plasma manufactured after a 24-hour room temperature hold contains coagulation factors comparable to FFP except for a possible reduction of up to 20% in FVIII. This plasma appears suitable as a transfusable product and extension of liquid storage to 7 days merits consideration.","container-title":"Transfusion","DOI":"10.1111/j.1537-2995.2010.02648.x","ISSN":"1537-2995","issue":"9","journalAbbreviation":"Transfusion","language":"eng","note":"PMID: 20412526","page":"1934-1942","source":"PubMed","title":"Stability of coagulation factors in plasma prepared after a 24-hour room temperature hold","volume":"50","author":[{"family":"Alhumaidan","given":"Hiba"},{"family":"Cheves","given":"Tracey"},{"family":"Holme","given":"Stein"},{"family":"Sweeney","given":"Joseph"}],"issued":{"date-parts":[["2010",9]]}},"label":"page"},{"id":5482,"uris":["http://zotero.org/users/3782744/items/G4MS4YFP"],"itemData":{"id":5482,"type":"article-journal","abstract":"BACKGROUND AND OBJECTIVES: The aim of this study was to evaluate the quality of leucocyte-depleted plasma produced from leucocyte-depleted whole blood, stored for different periods of times before filtration through polyurethane filters.\nMATERIALS AND METHODS: Whole blood was collected, from 48 voluntary donors, into quadruple blood bag sets with integrated whole-blood filters, and stored at room temperature for 1, 2, 6, or 18 h before filtration. Five samples were taken: one directly from the donor; one immediately after collection; one before and one after filtration; and one from plasma units before freezing. All samples were analysed for the following parameters: prothrombin time; activated partial thromboplastin time; prothrombin fragments F1+2; fibrinogen; factors VIII, XI and XII; von Willebrand factor antigen; ristocetin cofactor activity; collagen-binding capacity; multimers; and complement C3a-desArg.\nRESULTS: Different whole-blood storage times before filtration did not have a significant effect on the stability of coagulation factors. The activity of all investigated coagulation factors in plasma was generally above 90 U/dl, even after 18 h of storage of whole blood before filtration. von Willebrand factor multimeric distribution remained stable throughout the process. However, activation of complement did occur during storage.\nCONCLUSIONS: Leucodepleted plasma originating from leucodepleted whole blood maintains a satisfactory level of coagulation factors, even after the storage of whole blood for 18 h at room temperature before filtration.","container-title":"Vox Sanguinis","DOI":"10.1111/j.1423-0410.2004.00563.x","ISSN":"0042-9007","issue":"3","journalAbbreviation":"Vox Sang","language":"eng","note":"PMID: 15569067","page":"156-164","source":"PubMed","title":"Effects of extended storage of whole blood before leucocyte depletion on coagulation factors in plasma","volume":"87","author":[{"family":"Kretzschmar","given":"E."},{"family":"Kruse","given":"F."},{"family":"Greiss","given":"O."},{"family":"Paunovic","given":"D."},{"family":"Kallweit","given":"T."},{"family":"Trobisch","given":"H."}],"issued":{"date-parts":[["2004",10]]}},"label":"page"}],"schema":"https://github.com/citation-style-language/schema/raw/master/csl-citation.json"} </w:instrText>
      </w:r>
      <w:r w:rsidR="00EF778F">
        <w:rPr>
          <w:rFonts w:ascii="Calibri" w:hAnsi="Calibri" w:cs="Calibri"/>
          <w:sz w:val="20"/>
          <w:szCs w:val="20"/>
        </w:rPr>
        <w:fldChar w:fldCharType="separate"/>
      </w:r>
      <w:r w:rsidR="00040157" w:rsidRPr="00040157">
        <w:rPr>
          <w:rFonts w:ascii="Calibri" w:hAnsi="Calibri" w:cs="Calibri"/>
          <w:sz w:val="20"/>
        </w:rPr>
        <w:t>(10,12)</w:t>
      </w:r>
      <w:r w:rsidR="00EF778F">
        <w:rPr>
          <w:rFonts w:ascii="Calibri" w:hAnsi="Calibri" w:cs="Calibri"/>
          <w:sz w:val="20"/>
          <w:szCs w:val="20"/>
        </w:rPr>
        <w:fldChar w:fldCharType="end"/>
      </w:r>
      <w:r w:rsidR="00EF778F">
        <w:rPr>
          <w:rFonts w:ascii="Calibri" w:hAnsi="Calibri" w:cs="Calibri"/>
          <w:sz w:val="20"/>
          <w:szCs w:val="20"/>
        </w:rPr>
        <w:t>.</w:t>
      </w:r>
      <w:r w:rsidRPr="006112AD">
        <w:rPr>
          <w:rFonts w:ascii="Calibri" w:hAnsi="Calibri" w:cs="Calibri"/>
          <w:sz w:val="20"/>
          <w:szCs w:val="20"/>
        </w:rPr>
        <w:t xml:space="preserve"> Lu et al.</w:t>
      </w:r>
      <w:r w:rsidR="0071196A">
        <w:rPr>
          <w:rFonts w:ascii="Calibri" w:hAnsi="Calibri" w:cs="Calibri"/>
          <w:sz w:val="20"/>
          <w:szCs w:val="20"/>
        </w:rPr>
        <w:t xml:space="preserve"> </w:t>
      </w:r>
      <w:r w:rsidR="0071196A">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{"citationID":"ARvkbFbK","properties":{"formattedCitation":"(9)","plainCitation":"(9)","noteIndex":0},"citationItems":[{"id":5405,"uris":["http://zotero.org/users/3782744/items/DYG6Q6HQ"],"itemData":{"id":5405,"type":"article-journal","abstract":"BACKGROUND: With buffy coat (BC) processing of whole blood (WB) donations, increase in WB storage time to facilitate overnight holding before the separation of blood components would be a logistically attractive development. This study undertakes a comparative in vitro characterization of blood components prepared from WB samples that were either processed within 8 hours or stored overnight at room temperature before processing by the BC method.\nSTUDY DESIGN AND METHODS: The WB units (400 mL) collected were either processed within 8 hours (fresh blood) or stored overnight (overnight blood) at room temperature. WB units were separated into individual-component red blood cells (RBCs), BC, and plasma. The in vitro quality of these blood components (RBCs, pooled platelet concentrates [PCs], and plasma) was analyzed during storage.\nRESULTS: Levels of 2,3-diphosphoglycerate (2,3-DPG) were found to be significantly lower immediately after processing, compared with the fresh WB samples, in RBCs that had been separated from an overnight-hold sample. However, this difference was not apparent after 14 days of storage. In pooled PCs, measurements for glucose, lactate, PO(2), PCO(2), extent of shape change, and hypotonic shock response were similar. The platelet yield in PCs prepared from an overnight-hold WB sample was significantly higher, while CD62P expression and annexin V binding were lower (p &lt; 0.05). For frozen plasma (FP), no significant differences were observed for the coagulation factors (F)II, FVII, FV, F IX, FX, and FXI; fibrinogen; and von Willebrand factor content between the 8- and 24-hour FP. The FVIII was the component that was most sensitive to the prolongation of production time and it only had 80% of the activity of the 8-hour FP.\nCONCLUSION: These data suggest that blood components (RBCs, pooled PCs, and FP) separated from WB that has been stored overnight at room temperature by the BC method are of acceptable quality.","container-title":"Transfusion","DOI":"10.1111/j.1537-2995.2011.03137.x","ISSN":"1537-2995","issue":"10","journalAbbreviation":"Transfusion","language":"eng","note":"PMID: 21492181","page":"2199-2207","source":"PubMed","title":"Characterization of blood components separated from donated whole blood after an overnight holding at room temperature with the buffy coat method","volume":"51","author":[{"family":"Lu","given":"Fa Qiang"},{"family":"Kang","given":"Wei"},{"family":"Peng","given":"Yu"},{"family":"Wang","given":"Wei Ming"}],"issued":{"date-parts":[["2011",10]]}}}],"schema":"https://github.com/citation-style-language/schema/raw/master/csl-citation.json"} </w:instrText>
      </w:r>
      <w:r w:rsidR="0071196A">
        <w:rPr>
          <w:rFonts w:ascii="Calibri" w:hAnsi="Calibri" w:cs="Calibri"/>
          <w:sz w:val="20"/>
          <w:szCs w:val="20"/>
        </w:rPr>
        <w:fldChar w:fldCharType="separate"/>
      </w:r>
      <w:r w:rsidR="00040157" w:rsidRPr="00040157">
        <w:rPr>
          <w:rFonts w:ascii="Calibri" w:hAnsi="Calibri" w:cs="Calibri"/>
          <w:sz w:val="20"/>
        </w:rPr>
        <w:t>(9)</w:t>
      </w:r>
      <w:r w:rsidR="0071196A">
        <w:rPr>
          <w:rFonts w:ascii="Calibri" w:hAnsi="Calibri" w:cs="Calibri"/>
          <w:sz w:val="20"/>
          <w:szCs w:val="20"/>
        </w:rPr>
        <w:fldChar w:fldCharType="end"/>
      </w:r>
      <w:r w:rsidRPr="006112AD">
        <w:rPr>
          <w:rFonts w:ascii="Calibri" w:hAnsi="Calibri" w:cs="Calibri"/>
          <w:sz w:val="20"/>
          <w:szCs w:val="20"/>
        </w:rPr>
        <w:t xml:space="preserve"> tested and compared a number of parameters in units with a holding time of up to 8 hours and others with an overnight holding time (24 hours) in the three main blood products (red blood cells, pooled platelet concentrates and plasma). Minor variations were found in the levels of coagulation factors tested (FII, FVII, FV, FIX, FX, and FXI; fibrinogen; and von Willebrand factor) in frozen plasma, </w:t>
      </w:r>
      <w:r w:rsidR="005B0ED9" w:rsidRPr="006112AD">
        <w:rPr>
          <w:rFonts w:ascii="Calibri" w:hAnsi="Calibri" w:cs="Calibri"/>
          <w:sz w:val="20"/>
          <w:szCs w:val="20"/>
        </w:rPr>
        <w:t>except for</w:t>
      </w:r>
      <w:r w:rsidRPr="006112AD">
        <w:rPr>
          <w:rFonts w:ascii="Calibri" w:hAnsi="Calibri" w:cs="Calibri"/>
          <w:sz w:val="20"/>
          <w:szCs w:val="20"/>
        </w:rPr>
        <w:t xml:space="preserve"> FVIII which lost around 20% of its activity with an overnight hold at room temperature. Thus, apart from FVIII, other proteins were still at acceptable concentrations even after a 24-hour holding time</w:t>
      </w:r>
      <w:r w:rsidR="00B731A5">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{"citationID":"44d1Fxle","properties":{"formattedCitation":"(9)","plainCitation":"(9)","noteIndex":0},"citationItems":[{"id":5405,"uris":["http://zotero.org/users/3782744/items/DYG6Q6HQ"],"itemData":{"id":5405,"type":"article-journal","abstract":"BACKGROUND: With buffy coat (BC) processing of whole blood (WB) donations, increase in WB storage time to facilitate overnight holding before the separation of blood components would be a logistically attractive development. This study undertakes a comparative in vitro characterization of blood components prepared from WB samples that were either processed within 8 hours or stored overnight at room temperature before processing by the BC method.\nSTUDY DESIGN AND METHODS: The WB units (400 mL) collected were either processed within 8 hours (fresh blood) or stored overnight (overnight blood) at room temperature. WB units were separated into individual-component red blood cells (RBCs), BC, and plasma. The in vitro quality of these blood components (RBCs, pooled platelet concentrates [PCs], and plasma) was analyzed during storage.\nRESULTS: Levels of 2,3-diphosphoglycerate (2,3-DPG) were found to be significantly lower immediately after processing, compared with the fresh WB samples, in RBCs that had been separated from an overnight-hold sample. However, this difference was not apparent after 14 days of storage. In pooled PCs, measurements for glucose, lactate, PO(2), PCO(2), extent of shape change, and hypotonic shock response were similar. The platelet yield in PCs prepared from an overnight-hold WB sample was significantly higher, while CD62P expression and annexin V binding were lower (p &lt; 0.05). For frozen plasma (FP), no significant differences were observed for the coagulation factors (F)II, FVII, FV, F IX, FX, and FXI; fibrinogen; and von Willebrand factor content between the 8- and 24-hour FP. The FVIII was the component that was most sensitive to the prolongation of production time and it only had 80% of the activity of the 8-hour FP.\nCONCLUSION: These data suggest that blood components (RBCs, pooled PCs, and FP) separated from WB that has been stored overnight at room temperature by the BC method are of acceptable quality.","container-title":"Transfusion","DOI":"10.1111/j.1537-2995.2011.03137.x","ISSN":"1537-2995","issue":"10","journalAbbreviation":"Transfusion","language":"eng","note":"PMID: 21492181","page":"2199-2207","source":"PubMed","title":"Characterization of blood components separated from donated whole blood after an overnight holding at room temperature with the buffy coat method","volume":"51","author":[{"family":"Lu","given":"Fa Qiang"},{"family":"Kang","given":"Wei"},{"family":"Peng","given":"Yu"},{"family":"Wang","given":"Wei Ming"}],"issued":{"date-parts":[["2011",10]]}}}],"schema":"https://github.com/citation-style-language/schema/raw/master/csl-citation.json"} </w:instrText>
      </w:r>
      <w:r w:rsidR="00B731A5">
        <w:rPr>
          <w:rFonts w:ascii="Calibri" w:hAnsi="Calibri" w:cs="Calibri"/>
          <w:sz w:val="20"/>
          <w:szCs w:val="20"/>
        </w:rPr>
        <w:fldChar w:fldCharType="separate"/>
      </w:r>
      <w:r w:rsidR="00040157" w:rsidRPr="00040157">
        <w:rPr>
          <w:rFonts w:ascii="Calibri" w:hAnsi="Calibri" w:cs="Calibri"/>
          <w:sz w:val="20"/>
        </w:rPr>
        <w:t>(9)</w:t>
      </w:r>
      <w:r w:rsidR="00B731A5">
        <w:rPr>
          <w:rFonts w:ascii="Calibri" w:hAnsi="Calibri" w:cs="Calibri"/>
          <w:sz w:val="20"/>
          <w:szCs w:val="20"/>
        </w:rPr>
        <w:fldChar w:fldCharType="end"/>
      </w:r>
      <w:r w:rsidRPr="006112AD">
        <w:rPr>
          <w:rFonts w:ascii="Calibri" w:hAnsi="Calibri" w:cs="Calibri"/>
          <w:sz w:val="20"/>
          <w:szCs w:val="20"/>
        </w:rPr>
        <w:t xml:space="preserve">. This finding correlates with the current study since the total PC was at acceptable values </w:t>
      </w:r>
      <w:r w:rsidRPr="006112AD">
        <w:rPr>
          <w:rFonts w:ascii="Calibri" w:hAnsi="Calibri" w:cs="Calibri"/>
          <w:sz w:val="20"/>
          <w:szCs w:val="20"/>
        </w:rPr>
        <w:lastRenderedPageBreak/>
        <w:t xml:space="preserve">in units with a </w:t>
      </w:r>
      <w:r w:rsidR="000F1474" w:rsidRPr="006112AD">
        <w:rPr>
          <w:rFonts w:ascii="Calibri" w:hAnsi="Calibri" w:cs="Calibri"/>
          <w:sz w:val="20"/>
          <w:szCs w:val="20"/>
        </w:rPr>
        <w:t>SHT and</w:t>
      </w:r>
      <w:r w:rsidRPr="006112AD">
        <w:rPr>
          <w:rFonts w:ascii="Calibri" w:hAnsi="Calibri" w:cs="Calibri"/>
          <w:sz w:val="20"/>
          <w:szCs w:val="20"/>
        </w:rPr>
        <w:t xml:space="preserve"> was still at acceptable values in units with a LHT (up to 20 hours). Although contrary to current literature evidence, the mean PC in the current study was higher for units with </w:t>
      </w:r>
      <w:proofErr w:type="gramStart"/>
      <w:r w:rsidR="00FF6069" w:rsidRPr="006112AD">
        <w:rPr>
          <w:rFonts w:ascii="Calibri" w:hAnsi="Calibri" w:cs="Calibri"/>
          <w:sz w:val="20"/>
          <w:szCs w:val="20"/>
        </w:rPr>
        <w:t>a</w:t>
      </w:r>
      <w:proofErr w:type="gramEnd"/>
      <w:r w:rsidRPr="006112AD">
        <w:rPr>
          <w:rFonts w:ascii="Calibri" w:hAnsi="Calibri" w:cs="Calibri"/>
          <w:sz w:val="20"/>
          <w:szCs w:val="20"/>
        </w:rPr>
        <w:t xml:space="preserve"> LHT.</w:t>
      </w:r>
    </w:p>
    <w:p w14:paraId="62406B52" w14:textId="58D007B5" w:rsidR="0098772B" w:rsidRPr="00A73F1D" w:rsidRDefault="00C34446" w:rsidP="006112AD">
      <w:pPr>
        <w:spacing w:before="240" w:line="240" w:lineRule="auto"/>
        <w:jc w:val="both"/>
        <w:rPr>
          <w:rFonts w:ascii="Calibri" w:hAnsi="Calibri" w:cs="Calibri"/>
          <w:sz w:val="20"/>
          <w:szCs w:val="20"/>
        </w:rPr>
      </w:pPr>
      <w:r>
        <w:rPr>
          <w:rFonts w:ascii="Calibri" w:hAnsi="Calibri" w:cs="Calibri"/>
          <w:sz w:val="20"/>
          <w:szCs w:val="20"/>
        </w:rPr>
        <w:t xml:space="preserve">Several studies </w:t>
      </w:r>
      <w:r>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{"citationID":"7WbJ2l2o","properties":{"formattedCitation":"(4,5,10,11)","plainCitation":"(4,5,10,11)","noteIndex":0},"citationItems":[{"id":5374,"uris":["http://zotero.org/users/3782744/items/4E3TH5Y9"],"itemData":{"id":5374,"type":"article-journal","abstract":"BACKGROUND: There is increasing international interest in producing components from blood that has been stored at room temperature for 24 hours. The lack of comprehensive data on the quality of plasma produced from blood stored in this way led to this international study.\nSTUDY DESIGN AND METHODS: A total of 128 units of whole blood were pooled in groups of four and split to produce 32 sets of four identical blood units that were processed either within 8 hours of blood collection or after 24-hour storage at 18 to 25°C.\nRESULTS: Storage of whole blood for 24 hours resulted in a 23% decrease in the activity of Factor (F)VIII, but not significant loss of activity of coagulation factors FV, FVII, FXI, FXII, fibrinogen, antithrombin, or von Willebrand factor. There was a small, but significant decrease in levels of FII, FIX, and FX (all &lt;5%) as well as protein C (6%) and free protein S activity (14%). The ability of plasma to generate thrombin after 24-hour storage as whole blood was unaltered, as assessed by real-time thrombin generation tests as was the rate and strength of clot formation by rotational thombelastometry. Levels of all coagulation factors measured were above 0.50 U/mL in plasma produced from whole blood stored for 24 hours.\nCONCLUSION: These data show that there is minimal effect of storing whole blood at ambient temperature for 24 hours on the coagulation activity of plasma and that this is an acceptable alternative to producing plasma on the day of blood collection.","container-title":"Transfusion","DOI":"10.1111/j.1537-2995.2010.02963.x","ISSN":"1537-2995","journalAbbreviation":"Transfusion","language":"eng","note":"PMID: 21223296","page":"50S-57S","source":"PubMed","title":"Coagulation factor content of plasma produced from whole blood stored for 24 hours at ambient temperature: results from an international multicenter BEST Collaborative study","title-short":"Coagulation factor content of plasma produced from whole blood stored for 24 hours at ambient temperature","volume":"51 Suppl 1","author":[{"family":"Cardigan","given":"R."},{"family":"Van der Meer","given":"P. F."},{"family":"Pergande","given":"C."},{"family":"Cookson","given":"P."},{"family":"Baumann-Baretti","given":"B."},{"family":"Cancelas","given":"J. A."},{"family":"Devine","given":"D."},{"family":"Gulliksson","given":"H."},{"family":"Vassallo","given":"R."},{"family":"Wildt-Eggen","given":"J.","non-dropping-particle":"de"}],"issued":{"date-parts":[["2011",1]]}},"label":"page"},{"id":5407,"uris":["http://zotero.org/users/3782744/items/6W26QPPN"],"itemData":{"id":5407,"type":"article-journal","abstract":"BACKGROUND: The capability of holding whole blood (WB) units at ambient temperature, overnight, should help in platelet (PLT) concentrate preparation logistics. We summarize the results of a study conducted in the early 1990s that compared, in particular, PLT and red blood cell (RBC) in vivo viability properties following storage after preparation after 8- and 24-hour WB hold periods.\nSTUDY DESIGN AND METHODS: Individuals donated units of WB on two occasions. Centrifugation at 20 to 24°C to separate PLTs and additive system RBC placement at 1 to 6°C was completed 8 hours after phlebotomy or after 24 hours in randomized order. Components were not leukoreduced. Studies including in vitro biochemical and hematologic analyses and autologous in vivo RBC and PLT evaluations were conducted at two sites.\nRESULTS: RBC 24-hour in vivo (mean ± SD) recoveries (single-label approach), after 35 days of storage, were 79.2 ± 4.3 and 79.4 ± 3.9% (n = 9; p &gt; 0.05), with WB holding periods of 8 and 24 hours, respectively. With 42 days of storage, recovery after a 24-hour hold was slightly less than with an 8-hour hold (72.9 ± 6.5% vs. 76.0 ± 5.4%; n = 17; p &lt; 0.05). RBC 2,3-diphosphoglycerate acid levels were substantially less after the 24-hour hold compared to after the 8-hour hold (n = 18; p &lt; 0.05). PLT recovery after 5 days of storage with 8- and 24-hour hold periods were similar, 51.1 ± 14.9 and 50.6 ± 17.7%, respectively (n = 18; p &gt; 0.05). The PLT survival variable and in vitro properties reflecting storage quality also showed no significant difference.\nCONCLUSION: RBC and PLT in vivo variables, and most in vitro variables, were not significantly different after storage with WB holding times of 8 and 24 hours except for a slight diminution of RBC recovery with the 24-hour hold after 42 days of storage.","container-title":"Transfusion","DOI":"10.1111/j.1537-2995.2010.02958.x","ISSN":"1537-2995","journalAbbreviation":"Transfusion","language":"eng","note":"PMID: 21223290","page":"7S-14S","source":"PubMed","title":"Evaluation of the properties of components prepared and stored after holding of whole blood units for 8 and 24 hours at ambient temperature","volume":"51 Suppl 1","author":[{"family":"Moroff","given":"Gary"},{"family":"AuBuchon","given":"James P."},{"family":"Pickard","given":"Constance"},{"family":"Whitley","given":"Pamela H."},{"family":"Heaton","given":"W. Andrew"},{"family":"Holme","given":"Stein"}],"issued":{"date-parts":[["2011",1]]}},"label":"page"},{"id":5444,"uris":["http://zotero.org/users/3782744/items/HSA37AVI"],"itemData":{"id":5444,"type":"article-journal","abstract":"BACKGROUND: The manufacture of fresh-frozen plasma (FFP) requires that plasma be frozen within 8 hours of collection and 24-hour frozen plasma requires 1 to 6°C refrigeration before freezing. Manufacture of plasma after a room temperature hold for 24 hours, while convenient, could compromise clotting factor levels.\nSTUDY DESIGN AND METHODS: Pairs of FFP and 24-hour room temperature-frozen plasma (PLT-rich plasma [PRP]-24HRTFP) were manufactured from PRP after a room temperature hold for 8 and 24 hours, respectively. Additional whole blood (WB) donations were kept at room temperature for 24 hours before plasma manufacture (WB-24HRTFP). The frozen plasma products were stored at -18°C, thawed, and then stored at 1 to 6°C, with coagulation factor assays performed for up to 7 days.\nRESULTS: On the day of thaw, Factor (F)VIII was lower in PRP-24HRTFP by 13% (p = 0.002) but not in WB-24HRTFP (p = 0.3) compared to FFP. All other clotting factors were within normal range. During the postthaw period FVIII and FV declined 25 and 6%, respectively, in WB-24HRTFP and 23 to 50% in the paired products; however, the difference between both types of 24HRTFP and FFP is insignificant by Day 7 (p &gt; 0.05). Other clotting factors either were unchanged or showed minimal reduction (&lt; 15%).\nCONCLUSION: Plasma manufactured after a 24-hour room temperature hold contains coagulation factors comparable to FFP except for a possible reduction of up to 20% in FVIII. This plasma appears suitable as a transfusable product and extension of liquid storage to 7 days merits consideration.","container-title":"Transfusion","DOI":"10.1111/j.1537-2995.2010.02648.x","ISSN":"1537-2995","issue":"9","journalAbbreviation":"Transfusion","language":"eng","note":"PMID: 20412526","page":"1934-1942","source":"PubMed","title":"Stability of coagulation factors in plasma prepared after a 24-hour room temperature hold","volume":"50","author":[{"family":"Alhumaidan","given":"Hiba"},{"family":"Cheves","given":"Tracey"},{"family":"Holme","given":"Stein"},{"family":"Sweeney","given":"Joseph"}],"issued":{"date-parts":[["2010",9]]}},"label":"page"},{"id":5480,"uris":["http://zotero.org/users/3782744/items/8RYK7BBN"],"itemData":{"id":5480,"type":"article-journal","abstract":"Background:\nThe aim of this study was to analyse and compare the activity of factor V, VIII and fibrinogen level in fresh frozen plasma and frozen plasma frozen after 8 hrs but within 24 hours after phlebotomy.\n\nMaterials and Methods:\nFresh frozen plasma separated from whole blood within 8 hours was compared with plasma separated within 24 hours after phlebotomy in terms of coagulation factors V and VIII and level of fibrinogen by standard methods using semi automated coagulometer sysmex CA50.\n\nResults:\nLonger storage of whole blood before processing resulted in significant decrease (18.4%) in activity of factor VIII but the fall in activity of factor V (6.52%) or level of fibrinogen (1.81%) was not significant.\n\nDiscussion:\nThese data suggest that there is good retention of coagulation factors in both types of plasma. Although there is significant fall in activity of factor VIII, but it is an acute phase reactant and raised in most of the diseases so it is suggested that frozen plasma would be an acceptable product for most patients requiring fresh frozen plasma.","container-title":"Asian Journal of Transfusion Science","DOI":"10.4103/0973-6247.150936","ISSN":"0973-6247","issue":"1","journalAbbreviation":"Asian J Transfus Sci","note":"PMID: 25722564\nPMCID: PMC4339934","page":"6-8","source":"PubMed Central","title":"Comparative analysis of activity of coagulation Factors V and VIII and level of fibrinogen in fresh frozen plasma and frozen plasma","volume":"9","author":[{"family":"Dogra","given":"Mitu"},{"family":"Sidhu","given":"Meena"},{"family":"Vasudev","given":"Rahul"},{"family":"Dogra","given":"Ashu"}],"issued":{"date-parts":[["2015"]]}},"label":"page"}],"schema":"https://github.com/citation-style-language/schema/raw/master/csl-citation.json"} </w:instrText>
      </w:r>
      <w:r>
        <w:rPr>
          <w:rFonts w:ascii="Calibri" w:hAnsi="Calibri" w:cs="Calibri"/>
          <w:sz w:val="20"/>
          <w:szCs w:val="20"/>
        </w:rPr>
        <w:fldChar w:fldCharType="separate"/>
      </w:r>
      <w:r w:rsidR="00040157" w:rsidRPr="00040157">
        <w:rPr>
          <w:rFonts w:ascii="Calibri" w:hAnsi="Calibri" w:cs="Calibri"/>
          <w:sz w:val="20"/>
        </w:rPr>
        <w:t>(4,5,10,11)</w:t>
      </w:r>
      <w:r>
        <w:rPr>
          <w:rFonts w:ascii="Calibri" w:hAnsi="Calibri" w:cs="Calibri"/>
          <w:sz w:val="20"/>
          <w:szCs w:val="20"/>
        </w:rPr>
        <w:fldChar w:fldCharType="end"/>
      </w:r>
      <w:r w:rsidR="0098772B" w:rsidRPr="006112AD">
        <w:rPr>
          <w:rFonts w:ascii="Calibri" w:hAnsi="Calibri" w:cs="Calibri"/>
          <w:sz w:val="20"/>
          <w:szCs w:val="20"/>
        </w:rPr>
        <w:t xml:space="preserve"> have investigated the changes in coagulation factor levels with changes in holding time. </w:t>
      </w:r>
      <w:r w:rsidR="00196B93" w:rsidRPr="006112AD">
        <w:rPr>
          <w:rFonts w:ascii="Calibri" w:hAnsi="Calibri" w:cs="Calibri"/>
          <w:sz w:val="20"/>
          <w:szCs w:val="20"/>
        </w:rPr>
        <w:t>Like</w:t>
      </w:r>
      <w:r w:rsidR="0098772B" w:rsidRPr="006112AD">
        <w:rPr>
          <w:rFonts w:ascii="Calibri" w:hAnsi="Calibri" w:cs="Calibri"/>
          <w:sz w:val="20"/>
          <w:szCs w:val="20"/>
        </w:rPr>
        <w:t xml:space="preserve"> the previous study mentioned, most proteins and coagulation factors were found to be at acceptable levels even after a holding time of 24 hours, but like many research studies they highlight a decrease in the levels of FVIII. This decline in FVIII is now well known and may not always have clinical relevance</w:t>
      </w:r>
      <w:r>
        <w:rPr>
          <w:rFonts w:ascii="Calibri" w:hAnsi="Calibri" w:cs="Calibri"/>
          <w:sz w:val="20"/>
          <w:szCs w:val="20"/>
        </w:rPr>
        <w:fldChar w:fldCharType="begin"/>
      </w:r>
      <w:r w:rsidR="00040157">
        <w:rPr>
          <w:rFonts w:ascii="Calibri" w:hAnsi="Calibri" w:cs="Calibri"/>
          <w:sz w:val="20"/>
          <w:szCs w:val="20"/>
        </w:rPr>
        <w:instrText xml:space="preserve"> ADDIN ZOTERO_ITEM CSL_CITATION {"citationID":"L35NCP62","properties":{"formattedCitation":"(14)","plainCitation":"(14)","noteIndex":0},"citationItems":[{"id":5484,"uris":["http://zotero.org/users/3782744/items/YNVW5A6G"],"itemData":{"id":5484,"type":"article-journal","abstract":"Blood services routinely separate whole blood into components that are then stored under different conditions. The storage conditions used for whole blood prior to separation must therefore be a compromise between the needs of the red cells (which benefit from refrigeration) and plasma and platelets (which are better preserved at ambient temperature). For many years, the approach has been to manufacture plasma and platelet components on the day of blood collection, and to refrigerate any unprocessed blood for manufacture into red cell components on the following day. However, this can make it challenging to maintain adequate stocks of all components. The European practice of 'ambient hold' of whole blood for up to 24 hours prior to processing allows greater flexibility in blood component manufacture, and the data reviewed suggest there is relatively little impact on the quality of red cell or plasma components, and an improvement in the quality of platelet components.","container-title":"Transfusion Medicine (Oxford, England)","DOI":"10.1111/j.1365-3148.2010.01025.x","ISSN":"1365-3148","issue":"6","journalAbbreviation":"Transfus Med","language":"eng","note":"PMID: 20667039","page":"361-368","source":"PubMed","title":"Ambient overnight hold of whole blood prior to the manufacture of blood components","volume":"20","author":[{"family":"Thomas","given":"Stephen"}],"issued":{"date-parts":[["2010",12]]}}}],"schema":"https://github.com/citation-style-language/schema/raw/master/csl-citation.json"} </w:instrText>
      </w:r>
      <w:r>
        <w:rPr>
          <w:rFonts w:ascii="Calibri" w:hAnsi="Calibri" w:cs="Calibri"/>
          <w:sz w:val="20"/>
          <w:szCs w:val="20"/>
        </w:rPr>
        <w:fldChar w:fldCharType="separate"/>
      </w:r>
      <w:r w:rsidR="00040157" w:rsidRPr="00040157">
        <w:rPr>
          <w:rFonts w:ascii="Calibri" w:hAnsi="Calibri" w:cs="Calibri"/>
          <w:sz w:val="20"/>
        </w:rPr>
        <w:t>(14)</w:t>
      </w:r>
      <w:r>
        <w:rPr>
          <w:rFonts w:ascii="Calibri" w:hAnsi="Calibri" w:cs="Calibri"/>
          <w:sz w:val="20"/>
          <w:szCs w:val="20"/>
        </w:rPr>
        <w:fldChar w:fldCharType="end"/>
      </w:r>
      <w:r w:rsidR="0098772B" w:rsidRPr="006112AD">
        <w:rPr>
          <w:rFonts w:ascii="Calibri" w:hAnsi="Calibri" w:cs="Calibri"/>
          <w:color w:val="000000" w:themeColor="text1"/>
          <w:sz w:val="20"/>
          <w:szCs w:val="20"/>
        </w:rPr>
        <w:t xml:space="preserve">. In fact, </w:t>
      </w:r>
      <w:r w:rsidR="0098772B" w:rsidRPr="006112AD">
        <w:rPr>
          <w:rFonts w:ascii="Calibri" w:hAnsi="Calibri" w:cs="Calibri"/>
          <w:sz w:val="20"/>
          <w:szCs w:val="20"/>
        </w:rPr>
        <w:t>FVIII is considered as a great indication of product quality by the EDQM since its level is known to decrease with time.</w:t>
      </w:r>
      <w:r w:rsidR="00A73F1D">
        <w:rPr>
          <w:rFonts w:ascii="Calibri" w:hAnsi="Calibri" w:cs="Calibri"/>
          <w:sz w:val="20"/>
          <w:szCs w:val="20"/>
        </w:rPr>
        <w:t xml:space="preserve"> </w:t>
      </w:r>
      <w:r w:rsidR="0098772B" w:rsidRPr="006112AD">
        <w:rPr>
          <w:rFonts w:ascii="Calibri" w:hAnsi="Calibri" w:cs="Calibri"/>
          <w:sz w:val="20"/>
          <w:szCs w:val="20"/>
        </w:rPr>
        <w:t>Cardigan</w:t>
      </w:r>
      <w:r>
        <w:rPr>
          <w:rFonts w:ascii="Calibri" w:hAnsi="Calibri" w:cs="Calibri"/>
          <w:sz w:val="20"/>
          <w:szCs w:val="20"/>
        </w:rPr>
        <w:t xml:space="preserve"> </w:t>
      </w:r>
      <w:r w:rsidR="0098772B" w:rsidRPr="006112AD">
        <w:rPr>
          <w:rFonts w:ascii="Calibri" w:hAnsi="Calibri" w:cs="Calibri"/>
          <w:sz w:val="20"/>
          <w:szCs w:val="20"/>
        </w:rPr>
        <w:t xml:space="preserve">et al. </w:t>
      </w:r>
      <w:r w:rsidR="00A7166F">
        <w:rPr>
          <w:rFonts w:ascii="Calibri" w:hAnsi="Calibri" w:cs="Calibri"/>
          <w:sz w:val="20"/>
          <w:szCs w:val="20"/>
        </w:rPr>
        <w:fldChar w:fldCharType="begin"/>
      </w:r>
      <w:r w:rsidR="00A7166F">
        <w:rPr>
          <w:rFonts w:ascii="Calibri" w:hAnsi="Calibri" w:cs="Calibri"/>
          <w:sz w:val="20"/>
          <w:szCs w:val="20"/>
        </w:rPr>
        <w:instrText xml:space="preserve"> ADDIN ZOTERO_ITEM CSL_CITATION {"citationID":"LXrtTxVA","properties":{"formattedCitation":"(4)","plainCitation":"(4)","noteIndex":0},"citationItems":[{"id":5374,"uris":["http://zotero.org/users/3782744/items/4E3TH5Y9"],"itemData":{"id":5374,"type":"article-journal","abstract":"BACKGROUND: There is increasing international interest in producing components from blood that has been stored at room temperature for 24 hours. The lack of comprehensive data on the quality of plasma produced from blood stored in this way led to this international study.\nSTUDY DESIGN AND METHODS: A total of 128 units of whole blood were pooled in groups of four and split to produce 32 sets of four identical blood units that were processed either within 8 hours of blood collection or after 24-hour storage at 18 to 25°C.\nRESULTS: Storage of whole blood for 24 hours resulted in a 23% decrease in the activity of Factor (F)VIII, but not significant loss of activity of coagulation factors FV, FVII, FXI, FXII, fibrinogen, antithrombin, or von Willebrand factor. There was a small, but significant decrease in levels of FII, FIX, and FX (all &lt;5%) as well as protein C (6%) and free protein S activity (14%). The ability of plasma to generate thrombin after 24-hour storage as whole blood was unaltered, as assessed by real-time thrombin generation tests as was the rate and strength of clot formation by rotational thombelastometry. Levels of all coagulation factors measured were above 0.50 U/mL in plasma produced from whole blood stored for 24 hours.\nCONCLUSION: These data show that there is minimal effect of storing whole blood at ambient temperature for 24 hours on the coagulation activity of plasma and that this is an acceptable alternative to producing plasma on the day of blood collection.","container-title":"Transfusion","DOI":"10.1111/j.1537-2995.2010.02963.x","ISSN":"1537-2995","journalAbbreviation":"Transfusion","language":"eng","note":"PMID: 21223296","page":"50S-57S","source":"PubMed","title":"Coagulation factor content of plasma produced from whole blood stored for 24 hours at ambient temperature: results from an international multicenter BEST Collaborative study","title-short":"Coagulation factor content of plasma produced from whole blood stored for 24 hours at ambient temperature","volume":"51 Suppl 1","author":[{"family":"Cardigan","given":"R."},{"family":"Van der Meer","given":"P. F."},{"family":"Pergande","given":"C."},{"family":"Cookson","given":"P."},{"family":"Baumann-Baretti","given":"B."},{"family":"Cancelas","given":"J. A."},{"family":"Devine","given":"D."},{"family":"Gulliksson","given":"H."},{"family":"Vassallo","given":"R."},{"family":"Wildt-Eggen","given":"J.","non-dropping-particle":"de"}],"issued":{"date-parts":[["2011",1]]}}}],"schema":"https://github.com/citation-style-language/schema/raw/master/csl-citation.json"} </w:instrText>
      </w:r>
      <w:r w:rsidR="00A7166F">
        <w:rPr>
          <w:rFonts w:ascii="Calibri" w:hAnsi="Calibri" w:cs="Calibri"/>
          <w:sz w:val="20"/>
          <w:szCs w:val="20"/>
        </w:rPr>
        <w:fldChar w:fldCharType="separate"/>
      </w:r>
      <w:r w:rsidR="00A7166F" w:rsidRPr="00A7166F">
        <w:rPr>
          <w:rFonts w:ascii="Calibri" w:hAnsi="Calibri" w:cs="Calibri"/>
          <w:sz w:val="20"/>
        </w:rPr>
        <w:t>(4)</w:t>
      </w:r>
      <w:r w:rsidR="00A7166F">
        <w:rPr>
          <w:rFonts w:ascii="Calibri" w:hAnsi="Calibri" w:cs="Calibri"/>
          <w:sz w:val="20"/>
          <w:szCs w:val="20"/>
        </w:rPr>
        <w:fldChar w:fldCharType="end"/>
      </w:r>
      <w:r w:rsidR="00A7166F">
        <w:rPr>
          <w:rFonts w:ascii="Calibri" w:hAnsi="Calibri" w:cs="Calibri"/>
          <w:sz w:val="20"/>
          <w:szCs w:val="20"/>
        </w:rPr>
        <w:t xml:space="preserve"> </w:t>
      </w:r>
      <w:r w:rsidR="0098772B" w:rsidRPr="006112AD">
        <w:rPr>
          <w:rFonts w:ascii="Calibri" w:hAnsi="Calibri" w:cs="Calibri"/>
          <w:sz w:val="20"/>
          <w:szCs w:val="20"/>
        </w:rPr>
        <w:t>also tested the activated partial thromboplastin time, fibrinogen, FVIII, protein C, protein S and prothrombin and unlike other coagulation factors that were tested, the results showed that these were slightly but significantly reduced when comparing an 8-hour to a 24-hour holding time</w:t>
      </w:r>
      <w:r w:rsidR="00A12115">
        <w:rPr>
          <w:rFonts w:ascii="Calibri" w:hAnsi="Calibri" w:cs="Calibri"/>
          <w:sz w:val="20"/>
          <w:szCs w:val="20"/>
        </w:rPr>
        <w:t>.</w:t>
      </w:r>
      <w:r w:rsidR="0098772B" w:rsidRPr="006112AD">
        <w:rPr>
          <w:rFonts w:ascii="Calibri" w:hAnsi="Calibri" w:cs="Calibri"/>
          <w:sz w:val="20"/>
          <w:szCs w:val="20"/>
        </w:rPr>
        <w:t xml:space="preserve"> </w:t>
      </w:r>
      <w:r w:rsidR="005B0ED9">
        <w:rPr>
          <w:rFonts w:ascii="Calibri" w:hAnsi="Calibri" w:cs="Calibri"/>
          <w:color w:val="000000" w:themeColor="text1"/>
          <w:sz w:val="20"/>
          <w:szCs w:val="20"/>
        </w:rPr>
        <w:t>Thus,</w:t>
      </w:r>
      <w:r w:rsidR="0098772B" w:rsidRPr="006112AD">
        <w:rPr>
          <w:rFonts w:ascii="Calibri" w:hAnsi="Calibri" w:cs="Calibri"/>
          <w:color w:val="000000" w:themeColor="text1"/>
          <w:sz w:val="20"/>
          <w:szCs w:val="20"/>
        </w:rPr>
        <w:t xml:space="preserve"> most proteins degrade with time, some being more sensitive than others. In the current study the mean total PC, however, was found to be higher with a longer holding time. </w:t>
      </w:r>
    </w:p>
    <w:p w14:paraId="3919CB7F" w14:textId="490E3286" w:rsidR="0098772B" w:rsidRDefault="0098772B" w:rsidP="006112AD">
      <w:pPr>
        <w:spacing w:line="240" w:lineRule="auto"/>
        <w:jc w:val="both"/>
        <w:rPr>
          <w:rFonts w:ascii="Calibri" w:hAnsi="Calibri" w:cs="Calibri"/>
          <w:sz w:val="20"/>
          <w:szCs w:val="20"/>
        </w:rPr>
      </w:pPr>
      <w:r w:rsidRPr="006112AD">
        <w:rPr>
          <w:rFonts w:ascii="Calibri" w:hAnsi="Calibri" w:cs="Calibri"/>
          <w:sz w:val="20"/>
          <w:szCs w:val="20"/>
        </w:rPr>
        <w:t>The SPC results showed that processes for volume and PCs were within control for both the cohort</w:t>
      </w:r>
      <w:r w:rsidR="0081355D">
        <w:rPr>
          <w:rFonts w:ascii="Calibri" w:hAnsi="Calibri" w:cs="Calibri"/>
          <w:sz w:val="20"/>
          <w:szCs w:val="20"/>
        </w:rPr>
        <w:t>s</w:t>
      </w:r>
      <w:r w:rsidRPr="006112AD">
        <w:rPr>
          <w:rFonts w:ascii="Calibri" w:hAnsi="Calibri" w:cs="Calibri"/>
          <w:sz w:val="20"/>
          <w:szCs w:val="20"/>
        </w:rPr>
        <w:t>. The process for RLCs of the cohort on the other hand was incapable. When recalculated with OOS excluded, the results further showed the influence of the OOS values. The capability outcome of RLCs in the SHT cohort was improved from incapable to borderline. Thus, it can be concluded that even without OOS values, the RLCs of the units in the SHT cohort may not always be within process control in future measurements as the capability outcome was still borderline. The fact that the process for RLCs did not become capable was most likely due to the wide range of values of this cohort</w:t>
      </w:r>
      <w:r w:rsidR="00A12115">
        <w:rPr>
          <w:rFonts w:ascii="Calibri" w:hAnsi="Calibri" w:cs="Calibri"/>
          <w:sz w:val="20"/>
          <w:szCs w:val="20"/>
        </w:rPr>
        <w:t xml:space="preserve">. </w:t>
      </w:r>
      <w:r w:rsidRPr="006112AD">
        <w:rPr>
          <w:rFonts w:ascii="Calibri" w:hAnsi="Calibri" w:cs="Calibri"/>
          <w:sz w:val="20"/>
          <w:szCs w:val="20"/>
        </w:rPr>
        <w:t xml:space="preserve">SPC results for RLC consolidate the need for monitoring of FFP units having a SHT. The LHT cohort immediately showed a capable outcome for all parameters, confirming that the values were consistently within process control. </w:t>
      </w:r>
    </w:p>
    <w:p w14:paraId="2D02D1C0" w14:textId="77777777" w:rsidR="007872A2" w:rsidRPr="006112AD" w:rsidRDefault="007872A2" w:rsidP="006112AD">
      <w:pPr>
        <w:spacing w:line="240" w:lineRule="auto"/>
        <w:jc w:val="both"/>
        <w:rPr>
          <w:rFonts w:ascii="Calibri" w:hAnsi="Calibri" w:cs="Calibri"/>
          <w:sz w:val="20"/>
          <w:szCs w:val="20"/>
        </w:rPr>
      </w:pPr>
    </w:p>
    <w:p w14:paraId="5B0C2EA0" w14:textId="3BA59EFF" w:rsidR="00767410" w:rsidRPr="007872A2" w:rsidRDefault="00767410" w:rsidP="007872A2">
      <w:pPr>
        <w:pStyle w:val="ListParagraph"/>
        <w:numPr>
          <w:ilvl w:val="0"/>
          <w:numId w:val="38"/>
        </w:numPr>
        <w:spacing w:line="240" w:lineRule="auto"/>
        <w:rPr>
          <w:rFonts w:ascii="Calibri" w:hAnsi="Calibri" w:cs="Calibri"/>
          <w:b/>
          <w:bCs/>
          <w:sz w:val="20"/>
          <w:szCs w:val="20"/>
        </w:rPr>
      </w:pPr>
      <w:r w:rsidRPr="007872A2">
        <w:rPr>
          <w:rFonts w:ascii="Calibri" w:hAnsi="Calibri" w:cs="Calibri"/>
          <w:b/>
          <w:bCs/>
          <w:sz w:val="20"/>
          <w:szCs w:val="20"/>
        </w:rPr>
        <w:t>Limitations</w:t>
      </w:r>
    </w:p>
    <w:p w14:paraId="08611FF6" w14:textId="15C8FFDB" w:rsidR="0098772B" w:rsidRPr="006112AD" w:rsidRDefault="0098772B" w:rsidP="006112AD">
      <w:pPr>
        <w:spacing w:before="240" w:line="240" w:lineRule="auto"/>
        <w:jc w:val="both"/>
        <w:rPr>
          <w:rFonts w:ascii="Calibri" w:hAnsi="Calibri" w:cs="Calibri"/>
          <w:sz w:val="20"/>
          <w:szCs w:val="20"/>
        </w:rPr>
      </w:pPr>
      <w:r w:rsidRPr="006112AD">
        <w:rPr>
          <w:rFonts w:ascii="Calibri" w:hAnsi="Calibri" w:cs="Calibri"/>
          <w:sz w:val="20"/>
          <w:szCs w:val="20"/>
        </w:rPr>
        <w:t xml:space="preserve">Although informative, this study had its limitations. Undoubtedly the larger the sample size, the more accurate and reliable results are in any study. Having a small sample size of 100 unit per cohort limits the accuracy of the conclusion made by this study. Nonetheless, it still provides essential data and sets a good foundation for more extensive research if required. </w:t>
      </w:r>
    </w:p>
    <w:p w14:paraId="43BAF439" w14:textId="0B8A3B69" w:rsidR="0098772B" w:rsidRPr="006112AD" w:rsidRDefault="0098772B" w:rsidP="006112AD">
      <w:pPr>
        <w:spacing w:before="240" w:line="240" w:lineRule="auto"/>
        <w:jc w:val="both"/>
        <w:rPr>
          <w:rFonts w:ascii="Calibri" w:hAnsi="Calibri" w:cs="Calibri"/>
          <w:sz w:val="20"/>
          <w:szCs w:val="20"/>
        </w:rPr>
      </w:pPr>
      <w:r w:rsidRPr="006112AD">
        <w:rPr>
          <w:rFonts w:ascii="Calibri" w:hAnsi="Calibri" w:cs="Calibri"/>
          <w:sz w:val="20"/>
          <w:szCs w:val="20"/>
        </w:rPr>
        <w:t xml:space="preserve">Another limitation of this study was related to the FFP units tested in the two cohorts. Although ideal, it would not be feasible for the same units to be used for both SHT and LHT.  Hence the units of the SHT cohort were derived from whole blood units that were different from the 100 units of the LHT cohort. Using the same units for both cohorts would allow the observation of how the RLC and PC change with time in the same unit, however the holding time is defined as the time between whole blood collection and its separation into the main blood components. Thus, units with a SHT would have already been processed and therefore cannot be put back together and tested after </w:t>
      </w:r>
      <w:r w:rsidR="00FF6069" w:rsidRPr="006112AD">
        <w:rPr>
          <w:rFonts w:ascii="Calibri" w:hAnsi="Calibri" w:cs="Calibri"/>
          <w:sz w:val="20"/>
          <w:szCs w:val="20"/>
        </w:rPr>
        <w:t>an</w:t>
      </w:r>
      <w:r w:rsidRPr="006112AD">
        <w:rPr>
          <w:rFonts w:ascii="Calibri" w:hAnsi="Calibri" w:cs="Calibri"/>
          <w:sz w:val="20"/>
          <w:szCs w:val="20"/>
        </w:rPr>
        <w:t xml:space="preserve"> LHT. In addition, the FFP product is not very stable and testing the unit twice would require keeping the product at higher temperatures for longer than recommended since it is ideally frozen as soon as possible to maintain the levels of coagulation factors, particularly FXIII. Hence, this would likely result in lower </w:t>
      </w:r>
      <w:r w:rsidR="00113DF1" w:rsidRPr="006112AD">
        <w:rPr>
          <w:rFonts w:ascii="Calibri" w:hAnsi="Calibri" w:cs="Calibri"/>
          <w:sz w:val="20"/>
          <w:szCs w:val="20"/>
        </w:rPr>
        <w:t>PC</w:t>
      </w:r>
      <w:r w:rsidRPr="006112AD">
        <w:rPr>
          <w:rFonts w:ascii="Calibri" w:hAnsi="Calibri" w:cs="Calibri"/>
          <w:sz w:val="20"/>
          <w:szCs w:val="20"/>
        </w:rPr>
        <w:t>s as certain labile proteins start to degrade after a few hours</w:t>
      </w:r>
      <w:r w:rsidR="00D85FD3">
        <w:rPr>
          <w:rFonts w:ascii="Calibri" w:hAnsi="Calibri" w:cs="Calibri"/>
          <w:sz w:val="20"/>
          <w:szCs w:val="20"/>
        </w:rPr>
        <w:fldChar w:fldCharType="begin"/>
      </w:r>
      <w:r w:rsidR="00D85FD3">
        <w:rPr>
          <w:rFonts w:ascii="Calibri" w:hAnsi="Calibri" w:cs="Calibri"/>
          <w:sz w:val="20"/>
          <w:szCs w:val="20"/>
        </w:rPr>
        <w:instrText xml:space="preserve"> ADDIN ZOTERO_ITEM CSL_CITATION {"citationID":"PnjCvh0k","properties":{"formattedCitation":"(1,15)","plainCitation":"(1,15)","noteIndex":0},"citationItems":[{"id":5389,"uris":["http://zotero.org/users/3782744/items/CV6ESY35"],"itemData":{"id":5389,"type":"webpage","container-title":"European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HealthCare"}],"accessed":{"date-parts":[["2025",8,13]]}},"label":"page"},{"id":5490,"uris":["http://zotero.org/users/3782744/items/ACW5WC7P"],"itemData":{"id":5490,"type":"article-journal","abstract":"INTRODUCTION: Sample freezing is a part of routine laboratory tasks because some coagulation parameters are analysed in batches to optimize reagent consumption. The coagulation parameter stability in fresh and frozen samples has been described, but data are scarcer after thawing. This study objective was to determine the stability of the main coagulation parameters (from blood withdrawn on siliconized CTAD tubes and double-centrifuged) after one freeze/thaw cycle to generate procedures for appropriate handling, storage and testing.\nMETHODS: Prothrombin time (PT), activated partial thromboplastin time (aPTT), fibrinogen, D-dimers, clotting factors (F), protein C, protein S, antithrombin, lupus anticoagulant (LA)-sensitive aPTT and diluted-Russel's viper venom time (dRVVT) were assessed in 60 plasma samples (n=30, normal range and n=30, outside the normal range). Thirty samples from anticoagulated patients [unfractionated heparin (UFH), low-molecular weight heparin (LMWH), apixaban or rivaroxaban] were assessed using specific anticoagulant assays. Frozen samples were thawed, and assays were performed at 15 min, 2, 4 and 6 h after thawing. The coagulation parameter stability was assessed with the method of rejection limit.\nRESULTS: After thawing, aPTT, PT, fibrinogen, D-dimers, FII, FV, FX, FIX, FXI, FXII, PC and UFH anti-Xa activity remained stable for at least 6 h, FVII for 5 h, PS, AT, dRVVT screen assay and LMWH anti-Xa activity for 4 h, and LA-sensitive aPTT and apixaban-specific anti-Xa activity for 3 h. FVIII, dRVVT confirm assay and rivaroxaban specific anti-Xa activity were stable for 2 h.\nCONCLUSION: These results suggest that sample stability for some haemostasis assays is limited after thawing.","container-title":"International Journal of Laboratory Hematology","DOI":"10.1111/ijlh.13794","ISSN":"1751-553X","issue":"3","journalAbbreviation":"Int J Lab Hematol","language":"eng","note":"PMID: 35029031","page":"610-618","source":"PubMed","title":"Stability of coagulation parameters in plasma samples at room temperature after one freeze/thaw cycle","volume":"44","author":[{"family":"Gaudard","given":"Marion"},{"family":"Boissier","given":"Elodie"},{"family":"Talon","given":"Laurie"},{"family":"Douxfils","given":"Jonathan"},{"family":"Sapin","given":"Anne-Françoise"},{"family":"Sinegre","given":"Thomas"},{"family":"Lebreton","given":"Aurélien"}],"issued":{"date-parts":[["2022",6]]}},"label":"page"}],"schema":"https://github.com/citation-style-language/schema/raw/master/csl-citation.json"} </w:instrText>
      </w:r>
      <w:r w:rsidR="00D85FD3">
        <w:rPr>
          <w:rFonts w:ascii="Calibri" w:hAnsi="Calibri" w:cs="Calibri"/>
          <w:sz w:val="20"/>
          <w:szCs w:val="20"/>
        </w:rPr>
        <w:fldChar w:fldCharType="separate"/>
      </w:r>
      <w:r w:rsidR="00D85FD3" w:rsidRPr="00D85FD3">
        <w:rPr>
          <w:rFonts w:ascii="Calibri" w:hAnsi="Calibri" w:cs="Calibri"/>
          <w:sz w:val="20"/>
        </w:rPr>
        <w:t>(1,15)</w:t>
      </w:r>
      <w:r w:rsidR="00D85FD3">
        <w:rPr>
          <w:rFonts w:ascii="Calibri" w:hAnsi="Calibri" w:cs="Calibri"/>
          <w:sz w:val="20"/>
          <w:szCs w:val="20"/>
        </w:rPr>
        <w:fldChar w:fldCharType="end"/>
      </w:r>
      <w:r w:rsidR="00DC05B0">
        <w:rPr>
          <w:rFonts w:ascii="Calibri" w:hAnsi="Calibri" w:cs="Calibri"/>
          <w:sz w:val="20"/>
          <w:szCs w:val="20"/>
        </w:rPr>
        <w:t>.</w:t>
      </w:r>
      <w:r w:rsidRPr="006112AD">
        <w:rPr>
          <w:rFonts w:ascii="Calibri" w:hAnsi="Calibri" w:cs="Calibri"/>
          <w:sz w:val="20"/>
          <w:szCs w:val="20"/>
        </w:rPr>
        <w:t xml:space="preserve"> </w:t>
      </w:r>
    </w:p>
    <w:p w14:paraId="0B75BD44" w14:textId="5D6214DB" w:rsidR="006D4B1A" w:rsidRDefault="0098772B" w:rsidP="006112AD">
      <w:pPr>
        <w:spacing w:before="240" w:line="240" w:lineRule="auto"/>
        <w:jc w:val="both"/>
        <w:rPr>
          <w:rFonts w:ascii="Calibri" w:hAnsi="Calibri" w:cs="Calibri"/>
          <w:color w:val="000000" w:themeColor="text1"/>
          <w:sz w:val="20"/>
          <w:szCs w:val="20"/>
        </w:rPr>
      </w:pPr>
      <w:r w:rsidRPr="006112AD">
        <w:rPr>
          <w:rFonts w:ascii="Calibri" w:hAnsi="Calibri" w:cs="Calibri"/>
          <w:sz w:val="20"/>
          <w:szCs w:val="20"/>
        </w:rPr>
        <w:t>The limited literature available on the influence of holding time on the parameters involved in this study made it challenging to compare the findings obtained. Although, these hinted towards being consistent with the findings of the</w:t>
      </w:r>
      <w:r w:rsidR="00E54E70" w:rsidRPr="006112AD">
        <w:rPr>
          <w:rFonts w:ascii="Calibri" w:hAnsi="Calibri" w:cs="Calibri"/>
          <w:sz w:val="20"/>
          <w:szCs w:val="20"/>
        </w:rPr>
        <w:t xml:space="preserve"> local establishment</w:t>
      </w:r>
      <w:r w:rsidRPr="006112AD">
        <w:rPr>
          <w:rFonts w:ascii="Calibri" w:hAnsi="Calibri" w:cs="Calibri"/>
          <w:sz w:val="20"/>
          <w:szCs w:val="20"/>
        </w:rPr>
        <w:t xml:space="preserve">. </w:t>
      </w:r>
      <w:r w:rsidR="00FD2FF0">
        <w:rPr>
          <w:rFonts w:ascii="Calibri" w:hAnsi="Calibri" w:cs="Calibri"/>
          <w:color w:val="000000" w:themeColor="text1"/>
          <w:sz w:val="20"/>
          <w:szCs w:val="20"/>
        </w:rPr>
        <w:t>I</w:t>
      </w:r>
      <w:r w:rsidRPr="006112AD">
        <w:rPr>
          <w:rFonts w:ascii="Calibri" w:hAnsi="Calibri" w:cs="Calibri"/>
          <w:color w:val="000000" w:themeColor="text1"/>
          <w:sz w:val="20"/>
          <w:szCs w:val="20"/>
        </w:rPr>
        <w:t xml:space="preserve">n addition, studies found in the available literature opted to investigate coagulation factors and not total PC, making it difficult to determine how the total PC results relate to these studies. </w:t>
      </w:r>
    </w:p>
    <w:p w14:paraId="037AB63C" w14:textId="77777777" w:rsidR="007872A2" w:rsidRPr="006112AD" w:rsidRDefault="007872A2" w:rsidP="006112AD">
      <w:pPr>
        <w:spacing w:before="240" w:line="240" w:lineRule="auto"/>
        <w:jc w:val="both"/>
        <w:rPr>
          <w:rFonts w:ascii="Calibri" w:hAnsi="Calibri" w:cs="Calibri"/>
          <w:color w:val="000000" w:themeColor="text1"/>
          <w:sz w:val="20"/>
          <w:szCs w:val="20"/>
        </w:rPr>
      </w:pPr>
    </w:p>
    <w:p w14:paraId="310F3165" w14:textId="2A5FC5F3" w:rsidR="006112AD" w:rsidRPr="007872A2" w:rsidRDefault="00767410" w:rsidP="007872A2">
      <w:pPr>
        <w:pStyle w:val="ListParagraph"/>
        <w:numPr>
          <w:ilvl w:val="0"/>
          <w:numId w:val="38"/>
        </w:numPr>
        <w:spacing w:line="240" w:lineRule="auto"/>
        <w:rPr>
          <w:rFonts w:ascii="Calibri" w:hAnsi="Calibri" w:cs="Calibri"/>
          <w:b/>
          <w:bCs/>
          <w:sz w:val="20"/>
          <w:szCs w:val="20"/>
        </w:rPr>
      </w:pPr>
      <w:r w:rsidRPr="007872A2">
        <w:rPr>
          <w:rFonts w:ascii="Calibri" w:hAnsi="Calibri" w:cs="Calibri"/>
          <w:b/>
          <w:bCs/>
          <w:sz w:val="20"/>
          <w:szCs w:val="20"/>
        </w:rPr>
        <w:t xml:space="preserve">Further </w:t>
      </w:r>
      <w:r w:rsidR="006112AD" w:rsidRPr="007872A2">
        <w:rPr>
          <w:rFonts w:ascii="Calibri" w:hAnsi="Calibri" w:cs="Calibri"/>
          <w:b/>
          <w:bCs/>
          <w:sz w:val="20"/>
          <w:szCs w:val="20"/>
        </w:rPr>
        <w:t>work</w:t>
      </w:r>
    </w:p>
    <w:p w14:paraId="73982B4A" w14:textId="4657CAE3" w:rsidR="0098772B" w:rsidRPr="006112AD" w:rsidRDefault="0098772B" w:rsidP="006112AD">
      <w:pPr>
        <w:spacing w:before="240" w:line="240" w:lineRule="auto"/>
        <w:jc w:val="both"/>
        <w:rPr>
          <w:rFonts w:ascii="Calibri" w:hAnsi="Calibri" w:cs="Calibri"/>
          <w:sz w:val="20"/>
          <w:szCs w:val="20"/>
        </w:rPr>
      </w:pPr>
      <w:r w:rsidRPr="006112AD">
        <w:rPr>
          <w:rFonts w:ascii="Calibri" w:hAnsi="Calibri" w:cs="Calibri"/>
          <w:sz w:val="20"/>
          <w:szCs w:val="20"/>
        </w:rPr>
        <w:t xml:space="preserve">There are endless possible studies to perform on non-filtered FFP and how holding time and other factors impact the different components of this blood product. </w:t>
      </w:r>
    </w:p>
    <w:p w14:paraId="2FC19D36" w14:textId="237972EF" w:rsidR="0098772B" w:rsidRPr="006112AD" w:rsidRDefault="0098772B" w:rsidP="006112AD">
      <w:pPr>
        <w:spacing w:before="240" w:line="240" w:lineRule="auto"/>
        <w:jc w:val="both"/>
        <w:rPr>
          <w:rFonts w:ascii="Calibri" w:hAnsi="Calibri" w:cs="Calibri"/>
          <w:sz w:val="20"/>
          <w:szCs w:val="20"/>
        </w:rPr>
      </w:pPr>
      <w:r w:rsidRPr="006112AD">
        <w:rPr>
          <w:rFonts w:ascii="Calibri" w:hAnsi="Calibri" w:cs="Calibri"/>
          <w:sz w:val="20"/>
          <w:szCs w:val="20"/>
        </w:rPr>
        <w:lastRenderedPageBreak/>
        <w:t xml:space="preserve">Firstly, involving a larger number of FFP units would improve the accuracy and credibility of the results gathered and the conclusions or assumptions made. This is crucial when trying to have continuous improvement of protocols and ensure that the changes made based on collected data will indeed result in the desired outcome. </w:t>
      </w:r>
    </w:p>
    <w:p w14:paraId="31B8E6AD" w14:textId="1D656DEF" w:rsidR="0098772B" w:rsidRPr="006112AD" w:rsidRDefault="0098772B" w:rsidP="006112AD">
      <w:pPr>
        <w:spacing w:before="240" w:line="240" w:lineRule="auto"/>
        <w:jc w:val="both"/>
        <w:rPr>
          <w:rFonts w:ascii="Calibri" w:hAnsi="Calibri" w:cs="Calibri"/>
          <w:sz w:val="20"/>
          <w:szCs w:val="20"/>
        </w:rPr>
      </w:pPr>
      <w:r w:rsidRPr="006112AD">
        <w:rPr>
          <w:rFonts w:ascii="Calibri" w:hAnsi="Calibri" w:cs="Calibri"/>
          <w:sz w:val="20"/>
          <w:szCs w:val="20"/>
        </w:rPr>
        <w:t>The holding time in hours of each unit can be estimated in addition to dividing the units into two cohorts with short and long holding time. This would make parameter changes with increasing holding time more evident by plotting graphs. This can be estimated by recording the number of hours between the time of whole blood donation and the time when the final FFP product was obtained.</w:t>
      </w:r>
    </w:p>
    <w:p w14:paraId="499853F7" w14:textId="0226C6F1" w:rsidR="006D4B1A" w:rsidRDefault="0098772B" w:rsidP="006112AD">
      <w:pPr>
        <w:spacing w:before="240" w:line="240" w:lineRule="auto"/>
        <w:jc w:val="both"/>
        <w:rPr>
          <w:rFonts w:ascii="Calibri" w:hAnsi="Calibri" w:cs="Calibri"/>
          <w:sz w:val="20"/>
          <w:szCs w:val="20"/>
        </w:rPr>
      </w:pPr>
      <w:r w:rsidRPr="006112AD">
        <w:rPr>
          <w:rFonts w:ascii="Calibri" w:hAnsi="Calibri" w:cs="Calibri"/>
          <w:sz w:val="20"/>
          <w:szCs w:val="20"/>
        </w:rPr>
        <w:t xml:space="preserve">Measuring individual proteins, especially coagulation factors at different holding times in addition to PC can be used to evaluate how the level of each protein is affected. </w:t>
      </w:r>
    </w:p>
    <w:p w14:paraId="0AE46A21" w14:textId="77777777" w:rsidR="00075317" w:rsidRPr="006112AD" w:rsidRDefault="00075317" w:rsidP="006112AD">
      <w:pPr>
        <w:spacing w:before="240" w:line="240" w:lineRule="auto"/>
        <w:jc w:val="both"/>
        <w:rPr>
          <w:rFonts w:ascii="Calibri" w:hAnsi="Calibri" w:cs="Calibri"/>
          <w:sz w:val="20"/>
          <w:szCs w:val="20"/>
        </w:rPr>
      </w:pPr>
    </w:p>
    <w:p w14:paraId="63D16C19" w14:textId="73207827" w:rsidR="006112AD" w:rsidRPr="007872A2" w:rsidRDefault="006112AD" w:rsidP="007872A2">
      <w:pPr>
        <w:pStyle w:val="ListParagraph"/>
        <w:numPr>
          <w:ilvl w:val="0"/>
          <w:numId w:val="38"/>
        </w:numPr>
        <w:spacing w:line="240" w:lineRule="auto"/>
        <w:rPr>
          <w:rFonts w:ascii="Calibri" w:hAnsi="Calibri" w:cs="Calibri"/>
          <w:b/>
          <w:bCs/>
          <w:sz w:val="20"/>
          <w:szCs w:val="20"/>
        </w:rPr>
      </w:pPr>
      <w:r w:rsidRPr="007872A2">
        <w:rPr>
          <w:rFonts w:ascii="Calibri" w:hAnsi="Calibri" w:cs="Calibri"/>
          <w:b/>
          <w:bCs/>
          <w:sz w:val="20"/>
          <w:szCs w:val="20"/>
        </w:rPr>
        <w:t>Conclusion</w:t>
      </w:r>
    </w:p>
    <w:p w14:paraId="3FC564E5" w14:textId="374EC467" w:rsidR="0098772B" w:rsidRPr="006112AD" w:rsidRDefault="0098772B" w:rsidP="006112AD">
      <w:pPr>
        <w:spacing w:before="240" w:line="240" w:lineRule="auto"/>
        <w:jc w:val="both"/>
        <w:rPr>
          <w:rFonts w:ascii="Calibri" w:hAnsi="Calibri" w:cs="Calibri"/>
          <w:sz w:val="20"/>
          <w:szCs w:val="20"/>
        </w:rPr>
      </w:pPr>
      <w:r w:rsidRPr="006112AD">
        <w:rPr>
          <w:rFonts w:ascii="Calibri" w:hAnsi="Calibri" w:cs="Calibri"/>
          <w:sz w:val="20"/>
          <w:szCs w:val="20"/>
        </w:rPr>
        <w:t>The results collected from this study suggest that prior to whole blood processing, holding time impacts the RLC and PC in non-filtered FFP units, hence the aim of this study was reached since a relationship was identified. With an increased holding time of whole blood, RLCs in FFP were found to decrease, whilst PCs increased. As identified by the</w:t>
      </w:r>
      <w:r w:rsidR="00E54E70" w:rsidRPr="006112AD">
        <w:rPr>
          <w:rFonts w:ascii="Calibri" w:hAnsi="Calibri" w:cs="Calibri"/>
          <w:sz w:val="20"/>
          <w:szCs w:val="20"/>
        </w:rPr>
        <w:t xml:space="preserve"> local establishment</w:t>
      </w:r>
      <w:r w:rsidRPr="006112AD">
        <w:rPr>
          <w:rFonts w:ascii="Calibri" w:hAnsi="Calibri" w:cs="Calibri"/>
          <w:sz w:val="20"/>
          <w:szCs w:val="20"/>
        </w:rPr>
        <w:t xml:space="preserve">, units with an elevated RLC were also observed in the SHT cohort of this study. Thus, it may be recommended that the </w:t>
      </w:r>
      <w:r w:rsidR="005F0CB8" w:rsidRPr="006112AD">
        <w:rPr>
          <w:rFonts w:ascii="Calibri" w:hAnsi="Calibri" w:cs="Calibri"/>
          <w:sz w:val="20"/>
          <w:szCs w:val="20"/>
        </w:rPr>
        <w:t xml:space="preserve">current </w:t>
      </w:r>
      <w:r w:rsidRPr="006112AD">
        <w:rPr>
          <w:rFonts w:ascii="Calibri" w:hAnsi="Calibri" w:cs="Calibri"/>
          <w:sz w:val="20"/>
          <w:szCs w:val="20"/>
        </w:rPr>
        <w:t xml:space="preserve">minimum holding time </w:t>
      </w:r>
      <w:r w:rsidR="005F0CB8" w:rsidRPr="006112AD">
        <w:rPr>
          <w:rFonts w:ascii="Calibri" w:hAnsi="Calibri" w:cs="Calibri"/>
          <w:sz w:val="20"/>
          <w:szCs w:val="20"/>
        </w:rPr>
        <w:t>of 3 hours,</w:t>
      </w:r>
      <w:r w:rsidRPr="006112AD">
        <w:rPr>
          <w:rFonts w:ascii="Calibri" w:hAnsi="Calibri" w:cs="Calibri"/>
          <w:sz w:val="20"/>
          <w:szCs w:val="20"/>
        </w:rPr>
        <w:t xml:space="preserve"> should be increased to reduce the risks of having units which do not meet quality requirements and </w:t>
      </w:r>
      <w:r w:rsidR="00B85168" w:rsidRPr="006112AD">
        <w:rPr>
          <w:rFonts w:ascii="Calibri" w:hAnsi="Calibri" w:cs="Calibri"/>
          <w:sz w:val="20"/>
          <w:szCs w:val="20"/>
        </w:rPr>
        <w:t>having to</w:t>
      </w:r>
      <w:r w:rsidRPr="006112AD">
        <w:rPr>
          <w:rFonts w:ascii="Calibri" w:hAnsi="Calibri" w:cs="Calibri"/>
          <w:sz w:val="20"/>
          <w:szCs w:val="20"/>
        </w:rPr>
        <w:t xml:space="preserve"> discard</w:t>
      </w:r>
      <w:r w:rsidR="00B85168" w:rsidRPr="006112AD">
        <w:rPr>
          <w:rFonts w:ascii="Calibri" w:hAnsi="Calibri" w:cs="Calibri"/>
          <w:sz w:val="20"/>
          <w:szCs w:val="20"/>
        </w:rPr>
        <w:t xml:space="preserve"> them</w:t>
      </w:r>
      <w:r w:rsidRPr="006112AD">
        <w:rPr>
          <w:rFonts w:ascii="Calibri" w:hAnsi="Calibri" w:cs="Calibri"/>
          <w:sz w:val="20"/>
          <w:szCs w:val="20"/>
        </w:rPr>
        <w:t xml:space="preserve">. However, a qualification procedure should be established to determine the optimal range of holding time duration required to obtain FFP units with low RLC levels and adequate PCs. </w:t>
      </w:r>
    </w:p>
    <w:p w14:paraId="12BC804F" w14:textId="77777777" w:rsidR="0098772B" w:rsidRPr="006112AD" w:rsidRDefault="0098772B" w:rsidP="006112AD">
      <w:pPr>
        <w:spacing w:before="240" w:line="240" w:lineRule="auto"/>
        <w:jc w:val="both"/>
        <w:rPr>
          <w:rFonts w:ascii="Calibri" w:hAnsi="Calibri" w:cs="Calibri"/>
          <w:sz w:val="20"/>
          <w:szCs w:val="20"/>
        </w:rPr>
      </w:pPr>
      <w:r w:rsidRPr="006112AD">
        <w:rPr>
          <w:rFonts w:ascii="Calibri" w:hAnsi="Calibri" w:cs="Calibri"/>
          <w:sz w:val="20"/>
          <w:szCs w:val="20"/>
        </w:rPr>
        <w:t xml:space="preserve">To maintain low RLCs regardless of holding time, incorporating a </w:t>
      </w:r>
      <w:proofErr w:type="spellStart"/>
      <w:r w:rsidRPr="006112AD">
        <w:rPr>
          <w:rFonts w:ascii="Calibri" w:hAnsi="Calibri" w:cs="Calibri"/>
          <w:sz w:val="20"/>
          <w:szCs w:val="20"/>
        </w:rPr>
        <w:t>leucoreduction</w:t>
      </w:r>
      <w:proofErr w:type="spellEnd"/>
      <w:r w:rsidRPr="006112AD">
        <w:rPr>
          <w:rFonts w:ascii="Calibri" w:hAnsi="Calibri" w:cs="Calibri"/>
          <w:sz w:val="20"/>
          <w:szCs w:val="20"/>
        </w:rPr>
        <w:t xml:space="preserve"> step after processing of FFP could also be considered, but as for increasing the holding time, a rigorous and robust qualification plan would need to be employed including assessing any related risks and subsequent mitigation measures. </w:t>
      </w:r>
    </w:p>
    <w:p w14:paraId="1967AAD3" w14:textId="3EB12604" w:rsidR="0098772B" w:rsidRDefault="0098772B" w:rsidP="007872A2">
      <w:pPr>
        <w:spacing w:before="240" w:line="240" w:lineRule="auto"/>
        <w:jc w:val="both"/>
        <w:rPr>
          <w:rFonts w:ascii="Calibri" w:hAnsi="Calibri" w:cs="Calibri"/>
          <w:sz w:val="20"/>
          <w:szCs w:val="20"/>
        </w:rPr>
      </w:pPr>
      <w:r w:rsidRPr="006112AD">
        <w:rPr>
          <w:rFonts w:ascii="Calibri" w:hAnsi="Calibri" w:cs="Calibri"/>
          <w:sz w:val="20"/>
          <w:szCs w:val="20"/>
        </w:rPr>
        <w:t xml:space="preserve">Apart from ensuring that blood product requirements are </w:t>
      </w:r>
      <w:r w:rsidR="005070AE" w:rsidRPr="006112AD">
        <w:rPr>
          <w:rFonts w:ascii="Calibri" w:hAnsi="Calibri" w:cs="Calibri"/>
          <w:sz w:val="20"/>
          <w:szCs w:val="20"/>
        </w:rPr>
        <w:t>met,</w:t>
      </w:r>
      <w:r w:rsidRPr="006112AD">
        <w:rPr>
          <w:rFonts w:ascii="Calibri" w:hAnsi="Calibri" w:cs="Calibri"/>
          <w:sz w:val="20"/>
          <w:szCs w:val="20"/>
        </w:rPr>
        <w:t xml:space="preserve"> and recipients are safeguarded from undesired and avoidable transfusion reactions, a LHT has other benefits. Extending the minimum holding time would enable better operational flexibility due to the working hours of the blood establishment (Thomas 2010), and better management of workflow since whole blood would not need to be processed within a few hours, but can be left for longer, thus time can be spent on other high priority tasks. </w:t>
      </w:r>
    </w:p>
    <w:p w14:paraId="56CCE3A7" w14:textId="481834C5" w:rsidR="0037786A" w:rsidRDefault="0037786A" w:rsidP="00777D48">
      <w:pPr>
        <w:spacing w:before="240" w:line="240" w:lineRule="auto"/>
        <w:jc w:val="both"/>
        <w:rPr>
          <w:rFonts w:ascii="Calibri" w:hAnsi="Calibri" w:cs="Calibri"/>
          <w:b/>
          <w:bCs/>
          <w:sz w:val="20"/>
          <w:szCs w:val="20"/>
        </w:rPr>
      </w:pPr>
    </w:p>
    <w:p w14:paraId="0BF3BC72" w14:textId="77777777" w:rsidR="005B0ED9" w:rsidRDefault="005B0ED9" w:rsidP="00777D48">
      <w:pPr>
        <w:spacing w:before="240" w:line="240" w:lineRule="auto"/>
        <w:jc w:val="both"/>
        <w:rPr>
          <w:rFonts w:ascii="Calibri" w:hAnsi="Calibri" w:cs="Calibri"/>
          <w:b/>
          <w:bCs/>
          <w:sz w:val="20"/>
          <w:szCs w:val="20"/>
        </w:rPr>
      </w:pPr>
    </w:p>
    <w:p w14:paraId="76E4926A" w14:textId="5DEFE263" w:rsidR="00777D48" w:rsidRPr="00777D48" w:rsidRDefault="00777D48" w:rsidP="00777D48">
      <w:pPr>
        <w:spacing w:before="240" w:line="240" w:lineRule="auto"/>
        <w:jc w:val="both"/>
        <w:rPr>
          <w:rFonts w:ascii="Calibri" w:hAnsi="Calibri" w:cs="Calibri"/>
          <w:b/>
          <w:bCs/>
          <w:sz w:val="20"/>
          <w:szCs w:val="20"/>
        </w:rPr>
      </w:pPr>
      <w:r w:rsidRPr="00777D48">
        <w:rPr>
          <w:rFonts w:ascii="Calibri" w:hAnsi="Calibri" w:cs="Calibri"/>
          <w:b/>
          <w:bCs/>
          <w:sz w:val="20"/>
          <w:szCs w:val="20"/>
        </w:rPr>
        <w:t>Consent</w:t>
      </w:r>
    </w:p>
    <w:p w14:paraId="39D1E285" w14:textId="77777777" w:rsidR="00777D48" w:rsidRPr="00777D48" w:rsidRDefault="00777D48" w:rsidP="00777D48">
      <w:pPr>
        <w:spacing w:before="240" w:line="240" w:lineRule="auto"/>
        <w:jc w:val="both"/>
        <w:rPr>
          <w:rFonts w:ascii="Calibri" w:hAnsi="Calibri" w:cs="Calibri"/>
          <w:sz w:val="20"/>
          <w:szCs w:val="20"/>
        </w:rPr>
      </w:pPr>
      <w:r w:rsidRPr="00777D48">
        <w:rPr>
          <w:rFonts w:ascii="Calibri" w:hAnsi="Calibri" w:cs="Calibri"/>
          <w:sz w:val="20"/>
          <w:szCs w:val="20"/>
        </w:rPr>
        <w:t>It is not applicable.</w:t>
      </w:r>
    </w:p>
    <w:p w14:paraId="6132C9E5" w14:textId="77777777" w:rsidR="0037786A" w:rsidRDefault="0037786A" w:rsidP="00777D48">
      <w:pPr>
        <w:spacing w:before="240" w:line="240" w:lineRule="auto"/>
        <w:jc w:val="both"/>
        <w:rPr>
          <w:rFonts w:ascii="Calibri" w:hAnsi="Calibri" w:cs="Calibri"/>
          <w:sz w:val="20"/>
          <w:szCs w:val="20"/>
        </w:rPr>
      </w:pPr>
    </w:p>
    <w:p w14:paraId="43EBE574" w14:textId="0D4668E5" w:rsidR="00777D48" w:rsidRPr="0037786A" w:rsidRDefault="00777D48" w:rsidP="00777D48">
      <w:pPr>
        <w:spacing w:before="240" w:line="240" w:lineRule="auto"/>
        <w:jc w:val="both"/>
        <w:rPr>
          <w:rFonts w:ascii="Calibri" w:hAnsi="Calibri" w:cs="Calibri"/>
          <w:b/>
          <w:bCs/>
          <w:sz w:val="20"/>
          <w:szCs w:val="20"/>
        </w:rPr>
      </w:pPr>
      <w:r w:rsidRPr="0037786A">
        <w:rPr>
          <w:rFonts w:ascii="Calibri" w:hAnsi="Calibri" w:cs="Calibri"/>
          <w:b/>
          <w:bCs/>
          <w:sz w:val="20"/>
          <w:szCs w:val="20"/>
        </w:rPr>
        <w:t>Ethical Appro</w:t>
      </w:r>
      <w:r w:rsidR="001F440A" w:rsidRPr="0037786A">
        <w:rPr>
          <w:rFonts w:ascii="Calibri" w:hAnsi="Calibri" w:cs="Calibri"/>
          <w:b/>
          <w:bCs/>
          <w:sz w:val="20"/>
          <w:szCs w:val="20"/>
        </w:rPr>
        <w:t>val</w:t>
      </w:r>
    </w:p>
    <w:p w14:paraId="55834C04" w14:textId="451551CC" w:rsidR="00D73D65" w:rsidRPr="006112AD" w:rsidRDefault="00777D48" w:rsidP="00777D48">
      <w:pPr>
        <w:spacing w:before="240" w:line="240" w:lineRule="auto"/>
        <w:jc w:val="both"/>
        <w:rPr>
          <w:rFonts w:ascii="Calibri" w:hAnsi="Calibri" w:cs="Calibri"/>
          <w:sz w:val="20"/>
          <w:szCs w:val="20"/>
        </w:rPr>
      </w:pPr>
      <w:r w:rsidRPr="00777D48">
        <w:rPr>
          <w:rFonts w:ascii="Calibri" w:hAnsi="Calibri" w:cs="Calibri"/>
          <w:sz w:val="20"/>
          <w:szCs w:val="20"/>
        </w:rPr>
        <w:t>University of Malta Faculty of Research Ethics</w:t>
      </w:r>
      <w:r w:rsidR="001F440A">
        <w:rPr>
          <w:rFonts w:ascii="Calibri" w:hAnsi="Calibri" w:cs="Calibri"/>
          <w:sz w:val="20"/>
          <w:szCs w:val="20"/>
        </w:rPr>
        <w:t xml:space="preserve"> </w:t>
      </w:r>
      <w:r w:rsidRPr="00777D48">
        <w:rPr>
          <w:rFonts w:ascii="Calibri" w:hAnsi="Calibri" w:cs="Calibri"/>
          <w:sz w:val="20"/>
          <w:szCs w:val="20"/>
        </w:rPr>
        <w:t>Committee (FREC) approval number FHS- 202</w:t>
      </w:r>
      <w:r w:rsidR="0037786A">
        <w:rPr>
          <w:rFonts w:ascii="Calibri" w:hAnsi="Calibri" w:cs="Calibri"/>
          <w:sz w:val="20"/>
          <w:szCs w:val="20"/>
        </w:rPr>
        <w:t>4</w:t>
      </w:r>
      <w:r w:rsidRPr="00777D48">
        <w:rPr>
          <w:rFonts w:ascii="Calibri" w:hAnsi="Calibri" w:cs="Calibri"/>
          <w:sz w:val="20"/>
          <w:szCs w:val="20"/>
        </w:rPr>
        <w:t>-</w:t>
      </w:r>
      <w:r w:rsidR="0037786A">
        <w:rPr>
          <w:rFonts w:ascii="Calibri" w:hAnsi="Calibri" w:cs="Calibri"/>
          <w:sz w:val="20"/>
          <w:szCs w:val="20"/>
        </w:rPr>
        <w:t>00108</w:t>
      </w:r>
      <w:r w:rsidRPr="00777D48">
        <w:rPr>
          <w:rFonts w:ascii="Calibri" w:hAnsi="Calibri" w:cs="Calibri"/>
          <w:sz w:val="20"/>
          <w:szCs w:val="20"/>
        </w:rPr>
        <w:t>.</w:t>
      </w:r>
    </w:p>
    <w:p w14:paraId="2C126C6E" w14:textId="77777777" w:rsidR="00005D4D" w:rsidRDefault="00005D4D" w:rsidP="00005D4D">
      <w:pPr>
        <w:spacing w:line="240" w:lineRule="auto"/>
        <w:rPr>
          <w:rFonts w:ascii="Calibri" w:hAnsi="Calibri" w:cs="Calibri"/>
          <w:b/>
          <w:bCs/>
          <w:sz w:val="20"/>
          <w:szCs w:val="20"/>
        </w:rPr>
      </w:pPr>
    </w:p>
    <w:p w14:paraId="4239302E" w14:textId="3D43729C" w:rsidR="0037786A" w:rsidRDefault="0037786A" w:rsidP="00005D4D">
      <w:pPr>
        <w:spacing w:line="240" w:lineRule="auto"/>
        <w:rPr>
          <w:rFonts w:ascii="Calibri" w:hAnsi="Calibri" w:cs="Calibri"/>
          <w:b/>
          <w:bCs/>
          <w:sz w:val="20"/>
          <w:szCs w:val="20"/>
        </w:rPr>
      </w:pPr>
      <w:bookmarkStart w:id="143" w:name="_GoBack"/>
      <w:bookmarkEnd w:id="143"/>
    </w:p>
    <w:p w14:paraId="68C712A6" w14:textId="77777777" w:rsidR="0037786A" w:rsidRDefault="0037786A" w:rsidP="006112AD">
      <w:pPr>
        <w:spacing w:line="240" w:lineRule="auto"/>
        <w:rPr>
          <w:rFonts w:ascii="Calibri" w:hAnsi="Calibri" w:cs="Calibri"/>
          <w:b/>
          <w:bCs/>
          <w:sz w:val="20"/>
          <w:szCs w:val="20"/>
        </w:rPr>
      </w:pPr>
    </w:p>
    <w:p w14:paraId="328F8288" w14:textId="26FA3B71" w:rsidR="00075317" w:rsidRPr="00D73D65" w:rsidRDefault="00A12115" w:rsidP="006112AD">
      <w:pPr>
        <w:spacing w:line="240" w:lineRule="auto"/>
        <w:rPr>
          <w:rFonts w:ascii="Calibri" w:hAnsi="Calibri" w:cs="Calibri"/>
          <w:b/>
          <w:bCs/>
          <w:sz w:val="20"/>
          <w:szCs w:val="20"/>
        </w:rPr>
      </w:pPr>
      <w:r w:rsidRPr="00D73D65">
        <w:rPr>
          <w:rFonts w:ascii="Calibri" w:hAnsi="Calibri" w:cs="Calibri"/>
          <w:b/>
          <w:bCs/>
          <w:sz w:val="20"/>
          <w:szCs w:val="20"/>
        </w:rPr>
        <w:t>References</w:t>
      </w:r>
    </w:p>
    <w:p w14:paraId="3A3E3DC8" w14:textId="725282FA" w:rsidR="00D85FD3" w:rsidRPr="00D85FD3" w:rsidRDefault="00A12115" w:rsidP="00D85FD3">
      <w:pPr>
        <w:pStyle w:val="Bibliography"/>
        <w:rPr>
          <w:rFonts w:ascii="Calibri" w:hAnsi="Calibri" w:cs="Calibri"/>
          <w:sz w:val="20"/>
        </w:rPr>
      </w:pPr>
      <w:r>
        <w:rPr>
          <w:rFonts w:ascii="Calibri" w:hAnsi="Calibri" w:cs="Calibri"/>
          <w:sz w:val="20"/>
          <w:szCs w:val="20"/>
        </w:rPr>
        <w:lastRenderedPageBreak/>
        <w:fldChar w:fldCharType="begin"/>
      </w:r>
      <w:r>
        <w:rPr>
          <w:rFonts w:ascii="Calibri" w:hAnsi="Calibri" w:cs="Calibri"/>
          <w:sz w:val="20"/>
          <w:szCs w:val="20"/>
        </w:rPr>
        <w:instrText xml:space="preserve"> ADDIN ZOTERO_BIBL {"uncited":[],"omitted":[],"custom":[]} CSL_BIBLIOGRAPHY </w:instrText>
      </w:r>
      <w:r>
        <w:rPr>
          <w:rFonts w:ascii="Calibri" w:hAnsi="Calibri" w:cs="Calibri"/>
          <w:sz w:val="20"/>
          <w:szCs w:val="20"/>
        </w:rPr>
        <w:fldChar w:fldCharType="separate"/>
      </w:r>
      <w:r w:rsidR="00D85FD3" w:rsidRPr="00D85FD3">
        <w:rPr>
          <w:rFonts w:ascii="Calibri" w:hAnsi="Calibri" w:cs="Calibri"/>
          <w:sz w:val="20"/>
        </w:rPr>
        <w:t>1.</w:t>
      </w:r>
      <w:r w:rsidR="00D85FD3" w:rsidRPr="00D85FD3">
        <w:rPr>
          <w:rFonts w:ascii="Calibri" w:hAnsi="Calibri" w:cs="Calibri"/>
          <w:sz w:val="20"/>
        </w:rPr>
        <w:tab/>
        <w:t>European Directorate for the Quality of Medicines &amp; HealthCare</w:t>
      </w:r>
      <w:r w:rsidR="00E1219B">
        <w:rPr>
          <w:rFonts w:ascii="Calibri" w:hAnsi="Calibri" w:cs="Calibri"/>
          <w:sz w:val="20"/>
        </w:rPr>
        <w:t xml:space="preserve"> (EDQM)</w:t>
      </w:r>
      <w:r w:rsidR="00D85FD3" w:rsidRPr="00D85FD3">
        <w:rPr>
          <w:rFonts w:ascii="Calibri" w:hAnsi="Calibri" w:cs="Calibri"/>
          <w:sz w:val="20"/>
        </w:rPr>
        <w:t xml:space="preserve"> [cited 2025 Aug 13]. Guide to the preparation, use and quality assurance of blood components - European Directorate for the Quality of Medicines &amp; HealthCare - EDQM. Available from: https://www.edqm.eu/en/blood-guide</w:t>
      </w:r>
    </w:p>
    <w:p w14:paraId="00D4E1A6"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2.</w:t>
      </w:r>
      <w:r w:rsidRPr="00D85FD3">
        <w:rPr>
          <w:rFonts w:ascii="Calibri" w:hAnsi="Calibri" w:cs="Calibri"/>
          <w:sz w:val="20"/>
        </w:rPr>
        <w:tab/>
        <w:t xml:space="preserve">Yousif D, Sammut M, Zammit V. Holding Time Optimisation in Fresh Frozen Plasma: A Critical Factor Worth Investigating. International Blood Research &amp; Reviews. 2025 Sep 6;16(4):1–10. </w:t>
      </w:r>
    </w:p>
    <w:p w14:paraId="01E1556E"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3.</w:t>
      </w:r>
      <w:r w:rsidRPr="00D85FD3">
        <w:rPr>
          <w:rFonts w:ascii="Calibri" w:hAnsi="Calibri" w:cs="Calibri"/>
          <w:sz w:val="20"/>
        </w:rPr>
        <w:tab/>
        <w:t xml:space="preserve">Serrano K, Scammell K, Weiss S, Culibrk B, Levin E, Gyöngyössy-Issa M, et al. Plasma and cryoprecipitate manufactured from whole blood held overnight at room temperature meet quality standards. Transfusion. 2010 Feb;50(2):344–53. </w:t>
      </w:r>
    </w:p>
    <w:p w14:paraId="3C971250"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4.</w:t>
      </w:r>
      <w:r w:rsidRPr="00D85FD3">
        <w:rPr>
          <w:rFonts w:ascii="Calibri" w:hAnsi="Calibri" w:cs="Calibri"/>
          <w:sz w:val="20"/>
        </w:rPr>
        <w:tab/>
        <w:t xml:space="preserve">Cardigan R, Van der Meer PF, Pergande C, Cookson P, Baumann-Baretti B, Cancelas JA, et al. Coagulation factor content of plasma produced from whole blood stored for 24 hours at ambient temperature: results from an international multicenter BEST Collaborative study. Transfusion. 2011 Jan;51 Suppl 1:50S-57S. </w:t>
      </w:r>
    </w:p>
    <w:p w14:paraId="0AA652A1"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5.</w:t>
      </w:r>
      <w:r w:rsidRPr="00D85FD3">
        <w:rPr>
          <w:rFonts w:ascii="Calibri" w:hAnsi="Calibri" w:cs="Calibri"/>
          <w:sz w:val="20"/>
        </w:rPr>
        <w:tab/>
        <w:t xml:space="preserve">Moroff G, AuBuchon JP, Pickard C, Whitley PH, Heaton WA, Holme S. Evaluation of the properties of components prepared and stored after holding of whole blood units for 8 and 24 hours at ambient temperature. Transfusion. 2011 Jan;51 Suppl 1:7S-14S. </w:t>
      </w:r>
    </w:p>
    <w:p w14:paraId="29BCA143"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6.</w:t>
      </w:r>
      <w:r w:rsidRPr="00D85FD3">
        <w:rPr>
          <w:rFonts w:ascii="Calibri" w:hAnsi="Calibri" w:cs="Calibri"/>
          <w:sz w:val="20"/>
        </w:rPr>
        <w:tab/>
        <w:t xml:space="preserve">Thibault L, Beauséjour A, de Grandmont MJ, Lemieux R, Leblanc JF. Characterization of blood components prepared from whole-blood donations after a 24-hour hold with the platelet-rich plasma method. Transfusion. 2006 Aug;46(8):1292–9. </w:t>
      </w:r>
    </w:p>
    <w:p w14:paraId="448358B6"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7.</w:t>
      </w:r>
      <w:r w:rsidRPr="00D85FD3">
        <w:rPr>
          <w:rFonts w:ascii="Calibri" w:hAnsi="Calibri" w:cs="Calibri"/>
          <w:sz w:val="20"/>
        </w:rPr>
        <w:tab/>
        <w:t xml:space="preserve">Beckman N, Nightingale MJ, Pamphilon D. Practical guidelines for applying statistical process control to blood component production. Transfus Med. 2009 Dec;19(6):329–39. </w:t>
      </w:r>
    </w:p>
    <w:p w14:paraId="7DEF21FE"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8.</w:t>
      </w:r>
      <w:r w:rsidRPr="00D85FD3">
        <w:rPr>
          <w:rFonts w:ascii="Calibri" w:hAnsi="Calibri" w:cs="Calibri"/>
          <w:sz w:val="20"/>
        </w:rPr>
        <w:tab/>
        <w:t xml:space="preserve">van der Meer PF, de Korte D. The effect of holding times of whole blood and its components during processing on in vitro and in vivo quality. Transfus Med Rev. 2015 Jan;29(1):24–34. </w:t>
      </w:r>
    </w:p>
    <w:p w14:paraId="59F81258"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9.</w:t>
      </w:r>
      <w:r w:rsidRPr="00D85FD3">
        <w:rPr>
          <w:rFonts w:ascii="Calibri" w:hAnsi="Calibri" w:cs="Calibri"/>
          <w:sz w:val="20"/>
        </w:rPr>
        <w:tab/>
        <w:t xml:space="preserve">Lu FQ, Kang W, Peng Y, Wang WM. Characterization of blood components separated from donated whole blood after an overnight holding at room temperature with the buffy coat method. Transfusion. 2011 Oct;51(10):2199–207. </w:t>
      </w:r>
    </w:p>
    <w:p w14:paraId="1CE4AA97"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10.</w:t>
      </w:r>
      <w:r w:rsidRPr="00D85FD3">
        <w:rPr>
          <w:rFonts w:ascii="Calibri" w:hAnsi="Calibri" w:cs="Calibri"/>
          <w:sz w:val="20"/>
        </w:rPr>
        <w:tab/>
        <w:t xml:space="preserve">Alhumaidan H, Cheves T, Holme S, Sweeney J. Stability of coagulation factors in plasma prepared after a 24-hour room temperature hold. Transfusion. 2010 Sep;50(9):1934–42. </w:t>
      </w:r>
    </w:p>
    <w:p w14:paraId="0B71168F"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11.</w:t>
      </w:r>
      <w:r w:rsidRPr="00D85FD3">
        <w:rPr>
          <w:rFonts w:ascii="Calibri" w:hAnsi="Calibri" w:cs="Calibri"/>
          <w:sz w:val="20"/>
        </w:rPr>
        <w:tab/>
        <w:t xml:space="preserve">Dogra M, Sidhu M, Vasudev R, Dogra A. Comparative analysis of activity of coagulation Factors V and VIII and level of fibrinogen in fresh frozen plasma and frozen plasma. Asian J Transfus Sci. 2015;9(1):6–8. </w:t>
      </w:r>
    </w:p>
    <w:p w14:paraId="0C7B2C2B"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12.</w:t>
      </w:r>
      <w:r w:rsidRPr="00D85FD3">
        <w:rPr>
          <w:rFonts w:ascii="Calibri" w:hAnsi="Calibri" w:cs="Calibri"/>
          <w:sz w:val="20"/>
        </w:rPr>
        <w:tab/>
        <w:t xml:space="preserve">Kretzschmar E, Kruse F, Greiss O, Paunovic D, Kallweit T, Trobisch H. Effects of extended storage of whole blood before leucocyte depletion on coagulation factors in plasma. Vox Sang. 2004 Oct;87(3):156–64. </w:t>
      </w:r>
    </w:p>
    <w:p w14:paraId="6C5A1448"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13.</w:t>
      </w:r>
      <w:r w:rsidRPr="00D85FD3">
        <w:rPr>
          <w:rFonts w:ascii="Calibri" w:hAnsi="Calibri" w:cs="Calibri"/>
          <w:sz w:val="20"/>
        </w:rPr>
        <w:tab/>
        <w:t xml:space="preserve">van der Meer PF, de Wildt-Eggen J. The effect of whole-blood storage time on the number of white cells and platelets in whole blood and in white cell-reduced red cells. Transfusion. 2006 Apr;46(4):589–94. </w:t>
      </w:r>
    </w:p>
    <w:p w14:paraId="56C903DE"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14.</w:t>
      </w:r>
      <w:r w:rsidRPr="00D85FD3">
        <w:rPr>
          <w:rFonts w:ascii="Calibri" w:hAnsi="Calibri" w:cs="Calibri"/>
          <w:sz w:val="20"/>
        </w:rPr>
        <w:tab/>
        <w:t xml:space="preserve">Thomas S. Ambient overnight hold of whole blood prior to the manufacture of blood components. Transfus Med. 2010 Dec;20(6):361–8. </w:t>
      </w:r>
    </w:p>
    <w:p w14:paraId="78A64345" w14:textId="77777777" w:rsidR="00D85FD3" w:rsidRPr="00D85FD3" w:rsidRDefault="00D85FD3" w:rsidP="00D85FD3">
      <w:pPr>
        <w:pStyle w:val="Bibliography"/>
        <w:rPr>
          <w:rFonts w:ascii="Calibri" w:hAnsi="Calibri" w:cs="Calibri"/>
          <w:sz w:val="20"/>
        </w:rPr>
      </w:pPr>
      <w:r w:rsidRPr="00D85FD3">
        <w:rPr>
          <w:rFonts w:ascii="Calibri" w:hAnsi="Calibri" w:cs="Calibri"/>
          <w:sz w:val="20"/>
        </w:rPr>
        <w:t>15.</w:t>
      </w:r>
      <w:r w:rsidRPr="00D85FD3">
        <w:rPr>
          <w:rFonts w:ascii="Calibri" w:hAnsi="Calibri" w:cs="Calibri"/>
          <w:sz w:val="20"/>
        </w:rPr>
        <w:tab/>
        <w:t xml:space="preserve">Gaudard M, Boissier E, Talon L, Douxfils J, Sapin AF, Sinegre T, et al. Stability of coagulation parameters in plasma samples at room temperature after one freeze/thaw cycle. Int J Lab Hematol. 2022 Jun;44(3):610–8. </w:t>
      </w:r>
    </w:p>
    <w:p w14:paraId="333E0CEA" w14:textId="5C1C5417" w:rsidR="00A12115" w:rsidRDefault="00A12115" w:rsidP="006112AD">
      <w:pPr>
        <w:spacing w:line="240" w:lineRule="auto"/>
        <w:rPr>
          <w:rFonts w:ascii="Calibri" w:hAnsi="Calibri" w:cs="Calibri"/>
          <w:sz w:val="20"/>
          <w:szCs w:val="20"/>
        </w:rPr>
      </w:pPr>
      <w:r>
        <w:rPr>
          <w:rFonts w:ascii="Calibri" w:hAnsi="Calibri" w:cs="Calibri"/>
          <w:sz w:val="20"/>
          <w:szCs w:val="20"/>
        </w:rPr>
        <w:fldChar w:fldCharType="end"/>
      </w:r>
    </w:p>
    <w:p w14:paraId="08276859" w14:textId="77777777" w:rsidR="00075317" w:rsidRDefault="00075317" w:rsidP="006112AD">
      <w:pPr>
        <w:spacing w:line="240" w:lineRule="auto"/>
        <w:rPr>
          <w:rFonts w:ascii="Calibri" w:hAnsi="Calibri" w:cs="Calibri"/>
          <w:sz w:val="20"/>
          <w:szCs w:val="20"/>
        </w:rPr>
      </w:pPr>
    </w:p>
    <w:p w14:paraId="695EB1C0" w14:textId="77777777" w:rsidR="00075317" w:rsidRDefault="00075317" w:rsidP="006112AD">
      <w:pPr>
        <w:spacing w:line="240" w:lineRule="auto"/>
        <w:rPr>
          <w:rFonts w:ascii="Calibri" w:hAnsi="Calibri" w:cs="Calibri"/>
          <w:sz w:val="20"/>
          <w:szCs w:val="20"/>
        </w:rPr>
      </w:pPr>
    </w:p>
    <w:p w14:paraId="723EDECE" w14:textId="77777777" w:rsidR="00075317" w:rsidRDefault="00075317" w:rsidP="006112AD">
      <w:pPr>
        <w:spacing w:line="240" w:lineRule="auto"/>
        <w:rPr>
          <w:rFonts w:ascii="Calibri" w:hAnsi="Calibri" w:cs="Calibri"/>
          <w:sz w:val="20"/>
          <w:szCs w:val="20"/>
        </w:rPr>
      </w:pPr>
    </w:p>
    <w:p w14:paraId="0D920C96" w14:textId="77777777" w:rsidR="00075317" w:rsidRDefault="00075317" w:rsidP="006112AD">
      <w:pPr>
        <w:spacing w:line="240" w:lineRule="auto"/>
        <w:rPr>
          <w:rFonts w:ascii="Calibri" w:hAnsi="Calibri" w:cs="Calibri"/>
          <w:sz w:val="20"/>
          <w:szCs w:val="20"/>
        </w:rPr>
      </w:pPr>
    </w:p>
    <w:p w14:paraId="085AABAF" w14:textId="77777777" w:rsidR="00075317" w:rsidRDefault="00075317" w:rsidP="006112AD">
      <w:pPr>
        <w:spacing w:line="240" w:lineRule="auto"/>
        <w:rPr>
          <w:rFonts w:ascii="Calibri" w:hAnsi="Calibri" w:cs="Calibri"/>
          <w:sz w:val="20"/>
          <w:szCs w:val="20"/>
        </w:rPr>
      </w:pPr>
    </w:p>
    <w:p w14:paraId="06BC3A39" w14:textId="268DC880" w:rsidR="002042B9" w:rsidRPr="00807A49" w:rsidRDefault="002042B9" w:rsidP="00807A49">
      <w:pPr>
        <w:pStyle w:val="ListParagraph"/>
        <w:spacing w:line="240" w:lineRule="auto"/>
        <w:jc w:val="both"/>
        <w:rPr>
          <w:rFonts w:ascii="Calibri" w:hAnsi="Calibri" w:cs="Calibri"/>
          <w:sz w:val="20"/>
          <w:szCs w:val="20"/>
        </w:rPr>
      </w:pPr>
    </w:p>
    <w:sectPr w:rsidR="002042B9" w:rsidRPr="00807A49" w:rsidSect="008376F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62EE3" w14:textId="77777777" w:rsidR="003D0E39" w:rsidRDefault="003D0E39" w:rsidP="00846781">
      <w:pPr>
        <w:spacing w:after="0" w:line="240" w:lineRule="auto"/>
      </w:pPr>
      <w:r>
        <w:separator/>
      </w:r>
    </w:p>
    <w:p w14:paraId="14E1968E" w14:textId="77777777" w:rsidR="003D0E39" w:rsidRDefault="003D0E39"/>
    <w:p w14:paraId="2D598221" w14:textId="77777777" w:rsidR="003D0E39" w:rsidRDefault="003D0E39" w:rsidP="00CD0D9D"/>
  </w:endnote>
  <w:endnote w:type="continuationSeparator" w:id="0">
    <w:p w14:paraId="41AD7735" w14:textId="77777777" w:rsidR="003D0E39" w:rsidRDefault="003D0E39" w:rsidP="00846781">
      <w:pPr>
        <w:spacing w:after="0" w:line="240" w:lineRule="auto"/>
      </w:pPr>
      <w:r>
        <w:continuationSeparator/>
      </w:r>
    </w:p>
    <w:p w14:paraId="36C30173" w14:textId="77777777" w:rsidR="003D0E39" w:rsidRDefault="003D0E39"/>
    <w:p w14:paraId="721B6068" w14:textId="77777777" w:rsidR="003D0E39" w:rsidRDefault="003D0E39" w:rsidP="00CD0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A70D0" w14:textId="77777777" w:rsidR="00602FC2" w:rsidRDefault="00602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302071"/>
      <w:docPartObj>
        <w:docPartGallery w:val="Page Numbers (Bottom of Page)"/>
        <w:docPartUnique/>
      </w:docPartObj>
    </w:sdtPr>
    <w:sdtEndPr>
      <w:rPr>
        <w:noProof/>
      </w:rPr>
    </w:sdtEndPr>
    <w:sdtContent>
      <w:p w14:paraId="4F1824D1" w14:textId="6FE70386" w:rsidR="003C567A" w:rsidRDefault="003C567A">
        <w:pPr>
          <w:pStyle w:val="Footer"/>
          <w:jc w:val="center"/>
        </w:pPr>
        <w:r w:rsidRPr="003C567A">
          <w:rPr>
            <w:rFonts w:ascii="Times New Roman" w:hAnsi="Times New Roman" w:cs="Times New Roman"/>
            <w:sz w:val="24"/>
            <w:szCs w:val="24"/>
          </w:rPr>
          <w:fldChar w:fldCharType="begin"/>
        </w:r>
        <w:r w:rsidRPr="003C567A">
          <w:rPr>
            <w:rFonts w:ascii="Times New Roman" w:hAnsi="Times New Roman" w:cs="Times New Roman"/>
            <w:sz w:val="24"/>
            <w:szCs w:val="24"/>
          </w:rPr>
          <w:instrText xml:space="preserve"> PAGE   \* MERGEFORMAT </w:instrText>
        </w:r>
        <w:r w:rsidRPr="003C567A">
          <w:rPr>
            <w:rFonts w:ascii="Times New Roman" w:hAnsi="Times New Roman" w:cs="Times New Roman"/>
            <w:sz w:val="24"/>
            <w:szCs w:val="24"/>
          </w:rPr>
          <w:fldChar w:fldCharType="separate"/>
        </w:r>
        <w:r w:rsidRPr="003C567A">
          <w:rPr>
            <w:rFonts w:ascii="Times New Roman" w:hAnsi="Times New Roman" w:cs="Times New Roman"/>
            <w:noProof/>
            <w:sz w:val="24"/>
            <w:szCs w:val="24"/>
          </w:rPr>
          <w:t>2</w:t>
        </w:r>
        <w:r w:rsidRPr="003C567A">
          <w:rPr>
            <w:rFonts w:ascii="Times New Roman" w:hAnsi="Times New Roman" w:cs="Times New Roman"/>
            <w:noProof/>
            <w:sz w:val="24"/>
            <w:szCs w:val="24"/>
          </w:rPr>
          <w:fldChar w:fldCharType="end"/>
        </w:r>
      </w:p>
    </w:sdtContent>
  </w:sdt>
  <w:p w14:paraId="2C8545A6" w14:textId="77777777" w:rsidR="00846781" w:rsidRDefault="00846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51984"/>
      <w:docPartObj>
        <w:docPartGallery w:val="Page Numbers (Bottom of Page)"/>
        <w:docPartUnique/>
      </w:docPartObj>
    </w:sdtPr>
    <w:sdtEndPr>
      <w:rPr>
        <w:noProof/>
      </w:rPr>
    </w:sdtEndPr>
    <w:sdtContent>
      <w:p w14:paraId="6D9C199F" w14:textId="25F5B096" w:rsidR="003B794C" w:rsidRDefault="003B79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2B82E8" w14:textId="77777777" w:rsidR="007015F1" w:rsidRDefault="0070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85277" w14:textId="77777777" w:rsidR="003D0E39" w:rsidRDefault="003D0E39" w:rsidP="00846781">
      <w:pPr>
        <w:spacing w:after="0" w:line="240" w:lineRule="auto"/>
      </w:pPr>
      <w:r>
        <w:separator/>
      </w:r>
    </w:p>
    <w:p w14:paraId="2D208BA7" w14:textId="77777777" w:rsidR="003D0E39" w:rsidRDefault="003D0E39"/>
    <w:p w14:paraId="549A5923" w14:textId="77777777" w:rsidR="003D0E39" w:rsidRDefault="003D0E39" w:rsidP="00CD0D9D"/>
  </w:footnote>
  <w:footnote w:type="continuationSeparator" w:id="0">
    <w:p w14:paraId="6A295B3C" w14:textId="77777777" w:rsidR="003D0E39" w:rsidRDefault="003D0E39" w:rsidP="00846781">
      <w:pPr>
        <w:spacing w:after="0" w:line="240" w:lineRule="auto"/>
      </w:pPr>
      <w:r>
        <w:continuationSeparator/>
      </w:r>
    </w:p>
    <w:p w14:paraId="4F9E07E7" w14:textId="77777777" w:rsidR="003D0E39" w:rsidRDefault="003D0E39"/>
    <w:p w14:paraId="7CA21376" w14:textId="77777777" w:rsidR="003D0E39" w:rsidRDefault="003D0E39" w:rsidP="00CD0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9823" w14:textId="63350DFA" w:rsidR="00602FC2" w:rsidRDefault="00602FC2">
    <w:pPr>
      <w:pStyle w:val="Header"/>
    </w:pPr>
    <w:r>
      <w:rPr>
        <w:noProof/>
      </w:rPr>
      <w:pict w14:anchorId="7D132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18543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9485" w14:textId="35A09581" w:rsidR="007015F1" w:rsidRDefault="00602FC2" w:rsidP="007015F1">
    <w:pPr>
      <w:pStyle w:val="Header"/>
      <w:jc w:val="center"/>
    </w:pPr>
    <w:r>
      <w:rPr>
        <w:noProof/>
      </w:rPr>
      <w:pict w14:anchorId="55D05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185439"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p w14:paraId="62C46865" w14:textId="77777777" w:rsidR="00315014" w:rsidRDefault="00315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AF4B3" w14:textId="487417C3" w:rsidR="00602FC2" w:rsidRDefault="00602FC2">
    <w:pPr>
      <w:pStyle w:val="Header"/>
    </w:pPr>
    <w:r>
      <w:rPr>
        <w:noProof/>
      </w:rPr>
      <w:pict w14:anchorId="7AD49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18543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7D"/>
    <w:multiLevelType w:val="hybridMultilevel"/>
    <w:tmpl w:val="F4DEA160"/>
    <w:lvl w:ilvl="0" w:tplc="08090001">
      <w:start w:val="1"/>
      <w:numFmt w:val="bullet"/>
      <w:lvlText w:val=""/>
      <w:lvlJc w:val="left"/>
      <w:pPr>
        <w:ind w:left="720" w:hanging="360"/>
      </w:pPr>
      <w:rPr>
        <w:rFonts w:ascii="Symbol" w:hAnsi="Symbol" w:hint="default"/>
      </w:rPr>
    </w:lvl>
    <w:lvl w:ilvl="1" w:tplc="E6E8D824">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02AE9"/>
    <w:multiLevelType w:val="multilevel"/>
    <w:tmpl w:val="E064DC46"/>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0BBB4915"/>
    <w:multiLevelType w:val="hybridMultilevel"/>
    <w:tmpl w:val="348438BC"/>
    <w:lvl w:ilvl="0" w:tplc="C7C8FDC0">
      <w:start w:val="1"/>
      <w:numFmt w:val="decimal"/>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4681D"/>
    <w:multiLevelType w:val="multilevel"/>
    <w:tmpl w:val="7FC2A9E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9115E9B"/>
    <w:multiLevelType w:val="hybridMultilevel"/>
    <w:tmpl w:val="43A6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360F0"/>
    <w:multiLevelType w:val="hybridMultilevel"/>
    <w:tmpl w:val="360A82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A7B1654"/>
    <w:multiLevelType w:val="hybridMultilevel"/>
    <w:tmpl w:val="F334B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F157AB"/>
    <w:multiLevelType w:val="hybridMultilevel"/>
    <w:tmpl w:val="90E2A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B64B5D"/>
    <w:multiLevelType w:val="multilevel"/>
    <w:tmpl w:val="F79833E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11389C"/>
    <w:multiLevelType w:val="hybridMultilevel"/>
    <w:tmpl w:val="1C8224EA"/>
    <w:lvl w:ilvl="0" w:tplc="B63CA388">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C0440E"/>
    <w:multiLevelType w:val="hybridMultilevel"/>
    <w:tmpl w:val="740ECA24"/>
    <w:lvl w:ilvl="0" w:tplc="02443256">
      <w:start w:val="3"/>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C2565"/>
    <w:multiLevelType w:val="multilevel"/>
    <w:tmpl w:val="0EBEE24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i/>
        <w:iCs w:val="0"/>
        <w:sz w:val="40"/>
        <w:szCs w:val="40"/>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A3B4533"/>
    <w:multiLevelType w:val="multilevel"/>
    <w:tmpl w:val="11C408E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BC01D11"/>
    <w:multiLevelType w:val="hybridMultilevel"/>
    <w:tmpl w:val="CBCA8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0B45B1"/>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A24BB"/>
    <w:multiLevelType w:val="hybridMultilevel"/>
    <w:tmpl w:val="FBE4E0C2"/>
    <w:lvl w:ilvl="0" w:tplc="2A626E4C">
      <w:start w:val="1"/>
      <w:numFmt w:val="decimal"/>
      <w:lvlText w:val="%1."/>
      <w:lvlJc w:val="left"/>
      <w:pPr>
        <w:ind w:left="1637" w:hanging="360"/>
      </w:pPr>
      <w:rPr>
        <w:rFonts w:hint="default"/>
        <w:b/>
        <w:bCs/>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5C6A3B"/>
    <w:multiLevelType w:val="multilevel"/>
    <w:tmpl w:val="3A682998"/>
    <w:lvl w:ilvl="0">
      <w:start w:val="1"/>
      <w:numFmt w:val="decimal"/>
      <w:lvlText w:val="%1."/>
      <w:lvlJc w:val="left"/>
      <w:pPr>
        <w:ind w:left="756" w:hanging="756"/>
      </w:pPr>
      <w:rPr>
        <w:rFonts w:hint="default"/>
      </w:rPr>
    </w:lvl>
    <w:lvl w:ilvl="1">
      <w:start w:val="1"/>
      <w:numFmt w:val="decimal"/>
      <w:lvlText w:val="%1.%2."/>
      <w:lvlJc w:val="left"/>
      <w:pPr>
        <w:ind w:left="996" w:hanging="756"/>
      </w:pPr>
      <w:rPr>
        <w:rFonts w:hint="default"/>
      </w:rPr>
    </w:lvl>
    <w:lvl w:ilvl="2">
      <w:start w:val="1"/>
      <w:numFmt w:val="decimal"/>
      <w:lvlText w:val="%1.%2.%3."/>
      <w:lvlJc w:val="left"/>
      <w:pPr>
        <w:ind w:left="1607" w:hanging="756"/>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17" w15:restartNumberingAfterBreak="0">
    <w:nsid w:val="30BD0831"/>
    <w:multiLevelType w:val="multilevel"/>
    <w:tmpl w:val="23782E3E"/>
    <w:lvl w:ilvl="0">
      <w:start w:val="5"/>
      <w:numFmt w:val="decimal"/>
      <w:lvlText w:val="%1."/>
      <w:lvlJc w:val="left"/>
      <w:pPr>
        <w:ind w:left="360" w:hanging="360"/>
      </w:pPr>
      <w:rPr>
        <w:rFonts w:ascii="Calibri" w:hAnsi="Calibri" w:cs="Calibri" w:hint="default"/>
        <w:b w:val="0"/>
        <w:bCs/>
        <w:sz w:val="20"/>
        <w:szCs w:val="20"/>
        <w:u w:val="none"/>
      </w:rPr>
    </w:lvl>
    <w:lvl w:ilvl="1">
      <w:start w:val="3"/>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080" w:hanging="108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18" w15:restartNumberingAfterBreak="0">
    <w:nsid w:val="32104CBE"/>
    <w:multiLevelType w:val="multilevel"/>
    <w:tmpl w:val="CAFCC73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F5752E"/>
    <w:multiLevelType w:val="multilevel"/>
    <w:tmpl w:val="0FC2C5E0"/>
    <w:lvl w:ilvl="0">
      <w:start w:val="1"/>
      <w:numFmt w:val="decimal"/>
      <w:lvlText w:val="%1."/>
      <w:lvlJc w:val="left"/>
      <w:pPr>
        <w:ind w:left="1080" w:hanging="360"/>
      </w:pPr>
      <w:rPr>
        <w:rFonts w:hint="default"/>
      </w:rPr>
    </w:lvl>
    <w:lvl w:ilvl="1">
      <w:start w:val="1"/>
      <w:numFmt w:val="decimal"/>
      <w:lvlText w:val="%1.%2."/>
      <w:lvlJc w:val="left"/>
      <w:pPr>
        <w:ind w:left="1512" w:hanging="432"/>
      </w:pPr>
      <w:rPr>
        <w:i w:val="0"/>
        <w:iCs/>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455E5D31"/>
    <w:multiLevelType w:val="hybridMultilevel"/>
    <w:tmpl w:val="C414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B4F7A"/>
    <w:multiLevelType w:val="multilevel"/>
    <w:tmpl w:val="86783954"/>
    <w:lvl w:ilvl="0">
      <w:start w:val="2"/>
      <w:numFmt w:val="decimal"/>
      <w:lvlText w:val="%1"/>
      <w:lvlJc w:val="left"/>
      <w:pPr>
        <w:ind w:left="504" w:hanging="50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94F176E"/>
    <w:multiLevelType w:val="hybridMultilevel"/>
    <w:tmpl w:val="80F6E8E0"/>
    <w:lvl w:ilvl="0" w:tplc="EEF6030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C20C7"/>
    <w:multiLevelType w:val="multilevel"/>
    <w:tmpl w:val="FBBC148E"/>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59752F"/>
    <w:multiLevelType w:val="hybridMultilevel"/>
    <w:tmpl w:val="FB988D3A"/>
    <w:lvl w:ilvl="0" w:tplc="6554E2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D514BA"/>
    <w:multiLevelType w:val="multilevel"/>
    <w:tmpl w:val="C3DA2A6A"/>
    <w:lvl w:ilvl="0">
      <w:start w:val="2"/>
      <w:numFmt w:val="decimal"/>
      <w:lvlText w:val="%1"/>
      <w:lvlJc w:val="left"/>
      <w:pPr>
        <w:ind w:left="504" w:hanging="50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4E5C633D"/>
    <w:multiLevelType w:val="multilevel"/>
    <w:tmpl w:val="CB868EFA"/>
    <w:lvl w:ilvl="0">
      <w:start w:val="1"/>
      <w:numFmt w:val="decimal"/>
      <w:lvlText w:val="%1"/>
      <w:lvlJc w:val="left"/>
      <w:pPr>
        <w:ind w:left="360" w:hanging="360"/>
      </w:pPr>
      <w:rPr>
        <w:rFonts w:hint="default"/>
        <w:sz w:val="24"/>
        <w:u w:val="none"/>
      </w:rPr>
    </w:lvl>
    <w:lvl w:ilvl="1">
      <w:start w:val="4"/>
      <w:numFmt w:val="decimal"/>
      <w:lvlText w:val="%1.%2"/>
      <w:lvlJc w:val="left"/>
      <w:pPr>
        <w:ind w:left="720" w:hanging="720"/>
      </w:pPr>
      <w:rPr>
        <w:rFonts w:hint="default"/>
        <w:sz w:val="24"/>
        <w:u w:val="none"/>
      </w:rPr>
    </w:lvl>
    <w:lvl w:ilvl="2">
      <w:start w:val="1"/>
      <w:numFmt w:val="decimal"/>
      <w:lvlText w:val="%1.%2.%3"/>
      <w:lvlJc w:val="left"/>
      <w:pPr>
        <w:ind w:left="720" w:hanging="720"/>
      </w:pPr>
      <w:rPr>
        <w:rFonts w:hint="default"/>
        <w:sz w:val="24"/>
        <w:u w:val="none"/>
      </w:rPr>
    </w:lvl>
    <w:lvl w:ilvl="3">
      <w:start w:val="1"/>
      <w:numFmt w:val="decimal"/>
      <w:lvlText w:val="%1.%2.%3.%4"/>
      <w:lvlJc w:val="left"/>
      <w:pPr>
        <w:ind w:left="1080" w:hanging="1080"/>
      </w:pPr>
      <w:rPr>
        <w:rFonts w:hint="default"/>
        <w:sz w:val="24"/>
        <w:u w:val="none"/>
      </w:rPr>
    </w:lvl>
    <w:lvl w:ilvl="4">
      <w:start w:val="1"/>
      <w:numFmt w:val="decimal"/>
      <w:lvlText w:val="%1.%2.%3.%4.%5"/>
      <w:lvlJc w:val="left"/>
      <w:pPr>
        <w:ind w:left="1440" w:hanging="1440"/>
      </w:pPr>
      <w:rPr>
        <w:rFonts w:hint="default"/>
        <w:sz w:val="24"/>
        <w:u w:val="none"/>
      </w:rPr>
    </w:lvl>
    <w:lvl w:ilvl="5">
      <w:start w:val="1"/>
      <w:numFmt w:val="decimal"/>
      <w:lvlText w:val="%1.%2.%3.%4.%5.%6"/>
      <w:lvlJc w:val="left"/>
      <w:pPr>
        <w:ind w:left="1800" w:hanging="1800"/>
      </w:pPr>
      <w:rPr>
        <w:rFonts w:hint="default"/>
        <w:sz w:val="24"/>
        <w:u w:val="none"/>
      </w:rPr>
    </w:lvl>
    <w:lvl w:ilvl="6">
      <w:start w:val="1"/>
      <w:numFmt w:val="decimal"/>
      <w:lvlText w:val="%1.%2.%3.%4.%5.%6.%7"/>
      <w:lvlJc w:val="left"/>
      <w:pPr>
        <w:ind w:left="1800" w:hanging="1800"/>
      </w:pPr>
      <w:rPr>
        <w:rFonts w:hint="default"/>
        <w:sz w:val="24"/>
        <w:u w:val="none"/>
      </w:rPr>
    </w:lvl>
    <w:lvl w:ilvl="7">
      <w:start w:val="1"/>
      <w:numFmt w:val="decimal"/>
      <w:lvlText w:val="%1.%2.%3.%4.%5.%6.%7.%8"/>
      <w:lvlJc w:val="left"/>
      <w:pPr>
        <w:ind w:left="2160" w:hanging="2160"/>
      </w:pPr>
      <w:rPr>
        <w:rFonts w:hint="default"/>
        <w:sz w:val="24"/>
        <w:u w:val="none"/>
      </w:rPr>
    </w:lvl>
    <w:lvl w:ilvl="8">
      <w:start w:val="1"/>
      <w:numFmt w:val="decimal"/>
      <w:lvlText w:val="%1.%2.%3.%4.%5.%6.%7.%8.%9"/>
      <w:lvlJc w:val="left"/>
      <w:pPr>
        <w:ind w:left="2520" w:hanging="2520"/>
      </w:pPr>
      <w:rPr>
        <w:rFonts w:hint="default"/>
        <w:sz w:val="24"/>
        <w:u w:val="none"/>
      </w:rPr>
    </w:lvl>
  </w:abstractNum>
  <w:abstractNum w:abstractNumId="27" w15:restartNumberingAfterBreak="0">
    <w:nsid w:val="5010306C"/>
    <w:multiLevelType w:val="hybridMultilevel"/>
    <w:tmpl w:val="2CBEE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65C9C"/>
    <w:multiLevelType w:val="multilevel"/>
    <w:tmpl w:val="432C4FD4"/>
    <w:lvl w:ilvl="0">
      <w:start w:val="2"/>
      <w:numFmt w:val="decimal"/>
      <w:lvlText w:val="%1"/>
      <w:lvlJc w:val="left"/>
      <w:pPr>
        <w:ind w:left="504" w:hanging="504"/>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592A763D"/>
    <w:multiLevelType w:val="hybridMultilevel"/>
    <w:tmpl w:val="60F860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B945AC"/>
    <w:multiLevelType w:val="hybridMultilevel"/>
    <w:tmpl w:val="C68A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4760A"/>
    <w:multiLevelType w:val="multilevel"/>
    <w:tmpl w:val="3DF8C030"/>
    <w:lvl w:ilvl="0">
      <w:start w:val="2"/>
      <w:numFmt w:val="decimal"/>
      <w:lvlText w:val="%1"/>
      <w:lvlJc w:val="left"/>
      <w:pPr>
        <w:ind w:left="732" w:hanging="732"/>
      </w:pPr>
      <w:rPr>
        <w:rFonts w:hint="default"/>
      </w:rPr>
    </w:lvl>
    <w:lvl w:ilvl="1">
      <w:start w:val="6"/>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64F96409"/>
    <w:multiLevelType w:val="multilevel"/>
    <w:tmpl w:val="DBD051AC"/>
    <w:lvl w:ilvl="0">
      <w:start w:val="2"/>
      <w:numFmt w:val="decimal"/>
      <w:lvlText w:val="%1"/>
      <w:lvlJc w:val="left"/>
      <w:pPr>
        <w:ind w:left="732" w:hanging="732"/>
      </w:pPr>
      <w:rPr>
        <w:rFonts w:hint="default"/>
      </w:rPr>
    </w:lvl>
    <w:lvl w:ilvl="1">
      <w:start w:val="6"/>
      <w:numFmt w:val="decimal"/>
      <w:lvlText w:val="%1.%2"/>
      <w:lvlJc w:val="left"/>
      <w:pPr>
        <w:ind w:left="732" w:hanging="732"/>
      </w:pPr>
      <w:rPr>
        <w:rFonts w:hint="default"/>
      </w:rPr>
    </w:lvl>
    <w:lvl w:ilvl="2">
      <w:start w:val="2"/>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50251F5"/>
    <w:multiLevelType w:val="hybridMultilevel"/>
    <w:tmpl w:val="DA30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F35C38"/>
    <w:multiLevelType w:val="hybridMultilevel"/>
    <w:tmpl w:val="5BE6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BF7017"/>
    <w:multiLevelType w:val="hybridMultilevel"/>
    <w:tmpl w:val="15F22906"/>
    <w:lvl w:ilvl="0" w:tplc="4DBEEEB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83B75"/>
    <w:multiLevelType w:val="multilevel"/>
    <w:tmpl w:val="0809001F"/>
    <w:numStyleLink w:val="Style1"/>
  </w:abstractNum>
  <w:abstractNum w:abstractNumId="37" w15:restartNumberingAfterBreak="0">
    <w:nsid w:val="740C4150"/>
    <w:multiLevelType w:val="hybridMultilevel"/>
    <w:tmpl w:val="A0042A82"/>
    <w:lvl w:ilvl="0" w:tplc="2ED069EA">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121659"/>
    <w:multiLevelType w:val="multilevel"/>
    <w:tmpl w:val="32C4131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390505"/>
    <w:multiLevelType w:val="hybridMultilevel"/>
    <w:tmpl w:val="6832E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39"/>
  </w:num>
  <w:num w:numId="4">
    <w:abstractNumId w:val="11"/>
  </w:num>
  <w:num w:numId="5">
    <w:abstractNumId w:val="22"/>
  </w:num>
  <w:num w:numId="6">
    <w:abstractNumId w:val="16"/>
  </w:num>
  <w:num w:numId="7">
    <w:abstractNumId w:val="4"/>
  </w:num>
  <w:num w:numId="8">
    <w:abstractNumId w:val="29"/>
  </w:num>
  <w:num w:numId="9">
    <w:abstractNumId w:val="3"/>
  </w:num>
  <w:num w:numId="10">
    <w:abstractNumId w:val="33"/>
  </w:num>
  <w:num w:numId="11">
    <w:abstractNumId w:val="20"/>
  </w:num>
  <w:num w:numId="12">
    <w:abstractNumId w:val="37"/>
  </w:num>
  <w:num w:numId="13">
    <w:abstractNumId w:val="2"/>
  </w:num>
  <w:num w:numId="14">
    <w:abstractNumId w:val="34"/>
  </w:num>
  <w:num w:numId="15">
    <w:abstractNumId w:val="10"/>
  </w:num>
  <w:num w:numId="16">
    <w:abstractNumId w:val="9"/>
  </w:num>
  <w:num w:numId="17">
    <w:abstractNumId w:val="36"/>
    <w:lvlOverride w:ilvl="1">
      <w:lvl w:ilvl="1">
        <w:start w:val="1"/>
        <w:numFmt w:val="decimal"/>
        <w:lvlText w:val="%1.%2."/>
        <w:lvlJc w:val="left"/>
        <w:pPr>
          <w:ind w:left="792" w:hanging="432"/>
        </w:pPr>
        <w:rPr>
          <w:color w:val="auto"/>
        </w:rPr>
      </w:lvl>
    </w:lvlOverride>
  </w:num>
  <w:num w:numId="18">
    <w:abstractNumId w:val="14"/>
  </w:num>
  <w:num w:numId="19">
    <w:abstractNumId w:val="23"/>
  </w:num>
  <w:num w:numId="20">
    <w:abstractNumId w:val="30"/>
  </w:num>
  <w:num w:numId="21">
    <w:abstractNumId w:val="6"/>
  </w:num>
  <w:num w:numId="22">
    <w:abstractNumId w:val="27"/>
  </w:num>
  <w:num w:numId="23">
    <w:abstractNumId w:val="35"/>
  </w:num>
  <w:num w:numId="24">
    <w:abstractNumId w:val="21"/>
  </w:num>
  <w:num w:numId="25">
    <w:abstractNumId w:val="28"/>
  </w:num>
  <w:num w:numId="26">
    <w:abstractNumId w:val="25"/>
  </w:num>
  <w:num w:numId="27">
    <w:abstractNumId w:val="31"/>
  </w:num>
  <w:num w:numId="28">
    <w:abstractNumId w:val="32"/>
  </w:num>
  <w:num w:numId="29">
    <w:abstractNumId w:val="1"/>
  </w:num>
  <w:num w:numId="30">
    <w:abstractNumId w:val="13"/>
  </w:num>
  <w:num w:numId="31">
    <w:abstractNumId w:val="12"/>
  </w:num>
  <w:num w:numId="32">
    <w:abstractNumId w:val="8"/>
  </w:num>
  <w:num w:numId="33">
    <w:abstractNumId w:val="38"/>
  </w:num>
  <w:num w:numId="34">
    <w:abstractNumId w:val="26"/>
  </w:num>
  <w:num w:numId="35">
    <w:abstractNumId w:val="18"/>
  </w:num>
  <w:num w:numId="36">
    <w:abstractNumId w:val="24"/>
  </w:num>
  <w:num w:numId="37">
    <w:abstractNumId w:val="15"/>
  </w:num>
  <w:num w:numId="38">
    <w:abstractNumId w:val="19"/>
  </w:num>
  <w:num w:numId="39">
    <w:abstractNumId w:val="17"/>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71"/>
    <w:rsid w:val="000022E1"/>
    <w:rsid w:val="00005D4D"/>
    <w:rsid w:val="00011B7F"/>
    <w:rsid w:val="0001258E"/>
    <w:rsid w:val="00015794"/>
    <w:rsid w:val="00020366"/>
    <w:rsid w:val="00020986"/>
    <w:rsid w:val="00022C35"/>
    <w:rsid w:val="00022E0E"/>
    <w:rsid w:val="00022FC3"/>
    <w:rsid w:val="00023728"/>
    <w:rsid w:val="0002494C"/>
    <w:rsid w:val="00024B57"/>
    <w:rsid w:val="000260B5"/>
    <w:rsid w:val="000267DD"/>
    <w:rsid w:val="0002735E"/>
    <w:rsid w:val="00030A02"/>
    <w:rsid w:val="000329D8"/>
    <w:rsid w:val="0003367F"/>
    <w:rsid w:val="00033BCD"/>
    <w:rsid w:val="00034FE3"/>
    <w:rsid w:val="00036033"/>
    <w:rsid w:val="0003712F"/>
    <w:rsid w:val="00040157"/>
    <w:rsid w:val="000408C0"/>
    <w:rsid w:val="0004156A"/>
    <w:rsid w:val="000462D0"/>
    <w:rsid w:val="00052723"/>
    <w:rsid w:val="00052C17"/>
    <w:rsid w:val="00053931"/>
    <w:rsid w:val="0005493A"/>
    <w:rsid w:val="00056B3E"/>
    <w:rsid w:val="00060C94"/>
    <w:rsid w:val="00060ECD"/>
    <w:rsid w:val="000611BF"/>
    <w:rsid w:val="000613BC"/>
    <w:rsid w:val="0006182B"/>
    <w:rsid w:val="00062CAC"/>
    <w:rsid w:val="00065AF9"/>
    <w:rsid w:val="0006615A"/>
    <w:rsid w:val="000674A0"/>
    <w:rsid w:val="00067DB8"/>
    <w:rsid w:val="00071855"/>
    <w:rsid w:val="00071C49"/>
    <w:rsid w:val="00072909"/>
    <w:rsid w:val="00072A2C"/>
    <w:rsid w:val="00074C96"/>
    <w:rsid w:val="00075317"/>
    <w:rsid w:val="0008395A"/>
    <w:rsid w:val="00083CBC"/>
    <w:rsid w:val="00083F5E"/>
    <w:rsid w:val="00084052"/>
    <w:rsid w:val="00084160"/>
    <w:rsid w:val="0008497D"/>
    <w:rsid w:val="00086B2B"/>
    <w:rsid w:val="000871BC"/>
    <w:rsid w:val="00091998"/>
    <w:rsid w:val="00091D28"/>
    <w:rsid w:val="00091EFC"/>
    <w:rsid w:val="0009421F"/>
    <w:rsid w:val="00094C76"/>
    <w:rsid w:val="00095AED"/>
    <w:rsid w:val="00095B70"/>
    <w:rsid w:val="00097443"/>
    <w:rsid w:val="000A3E25"/>
    <w:rsid w:val="000A6479"/>
    <w:rsid w:val="000A64FF"/>
    <w:rsid w:val="000A7425"/>
    <w:rsid w:val="000A7BFB"/>
    <w:rsid w:val="000B17B7"/>
    <w:rsid w:val="000B3349"/>
    <w:rsid w:val="000B3C5A"/>
    <w:rsid w:val="000C035E"/>
    <w:rsid w:val="000C09A4"/>
    <w:rsid w:val="000C6F85"/>
    <w:rsid w:val="000C788B"/>
    <w:rsid w:val="000D17A0"/>
    <w:rsid w:val="000D44F6"/>
    <w:rsid w:val="000D780F"/>
    <w:rsid w:val="000E1253"/>
    <w:rsid w:val="000E339B"/>
    <w:rsid w:val="000E503A"/>
    <w:rsid w:val="000E59A0"/>
    <w:rsid w:val="000E5AE2"/>
    <w:rsid w:val="000F1474"/>
    <w:rsid w:val="000F733A"/>
    <w:rsid w:val="001004AE"/>
    <w:rsid w:val="00100C53"/>
    <w:rsid w:val="00100D57"/>
    <w:rsid w:val="001011C8"/>
    <w:rsid w:val="00101D40"/>
    <w:rsid w:val="0010565B"/>
    <w:rsid w:val="00107B2B"/>
    <w:rsid w:val="00110584"/>
    <w:rsid w:val="001117AE"/>
    <w:rsid w:val="001119E5"/>
    <w:rsid w:val="00112557"/>
    <w:rsid w:val="00112D32"/>
    <w:rsid w:val="00113DF1"/>
    <w:rsid w:val="00114239"/>
    <w:rsid w:val="0011458A"/>
    <w:rsid w:val="00115D83"/>
    <w:rsid w:val="001160A8"/>
    <w:rsid w:val="0012038C"/>
    <w:rsid w:val="001219BC"/>
    <w:rsid w:val="00121C54"/>
    <w:rsid w:val="00121C66"/>
    <w:rsid w:val="00122922"/>
    <w:rsid w:val="00124652"/>
    <w:rsid w:val="001310AB"/>
    <w:rsid w:val="00136189"/>
    <w:rsid w:val="001369F2"/>
    <w:rsid w:val="001376FE"/>
    <w:rsid w:val="001400C9"/>
    <w:rsid w:val="00142DD4"/>
    <w:rsid w:val="00144EFE"/>
    <w:rsid w:val="0014640B"/>
    <w:rsid w:val="001510C0"/>
    <w:rsid w:val="001546A4"/>
    <w:rsid w:val="00154848"/>
    <w:rsid w:val="0015724B"/>
    <w:rsid w:val="0016027C"/>
    <w:rsid w:val="00164198"/>
    <w:rsid w:val="0016423D"/>
    <w:rsid w:val="001717ED"/>
    <w:rsid w:val="00176BD5"/>
    <w:rsid w:val="001807BD"/>
    <w:rsid w:val="00183680"/>
    <w:rsid w:val="0018396C"/>
    <w:rsid w:val="0018471D"/>
    <w:rsid w:val="00185633"/>
    <w:rsid w:val="00193226"/>
    <w:rsid w:val="00196317"/>
    <w:rsid w:val="00196B93"/>
    <w:rsid w:val="001A0F87"/>
    <w:rsid w:val="001A1DD8"/>
    <w:rsid w:val="001A30E9"/>
    <w:rsid w:val="001A3ADF"/>
    <w:rsid w:val="001A6940"/>
    <w:rsid w:val="001B06E3"/>
    <w:rsid w:val="001B0CB7"/>
    <w:rsid w:val="001B3133"/>
    <w:rsid w:val="001B3F62"/>
    <w:rsid w:val="001B4135"/>
    <w:rsid w:val="001B494C"/>
    <w:rsid w:val="001B514F"/>
    <w:rsid w:val="001B58CF"/>
    <w:rsid w:val="001B6907"/>
    <w:rsid w:val="001B69EC"/>
    <w:rsid w:val="001C0E7A"/>
    <w:rsid w:val="001C1345"/>
    <w:rsid w:val="001C2105"/>
    <w:rsid w:val="001C5F4B"/>
    <w:rsid w:val="001C6BD8"/>
    <w:rsid w:val="001D19C9"/>
    <w:rsid w:val="001D2C7E"/>
    <w:rsid w:val="001D2EE6"/>
    <w:rsid w:val="001D59E1"/>
    <w:rsid w:val="001D60E7"/>
    <w:rsid w:val="001D7D39"/>
    <w:rsid w:val="001E0F8B"/>
    <w:rsid w:val="001E1CB4"/>
    <w:rsid w:val="001E1E5F"/>
    <w:rsid w:val="001E2883"/>
    <w:rsid w:val="001E3296"/>
    <w:rsid w:val="001E3D97"/>
    <w:rsid w:val="001E3F11"/>
    <w:rsid w:val="001E455F"/>
    <w:rsid w:val="001E5FF9"/>
    <w:rsid w:val="001E63EE"/>
    <w:rsid w:val="001F0F3C"/>
    <w:rsid w:val="001F4361"/>
    <w:rsid w:val="001F440A"/>
    <w:rsid w:val="001F5479"/>
    <w:rsid w:val="001F637A"/>
    <w:rsid w:val="001F6E77"/>
    <w:rsid w:val="002010D6"/>
    <w:rsid w:val="002027A5"/>
    <w:rsid w:val="00203736"/>
    <w:rsid w:val="00203C1D"/>
    <w:rsid w:val="002042B9"/>
    <w:rsid w:val="002048D5"/>
    <w:rsid w:val="0020583D"/>
    <w:rsid w:val="002058ED"/>
    <w:rsid w:val="002060A4"/>
    <w:rsid w:val="002067AB"/>
    <w:rsid w:val="00207587"/>
    <w:rsid w:val="0021094C"/>
    <w:rsid w:val="00210D33"/>
    <w:rsid w:val="0021117C"/>
    <w:rsid w:val="0021173C"/>
    <w:rsid w:val="00216C1F"/>
    <w:rsid w:val="00217BD4"/>
    <w:rsid w:val="00221B0E"/>
    <w:rsid w:val="00221D08"/>
    <w:rsid w:val="002224AD"/>
    <w:rsid w:val="00223724"/>
    <w:rsid w:val="002258BD"/>
    <w:rsid w:val="00227A2A"/>
    <w:rsid w:val="00227E39"/>
    <w:rsid w:val="0023311C"/>
    <w:rsid w:val="002354A1"/>
    <w:rsid w:val="00235B15"/>
    <w:rsid w:val="00236D55"/>
    <w:rsid w:val="00240948"/>
    <w:rsid w:val="00241878"/>
    <w:rsid w:val="00241915"/>
    <w:rsid w:val="002459C2"/>
    <w:rsid w:val="0025029C"/>
    <w:rsid w:val="002522BF"/>
    <w:rsid w:val="0025507A"/>
    <w:rsid w:val="0025553E"/>
    <w:rsid w:val="00255E9A"/>
    <w:rsid w:val="00256042"/>
    <w:rsid w:val="0025645B"/>
    <w:rsid w:val="00260D6F"/>
    <w:rsid w:val="002627CE"/>
    <w:rsid w:val="002649A7"/>
    <w:rsid w:val="00264AAA"/>
    <w:rsid w:val="00275861"/>
    <w:rsid w:val="002758AB"/>
    <w:rsid w:val="00275AD8"/>
    <w:rsid w:val="00282F36"/>
    <w:rsid w:val="002835C0"/>
    <w:rsid w:val="0028706B"/>
    <w:rsid w:val="00290616"/>
    <w:rsid w:val="00293E2C"/>
    <w:rsid w:val="0029472A"/>
    <w:rsid w:val="002A01BF"/>
    <w:rsid w:val="002A2685"/>
    <w:rsid w:val="002A461D"/>
    <w:rsid w:val="002A5129"/>
    <w:rsid w:val="002A549E"/>
    <w:rsid w:val="002B17C4"/>
    <w:rsid w:val="002B27F1"/>
    <w:rsid w:val="002B36B6"/>
    <w:rsid w:val="002B482E"/>
    <w:rsid w:val="002B603B"/>
    <w:rsid w:val="002B75C6"/>
    <w:rsid w:val="002C1209"/>
    <w:rsid w:val="002C1F0E"/>
    <w:rsid w:val="002C581A"/>
    <w:rsid w:val="002C592C"/>
    <w:rsid w:val="002D1803"/>
    <w:rsid w:val="002D487D"/>
    <w:rsid w:val="002E1803"/>
    <w:rsid w:val="002E55E5"/>
    <w:rsid w:val="002E5BD1"/>
    <w:rsid w:val="002E5D43"/>
    <w:rsid w:val="002E66AA"/>
    <w:rsid w:val="002E746F"/>
    <w:rsid w:val="002E75B9"/>
    <w:rsid w:val="002E7716"/>
    <w:rsid w:val="002F0614"/>
    <w:rsid w:val="002F1600"/>
    <w:rsid w:val="002F2D73"/>
    <w:rsid w:val="002F3028"/>
    <w:rsid w:val="002F40C6"/>
    <w:rsid w:val="002F5009"/>
    <w:rsid w:val="002F6B36"/>
    <w:rsid w:val="002F7720"/>
    <w:rsid w:val="00301DBE"/>
    <w:rsid w:val="003064E7"/>
    <w:rsid w:val="00311310"/>
    <w:rsid w:val="00312290"/>
    <w:rsid w:val="00313A5D"/>
    <w:rsid w:val="0031438E"/>
    <w:rsid w:val="00315014"/>
    <w:rsid w:val="003153BB"/>
    <w:rsid w:val="00321408"/>
    <w:rsid w:val="003220A7"/>
    <w:rsid w:val="003305E9"/>
    <w:rsid w:val="00334DB2"/>
    <w:rsid w:val="00335A3F"/>
    <w:rsid w:val="0033670E"/>
    <w:rsid w:val="00336E24"/>
    <w:rsid w:val="0033717A"/>
    <w:rsid w:val="0034130D"/>
    <w:rsid w:val="00341811"/>
    <w:rsid w:val="00342151"/>
    <w:rsid w:val="003421E5"/>
    <w:rsid w:val="00343327"/>
    <w:rsid w:val="00346564"/>
    <w:rsid w:val="003516A9"/>
    <w:rsid w:val="003516D7"/>
    <w:rsid w:val="003537CF"/>
    <w:rsid w:val="0035494B"/>
    <w:rsid w:val="0035520A"/>
    <w:rsid w:val="00356C91"/>
    <w:rsid w:val="0035770E"/>
    <w:rsid w:val="00357C35"/>
    <w:rsid w:val="00360FC4"/>
    <w:rsid w:val="00361F41"/>
    <w:rsid w:val="00366554"/>
    <w:rsid w:val="00366BB8"/>
    <w:rsid w:val="003700F2"/>
    <w:rsid w:val="00370CF2"/>
    <w:rsid w:val="003713AF"/>
    <w:rsid w:val="00372332"/>
    <w:rsid w:val="003728A4"/>
    <w:rsid w:val="00372E52"/>
    <w:rsid w:val="00375A3B"/>
    <w:rsid w:val="00375F54"/>
    <w:rsid w:val="00376203"/>
    <w:rsid w:val="00377453"/>
    <w:rsid w:val="00377556"/>
    <w:rsid w:val="003775C1"/>
    <w:rsid w:val="0037786A"/>
    <w:rsid w:val="00380032"/>
    <w:rsid w:val="003803B4"/>
    <w:rsid w:val="00381E2B"/>
    <w:rsid w:val="00382FC9"/>
    <w:rsid w:val="003838E1"/>
    <w:rsid w:val="00384634"/>
    <w:rsid w:val="00386592"/>
    <w:rsid w:val="0039137C"/>
    <w:rsid w:val="00392198"/>
    <w:rsid w:val="00392984"/>
    <w:rsid w:val="003935F0"/>
    <w:rsid w:val="00393904"/>
    <w:rsid w:val="00393F79"/>
    <w:rsid w:val="00394358"/>
    <w:rsid w:val="0039750B"/>
    <w:rsid w:val="003A1EDA"/>
    <w:rsid w:val="003A2E01"/>
    <w:rsid w:val="003A3559"/>
    <w:rsid w:val="003A3F01"/>
    <w:rsid w:val="003A49B6"/>
    <w:rsid w:val="003B12F4"/>
    <w:rsid w:val="003B381A"/>
    <w:rsid w:val="003B683C"/>
    <w:rsid w:val="003B794C"/>
    <w:rsid w:val="003C207F"/>
    <w:rsid w:val="003C22D2"/>
    <w:rsid w:val="003C4F3B"/>
    <w:rsid w:val="003C5504"/>
    <w:rsid w:val="003C567A"/>
    <w:rsid w:val="003D001B"/>
    <w:rsid w:val="003D0A75"/>
    <w:rsid w:val="003D0E39"/>
    <w:rsid w:val="003D129C"/>
    <w:rsid w:val="003D15D5"/>
    <w:rsid w:val="003D1D1A"/>
    <w:rsid w:val="003D59CB"/>
    <w:rsid w:val="003E0661"/>
    <w:rsid w:val="003E1FA3"/>
    <w:rsid w:val="003E252F"/>
    <w:rsid w:val="003E39CE"/>
    <w:rsid w:val="003E5055"/>
    <w:rsid w:val="003E5915"/>
    <w:rsid w:val="003E5E72"/>
    <w:rsid w:val="003E63A7"/>
    <w:rsid w:val="003E6BE1"/>
    <w:rsid w:val="003E7793"/>
    <w:rsid w:val="003F11B6"/>
    <w:rsid w:val="003F33DB"/>
    <w:rsid w:val="003F3EE9"/>
    <w:rsid w:val="003F4276"/>
    <w:rsid w:val="003F439B"/>
    <w:rsid w:val="003F4A41"/>
    <w:rsid w:val="003F4AD8"/>
    <w:rsid w:val="003F55BB"/>
    <w:rsid w:val="003F59C3"/>
    <w:rsid w:val="004000EA"/>
    <w:rsid w:val="00400325"/>
    <w:rsid w:val="00402675"/>
    <w:rsid w:val="004027C1"/>
    <w:rsid w:val="004117BC"/>
    <w:rsid w:val="00413BD2"/>
    <w:rsid w:val="004143E8"/>
    <w:rsid w:val="00414ED4"/>
    <w:rsid w:val="00416627"/>
    <w:rsid w:val="004203CA"/>
    <w:rsid w:val="004206A1"/>
    <w:rsid w:val="004221C0"/>
    <w:rsid w:val="00427DBB"/>
    <w:rsid w:val="00430FBA"/>
    <w:rsid w:val="00431FA1"/>
    <w:rsid w:val="004366FB"/>
    <w:rsid w:val="0044061B"/>
    <w:rsid w:val="004438EB"/>
    <w:rsid w:val="004447AA"/>
    <w:rsid w:val="00444F41"/>
    <w:rsid w:val="00444FD1"/>
    <w:rsid w:val="00447D36"/>
    <w:rsid w:val="00447ECA"/>
    <w:rsid w:val="004507DC"/>
    <w:rsid w:val="00451EB7"/>
    <w:rsid w:val="004529B3"/>
    <w:rsid w:val="00457305"/>
    <w:rsid w:val="004575CF"/>
    <w:rsid w:val="0045794C"/>
    <w:rsid w:val="00457E27"/>
    <w:rsid w:val="0046250F"/>
    <w:rsid w:val="00462FC3"/>
    <w:rsid w:val="00463548"/>
    <w:rsid w:val="00464976"/>
    <w:rsid w:val="00472962"/>
    <w:rsid w:val="00472B20"/>
    <w:rsid w:val="00474521"/>
    <w:rsid w:val="004757B0"/>
    <w:rsid w:val="004779B6"/>
    <w:rsid w:val="004812E0"/>
    <w:rsid w:val="00481F56"/>
    <w:rsid w:val="004843C8"/>
    <w:rsid w:val="004871D9"/>
    <w:rsid w:val="004913FB"/>
    <w:rsid w:val="0049425B"/>
    <w:rsid w:val="00494EA8"/>
    <w:rsid w:val="00495676"/>
    <w:rsid w:val="00496158"/>
    <w:rsid w:val="004974F8"/>
    <w:rsid w:val="004A37BB"/>
    <w:rsid w:val="004A40A3"/>
    <w:rsid w:val="004A4E05"/>
    <w:rsid w:val="004B073D"/>
    <w:rsid w:val="004B0868"/>
    <w:rsid w:val="004B087A"/>
    <w:rsid w:val="004B197F"/>
    <w:rsid w:val="004B3E37"/>
    <w:rsid w:val="004B6DE0"/>
    <w:rsid w:val="004B71BC"/>
    <w:rsid w:val="004B78CF"/>
    <w:rsid w:val="004C0083"/>
    <w:rsid w:val="004C3222"/>
    <w:rsid w:val="004C3B0D"/>
    <w:rsid w:val="004C4A3C"/>
    <w:rsid w:val="004C6878"/>
    <w:rsid w:val="004D1ABB"/>
    <w:rsid w:val="004D3F3D"/>
    <w:rsid w:val="004D6212"/>
    <w:rsid w:val="004E0178"/>
    <w:rsid w:val="004E0606"/>
    <w:rsid w:val="004E0D7F"/>
    <w:rsid w:val="004E13A9"/>
    <w:rsid w:val="004E167F"/>
    <w:rsid w:val="004E177E"/>
    <w:rsid w:val="004E19B3"/>
    <w:rsid w:val="004E3E9A"/>
    <w:rsid w:val="004E4627"/>
    <w:rsid w:val="004E50D2"/>
    <w:rsid w:val="004E6AD6"/>
    <w:rsid w:val="004F0948"/>
    <w:rsid w:val="004F26C3"/>
    <w:rsid w:val="004F6D95"/>
    <w:rsid w:val="00501428"/>
    <w:rsid w:val="00501804"/>
    <w:rsid w:val="00501B0D"/>
    <w:rsid w:val="00505C9B"/>
    <w:rsid w:val="005070AE"/>
    <w:rsid w:val="0051142E"/>
    <w:rsid w:val="00511E76"/>
    <w:rsid w:val="00512179"/>
    <w:rsid w:val="005144FE"/>
    <w:rsid w:val="0051476C"/>
    <w:rsid w:val="005167B6"/>
    <w:rsid w:val="005178DA"/>
    <w:rsid w:val="00521069"/>
    <w:rsid w:val="00522BB1"/>
    <w:rsid w:val="005237CA"/>
    <w:rsid w:val="00533957"/>
    <w:rsid w:val="0053430B"/>
    <w:rsid w:val="00536F5E"/>
    <w:rsid w:val="005405FA"/>
    <w:rsid w:val="00540767"/>
    <w:rsid w:val="00542051"/>
    <w:rsid w:val="005452F9"/>
    <w:rsid w:val="00545405"/>
    <w:rsid w:val="00546983"/>
    <w:rsid w:val="00546ED3"/>
    <w:rsid w:val="00546F4E"/>
    <w:rsid w:val="005504AE"/>
    <w:rsid w:val="0055182E"/>
    <w:rsid w:val="005555F0"/>
    <w:rsid w:val="005570DE"/>
    <w:rsid w:val="00557AF3"/>
    <w:rsid w:val="00560415"/>
    <w:rsid w:val="00562198"/>
    <w:rsid w:val="0056229D"/>
    <w:rsid w:val="00562683"/>
    <w:rsid w:val="00567B6A"/>
    <w:rsid w:val="005700EA"/>
    <w:rsid w:val="00570ACE"/>
    <w:rsid w:val="00570E2A"/>
    <w:rsid w:val="00571B69"/>
    <w:rsid w:val="005727BC"/>
    <w:rsid w:val="00572C82"/>
    <w:rsid w:val="005743A8"/>
    <w:rsid w:val="00574BBD"/>
    <w:rsid w:val="00575E75"/>
    <w:rsid w:val="00585F1D"/>
    <w:rsid w:val="00587211"/>
    <w:rsid w:val="005921BA"/>
    <w:rsid w:val="00592C05"/>
    <w:rsid w:val="00593650"/>
    <w:rsid w:val="00594C71"/>
    <w:rsid w:val="00596AA0"/>
    <w:rsid w:val="005A038D"/>
    <w:rsid w:val="005A2DE4"/>
    <w:rsid w:val="005A4A31"/>
    <w:rsid w:val="005B0993"/>
    <w:rsid w:val="005B0CB4"/>
    <w:rsid w:val="005B0ED9"/>
    <w:rsid w:val="005B2488"/>
    <w:rsid w:val="005C2B78"/>
    <w:rsid w:val="005C62C8"/>
    <w:rsid w:val="005D00C6"/>
    <w:rsid w:val="005D0B19"/>
    <w:rsid w:val="005D0B49"/>
    <w:rsid w:val="005D1124"/>
    <w:rsid w:val="005D3B2E"/>
    <w:rsid w:val="005D4122"/>
    <w:rsid w:val="005D4AB0"/>
    <w:rsid w:val="005D59F5"/>
    <w:rsid w:val="005E2F84"/>
    <w:rsid w:val="005E3999"/>
    <w:rsid w:val="005E4EFF"/>
    <w:rsid w:val="005E53A2"/>
    <w:rsid w:val="005E7705"/>
    <w:rsid w:val="005E77BD"/>
    <w:rsid w:val="005E7A67"/>
    <w:rsid w:val="005F0B2A"/>
    <w:rsid w:val="005F0CB8"/>
    <w:rsid w:val="005F105F"/>
    <w:rsid w:val="005F1E69"/>
    <w:rsid w:val="005F23FF"/>
    <w:rsid w:val="005F369D"/>
    <w:rsid w:val="005F4063"/>
    <w:rsid w:val="005F463C"/>
    <w:rsid w:val="005F4B5F"/>
    <w:rsid w:val="005F4D7B"/>
    <w:rsid w:val="005F5925"/>
    <w:rsid w:val="00600059"/>
    <w:rsid w:val="00602C6F"/>
    <w:rsid w:val="00602E0B"/>
    <w:rsid w:val="00602FC2"/>
    <w:rsid w:val="00603B2B"/>
    <w:rsid w:val="00604824"/>
    <w:rsid w:val="00604EA9"/>
    <w:rsid w:val="006052B0"/>
    <w:rsid w:val="006112AD"/>
    <w:rsid w:val="0061187C"/>
    <w:rsid w:val="00617367"/>
    <w:rsid w:val="00620C08"/>
    <w:rsid w:val="00623653"/>
    <w:rsid w:val="00623B00"/>
    <w:rsid w:val="00625353"/>
    <w:rsid w:val="0062553A"/>
    <w:rsid w:val="00625BDD"/>
    <w:rsid w:val="00626630"/>
    <w:rsid w:val="00626A2C"/>
    <w:rsid w:val="00627626"/>
    <w:rsid w:val="0063054F"/>
    <w:rsid w:val="00631645"/>
    <w:rsid w:val="00632394"/>
    <w:rsid w:val="00632A09"/>
    <w:rsid w:val="00633171"/>
    <w:rsid w:val="00633437"/>
    <w:rsid w:val="00635EF2"/>
    <w:rsid w:val="006441ED"/>
    <w:rsid w:val="00644341"/>
    <w:rsid w:val="0064462A"/>
    <w:rsid w:val="00645029"/>
    <w:rsid w:val="00645712"/>
    <w:rsid w:val="00645E31"/>
    <w:rsid w:val="00651829"/>
    <w:rsid w:val="00651FA7"/>
    <w:rsid w:val="00653C83"/>
    <w:rsid w:val="00656C1D"/>
    <w:rsid w:val="00660D03"/>
    <w:rsid w:val="006626B3"/>
    <w:rsid w:val="00662CE8"/>
    <w:rsid w:val="006644D5"/>
    <w:rsid w:val="006652F7"/>
    <w:rsid w:val="00670EBE"/>
    <w:rsid w:val="0067387E"/>
    <w:rsid w:val="006902C9"/>
    <w:rsid w:val="00690688"/>
    <w:rsid w:val="00691531"/>
    <w:rsid w:val="00692463"/>
    <w:rsid w:val="00692BDC"/>
    <w:rsid w:val="006A1118"/>
    <w:rsid w:val="006A14C8"/>
    <w:rsid w:val="006A3547"/>
    <w:rsid w:val="006A4256"/>
    <w:rsid w:val="006A4C09"/>
    <w:rsid w:val="006A7302"/>
    <w:rsid w:val="006A7CA5"/>
    <w:rsid w:val="006B58E9"/>
    <w:rsid w:val="006B5FEC"/>
    <w:rsid w:val="006B60D4"/>
    <w:rsid w:val="006B6884"/>
    <w:rsid w:val="006B71D0"/>
    <w:rsid w:val="006B7D3F"/>
    <w:rsid w:val="006C21CD"/>
    <w:rsid w:val="006C2E98"/>
    <w:rsid w:val="006C4A6F"/>
    <w:rsid w:val="006C59E3"/>
    <w:rsid w:val="006D2A29"/>
    <w:rsid w:val="006D423E"/>
    <w:rsid w:val="006D4B1A"/>
    <w:rsid w:val="006E00C2"/>
    <w:rsid w:val="006E452D"/>
    <w:rsid w:val="006E4567"/>
    <w:rsid w:val="006E649B"/>
    <w:rsid w:val="006E72BD"/>
    <w:rsid w:val="006F06C0"/>
    <w:rsid w:val="006F1D74"/>
    <w:rsid w:val="006F2A97"/>
    <w:rsid w:val="006F38E3"/>
    <w:rsid w:val="006F6634"/>
    <w:rsid w:val="006F6A30"/>
    <w:rsid w:val="006F753F"/>
    <w:rsid w:val="006F793A"/>
    <w:rsid w:val="007015F1"/>
    <w:rsid w:val="007028F3"/>
    <w:rsid w:val="00705739"/>
    <w:rsid w:val="007117FE"/>
    <w:rsid w:val="0071196A"/>
    <w:rsid w:val="00711E0C"/>
    <w:rsid w:val="0071241E"/>
    <w:rsid w:val="00713847"/>
    <w:rsid w:val="00713E44"/>
    <w:rsid w:val="007153DE"/>
    <w:rsid w:val="007165BE"/>
    <w:rsid w:val="0071740B"/>
    <w:rsid w:val="00720882"/>
    <w:rsid w:val="00721B77"/>
    <w:rsid w:val="007234A4"/>
    <w:rsid w:val="00723758"/>
    <w:rsid w:val="00726143"/>
    <w:rsid w:val="007262B3"/>
    <w:rsid w:val="007272CE"/>
    <w:rsid w:val="00727354"/>
    <w:rsid w:val="007307D7"/>
    <w:rsid w:val="00730A8C"/>
    <w:rsid w:val="00735A65"/>
    <w:rsid w:val="00740691"/>
    <w:rsid w:val="007424F3"/>
    <w:rsid w:val="00742618"/>
    <w:rsid w:val="00742734"/>
    <w:rsid w:val="00743955"/>
    <w:rsid w:val="00743A2F"/>
    <w:rsid w:val="00744E94"/>
    <w:rsid w:val="00745129"/>
    <w:rsid w:val="00750DCC"/>
    <w:rsid w:val="00755433"/>
    <w:rsid w:val="00756720"/>
    <w:rsid w:val="00756A92"/>
    <w:rsid w:val="007575E6"/>
    <w:rsid w:val="0075788A"/>
    <w:rsid w:val="0076080A"/>
    <w:rsid w:val="007644E9"/>
    <w:rsid w:val="00766256"/>
    <w:rsid w:val="00766BE4"/>
    <w:rsid w:val="00767410"/>
    <w:rsid w:val="00767507"/>
    <w:rsid w:val="007716FD"/>
    <w:rsid w:val="00772402"/>
    <w:rsid w:val="00776A13"/>
    <w:rsid w:val="007772C8"/>
    <w:rsid w:val="00777D48"/>
    <w:rsid w:val="0078246F"/>
    <w:rsid w:val="007872A2"/>
    <w:rsid w:val="007926D8"/>
    <w:rsid w:val="007934C9"/>
    <w:rsid w:val="007950BD"/>
    <w:rsid w:val="007950C8"/>
    <w:rsid w:val="00797125"/>
    <w:rsid w:val="007979E2"/>
    <w:rsid w:val="00797CB7"/>
    <w:rsid w:val="00797DF6"/>
    <w:rsid w:val="007A2372"/>
    <w:rsid w:val="007A5185"/>
    <w:rsid w:val="007A5913"/>
    <w:rsid w:val="007A7928"/>
    <w:rsid w:val="007B0448"/>
    <w:rsid w:val="007B4B7C"/>
    <w:rsid w:val="007B68A4"/>
    <w:rsid w:val="007B722E"/>
    <w:rsid w:val="007B7DA8"/>
    <w:rsid w:val="007C19A3"/>
    <w:rsid w:val="007C247E"/>
    <w:rsid w:val="007C288E"/>
    <w:rsid w:val="007C3DA4"/>
    <w:rsid w:val="007C4BAB"/>
    <w:rsid w:val="007C5A34"/>
    <w:rsid w:val="007C6564"/>
    <w:rsid w:val="007C698D"/>
    <w:rsid w:val="007D1EF2"/>
    <w:rsid w:val="007D4712"/>
    <w:rsid w:val="007D5264"/>
    <w:rsid w:val="007D585B"/>
    <w:rsid w:val="007D66BB"/>
    <w:rsid w:val="007D6D59"/>
    <w:rsid w:val="007E091D"/>
    <w:rsid w:val="007E2FFA"/>
    <w:rsid w:val="007F0364"/>
    <w:rsid w:val="007F0A2C"/>
    <w:rsid w:val="007F1304"/>
    <w:rsid w:val="007F4A7C"/>
    <w:rsid w:val="007F5754"/>
    <w:rsid w:val="007F6352"/>
    <w:rsid w:val="00800303"/>
    <w:rsid w:val="0080075E"/>
    <w:rsid w:val="00800E68"/>
    <w:rsid w:val="00800EB8"/>
    <w:rsid w:val="00805310"/>
    <w:rsid w:val="0080621E"/>
    <w:rsid w:val="00807A49"/>
    <w:rsid w:val="00811236"/>
    <w:rsid w:val="00812D84"/>
    <w:rsid w:val="0081355D"/>
    <w:rsid w:val="00813912"/>
    <w:rsid w:val="00813CA8"/>
    <w:rsid w:val="00813FA5"/>
    <w:rsid w:val="00814763"/>
    <w:rsid w:val="0081478B"/>
    <w:rsid w:val="0081509F"/>
    <w:rsid w:val="00815760"/>
    <w:rsid w:val="00816BBA"/>
    <w:rsid w:val="00817568"/>
    <w:rsid w:val="008218E3"/>
    <w:rsid w:val="008227FB"/>
    <w:rsid w:val="008233E2"/>
    <w:rsid w:val="00825526"/>
    <w:rsid w:val="00827009"/>
    <w:rsid w:val="00827C58"/>
    <w:rsid w:val="00831DF7"/>
    <w:rsid w:val="008336E2"/>
    <w:rsid w:val="00836653"/>
    <w:rsid w:val="008376F2"/>
    <w:rsid w:val="008410FB"/>
    <w:rsid w:val="00841A6C"/>
    <w:rsid w:val="00841B2F"/>
    <w:rsid w:val="00841CB8"/>
    <w:rsid w:val="00841E6C"/>
    <w:rsid w:val="00843348"/>
    <w:rsid w:val="00843A7E"/>
    <w:rsid w:val="00844576"/>
    <w:rsid w:val="008459B1"/>
    <w:rsid w:val="00845C56"/>
    <w:rsid w:val="00846781"/>
    <w:rsid w:val="00846B87"/>
    <w:rsid w:val="00847E24"/>
    <w:rsid w:val="00847E67"/>
    <w:rsid w:val="00851EF4"/>
    <w:rsid w:val="008524F0"/>
    <w:rsid w:val="008537F3"/>
    <w:rsid w:val="00855D69"/>
    <w:rsid w:val="00856FAF"/>
    <w:rsid w:val="00864495"/>
    <w:rsid w:val="00864F00"/>
    <w:rsid w:val="00865A9D"/>
    <w:rsid w:val="0086603D"/>
    <w:rsid w:val="008660D8"/>
    <w:rsid w:val="00870679"/>
    <w:rsid w:val="00871EAA"/>
    <w:rsid w:val="008751FF"/>
    <w:rsid w:val="00875428"/>
    <w:rsid w:val="00877BCE"/>
    <w:rsid w:val="00880080"/>
    <w:rsid w:val="00882B93"/>
    <w:rsid w:val="00882F4A"/>
    <w:rsid w:val="00887C26"/>
    <w:rsid w:val="00893582"/>
    <w:rsid w:val="00894640"/>
    <w:rsid w:val="00896349"/>
    <w:rsid w:val="008A3AAC"/>
    <w:rsid w:val="008A4107"/>
    <w:rsid w:val="008A6993"/>
    <w:rsid w:val="008B5436"/>
    <w:rsid w:val="008B7D17"/>
    <w:rsid w:val="008C0826"/>
    <w:rsid w:val="008C0D59"/>
    <w:rsid w:val="008C21D6"/>
    <w:rsid w:val="008C21F0"/>
    <w:rsid w:val="008C3D33"/>
    <w:rsid w:val="008C7FCD"/>
    <w:rsid w:val="008D1732"/>
    <w:rsid w:val="008D47FF"/>
    <w:rsid w:val="008D58F0"/>
    <w:rsid w:val="008D6257"/>
    <w:rsid w:val="008D784A"/>
    <w:rsid w:val="008E0797"/>
    <w:rsid w:val="008E07BE"/>
    <w:rsid w:val="008E0B18"/>
    <w:rsid w:val="008E27F7"/>
    <w:rsid w:val="008E53FD"/>
    <w:rsid w:val="008E5C0D"/>
    <w:rsid w:val="008E610C"/>
    <w:rsid w:val="008E6212"/>
    <w:rsid w:val="008E674A"/>
    <w:rsid w:val="008E76E5"/>
    <w:rsid w:val="008F141E"/>
    <w:rsid w:val="008F176C"/>
    <w:rsid w:val="008F2D1F"/>
    <w:rsid w:val="008F37CB"/>
    <w:rsid w:val="008F4095"/>
    <w:rsid w:val="008F6894"/>
    <w:rsid w:val="0090049D"/>
    <w:rsid w:val="00903901"/>
    <w:rsid w:val="0090393C"/>
    <w:rsid w:val="00904703"/>
    <w:rsid w:val="0091031C"/>
    <w:rsid w:val="009135D2"/>
    <w:rsid w:val="00913E2A"/>
    <w:rsid w:val="0091407D"/>
    <w:rsid w:val="00917BF0"/>
    <w:rsid w:val="00920064"/>
    <w:rsid w:val="009225FC"/>
    <w:rsid w:val="009239B7"/>
    <w:rsid w:val="009248A6"/>
    <w:rsid w:val="0092523F"/>
    <w:rsid w:val="0092738E"/>
    <w:rsid w:val="009275F3"/>
    <w:rsid w:val="00930E9C"/>
    <w:rsid w:val="00932EFE"/>
    <w:rsid w:val="009342C3"/>
    <w:rsid w:val="00935303"/>
    <w:rsid w:val="009361FB"/>
    <w:rsid w:val="00936364"/>
    <w:rsid w:val="0093713A"/>
    <w:rsid w:val="00937839"/>
    <w:rsid w:val="00940952"/>
    <w:rsid w:val="00940977"/>
    <w:rsid w:val="0094348F"/>
    <w:rsid w:val="00943B20"/>
    <w:rsid w:val="009447DE"/>
    <w:rsid w:val="0094628F"/>
    <w:rsid w:val="0094642A"/>
    <w:rsid w:val="009465F1"/>
    <w:rsid w:val="0094668B"/>
    <w:rsid w:val="00947279"/>
    <w:rsid w:val="00950497"/>
    <w:rsid w:val="00950FCB"/>
    <w:rsid w:val="00951199"/>
    <w:rsid w:val="00951B31"/>
    <w:rsid w:val="00953AE7"/>
    <w:rsid w:val="00953F52"/>
    <w:rsid w:val="00955544"/>
    <w:rsid w:val="0095662E"/>
    <w:rsid w:val="00957073"/>
    <w:rsid w:val="00957A0D"/>
    <w:rsid w:val="00957C8E"/>
    <w:rsid w:val="0096195B"/>
    <w:rsid w:val="0096360C"/>
    <w:rsid w:val="00964438"/>
    <w:rsid w:val="00965786"/>
    <w:rsid w:val="00966389"/>
    <w:rsid w:val="009707C7"/>
    <w:rsid w:val="009763A6"/>
    <w:rsid w:val="00976936"/>
    <w:rsid w:val="0097700D"/>
    <w:rsid w:val="00985C5A"/>
    <w:rsid w:val="009863A9"/>
    <w:rsid w:val="00986A8C"/>
    <w:rsid w:val="0098772B"/>
    <w:rsid w:val="0099040A"/>
    <w:rsid w:val="00990A21"/>
    <w:rsid w:val="00993168"/>
    <w:rsid w:val="009954BD"/>
    <w:rsid w:val="009975B9"/>
    <w:rsid w:val="009A1459"/>
    <w:rsid w:val="009A22CD"/>
    <w:rsid w:val="009A34B4"/>
    <w:rsid w:val="009A3F63"/>
    <w:rsid w:val="009A56CB"/>
    <w:rsid w:val="009A74DC"/>
    <w:rsid w:val="009A75EF"/>
    <w:rsid w:val="009B1639"/>
    <w:rsid w:val="009B248D"/>
    <w:rsid w:val="009B24A3"/>
    <w:rsid w:val="009B30C1"/>
    <w:rsid w:val="009B6B9F"/>
    <w:rsid w:val="009B764B"/>
    <w:rsid w:val="009C071F"/>
    <w:rsid w:val="009C2BD8"/>
    <w:rsid w:val="009C4A28"/>
    <w:rsid w:val="009C516E"/>
    <w:rsid w:val="009C58E9"/>
    <w:rsid w:val="009D16B2"/>
    <w:rsid w:val="009D1AC5"/>
    <w:rsid w:val="009D2B1D"/>
    <w:rsid w:val="009D62FB"/>
    <w:rsid w:val="009D656C"/>
    <w:rsid w:val="009E1544"/>
    <w:rsid w:val="009E5435"/>
    <w:rsid w:val="009F68BA"/>
    <w:rsid w:val="009F73FC"/>
    <w:rsid w:val="00A0082F"/>
    <w:rsid w:val="00A00C05"/>
    <w:rsid w:val="00A017F6"/>
    <w:rsid w:val="00A020DA"/>
    <w:rsid w:val="00A0332C"/>
    <w:rsid w:val="00A05909"/>
    <w:rsid w:val="00A05EE9"/>
    <w:rsid w:val="00A07289"/>
    <w:rsid w:val="00A11A43"/>
    <w:rsid w:val="00A11D39"/>
    <w:rsid w:val="00A11FF0"/>
    <w:rsid w:val="00A12115"/>
    <w:rsid w:val="00A13A91"/>
    <w:rsid w:val="00A13EFA"/>
    <w:rsid w:val="00A14A9F"/>
    <w:rsid w:val="00A17470"/>
    <w:rsid w:val="00A248CF"/>
    <w:rsid w:val="00A26241"/>
    <w:rsid w:val="00A26A34"/>
    <w:rsid w:val="00A31FEA"/>
    <w:rsid w:val="00A32A1D"/>
    <w:rsid w:val="00A3643E"/>
    <w:rsid w:val="00A402CB"/>
    <w:rsid w:val="00A40E89"/>
    <w:rsid w:val="00A4278C"/>
    <w:rsid w:val="00A442F5"/>
    <w:rsid w:val="00A45BCD"/>
    <w:rsid w:val="00A46464"/>
    <w:rsid w:val="00A466EA"/>
    <w:rsid w:val="00A50CF3"/>
    <w:rsid w:val="00A51272"/>
    <w:rsid w:val="00A56505"/>
    <w:rsid w:val="00A57DBE"/>
    <w:rsid w:val="00A61D1A"/>
    <w:rsid w:val="00A64765"/>
    <w:rsid w:val="00A64CFE"/>
    <w:rsid w:val="00A65B11"/>
    <w:rsid w:val="00A65BCA"/>
    <w:rsid w:val="00A665CB"/>
    <w:rsid w:val="00A669BC"/>
    <w:rsid w:val="00A66FF4"/>
    <w:rsid w:val="00A7166F"/>
    <w:rsid w:val="00A72DDF"/>
    <w:rsid w:val="00A734FD"/>
    <w:rsid w:val="00A73F1D"/>
    <w:rsid w:val="00A746A2"/>
    <w:rsid w:val="00A74CFB"/>
    <w:rsid w:val="00A7647E"/>
    <w:rsid w:val="00A77224"/>
    <w:rsid w:val="00A7795B"/>
    <w:rsid w:val="00A80949"/>
    <w:rsid w:val="00A83ECD"/>
    <w:rsid w:val="00A83FE0"/>
    <w:rsid w:val="00A85271"/>
    <w:rsid w:val="00A90616"/>
    <w:rsid w:val="00A95B02"/>
    <w:rsid w:val="00AA133F"/>
    <w:rsid w:val="00AA1EAB"/>
    <w:rsid w:val="00AA2574"/>
    <w:rsid w:val="00AA2BDA"/>
    <w:rsid w:val="00AA78AB"/>
    <w:rsid w:val="00AB3378"/>
    <w:rsid w:val="00AC117A"/>
    <w:rsid w:val="00AC23C2"/>
    <w:rsid w:val="00AC382F"/>
    <w:rsid w:val="00AC52B3"/>
    <w:rsid w:val="00AD04C1"/>
    <w:rsid w:val="00AD17AF"/>
    <w:rsid w:val="00AD47A9"/>
    <w:rsid w:val="00AD6092"/>
    <w:rsid w:val="00AD60E3"/>
    <w:rsid w:val="00AD65FA"/>
    <w:rsid w:val="00AE116C"/>
    <w:rsid w:val="00AE2A23"/>
    <w:rsid w:val="00AE30B1"/>
    <w:rsid w:val="00AE5396"/>
    <w:rsid w:val="00AE5975"/>
    <w:rsid w:val="00AE5AEE"/>
    <w:rsid w:val="00AE610B"/>
    <w:rsid w:val="00AE74B1"/>
    <w:rsid w:val="00AF0251"/>
    <w:rsid w:val="00AF241F"/>
    <w:rsid w:val="00AF6622"/>
    <w:rsid w:val="00B00F19"/>
    <w:rsid w:val="00B02083"/>
    <w:rsid w:val="00B100FF"/>
    <w:rsid w:val="00B10274"/>
    <w:rsid w:val="00B10ACB"/>
    <w:rsid w:val="00B12992"/>
    <w:rsid w:val="00B1623C"/>
    <w:rsid w:val="00B164B9"/>
    <w:rsid w:val="00B2261E"/>
    <w:rsid w:val="00B266B8"/>
    <w:rsid w:val="00B3095F"/>
    <w:rsid w:val="00B345E1"/>
    <w:rsid w:val="00B365D1"/>
    <w:rsid w:val="00B36C4E"/>
    <w:rsid w:val="00B37263"/>
    <w:rsid w:val="00B37EF4"/>
    <w:rsid w:val="00B43D88"/>
    <w:rsid w:val="00B450C2"/>
    <w:rsid w:val="00B47476"/>
    <w:rsid w:val="00B50300"/>
    <w:rsid w:val="00B50F11"/>
    <w:rsid w:val="00B513B1"/>
    <w:rsid w:val="00B527A9"/>
    <w:rsid w:val="00B529E6"/>
    <w:rsid w:val="00B530C5"/>
    <w:rsid w:val="00B53162"/>
    <w:rsid w:val="00B53362"/>
    <w:rsid w:val="00B57DA6"/>
    <w:rsid w:val="00B61591"/>
    <w:rsid w:val="00B62859"/>
    <w:rsid w:val="00B6542C"/>
    <w:rsid w:val="00B67984"/>
    <w:rsid w:val="00B7158D"/>
    <w:rsid w:val="00B7288E"/>
    <w:rsid w:val="00B7310D"/>
    <w:rsid w:val="00B731A5"/>
    <w:rsid w:val="00B7766D"/>
    <w:rsid w:val="00B77778"/>
    <w:rsid w:val="00B80251"/>
    <w:rsid w:val="00B8402F"/>
    <w:rsid w:val="00B85168"/>
    <w:rsid w:val="00B85598"/>
    <w:rsid w:val="00B85E6E"/>
    <w:rsid w:val="00B878C5"/>
    <w:rsid w:val="00B908AB"/>
    <w:rsid w:val="00B91C29"/>
    <w:rsid w:val="00B947BE"/>
    <w:rsid w:val="00BA52BF"/>
    <w:rsid w:val="00BB38C5"/>
    <w:rsid w:val="00BB58F7"/>
    <w:rsid w:val="00BC2143"/>
    <w:rsid w:val="00BC2DBE"/>
    <w:rsid w:val="00BC4E96"/>
    <w:rsid w:val="00BC5A38"/>
    <w:rsid w:val="00BC6337"/>
    <w:rsid w:val="00BD4A55"/>
    <w:rsid w:val="00BD4B38"/>
    <w:rsid w:val="00BE01FB"/>
    <w:rsid w:val="00BE38AB"/>
    <w:rsid w:val="00BE50BE"/>
    <w:rsid w:val="00BE51B8"/>
    <w:rsid w:val="00BF0E23"/>
    <w:rsid w:val="00BF11C8"/>
    <w:rsid w:val="00BF4A9C"/>
    <w:rsid w:val="00BF4C40"/>
    <w:rsid w:val="00BF4E21"/>
    <w:rsid w:val="00C0086D"/>
    <w:rsid w:val="00C008C5"/>
    <w:rsid w:val="00C0538D"/>
    <w:rsid w:val="00C07E57"/>
    <w:rsid w:val="00C1048F"/>
    <w:rsid w:val="00C13955"/>
    <w:rsid w:val="00C16230"/>
    <w:rsid w:val="00C21C55"/>
    <w:rsid w:val="00C22B63"/>
    <w:rsid w:val="00C2348B"/>
    <w:rsid w:val="00C311C3"/>
    <w:rsid w:val="00C313A4"/>
    <w:rsid w:val="00C33939"/>
    <w:rsid w:val="00C33B14"/>
    <w:rsid w:val="00C34446"/>
    <w:rsid w:val="00C414A1"/>
    <w:rsid w:val="00C46B00"/>
    <w:rsid w:val="00C52A06"/>
    <w:rsid w:val="00C53382"/>
    <w:rsid w:val="00C5363E"/>
    <w:rsid w:val="00C550F1"/>
    <w:rsid w:val="00C5620A"/>
    <w:rsid w:val="00C56A1E"/>
    <w:rsid w:val="00C63628"/>
    <w:rsid w:val="00C63CB5"/>
    <w:rsid w:val="00C642AC"/>
    <w:rsid w:val="00C66972"/>
    <w:rsid w:val="00C71F86"/>
    <w:rsid w:val="00C71FDB"/>
    <w:rsid w:val="00C76510"/>
    <w:rsid w:val="00C76931"/>
    <w:rsid w:val="00C76C97"/>
    <w:rsid w:val="00C82C3E"/>
    <w:rsid w:val="00C83B89"/>
    <w:rsid w:val="00C84029"/>
    <w:rsid w:val="00C84D57"/>
    <w:rsid w:val="00C93D71"/>
    <w:rsid w:val="00C94BDE"/>
    <w:rsid w:val="00C96E6E"/>
    <w:rsid w:val="00C976DD"/>
    <w:rsid w:val="00CA1484"/>
    <w:rsid w:val="00CA1D21"/>
    <w:rsid w:val="00CA2617"/>
    <w:rsid w:val="00CA28FC"/>
    <w:rsid w:val="00CA471B"/>
    <w:rsid w:val="00CA607C"/>
    <w:rsid w:val="00CA6CC4"/>
    <w:rsid w:val="00CB3504"/>
    <w:rsid w:val="00CB70C3"/>
    <w:rsid w:val="00CB7939"/>
    <w:rsid w:val="00CC018D"/>
    <w:rsid w:val="00CC4C8D"/>
    <w:rsid w:val="00CC7B9D"/>
    <w:rsid w:val="00CD0D9D"/>
    <w:rsid w:val="00CD1B91"/>
    <w:rsid w:val="00CD23F4"/>
    <w:rsid w:val="00CD3AAE"/>
    <w:rsid w:val="00CD491F"/>
    <w:rsid w:val="00CD5F19"/>
    <w:rsid w:val="00CD6D21"/>
    <w:rsid w:val="00CE2AFE"/>
    <w:rsid w:val="00CE2B86"/>
    <w:rsid w:val="00CE2CAD"/>
    <w:rsid w:val="00CE642C"/>
    <w:rsid w:val="00CE642F"/>
    <w:rsid w:val="00CF1DB9"/>
    <w:rsid w:val="00CF2899"/>
    <w:rsid w:val="00CF36ED"/>
    <w:rsid w:val="00CF5FA4"/>
    <w:rsid w:val="00CF6184"/>
    <w:rsid w:val="00CF6B7F"/>
    <w:rsid w:val="00CF7434"/>
    <w:rsid w:val="00CF77DE"/>
    <w:rsid w:val="00D01007"/>
    <w:rsid w:val="00D01BD0"/>
    <w:rsid w:val="00D01E31"/>
    <w:rsid w:val="00D02731"/>
    <w:rsid w:val="00D05658"/>
    <w:rsid w:val="00D05B57"/>
    <w:rsid w:val="00D0744E"/>
    <w:rsid w:val="00D07AE9"/>
    <w:rsid w:val="00D1143F"/>
    <w:rsid w:val="00D11622"/>
    <w:rsid w:val="00D13290"/>
    <w:rsid w:val="00D135EE"/>
    <w:rsid w:val="00D1473E"/>
    <w:rsid w:val="00D17CAB"/>
    <w:rsid w:val="00D20202"/>
    <w:rsid w:val="00D20CAD"/>
    <w:rsid w:val="00D21440"/>
    <w:rsid w:val="00D229D0"/>
    <w:rsid w:val="00D23CA4"/>
    <w:rsid w:val="00D2425A"/>
    <w:rsid w:val="00D25433"/>
    <w:rsid w:val="00D274D2"/>
    <w:rsid w:val="00D27CAE"/>
    <w:rsid w:val="00D32091"/>
    <w:rsid w:val="00D3366E"/>
    <w:rsid w:val="00D33712"/>
    <w:rsid w:val="00D338C6"/>
    <w:rsid w:val="00D35754"/>
    <w:rsid w:val="00D40B6D"/>
    <w:rsid w:val="00D41F5C"/>
    <w:rsid w:val="00D4207C"/>
    <w:rsid w:val="00D44106"/>
    <w:rsid w:val="00D441CC"/>
    <w:rsid w:val="00D458AB"/>
    <w:rsid w:val="00D46FB3"/>
    <w:rsid w:val="00D47008"/>
    <w:rsid w:val="00D528E8"/>
    <w:rsid w:val="00D52F38"/>
    <w:rsid w:val="00D552A8"/>
    <w:rsid w:val="00D56010"/>
    <w:rsid w:val="00D575E3"/>
    <w:rsid w:val="00D61D7B"/>
    <w:rsid w:val="00D67F40"/>
    <w:rsid w:val="00D717FC"/>
    <w:rsid w:val="00D72B00"/>
    <w:rsid w:val="00D73D65"/>
    <w:rsid w:val="00D740E6"/>
    <w:rsid w:val="00D75080"/>
    <w:rsid w:val="00D80067"/>
    <w:rsid w:val="00D816D9"/>
    <w:rsid w:val="00D84908"/>
    <w:rsid w:val="00D84F30"/>
    <w:rsid w:val="00D85FD3"/>
    <w:rsid w:val="00D87B6B"/>
    <w:rsid w:val="00D90C4E"/>
    <w:rsid w:val="00D9144F"/>
    <w:rsid w:val="00D915C5"/>
    <w:rsid w:val="00D93898"/>
    <w:rsid w:val="00D95344"/>
    <w:rsid w:val="00D97228"/>
    <w:rsid w:val="00D97742"/>
    <w:rsid w:val="00D97931"/>
    <w:rsid w:val="00D97EDA"/>
    <w:rsid w:val="00DA0A4C"/>
    <w:rsid w:val="00DA2562"/>
    <w:rsid w:val="00DA2A82"/>
    <w:rsid w:val="00DA44EF"/>
    <w:rsid w:val="00DB0559"/>
    <w:rsid w:val="00DB311E"/>
    <w:rsid w:val="00DB3B90"/>
    <w:rsid w:val="00DB64E2"/>
    <w:rsid w:val="00DB6A37"/>
    <w:rsid w:val="00DB7A2B"/>
    <w:rsid w:val="00DC05B0"/>
    <w:rsid w:val="00DC109B"/>
    <w:rsid w:val="00DC4674"/>
    <w:rsid w:val="00DC602B"/>
    <w:rsid w:val="00DD08BD"/>
    <w:rsid w:val="00DD4DFF"/>
    <w:rsid w:val="00DD559D"/>
    <w:rsid w:val="00DD65C8"/>
    <w:rsid w:val="00DD7C7E"/>
    <w:rsid w:val="00DE4ED9"/>
    <w:rsid w:val="00DF0C72"/>
    <w:rsid w:val="00DF44B1"/>
    <w:rsid w:val="00DF5330"/>
    <w:rsid w:val="00E017A0"/>
    <w:rsid w:val="00E020CA"/>
    <w:rsid w:val="00E02342"/>
    <w:rsid w:val="00E048BC"/>
    <w:rsid w:val="00E04AC0"/>
    <w:rsid w:val="00E06613"/>
    <w:rsid w:val="00E10AF8"/>
    <w:rsid w:val="00E1219B"/>
    <w:rsid w:val="00E12D20"/>
    <w:rsid w:val="00E1571B"/>
    <w:rsid w:val="00E1687B"/>
    <w:rsid w:val="00E2469C"/>
    <w:rsid w:val="00E253EB"/>
    <w:rsid w:val="00E27319"/>
    <w:rsid w:val="00E32227"/>
    <w:rsid w:val="00E33459"/>
    <w:rsid w:val="00E3395F"/>
    <w:rsid w:val="00E33FFB"/>
    <w:rsid w:val="00E37DB4"/>
    <w:rsid w:val="00E37F58"/>
    <w:rsid w:val="00E407AC"/>
    <w:rsid w:val="00E42647"/>
    <w:rsid w:val="00E43677"/>
    <w:rsid w:val="00E44F01"/>
    <w:rsid w:val="00E46A4A"/>
    <w:rsid w:val="00E516B4"/>
    <w:rsid w:val="00E51D0B"/>
    <w:rsid w:val="00E53D9B"/>
    <w:rsid w:val="00E54282"/>
    <w:rsid w:val="00E549BC"/>
    <w:rsid w:val="00E54A39"/>
    <w:rsid w:val="00E54E70"/>
    <w:rsid w:val="00E56212"/>
    <w:rsid w:val="00E56922"/>
    <w:rsid w:val="00E56AE4"/>
    <w:rsid w:val="00E57786"/>
    <w:rsid w:val="00E579FC"/>
    <w:rsid w:val="00E618AB"/>
    <w:rsid w:val="00E61B92"/>
    <w:rsid w:val="00E63C2C"/>
    <w:rsid w:val="00E65D4A"/>
    <w:rsid w:val="00E66203"/>
    <w:rsid w:val="00E67184"/>
    <w:rsid w:val="00E67997"/>
    <w:rsid w:val="00E70E55"/>
    <w:rsid w:val="00E7110C"/>
    <w:rsid w:val="00E73FB3"/>
    <w:rsid w:val="00E776E9"/>
    <w:rsid w:val="00E83304"/>
    <w:rsid w:val="00E873F1"/>
    <w:rsid w:val="00E90E2B"/>
    <w:rsid w:val="00E9230B"/>
    <w:rsid w:val="00E92DA4"/>
    <w:rsid w:val="00E94F5F"/>
    <w:rsid w:val="00EA04F5"/>
    <w:rsid w:val="00EA3BF0"/>
    <w:rsid w:val="00EA3C0F"/>
    <w:rsid w:val="00EA571A"/>
    <w:rsid w:val="00EA65A4"/>
    <w:rsid w:val="00EA7433"/>
    <w:rsid w:val="00EA7A9D"/>
    <w:rsid w:val="00EB09F3"/>
    <w:rsid w:val="00EB1742"/>
    <w:rsid w:val="00EB59F9"/>
    <w:rsid w:val="00EC1C08"/>
    <w:rsid w:val="00EC6370"/>
    <w:rsid w:val="00EC673B"/>
    <w:rsid w:val="00EC68B6"/>
    <w:rsid w:val="00EC7387"/>
    <w:rsid w:val="00EC74F3"/>
    <w:rsid w:val="00ED6D96"/>
    <w:rsid w:val="00EE2CE4"/>
    <w:rsid w:val="00EE6753"/>
    <w:rsid w:val="00EE6BB3"/>
    <w:rsid w:val="00EF1C13"/>
    <w:rsid w:val="00EF1CEA"/>
    <w:rsid w:val="00EF742C"/>
    <w:rsid w:val="00EF778F"/>
    <w:rsid w:val="00F037A7"/>
    <w:rsid w:val="00F047E3"/>
    <w:rsid w:val="00F053FB"/>
    <w:rsid w:val="00F07411"/>
    <w:rsid w:val="00F07742"/>
    <w:rsid w:val="00F15CA9"/>
    <w:rsid w:val="00F1637C"/>
    <w:rsid w:val="00F227A8"/>
    <w:rsid w:val="00F25D0F"/>
    <w:rsid w:val="00F3022A"/>
    <w:rsid w:val="00F3115B"/>
    <w:rsid w:val="00F32512"/>
    <w:rsid w:val="00F329A1"/>
    <w:rsid w:val="00F34BEE"/>
    <w:rsid w:val="00F36E7B"/>
    <w:rsid w:val="00F419A6"/>
    <w:rsid w:val="00F4214F"/>
    <w:rsid w:val="00F43F7B"/>
    <w:rsid w:val="00F47AA3"/>
    <w:rsid w:val="00F50414"/>
    <w:rsid w:val="00F5545B"/>
    <w:rsid w:val="00F5699E"/>
    <w:rsid w:val="00F56D95"/>
    <w:rsid w:val="00F574FC"/>
    <w:rsid w:val="00F6466A"/>
    <w:rsid w:val="00F6515D"/>
    <w:rsid w:val="00F6633D"/>
    <w:rsid w:val="00F6779D"/>
    <w:rsid w:val="00F70CB8"/>
    <w:rsid w:val="00F72E1B"/>
    <w:rsid w:val="00F73F7C"/>
    <w:rsid w:val="00F747AE"/>
    <w:rsid w:val="00F76189"/>
    <w:rsid w:val="00F76FD6"/>
    <w:rsid w:val="00F8099A"/>
    <w:rsid w:val="00F81CBD"/>
    <w:rsid w:val="00F82302"/>
    <w:rsid w:val="00F84901"/>
    <w:rsid w:val="00F853E9"/>
    <w:rsid w:val="00F9219F"/>
    <w:rsid w:val="00F96D9E"/>
    <w:rsid w:val="00FA156C"/>
    <w:rsid w:val="00FA19F6"/>
    <w:rsid w:val="00FA288C"/>
    <w:rsid w:val="00FA3B06"/>
    <w:rsid w:val="00FA3D08"/>
    <w:rsid w:val="00FA4688"/>
    <w:rsid w:val="00FA7208"/>
    <w:rsid w:val="00FB3636"/>
    <w:rsid w:val="00FB5476"/>
    <w:rsid w:val="00FC0CAE"/>
    <w:rsid w:val="00FC14F4"/>
    <w:rsid w:val="00FC1C15"/>
    <w:rsid w:val="00FC5954"/>
    <w:rsid w:val="00FD2435"/>
    <w:rsid w:val="00FD2F4A"/>
    <w:rsid w:val="00FD2FF0"/>
    <w:rsid w:val="00FD4A5F"/>
    <w:rsid w:val="00FD538D"/>
    <w:rsid w:val="00FD7713"/>
    <w:rsid w:val="00FE031E"/>
    <w:rsid w:val="00FE59D3"/>
    <w:rsid w:val="00FE6A6A"/>
    <w:rsid w:val="00FE6D3C"/>
    <w:rsid w:val="00FF0CD1"/>
    <w:rsid w:val="00FF1219"/>
    <w:rsid w:val="00FF216F"/>
    <w:rsid w:val="00FF2D37"/>
    <w:rsid w:val="00FF47EF"/>
    <w:rsid w:val="00FF4B7E"/>
    <w:rsid w:val="00FF511F"/>
    <w:rsid w:val="00FF6069"/>
    <w:rsid w:val="00FF7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ED8104"/>
  <w15:chartTrackingRefBased/>
  <w15:docId w15:val="{6245E0C7-974D-419A-B56D-174C2A7B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C6F"/>
    <w:pPr>
      <w:keepNext/>
      <w:keepLines/>
      <w:spacing w:before="360" w:after="80"/>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7A2372"/>
    <w:pPr>
      <w:keepNext/>
      <w:keepLines/>
      <w:spacing w:before="160" w:after="80"/>
      <w:outlineLvl w:val="1"/>
    </w:pPr>
    <w:rPr>
      <w:rFonts w:ascii="Times New Roman" w:eastAsiaTheme="majorEastAsia" w:hAnsi="Times New Roman" w:cstheme="majorBidi"/>
      <w:i/>
      <w:sz w:val="36"/>
      <w:szCs w:val="32"/>
      <w:u w:val="single"/>
    </w:rPr>
  </w:style>
  <w:style w:type="paragraph" w:styleId="Heading3">
    <w:name w:val="heading 3"/>
    <w:basedOn w:val="Normal"/>
    <w:next w:val="Normal"/>
    <w:link w:val="Heading3Char"/>
    <w:uiPriority w:val="9"/>
    <w:unhideWhenUsed/>
    <w:qFormat/>
    <w:rsid w:val="003C207F"/>
    <w:pPr>
      <w:keepNext/>
      <w:keepLines/>
      <w:spacing w:before="160" w:after="80"/>
      <w:ind w:left="720"/>
      <w:outlineLvl w:val="2"/>
    </w:pPr>
    <w:rPr>
      <w:rFonts w:ascii="Times New Roman" w:eastAsiaTheme="majorEastAsia" w:hAnsi="Times New Roman" w:cstheme="majorBidi"/>
      <w:sz w:val="32"/>
      <w:szCs w:val="28"/>
    </w:rPr>
  </w:style>
  <w:style w:type="paragraph" w:styleId="Heading4">
    <w:name w:val="heading 4"/>
    <w:basedOn w:val="Normal"/>
    <w:next w:val="Normal"/>
    <w:link w:val="Heading4Char"/>
    <w:uiPriority w:val="9"/>
    <w:semiHidden/>
    <w:unhideWhenUsed/>
    <w:qFormat/>
    <w:rsid w:val="00210D33"/>
    <w:pPr>
      <w:keepNext/>
      <w:keepLines/>
      <w:spacing w:before="80" w:after="40"/>
      <w:outlineLvl w:val="3"/>
    </w:pPr>
    <w:rPr>
      <w:rFonts w:ascii="Times New Roman" w:eastAsiaTheme="majorEastAsia" w:hAnsi="Times New Roman" w:cstheme="majorBidi"/>
      <w:i/>
      <w:iCs/>
      <w:sz w:val="32"/>
    </w:rPr>
  </w:style>
  <w:style w:type="paragraph" w:styleId="Heading5">
    <w:name w:val="heading 5"/>
    <w:basedOn w:val="Normal"/>
    <w:next w:val="Normal"/>
    <w:link w:val="Heading5Char"/>
    <w:uiPriority w:val="9"/>
    <w:semiHidden/>
    <w:unhideWhenUsed/>
    <w:qFormat/>
    <w:rsid w:val="00A85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C6F"/>
    <w:rPr>
      <w:rFonts w:ascii="Times New Roman" w:eastAsiaTheme="majorEastAsia" w:hAnsi="Times New Roman" w:cstheme="majorBidi"/>
      <w:color w:val="000000" w:themeColor="text1"/>
      <w:sz w:val="40"/>
      <w:szCs w:val="40"/>
    </w:rPr>
  </w:style>
  <w:style w:type="character" w:customStyle="1" w:styleId="Heading2Char">
    <w:name w:val="Heading 2 Char"/>
    <w:basedOn w:val="DefaultParagraphFont"/>
    <w:link w:val="Heading2"/>
    <w:uiPriority w:val="9"/>
    <w:rsid w:val="007A2372"/>
    <w:rPr>
      <w:rFonts w:ascii="Times New Roman" w:eastAsiaTheme="majorEastAsia" w:hAnsi="Times New Roman" w:cstheme="majorBidi"/>
      <w:i/>
      <w:sz w:val="36"/>
      <w:szCs w:val="32"/>
      <w:u w:val="single"/>
    </w:rPr>
  </w:style>
  <w:style w:type="character" w:customStyle="1" w:styleId="Heading3Char">
    <w:name w:val="Heading 3 Char"/>
    <w:basedOn w:val="DefaultParagraphFont"/>
    <w:link w:val="Heading3"/>
    <w:uiPriority w:val="9"/>
    <w:rsid w:val="003C207F"/>
    <w:rPr>
      <w:rFonts w:ascii="Times New Roman" w:eastAsiaTheme="majorEastAsia" w:hAnsi="Times New Roman" w:cstheme="majorBidi"/>
      <w:sz w:val="32"/>
      <w:szCs w:val="28"/>
    </w:rPr>
  </w:style>
  <w:style w:type="character" w:customStyle="1" w:styleId="Heading4Char">
    <w:name w:val="Heading 4 Char"/>
    <w:basedOn w:val="DefaultParagraphFont"/>
    <w:link w:val="Heading4"/>
    <w:uiPriority w:val="9"/>
    <w:semiHidden/>
    <w:rsid w:val="00210D33"/>
    <w:rPr>
      <w:rFonts w:ascii="Times New Roman" w:eastAsiaTheme="majorEastAsia" w:hAnsi="Times New Roman" w:cstheme="majorBidi"/>
      <w:i/>
      <w:iCs/>
      <w:sz w:val="32"/>
    </w:rPr>
  </w:style>
  <w:style w:type="character" w:customStyle="1" w:styleId="Heading5Char">
    <w:name w:val="Heading 5 Char"/>
    <w:basedOn w:val="DefaultParagraphFont"/>
    <w:link w:val="Heading5"/>
    <w:uiPriority w:val="9"/>
    <w:semiHidden/>
    <w:rsid w:val="00A85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271"/>
    <w:rPr>
      <w:rFonts w:eastAsiaTheme="majorEastAsia" w:cstheme="majorBidi"/>
      <w:color w:val="272727" w:themeColor="text1" w:themeTint="D8"/>
    </w:rPr>
  </w:style>
  <w:style w:type="paragraph" w:styleId="Title">
    <w:name w:val="Title"/>
    <w:basedOn w:val="Normal"/>
    <w:next w:val="Normal"/>
    <w:link w:val="TitleChar"/>
    <w:uiPriority w:val="10"/>
    <w:qFormat/>
    <w:rsid w:val="00A85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271"/>
    <w:pPr>
      <w:spacing w:before="160"/>
      <w:jc w:val="center"/>
    </w:pPr>
    <w:rPr>
      <w:i/>
      <w:iCs/>
      <w:color w:val="404040" w:themeColor="text1" w:themeTint="BF"/>
    </w:rPr>
  </w:style>
  <w:style w:type="character" w:customStyle="1" w:styleId="QuoteChar">
    <w:name w:val="Quote Char"/>
    <w:basedOn w:val="DefaultParagraphFont"/>
    <w:link w:val="Quote"/>
    <w:uiPriority w:val="29"/>
    <w:rsid w:val="00A85271"/>
    <w:rPr>
      <w:i/>
      <w:iCs/>
      <w:color w:val="404040" w:themeColor="text1" w:themeTint="BF"/>
    </w:rPr>
  </w:style>
  <w:style w:type="paragraph" w:styleId="ListParagraph">
    <w:name w:val="List Paragraph"/>
    <w:basedOn w:val="Normal"/>
    <w:uiPriority w:val="34"/>
    <w:qFormat/>
    <w:rsid w:val="00A85271"/>
    <w:pPr>
      <w:ind w:left="720"/>
      <w:contextualSpacing/>
    </w:pPr>
  </w:style>
  <w:style w:type="character" w:styleId="IntenseEmphasis">
    <w:name w:val="Intense Emphasis"/>
    <w:basedOn w:val="DefaultParagraphFont"/>
    <w:uiPriority w:val="21"/>
    <w:qFormat/>
    <w:rsid w:val="00A85271"/>
    <w:rPr>
      <w:i/>
      <w:iCs/>
      <w:color w:val="0F4761" w:themeColor="accent1" w:themeShade="BF"/>
    </w:rPr>
  </w:style>
  <w:style w:type="paragraph" w:styleId="IntenseQuote">
    <w:name w:val="Intense Quote"/>
    <w:basedOn w:val="Normal"/>
    <w:next w:val="Normal"/>
    <w:link w:val="IntenseQuoteChar"/>
    <w:uiPriority w:val="30"/>
    <w:qFormat/>
    <w:rsid w:val="00A85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271"/>
    <w:rPr>
      <w:i/>
      <w:iCs/>
      <w:color w:val="0F4761" w:themeColor="accent1" w:themeShade="BF"/>
    </w:rPr>
  </w:style>
  <w:style w:type="character" w:styleId="IntenseReference">
    <w:name w:val="Intense Reference"/>
    <w:basedOn w:val="DefaultParagraphFont"/>
    <w:uiPriority w:val="32"/>
    <w:qFormat/>
    <w:rsid w:val="00A85271"/>
    <w:rPr>
      <w:b/>
      <w:bCs/>
      <w:smallCaps/>
      <w:color w:val="0F4761" w:themeColor="accent1" w:themeShade="BF"/>
      <w:spacing w:val="5"/>
    </w:rPr>
  </w:style>
  <w:style w:type="paragraph" w:styleId="TOCHeading">
    <w:name w:val="TOC Heading"/>
    <w:basedOn w:val="Heading1"/>
    <w:next w:val="Normal"/>
    <w:uiPriority w:val="39"/>
    <w:unhideWhenUsed/>
    <w:qFormat/>
    <w:rsid w:val="00846781"/>
    <w:pPr>
      <w:spacing w:before="240" w:after="0"/>
      <w:outlineLvl w:val="9"/>
    </w:pPr>
    <w:rPr>
      <w:rFonts w:asciiTheme="majorHAnsi" w:hAnsiTheme="majorHAnsi"/>
      <w:kern w:val="0"/>
      <w:sz w:val="32"/>
      <w:szCs w:val="32"/>
      <w:lang w:val="en-US"/>
      <w14:ligatures w14:val="none"/>
    </w:rPr>
  </w:style>
  <w:style w:type="paragraph" w:styleId="TOC1">
    <w:name w:val="toc 1"/>
    <w:basedOn w:val="Normal"/>
    <w:next w:val="Normal"/>
    <w:autoRedefine/>
    <w:uiPriority w:val="39"/>
    <w:unhideWhenUsed/>
    <w:rsid w:val="00846781"/>
    <w:pPr>
      <w:spacing w:after="100"/>
    </w:pPr>
  </w:style>
  <w:style w:type="character" w:styleId="Hyperlink">
    <w:name w:val="Hyperlink"/>
    <w:basedOn w:val="DefaultParagraphFont"/>
    <w:uiPriority w:val="99"/>
    <w:unhideWhenUsed/>
    <w:rsid w:val="00846781"/>
    <w:rPr>
      <w:color w:val="467886" w:themeColor="hyperlink"/>
      <w:u w:val="single"/>
    </w:rPr>
  </w:style>
  <w:style w:type="paragraph" w:styleId="Header">
    <w:name w:val="header"/>
    <w:basedOn w:val="Normal"/>
    <w:link w:val="HeaderChar"/>
    <w:uiPriority w:val="99"/>
    <w:unhideWhenUsed/>
    <w:rsid w:val="00846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81"/>
  </w:style>
  <w:style w:type="paragraph" w:styleId="Footer">
    <w:name w:val="footer"/>
    <w:basedOn w:val="Normal"/>
    <w:link w:val="FooterChar"/>
    <w:uiPriority w:val="99"/>
    <w:unhideWhenUsed/>
    <w:rsid w:val="00846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81"/>
  </w:style>
  <w:style w:type="paragraph" w:styleId="TOC2">
    <w:name w:val="toc 2"/>
    <w:basedOn w:val="Normal"/>
    <w:next w:val="Normal"/>
    <w:autoRedefine/>
    <w:uiPriority w:val="39"/>
    <w:unhideWhenUsed/>
    <w:rsid w:val="00E3395F"/>
    <w:pPr>
      <w:tabs>
        <w:tab w:val="left" w:pos="960"/>
        <w:tab w:val="right" w:leader="dot" w:pos="9016"/>
      </w:tabs>
      <w:spacing w:after="100"/>
      <w:ind w:left="993" w:hanging="851"/>
    </w:pPr>
    <w:rPr>
      <w:rFonts w:cs="Times New Roman"/>
      <w:i/>
      <w:noProof/>
    </w:rPr>
  </w:style>
  <w:style w:type="paragraph" w:styleId="TOC3">
    <w:name w:val="toc 3"/>
    <w:basedOn w:val="Normal"/>
    <w:next w:val="Normal"/>
    <w:autoRedefine/>
    <w:uiPriority w:val="39"/>
    <w:unhideWhenUsed/>
    <w:rsid w:val="006E4567"/>
    <w:pPr>
      <w:tabs>
        <w:tab w:val="right" w:leader="dot" w:pos="9016"/>
      </w:tabs>
      <w:spacing w:after="100"/>
      <w:ind w:left="709"/>
    </w:pPr>
  </w:style>
  <w:style w:type="character" w:styleId="UnresolvedMention">
    <w:name w:val="Unresolved Mention"/>
    <w:basedOn w:val="DefaultParagraphFont"/>
    <w:uiPriority w:val="99"/>
    <w:semiHidden/>
    <w:unhideWhenUsed/>
    <w:rsid w:val="00B53362"/>
    <w:rPr>
      <w:color w:val="605E5C"/>
      <w:shd w:val="clear" w:color="auto" w:fill="E1DFDD"/>
    </w:rPr>
  </w:style>
  <w:style w:type="paragraph" w:styleId="Revision">
    <w:name w:val="Revision"/>
    <w:hidden/>
    <w:uiPriority w:val="99"/>
    <w:semiHidden/>
    <w:rsid w:val="002D1803"/>
    <w:pPr>
      <w:spacing w:after="0" w:line="240" w:lineRule="auto"/>
    </w:pPr>
  </w:style>
  <w:style w:type="character" w:styleId="CommentReference">
    <w:name w:val="annotation reference"/>
    <w:basedOn w:val="DefaultParagraphFont"/>
    <w:uiPriority w:val="99"/>
    <w:semiHidden/>
    <w:unhideWhenUsed/>
    <w:rsid w:val="00B7766D"/>
    <w:rPr>
      <w:sz w:val="16"/>
      <w:szCs w:val="16"/>
    </w:rPr>
  </w:style>
  <w:style w:type="paragraph" w:styleId="CommentText">
    <w:name w:val="annotation text"/>
    <w:basedOn w:val="Normal"/>
    <w:link w:val="CommentTextChar"/>
    <w:uiPriority w:val="99"/>
    <w:unhideWhenUsed/>
    <w:rsid w:val="00B7766D"/>
    <w:pPr>
      <w:spacing w:line="240" w:lineRule="auto"/>
    </w:pPr>
    <w:rPr>
      <w:sz w:val="20"/>
      <w:szCs w:val="20"/>
    </w:rPr>
  </w:style>
  <w:style w:type="character" w:customStyle="1" w:styleId="CommentTextChar">
    <w:name w:val="Comment Text Char"/>
    <w:basedOn w:val="DefaultParagraphFont"/>
    <w:link w:val="CommentText"/>
    <w:uiPriority w:val="99"/>
    <w:rsid w:val="00B7766D"/>
    <w:rPr>
      <w:sz w:val="20"/>
      <w:szCs w:val="20"/>
    </w:rPr>
  </w:style>
  <w:style w:type="paragraph" w:styleId="CommentSubject">
    <w:name w:val="annotation subject"/>
    <w:basedOn w:val="CommentText"/>
    <w:next w:val="CommentText"/>
    <w:link w:val="CommentSubjectChar"/>
    <w:uiPriority w:val="99"/>
    <w:semiHidden/>
    <w:unhideWhenUsed/>
    <w:rsid w:val="00B7766D"/>
    <w:rPr>
      <w:b/>
      <w:bCs/>
    </w:rPr>
  </w:style>
  <w:style w:type="character" w:customStyle="1" w:styleId="CommentSubjectChar">
    <w:name w:val="Comment Subject Char"/>
    <w:basedOn w:val="CommentTextChar"/>
    <w:link w:val="CommentSubject"/>
    <w:uiPriority w:val="99"/>
    <w:semiHidden/>
    <w:rsid w:val="00B7766D"/>
    <w:rPr>
      <w:b/>
      <w:bCs/>
      <w:sz w:val="20"/>
      <w:szCs w:val="20"/>
    </w:rPr>
  </w:style>
  <w:style w:type="table" w:styleId="TableGrid">
    <w:name w:val="Table Grid"/>
    <w:basedOn w:val="TableNormal"/>
    <w:uiPriority w:val="39"/>
    <w:rsid w:val="00CE2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1011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1011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1011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98772B"/>
    <w:rPr>
      <w:color w:val="666666"/>
    </w:rPr>
  </w:style>
  <w:style w:type="numbering" w:customStyle="1" w:styleId="Style1">
    <w:name w:val="Style1"/>
    <w:uiPriority w:val="99"/>
    <w:rsid w:val="0098772B"/>
    <w:pPr>
      <w:numPr>
        <w:numId w:val="18"/>
      </w:numPr>
    </w:pPr>
  </w:style>
  <w:style w:type="paragraph" w:customStyle="1" w:styleId="Heading33">
    <w:name w:val="Heading 33"/>
    <w:basedOn w:val="Normal"/>
    <w:link w:val="Heading33Char"/>
    <w:qFormat/>
    <w:rsid w:val="0098772B"/>
    <w:pPr>
      <w:spacing w:line="480" w:lineRule="auto"/>
      <w:ind w:left="720"/>
      <w:jc w:val="both"/>
    </w:pPr>
    <w:rPr>
      <w:rFonts w:ascii="Times New Roman" w:eastAsiaTheme="majorEastAsia" w:hAnsi="Times New Roman" w:cs="Times New Roman"/>
      <w:iCs/>
      <w:sz w:val="32"/>
      <w:szCs w:val="32"/>
    </w:rPr>
  </w:style>
  <w:style w:type="character" w:customStyle="1" w:styleId="Heading33Char">
    <w:name w:val="Heading 33 Char"/>
    <w:basedOn w:val="DefaultParagraphFont"/>
    <w:link w:val="Heading33"/>
    <w:rsid w:val="0098772B"/>
    <w:rPr>
      <w:rFonts w:ascii="Times New Roman" w:eastAsiaTheme="majorEastAsia" w:hAnsi="Times New Roman" w:cs="Times New Roman"/>
      <w:iCs/>
      <w:sz w:val="32"/>
      <w:szCs w:val="32"/>
    </w:rPr>
  </w:style>
  <w:style w:type="paragraph" w:customStyle="1" w:styleId="ChapterHeading">
    <w:name w:val="Chapter Heading"/>
    <w:basedOn w:val="Heading1"/>
    <w:link w:val="ChapterHeadingChar"/>
    <w:qFormat/>
    <w:rsid w:val="00FD7713"/>
    <w:pPr>
      <w:jc w:val="center"/>
    </w:pPr>
    <w:rPr>
      <w:rFonts w:cs="Times New Roman"/>
      <w:color w:val="auto"/>
      <w:sz w:val="52"/>
      <w:szCs w:val="52"/>
    </w:rPr>
  </w:style>
  <w:style w:type="character" w:customStyle="1" w:styleId="ChapterHeadingChar">
    <w:name w:val="Chapter Heading Char"/>
    <w:basedOn w:val="Heading1Char"/>
    <w:link w:val="ChapterHeading"/>
    <w:rsid w:val="00FD7713"/>
    <w:rPr>
      <w:rFonts w:ascii="Times New Roman" w:eastAsiaTheme="majorEastAsia" w:hAnsi="Times New Roman" w:cs="Times New Roman"/>
      <w:color w:val="000000" w:themeColor="text1"/>
      <w:sz w:val="52"/>
      <w:szCs w:val="52"/>
    </w:rPr>
  </w:style>
  <w:style w:type="character" w:customStyle="1" w:styleId="cf01">
    <w:name w:val="cf01"/>
    <w:basedOn w:val="DefaultParagraphFont"/>
    <w:rsid w:val="00E618AB"/>
    <w:rPr>
      <w:rFonts w:ascii="Segoe UI" w:hAnsi="Segoe UI" w:cs="Segoe UI" w:hint="default"/>
      <w:sz w:val="18"/>
      <w:szCs w:val="18"/>
    </w:rPr>
  </w:style>
  <w:style w:type="paragraph" w:styleId="TableofFigures">
    <w:name w:val="table of figures"/>
    <w:basedOn w:val="Normal"/>
    <w:next w:val="Normal"/>
    <w:uiPriority w:val="99"/>
    <w:unhideWhenUsed/>
    <w:rsid w:val="00CB70C3"/>
    <w:pPr>
      <w:spacing w:after="0"/>
    </w:pPr>
    <w:rPr>
      <w:rFonts w:ascii="Times New Roman" w:hAnsi="Times New Roman"/>
      <w:sz w:val="24"/>
    </w:rPr>
  </w:style>
  <w:style w:type="paragraph" w:customStyle="1" w:styleId="FigureHeading">
    <w:name w:val="Figure Heading"/>
    <w:basedOn w:val="Normal"/>
    <w:link w:val="FigureHeadingChar"/>
    <w:qFormat/>
    <w:rsid w:val="00CB70C3"/>
    <w:pPr>
      <w:spacing w:after="0" w:line="276" w:lineRule="auto"/>
      <w:jc w:val="center"/>
    </w:pPr>
    <w:rPr>
      <w:rFonts w:ascii="Times New Roman" w:hAnsi="Times New Roman" w:cs="Times New Roman"/>
      <w:b/>
      <w:bCs/>
      <w:sz w:val="24"/>
      <w:szCs w:val="24"/>
    </w:rPr>
  </w:style>
  <w:style w:type="character" w:customStyle="1" w:styleId="FigureHeadingChar">
    <w:name w:val="Figure Heading Char"/>
    <w:basedOn w:val="DefaultParagraphFont"/>
    <w:link w:val="FigureHeading"/>
    <w:rsid w:val="00CB70C3"/>
    <w:rPr>
      <w:rFonts w:ascii="Times New Roman" w:hAnsi="Times New Roman" w:cs="Times New Roman"/>
      <w:b/>
      <w:bCs/>
      <w:sz w:val="24"/>
      <w:szCs w:val="24"/>
    </w:rPr>
  </w:style>
  <w:style w:type="paragraph" w:customStyle="1" w:styleId="TableHeading">
    <w:name w:val="Table Heading"/>
    <w:basedOn w:val="Normal"/>
    <w:link w:val="TableHeadingChar"/>
    <w:qFormat/>
    <w:rsid w:val="008660D8"/>
    <w:pPr>
      <w:spacing w:after="0" w:line="276" w:lineRule="auto"/>
      <w:jc w:val="center"/>
    </w:pPr>
    <w:rPr>
      <w:rFonts w:ascii="Times New Roman" w:hAnsi="Times New Roman" w:cs="Times New Roman"/>
      <w:b/>
      <w:bCs/>
      <w:sz w:val="24"/>
      <w:szCs w:val="24"/>
    </w:rPr>
  </w:style>
  <w:style w:type="character" w:customStyle="1" w:styleId="TableHeadingChar">
    <w:name w:val="Table Heading Char"/>
    <w:basedOn w:val="DefaultParagraphFont"/>
    <w:link w:val="TableHeading"/>
    <w:rsid w:val="008660D8"/>
    <w:rPr>
      <w:rFonts w:ascii="Times New Roman" w:hAnsi="Times New Roman" w:cs="Times New Roman"/>
      <w:b/>
      <w:bCs/>
      <w:sz w:val="24"/>
      <w:szCs w:val="24"/>
    </w:rPr>
  </w:style>
  <w:style w:type="paragraph" w:styleId="NoSpacing">
    <w:name w:val="No Spacing"/>
    <w:link w:val="NoSpacingChar"/>
    <w:uiPriority w:val="1"/>
    <w:qFormat/>
    <w:rsid w:val="00E37F58"/>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E37F58"/>
    <w:rPr>
      <w:rFonts w:eastAsiaTheme="minorEastAsia"/>
      <w:kern w:val="0"/>
      <w:lang w:val="en-US"/>
      <w14:ligatures w14:val="none"/>
    </w:rPr>
  </w:style>
  <w:style w:type="paragraph" w:styleId="Bibliography">
    <w:name w:val="Bibliography"/>
    <w:basedOn w:val="Normal"/>
    <w:next w:val="Normal"/>
    <w:uiPriority w:val="37"/>
    <w:unhideWhenUsed/>
    <w:rsid w:val="00A12115"/>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139601">
      <w:bodyDiv w:val="1"/>
      <w:marLeft w:val="0"/>
      <w:marRight w:val="0"/>
      <w:marTop w:val="0"/>
      <w:marBottom w:val="0"/>
      <w:divBdr>
        <w:top w:val="none" w:sz="0" w:space="0" w:color="auto"/>
        <w:left w:val="none" w:sz="0" w:space="0" w:color="auto"/>
        <w:bottom w:val="none" w:sz="0" w:space="0" w:color="auto"/>
        <w:right w:val="none" w:sz="0" w:space="0" w:color="auto"/>
      </w:divBdr>
    </w:div>
    <w:div w:id="483859278">
      <w:bodyDiv w:val="1"/>
      <w:marLeft w:val="0"/>
      <w:marRight w:val="0"/>
      <w:marTop w:val="0"/>
      <w:marBottom w:val="0"/>
      <w:divBdr>
        <w:top w:val="none" w:sz="0" w:space="0" w:color="auto"/>
        <w:left w:val="none" w:sz="0" w:space="0" w:color="auto"/>
        <w:bottom w:val="none" w:sz="0" w:space="0" w:color="auto"/>
        <w:right w:val="none" w:sz="0" w:space="0" w:color="auto"/>
      </w:divBdr>
    </w:div>
    <w:div w:id="1006664562">
      <w:bodyDiv w:val="1"/>
      <w:marLeft w:val="0"/>
      <w:marRight w:val="0"/>
      <w:marTop w:val="0"/>
      <w:marBottom w:val="0"/>
      <w:divBdr>
        <w:top w:val="none" w:sz="0" w:space="0" w:color="auto"/>
        <w:left w:val="none" w:sz="0" w:space="0" w:color="auto"/>
        <w:bottom w:val="none" w:sz="0" w:space="0" w:color="auto"/>
        <w:right w:val="none" w:sz="0" w:space="0" w:color="auto"/>
      </w:divBdr>
    </w:div>
    <w:div w:id="1009605232">
      <w:bodyDiv w:val="1"/>
      <w:marLeft w:val="0"/>
      <w:marRight w:val="0"/>
      <w:marTop w:val="0"/>
      <w:marBottom w:val="0"/>
      <w:divBdr>
        <w:top w:val="none" w:sz="0" w:space="0" w:color="auto"/>
        <w:left w:val="none" w:sz="0" w:space="0" w:color="auto"/>
        <w:bottom w:val="none" w:sz="0" w:space="0" w:color="auto"/>
        <w:right w:val="none" w:sz="0" w:space="0" w:color="auto"/>
      </w:divBdr>
    </w:div>
    <w:div w:id="1243027965">
      <w:bodyDiv w:val="1"/>
      <w:marLeft w:val="0"/>
      <w:marRight w:val="0"/>
      <w:marTop w:val="0"/>
      <w:marBottom w:val="0"/>
      <w:divBdr>
        <w:top w:val="none" w:sz="0" w:space="0" w:color="auto"/>
        <w:left w:val="none" w:sz="0" w:space="0" w:color="auto"/>
        <w:bottom w:val="none" w:sz="0" w:space="0" w:color="auto"/>
        <w:right w:val="none" w:sz="0" w:space="0" w:color="auto"/>
      </w:divBdr>
    </w:div>
    <w:div w:id="1262369878">
      <w:bodyDiv w:val="1"/>
      <w:marLeft w:val="0"/>
      <w:marRight w:val="0"/>
      <w:marTop w:val="0"/>
      <w:marBottom w:val="0"/>
      <w:divBdr>
        <w:top w:val="none" w:sz="0" w:space="0" w:color="auto"/>
        <w:left w:val="none" w:sz="0" w:space="0" w:color="auto"/>
        <w:bottom w:val="none" w:sz="0" w:space="0" w:color="auto"/>
        <w:right w:val="none" w:sz="0" w:space="0" w:color="auto"/>
      </w:divBdr>
    </w:div>
    <w:div w:id="1356228958">
      <w:bodyDiv w:val="1"/>
      <w:marLeft w:val="0"/>
      <w:marRight w:val="0"/>
      <w:marTop w:val="0"/>
      <w:marBottom w:val="0"/>
      <w:divBdr>
        <w:top w:val="none" w:sz="0" w:space="0" w:color="auto"/>
        <w:left w:val="none" w:sz="0" w:space="0" w:color="auto"/>
        <w:bottom w:val="none" w:sz="0" w:space="0" w:color="auto"/>
        <w:right w:val="none" w:sz="0" w:space="0" w:color="auto"/>
      </w:divBdr>
    </w:div>
    <w:div w:id="1421297433">
      <w:bodyDiv w:val="1"/>
      <w:marLeft w:val="0"/>
      <w:marRight w:val="0"/>
      <w:marTop w:val="0"/>
      <w:marBottom w:val="0"/>
      <w:divBdr>
        <w:top w:val="none" w:sz="0" w:space="0" w:color="auto"/>
        <w:left w:val="none" w:sz="0" w:space="0" w:color="auto"/>
        <w:bottom w:val="none" w:sz="0" w:space="0" w:color="auto"/>
        <w:right w:val="none" w:sz="0" w:space="0" w:color="auto"/>
      </w:divBdr>
    </w:div>
    <w:div w:id="1521314316">
      <w:bodyDiv w:val="1"/>
      <w:marLeft w:val="0"/>
      <w:marRight w:val="0"/>
      <w:marTop w:val="0"/>
      <w:marBottom w:val="0"/>
      <w:divBdr>
        <w:top w:val="none" w:sz="0" w:space="0" w:color="auto"/>
        <w:left w:val="none" w:sz="0" w:space="0" w:color="auto"/>
        <w:bottom w:val="none" w:sz="0" w:space="0" w:color="auto"/>
        <w:right w:val="none" w:sz="0" w:space="0" w:color="auto"/>
      </w:divBdr>
    </w:div>
    <w:div w:id="1618637555">
      <w:bodyDiv w:val="1"/>
      <w:marLeft w:val="0"/>
      <w:marRight w:val="0"/>
      <w:marTop w:val="0"/>
      <w:marBottom w:val="0"/>
      <w:divBdr>
        <w:top w:val="none" w:sz="0" w:space="0" w:color="auto"/>
        <w:left w:val="none" w:sz="0" w:space="0" w:color="auto"/>
        <w:bottom w:val="none" w:sz="0" w:space="0" w:color="auto"/>
        <w:right w:val="none" w:sz="0" w:space="0" w:color="auto"/>
      </w:divBdr>
    </w:div>
    <w:div w:id="1648195855">
      <w:bodyDiv w:val="1"/>
      <w:marLeft w:val="0"/>
      <w:marRight w:val="0"/>
      <w:marTop w:val="0"/>
      <w:marBottom w:val="0"/>
      <w:divBdr>
        <w:top w:val="none" w:sz="0" w:space="0" w:color="auto"/>
        <w:left w:val="none" w:sz="0" w:space="0" w:color="auto"/>
        <w:bottom w:val="none" w:sz="0" w:space="0" w:color="auto"/>
        <w:right w:val="none" w:sz="0" w:space="0" w:color="auto"/>
      </w:divBdr>
    </w:div>
    <w:div w:id="181471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98A86-B365-44A7-8B0A-EB3E3D3F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16834</Words>
  <Characters>95956</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Yousif</dc:creator>
  <cp:keywords/>
  <dc:description/>
  <cp:lastModifiedBy>SDI 1084</cp:lastModifiedBy>
  <cp:revision>687</cp:revision>
  <cp:lastPrinted>2025-09-24T15:54:00Z</cp:lastPrinted>
  <dcterms:created xsi:type="dcterms:W3CDTF">2024-06-28T08:48:00Z</dcterms:created>
  <dcterms:modified xsi:type="dcterms:W3CDTF">2025-10-24T08:35:00Z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id="8yEdeVRl"/&gt;&lt;style id="http://www.zotero.org/styles/vancouver" locale="en-GB" hasBibliography="1" bibliographyStyleHasBeenSet="1"/&gt;&lt;prefs&gt;&lt;pref name="fieldType" value="Field"/&gt;&lt;/prefs&gt;&lt;/data&gt;</vt:lpwstr>
  </property>
</Properties>
</file>