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5DA7D0" w14:textId="77777777" w:rsidR="001B68E9" w:rsidRDefault="00B01EA4">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Comparative Risk of Metabolic Adverse Outcomes in Patients </w:t>
      </w:r>
      <w:proofErr w:type="gramStart"/>
      <w:r>
        <w:rPr>
          <w:rFonts w:ascii="Times New Roman" w:eastAsia="Times New Roman" w:hAnsi="Times New Roman" w:cs="Times New Roman"/>
          <w:b/>
          <w:sz w:val="24"/>
          <w:szCs w:val="24"/>
        </w:rPr>
        <w:t>With</w:t>
      </w:r>
      <w:proofErr w:type="gramEnd"/>
      <w:r>
        <w:rPr>
          <w:rFonts w:ascii="Times New Roman" w:eastAsia="Times New Roman" w:hAnsi="Times New Roman" w:cs="Times New Roman"/>
          <w:b/>
          <w:sz w:val="24"/>
          <w:szCs w:val="24"/>
        </w:rPr>
        <w:t xml:space="preserve"> Schizophrenia Treated With Aripiprazole Versus Olanzapine: A Retrospective Cohort Study Using the </w:t>
      </w:r>
      <w:proofErr w:type="spellStart"/>
      <w:r>
        <w:rPr>
          <w:rFonts w:ascii="Times New Roman" w:eastAsia="Times New Roman" w:hAnsi="Times New Roman" w:cs="Times New Roman"/>
          <w:b/>
          <w:sz w:val="24"/>
          <w:szCs w:val="24"/>
        </w:rPr>
        <w:t>TriNetX</w:t>
      </w:r>
      <w:proofErr w:type="spellEnd"/>
      <w:r>
        <w:rPr>
          <w:rFonts w:ascii="Times New Roman" w:eastAsia="Times New Roman" w:hAnsi="Times New Roman" w:cs="Times New Roman"/>
          <w:b/>
          <w:sz w:val="24"/>
          <w:szCs w:val="24"/>
        </w:rPr>
        <w:t xml:space="preserve"> Network</w:t>
      </w:r>
    </w:p>
    <w:p w14:paraId="2033366A" w14:textId="77777777" w:rsidR="00EA4EE5" w:rsidRDefault="00EA4EE5">
      <w:pPr>
        <w:spacing w:after="160"/>
        <w:rPr>
          <w:rFonts w:ascii="Times New Roman" w:eastAsia="Times New Roman" w:hAnsi="Times New Roman" w:cs="Times New Roman"/>
          <w:b/>
          <w:sz w:val="24"/>
          <w:szCs w:val="24"/>
        </w:rPr>
      </w:pPr>
    </w:p>
    <w:p w14:paraId="386F6D90" w14:textId="77777777" w:rsidR="00AC0837" w:rsidRDefault="00AC0837" w:rsidP="00AC0837">
      <w:pPr>
        <w:rPr>
          <w:rFonts w:ascii="Times New Roman" w:hAnsi="Times New Roman" w:cs="Times New Roman"/>
          <w:b/>
          <w:bCs/>
        </w:rPr>
      </w:pPr>
      <w:r>
        <w:rPr>
          <w:rFonts w:ascii="Times New Roman" w:hAnsi="Times New Roman" w:cs="Times New Roman"/>
          <w:b/>
          <w:bCs/>
        </w:rPr>
        <w:t xml:space="preserve">Abstract </w:t>
      </w:r>
    </w:p>
    <w:p w14:paraId="25CAFA1E" w14:textId="77777777" w:rsidR="00AC0837" w:rsidRDefault="00AC0837" w:rsidP="00AC0837">
      <w:pPr>
        <w:rPr>
          <w:rFonts w:ascii="Times New Roman" w:hAnsi="Times New Roman" w:cs="Times New Roman"/>
          <w:b/>
          <w:bCs/>
        </w:rPr>
      </w:pPr>
      <w:r>
        <w:rPr>
          <w:rFonts w:ascii="Times New Roman" w:hAnsi="Times New Roman" w:cs="Times New Roman"/>
          <w:b/>
          <w:bCs/>
        </w:rPr>
        <w:t>Introduction</w:t>
      </w:r>
    </w:p>
    <w:p w14:paraId="76EA0B57" w14:textId="77777777" w:rsidR="00AC0837" w:rsidRPr="007739F4" w:rsidRDefault="00AC0837" w:rsidP="00AC0837">
      <w:pPr>
        <w:rPr>
          <w:rFonts w:ascii="Times New Roman" w:hAnsi="Times New Roman" w:cs="Times New Roman"/>
        </w:rPr>
      </w:pPr>
      <w:r>
        <w:rPr>
          <w:rFonts w:ascii="Times New Roman" w:hAnsi="Times New Roman" w:cs="Times New Roman"/>
        </w:rPr>
        <w:t>Second-generation antipsychotics (SGAs) provide effective symptoms control with fewer extrapyramidal side effects in the setting of schizophrenia spectrum disorder. However, SGAs are also associated with significant adverse metabolic effects. Olanzapine is consistently associated with greater metabolic liability, while aripiprazole is generally considered to be more metabolically neutral. Although multiple randomized controlled trials have compared these two agents, few large-scale real-world studies have examined their metabolic side effects using harmonized electronic health record (EHR) data. This study seeks to compare the risk of developing hyperlipidemia, diabetes mellitus, and pancreatitis among adults prescribed aripiprazole versus olanzapine using data from a large federated EHR network.</w:t>
      </w:r>
    </w:p>
    <w:p w14:paraId="0BC1FC86" w14:textId="77777777" w:rsidR="00AC0837" w:rsidRDefault="00AC0837" w:rsidP="00AC0837">
      <w:pPr>
        <w:rPr>
          <w:rFonts w:ascii="Times New Roman" w:hAnsi="Times New Roman" w:cs="Times New Roman"/>
          <w:b/>
          <w:bCs/>
        </w:rPr>
      </w:pPr>
      <w:r>
        <w:rPr>
          <w:rFonts w:ascii="Times New Roman" w:hAnsi="Times New Roman" w:cs="Times New Roman"/>
          <w:b/>
          <w:bCs/>
        </w:rPr>
        <w:t>Methods</w:t>
      </w:r>
    </w:p>
    <w:p w14:paraId="2C015428" w14:textId="77777777" w:rsidR="00AC0837" w:rsidRPr="007739F4" w:rsidRDefault="00AC0837" w:rsidP="00AC0837">
      <w:pPr>
        <w:rPr>
          <w:rFonts w:ascii="Times New Roman" w:hAnsi="Times New Roman" w:cs="Times New Roman"/>
        </w:rPr>
      </w:pPr>
      <w:r>
        <w:rPr>
          <w:rFonts w:ascii="Times New Roman" w:hAnsi="Times New Roman" w:cs="Times New Roman"/>
        </w:rPr>
        <w:t xml:space="preserve">We performed a retrospective cohort study using the </w:t>
      </w:r>
      <w:proofErr w:type="spellStart"/>
      <w:r>
        <w:rPr>
          <w:rFonts w:ascii="Times New Roman" w:hAnsi="Times New Roman" w:cs="Times New Roman"/>
        </w:rPr>
        <w:t>TriNetX</w:t>
      </w:r>
      <w:proofErr w:type="spellEnd"/>
      <w:r>
        <w:rPr>
          <w:rFonts w:ascii="Times New Roman" w:hAnsi="Times New Roman" w:cs="Times New Roman"/>
        </w:rPr>
        <w:t xml:space="preserve"> Research Network, a global federated database of de-identified EHR data drawn from 112 healthcare organizations (HCOs). Adults ages 18-80 years with schizophrenia spectrum disorder were identified by International Classification of Diseases, 10</w:t>
      </w:r>
      <w:r w:rsidRPr="00017189">
        <w:rPr>
          <w:rFonts w:ascii="Times New Roman" w:hAnsi="Times New Roman" w:cs="Times New Roman"/>
          <w:vertAlign w:val="superscript"/>
        </w:rPr>
        <w:t>th</w:t>
      </w:r>
      <w:r>
        <w:rPr>
          <w:rFonts w:ascii="Times New Roman" w:hAnsi="Times New Roman" w:cs="Times New Roman"/>
        </w:rPr>
        <w:t xml:space="preserve"> revision (ICD 10) codes F20-F29. Two cohorts were defined: patients with schizophrenia spectrum disorder prescribed aripiprazole with no prior olanzapine exposure (n=94,759) and patients prescribed olanzapine with no prior aripiprazole exposure (n=1,716,356). </w:t>
      </w:r>
      <w:r w:rsidRPr="00017189">
        <w:rPr>
          <w:rFonts w:ascii="Times New Roman" w:hAnsi="Times New Roman" w:cs="Times New Roman"/>
        </w:rPr>
        <w:t>After 1:1 propensity-score matching by age, sex, race, and ethnicity, each cohort included 94,125 patients (total N = 188,250).</w:t>
      </w:r>
      <w:r>
        <w:rPr>
          <w:rFonts w:ascii="Times New Roman" w:hAnsi="Times New Roman" w:cs="Times New Roman"/>
        </w:rPr>
        <w:t xml:space="preserve"> </w:t>
      </w:r>
      <w:r w:rsidRPr="00524170">
        <w:rPr>
          <w:rFonts w:ascii="Times New Roman" w:hAnsi="Times New Roman" w:cs="Times New Roman"/>
        </w:rPr>
        <w:t>Incidence of new-onset hyperlipidemia, diabetes mellitus, or acute pancreatitis within five years of drug initiation</w:t>
      </w:r>
      <w:r>
        <w:rPr>
          <w:rFonts w:ascii="Times New Roman" w:hAnsi="Times New Roman" w:cs="Times New Roman"/>
        </w:rPr>
        <w:t xml:space="preserve"> was compared by performing r</w:t>
      </w:r>
      <w:r w:rsidRPr="00524170">
        <w:rPr>
          <w:rFonts w:ascii="Times New Roman" w:hAnsi="Times New Roman" w:cs="Times New Roman"/>
        </w:rPr>
        <w:t>isk estimates, Kaplan-Meier survival analysis, log-rank test, and Cox proportional hazards modeling</w:t>
      </w:r>
      <w:r>
        <w:rPr>
          <w:rFonts w:ascii="Times New Roman" w:hAnsi="Times New Roman" w:cs="Times New Roman"/>
        </w:rPr>
        <w:t xml:space="preserve"> </w:t>
      </w:r>
      <w:r w:rsidRPr="00524170">
        <w:rPr>
          <w:rFonts w:ascii="Times New Roman" w:hAnsi="Times New Roman" w:cs="Times New Roman"/>
        </w:rPr>
        <w:t xml:space="preserve">within </w:t>
      </w:r>
      <w:proofErr w:type="spellStart"/>
      <w:r w:rsidRPr="00524170">
        <w:rPr>
          <w:rFonts w:ascii="Times New Roman" w:hAnsi="Times New Roman" w:cs="Times New Roman"/>
        </w:rPr>
        <w:t>TriNetX</w:t>
      </w:r>
      <w:proofErr w:type="spellEnd"/>
      <w:r w:rsidRPr="00524170">
        <w:rPr>
          <w:rFonts w:ascii="Times New Roman" w:hAnsi="Times New Roman" w:cs="Times New Roman"/>
        </w:rPr>
        <w:t>, with significance set at p &lt; 0.05.</w:t>
      </w:r>
    </w:p>
    <w:p w14:paraId="4A065434" w14:textId="77777777" w:rsidR="00AC0837" w:rsidRDefault="00AC0837" w:rsidP="00AC0837">
      <w:pPr>
        <w:rPr>
          <w:rFonts w:ascii="Times New Roman" w:hAnsi="Times New Roman" w:cs="Times New Roman"/>
          <w:b/>
          <w:bCs/>
        </w:rPr>
      </w:pPr>
      <w:r>
        <w:rPr>
          <w:rFonts w:ascii="Times New Roman" w:hAnsi="Times New Roman" w:cs="Times New Roman"/>
          <w:b/>
          <w:bCs/>
        </w:rPr>
        <w:t>Results</w:t>
      </w:r>
    </w:p>
    <w:p w14:paraId="6FD92847" w14:textId="77777777" w:rsidR="00AC0837" w:rsidRPr="00524170" w:rsidRDefault="00AC0837" w:rsidP="00AC0837">
      <w:pPr>
        <w:rPr>
          <w:rFonts w:ascii="Times New Roman" w:hAnsi="Times New Roman" w:cs="Times New Roman"/>
        </w:rPr>
      </w:pPr>
      <w:r>
        <w:rPr>
          <w:rFonts w:ascii="Times New Roman" w:hAnsi="Times New Roman" w:cs="Times New Roman"/>
        </w:rPr>
        <w:t xml:space="preserve">The composite metabolic outcome occurred in 27.7% of patients treated with aripiprazole and 20.1% of patients treated with olanzapine. Prescription of aripiprazole was </w:t>
      </w:r>
      <w:r w:rsidRPr="00463C41">
        <w:rPr>
          <w:rFonts w:ascii="Times New Roman" w:hAnsi="Times New Roman" w:cs="Times New Roman"/>
        </w:rPr>
        <w:t>associated with a significantly increased risk of hyperlipidemia, acute pancreatitis, and diabetes mellitus</w:t>
      </w:r>
      <w:r>
        <w:rPr>
          <w:rFonts w:ascii="Times New Roman" w:hAnsi="Times New Roman" w:cs="Times New Roman"/>
        </w:rPr>
        <w:t xml:space="preserve">: </w:t>
      </w:r>
      <w:r w:rsidRPr="00463C41">
        <w:rPr>
          <w:rFonts w:ascii="Times New Roman" w:hAnsi="Times New Roman" w:cs="Times New Roman"/>
        </w:rPr>
        <w:t>risk difference 0.076 (95% CI:0.073-0.080</w:t>
      </w:r>
      <w:r>
        <w:rPr>
          <w:rFonts w:ascii="Times New Roman" w:hAnsi="Times New Roman" w:cs="Times New Roman"/>
        </w:rPr>
        <w:t xml:space="preserve">; </w:t>
      </w:r>
      <w:r w:rsidRPr="00463C41">
        <w:rPr>
          <w:rFonts w:ascii="Times New Roman" w:hAnsi="Times New Roman" w:cs="Times New Roman"/>
        </w:rPr>
        <w:t>p&lt;0.001),</w:t>
      </w:r>
      <w:r>
        <w:rPr>
          <w:rFonts w:ascii="Times New Roman" w:hAnsi="Times New Roman" w:cs="Times New Roman"/>
        </w:rPr>
        <w:t xml:space="preserve"> </w:t>
      </w:r>
      <w:r w:rsidRPr="00463C41">
        <w:rPr>
          <w:rFonts w:ascii="Times New Roman" w:hAnsi="Times New Roman" w:cs="Times New Roman"/>
        </w:rPr>
        <w:t>risk ratio</w:t>
      </w:r>
      <w:r>
        <w:rPr>
          <w:rFonts w:ascii="Times New Roman" w:hAnsi="Times New Roman" w:cs="Times New Roman"/>
        </w:rPr>
        <w:t xml:space="preserve"> </w:t>
      </w:r>
      <w:r w:rsidRPr="00463C41">
        <w:rPr>
          <w:rFonts w:ascii="Times New Roman" w:hAnsi="Times New Roman" w:cs="Times New Roman"/>
        </w:rPr>
        <w:t>1.380 (95% CI:1.358-1.403), and odds ratio</w:t>
      </w:r>
      <w:r>
        <w:rPr>
          <w:rFonts w:ascii="Times New Roman" w:hAnsi="Times New Roman" w:cs="Times New Roman"/>
        </w:rPr>
        <w:t xml:space="preserve"> </w:t>
      </w:r>
      <w:r w:rsidRPr="00463C41">
        <w:rPr>
          <w:rFonts w:ascii="Times New Roman" w:hAnsi="Times New Roman" w:cs="Times New Roman"/>
        </w:rPr>
        <w:t>1.526 (95% CI:1.494-1.559).</w:t>
      </w:r>
      <w:r>
        <w:rPr>
          <w:rFonts w:ascii="Times New Roman" w:hAnsi="Times New Roman" w:cs="Times New Roman"/>
        </w:rPr>
        <w:t xml:space="preserve"> Kaplan-Meier analysis demonstrated significantly lower metabolic event-free survival for aripiprazole (60.87%) versus olanzapine (68.93%) </w:t>
      </w:r>
      <w:r w:rsidRPr="00463C41">
        <w:rPr>
          <w:rFonts w:ascii="Times New Roman" w:hAnsi="Times New Roman" w:cs="Times New Roman"/>
        </w:rPr>
        <w:t>(log-rank χ²= 875.280; p&lt;0.001).</w:t>
      </w:r>
      <w:r>
        <w:rPr>
          <w:rFonts w:ascii="Times New Roman" w:hAnsi="Times New Roman" w:cs="Times New Roman"/>
        </w:rPr>
        <w:t xml:space="preserve"> The hazard ratio was 1.33 (</w:t>
      </w:r>
      <w:r w:rsidRPr="00463C41">
        <w:rPr>
          <w:rFonts w:ascii="Times New Roman" w:hAnsi="Times New Roman" w:cs="Times New Roman"/>
        </w:rPr>
        <w:t>95% CI:1.300-1.350</w:t>
      </w:r>
      <w:r>
        <w:rPr>
          <w:rFonts w:ascii="Times New Roman" w:hAnsi="Times New Roman" w:cs="Times New Roman"/>
        </w:rPr>
        <w:t>), indicating a 33% higher risk of metabolic complications with aripiprazole. The proportional hazards assumption was not violated (p = 0.791).</w:t>
      </w:r>
    </w:p>
    <w:p w14:paraId="78EB2061" w14:textId="77777777" w:rsidR="00AC0837" w:rsidRDefault="00AC0837" w:rsidP="00AC0837">
      <w:pPr>
        <w:rPr>
          <w:rFonts w:ascii="Times New Roman" w:hAnsi="Times New Roman" w:cs="Times New Roman"/>
          <w:b/>
          <w:bCs/>
        </w:rPr>
      </w:pPr>
    </w:p>
    <w:p w14:paraId="6F461B5A" w14:textId="77777777" w:rsidR="00AC0837" w:rsidRDefault="00AC0837" w:rsidP="00AC0837">
      <w:pPr>
        <w:rPr>
          <w:rFonts w:ascii="Times New Roman" w:hAnsi="Times New Roman" w:cs="Times New Roman"/>
          <w:b/>
          <w:bCs/>
        </w:rPr>
      </w:pPr>
    </w:p>
    <w:p w14:paraId="6F943E1C" w14:textId="77777777" w:rsidR="00AC0837" w:rsidRDefault="00AC0837" w:rsidP="00AC0837">
      <w:pPr>
        <w:rPr>
          <w:rFonts w:ascii="Times New Roman" w:hAnsi="Times New Roman" w:cs="Times New Roman"/>
          <w:b/>
          <w:bCs/>
        </w:rPr>
      </w:pPr>
    </w:p>
    <w:p w14:paraId="251FA019" w14:textId="77777777" w:rsidR="00AC0837" w:rsidRDefault="00AC0837" w:rsidP="00AC0837">
      <w:pPr>
        <w:rPr>
          <w:rFonts w:ascii="Times New Roman" w:hAnsi="Times New Roman" w:cs="Times New Roman"/>
          <w:b/>
          <w:bCs/>
        </w:rPr>
      </w:pPr>
      <w:r>
        <w:rPr>
          <w:rFonts w:ascii="Times New Roman" w:hAnsi="Times New Roman" w:cs="Times New Roman"/>
          <w:b/>
          <w:bCs/>
        </w:rPr>
        <w:t>Discussion</w:t>
      </w:r>
    </w:p>
    <w:p w14:paraId="494DB686" w14:textId="77777777" w:rsidR="00AC0837" w:rsidRPr="001C580D" w:rsidRDefault="00AC0837" w:rsidP="00AC0837">
      <w:pPr>
        <w:rPr>
          <w:rFonts w:ascii="Times New Roman" w:hAnsi="Times New Roman" w:cs="Times New Roman"/>
          <w:b/>
          <w:bCs/>
        </w:rPr>
      </w:pPr>
      <w:r>
        <w:rPr>
          <w:rFonts w:ascii="Times New Roman" w:hAnsi="Times New Roman" w:cs="Times New Roman"/>
        </w:rPr>
        <w:t>P</w:t>
      </w:r>
      <w:r w:rsidRPr="001C580D">
        <w:rPr>
          <w:rFonts w:ascii="Times New Roman" w:hAnsi="Times New Roman" w:cs="Times New Roman"/>
        </w:rPr>
        <w:t>atients treated with aripiprazole demonstrated a higher incidence of the combined metabolic</w:t>
      </w:r>
      <w:r>
        <w:rPr>
          <w:rFonts w:ascii="Times New Roman" w:hAnsi="Times New Roman" w:cs="Times New Roman"/>
        </w:rPr>
        <w:t xml:space="preserve"> outcome</w:t>
      </w:r>
      <w:r w:rsidRPr="001C580D">
        <w:rPr>
          <w:rFonts w:ascii="Times New Roman" w:hAnsi="Times New Roman" w:cs="Times New Roman"/>
        </w:rPr>
        <w:t xml:space="preserve"> compared with those on olanzapine.</w:t>
      </w:r>
      <w:r>
        <w:rPr>
          <w:rFonts w:ascii="Times New Roman" w:hAnsi="Times New Roman" w:cs="Times New Roman"/>
        </w:rPr>
        <w:t xml:space="preserve"> </w:t>
      </w:r>
      <w:r w:rsidRPr="0005630A">
        <w:rPr>
          <w:rFonts w:ascii="Times New Roman" w:hAnsi="Times New Roman" w:cs="Times New Roman"/>
        </w:rPr>
        <w:t xml:space="preserve">These </w:t>
      </w:r>
      <w:r>
        <w:rPr>
          <w:rFonts w:ascii="Times New Roman" w:hAnsi="Times New Roman" w:cs="Times New Roman"/>
        </w:rPr>
        <w:t>results</w:t>
      </w:r>
      <w:r w:rsidRPr="0005630A">
        <w:rPr>
          <w:rFonts w:ascii="Times New Roman" w:hAnsi="Times New Roman" w:cs="Times New Roman"/>
        </w:rPr>
        <w:t xml:space="preserve"> are counter to the conventional expectation that olanzapine carries greater metabolic risk </w:t>
      </w:r>
      <w:r>
        <w:rPr>
          <w:rFonts w:ascii="Times New Roman" w:hAnsi="Times New Roman" w:cs="Times New Roman"/>
        </w:rPr>
        <w:t>than aripiprazole, which</w:t>
      </w:r>
      <w:r w:rsidRPr="0005630A">
        <w:rPr>
          <w:rFonts w:ascii="Times New Roman" w:hAnsi="Times New Roman" w:cs="Times New Roman"/>
        </w:rPr>
        <w:t xml:space="preserve"> suggest</w:t>
      </w:r>
      <w:r>
        <w:rPr>
          <w:rFonts w:ascii="Times New Roman" w:hAnsi="Times New Roman" w:cs="Times New Roman"/>
        </w:rPr>
        <w:t>s that the established metabolic advantage of aripiprazole may not always hold</w:t>
      </w:r>
      <w:r w:rsidRPr="0005630A">
        <w:rPr>
          <w:rFonts w:ascii="Times New Roman" w:hAnsi="Times New Roman" w:cs="Times New Roman"/>
        </w:rPr>
        <w:t xml:space="preserve"> in usual clinical practice.</w:t>
      </w:r>
      <w:r>
        <w:rPr>
          <w:rFonts w:ascii="Times New Roman" w:hAnsi="Times New Roman" w:cs="Times New Roman"/>
        </w:rPr>
        <w:t xml:space="preserve"> This may reflect </w:t>
      </w:r>
      <w:r w:rsidRPr="0005630A">
        <w:rPr>
          <w:rFonts w:ascii="Times New Roman" w:hAnsi="Times New Roman" w:cs="Times New Roman"/>
        </w:rPr>
        <w:t>residual confounding</w:t>
      </w:r>
      <w:r>
        <w:rPr>
          <w:rFonts w:ascii="Times New Roman" w:hAnsi="Times New Roman" w:cs="Times New Roman"/>
        </w:rPr>
        <w:t xml:space="preserve">, </w:t>
      </w:r>
      <w:r w:rsidRPr="0005630A">
        <w:rPr>
          <w:rFonts w:ascii="Times New Roman" w:hAnsi="Times New Roman" w:cs="Times New Roman"/>
        </w:rPr>
        <w:t>differential monitoring frequency</w:t>
      </w:r>
      <w:r>
        <w:rPr>
          <w:rFonts w:ascii="Times New Roman" w:hAnsi="Times New Roman" w:cs="Times New Roman"/>
        </w:rPr>
        <w:t xml:space="preserve">, or prescribing bias that preferentially assigns olanzapine </w:t>
      </w:r>
      <w:r>
        <w:rPr>
          <w:rFonts w:ascii="Times New Roman" w:hAnsi="Times New Roman" w:cs="Times New Roman"/>
        </w:rPr>
        <w:lastRenderedPageBreak/>
        <w:t xml:space="preserve">to lower-risk patients. From a clinical perspective, these findings underscore the need for an individualized approach to antipsychotic selection and regular metabolic </w:t>
      </w:r>
      <w:r w:rsidRPr="009B6397">
        <w:rPr>
          <w:rFonts w:ascii="Times New Roman" w:hAnsi="Times New Roman" w:cs="Times New Roman"/>
        </w:rPr>
        <w:t>surveillance</w:t>
      </w:r>
      <w:r>
        <w:rPr>
          <w:rFonts w:ascii="Times New Roman" w:hAnsi="Times New Roman" w:cs="Times New Roman"/>
        </w:rPr>
        <w:t xml:space="preserve"> regardless </w:t>
      </w:r>
      <w:r>
        <w:rPr>
          <w:rFonts w:ascii="Times New Roman" w:eastAsia="Times New Roman" w:hAnsi="Times New Roman" w:cs="Times New Roman"/>
        </w:rPr>
        <w:t>of a medication’s perceived safety profile.</w:t>
      </w:r>
      <w:r>
        <w:rPr>
          <w:rFonts w:ascii="Times New Roman" w:hAnsi="Times New Roman" w:cs="Times New Roman"/>
        </w:rPr>
        <w:t xml:space="preserve"> </w:t>
      </w:r>
      <w:r w:rsidRPr="0005630A">
        <w:rPr>
          <w:rFonts w:ascii="Times New Roman" w:hAnsi="Times New Roman" w:cs="Times New Roman"/>
        </w:rPr>
        <w:t xml:space="preserve"> </w:t>
      </w:r>
    </w:p>
    <w:p w14:paraId="45600B8B" w14:textId="77777777" w:rsidR="00AC0837" w:rsidRDefault="00AC0837" w:rsidP="00AC0837">
      <w:pPr>
        <w:rPr>
          <w:rFonts w:ascii="Times New Roman" w:hAnsi="Times New Roman" w:cs="Times New Roman"/>
          <w:b/>
          <w:bCs/>
        </w:rPr>
      </w:pPr>
      <w:r>
        <w:rPr>
          <w:rFonts w:ascii="Times New Roman" w:hAnsi="Times New Roman" w:cs="Times New Roman"/>
          <w:b/>
          <w:bCs/>
        </w:rPr>
        <w:t>Conclusion</w:t>
      </w:r>
    </w:p>
    <w:p w14:paraId="10A7BDAC" w14:textId="77777777" w:rsidR="00AC0837" w:rsidRPr="009B6397" w:rsidRDefault="00AC0837" w:rsidP="00AC0837">
      <w:pPr>
        <w:rPr>
          <w:rFonts w:ascii="Times New Roman" w:hAnsi="Times New Roman" w:cs="Times New Roman"/>
        </w:rPr>
      </w:pPr>
      <w:r w:rsidRPr="009B6397">
        <w:rPr>
          <w:rFonts w:ascii="Times New Roman" w:hAnsi="Times New Roman" w:cs="Times New Roman"/>
        </w:rPr>
        <w:t>In this large</w:t>
      </w:r>
      <w:r>
        <w:rPr>
          <w:rFonts w:ascii="Times New Roman" w:hAnsi="Times New Roman" w:cs="Times New Roman"/>
        </w:rPr>
        <w:t xml:space="preserve"> real-world</w:t>
      </w:r>
      <w:r w:rsidRPr="009B6397">
        <w:rPr>
          <w:rFonts w:ascii="Times New Roman" w:hAnsi="Times New Roman" w:cs="Times New Roman"/>
        </w:rPr>
        <w:t xml:space="preserve"> </w:t>
      </w:r>
      <w:r>
        <w:rPr>
          <w:rFonts w:ascii="Times New Roman" w:hAnsi="Times New Roman" w:cs="Times New Roman"/>
        </w:rPr>
        <w:t xml:space="preserve">retrospective cohort analysis, </w:t>
      </w:r>
      <w:r w:rsidRPr="00306252">
        <w:rPr>
          <w:rFonts w:ascii="Times New Roman" w:hAnsi="Times New Roman" w:cs="Times New Roman"/>
        </w:rPr>
        <w:t>aripiprazole use was unexpectedly associated with a higher incidence of metabolic complications</w:t>
      </w:r>
      <w:r>
        <w:rPr>
          <w:rFonts w:ascii="Times New Roman" w:hAnsi="Times New Roman" w:cs="Times New Roman"/>
        </w:rPr>
        <w:t xml:space="preserve"> compared to olanzapine. </w:t>
      </w:r>
      <w:r w:rsidRPr="00306252">
        <w:rPr>
          <w:rFonts w:ascii="Times New Roman" w:hAnsi="Times New Roman" w:cs="Times New Roman"/>
        </w:rPr>
        <w:t>These findings challenge prevailing assumptions regarding the relative metabolic safety of SGAs and underscore the importance of continued metabolic surveillance for all antipsychotic-treated patients</w:t>
      </w:r>
      <w:r>
        <w:rPr>
          <w:rFonts w:ascii="Times New Roman" w:hAnsi="Times New Roman" w:cs="Times New Roman"/>
        </w:rPr>
        <w:t xml:space="preserve">. Future studies should </w:t>
      </w:r>
      <w:r w:rsidRPr="00306252">
        <w:rPr>
          <w:rFonts w:ascii="Times New Roman" w:hAnsi="Times New Roman" w:cs="Times New Roman"/>
        </w:rPr>
        <w:t>incorporate granular data on dosage, treatment duration, and lifestyle factors to clarify causal mechanisms</w:t>
      </w:r>
      <w:r>
        <w:rPr>
          <w:rFonts w:ascii="Times New Roman" w:hAnsi="Times New Roman" w:cs="Times New Roman"/>
        </w:rPr>
        <w:t>.</w:t>
      </w:r>
    </w:p>
    <w:p w14:paraId="1BD0E860" w14:textId="77777777" w:rsidR="00AC0837" w:rsidRDefault="00AC0837">
      <w:pPr>
        <w:spacing w:after="160"/>
        <w:rPr>
          <w:rFonts w:ascii="Times New Roman" w:eastAsia="Times New Roman" w:hAnsi="Times New Roman" w:cs="Times New Roman"/>
          <w:b/>
          <w:sz w:val="24"/>
          <w:szCs w:val="24"/>
        </w:rPr>
      </w:pPr>
    </w:p>
    <w:p w14:paraId="18FBDD10" w14:textId="77777777" w:rsidR="001B68E9" w:rsidRDefault="00B01EA4">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15C6417"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Second-generation antipsychotics (SGAs) have transformed the management of schizophrenia and other psychotic disorders by providing effective symptom control with fewer extrapyramidal side effects than first-generation agents [1-3]. However, SGAs are also associated with significant metabolic adverse effects, including weight gain, dyslipidemia, insulin resistance, and an increased risk of diabetes mellitus and pancreatitis [4-9]. These metabolic complications contribute to premature morbidity and mortality among individuals with severe mental illness, emphasizing the need to better characterize the relative metabolic safety of different </w:t>
      </w:r>
      <w:proofErr w:type="gramStart"/>
      <w:r>
        <w:rPr>
          <w:rFonts w:ascii="Times New Roman" w:eastAsia="Times New Roman" w:hAnsi="Times New Roman" w:cs="Times New Roman"/>
          <w:sz w:val="24"/>
          <w:szCs w:val="24"/>
        </w:rPr>
        <w:t>SGAs  [</w:t>
      </w:r>
      <w:proofErr w:type="gramEnd"/>
      <w:r>
        <w:rPr>
          <w:rFonts w:ascii="Times New Roman" w:eastAsia="Times New Roman" w:hAnsi="Times New Roman" w:cs="Times New Roman"/>
          <w:sz w:val="24"/>
          <w:szCs w:val="24"/>
        </w:rPr>
        <w:t>10-12].</w:t>
      </w:r>
    </w:p>
    <w:p w14:paraId="20787F74"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Among SGAs, olanzapine is consistently associated with some of the greatest metabolic liability, whereas aripiprazole, a partial dopamine D₂ receptor agonist, is generally considered more metabolically neutral [13-16]. Although multiple randomized controlled trials and meta-analyses have compared these agents, results have varied depending on duration, dosage, and population characteristics [17-19]. Moreover, few large-scale real-world studies have examined these associations across diverse populations using harmonized electronic health record (EHR) data.</w:t>
      </w:r>
    </w:p>
    <w:p w14:paraId="49BE485A"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aimed to compare the risk of developing hyperlipidemia, diabetes mellitus, and pancreatitis among adults prescribed aripiprazole versus olanzapine. Using the global </w:t>
      </w:r>
      <w:proofErr w:type="spellStart"/>
      <w:r>
        <w:rPr>
          <w:rFonts w:ascii="Times New Roman" w:eastAsia="Times New Roman" w:hAnsi="Times New Roman" w:cs="Times New Roman"/>
          <w:sz w:val="24"/>
          <w:szCs w:val="24"/>
        </w:rPr>
        <w:t>TriNetX</w:t>
      </w:r>
      <w:proofErr w:type="spellEnd"/>
      <w:r>
        <w:rPr>
          <w:rFonts w:ascii="Times New Roman" w:eastAsia="Times New Roman" w:hAnsi="Times New Roman" w:cs="Times New Roman"/>
          <w:sz w:val="24"/>
          <w:szCs w:val="24"/>
        </w:rPr>
        <w:t xml:space="preserve"> research network, we conducted a retrospective cohort analysis to evaluate metabolic outcomes following initiation of either medication. We hypothesized that patients receiving aripiprazole would have significantly lower risks of metabolic complications compared with those receiving olanzapine.</w:t>
      </w:r>
    </w:p>
    <w:p w14:paraId="23EA7BEA" w14:textId="77777777" w:rsidR="001B68E9" w:rsidRDefault="00B01EA4">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75A083F7"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retrospective cohort study was conducted using the </w:t>
      </w:r>
      <w:proofErr w:type="spellStart"/>
      <w:r>
        <w:rPr>
          <w:rFonts w:ascii="Times New Roman" w:eastAsia="Times New Roman" w:hAnsi="Times New Roman" w:cs="Times New Roman"/>
          <w:sz w:val="24"/>
          <w:szCs w:val="24"/>
        </w:rPr>
        <w:t>TriNetX</w:t>
      </w:r>
      <w:proofErr w:type="spellEnd"/>
      <w:r>
        <w:rPr>
          <w:rFonts w:ascii="Times New Roman" w:eastAsia="Times New Roman" w:hAnsi="Times New Roman" w:cs="Times New Roman"/>
          <w:sz w:val="24"/>
          <w:szCs w:val="24"/>
        </w:rPr>
        <w:t xml:space="preserve"> Research Network, a global federated database of de-identified EHR data drawn from 112 healthcare organizations (HCOs) [20]. The network comprises demographic, diagnostic, procedural, medication, and laboratory data from participating institutions under HIPAA-compliant standards. The analysis compared two cohorts of adult patients with schizophrenia spectrum or other non-mood psychotic disorders </w:t>
      </w:r>
      <w:r>
        <w:rPr>
          <w:rFonts w:ascii="Times New Roman" w:eastAsia="Times New Roman" w:hAnsi="Times New Roman" w:cs="Times New Roman"/>
          <w:sz w:val="24"/>
          <w:szCs w:val="24"/>
        </w:rPr>
        <w:lastRenderedPageBreak/>
        <w:t>(ICD-10: F20-F29) who received either aripiprazole or olanzapine using patient data spanning from 2005 to 2025.</w:t>
      </w:r>
    </w:p>
    <w:p w14:paraId="29F39145"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aged 18 through 80 years at the time of first antipsychotic exposure were eligible. The index event for each cohort was defined as the first prescription of the respective antipsychotic: for the first cohort, which we called the aripiprazole cohort, the first record of NLM:RXNORM:89013 aripiprazole in a patient with an F20-F29 diagnosis and no prior olanzapine exposure; for the second cohort, which we called the olanzapine cohort, the first record of NLM:RXNORM:61381 olanzapine in a patient with an F20-F29 diagnosis and no prior aripiprazole exposure. The time window for outcomes began one day after the index event and extended up to 1,825 days (five years) afterward. We defined three primary metabolic outcomes: new-onset hyperlipidemia (ICD-10: E78.5), acute pancreatitis (ICD-10: K85), and diabetes mellitus (ICD-10: E08-E13).</w:t>
      </w:r>
    </w:p>
    <w:p w14:paraId="0018C555"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confounding, 1:1 propensity-score matching was performed between the aripiprazole and olanzapine cohorts based on age, sex, race, and ethnicity. Balance between matched cohorts was verified by standardized mean differences (SMD &lt; 0.01) and p-values for group comparisons (all p &gt; 0.05). Following matching, each cohort contained 94,125 patients (total N = 188,250).</w:t>
      </w:r>
    </w:p>
    <w:p w14:paraId="5157095F"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methods included calculation of risk (incidence) in each cohort, risk difference, risk ratio, and odds ratio (with 95% confidence intervals). Kaplan–Meier survival analyses were used to estimate freedom from any metabolic outcome over the follow-up period, with log-rank testing to compare survival curves and Cox proportional hazards modelling to estimate hazard ratios (HRs) and test proportionality. In this study, survival probability refers to the probability that a patient survives without experiencing the outcome of interest, so a higher proportion would indicate fewer patients in the population experienced hyperlipidemia, diabetes mellitus, or pancreatitis. All analyses were executed using the built-in analytics functions of the </w:t>
      </w:r>
      <w:proofErr w:type="spellStart"/>
      <w:r>
        <w:rPr>
          <w:rFonts w:ascii="Times New Roman" w:eastAsia="Times New Roman" w:hAnsi="Times New Roman" w:cs="Times New Roman"/>
          <w:sz w:val="24"/>
          <w:szCs w:val="24"/>
        </w:rPr>
        <w:t>TriNetX</w:t>
      </w:r>
      <w:proofErr w:type="spellEnd"/>
      <w:r>
        <w:rPr>
          <w:rFonts w:ascii="Times New Roman" w:eastAsia="Times New Roman" w:hAnsi="Times New Roman" w:cs="Times New Roman"/>
          <w:sz w:val="24"/>
          <w:szCs w:val="24"/>
        </w:rPr>
        <w:t xml:space="preserve"> platform and significance level was set to p &lt; 0.05 for respective analyses.</w:t>
      </w:r>
    </w:p>
    <w:p w14:paraId="130F63E6" w14:textId="77777777" w:rsidR="001B68E9" w:rsidRDefault="00B01EA4">
      <w:pPr>
        <w:spacing w:after="160"/>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Results</w:t>
      </w:r>
    </w:p>
    <w:p w14:paraId="50781C43"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all 1,811,115 patients with a diagnosis of schizophrenia, schizotypal, delusional, or other non-mood psychotic disorder were identified (ICD-10: F20-F29). These patients were categorized into the two aforementioned cohorts. Before propensity score matching was performed to minimize baseline demographic differences between the groups, the aripiprazole cohort contained 94,759 patients with schizophrenia spectrum disorder who were prescribed aripiprazole with no olanzapine exposure. The olanzapine cohort contained 1,716,356 patients with schizophrenia spectrum disorder who were prescribed olanzapine with no aripiprazole exposure. After propensity matching, each cohort contained 94,125 patients, yielding a total of 188,250 patients in the final analysis. </w:t>
      </w:r>
    </w:p>
    <w:p w14:paraId="2AE1088A"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115394"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Propensity score matching was based on age, sex, race, and ethnicity, and balance between cohorts was confirmed by comparing pre- and post- matching characteristics. Prior to matching, significant demographic differences existed between the two cohorts. The aripiprazole group had an average age of 47.6 years (SD ± 16.6), with 52.6% (n=49,548) being female, and 47.3% (n=44,505) being male. In comparison, the olanzapine group was slightly older with an average age of 51.6 years (SD ± 17.1) and more likely to be male (52.5%, n=869,302). </w:t>
      </w:r>
    </w:p>
    <w:p w14:paraId="31C00625"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B887D1"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In regard to race and ethnicity, White individuals represented 54.9% (n=51,699) of the aripiprazole group and 58.9% (n=975,224) of the olanzapine group. Black or African American individuals comprised 28.1% (n=26,406) of the aripiprazole group and 22.2% (n=367,637) of the olanzapine group. Asian patients accounted for 4.1% (n=3,901) of the aripiprazole group and 2.7% (44,454) of the olanzapine group.  Other racial groups, including American Indian or Alaska Native (0.7% vs. 0.7%) and Native Hawaiian or Pacific Islander (0.6% vs. 0.5%), were similar across the two cohorts. Hispanic or Latino patients comprised 9.3% (n=8,711) of the aripiprazole group and 7.4% (n=122,423) of the olanzapine group, while non-Hispanic patients represented 72.0% (n=67,771) and 67.0% (n=1,109,902), respectively.</w:t>
      </w:r>
    </w:p>
    <w:p w14:paraId="783F369D"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1F0F23"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matching, all demographic differences were eliminated and the mean values and proportions for each category were nearly identical (p &gt; .05 for all comparisons). Additionally, standardized mean differences were &lt; 0.01, indicating excellent balance.</w:t>
      </w:r>
    </w:p>
    <w:p w14:paraId="3E946CFC"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25CD05"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 Demographic characteristics by group</w:t>
      </w:r>
    </w:p>
    <w:p w14:paraId="483731F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1845"/>
        <w:gridCol w:w="1800"/>
        <w:gridCol w:w="1845"/>
        <w:gridCol w:w="1800"/>
      </w:tblGrid>
      <w:tr w:rsidR="001B68E9" w14:paraId="5E12EF25" w14:textId="77777777">
        <w:trPr>
          <w:trHeight w:val="1065"/>
        </w:trPr>
        <w:tc>
          <w:tcPr>
            <w:tcW w:w="1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512A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292113"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Aripiprazole Group Pre-PSM (n=94,759)</w:t>
            </w:r>
          </w:p>
        </w:tc>
        <w:tc>
          <w:tcPr>
            <w:tcW w:w="18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E6CDA3"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Olanzapine Group Pre-PSM (n=1,716,356)</w:t>
            </w:r>
          </w:p>
        </w:tc>
        <w:tc>
          <w:tcPr>
            <w:tcW w:w="1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6BCA3E"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Aripiprazole Group Post-PSM (n=94,125)</w:t>
            </w:r>
          </w:p>
        </w:tc>
        <w:tc>
          <w:tcPr>
            <w:tcW w:w="18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3A992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Olanzapine Group Post-PSM (n=94,125)</w:t>
            </w:r>
          </w:p>
        </w:tc>
      </w:tr>
      <w:tr w:rsidR="001B68E9" w14:paraId="133ED1FE" w14:textId="77777777">
        <w:trPr>
          <w:trHeight w:val="79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6D4732"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Age, mean ± SD</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650FA1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47.6 ± 16.6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7B9735A5"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51.6 ± 17.1</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2F1ED5B"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47.6 ± 16.6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62BA3F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47.6 ± 16.6</w:t>
            </w:r>
          </w:p>
        </w:tc>
      </w:tr>
      <w:tr w:rsidR="001B68E9" w14:paraId="63EFEB10"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0AAFC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Gender, n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106291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463B320"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FDB7CA9"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324A356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B68E9" w14:paraId="2790F040"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19B090"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2973F6F"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49,548 (52.6)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F6944DE"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735,532 (44.4)</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483AD53"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49,548 (52.6)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6A9D173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49,567 (52.7)</w:t>
            </w:r>
          </w:p>
        </w:tc>
      </w:tr>
      <w:tr w:rsidR="001B68E9" w14:paraId="3E4FC885"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5D9B7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8222AB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44,505 (47.3)</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01CDFD3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869,302 (52.5)</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677B9B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44,505 (47.3)</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A1C64B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44,486 (47.3)</w:t>
            </w:r>
          </w:p>
        </w:tc>
      </w:tr>
      <w:tr w:rsidR="001B68E9" w14:paraId="10BBE9A6"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CC7794"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Race, n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014136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7D391774"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245B075"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68F40F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B68E9" w14:paraId="2BE66077" w14:textId="77777777">
        <w:trPr>
          <w:trHeight w:val="79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FF355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White Individuals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0ADE84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51,699 (54.9)</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6AB4C2EF"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975,224 (58.9)</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3A72E2E"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51,699 (54.9)</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2FA36F02"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51,760 (55.0)</w:t>
            </w:r>
          </w:p>
        </w:tc>
      </w:tr>
      <w:tr w:rsidR="001B68E9" w14:paraId="5C4843A9" w14:textId="77777777">
        <w:trPr>
          <w:trHeight w:val="133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0F8CA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Black or African American Individuals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F947B5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26,406 (28.1)</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6E4CEF8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367,637 (22.2)</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88D107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26,406 (28.1)</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76BD6E95"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26,441 (28.1)</w:t>
            </w:r>
          </w:p>
        </w:tc>
      </w:tr>
      <w:tr w:rsidR="001B68E9" w14:paraId="7A4C7C80" w14:textId="77777777">
        <w:trPr>
          <w:trHeight w:val="79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589C3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Asian Individuals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16D9A15"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3,901 (4.1)</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4BD0900"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44,454 (2.7)</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30EF1B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3901 (4.1)</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5F5C7DA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3,940 (4.2)</w:t>
            </w:r>
          </w:p>
        </w:tc>
      </w:tr>
      <w:tr w:rsidR="001B68E9" w14:paraId="511EDE15" w14:textId="77777777">
        <w:trPr>
          <w:trHeight w:val="133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5133BB"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Indian or Alaska Native Individuals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D3A893D"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670 (0.7)</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09AFD01E"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11,416 (0.7)</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8CFB20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670 (0.7)</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2EE0ABE"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571 (0.6)</w:t>
            </w:r>
          </w:p>
        </w:tc>
      </w:tr>
      <w:tr w:rsidR="001B68E9" w14:paraId="68F952DF" w14:textId="77777777">
        <w:trPr>
          <w:trHeight w:val="160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3ABB4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Native Hawaiian or Other Pacific Islander Individuals</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02F38A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608 (0.6)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5E9C6E4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7,556 (0.5)</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323F61F3"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608 (0.6)</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49D7E0B"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517 (0.5)</w:t>
            </w:r>
          </w:p>
        </w:tc>
      </w:tr>
      <w:tr w:rsidR="001B68E9" w14:paraId="6D3434E3"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ED1DE9"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6A158E0"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3,130 (3.3)</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76DB4C0F"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57,030 (3.4)</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601CE9D"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3,130 (3.3)</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E603DEB"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3,114 (3.3)</w:t>
            </w:r>
          </w:p>
        </w:tc>
      </w:tr>
      <w:tr w:rsidR="001B68E9" w14:paraId="6F2623EB"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DDE47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Unknown</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0992C11D"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7,711 (8.2)</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5E07302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193,761 (11.7)</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4CE3D7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7,711 (8.2)</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071942D9"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7,782 (8.3)</w:t>
            </w:r>
          </w:p>
        </w:tc>
      </w:tr>
      <w:tr w:rsidR="001B68E9" w14:paraId="642AB30A"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3CEB34"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Ethnicity, n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2D17F50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0B2087F5"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7A0C7720"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B42FE83"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B68E9" w14:paraId="07BF2E56" w14:textId="77777777">
        <w:trPr>
          <w:trHeight w:val="79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23837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Hispanic or Latino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E77373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8,711 (9.3)</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E8ECBD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122,423 (7.4)</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72DF4A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8,711 (9.3)</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90FA1CF"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8,624 (9.2)</w:t>
            </w:r>
          </w:p>
        </w:tc>
      </w:tr>
      <w:tr w:rsidR="001B68E9" w14:paraId="6A0E26DF" w14:textId="77777777">
        <w:trPr>
          <w:trHeight w:val="79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614C3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Not Hispanic of Latino</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BB4E16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67,771 (72.0)</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7538BC1B"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1,109,902 (67.0)</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1C9549C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67,771 (72.0)</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263C1569"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67,832 (72.1)</w:t>
            </w:r>
          </w:p>
        </w:tc>
      </w:tr>
      <w:tr w:rsidR="001B68E9" w14:paraId="04A82F8B" w14:textId="77777777">
        <w:trPr>
          <w:trHeight w:val="52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F62F0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Unknown</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6E76D63D"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17,643 (18.7)</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6005D2ED"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424,753 (25.6)</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5A79B62C"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17,643 (18.7)</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0A4E9B4B"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17,669 (18.8)</w:t>
            </w:r>
          </w:p>
        </w:tc>
      </w:tr>
    </w:tbl>
    <w:p w14:paraId="433489D0"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97D1BE"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56566A"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aripiprazole cohort, hyperlipidemia, acute pancreatitis, or diabetes mellitus were documented in 27.7% of patients (n=26,086). While in the olanzapine cohort, these metabolic diagnoses were documented in 20.1% of patients (n=18,899). Prescription of aripiprazole was associated with a significantly increased risk of hyperlipidemia, acute pancreatitis, and diabetes </w:t>
      </w:r>
      <w:r>
        <w:rPr>
          <w:rFonts w:ascii="Times New Roman" w:eastAsia="Times New Roman" w:hAnsi="Times New Roman" w:cs="Times New Roman"/>
          <w:sz w:val="24"/>
          <w:szCs w:val="24"/>
        </w:rPr>
        <w:lastRenderedPageBreak/>
        <w:t xml:space="preserve">mellitus. The results indicated a risk difference of 0.076 (95% CI:0.073-0.080, z=38.843, p&lt;0.001), a risk ratio of 1.380 (95% CI:1.358-1.403), and an odds ratio of 1.526 (95% CI:1.494-1.559). </w:t>
      </w:r>
    </w:p>
    <w:p w14:paraId="333E0C08"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605B7B"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Measures of association: cohort risk, risk ratio, and odds ratio</w:t>
      </w:r>
    </w:p>
    <w:tbl>
      <w:tblPr>
        <w:tblStyle w:val="a0"/>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10"/>
        <w:gridCol w:w="2235"/>
        <w:gridCol w:w="2235"/>
      </w:tblGrid>
      <w:tr w:rsidR="001B68E9" w14:paraId="00AB0BCF" w14:textId="77777777">
        <w:trPr>
          <w:trHeight w:val="555"/>
        </w:trPr>
        <w:tc>
          <w:tcPr>
            <w:tcW w:w="23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26FF4"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Aripiprazole Group Risk</w:t>
            </w:r>
          </w:p>
        </w:tc>
        <w:tc>
          <w:tcPr>
            <w:tcW w:w="23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AD9744"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Olanzapine Group Risk</w:t>
            </w:r>
          </w:p>
        </w:tc>
        <w:tc>
          <w:tcPr>
            <w:tcW w:w="22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90EB50"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Risk Ratio (95% CI)</w:t>
            </w:r>
          </w:p>
        </w:tc>
        <w:tc>
          <w:tcPr>
            <w:tcW w:w="22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A038AD"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Odds Ratio (95% CI)</w:t>
            </w:r>
          </w:p>
        </w:tc>
      </w:tr>
      <w:tr w:rsidR="001B68E9" w14:paraId="555EEAA9" w14:textId="77777777">
        <w:trPr>
          <w:trHeight w:val="285"/>
        </w:trPr>
        <w:tc>
          <w:tcPr>
            <w:tcW w:w="23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F0B833"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0.277</w:t>
            </w:r>
          </w:p>
        </w:tc>
        <w:tc>
          <w:tcPr>
            <w:tcW w:w="2310" w:type="dxa"/>
            <w:tcBorders>
              <w:top w:val="nil"/>
              <w:left w:val="nil"/>
              <w:bottom w:val="single" w:sz="6" w:space="0" w:color="000000"/>
              <w:right w:val="single" w:sz="6" w:space="0" w:color="000000"/>
            </w:tcBorders>
            <w:tcMar>
              <w:top w:w="0" w:type="dxa"/>
              <w:left w:w="100" w:type="dxa"/>
              <w:bottom w:w="0" w:type="dxa"/>
              <w:right w:w="100" w:type="dxa"/>
            </w:tcMar>
          </w:tcPr>
          <w:p w14:paraId="79D7589D"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0.201</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556F6D67"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1.380 (1.358, 1.403)</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2EC4F7B0"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1.526 (1.494, 1.559)</w:t>
            </w:r>
          </w:p>
        </w:tc>
      </w:tr>
    </w:tbl>
    <w:p w14:paraId="355D396D"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70D0E1"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0A301E"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Measures of association: risk difference</w:t>
      </w:r>
    </w:p>
    <w:tbl>
      <w:tblPr>
        <w:tblStyle w:val="a1"/>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3030"/>
        <w:gridCol w:w="3030"/>
      </w:tblGrid>
      <w:tr w:rsidR="001B68E9" w14:paraId="557F7A1C" w14:textId="77777777">
        <w:trPr>
          <w:trHeight w:val="525"/>
        </w:trPr>
        <w:tc>
          <w:tcPr>
            <w:tcW w:w="30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E4A35A"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Risk Difference (95% CI)</w:t>
            </w:r>
          </w:p>
        </w:tc>
        <w:tc>
          <w:tcPr>
            <w:tcW w:w="30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5B6CDD"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0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6C4AD5"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1B68E9" w14:paraId="5EAE308D" w14:textId="77777777">
        <w:trPr>
          <w:trHeight w:val="525"/>
        </w:trPr>
        <w:tc>
          <w:tcPr>
            <w:tcW w:w="30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7C6EE0"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0.076 (0.073, 0.080)</w:t>
            </w:r>
          </w:p>
        </w:tc>
        <w:tc>
          <w:tcPr>
            <w:tcW w:w="3030" w:type="dxa"/>
            <w:tcBorders>
              <w:top w:val="nil"/>
              <w:left w:val="nil"/>
              <w:bottom w:val="single" w:sz="6" w:space="0" w:color="000000"/>
              <w:right w:val="single" w:sz="6" w:space="0" w:color="000000"/>
            </w:tcBorders>
            <w:tcMar>
              <w:top w:w="0" w:type="dxa"/>
              <w:left w:w="100" w:type="dxa"/>
              <w:bottom w:w="0" w:type="dxa"/>
              <w:right w:w="100" w:type="dxa"/>
            </w:tcMar>
          </w:tcPr>
          <w:p w14:paraId="3EB6392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38.843</w:t>
            </w:r>
          </w:p>
        </w:tc>
        <w:tc>
          <w:tcPr>
            <w:tcW w:w="3030" w:type="dxa"/>
            <w:tcBorders>
              <w:top w:val="nil"/>
              <w:left w:val="nil"/>
              <w:bottom w:val="single" w:sz="6" w:space="0" w:color="000000"/>
              <w:right w:val="single" w:sz="6" w:space="0" w:color="000000"/>
            </w:tcBorders>
            <w:tcMar>
              <w:top w:w="0" w:type="dxa"/>
              <w:left w:w="100" w:type="dxa"/>
              <w:bottom w:w="0" w:type="dxa"/>
              <w:right w:w="100" w:type="dxa"/>
            </w:tcMar>
          </w:tcPr>
          <w:p w14:paraId="6FBA71D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5B897D58"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9A76EE"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D159C1"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Kaplan-Meier survival analysis indicated that patients in the aripiprazole cohort had a survival probability (i.e., chances of remaining free of metabolic diagnosis) of 60.87% whereas their counterparts in the olanzapine cohort had a survival probability of 68.93%. The difference between these survival curves was verified to be statistically significant with a log-rank test (χ²= 875.280; p&lt;0.001). </w:t>
      </w:r>
    </w:p>
    <w:p w14:paraId="1E6D4464"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E56CCB"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Kaplan-Meier analysis: survival curve</w:t>
      </w:r>
    </w:p>
    <w:p w14:paraId="5C8B97FD"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B0D731" wp14:editId="203C61FF">
            <wp:extent cx="6196497" cy="18966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96497" cy="1896684"/>
                    </a:xfrm>
                    <a:prstGeom prst="rect">
                      <a:avLst/>
                    </a:prstGeom>
                    <a:ln/>
                  </pic:spPr>
                </pic:pic>
              </a:graphicData>
            </a:graphic>
          </wp:inline>
        </w:drawing>
      </w:r>
    </w:p>
    <w:p w14:paraId="7252A27E"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30B6F4"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Kaplan-Meier analysis: log rank test</w:t>
      </w:r>
    </w:p>
    <w:tbl>
      <w:tblPr>
        <w:tblStyle w:val="a2"/>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60"/>
        <w:gridCol w:w="3000"/>
        <w:gridCol w:w="3060"/>
      </w:tblGrid>
      <w:tr w:rsidR="001B68E9" w14:paraId="2AE6FE14" w14:textId="77777777">
        <w:trPr>
          <w:trHeight w:val="525"/>
        </w:trPr>
        <w:tc>
          <w:tcPr>
            <w:tcW w:w="30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E7A028"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χ²</w:t>
            </w:r>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F7FF7E"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30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1139E6"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1B68E9" w14:paraId="31EB87F1" w14:textId="77777777">
        <w:trPr>
          <w:trHeight w:val="525"/>
        </w:trPr>
        <w:tc>
          <w:tcPr>
            <w:tcW w:w="30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AE10B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875.280</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02C43951"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14:paraId="3CD77D37"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33CAF4AE" w14:textId="77777777" w:rsidR="001B68E9" w:rsidRDefault="00B01E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197FAC"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49438F66"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Hazards ratio analysis yielded a hazard ratio of 1.33, suggesting that patients in the aripiprazole cohort had a 33% higher risk of developing hyperlipidemia, acute pancreatitis, or diabetes mellitus compared to the olanzapine cohort (95% CI:1.300-1.350). Further, the proportional hazards assumption was verified (χ²= 0.070; p = 0.791), indicating no evidence of violation and confirming model validity. </w:t>
      </w:r>
    </w:p>
    <w:p w14:paraId="3FE11273"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8D89D0"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5: Kaplan-Meier analysis: hazard ratio and proportionality</w:t>
      </w:r>
    </w:p>
    <w:p w14:paraId="28ECC7B5"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0" w:name="_GoBack"/>
      <w:bookmarkEnd w:id="0"/>
    </w:p>
    <w:tbl>
      <w:tblPr>
        <w:tblStyle w:val="a3"/>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2280"/>
        <w:gridCol w:w="2235"/>
        <w:gridCol w:w="2295"/>
      </w:tblGrid>
      <w:tr w:rsidR="001B68E9" w14:paraId="2FD791BB" w14:textId="77777777">
        <w:trPr>
          <w:trHeight w:val="555"/>
        </w:trPr>
        <w:tc>
          <w:tcPr>
            <w:tcW w:w="23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B627BF"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Hazard ratio (95% CI)</w:t>
            </w:r>
          </w:p>
        </w:tc>
        <w:tc>
          <w:tcPr>
            <w:tcW w:w="22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1F9EAE"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χ²</w:t>
            </w:r>
          </w:p>
        </w:tc>
        <w:tc>
          <w:tcPr>
            <w:tcW w:w="22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176050"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22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D6B482"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1B68E9" w14:paraId="34D46FBC" w14:textId="77777777">
        <w:trPr>
          <w:trHeight w:val="285"/>
        </w:trPr>
        <w:tc>
          <w:tcPr>
            <w:tcW w:w="23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FE76BE"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1.325 (1.300, 1.350)</w:t>
            </w:r>
          </w:p>
        </w:tc>
        <w:tc>
          <w:tcPr>
            <w:tcW w:w="2280" w:type="dxa"/>
            <w:tcBorders>
              <w:top w:val="nil"/>
              <w:left w:val="nil"/>
              <w:bottom w:val="single" w:sz="6" w:space="0" w:color="000000"/>
              <w:right w:val="single" w:sz="6" w:space="0" w:color="000000"/>
            </w:tcBorders>
            <w:tcMar>
              <w:top w:w="0" w:type="dxa"/>
              <w:left w:w="100" w:type="dxa"/>
              <w:bottom w:w="0" w:type="dxa"/>
              <w:right w:w="100" w:type="dxa"/>
            </w:tcMar>
          </w:tcPr>
          <w:p w14:paraId="6C1E3F9F"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0.070</w:t>
            </w:r>
          </w:p>
        </w:tc>
        <w:tc>
          <w:tcPr>
            <w:tcW w:w="2235" w:type="dxa"/>
            <w:tcBorders>
              <w:top w:val="nil"/>
              <w:left w:val="nil"/>
              <w:bottom w:val="single" w:sz="6" w:space="0" w:color="000000"/>
              <w:right w:val="single" w:sz="6" w:space="0" w:color="000000"/>
            </w:tcBorders>
            <w:tcMar>
              <w:top w:w="0" w:type="dxa"/>
              <w:left w:w="100" w:type="dxa"/>
              <w:bottom w:w="0" w:type="dxa"/>
              <w:right w:w="100" w:type="dxa"/>
            </w:tcMar>
          </w:tcPr>
          <w:p w14:paraId="5F7BA67A"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95" w:type="dxa"/>
            <w:tcBorders>
              <w:top w:val="nil"/>
              <w:left w:val="nil"/>
              <w:bottom w:val="single" w:sz="6" w:space="0" w:color="000000"/>
              <w:right w:val="single" w:sz="6" w:space="0" w:color="000000"/>
            </w:tcBorders>
            <w:tcMar>
              <w:top w:w="0" w:type="dxa"/>
              <w:left w:w="100" w:type="dxa"/>
              <w:bottom w:w="0" w:type="dxa"/>
              <w:right w:w="100" w:type="dxa"/>
            </w:tcMar>
          </w:tcPr>
          <w:p w14:paraId="25AE8FEE" w14:textId="77777777" w:rsidR="001B68E9" w:rsidRDefault="00B01EA4">
            <w:pPr>
              <w:rPr>
                <w:rFonts w:ascii="Times New Roman" w:eastAsia="Times New Roman" w:hAnsi="Times New Roman" w:cs="Times New Roman"/>
                <w:sz w:val="24"/>
                <w:szCs w:val="24"/>
              </w:rPr>
            </w:pPr>
            <w:r>
              <w:rPr>
                <w:rFonts w:ascii="Times New Roman" w:eastAsia="Times New Roman" w:hAnsi="Times New Roman" w:cs="Times New Roman"/>
                <w:sz w:val="24"/>
                <w:szCs w:val="24"/>
              </w:rPr>
              <w:t>0.791</w:t>
            </w:r>
          </w:p>
        </w:tc>
      </w:tr>
    </w:tbl>
    <w:p w14:paraId="54CF43B5"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654A60" w14:textId="77777777" w:rsidR="001B68E9" w:rsidRDefault="00B01EA4">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7EE3139F"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This large retrospective cohort study examined the association between antipsychotic use and metabolic outcomes in patients with schizophrenia spectrum disorders. Notably, patients treated with aripiprazole demonstrated a higher incidence of the combined metabolic outcome including hyperlipidemia, acute pancreatitis, or diabetes mellitus compared with those on olanzapine. These findings are counter to the conventional expectation that olanzapine carries the greatest metabolic risk among second-generation antipsychotics.</w:t>
      </w:r>
    </w:p>
    <w:p w14:paraId="6874B74A"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that aripiprazole was associated with higher risk of metabolic diagnoses compared with olanzapine is surprising based on much of the published literature. Historically, olanzapine has been associated with the greatest metabolic liability among second‑generation antipsychotics: multiple studies found substantial weight gain, elevated fasting glucose, dyslipidemia, and insulin resistance with olanzapine use [13,14,21]. For example, a meta‑analysis of 47 trials found olanzapine was the only agent of 12 antipsychotics associated with significantly increased glucose compared to placebo (mean difference of ~3.95 mg/dL) and greater than lurasidone, ziprasidone, and risperidone [22]. In animal and mechanistic studies, olanzapine caused hyperphagia, reduced physical activity, and impaired glucose tolerance via serotonin receptor C2-dependent pathways [14]. By contrast, aripiprazole has been considered more metabolically benign: in a multiple‑dose human crossover study, aripiprazole produced fewer adverse changes in lipid and glucose parameters than olanzapine [23]. Moreover, in economic modelling, the lower metabolic risk of aripiprazole versus olanzapine was associated with lower long‑term cost via fewer metabolic syndrome and diabetes events [24]. However, recent observational data challenge the assumption of a clear metabolic advantage of aripiprazole. One study reported a slightly higher diabetes risk associated with aripiprazole monotherapy compared with olanzapine, suggesting possible selection bias in prescribing [25].</w:t>
      </w:r>
    </w:p>
    <w:p w14:paraId="60A88DE3" w14:textId="77777777" w:rsidR="001B68E9" w:rsidRDefault="00B01EA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Our findings that aripiprazole use was associated with a higher risk of metabolic outcomes than olanzapine contrasts with much of the prior literature. Given the size of our matched cohort and real‑world setting, these findings suggest that in usual clinical practice the established metabolic advantage of aripiprazole over olanzapine may not always hold. Several possibilities could explain this: prescribing bias (i.e., clinicians selecting lower‑risk patients for olanzapine), residual confounding (despite propensity matching), differential monitoring frequency (leading to differential diagnosis capture), or the fact that the composite outcome includes pancreatitis (less commonly studied) as well as diabetes mellitus and hyperlipidemia.</w:t>
      </w:r>
    </w:p>
    <w:p w14:paraId="3D582EE8" w14:textId="77777777" w:rsidR="001B68E9" w:rsidRDefault="00B01EA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From a clinical perspective, these findings underscore the importance of ongoing metabolic surveillance in all patients receiving antipsychotic therapy, irrespective of a medication’s perceived safety profile. Regular surveillance of lipid levels, glucose parameters, and clinical indicators of pancreatitis remain essential for individuals initiated on either aripiprazole or olanzapine. The unexpectedly higher combined metabolic outcome observed with aripiprazole in this analysis challenges the conventional view of its lower metabolic liability, particularly in the context of long-term treatment and across diverse, real-world populations. These results may encourage clinicians to adopt a more individualized approach to antipsychotic selection, integrating baseline metabolic risk, treatment duration, and lifestyle factors rather than relying solely on generalized categorizations of relative safety. From a research perspective, this study highlights the value of large-scale, real-world datasets in complementing randomized trial evidence, especially for evaluating chronic metabolic outcomes associated with antipsychotic use.</w:t>
      </w:r>
    </w:p>
    <w:p w14:paraId="7B0C5444" w14:textId="77777777" w:rsidR="001B68E9" w:rsidRDefault="00B01EA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strengths of our study include the very large sample size drawn from the </w:t>
      </w:r>
      <w:proofErr w:type="spellStart"/>
      <w:r>
        <w:rPr>
          <w:rFonts w:ascii="Times New Roman" w:eastAsia="Times New Roman" w:hAnsi="Times New Roman" w:cs="Times New Roman"/>
          <w:sz w:val="24"/>
          <w:szCs w:val="24"/>
        </w:rPr>
        <w:t>TriNetX</w:t>
      </w:r>
      <w:proofErr w:type="spellEnd"/>
      <w:r>
        <w:rPr>
          <w:rFonts w:ascii="Times New Roman" w:eastAsia="Times New Roman" w:hAnsi="Times New Roman" w:cs="Times New Roman"/>
          <w:sz w:val="24"/>
          <w:szCs w:val="24"/>
        </w:rPr>
        <w:t xml:space="preserve"> database, which enhances generalizability across U.S. real‐world settings. The use of propensity score matching balanced key demographic variables (age, sex, race, ethnicity) and produced excellent post‐match comparability (standardized mean differences &lt;0.01). The longitudinal follow‑up window of up to 5 years enables capture of medium‐term metabolic outcomes beyond short‑term trials. The focus on a broad composite outcome (hyperlipidemia, pancreatitis, diabetes mellitus) reflects clinical relevance across metabolic domains, not solely diabetes risk.</w:t>
      </w:r>
    </w:p>
    <w:p w14:paraId="2309BAAD" w14:textId="77777777" w:rsidR="001B68E9" w:rsidRDefault="00B01EA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strengths, several limitations must be noted. First, causal inference is limited by the observational design of our study. Second, the exposure definition (olanzapine vs aripiprazole) did not account for dose, duration of therapy, switching, or polypharmacy, which could modify metabolic risk. Third, outcomes were ascertained via ICD‑10 codes and may be subject to misclassification bias. Fourth, the composite outcome lumps heterogeneous endpoints (hyperlipidemia, pancreatitis, diabetes) which may have differing pathogeneses, incidence rates, and latency periods masking divergent drug‐specific effects. Fifth, while propensity matching balanced demographics, other clinical covariates (baseline BMI, smoking status, family history, baseline lipids/glucose) were not available in the dataset and thus not adjusted. Finally, because the cohorts were created based on having no exposure to the comparator agent (i.e., </w:t>
      </w:r>
      <w:r>
        <w:rPr>
          <w:rFonts w:ascii="Times New Roman" w:eastAsia="Times New Roman" w:hAnsi="Times New Roman" w:cs="Times New Roman"/>
          <w:sz w:val="24"/>
          <w:szCs w:val="24"/>
        </w:rPr>
        <w:lastRenderedPageBreak/>
        <w:t>aripiprazole only vs olanzapine only), the generalizability to patients with agent switching or combination therapy is limited.</w:t>
      </w:r>
    </w:p>
    <w:p w14:paraId="474B4FFF" w14:textId="77777777" w:rsidR="001B68E9" w:rsidRDefault="00B01EA4">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2F48B89D"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large real-world retrospective cohort of patients with schizophrenia spectrum disorders, aripiprazole use was unexpectedly associated with a higher incidence of metabolic complications including hyperlipidemia, diabetes, and pancreatitis compared to olanzapine. These findings challenge prevailing assumptions regarding the relative metabolic safety of SGAs and underscore the importance of continued metabolic surveillance for all antipsychotic-treated patients. Clinicians should remain vigilant in monitoring lipids, glucose, weight, and clinical indicators of pancreatitis regardless of the antipsychotic selected, and future research should incorporate granular data on dosage, treatment duration, and lifestyle factors to clarify causal mechanisms. Leveraging large federated EHR networks such as </w:t>
      </w:r>
      <w:proofErr w:type="spellStart"/>
      <w:r>
        <w:rPr>
          <w:rFonts w:ascii="Times New Roman" w:eastAsia="Times New Roman" w:hAnsi="Times New Roman" w:cs="Times New Roman"/>
          <w:sz w:val="24"/>
          <w:szCs w:val="24"/>
        </w:rPr>
        <w:t>TriNetX</w:t>
      </w:r>
      <w:proofErr w:type="spellEnd"/>
      <w:r>
        <w:rPr>
          <w:rFonts w:ascii="Times New Roman" w:eastAsia="Times New Roman" w:hAnsi="Times New Roman" w:cs="Times New Roman"/>
          <w:sz w:val="24"/>
          <w:szCs w:val="24"/>
        </w:rPr>
        <w:t xml:space="preserve"> may help refine individualized risk–benefit assessments and guide safer long-term prescribing strategies in psychiatric care.</w:t>
      </w:r>
    </w:p>
    <w:p w14:paraId="13DF23BF" w14:textId="77777777" w:rsidR="001B68E9" w:rsidRDefault="00B01EA4">
      <w:pPr>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726B1F84" w14:textId="77777777" w:rsidR="001B68E9" w:rsidRDefault="001B68E9">
      <w:pPr>
        <w:spacing w:after="160"/>
        <w:rPr>
          <w:rFonts w:ascii="Times New Roman" w:eastAsia="Times New Roman" w:hAnsi="Times New Roman" w:cs="Times New Roman"/>
          <w:sz w:val="24"/>
          <w:szCs w:val="24"/>
        </w:rPr>
      </w:pPr>
    </w:p>
    <w:p w14:paraId="12A4EF96"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Worrel JA, Marken PA, Beckman SE, Ruehter VL. Atypical Antipsychotic Agents: A Critical Review. Am J Health Syst Pharm. 2000;57(3):238-255. doi:10.1093/</w:t>
      </w:r>
      <w:proofErr w:type="spellStart"/>
      <w:r>
        <w:rPr>
          <w:rFonts w:ascii="Times New Roman" w:eastAsia="Times New Roman" w:hAnsi="Times New Roman" w:cs="Times New Roman"/>
          <w:sz w:val="24"/>
          <w:szCs w:val="24"/>
        </w:rPr>
        <w:t>ajhp</w:t>
      </w:r>
      <w:proofErr w:type="spellEnd"/>
      <w:r>
        <w:rPr>
          <w:rFonts w:ascii="Times New Roman" w:eastAsia="Times New Roman" w:hAnsi="Times New Roman" w:cs="Times New Roman"/>
          <w:sz w:val="24"/>
          <w:szCs w:val="24"/>
        </w:rPr>
        <w:t>/57.3.238.</w:t>
      </w:r>
    </w:p>
    <w:p w14:paraId="5C87FEDE" w14:textId="77777777" w:rsidR="001B68E9" w:rsidRDefault="001B68E9">
      <w:pPr>
        <w:spacing w:after="160"/>
        <w:ind w:left="720"/>
        <w:rPr>
          <w:rFonts w:ascii="Times New Roman" w:eastAsia="Times New Roman" w:hAnsi="Times New Roman" w:cs="Times New Roman"/>
          <w:sz w:val="24"/>
          <w:szCs w:val="24"/>
        </w:rPr>
      </w:pPr>
    </w:p>
    <w:p w14:paraId="68497F62"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Jauhar S, Johnstone M, McKenna PJ. Schizophrenia. Lancet. 2022;399(10323):473-486. doi:10.1016/S0140-6736(21)01730-X.</w:t>
      </w:r>
    </w:p>
    <w:p w14:paraId="66A8D2A7" w14:textId="77777777" w:rsidR="001B68E9" w:rsidRDefault="001B68E9">
      <w:pPr>
        <w:spacing w:after="160"/>
        <w:rPr>
          <w:rFonts w:ascii="Times New Roman" w:eastAsia="Times New Roman" w:hAnsi="Times New Roman" w:cs="Times New Roman"/>
          <w:sz w:val="24"/>
          <w:szCs w:val="24"/>
        </w:rPr>
      </w:pPr>
    </w:p>
    <w:p w14:paraId="75A63AC3"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Luft B, Taylor D. A Review of Atypical Antipsychotic Drugs Versus Conventional Medication in Schizophrenia. Expert </w:t>
      </w:r>
      <w:proofErr w:type="spellStart"/>
      <w:r>
        <w:rPr>
          <w:rFonts w:ascii="Times New Roman" w:eastAsia="Times New Roman" w:hAnsi="Times New Roman" w:cs="Times New Roman"/>
          <w:sz w:val="24"/>
          <w:szCs w:val="24"/>
        </w:rPr>
        <w:t>Opin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Pharmacother</w:t>
      </w:r>
      <w:proofErr w:type="spellEnd"/>
      <w:r>
        <w:rPr>
          <w:rFonts w:ascii="Times New Roman" w:eastAsia="Times New Roman" w:hAnsi="Times New Roman" w:cs="Times New Roman"/>
          <w:sz w:val="24"/>
          <w:szCs w:val="24"/>
        </w:rPr>
        <w:t>. 2006;7(13):1739-1748. doi:10.1517/14656566.7.13.1739.</w:t>
      </w:r>
    </w:p>
    <w:p w14:paraId="052952D7" w14:textId="77777777" w:rsidR="001B68E9" w:rsidRDefault="001B68E9">
      <w:pPr>
        <w:spacing w:after="160"/>
        <w:rPr>
          <w:rFonts w:ascii="Times New Roman" w:eastAsia="Times New Roman" w:hAnsi="Times New Roman" w:cs="Times New Roman"/>
          <w:sz w:val="24"/>
          <w:szCs w:val="24"/>
        </w:rPr>
      </w:pPr>
    </w:p>
    <w:p w14:paraId="1D5BA94C" w14:textId="77777777" w:rsidR="001B68E9" w:rsidRDefault="00B01EA4">
      <w:pPr>
        <w:numPr>
          <w:ilvl w:val="0"/>
          <w:numId w:val="1"/>
        </w:numPr>
        <w:spacing w:after="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Rognoni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Bertolani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Jommi</w:t>
      </w:r>
      <w:proofErr w:type="spellEnd"/>
      <w:r>
        <w:rPr>
          <w:rFonts w:ascii="Times New Roman" w:eastAsia="Times New Roman" w:hAnsi="Times New Roman" w:cs="Times New Roman"/>
          <w:sz w:val="24"/>
          <w:szCs w:val="24"/>
        </w:rPr>
        <w:t xml:space="preserve"> C. Second-Generation Antipsychotic Drugs for Patients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Schizophrenia: Systematic Literature Review and Meta-Analysis of Metabolic and Cardiovascular Side Effects. Clin Drug </w:t>
      </w:r>
      <w:proofErr w:type="spellStart"/>
      <w:r>
        <w:rPr>
          <w:rFonts w:ascii="Times New Roman" w:eastAsia="Times New Roman" w:hAnsi="Times New Roman" w:cs="Times New Roman"/>
          <w:sz w:val="24"/>
          <w:szCs w:val="24"/>
        </w:rPr>
        <w:t>Investig</w:t>
      </w:r>
      <w:proofErr w:type="spellEnd"/>
      <w:r>
        <w:rPr>
          <w:rFonts w:ascii="Times New Roman" w:eastAsia="Times New Roman" w:hAnsi="Times New Roman" w:cs="Times New Roman"/>
          <w:sz w:val="24"/>
          <w:szCs w:val="24"/>
        </w:rPr>
        <w:t>. 2021;41(4):303-319. doi:10.1007/s40261-021-01000-1. PMID: 33686614.</w:t>
      </w:r>
    </w:p>
    <w:p w14:paraId="607A7C02" w14:textId="77777777" w:rsidR="001B68E9" w:rsidRDefault="001B68E9">
      <w:pPr>
        <w:spacing w:after="160"/>
        <w:rPr>
          <w:rFonts w:ascii="Times New Roman" w:eastAsia="Times New Roman" w:hAnsi="Times New Roman" w:cs="Times New Roman"/>
          <w:sz w:val="24"/>
          <w:szCs w:val="24"/>
        </w:rPr>
      </w:pPr>
    </w:p>
    <w:p w14:paraId="55F449CB"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Rojo LE, Gaspar PA, Silva H, et al. Metabolic Syndrome and Obesity Among Users of </w:t>
      </w:r>
      <w:proofErr w:type="gramStart"/>
      <w:r>
        <w:rPr>
          <w:rFonts w:ascii="Times New Roman" w:eastAsia="Times New Roman" w:hAnsi="Times New Roman" w:cs="Times New Roman"/>
          <w:sz w:val="24"/>
          <w:szCs w:val="24"/>
        </w:rPr>
        <w:t>Second Generation</w:t>
      </w:r>
      <w:proofErr w:type="gramEnd"/>
      <w:r>
        <w:rPr>
          <w:rFonts w:ascii="Times New Roman" w:eastAsia="Times New Roman" w:hAnsi="Times New Roman" w:cs="Times New Roman"/>
          <w:sz w:val="24"/>
          <w:szCs w:val="24"/>
        </w:rPr>
        <w:t xml:space="preserve"> Antipsychotics: A Global Challenge for Modern </w:t>
      </w:r>
      <w:r>
        <w:rPr>
          <w:rFonts w:ascii="Times New Roman" w:eastAsia="Times New Roman" w:hAnsi="Times New Roman" w:cs="Times New Roman"/>
          <w:sz w:val="24"/>
          <w:szCs w:val="24"/>
        </w:rPr>
        <w:lastRenderedPageBreak/>
        <w:t xml:space="preserve">Psychopharmacology. </w:t>
      </w:r>
      <w:proofErr w:type="spellStart"/>
      <w:r>
        <w:rPr>
          <w:rFonts w:ascii="Times New Roman" w:eastAsia="Times New Roman" w:hAnsi="Times New Roman" w:cs="Times New Roman"/>
          <w:sz w:val="24"/>
          <w:szCs w:val="24"/>
        </w:rPr>
        <w:t>Pharmacol</w:t>
      </w:r>
      <w:proofErr w:type="spellEnd"/>
      <w:r>
        <w:rPr>
          <w:rFonts w:ascii="Times New Roman" w:eastAsia="Times New Roman" w:hAnsi="Times New Roman" w:cs="Times New Roman"/>
          <w:sz w:val="24"/>
          <w:szCs w:val="24"/>
        </w:rPr>
        <w:t xml:space="preserve"> Res. </w:t>
      </w:r>
      <w:proofErr w:type="gramStart"/>
      <w:r>
        <w:rPr>
          <w:rFonts w:ascii="Times New Roman" w:eastAsia="Times New Roman" w:hAnsi="Times New Roman" w:cs="Times New Roman"/>
          <w:sz w:val="24"/>
          <w:szCs w:val="24"/>
        </w:rPr>
        <w:t>2015;101:74</w:t>
      </w:r>
      <w:proofErr w:type="gramEnd"/>
      <w:r>
        <w:rPr>
          <w:rFonts w:ascii="Times New Roman" w:eastAsia="Times New Roman" w:hAnsi="Times New Roman" w:cs="Times New Roman"/>
          <w:sz w:val="24"/>
          <w:szCs w:val="24"/>
        </w:rPr>
        <w:t xml:space="preserve">-85. </w:t>
      </w:r>
      <w:proofErr w:type="gramStart"/>
      <w:r>
        <w:rPr>
          <w:rFonts w:ascii="Times New Roman" w:eastAsia="Times New Roman" w:hAnsi="Times New Roman" w:cs="Times New Roman"/>
          <w:sz w:val="24"/>
          <w:szCs w:val="24"/>
        </w:rPr>
        <w:t>doi:10.1016/j.phrs</w:t>
      </w:r>
      <w:proofErr w:type="gramEnd"/>
      <w:r>
        <w:rPr>
          <w:rFonts w:ascii="Times New Roman" w:eastAsia="Times New Roman" w:hAnsi="Times New Roman" w:cs="Times New Roman"/>
          <w:sz w:val="24"/>
          <w:szCs w:val="24"/>
        </w:rPr>
        <w:t>.2015.07.022. PMID: 26218604.</w:t>
      </w:r>
    </w:p>
    <w:p w14:paraId="17BFCE42" w14:textId="77777777" w:rsidR="001B68E9" w:rsidRDefault="001B68E9">
      <w:pPr>
        <w:spacing w:after="160"/>
        <w:rPr>
          <w:rFonts w:ascii="Times New Roman" w:eastAsia="Times New Roman" w:hAnsi="Times New Roman" w:cs="Times New Roman"/>
          <w:sz w:val="24"/>
          <w:szCs w:val="24"/>
        </w:rPr>
      </w:pPr>
    </w:p>
    <w:p w14:paraId="345887D4"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S, Song L, Sun Y, Zhou H, Yao J. An in-Depth Exploration of the Association Between Olanzapine, Quetiapine and Acute Pancreatitis Based on Real-World Datasets and Network Toxicology Analysis. Front </w:t>
      </w:r>
      <w:proofErr w:type="spellStart"/>
      <w:r>
        <w:rPr>
          <w:rFonts w:ascii="Times New Roman" w:eastAsia="Times New Roman" w:hAnsi="Times New Roman" w:cs="Times New Roman"/>
          <w:sz w:val="24"/>
          <w:szCs w:val="24"/>
        </w:rPr>
        <w:t>Pharmacol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2025;16:1529416</w:t>
      </w:r>
      <w:proofErr w:type="gramEnd"/>
      <w:r>
        <w:rPr>
          <w:rFonts w:ascii="Times New Roman" w:eastAsia="Times New Roman" w:hAnsi="Times New Roman" w:cs="Times New Roman"/>
          <w:sz w:val="24"/>
          <w:szCs w:val="24"/>
        </w:rPr>
        <w:t>. doi:10.3389/fphar.2025.1529416. PMID: 40385473</w:t>
      </w:r>
    </w:p>
    <w:p w14:paraId="435F9F4A" w14:textId="77777777" w:rsidR="001B68E9" w:rsidRDefault="001B68E9">
      <w:pPr>
        <w:spacing w:after="160"/>
        <w:rPr>
          <w:rFonts w:ascii="Times New Roman" w:eastAsia="Times New Roman" w:hAnsi="Times New Roman" w:cs="Times New Roman"/>
          <w:sz w:val="24"/>
          <w:szCs w:val="24"/>
        </w:rPr>
      </w:pPr>
    </w:p>
    <w:p w14:paraId="466EBA77"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 XQ, Huang J, Tong HHY, Rao WW. Psychotropic Drugs and Risk of Pancreatitis: A Systematic Review and Meta-Analysis. Psychiatry Res. </w:t>
      </w:r>
      <w:proofErr w:type="gramStart"/>
      <w:r>
        <w:rPr>
          <w:rFonts w:ascii="Times New Roman" w:eastAsia="Times New Roman" w:hAnsi="Times New Roman" w:cs="Times New Roman"/>
          <w:sz w:val="24"/>
          <w:szCs w:val="24"/>
        </w:rPr>
        <w:t>2025;353:116749</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doi:10.1016/j.psychres</w:t>
      </w:r>
      <w:proofErr w:type="gramEnd"/>
      <w:r>
        <w:rPr>
          <w:rFonts w:ascii="Times New Roman" w:eastAsia="Times New Roman" w:hAnsi="Times New Roman" w:cs="Times New Roman"/>
          <w:sz w:val="24"/>
          <w:szCs w:val="24"/>
        </w:rPr>
        <w:t>.2025.116749. PMID: 41066918</w:t>
      </w:r>
    </w:p>
    <w:p w14:paraId="20F4463E" w14:textId="77777777" w:rsidR="001B68E9" w:rsidRDefault="001B68E9">
      <w:pPr>
        <w:spacing w:after="160"/>
        <w:rPr>
          <w:rFonts w:ascii="Times New Roman" w:eastAsia="Times New Roman" w:hAnsi="Times New Roman" w:cs="Times New Roman"/>
          <w:sz w:val="24"/>
          <w:szCs w:val="24"/>
        </w:rPr>
      </w:pPr>
    </w:p>
    <w:p w14:paraId="56377849" w14:textId="77777777" w:rsidR="001B68E9" w:rsidRDefault="00B01EA4">
      <w:pPr>
        <w:numPr>
          <w:ilvl w:val="0"/>
          <w:numId w:val="1"/>
        </w:numPr>
        <w:spacing w:after="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Correll</w:t>
      </w:r>
      <w:proofErr w:type="spellEnd"/>
      <w:r>
        <w:rPr>
          <w:rFonts w:ascii="Times New Roman" w:eastAsia="Times New Roman" w:hAnsi="Times New Roman" w:cs="Times New Roman"/>
          <w:sz w:val="24"/>
          <w:szCs w:val="24"/>
        </w:rPr>
        <w:t xml:space="preserve"> CU, </w:t>
      </w:r>
      <w:proofErr w:type="spellStart"/>
      <w:r>
        <w:rPr>
          <w:rFonts w:ascii="Times New Roman" w:eastAsia="Times New Roman" w:hAnsi="Times New Roman" w:cs="Times New Roman"/>
          <w:sz w:val="24"/>
          <w:szCs w:val="24"/>
        </w:rPr>
        <w:t>Detraux</w:t>
      </w:r>
      <w:proofErr w:type="spellEnd"/>
      <w:r>
        <w:rPr>
          <w:rFonts w:ascii="Times New Roman" w:eastAsia="Times New Roman" w:hAnsi="Times New Roman" w:cs="Times New Roman"/>
          <w:sz w:val="24"/>
          <w:szCs w:val="24"/>
        </w:rPr>
        <w:t xml:space="preserve"> J, De </w:t>
      </w:r>
      <w:proofErr w:type="spellStart"/>
      <w:r>
        <w:rPr>
          <w:rFonts w:ascii="Times New Roman" w:eastAsia="Times New Roman" w:hAnsi="Times New Roman" w:cs="Times New Roman"/>
          <w:sz w:val="24"/>
          <w:szCs w:val="24"/>
        </w:rPr>
        <w:t>Lepeleire</w:t>
      </w:r>
      <w:proofErr w:type="spellEnd"/>
      <w:r>
        <w:rPr>
          <w:rFonts w:ascii="Times New Roman" w:eastAsia="Times New Roman" w:hAnsi="Times New Roman" w:cs="Times New Roman"/>
          <w:sz w:val="24"/>
          <w:szCs w:val="24"/>
        </w:rPr>
        <w:t xml:space="preserve"> J, De Hert M. Effects of antipsychotics, antidepressants and mood stabilizers on risk for physical diseases in people with schizophrenia, depression and bipolar disorder. World psychiatry. 2015 Jun;14(2):119-36.</w:t>
      </w:r>
    </w:p>
    <w:p w14:paraId="290E7877" w14:textId="77777777" w:rsidR="001B68E9" w:rsidRDefault="001B68E9">
      <w:pPr>
        <w:spacing w:after="160"/>
        <w:rPr>
          <w:rFonts w:ascii="Times New Roman" w:eastAsia="Times New Roman" w:hAnsi="Times New Roman" w:cs="Times New Roman"/>
          <w:sz w:val="24"/>
          <w:szCs w:val="24"/>
        </w:rPr>
      </w:pPr>
    </w:p>
    <w:p w14:paraId="2B302EF2"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Mitchell AJ, Vancampfort D, Sweers K, van Winkel R, Yu W, De Hert M. Prevalence of metabolic syndrome and metabolic abnormalities in schizophrenia and related disorders—a systematic review and meta-analysis. Schizophrenia bulletin. 2013 Mar 1;39(2):306-18. </w:t>
      </w:r>
    </w:p>
    <w:p w14:paraId="7285B8DA" w14:textId="77777777" w:rsidR="001B68E9" w:rsidRDefault="001B68E9">
      <w:pPr>
        <w:spacing w:after="160"/>
        <w:rPr>
          <w:rFonts w:ascii="Times New Roman" w:eastAsia="Times New Roman" w:hAnsi="Times New Roman" w:cs="Times New Roman"/>
          <w:sz w:val="24"/>
          <w:szCs w:val="24"/>
        </w:rPr>
      </w:pPr>
    </w:p>
    <w:p w14:paraId="0F117337"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Laursen TM, Nordentoft M, Mortensen PB. Excess early mortality in schizophrenia. Annual review of clinical psychology. 2014 Mar 28;10(1):425-48.</w:t>
      </w:r>
    </w:p>
    <w:p w14:paraId="2B7DCDBD" w14:textId="77777777" w:rsidR="001B68E9" w:rsidRDefault="001B68E9">
      <w:pPr>
        <w:spacing w:after="160"/>
        <w:rPr>
          <w:rFonts w:ascii="Times New Roman" w:eastAsia="Times New Roman" w:hAnsi="Times New Roman" w:cs="Times New Roman"/>
          <w:sz w:val="24"/>
          <w:szCs w:val="24"/>
        </w:rPr>
      </w:pPr>
    </w:p>
    <w:p w14:paraId="144A8D73"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 M, Fransen A, Janssen J, van </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Drukker</w:t>
      </w:r>
      <w:proofErr w:type="spellEnd"/>
      <w:r>
        <w:rPr>
          <w:rFonts w:ascii="Times New Roman" w:eastAsia="Times New Roman" w:hAnsi="Times New Roman" w:cs="Times New Roman"/>
          <w:sz w:val="24"/>
          <w:szCs w:val="24"/>
        </w:rPr>
        <w:t xml:space="preserve"> M. Almost all antipsychotics result in weight gain: a meta-analysis.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2014 Apr 24;9(4</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94112.</w:t>
      </w:r>
    </w:p>
    <w:p w14:paraId="0B213AB0" w14:textId="77777777" w:rsidR="001B68E9" w:rsidRDefault="001B68E9">
      <w:pPr>
        <w:spacing w:after="160"/>
        <w:rPr>
          <w:rFonts w:ascii="Times New Roman" w:eastAsia="Times New Roman" w:hAnsi="Times New Roman" w:cs="Times New Roman"/>
          <w:sz w:val="24"/>
          <w:szCs w:val="24"/>
        </w:rPr>
      </w:pPr>
    </w:p>
    <w:p w14:paraId="14D53779"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Hert</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Detraux</w:t>
      </w:r>
      <w:proofErr w:type="spellEnd"/>
      <w:r>
        <w:rPr>
          <w:rFonts w:ascii="Times New Roman" w:eastAsia="Times New Roman" w:hAnsi="Times New Roman" w:cs="Times New Roman"/>
          <w:sz w:val="24"/>
          <w:szCs w:val="24"/>
        </w:rPr>
        <w:t xml:space="preserve"> J, Van Winkel R, Yu W, Correll CU. Metabolic and cardiovascular adverse effects associated with antipsychotic drugs. Nature Reviews Endocrinology. 2012 Feb;8(2):114-26.</w:t>
      </w:r>
    </w:p>
    <w:p w14:paraId="52BDE603" w14:textId="77777777" w:rsidR="001B68E9" w:rsidRDefault="001B68E9">
      <w:pPr>
        <w:spacing w:after="160"/>
        <w:rPr>
          <w:rFonts w:ascii="Times New Roman" w:eastAsia="Times New Roman" w:hAnsi="Times New Roman" w:cs="Times New Roman"/>
          <w:sz w:val="24"/>
          <w:szCs w:val="24"/>
        </w:rPr>
      </w:pPr>
    </w:p>
    <w:p w14:paraId="5A2DDEC0"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Reynolds GP, Kirk SL. Metabolic Side Effects of Antipsychotic Drug Treatment--Pharmacological Mechanisms. Pharmacology &amp; Therapeutics. 2010;125(1):169-79. </w:t>
      </w:r>
      <w:proofErr w:type="gramStart"/>
      <w:r>
        <w:rPr>
          <w:rFonts w:ascii="Times New Roman" w:eastAsia="Times New Roman" w:hAnsi="Times New Roman" w:cs="Times New Roman"/>
          <w:sz w:val="24"/>
          <w:szCs w:val="24"/>
        </w:rPr>
        <w:t>doi:10.1016/j.pharmthera</w:t>
      </w:r>
      <w:proofErr w:type="gramEnd"/>
      <w:r>
        <w:rPr>
          <w:rFonts w:ascii="Times New Roman" w:eastAsia="Times New Roman" w:hAnsi="Times New Roman" w:cs="Times New Roman"/>
          <w:sz w:val="24"/>
          <w:szCs w:val="24"/>
        </w:rPr>
        <w:t>.2009.10.010. PMID: 19931306.</w:t>
      </w:r>
    </w:p>
    <w:p w14:paraId="2CC7478A" w14:textId="77777777" w:rsidR="001B68E9" w:rsidRDefault="001B68E9">
      <w:pPr>
        <w:spacing w:after="160"/>
        <w:rPr>
          <w:rFonts w:ascii="Times New Roman" w:eastAsia="Times New Roman" w:hAnsi="Times New Roman" w:cs="Times New Roman"/>
          <w:sz w:val="24"/>
          <w:szCs w:val="24"/>
        </w:rPr>
      </w:pPr>
    </w:p>
    <w:p w14:paraId="74104029"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Lord CC, Wyler SC, Wan R, et al. The Atypical Antipsychotic Olanzapine Causes Weight Gain by Targeting Serotonin Receptor 2C. J Clin Invest. 2017;127(9):3402-3406. doi:10.1172/JCI93362. PMID: 28805659.</w:t>
      </w:r>
    </w:p>
    <w:p w14:paraId="2E7A6C97" w14:textId="77777777" w:rsidR="001B68E9" w:rsidRDefault="001B68E9">
      <w:pPr>
        <w:spacing w:after="160"/>
        <w:rPr>
          <w:rFonts w:ascii="Times New Roman" w:eastAsia="Times New Roman" w:hAnsi="Times New Roman" w:cs="Times New Roman"/>
          <w:sz w:val="24"/>
          <w:szCs w:val="24"/>
        </w:rPr>
      </w:pPr>
    </w:p>
    <w:p w14:paraId="29A4B4E6"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Tuplin EW, Holahan MR. Aripiprazole, a Drug That Displays Partial Agonism and Functional Selectivity. </w:t>
      </w:r>
      <w:proofErr w:type="spellStart"/>
      <w:r>
        <w:rPr>
          <w:rFonts w:ascii="Times New Roman" w:eastAsia="Times New Roman" w:hAnsi="Times New Roman" w:cs="Times New Roman"/>
          <w:sz w:val="24"/>
          <w:szCs w:val="24"/>
        </w:rPr>
        <w:t>Curr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Neuropharmacol</w:t>
      </w:r>
      <w:proofErr w:type="spellEnd"/>
      <w:r>
        <w:rPr>
          <w:rFonts w:ascii="Times New Roman" w:eastAsia="Times New Roman" w:hAnsi="Times New Roman" w:cs="Times New Roman"/>
          <w:sz w:val="24"/>
          <w:szCs w:val="24"/>
        </w:rPr>
        <w:t>. 2017;15(8):1192-1207. doi:10.2174/1570159X15666170413115754. PMID: 28412910</w:t>
      </w:r>
    </w:p>
    <w:p w14:paraId="2EBC9F71" w14:textId="77777777" w:rsidR="001B68E9" w:rsidRDefault="001B68E9">
      <w:pPr>
        <w:spacing w:after="160"/>
        <w:rPr>
          <w:rFonts w:ascii="Times New Roman" w:eastAsia="Times New Roman" w:hAnsi="Times New Roman" w:cs="Times New Roman"/>
          <w:sz w:val="24"/>
          <w:szCs w:val="24"/>
        </w:rPr>
      </w:pPr>
    </w:p>
    <w:p w14:paraId="153D7B42" w14:textId="77777777" w:rsidR="001B68E9" w:rsidRDefault="00B01EA4">
      <w:pPr>
        <w:numPr>
          <w:ilvl w:val="0"/>
          <w:numId w:val="1"/>
        </w:numPr>
        <w:spacing w:after="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Rummel</w:t>
      </w:r>
      <w:proofErr w:type="spellEnd"/>
      <w:r>
        <w:rPr>
          <w:rFonts w:ascii="Times New Roman" w:eastAsia="Times New Roman" w:hAnsi="Times New Roman" w:cs="Times New Roman"/>
          <w:sz w:val="24"/>
          <w:szCs w:val="24"/>
        </w:rPr>
        <w:t xml:space="preserve">-Kluge C, </w:t>
      </w:r>
      <w:proofErr w:type="spellStart"/>
      <w:r>
        <w:rPr>
          <w:rFonts w:ascii="Times New Roman" w:eastAsia="Times New Roman" w:hAnsi="Times New Roman" w:cs="Times New Roman"/>
          <w:sz w:val="24"/>
          <w:szCs w:val="24"/>
        </w:rPr>
        <w:t>Komossa</w:t>
      </w:r>
      <w:proofErr w:type="spellEnd"/>
      <w:r>
        <w:rPr>
          <w:rFonts w:ascii="Times New Roman" w:eastAsia="Times New Roman" w:hAnsi="Times New Roman" w:cs="Times New Roman"/>
          <w:sz w:val="24"/>
          <w:szCs w:val="24"/>
        </w:rPr>
        <w:t xml:space="preserve"> K, Schwarz S, et al. Head-to-Head Comparisons of Metabolic Side Effects of </w:t>
      </w:r>
      <w:proofErr w:type="gramStart"/>
      <w:r>
        <w:rPr>
          <w:rFonts w:ascii="Times New Roman" w:eastAsia="Times New Roman" w:hAnsi="Times New Roman" w:cs="Times New Roman"/>
          <w:sz w:val="24"/>
          <w:szCs w:val="24"/>
        </w:rPr>
        <w:t>Second Generation</w:t>
      </w:r>
      <w:proofErr w:type="gramEnd"/>
      <w:r>
        <w:rPr>
          <w:rFonts w:ascii="Times New Roman" w:eastAsia="Times New Roman" w:hAnsi="Times New Roman" w:cs="Times New Roman"/>
          <w:sz w:val="24"/>
          <w:szCs w:val="24"/>
        </w:rPr>
        <w:t xml:space="preserve"> Antipsychotics in the Treatment of Schizophrenia: A Systematic Review and Meta-Analysis. </w:t>
      </w:r>
      <w:proofErr w:type="spellStart"/>
      <w:r>
        <w:rPr>
          <w:rFonts w:ascii="Times New Roman" w:eastAsia="Times New Roman" w:hAnsi="Times New Roman" w:cs="Times New Roman"/>
          <w:sz w:val="24"/>
          <w:szCs w:val="24"/>
        </w:rPr>
        <w:t>Schizophr</w:t>
      </w:r>
      <w:proofErr w:type="spellEnd"/>
      <w:r>
        <w:rPr>
          <w:rFonts w:ascii="Times New Roman" w:eastAsia="Times New Roman" w:hAnsi="Times New Roman" w:cs="Times New Roman"/>
          <w:sz w:val="24"/>
          <w:szCs w:val="24"/>
        </w:rPr>
        <w:t xml:space="preserve"> Res. 2010;123(2-3):225-33. </w:t>
      </w:r>
      <w:proofErr w:type="gramStart"/>
      <w:r>
        <w:rPr>
          <w:rFonts w:ascii="Times New Roman" w:eastAsia="Times New Roman" w:hAnsi="Times New Roman" w:cs="Times New Roman"/>
          <w:sz w:val="24"/>
          <w:szCs w:val="24"/>
        </w:rPr>
        <w:t>doi:10.1016/j.schres</w:t>
      </w:r>
      <w:proofErr w:type="gramEnd"/>
      <w:r>
        <w:rPr>
          <w:rFonts w:ascii="Times New Roman" w:eastAsia="Times New Roman" w:hAnsi="Times New Roman" w:cs="Times New Roman"/>
          <w:sz w:val="24"/>
          <w:szCs w:val="24"/>
        </w:rPr>
        <w:t>.2010.07.012. PMID: 20692814</w:t>
      </w:r>
    </w:p>
    <w:p w14:paraId="72AE5835" w14:textId="77777777" w:rsidR="001B68E9" w:rsidRDefault="001B68E9">
      <w:pPr>
        <w:spacing w:after="160"/>
        <w:rPr>
          <w:rFonts w:ascii="Times New Roman" w:eastAsia="Times New Roman" w:hAnsi="Times New Roman" w:cs="Times New Roman"/>
          <w:sz w:val="24"/>
          <w:szCs w:val="24"/>
        </w:rPr>
      </w:pPr>
    </w:p>
    <w:p w14:paraId="257AE32A"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Richards-Belle A, Launders N, </w:t>
      </w:r>
      <w:proofErr w:type="spellStart"/>
      <w:r>
        <w:rPr>
          <w:rFonts w:ascii="Times New Roman" w:eastAsia="Times New Roman" w:hAnsi="Times New Roman" w:cs="Times New Roman"/>
          <w:sz w:val="24"/>
          <w:szCs w:val="24"/>
        </w:rPr>
        <w:t>Hardoon</w:t>
      </w:r>
      <w:proofErr w:type="spellEnd"/>
      <w:r>
        <w:rPr>
          <w:rFonts w:ascii="Times New Roman" w:eastAsia="Times New Roman" w:hAnsi="Times New Roman" w:cs="Times New Roman"/>
          <w:sz w:val="24"/>
          <w:szCs w:val="24"/>
        </w:rPr>
        <w:t xml:space="preserve"> S, et al. Comparative Cardiometabolic Safety and Effectiveness of Aripiprazole in People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Severe Mental Illness: A Target Trial Emulation.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Med. 2025;22(1</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1004520. </w:t>
      </w:r>
      <w:proofErr w:type="gramStart"/>
      <w:r>
        <w:rPr>
          <w:rFonts w:ascii="Times New Roman" w:eastAsia="Times New Roman" w:hAnsi="Times New Roman" w:cs="Times New Roman"/>
          <w:sz w:val="24"/>
          <w:szCs w:val="24"/>
        </w:rPr>
        <w:t>doi:10.1371/journal.pmed</w:t>
      </w:r>
      <w:proofErr w:type="gramEnd"/>
      <w:r>
        <w:rPr>
          <w:rFonts w:ascii="Times New Roman" w:eastAsia="Times New Roman" w:hAnsi="Times New Roman" w:cs="Times New Roman"/>
          <w:sz w:val="24"/>
          <w:szCs w:val="24"/>
        </w:rPr>
        <w:t>.1004520. PMID: 39847591.</w:t>
      </w:r>
    </w:p>
    <w:p w14:paraId="76698A1C" w14:textId="77777777" w:rsidR="001B68E9" w:rsidRDefault="001B68E9">
      <w:pPr>
        <w:spacing w:after="160"/>
        <w:rPr>
          <w:rFonts w:ascii="Times New Roman" w:eastAsia="Times New Roman" w:hAnsi="Times New Roman" w:cs="Times New Roman"/>
          <w:sz w:val="24"/>
          <w:szCs w:val="24"/>
        </w:rPr>
      </w:pPr>
    </w:p>
    <w:p w14:paraId="49E45BCB" w14:textId="77777777" w:rsidR="001B68E9" w:rsidRDefault="00B01EA4">
      <w:pPr>
        <w:numPr>
          <w:ilvl w:val="0"/>
          <w:numId w:val="1"/>
        </w:numPr>
        <w:spacing w:after="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Citrome</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Kalsekar</w:t>
      </w:r>
      <w:proofErr w:type="spellEnd"/>
      <w:r>
        <w:rPr>
          <w:rFonts w:ascii="Times New Roman" w:eastAsia="Times New Roman" w:hAnsi="Times New Roman" w:cs="Times New Roman"/>
          <w:sz w:val="24"/>
          <w:szCs w:val="24"/>
        </w:rPr>
        <w:t xml:space="preserve"> I, Baker RA, Hebden T. A Review of Real-World Data on the Effects of Aripiprazole on Weight and Metabolic Outcomes in Adults. </w:t>
      </w:r>
      <w:proofErr w:type="spellStart"/>
      <w:r>
        <w:rPr>
          <w:rFonts w:ascii="Times New Roman" w:eastAsia="Times New Roman" w:hAnsi="Times New Roman" w:cs="Times New Roman"/>
          <w:sz w:val="24"/>
          <w:szCs w:val="24"/>
        </w:rPr>
        <w:t>Curr</w:t>
      </w:r>
      <w:proofErr w:type="spellEnd"/>
      <w:r>
        <w:rPr>
          <w:rFonts w:ascii="Times New Roman" w:eastAsia="Times New Roman" w:hAnsi="Times New Roman" w:cs="Times New Roman"/>
          <w:sz w:val="24"/>
          <w:szCs w:val="24"/>
        </w:rPr>
        <w:t xml:space="preserve"> Med Res </w:t>
      </w:r>
      <w:proofErr w:type="spellStart"/>
      <w:r>
        <w:rPr>
          <w:rFonts w:ascii="Times New Roman" w:eastAsia="Times New Roman" w:hAnsi="Times New Roman" w:cs="Times New Roman"/>
          <w:sz w:val="24"/>
          <w:szCs w:val="24"/>
        </w:rPr>
        <w:t>Opin</w:t>
      </w:r>
      <w:proofErr w:type="spellEnd"/>
      <w:r>
        <w:rPr>
          <w:rFonts w:ascii="Times New Roman" w:eastAsia="Times New Roman" w:hAnsi="Times New Roman" w:cs="Times New Roman"/>
          <w:sz w:val="24"/>
          <w:szCs w:val="24"/>
        </w:rPr>
        <w:t>. 2014;30(8):1629-1641. doi:10.1185/03007995.2014.908280. PMID: 24666104.</w:t>
      </w:r>
    </w:p>
    <w:p w14:paraId="58A24BE4" w14:textId="77777777" w:rsidR="001B68E9" w:rsidRDefault="001B68E9">
      <w:pPr>
        <w:spacing w:after="160"/>
        <w:rPr>
          <w:rFonts w:ascii="Times New Roman" w:eastAsia="Times New Roman" w:hAnsi="Times New Roman" w:cs="Times New Roman"/>
          <w:sz w:val="24"/>
          <w:szCs w:val="24"/>
        </w:rPr>
      </w:pPr>
    </w:p>
    <w:p w14:paraId="65465F2A"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Pillinger T, McCutcheon RA, Vano L, Mizuno Y, </w:t>
      </w:r>
      <w:proofErr w:type="spellStart"/>
      <w:r>
        <w:rPr>
          <w:rFonts w:ascii="Times New Roman" w:eastAsia="Times New Roman" w:hAnsi="Times New Roman" w:cs="Times New Roman"/>
          <w:sz w:val="24"/>
          <w:szCs w:val="24"/>
        </w:rPr>
        <w:t>Arumuham</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Hindley</w:t>
      </w:r>
      <w:proofErr w:type="spellEnd"/>
      <w:r>
        <w:rPr>
          <w:rFonts w:ascii="Times New Roman" w:eastAsia="Times New Roman" w:hAnsi="Times New Roman" w:cs="Times New Roman"/>
          <w:sz w:val="24"/>
          <w:szCs w:val="24"/>
        </w:rPr>
        <w:t xml:space="preserve"> G, Beck K, Natesan S, Efthimiou O, Cipriani A, Howes OD. Comparative effects of 18 antipsychotics on metabolic function in patients with schizophrenia, predictors of metabolic dysregulation, and association with psychopathology: a systematic review and network meta-analysis. The Lancet Psychiatry. 2020 Jan 1;7(1):64-77.</w:t>
      </w:r>
    </w:p>
    <w:p w14:paraId="57BDB954" w14:textId="77777777" w:rsidR="001B68E9" w:rsidRDefault="001B68E9">
      <w:pPr>
        <w:spacing w:after="160"/>
        <w:rPr>
          <w:rFonts w:ascii="Times New Roman" w:eastAsia="Times New Roman" w:hAnsi="Times New Roman" w:cs="Times New Roman"/>
          <w:sz w:val="24"/>
          <w:szCs w:val="24"/>
        </w:rPr>
      </w:pPr>
    </w:p>
    <w:p w14:paraId="247BBB03" w14:textId="77777777" w:rsidR="001B68E9" w:rsidRDefault="00B01EA4">
      <w:pPr>
        <w:numPr>
          <w:ilvl w:val="0"/>
          <w:numId w:val="1"/>
        </w:numPr>
        <w:spacing w:after="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TriNetX</w:t>
      </w:r>
      <w:proofErr w:type="spellEnd"/>
      <w:r>
        <w:rPr>
          <w:rFonts w:ascii="Times New Roman" w:eastAsia="Times New Roman" w:hAnsi="Times New Roman" w:cs="Times New Roman"/>
          <w:sz w:val="24"/>
          <w:szCs w:val="24"/>
        </w:rPr>
        <w:t xml:space="preserve">. [Oct; </w:t>
      </w:r>
      <w:proofErr w:type="gramStart"/>
      <w:r>
        <w:rPr>
          <w:rFonts w:ascii="Times New Roman" w:eastAsia="Times New Roman" w:hAnsi="Times New Roman" w:cs="Times New Roman"/>
          <w:sz w:val="24"/>
          <w:szCs w:val="24"/>
        </w:rPr>
        <w:t>2025 ]</w:t>
      </w:r>
      <w:proofErr w:type="gramEnd"/>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https://trinetx.com</w:t>
        </w:r>
      </w:hyperlink>
    </w:p>
    <w:p w14:paraId="39C2205B" w14:textId="77777777" w:rsidR="001B68E9" w:rsidRDefault="001B68E9">
      <w:pPr>
        <w:spacing w:after="160"/>
        <w:rPr>
          <w:rFonts w:ascii="Times New Roman" w:eastAsia="Times New Roman" w:hAnsi="Times New Roman" w:cs="Times New Roman"/>
          <w:sz w:val="24"/>
          <w:szCs w:val="24"/>
        </w:rPr>
      </w:pPr>
    </w:p>
    <w:p w14:paraId="67601AB9"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Akinola PS, Tardif I, Leclerc J. Antipsychotic-induced metabolic syndrome: a review. Metabolic Syndrome and Related Disorders. 2023 Aug 1;21(6):294-305.</w:t>
      </w:r>
    </w:p>
    <w:p w14:paraId="6CEE18F9" w14:textId="77777777" w:rsidR="001B68E9" w:rsidRDefault="001B68E9">
      <w:pPr>
        <w:spacing w:after="160"/>
        <w:rPr>
          <w:rFonts w:ascii="Times New Roman" w:eastAsia="Times New Roman" w:hAnsi="Times New Roman" w:cs="Times New Roman"/>
          <w:sz w:val="24"/>
          <w:szCs w:val="24"/>
        </w:rPr>
      </w:pPr>
    </w:p>
    <w:p w14:paraId="05410CA2"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Zhang Y, Liu Y, Su Y, You Y, Ma Y, Yang G, Song Y, Liu X, Wang M, Zhang L, Kou C. The metabolic side effects of 12 antipsychotic drugs used for the treatment of schizophrenia on glucose: a network meta-analysis. BMC psychiatry. 2017 Nov 21;17(1):373.</w:t>
      </w:r>
    </w:p>
    <w:p w14:paraId="2B8E6637" w14:textId="77777777" w:rsidR="001B68E9" w:rsidRDefault="001B68E9">
      <w:pPr>
        <w:spacing w:after="160"/>
        <w:rPr>
          <w:rFonts w:ascii="Times New Roman" w:eastAsia="Times New Roman" w:hAnsi="Times New Roman" w:cs="Times New Roman"/>
          <w:sz w:val="24"/>
          <w:szCs w:val="24"/>
        </w:rPr>
      </w:pPr>
    </w:p>
    <w:p w14:paraId="10F40AC6" w14:textId="77777777" w:rsidR="001B68E9" w:rsidRDefault="00B01EA4">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Koller D, Almenara S, Mejía G, </w:t>
      </w:r>
      <w:proofErr w:type="spellStart"/>
      <w:r>
        <w:rPr>
          <w:rFonts w:ascii="Times New Roman" w:eastAsia="Times New Roman" w:hAnsi="Times New Roman" w:cs="Times New Roman"/>
          <w:sz w:val="24"/>
          <w:szCs w:val="24"/>
        </w:rPr>
        <w:t>Saiz</w:t>
      </w:r>
      <w:proofErr w:type="spellEnd"/>
      <w:r>
        <w:rPr>
          <w:rFonts w:ascii="Times New Roman" w:eastAsia="Times New Roman" w:hAnsi="Times New Roman" w:cs="Times New Roman"/>
          <w:sz w:val="24"/>
          <w:szCs w:val="24"/>
        </w:rPr>
        <w:t xml:space="preserve">-Rodríguez M, </w:t>
      </w:r>
      <w:proofErr w:type="spellStart"/>
      <w:r>
        <w:rPr>
          <w:rFonts w:ascii="Times New Roman" w:eastAsia="Times New Roman" w:hAnsi="Times New Roman" w:cs="Times New Roman"/>
          <w:sz w:val="24"/>
          <w:szCs w:val="24"/>
        </w:rPr>
        <w:t>Zubiaur</w:t>
      </w:r>
      <w:proofErr w:type="spellEnd"/>
      <w:r>
        <w:rPr>
          <w:rFonts w:ascii="Times New Roman" w:eastAsia="Times New Roman" w:hAnsi="Times New Roman" w:cs="Times New Roman"/>
          <w:sz w:val="24"/>
          <w:szCs w:val="24"/>
        </w:rPr>
        <w:t xml:space="preserve"> P, Román M, Ochoa D, Navares-Gómez M, Santos-Molina E, Pintos-Sánchez E, Abad-Santos F. Metabolic effects of aripiprazole and olanzapine multiple-dose treatment in a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crossover clinical trial in healthy volunteers: association with pharmacogenetics. Advances in therapy. 2021 Feb;38(2):1035-54.</w:t>
      </w:r>
    </w:p>
    <w:p w14:paraId="7D4E09A5" w14:textId="77777777" w:rsidR="001B68E9" w:rsidRDefault="001B68E9">
      <w:pPr>
        <w:spacing w:after="160"/>
        <w:rPr>
          <w:rFonts w:ascii="Times New Roman" w:eastAsia="Times New Roman" w:hAnsi="Times New Roman" w:cs="Times New Roman"/>
          <w:sz w:val="24"/>
          <w:szCs w:val="24"/>
        </w:rPr>
      </w:pPr>
    </w:p>
    <w:p w14:paraId="35D4F63A" w14:textId="77777777" w:rsidR="001B68E9" w:rsidRDefault="00B01EA4">
      <w:pPr>
        <w:numPr>
          <w:ilvl w:val="0"/>
          <w:numId w:val="1"/>
        </w:numPr>
        <w:spacing w:after="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Kasteng</w:t>
      </w:r>
      <w:proofErr w:type="spellEnd"/>
      <w:r>
        <w:rPr>
          <w:rFonts w:ascii="Times New Roman" w:eastAsia="Times New Roman" w:hAnsi="Times New Roman" w:cs="Times New Roman"/>
          <w:sz w:val="24"/>
          <w:szCs w:val="24"/>
        </w:rPr>
        <w:t xml:space="preserve"> F, Eriksson J, </w:t>
      </w:r>
      <w:proofErr w:type="spellStart"/>
      <w:r>
        <w:rPr>
          <w:rFonts w:ascii="Times New Roman" w:eastAsia="Times New Roman" w:hAnsi="Times New Roman" w:cs="Times New Roman"/>
          <w:sz w:val="24"/>
          <w:szCs w:val="24"/>
        </w:rPr>
        <w:t>Sennfält</w:t>
      </w:r>
      <w:proofErr w:type="spellEnd"/>
      <w:r>
        <w:rPr>
          <w:rFonts w:ascii="Times New Roman" w:eastAsia="Times New Roman" w:hAnsi="Times New Roman" w:cs="Times New Roman"/>
          <w:sz w:val="24"/>
          <w:szCs w:val="24"/>
        </w:rPr>
        <w:t xml:space="preserve"> K, Lindgren P. Metabolic effects and cost‐effectiveness of aripiprazole versus olanzapine in schizophrenia and bipolar disorder. Acta </w:t>
      </w:r>
      <w:proofErr w:type="spellStart"/>
      <w:r>
        <w:rPr>
          <w:rFonts w:ascii="Times New Roman" w:eastAsia="Times New Roman" w:hAnsi="Times New Roman" w:cs="Times New Roman"/>
          <w:sz w:val="24"/>
          <w:szCs w:val="24"/>
        </w:rPr>
        <w:t>Psychiatrica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Scandinavica</w:t>
      </w:r>
      <w:proofErr w:type="spellEnd"/>
      <w:r>
        <w:rPr>
          <w:rFonts w:ascii="Times New Roman" w:eastAsia="Times New Roman" w:hAnsi="Times New Roman" w:cs="Times New Roman"/>
          <w:sz w:val="24"/>
          <w:szCs w:val="24"/>
        </w:rPr>
        <w:t>. 2011 Sep;124(3):214-25.</w:t>
      </w:r>
    </w:p>
    <w:p w14:paraId="45F6EF81" w14:textId="77777777" w:rsidR="001B68E9" w:rsidRDefault="001B68E9">
      <w:pPr>
        <w:spacing w:after="160"/>
        <w:rPr>
          <w:rFonts w:ascii="Times New Roman" w:eastAsia="Times New Roman" w:hAnsi="Times New Roman" w:cs="Times New Roman"/>
          <w:sz w:val="24"/>
          <w:szCs w:val="24"/>
        </w:rPr>
      </w:pPr>
    </w:p>
    <w:p w14:paraId="2D4EF8F0" w14:textId="77777777" w:rsidR="001B68E9" w:rsidRDefault="00B01EA4">
      <w:pPr>
        <w:numPr>
          <w:ilvl w:val="0"/>
          <w:numId w:val="1"/>
        </w:numPr>
        <w:spacing w:after="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Agniel</w:t>
      </w:r>
      <w:proofErr w:type="spellEnd"/>
      <w:r>
        <w:rPr>
          <w:rFonts w:ascii="Times New Roman" w:eastAsia="Times New Roman" w:hAnsi="Times New Roman" w:cs="Times New Roman"/>
          <w:sz w:val="24"/>
          <w:szCs w:val="24"/>
        </w:rPr>
        <w:t xml:space="preserve"> D, Normand SL, Newcomer JW, </w:t>
      </w:r>
      <w:proofErr w:type="spellStart"/>
      <w:r>
        <w:rPr>
          <w:rFonts w:ascii="Times New Roman" w:eastAsia="Times New Roman" w:hAnsi="Times New Roman" w:cs="Times New Roman"/>
          <w:sz w:val="24"/>
          <w:szCs w:val="24"/>
        </w:rPr>
        <w:t>Zelevinsky</w:t>
      </w:r>
      <w:proofErr w:type="spellEnd"/>
      <w:r>
        <w:rPr>
          <w:rFonts w:ascii="Times New Roman" w:eastAsia="Times New Roman" w:hAnsi="Times New Roman" w:cs="Times New Roman"/>
          <w:sz w:val="24"/>
          <w:szCs w:val="24"/>
        </w:rPr>
        <w:t xml:space="preserve"> K, Poulos J, Tsuei J, Horvitz-Lennon M. Revisiting diabetes risk of olanzapine versus aripiprazole in serious mental illness care. </w:t>
      </w:r>
      <w:proofErr w:type="spellStart"/>
      <w:r>
        <w:rPr>
          <w:rFonts w:ascii="Times New Roman" w:eastAsia="Times New Roman" w:hAnsi="Times New Roman" w:cs="Times New Roman"/>
          <w:sz w:val="24"/>
          <w:szCs w:val="24"/>
        </w:rPr>
        <w:t>BJPsych</w:t>
      </w:r>
      <w:proofErr w:type="spellEnd"/>
      <w:r>
        <w:rPr>
          <w:rFonts w:ascii="Times New Roman" w:eastAsia="Times New Roman" w:hAnsi="Times New Roman" w:cs="Times New Roman"/>
          <w:sz w:val="24"/>
          <w:szCs w:val="24"/>
        </w:rPr>
        <w:t xml:space="preserve"> Open. 2024 Sep;10(5</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144.</w:t>
      </w:r>
    </w:p>
    <w:sectPr w:rsidR="001B68E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62B28" w14:textId="77777777" w:rsidR="00E333D3" w:rsidRDefault="00E333D3" w:rsidP="00216A8E">
      <w:pPr>
        <w:spacing w:line="240" w:lineRule="auto"/>
      </w:pPr>
      <w:r>
        <w:separator/>
      </w:r>
    </w:p>
  </w:endnote>
  <w:endnote w:type="continuationSeparator" w:id="0">
    <w:p w14:paraId="5CC38C6E" w14:textId="77777777" w:rsidR="00E333D3" w:rsidRDefault="00E333D3" w:rsidP="00216A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D8A401-15E8-486A-B7EB-89F5A2F71B26}"/>
  </w:font>
  <w:font w:name="Cambria">
    <w:panose1 w:val="02040503050406030204"/>
    <w:charset w:val="00"/>
    <w:family w:val="roman"/>
    <w:pitch w:val="variable"/>
    <w:sig w:usb0="E00006FF" w:usb1="420024FF" w:usb2="02000000" w:usb3="00000000" w:csb0="0000019F" w:csb1="00000000"/>
    <w:embedRegular r:id="rId2" w:fontKey="{B6E9A287-2785-4F3C-AA46-CFEF98829B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EB4D7" w14:textId="77777777" w:rsidR="00216A8E" w:rsidRDefault="00216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181E4" w14:textId="77777777" w:rsidR="00216A8E" w:rsidRDefault="00216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F18F7" w14:textId="77777777" w:rsidR="00216A8E" w:rsidRDefault="00216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18BC5" w14:textId="77777777" w:rsidR="00E333D3" w:rsidRDefault="00E333D3" w:rsidP="00216A8E">
      <w:pPr>
        <w:spacing w:line="240" w:lineRule="auto"/>
      </w:pPr>
      <w:r>
        <w:separator/>
      </w:r>
    </w:p>
  </w:footnote>
  <w:footnote w:type="continuationSeparator" w:id="0">
    <w:p w14:paraId="12BD7E74" w14:textId="77777777" w:rsidR="00E333D3" w:rsidRDefault="00E333D3" w:rsidP="00216A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AD19" w14:textId="197605DF" w:rsidR="00216A8E" w:rsidRDefault="00216A8E">
    <w:pPr>
      <w:pStyle w:val="Header"/>
    </w:pPr>
    <w:r>
      <w:rPr>
        <w:noProof/>
      </w:rPr>
      <w:pict w14:anchorId="1833E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93479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9A83B" w14:textId="61C91D0A" w:rsidR="00216A8E" w:rsidRDefault="00216A8E">
    <w:pPr>
      <w:pStyle w:val="Header"/>
    </w:pPr>
    <w:r>
      <w:rPr>
        <w:noProof/>
      </w:rPr>
      <w:pict w14:anchorId="19977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93479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8B9D7" w14:textId="2E448727" w:rsidR="00216A8E" w:rsidRDefault="00216A8E">
    <w:pPr>
      <w:pStyle w:val="Header"/>
    </w:pPr>
    <w:r>
      <w:rPr>
        <w:noProof/>
      </w:rPr>
      <w:pict w14:anchorId="04258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93479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97084D"/>
    <w:multiLevelType w:val="multilevel"/>
    <w:tmpl w:val="42C01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8E9"/>
    <w:rsid w:val="001B68E9"/>
    <w:rsid w:val="00216A8E"/>
    <w:rsid w:val="00957BFF"/>
    <w:rsid w:val="00A93AC6"/>
    <w:rsid w:val="00AC0837"/>
    <w:rsid w:val="00B01EA4"/>
    <w:rsid w:val="00E333D3"/>
    <w:rsid w:val="00EA4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5C2498"/>
  <w15:docId w15:val="{5478AE7F-4447-43A6-B598-7C529CFF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rsid w:val="00EA4EE5"/>
    <w:rPr>
      <w:color w:val="0000FF" w:themeColor="hyperlink"/>
      <w:u w:val="single"/>
    </w:rPr>
  </w:style>
  <w:style w:type="character" w:styleId="UnresolvedMention">
    <w:name w:val="Unresolved Mention"/>
    <w:basedOn w:val="DefaultParagraphFont"/>
    <w:uiPriority w:val="99"/>
    <w:semiHidden/>
    <w:unhideWhenUsed/>
    <w:rsid w:val="00EA4EE5"/>
    <w:rPr>
      <w:color w:val="605E5C"/>
      <w:shd w:val="clear" w:color="auto" w:fill="E1DFDD"/>
    </w:rPr>
  </w:style>
  <w:style w:type="paragraph" w:styleId="Header">
    <w:name w:val="header"/>
    <w:basedOn w:val="Normal"/>
    <w:link w:val="HeaderChar"/>
    <w:uiPriority w:val="99"/>
    <w:unhideWhenUsed/>
    <w:rsid w:val="00216A8E"/>
    <w:pPr>
      <w:tabs>
        <w:tab w:val="center" w:pos="4680"/>
        <w:tab w:val="right" w:pos="9360"/>
      </w:tabs>
      <w:spacing w:line="240" w:lineRule="auto"/>
    </w:pPr>
  </w:style>
  <w:style w:type="character" w:customStyle="1" w:styleId="HeaderChar">
    <w:name w:val="Header Char"/>
    <w:basedOn w:val="DefaultParagraphFont"/>
    <w:link w:val="Header"/>
    <w:uiPriority w:val="99"/>
    <w:rsid w:val="00216A8E"/>
  </w:style>
  <w:style w:type="paragraph" w:styleId="Footer">
    <w:name w:val="footer"/>
    <w:basedOn w:val="Normal"/>
    <w:link w:val="FooterChar"/>
    <w:uiPriority w:val="99"/>
    <w:unhideWhenUsed/>
    <w:rsid w:val="00216A8E"/>
    <w:pPr>
      <w:tabs>
        <w:tab w:val="center" w:pos="4680"/>
        <w:tab w:val="right" w:pos="9360"/>
      </w:tabs>
      <w:spacing w:line="240" w:lineRule="auto"/>
    </w:pPr>
  </w:style>
  <w:style w:type="character" w:customStyle="1" w:styleId="FooterChar">
    <w:name w:val="Footer Char"/>
    <w:basedOn w:val="DefaultParagraphFont"/>
    <w:link w:val="Footer"/>
    <w:uiPriority w:val="99"/>
    <w:rsid w:val="00216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trinetx.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3922</Words>
  <Characters>22361</Characters>
  <Application>Microsoft Office Word</Application>
  <DocSecurity>0</DocSecurity>
  <Lines>186</Lines>
  <Paragraphs>52</Paragraphs>
  <ScaleCrop>false</ScaleCrop>
  <Company/>
  <LinksUpToDate>false</LinksUpToDate>
  <CharactersWithSpaces>26231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2025-11-16T14:47:00Z</dcterms:created>
  <dcterms:modified xsi:type="dcterms:W3CDTF">2025-11-18T13:59:00Z</dcterms:modified>
</cp:coreProperties>
</file>