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5787DE" w14:textId="74D350D1" w:rsidR="000A3D20" w:rsidRDefault="00115CEE" w:rsidP="00B35AD9">
      <w:pPr>
        <w:ind w:firstLine="0"/>
        <w:rPr>
          <w:rFonts w:ascii="Arial" w:eastAsia="Times New Roman" w:hAnsi="Arial" w:cs="Arial"/>
          <w:b/>
          <w:sz w:val="24"/>
          <w:szCs w:val="24"/>
          <w:lang w:val="en-US" w:eastAsia="pt-BR"/>
        </w:rPr>
      </w:pPr>
      <w:bookmarkStart w:id="0" w:name="_Toc357992674"/>
      <w:r w:rsidRPr="00115CEE">
        <w:rPr>
          <w:rFonts w:ascii="Arial" w:eastAsia="Times New Roman" w:hAnsi="Arial" w:cs="Arial"/>
          <w:b/>
          <w:sz w:val="24"/>
          <w:szCs w:val="24"/>
          <w:lang w:val="en-US" w:eastAsia="pt-BR"/>
        </w:rPr>
        <w:t>CORNEAL MELTING AFTER CROSSLINKING: A SYSTEMATIC LITERATURE REVIEW</w:t>
      </w:r>
    </w:p>
    <w:p w14:paraId="69D0625A" w14:textId="7A59FD6B" w:rsidR="00516D79" w:rsidRDefault="00516D79" w:rsidP="00B35AD9">
      <w:pPr>
        <w:ind w:firstLine="0"/>
        <w:rPr>
          <w:rFonts w:ascii="Arial" w:eastAsia="Times New Roman" w:hAnsi="Arial" w:cs="Arial"/>
          <w:b/>
          <w:sz w:val="24"/>
          <w:szCs w:val="24"/>
          <w:lang w:val="en-US" w:eastAsia="pt-BR"/>
        </w:rPr>
      </w:pPr>
    </w:p>
    <w:p w14:paraId="64DFC873" w14:textId="77777777" w:rsidR="00787792" w:rsidRDefault="00787792" w:rsidP="00B35AD9">
      <w:pPr>
        <w:ind w:firstLine="0"/>
        <w:jc w:val="left"/>
        <w:rPr>
          <w:rFonts w:ascii="Arial" w:hAnsi="Arial" w:cs="Arial"/>
          <w:b/>
          <w:sz w:val="24"/>
          <w:szCs w:val="24"/>
        </w:rPr>
      </w:pPr>
      <w:bookmarkStart w:id="1" w:name="_GoBack"/>
      <w:bookmarkEnd w:id="1"/>
    </w:p>
    <w:p w14:paraId="2452BAB8" w14:textId="704A13A0" w:rsidR="000F3153" w:rsidRPr="00FA7CA4" w:rsidRDefault="00B35AD9" w:rsidP="00B35AD9">
      <w:pPr>
        <w:ind w:firstLine="0"/>
        <w:jc w:val="left"/>
        <w:rPr>
          <w:rFonts w:ascii="Arial" w:hAnsi="Arial" w:cs="Arial"/>
          <w:b/>
          <w:sz w:val="24"/>
          <w:szCs w:val="24"/>
        </w:rPr>
      </w:pPr>
      <w:r>
        <w:rPr>
          <w:rFonts w:ascii="Arial" w:hAnsi="Arial" w:cs="Arial"/>
          <w:b/>
          <w:sz w:val="24"/>
          <w:szCs w:val="24"/>
        </w:rPr>
        <w:t>ABSTRACT</w:t>
      </w:r>
    </w:p>
    <w:p w14:paraId="043339C2" w14:textId="72FB001F" w:rsidR="00805781" w:rsidRPr="005132F3" w:rsidRDefault="00115CEE" w:rsidP="00805781">
      <w:pPr>
        <w:ind w:firstLine="0"/>
        <w:rPr>
          <w:rFonts w:ascii="Arial" w:hAnsi="Arial" w:cs="Arial"/>
          <w:sz w:val="24"/>
          <w:szCs w:val="24"/>
        </w:rPr>
      </w:pPr>
      <w:r>
        <w:rPr>
          <w:rFonts w:ascii="Arial" w:hAnsi="Arial" w:cs="Arial"/>
          <w:sz w:val="24"/>
          <w:szCs w:val="24"/>
        </w:rPr>
        <w:t xml:space="preserve">The </w:t>
      </w:r>
      <w:r w:rsidR="00805781" w:rsidRPr="00FA7CA4">
        <w:rPr>
          <w:rFonts w:ascii="Arial" w:hAnsi="Arial" w:cs="Arial"/>
          <w:sz w:val="24"/>
          <w:szCs w:val="24"/>
        </w:rPr>
        <w:t xml:space="preserve">crosslinking (CXL) has </w:t>
      </w:r>
      <w:r w:rsidR="000A142B" w:rsidRPr="00FA7CA4">
        <w:rPr>
          <w:rFonts w:ascii="Arial" w:hAnsi="Arial" w:cs="Arial"/>
          <w:i/>
          <w:sz w:val="24"/>
          <w:szCs w:val="24"/>
        </w:rPr>
        <w:t xml:space="preserve">established </w:t>
      </w:r>
      <w:r w:rsidR="00805781" w:rsidRPr="00FA7CA4">
        <w:rPr>
          <w:rFonts w:ascii="Arial" w:hAnsi="Arial" w:cs="Arial"/>
          <w:sz w:val="24"/>
          <w:szCs w:val="24"/>
        </w:rPr>
        <w:t xml:space="preserve">itself as a fundamental treatment for stabilizing keratoconus; however, serious complications such as corneal </w:t>
      </w:r>
      <w:r w:rsidR="00694B8A" w:rsidRPr="00FA7CA4">
        <w:rPr>
          <w:rFonts w:ascii="Arial" w:hAnsi="Arial" w:cs="Arial"/>
          <w:i/>
          <w:sz w:val="24"/>
          <w:szCs w:val="24"/>
        </w:rPr>
        <w:t xml:space="preserve">melting </w:t>
      </w:r>
      <w:r w:rsidR="00805781" w:rsidRPr="00FA7CA4">
        <w:rPr>
          <w:rFonts w:ascii="Arial" w:hAnsi="Arial" w:cs="Arial"/>
          <w:sz w:val="24"/>
          <w:szCs w:val="24"/>
        </w:rPr>
        <w:t xml:space="preserve">represent significant challenges to its safety. Therefore, this systematic review aimed to elucidate the occurrence of post-CXL corneal </w:t>
      </w:r>
      <w:r w:rsidR="00694B8A" w:rsidRPr="00FA7CA4">
        <w:rPr>
          <w:rFonts w:ascii="Arial" w:hAnsi="Arial" w:cs="Arial"/>
          <w:i/>
          <w:sz w:val="24"/>
          <w:szCs w:val="24"/>
        </w:rPr>
        <w:t xml:space="preserve">melting </w:t>
      </w:r>
      <w:r w:rsidR="00805781" w:rsidRPr="00FA7CA4">
        <w:rPr>
          <w:rFonts w:ascii="Arial" w:hAnsi="Arial" w:cs="Arial"/>
          <w:sz w:val="24"/>
          <w:szCs w:val="24"/>
        </w:rPr>
        <w:t xml:space="preserve">and relate it to relevant technical and clinical parameters. To this end, this research followed the PRISMA guidelines and was conducted between January and March 2025, searching the PubMed, Scopus, Web of Science, </w:t>
      </w:r>
      <w:proofErr w:type="spellStart"/>
      <w:r w:rsidR="00805781" w:rsidRPr="00FA7CA4">
        <w:rPr>
          <w:rFonts w:ascii="Arial" w:hAnsi="Arial" w:cs="Arial"/>
          <w:sz w:val="24"/>
          <w:szCs w:val="24"/>
        </w:rPr>
        <w:t>SciELO</w:t>
      </w:r>
      <w:proofErr w:type="spellEnd"/>
      <w:r w:rsidR="00805781" w:rsidRPr="00FA7CA4">
        <w:rPr>
          <w:rFonts w:ascii="Arial" w:hAnsi="Arial" w:cs="Arial"/>
          <w:sz w:val="24"/>
          <w:szCs w:val="24"/>
        </w:rPr>
        <w:t xml:space="preserve">, BVS, and Google Scholar databases. Fifteen studies were selected after rigorous screening based on predefined inclusion and exclusion criteria. The extracted data included CXL protocols, previous pachymetry values, time of </w:t>
      </w:r>
      <w:r w:rsidR="00694B8A" w:rsidRPr="005132F3">
        <w:rPr>
          <w:rFonts w:ascii="Arial" w:hAnsi="Arial" w:cs="Arial"/>
          <w:i/>
          <w:sz w:val="24"/>
          <w:szCs w:val="24"/>
        </w:rPr>
        <w:t xml:space="preserve">melting </w:t>
      </w:r>
      <w:proofErr w:type="gramStart"/>
      <w:r w:rsidR="00694B8A" w:rsidRPr="005132F3">
        <w:rPr>
          <w:rFonts w:ascii="Arial" w:hAnsi="Arial" w:cs="Arial"/>
          <w:i/>
          <w:sz w:val="24"/>
          <w:szCs w:val="24"/>
        </w:rPr>
        <w:t xml:space="preserve">occurrence </w:t>
      </w:r>
      <w:r w:rsidR="00805781" w:rsidRPr="005132F3">
        <w:rPr>
          <w:rFonts w:ascii="Arial" w:hAnsi="Arial" w:cs="Arial"/>
          <w:sz w:val="24"/>
          <w:szCs w:val="24"/>
        </w:rPr>
        <w:t>,</w:t>
      </w:r>
      <w:proofErr w:type="gramEnd"/>
      <w:r w:rsidR="00805781" w:rsidRPr="005132F3">
        <w:rPr>
          <w:rFonts w:ascii="Arial" w:hAnsi="Arial" w:cs="Arial"/>
          <w:sz w:val="24"/>
          <w:szCs w:val="24"/>
        </w:rPr>
        <w:t xml:space="preserve"> and clinical management. After analyzing this study, it was revealed that corneas with pachymetry below 400 µm presented a significantly increased risk of </w:t>
      </w:r>
      <w:proofErr w:type="gramStart"/>
      <w:r w:rsidR="00694B8A" w:rsidRPr="005132F3">
        <w:rPr>
          <w:rFonts w:ascii="Arial" w:hAnsi="Arial" w:cs="Arial"/>
          <w:i/>
          <w:sz w:val="24"/>
          <w:szCs w:val="24"/>
        </w:rPr>
        <w:t xml:space="preserve">melting </w:t>
      </w:r>
      <w:r w:rsidR="00805781" w:rsidRPr="005132F3">
        <w:rPr>
          <w:rFonts w:ascii="Arial" w:hAnsi="Arial" w:cs="Arial"/>
          <w:sz w:val="24"/>
          <w:szCs w:val="24"/>
        </w:rPr>
        <w:t>,</w:t>
      </w:r>
      <w:proofErr w:type="gramEnd"/>
      <w:r w:rsidR="00805781" w:rsidRPr="005132F3">
        <w:rPr>
          <w:rFonts w:ascii="Arial" w:hAnsi="Arial" w:cs="Arial"/>
          <w:sz w:val="24"/>
          <w:szCs w:val="24"/>
        </w:rPr>
        <w:t xml:space="preserve"> particularly when subjected to accelerated (FAST) or adapted (sub-400) protocols; furthermore, the Dresden protocol demonstrated greater safety, while technical variants with </w:t>
      </w:r>
      <w:proofErr w:type="spellStart"/>
      <w:r w:rsidR="00805781" w:rsidRPr="005132F3">
        <w:rPr>
          <w:rFonts w:ascii="Arial" w:hAnsi="Arial" w:cs="Arial"/>
          <w:sz w:val="24"/>
          <w:szCs w:val="24"/>
        </w:rPr>
        <w:t>hypoosmolar</w:t>
      </w:r>
      <w:proofErr w:type="spellEnd"/>
      <w:r w:rsidR="00805781" w:rsidRPr="005132F3">
        <w:rPr>
          <w:rFonts w:ascii="Arial" w:hAnsi="Arial" w:cs="Arial"/>
          <w:sz w:val="24"/>
          <w:szCs w:val="24"/>
        </w:rPr>
        <w:t xml:space="preserve"> riboflavin showed a high potential for complications. Moreover, the time interval for the onset of </w:t>
      </w:r>
      <w:r w:rsidR="00694B8A" w:rsidRPr="005132F3">
        <w:rPr>
          <w:rFonts w:ascii="Arial" w:hAnsi="Arial" w:cs="Arial"/>
          <w:i/>
          <w:sz w:val="24"/>
          <w:szCs w:val="24"/>
        </w:rPr>
        <w:t xml:space="preserve">melting </w:t>
      </w:r>
      <w:r w:rsidR="00805781" w:rsidRPr="005132F3">
        <w:rPr>
          <w:rFonts w:ascii="Arial" w:hAnsi="Arial" w:cs="Arial"/>
          <w:sz w:val="24"/>
          <w:szCs w:val="24"/>
        </w:rPr>
        <w:t xml:space="preserve">showed a bimodal distribution: most cases occurred in the first </w:t>
      </w:r>
      <w:proofErr w:type="gramStart"/>
      <w:r w:rsidR="00805781" w:rsidRPr="005132F3">
        <w:rPr>
          <w:rFonts w:ascii="Arial" w:hAnsi="Arial" w:cs="Arial"/>
          <w:sz w:val="24"/>
          <w:szCs w:val="24"/>
        </w:rPr>
        <w:t>weeks</w:t>
      </w:r>
      <w:proofErr w:type="gramEnd"/>
      <w:r w:rsidR="00805781" w:rsidRPr="005132F3">
        <w:rPr>
          <w:rFonts w:ascii="Arial" w:hAnsi="Arial" w:cs="Arial"/>
          <w:sz w:val="24"/>
          <w:szCs w:val="24"/>
        </w:rPr>
        <w:t xml:space="preserve"> post-procedure, but reports documented late occurrence, with cases appearing between 5 and 12 years after CXL. Therefore, it was identified that additional factors, such as systemic comorbidities (diabetes) and individual inflammatory response, modulated the risk and chronology of the complication. Therefore, it is concluded that post-CXL corneal </w:t>
      </w:r>
      <w:proofErr w:type="gramStart"/>
      <w:r w:rsidR="00694B8A" w:rsidRPr="005132F3">
        <w:rPr>
          <w:rFonts w:ascii="Arial" w:hAnsi="Arial" w:cs="Arial"/>
          <w:i/>
          <w:sz w:val="24"/>
          <w:szCs w:val="24"/>
        </w:rPr>
        <w:t xml:space="preserve">melting </w:t>
      </w:r>
      <w:r w:rsidR="00805781" w:rsidRPr="005132F3">
        <w:rPr>
          <w:rFonts w:ascii="Arial" w:hAnsi="Arial" w:cs="Arial"/>
          <w:sz w:val="24"/>
          <w:szCs w:val="24"/>
        </w:rPr>
        <w:t>,</w:t>
      </w:r>
      <w:proofErr w:type="gramEnd"/>
      <w:r w:rsidR="00805781" w:rsidRPr="005132F3">
        <w:rPr>
          <w:rFonts w:ascii="Arial" w:hAnsi="Arial" w:cs="Arial"/>
          <w:sz w:val="24"/>
          <w:szCs w:val="24"/>
        </w:rPr>
        <w:t xml:space="preserve"> although rare, has an increased occurrence in thin corneas subjected to modified protocols, requiring prolonged clinical monitoring. Furthermore, careful candidate selection based on preoperative pachymetry and appropriate protocol is fundamental to minimizing this devastating complication, making the development of evidence-based clinical guidelines imperative to optimize the risk-benefit ratio of the procedure.</w:t>
      </w:r>
    </w:p>
    <w:p w14:paraId="3C3B7555" w14:textId="77777777" w:rsidR="00805781" w:rsidRPr="005132F3" w:rsidRDefault="00805781" w:rsidP="00805781">
      <w:pPr>
        <w:ind w:firstLine="0"/>
        <w:rPr>
          <w:rFonts w:ascii="Arial" w:hAnsi="Arial" w:cs="Arial"/>
          <w:sz w:val="24"/>
          <w:szCs w:val="24"/>
        </w:rPr>
      </w:pPr>
    </w:p>
    <w:p w14:paraId="2DBCD0E9" w14:textId="2F312707" w:rsidR="00E70CCB" w:rsidRPr="00D449C1" w:rsidRDefault="00805781" w:rsidP="00805781">
      <w:pPr>
        <w:ind w:firstLine="0"/>
        <w:rPr>
          <w:rFonts w:ascii="Arial" w:hAnsi="Arial" w:cs="Arial"/>
          <w:sz w:val="24"/>
          <w:szCs w:val="24"/>
        </w:rPr>
      </w:pPr>
      <w:r w:rsidRPr="005132F3">
        <w:rPr>
          <w:rFonts w:ascii="Arial" w:hAnsi="Arial" w:cs="Arial"/>
          <w:b/>
          <w:sz w:val="24"/>
          <w:szCs w:val="24"/>
        </w:rPr>
        <w:t xml:space="preserve">Keywords: </w:t>
      </w:r>
      <w:r w:rsidRPr="005132F3">
        <w:rPr>
          <w:rFonts w:ascii="Arial" w:hAnsi="Arial" w:cs="Arial"/>
          <w:sz w:val="24"/>
          <w:szCs w:val="24"/>
        </w:rPr>
        <w:t xml:space="preserve">Keratoconus; corneal collagen </w:t>
      </w:r>
      <w:proofErr w:type="gramStart"/>
      <w:r w:rsidR="000A142B" w:rsidRPr="005132F3">
        <w:rPr>
          <w:rFonts w:ascii="Arial" w:hAnsi="Arial" w:cs="Arial"/>
          <w:i/>
          <w:sz w:val="24"/>
          <w:szCs w:val="24"/>
        </w:rPr>
        <w:t>crosslinking ;</w:t>
      </w:r>
      <w:proofErr w:type="gramEnd"/>
      <w:r w:rsidR="000A142B" w:rsidRPr="005132F3">
        <w:rPr>
          <w:rFonts w:ascii="Arial" w:hAnsi="Arial" w:cs="Arial"/>
          <w:i/>
          <w:sz w:val="24"/>
          <w:szCs w:val="24"/>
        </w:rPr>
        <w:t xml:space="preserve"> corneal </w:t>
      </w:r>
      <w:r w:rsidR="00694B8A" w:rsidRPr="005132F3">
        <w:rPr>
          <w:rFonts w:ascii="Arial" w:hAnsi="Arial" w:cs="Arial"/>
          <w:i/>
          <w:sz w:val="24"/>
          <w:szCs w:val="24"/>
        </w:rPr>
        <w:t xml:space="preserve">melting </w:t>
      </w:r>
      <w:r w:rsidRPr="005132F3">
        <w:rPr>
          <w:rFonts w:ascii="Arial" w:hAnsi="Arial" w:cs="Arial"/>
          <w:sz w:val="24"/>
          <w:szCs w:val="24"/>
        </w:rPr>
        <w:t>; corneal pachymetry; postoperative complications.</w:t>
      </w:r>
    </w:p>
    <w:p w14:paraId="3FA747BF" w14:textId="77777777" w:rsidR="00E70CCB" w:rsidRPr="00D449C1" w:rsidRDefault="00E70CCB" w:rsidP="00E70CCB">
      <w:pPr>
        <w:ind w:firstLine="0"/>
        <w:rPr>
          <w:rFonts w:ascii="Arial" w:hAnsi="Arial" w:cs="Arial"/>
          <w:sz w:val="24"/>
          <w:szCs w:val="24"/>
        </w:rPr>
      </w:pPr>
    </w:p>
    <w:p w14:paraId="27A0C424" w14:textId="77777777" w:rsidR="006473C9" w:rsidRPr="00D449C1" w:rsidRDefault="006473C9" w:rsidP="00151B59">
      <w:pPr>
        <w:jc w:val="center"/>
        <w:rPr>
          <w:rFonts w:ascii="Arial" w:hAnsi="Arial" w:cs="Arial"/>
          <w:sz w:val="24"/>
          <w:szCs w:val="24"/>
        </w:rPr>
        <w:sectPr w:rsidR="006473C9" w:rsidRPr="00D449C1" w:rsidSect="00A04CB0">
          <w:headerReference w:type="even" r:id="rId8"/>
          <w:headerReference w:type="default" r:id="rId9"/>
          <w:footerReference w:type="even" r:id="rId10"/>
          <w:footerReference w:type="default" r:id="rId11"/>
          <w:headerReference w:type="first" r:id="rId12"/>
          <w:footerReference w:type="first" r:id="rId13"/>
          <w:pgSz w:w="11900" w:h="16838"/>
          <w:pgMar w:top="1440" w:right="1126" w:bottom="780" w:left="1440" w:header="0" w:footer="0" w:gutter="0"/>
          <w:cols w:space="720" w:equalWidth="0">
            <w:col w:w="9340"/>
          </w:cols>
        </w:sectPr>
      </w:pPr>
    </w:p>
    <w:bookmarkEnd w:id="0"/>
    <w:p w14:paraId="296AB5BC" w14:textId="1CB1BD61" w:rsidR="00EF12B5" w:rsidRPr="00694B8A" w:rsidRDefault="00B04B3E" w:rsidP="00B35AD9">
      <w:pPr>
        <w:pStyle w:val="ListParagraph"/>
        <w:numPr>
          <w:ilvl w:val="0"/>
          <w:numId w:val="17"/>
        </w:numPr>
        <w:ind w:left="0" w:firstLine="0"/>
        <w:outlineLvl w:val="0"/>
        <w:rPr>
          <w:rFonts w:ascii="Arial" w:hAnsi="Arial" w:cs="Arial"/>
          <w:b/>
          <w:bCs/>
          <w:sz w:val="24"/>
          <w:szCs w:val="24"/>
        </w:rPr>
      </w:pPr>
      <w:r w:rsidRPr="00694B8A">
        <w:rPr>
          <w:rFonts w:ascii="Arial" w:hAnsi="Arial" w:cs="Arial"/>
          <w:b/>
          <w:bCs/>
          <w:sz w:val="24"/>
          <w:szCs w:val="24"/>
        </w:rPr>
        <w:lastRenderedPageBreak/>
        <w:t>INTRODUCTION</w:t>
      </w:r>
    </w:p>
    <w:p w14:paraId="3D9AE80E" w14:textId="77777777" w:rsidR="00E86D02" w:rsidRPr="00694B8A" w:rsidRDefault="00E86D02" w:rsidP="00E86D02">
      <w:pPr>
        <w:ind w:firstLine="708"/>
        <w:rPr>
          <w:rFonts w:ascii="Arial" w:hAnsi="Arial" w:cs="Arial"/>
          <w:sz w:val="24"/>
          <w:szCs w:val="24"/>
        </w:rPr>
      </w:pPr>
      <w:bookmarkStart w:id="2" w:name="_Toc517819910"/>
    </w:p>
    <w:p w14:paraId="28DD4973" w14:textId="108CF283" w:rsidR="00B633B4" w:rsidRPr="00694B8A" w:rsidRDefault="00B633B4" w:rsidP="00B633B4">
      <w:pPr>
        <w:ind w:firstLine="708"/>
        <w:rPr>
          <w:rFonts w:ascii="Arial" w:hAnsi="Arial" w:cs="Arial"/>
          <w:sz w:val="24"/>
          <w:szCs w:val="24"/>
        </w:rPr>
      </w:pPr>
      <w:r w:rsidRPr="00694B8A">
        <w:rPr>
          <w:rFonts w:ascii="Arial" w:hAnsi="Arial" w:cs="Arial"/>
          <w:sz w:val="24"/>
          <w:szCs w:val="24"/>
        </w:rPr>
        <w:t>Keratoconus is a progressive corneal ectasia that compromises the regularity and thickness of the cornea, resulting in deterioration of visual acuity. CXL has emerged as one of the main therapeutic approaches to stabilize the progression of keratoconus, especially by increasing the biomechanical rigidity of the cornea through the induction of additional covalent bonds between collagen fibrils (</w:t>
      </w:r>
      <w:proofErr w:type="spellStart"/>
      <w:r w:rsidRPr="00694B8A">
        <w:rPr>
          <w:rFonts w:ascii="Arial" w:hAnsi="Arial" w:cs="Arial"/>
          <w:sz w:val="24"/>
          <w:szCs w:val="24"/>
        </w:rPr>
        <w:t>Labiris</w:t>
      </w:r>
      <w:proofErr w:type="spellEnd"/>
      <w:r w:rsidRPr="00694B8A">
        <w:rPr>
          <w:rFonts w:ascii="Arial" w:hAnsi="Arial" w:cs="Arial"/>
          <w:sz w:val="24"/>
          <w:szCs w:val="24"/>
        </w:rPr>
        <w:t xml:space="preserve"> </w:t>
      </w:r>
      <w:proofErr w:type="gramStart"/>
      <w:r w:rsidR="00EF7385" w:rsidRPr="00694B8A">
        <w:rPr>
          <w:rFonts w:ascii="Arial" w:hAnsi="Arial" w:cs="Arial"/>
          <w:i/>
          <w:sz w:val="24"/>
          <w:szCs w:val="24"/>
        </w:rPr>
        <w:t xml:space="preserve">et al. </w:t>
      </w:r>
      <w:r w:rsidRPr="00694B8A">
        <w:rPr>
          <w:rFonts w:ascii="Arial" w:hAnsi="Arial" w:cs="Arial"/>
          <w:sz w:val="24"/>
          <w:szCs w:val="24"/>
        </w:rPr>
        <w:t>,</w:t>
      </w:r>
      <w:proofErr w:type="gramEnd"/>
      <w:r w:rsidRPr="00694B8A">
        <w:rPr>
          <w:rFonts w:ascii="Arial" w:hAnsi="Arial" w:cs="Arial"/>
          <w:sz w:val="24"/>
          <w:szCs w:val="24"/>
        </w:rPr>
        <w:t xml:space="preserve"> 2011). However, despite its consolidated efficacy in the literature and the low overall rate of complications, serious, albeit rare, adverse events have been reported, such as corneal </w:t>
      </w:r>
      <w:proofErr w:type="gramStart"/>
      <w:r w:rsidR="00694B8A" w:rsidRPr="00694B8A">
        <w:rPr>
          <w:rFonts w:ascii="Arial" w:hAnsi="Arial" w:cs="Arial"/>
          <w:i/>
          <w:sz w:val="24"/>
          <w:szCs w:val="24"/>
        </w:rPr>
        <w:t xml:space="preserve">melting </w:t>
      </w:r>
      <w:r w:rsidRPr="00694B8A">
        <w:rPr>
          <w:rFonts w:ascii="Arial" w:hAnsi="Arial" w:cs="Arial"/>
          <w:sz w:val="24"/>
          <w:szCs w:val="24"/>
        </w:rPr>
        <w:t>,</w:t>
      </w:r>
      <w:proofErr w:type="gramEnd"/>
      <w:r w:rsidRPr="00694B8A">
        <w:rPr>
          <w:rFonts w:ascii="Arial" w:hAnsi="Arial" w:cs="Arial"/>
          <w:sz w:val="24"/>
          <w:szCs w:val="24"/>
        </w:rPr>
        <w:t xml:space="preserve"> which consists of progressive stromal degradation with a potential risk of perforation, standing out as a devastating complication that challenges clinical practice and the pathophysiological understanding of CXL (</w:t>
      </w:r>
      <w:proofErr w:type="spellStart"/>
      <w:r w:rsidRPr="00694B8A">
        <w:rPr>
          <w:rFonts w:ascii="Arial" w:hAnsi="Arial" w:cs="Arial"/>
          <w:sz w:val="24"/>
          <w:szCs w:val="24"/>
        </w:rPr>
        <w:t>Tillmann</w:t>
      </w:r>
      <w:proofErr w:type="spellEnd"/>
      <w:r w:rsidRPr="00694B8A">
        <w:rPr>
          <w:rFonts w:ascii="Arial" w:hAnsi="Arial" w:cs="Arial"/>
          <w:sz w:val="24"/>
          <w:szCs w:val="24"/>
        </w:rPr>
        <w:t xml:space="preserve"> </w:t>
      </w:r>
      <w:r w:rsidR="00EF7385" w:rsidRPr="00694B8A">
        <w:rPr>
          <w:rFonts w:ascii="Arial" w:hAnsi="Arial" w:cs="Arial"/>
          <w:i/>
          <w:sz w:val="24"/>
          <w:szCs w:val="24"/>
        </w:rPr>
        <w:t xml:space="preserve">et al. </w:t>
      </w:r>
      <w:r w:rsidRPr="00694B8A">
        <w:rPr>
          <w:rFonts w:ascii="Arial" w:hAnsi="Arial" w:cs="Arial"/>
          <w:sz w:val="24"/>
          <w:szCs w:val="24"/>
        </w:rPr>
        <w:t>, 2022).</w:t>
      </w:r>
    </w:p>
    <w:p w14:paraId="54E252F4" w14:textId="038C600E" w:rsidR="00B633B4" w:rsidRPr="00A16F1B" w:rsidRDefault="00B633B4" w:rsidP="00B633B4">
      <w:pPr>
        <w:ind w:firstLine="708"/>
        <w:rPr>
          <w:rFonts w:ascii="Arial" w:hAnsi="Arial" w:cs="Arial"/>
          <w:sz w:val="24"/>
          <w:szCs w:val="24"/>
        </w:rPr>
      </w:pPr>
      <w:r w:rsidRPr="00694B8A">
        <w:rPr>
          <w:rFonts w:ascii="Arial" w:hAnsi="Arial" w:cs="Arial"/>
          <w:sz w:val="24"/>
          <w:szCs w:val="24"/>
        </w:rPr>
        <w:t xml:space="preserve">The phenomenon of corneal </w:t>
      </w:r>
      <w:r w:rsidR="00694B8A" w:rsidRPr="00694B8A">
        <w:rPr>
          <w:rFonts w:ascii="Arial" w:hAnsi="Arial" w:cs="Arial"/>
          <w:i/>
          <w:sz w:val="24"/>
          <w:szCs w:val="24"/>
        </w:rPr>
        <w:t xml:space="preserve">melting </w:t>
      </w:r>
      <w:r w:rsidRPr="00694B8A">
        <w:rPr>
          <w:rFonts w:ascii="Arial" w:hAnsi="Arial" w:cs="Arial"/>
          <w:sz w:val="24"/>
          <w:szCs w:val="24"/>
        </w:rPr>
        <w:t xml:space="preserve">after CXL appears to be associated with a complex interaction between biochemical, structural, and technical factors. Among the proposed mechanisms are the exacerbation of local inflammatory processes and oxidative stress exacerbated by exposure to ultraviolet-A (UVA) radiation during the procedure (Mohamed-Noriega </w:t>
      </w:r>
      <w:proofErr w:type="gramStart"/>
      <w:r w:rsidR="00EF7385" w:rsidRPr="003F393F">
        <w:rPr>
          <w:rFonts w:ascii="Arial" w:hAnsi="Arial" w:cs="Arial"/>
          <w:i/>
          <w:sz w:val="24"/>
          <w:szCs w:val="24"/>
        </w:rPr>
        <w:t xml:space="preserve">et al. </w:t>
      </w:r>
      <w:r w:rsidRPr="003F393F">
        <w:rPr>
          <w:rFonts w:ascii="Arial" w:hAnsi="Arial" w:cs="Arial"/>
          <w:sz w:val="24"/>
          <w:szCs w:val="24"/>
        </w:rPr>
        <w:t>,</w:t>
      </w:r>
      <w:proofErr w:type="gramEnd"/>
      <w:r w:rsidRPr="003F393F">
        <w:rPr>
          <w:rFonts w:ascii="Arial" w:hAnsi="Arial" w:cs="Arial"/>
          <w:sz w:val="24"/>
          <w:szCs w:val="24"/>
        </w:rPr>
        <w:t xml:space="preserve"> 2016). Furthermore, these alterations can trigger an imbalance between matrix metalloproteinases (MMPs) and their tissue inhibitors, culminating in enzymatic degradation of the stroma (Wu </w:t>
      </w:r>
      <w:proofErr w:type="gramStart"/>
      <w:r w:rsidR="00EF7385" w:rsidRPr="003F393F">
        <w:rPr>
          <w:rFonts w:ascii="Arial" w:hAnsi="Arial" w:cs="Arial"/>
          <w:i/>
          <w:sz w:val="24"/>
          <w:szCs w:val="24"/>
        </w:rPr>
        <w:t xml:space="preserve">et al. </w:t>
      </w:r>
      <w:r w:rsidRPr="003F393F">
        <w:rPr>
          <w:rFonts w:ascii="Arial" w:hAnsi="Arial" w:cs="Arial"/>
          <w:sz w:val="24"/>
          <w:szCs w:val="24"/>
        </w:rPr>
        <w:t>,</w:t>
      </w:r>
      <w:proofErr w:type="gramEnd"/>
      <w:r w:rsidRPr="003F393F">
        <w:rPr>
          <w:rFonts w:ascii="Arial" w:hAnsi="Arial" w:cs="Arial"/>
          <w:sz w:val="24"/>
          <w:szCs w:val="24"/>
        </w:rPr>
        <w:t xml:space="preserve"> 2021). In addition, pre-existing corneal thickness has been considered a determining factor for the risk of tissue necrosis, since very thin corneas may suffer greater photochemical and oxidative damage, especially in non-standardized CXL protocols (</w:t>
      </w:r>
      <w:proofErr w:type="spellStart"/>
      <w:r w:rsidRPr="003F393F">
        <w:rPr>
          <w:rFonts w:ascii="Arial" w:hAnsi="Arial" w:cs="Arial"/>
          <w:sz w:val="24"/>
          <w:szCs w:val="24"/>
        </w:rPr>
        <w:t>Kocak</w:t>
      </w:r>
      <w:proofErr w:type="spellEnd"/>
      <w:r w:rsidRPr="003F393F">
        <w:rPr>
          <w:rFonts w:ascii="Arial" w:hAnsi="Arial" w:cs="Arial"/>
          <w:sz w:val="24"/>
          <w:szCs w:val="24"/>
        </w:rPr>
        <w:t xml:space="preserve"> </w:t>
      </w:r>
      <w:proofErr w:type="gramStart"/>
      <w:r w:rsidR="00EF7385" w:rsidRPr="00A16F1B">
        <w:rPr>
          <w:rFonts w:ascii="Arial" w:hAnsi="Arial" w:cs="Arial"/>
          <w:i/>
          <w:sz w:val="24"/>
          <w:szCs w:val="24"/>
        </w:rPr>
        <w:t xml:space="preserve">et al. </w:t>
      </w:r>
      <w:r w:rsidRPr="00A16F1B">
        <w:rPr>
          <w:rFonts w:ascii="Arial" w:hAnsi="Arial" w:cs="Arial"/>
          <w:sz w:val="24"/>
          <w:szCs w:val="24"/>
        </w:rPr>
        <w:t>,</w:t>
      </w:r>
      <w:proofErr w:type="gramEnd"/>
      <w:r w:rsidRPr="00A16F1B">
        <w:rPr>
          <w:rFonts w:ascii="Arial" w:hAnsi="Arial" w:cs="Arial"/>
          <w:sz w:val="24"/>
          <w:szCs w:val="24"/>
        </w:rPr>
        <w:t xml:space="preserve"> 2015).</w:t>
      </w:r>
    </w:p>
    <w:p w14:paraId="70CBA496" w14:textId="37211453" w:rsidR="00B633B4" w:rsidRPr="00D23943" w:rsidRDefault="00A16F1B" w:rsidP="00B633B4">
      <w:pPr>
        <w:ind w:firstLine="708"/>
        <w:rPr>
          <w:rFonts w:ascii="Arial" w:hAnsi="Arial" w:cs="Arial"/>
          <w:sz w:val="24"/>
          <w:szCs w:val="24"/>
          <w:highlight w:val="green"/>
        </w:rPr>
      </w:pPr>
      <w:r w:rsidRPr="00A16F1B">
        <w:rPr>
          <w:rFonts w:ascii="Arial" w:hAnsi="Arial" w:cs="Arial"/>
          <w:sz w:val="24"/>
          <w:szCs w:val="24"/>
        </w:rPr>
        <w:t xml:space="preserve">Furthermore, contemporary literature reinforces that minimum pachymetry is a critical parameter in selecting candidates for the procedure, with the value of 400 µm frequently cited as the safety limit in the Dresden protocol, developed by </w:t>
      </w:r>
      <w:proofErr w:type="spellStart"/>
      <w:r w:rsidRPr="00A16F1B">
        <w:rPr>
          <w:rFonts w:ascii="Arial" w:hAnsi="Arial" w:cs="Arial"/>
          <w:sz w:val="24"/>
          <w:szCs w:val="24"/>
        </w:rPr>
        <w:t>Wollensak</w:t>
      </w:r>
      <w:proofErr w:type="spellEnd"/>
      <w:r w:rsidRPr="00A16F1B">
        <w:rPr>
          <w:rFonts w:ascii="Arial" w:hAnsi="Arial" w:cs="Arial"/>
          <w:sz w:val="24"/>
          <w:szCs w:val="24"/>
        </w:rPr>
        <w:t xml:space="preserve"> in 2003 (</w:t>
      </w:r>
      <w:proofErr w:type="spellStart"/>
      <w:r w:rsidRPr="00A16F1B">
        <w:rPr>
          <w:rFonts w:ascii="Arial" w:hAnsi="Arial" w:cs="Arial"/>
          <w:sz w:val="24"/>
          <w:szCs w:val="24"/>
        </w:rPr>
        <w:t>Almodin</w:t>
      </w:r>
      <w:proofErr w:type="spellEnd"/>
      <w:r w:rsidRPr="00A16F1B">
        <w:rPr>
          <w:rFonts w:ascii="Arial" w:hAnsi="Arial" w:cs="Arial"/>
          <w:sz w:val="24"/>
          <w:szCs w:val="24"/>
        </w:rPr>
        <w:t xml:space="preserve"> </w:t>
      </w:r>
      <w:proofErr w:type="gramStart"/>
      <w:r w:rsidR="00EF7385" w:rsidRPr="00A16F1B">
        <w:rPr>
          <w:rFonts w:ascii="Arial" w:hAnsi="Arial" w:cs="Arial"/>
          <w:i/>
          <w:sz w:val="24"/>
          <w:szCs w:val="24"/>
        </w:rPr>
        <w:t xml:space="preserve">et al. </w:t>
      </w:r>
      <w:r w:rsidR="00B633B4" w:rsidRPr="00A16F1B">
        <w:rPr>
          <w:rFonts w:ascii="Arial" w:hAnsi="Arial" w:cs="Arial"/>
          <w:sz w:val="24"/>
          <w:szCs w:val="24"/>
        </w:rPr>
        <w:t>,</w:t>
      </w:r>
      <w:proofErr w:type="gramEnd"/>
      <w:r w:rsidR="00B633B4" w:rsidRPr="00A16F1B">
        <w:rPr>
          <w:rFonts w:ascii="Arial" w:hAnsi="Arial" w:cs="Arial"/>
          <w:sz w:val="24"/>
          <w:szCs w:val="24"/>
        </w:rPr>
        <w:t xml:space="preserve"> 2010). However, the introduction of alternative protocols, such as sub-400, accelerated (fast), and the use of </w:t>
      </w:r>
      <w:proofErr w:type="spellStart"/>
      <w:r w:rsidR="00B633B4" w:rsidRPr="00A16F1B">
        <w:rPr>
          <w:rFonts w:ascii="Arial" w:hAnsi="Arial" w:cs="Arial"/>
          <w:sz w:val="24"/>
          <w:szCs w:val="24"/>
        </w:rPr>
        <w:t>hypoosmolar</w:t>
      </w:r>
      <w:proofErr w:type="spellEnd"/>
      <w:r w:rsidR="00B633B4" w:rsidRPr="00A16F1B">
        <w:rPr>
          <w:rFonts w:ascii="Arial" w:hAnsi="Arial" w:cs="Arial"/>
          <w:sz w:val="24"/>
          <w:szCs w:val="24"/>
        </w:rPr>
        <w:t xml:space="preserve"> riboflavin, has broadened the therapeutic scope but has also raised concerns about the risk of </w:t>
      </w:r>
      <w:r w:rsidR="00694B8A" w:rsidRPr="00A16F1B">
        <w:rPr>
          <w:rFonts w:ascii="Arial" w:hAnsi="Arial" w:cs="Arial"/>
          <w:i/>
          <w:sz w:val="24"/>
          <w:szCs w:val="24"/>
        </w:rPr>
        <w:t xml:space="preserve">melting </w:t>
      </w:r>
      <w:r w:rsidR="00B633B4" w:rsidRPr="00A16F1B">
        <w:rPr>
          <w:rFonts w:ascii="Arial" w:hAnsi="Arial" w:cs="Arial"/>
          <w:sz w:val="24"/>
          <w:szCs w:val="24"/>
        </w:rPr>
        <w:t>in borderline corneas (</w:t>
      </w:r>
      <w:proofErr w:type="spellStart"/>
      <w:r w:rsidR="00B633B4" w:rsidRPr="00A16F1B">
        <w:rPr>
          <w:rFonts w:ascii="Arial" w:hAnsi="Arial" w:cs="Arial"/>
          <w:sz w:val="24"/>
          <w:szCs w:val="24"/>
        </w:rPr>
        <w:t>Kodavoor</w:t>
      </w:r>
      <w:proofErr w:type="spellEnd"/>
      <w:r w:rsidR="00B633B4" w:rsidRPr="00A16F1B">
        <w:rPr>
          <w:rFonts w:ascii="Arial" w:hAnsi="Arial" w:cs="Arial"/>
          <w:sz w:val="24"/>
          <w:szCs w:val="24"/>
        </w:rPr>
        <w:t xml:space="preserve"> </w:t>
      </w:r>
      <w:r w:rsidR="00EF7385" w:rsidRPr="00A16F1B">
        <w:rPr>
          <w:rFonts w:ascii="Arial" w:hAnsi="Arial" w:cs="Arial"/>
          <w:i/>
          <w:sz w:val="24"/>
          <w:szCs w:val="24"/>
        </w:rPr>
        <w:t xml:space="preserve">et al. </w:t>
      </w:r>
      <w:r w:rsidR="00B633B4" w:rsidRPr="00A16F1B">
        <w:rPr>
          <w:rFonts w:ascii="Arial" w:hAnsi="Arial" w:cs="Arial"/>
          <w:sz w:val="24"/>
          <w:szCs w:val="24"/>
        </w:rPr>
        <w:t xml:space="preserve">, 2024), as recent studies have shown that, although these methods reduce surgical time and preserve endothelial viability, they can generate unpredictable variations in UV energy distribution and the degree of collagen cross-linking, factors directly implicated in stromal cytotoxicity (Naranjo &amp; Manche, 2024). </w:t>
      </w:r>
      <w:r w:rsidRPr="00A16F1B">
        <w:rPr>
          <w:rFonts w:ascii="Arial" w:hAnsi="Arial" w:cs="Arial"/>
          <w:sz w:val="24"/>
          <w:szCs w:val="24"/>
        </w:rPr>
        <w:t xml:space="preserve">Thus, the incidence of corneal </w:t>
      </w:r>
      <w:r w:rsidR="00694B8A" w:rsidRPr="00A16F1B">
        <w:rPr>
          <w:rFonts w:ascii="Arial" w:hAnsi="Arial" w:cs="Arial"/>
          <w:i/>
          <w:sz w:val="24"/>
          <w:szCs w:val="24"/>
        </w:rPr>
        <w:t xml:space="preserve">melting </w:t>
      </w:r>
      <w:r w:rsidR="00B633B4" w:rsidRPr="00A16F1B">
        <w:rPr>
          <w:rFonts w:ascii="Arial" w:hAnsi="Arial" w:cs="Arial"/>
          <w:sz w:val="24"/>
          <w:szCs w:val="24"/>
        </w:rPr>
        <w:t xml:space="preserve">, even though low, is a complication with serious clinical implications, including significant loss of corneal </w:t>
      </w:r>
      <w:r w:rsidR="00B633B4" w:rsidRPr="00A16F1B">
        <w:rPr>
          <w:rFonts w:ascii="Arial" w:hAnsi="Arial" w:cs="Arial"/>
          <w:sz w:val="24"/>
          <w:szCs w:val="24"/>
        </w:rPr>
        <w:lastRenderedPageBreak/>
        <w:t>transparency, risk of perforation and, in extreme cases, the need for corneal transplantation (</w:t>
      </w:r>
      <w:proofErr w:type="spellStart"/>
      <w:r w:rsidR="00B633B4" w:rsidRPr="00A16F1B">
        <w:rPr>
          <w:rFonts w:ascii="Arial" w:hAnsi="Arial" w:cs="Arial"/>
          <w:sz w:val="24"/>
          <w:szCs w:val="24"/>
        </w:rPr>
        <w:t>Angunawela</w:t>
      </w:r>
      <w:proofErr w:type="spellEnd"/>
      <w:r w:rsidR="00B633B4" w:rsidRPr="00A16F1B">
        <w:rPr>
          <w:rFonts w:ascii="Arial" w:hAnsi="Arial" w:cs="Arial"/>
          <w:sz w:val="24"/>
          <w:szCs w:val="24"/>
        </w:rPr>
        <w:t xml:space="preserve"> </w:t>
      </w:r>
      <w:r w:rsidR="00EF7385" w:rsidRPr="00A16F1B">
        <w:rPr>
          <w:rFonts w:ascii="Arial" w:hAnsi="Arial" w:cs="Arial"/>
          <w:i/>
          <w:sz w:val="24"/>
          <w:szCs w:val="24"/>
        </w:rPr>
        <w:t xml:space="preserve">et al. </w:t>
      </w:r>
      <w:r w:rsidR="00B633B4" w:rsidRPr="00A16F1B">
        <w:rPr>
          <w:rFonts w:ascii="Arial" w:hAnsi="Arial" w:cs="Arial"/>
          <w:sz w:val="24"/>
          <w:szCs w:val="24"/>
        </w:rPr>
        <w:t xml:space="preserve">, 2009), since cases documented in the literature have shown that </w:t>
      </w:r>
      <w:r w:rsidR="00694B8A" w:rsidRPr="00A16F1B">
        <w:rPr>
          <w:rFonts w:ascii="Arial" w:hAnsi="Arial" w:cs="Arial"/>
          <w:i/>
          <w:sz w:val="24"/>
          <w:szCs w:val="24"/>
        </w:rPr>
        <w:t xml:space="preserve">melting </w:t>
      </w:r>
      <w:r w:rsidR="00B633B4" w:rsidRPr="00A16F1B">
        <w:rPr>
          <w:rFonts w:ascii="Arial" w:hAnsi="Arial" w:cs="Arial"/>
          <w:sz w:val="24"/>
          <w:szCs w:val="24"/>
        </w:rPr>
        <w:t>can occur within a variable interval of days to weeks after CXL, indicating that the destructive process may be subacute and multifactorial (</w:t>
      </w:r>
      <w:proofErr w:type="spellStart"/>
      <w:r w:rsidR="00B633B4" w:rsidRPr="00A16F1B">
        <w:rPr>
          <w:rFonts w:ascii="Arial" w:hAnsi="Arial" w:cs="Arial"/>
          <w:sz w:val="24"/>
          <w:szCs w:val="24"/>
        </w:rPr>
        <w:t>Moramarco</w:t>
      </w:r>
      <w:proofErr w:type="spellEnd"/>
      <w:r w:rsidR="00B633B4" w:rsidRPr="00A16F1B">
        <w:rPr>
          <w:rFonts w:ascii="Arial" w:hAnsi="Arial" w:cs="Arial"/>
          <w:sz w:val="24"/>
          <w:szCs w:val="24"/>
        </w:rPr>
        <w:t xml:space="preserve"> </w:t>
      </w:r>
      <w:r w:rsidR="00EF7385" w:rsidRPr="00A16F1B">
        <w:rPr>
          <w:rFonts w:ascii="Arial" w:hAnsi="Arial" w:cs="Arial"/>
          <w:i/>
          <w:sz w:val="24"/>
          <w:szCs w:val="24"/>
        </w:rPr>
        <w:t xml:space="preserve">et al. </w:t>
      </w:r>
      <w:r w:rsidR="00B633B4" w:rsidRPr="00A16F1B">
        <w:rPr>
          <w:rFonts w:ascii="Arial" w:hAnsi="Arial" w:cs="Arial"/>
          <w:sz w:val="24"/>
          <w:szCs w:val="24"/>
        </w:rPr>
        <w:t xml:space="preserve">, 2024), while the correlation between the time elapsed post-procedure and the appearance of clinical signs of </w:t>
      </w:r>
      <w:r w:rsidR="00694B8A" w:rsidRPr="00A16F1B">
        <w:rPr>
          <w:rFonts w:ascii="Arial" w:hAnsi="Arial" w:cs="Arial"/>
          <w:i/>
          <w:sz w:val="24"/>
          <w:szCs w:val="24"/>
        </w:rPr>
        <w:t xml:space="preserve">melting </w:t>
      </w:r>
      <w:r w:rsidR="00B633B4" w:rsidRPr="00A16F1B">
        <w:rPr>
          <w:rFonts w:ascii="Arial" w:hAnsi="Arial" w:cs="Arial"/>
          <w:sz w:val="24"/>
          <w:szCs w:val="24"/>
        </w:rPr>
        <w:t xml:space="preserve">is therefore essential to determine critical surveillance periods and to guide more rigorous follow-up protocols. In parallel, there is also evidence that the individual inflammatory response and the microbiological profile of the ocular surface can modulate susceptibility to </w:t>
      </w:r>
      <w:proofErr w:type="gramStart"/>
      <w:r w:rsidR="00694B8A" w:rsidRPr="005F15AB">
        <w:rPr>
          <w:rFonts w:ascii="Arial" w:hAnsi="Arial" w:cs="Arial"/>
          <w:i/>
          <w:sz w:val="24"/>
          <w:szCs w:val="24"/>
        </w:rPr>
        <w:t xml:space="preserve">melting </w:t>
      </w:r>
      <w:r w:rsidR="005F15AB" w:rsidRPr="005F15AB">
        <w:rPr>
          <w:rFonts w:ascii="Arial" w:hAnsi="Arial" w:cs="Arial"/>
          <w:sz w:val="24"/>
          <w:szCs w:val="24"/>
        </w:rPr>
        <w:t>,</w:t>
      </w:r>
      <w:proofErr w:type="gramEnd"/>
      <w:r w:rsidR="005F15AB" w:rsidRPr="005F15AB">
        <w:rPr>
          <w:rFonts w:ascii="Arial" w:hAnsi="Arial" w:cs="Arial"/>
          <w:sz w:val="24"/>
          <w:szCs w:val="24"/>
        </w:rPr>
        <w:t xml:space="preserve"> while reports suggest that secondary bacterial infections and colonization by opportunistic pathogens may act as important cofactors in stromal degradation (Said </w:t>
      </w:r>
      <w:r w:rsidR="00EF7385" w:rsidRPr="005F15AB">
        <w:rPr>
          <w:rFonts w:ascii="Arial" w:hAnsi="Arial" w:cs="Arial"/>
          <w:i/>
          <w:sz w:val="24"/>
          <w:szCs w:val="24"/>
        </w:rPr>
        <w:t xml:space="preserve">et al. </w:t>
      </w:r>
      <w:r w:rsidR="00B633B4" w:rsidRPr="005F15AB">
        <w:rPr>
          <w:rFonts w:ascii="Arial" w:hAnsi="Arial" w:cs="Arial"/>
          <w:sz w:val="24"/>
          <w:szCs w:val="24"/>
        </w:rPr>
        <w:t xml:space="preserve">, 2014). Other studies have highlighted the role of inflammatory mediators, such as interleukins and TNF-α, which can amplify tissue damage in corneas already compromised by oxidative stress (Bennani </w:t>
      </w:r>
      <w:proofErr w:type="gramStart"/>
      <w:r w:rsidR="00EF7385" w:rsidRPr="005F15AB">
        <w:rPr>
          <w:rFonts w:ascii="Arial" w:hAnsi="Arial" w:cs="Arial"/>
          <w:i/>
          <w:sz w:val="24"/>
          <w:szCs w:val="24"/>
        </w:rPr>
        <w:t xml:space="preserve">et al. </w:t>
      </w:r>
      <w:r w:rsidR="00B633B4" w:rsidRPr="005F15AB">
        <w:rPr>
          <w:rFonts w:ascii="Arial" w:hAnsi="Arial" w:cs="Arial"/>
          <w:sz w:val="24"/>
          <w:szCs w:val="24"/>
        </w:rPr>
        <w:t>,</w:t>
      </w:r>
      <w:proofErr w:type="gramEnd"/>
      <w:r w:rsidR="00B633B4" w:rsidRPr="005F15AB">
        <w:rPr>
          <w:rFonts w:ascii="Arial" w:hAnsi="Arial" w:cs="Arial"/>
          <w:sz w:val="24"/>
          <w:szCs w:val="24"/>
        </w:rPr>
        <w:t xml:space="preserve"> 2025), an interaction between inflammatory and biochemical processes that reinforces the need to understand corneal </w:t>
      </w:r>
      <w:r w:rsidR="00694B8A" w:rsidRPr="005F15AB">
        <w:rPr>
          <w:rFonts w:ascii="Arial" w:hAnsi="Arial" w:cs="Arial"/>
          <w:i/>
          <w:sz w:val="24"/>
          <w:szCs w:val="24"/>
        </w:rPr>
        <w:t xml:space="preserve">melting </w:t>
      </w:r>
      <w:r w:rsidR="00B633B4" w:rsidRPr="005F15AB">
        <w:rPr>
          <w:rFonts w:ascii="Arial" w:hAnsi="Arial" w:cs="Arial"/>
          <w:sz w:val="24"/>
          <w:szCs w:val="24"/>
        </w:rPr>
        <w:t>not only as an isolated complication, but as the result of a complex pathophysiological cascade.</w:t>
      </w:r>
    </w:p>
    <w:p w14:paraId="5D3AF85C" w14:textId="65ABDD50" w:rsidR="00B633B4" w:rsidRPr="005F15AB" w:rsidRDefault="005F15AB" w:rsidP="005F15AB">
      <w:pPr>
        <w:ind w:firstLine="708"/>
        <w:rPr>
          <w:rFonts w:ascii="Arial" w:hAnsi="Arial" w:cs="Arial"/>
          <w:sz w:val="24"/>
          <w:szCs w:val="24"/>
        </w:rPr>
      </w:pPr>
      <w:r w:rsidRPr="005F15AB">
        <w:rPr>
          <w:rFonts w:ascii="Arial" w:hAnsi="Arial" w:cs="Arial"/>
          <w:sz w:val="24"/>
          <w:szCs w:val="24"/>
        </w:rPr>
        <w:t xml:space="preserve">Thus, technological advances in recent years have also contributed to a better understanding of this phenomenon, given that histopathological analyses and </w:t>
      </w:r>
      <w:r w:rsidR="00B633B4" w:rsidRPr="005F15AB">
        <w:rPr>
          <w:rFonts w:ascii="Arial" w:hAnsi="Arial" w:cs="Arial"/>
          <w:i/>
          <w:iCs/>
          <w:sz w:val="24"/>
          <w:szCs w:val="24"/>
        </w:rPr>
        <w:t xml:space="preserve">in vivo confocal microscopy studies </w:t>
      </w:r>
      <w:r w:rsidR="00B633B4" w:rsidRPr="005F15AB">
        <w:rPr>
          <w:rFonts w:ascii="Arial" w:hAnsi="Arial" w:cs="Arial"/>
          <w:sz w:val="24"/>
          <w:szCs w:val="24"/>
        </w:rPr>
        <w:t xml:space="preserve">have shown irregular degradation of the anterior stroma and marked apoptosis of keratocytes in the affected areas, suggesting that persistent oxidative damage can maintain a self-sustaining cycle of tissue necrosis (Kilian </w:t>
      </w:r>
      <w:proofErr w:type="gramStart"/>
      <w:r w:rsidR="00EF7385" w:rsidRPr="005F15AB">
        <w:rPr>
          <w:rFonts w:ascii="Arial" w:hAnsi="Arial" w:cs="Arial"/>
          <w:i/>
          <w:sz w:val="24"/>
          <w:szCs w:val="24"/>
        </w:rPr>
        <w:t xml:space="preserve">et al. </w:t>
      </w:r>
      <w:r w:rsidR="00B633B4" w:rsidRPr="005F15AB">
        <w:rPr>
          <w:rFonts w:ascii="Arial" w:hAnsi="Arial" w:cs="Arial"/>
          <w:sz w:val="24"/>
          <w:szCs w:val="24"/>
        </w:rPr>
        <w:t>,</w:t>
      </w:r>
      <w:proofErr w:type="gramEnd"/>
      <w:r w:rsidR="00B633B4" w:rsidRPr="005F15AB">
        <w:rPr>
          <w:rFonts w:ascii="Arial" w:hAnsi="Arial" w:cs="Arial"/>
          <w:sz w:val="24"/>
          <w:szCs w:val="24"/>
        </w:rPr>
        <w:t xml:space="preserve"> 2024). In an </w:t>
      </w:r>
      <w:proofErr w:type="gramStart"/>
      <w:r w:rsidRPr="005F15AB">
        <w:rPr>
          <w:rFonts w:ascii="Arial" w:hAnsi="Arial" w:cs="Arial"/>
          <w:i/>
          <w:iCs/>
          <w:sz w:val="24"/>
          <w:szCs w:val="24"/>
        </w:rPr>
        <w:t xml:space="preserve">addendum </w:t>
      </w:r>
      <w:r w:rsidR="00B633B4" w:rsidRPr="005F15AB">
        <w:rPr>
          <w:rFonts w:ascii="Arial" w:hAnsi="Arial" w:cs="Arial"/>
          <w:sz w:val="24"/>
          <w:szCs w:val="24"/>
        </w:rPr>
        <w:t>,</w:t>
      </w:r>
      <w:proofErr w:type="gramEnd"/>
      <w:r w:rsidR="00B633B4" w:rsidRPr="005F15AB">
        <w:rPr>
          <w:rFonts w:ascii="Arial" w:hAnsi="Arial" w:cs="Arial"/>
          <w:sz w:val="24"/>
          <w:szCs w:val="24"/>
        </w:rPr>
        <w:t xml:space="preserve"> </w:t>
      </w:r>
      <w:proofErr w:type="spellStart"/>
      <w:r w:rsidR="00B633B4" w:rsidRPr="005F15AB">
        <w:rPr>
          <w:rFonts w:ascii="Arial" w:hAnsi="Arial" w:cs="Arial"/>
          <w:sz w:val="24"/>
          <w:szCs w:val="24"/>
        </w:rPr>
        <w:t>Tillmann</w:t>
      </w:r>
      <w:proofErr w:type="spellEnd"/>
      <w:r w:rsidR="00B633B4" w:rsidRPr="005F15AB">
        <w:rPr>
          <w:rFonts w:ascii="Arial" w:hAnsi="Arial" w:cs="Arial"/>
          <w:sz w:val="24"/>
          <w:szCs w:val="24"/>
        </w:rPr>
        <w:t xml:space="preserve"> </w:t>
      </w:r>
      <w:r w:rsidR="00EF7385" w:rsidRPr="005F15AB">
        <w:rPr>
          <w:rFonts w:ascii="Arial" w:hAnsi="Arial" w:cs="Arial"/>
          <w:i/>
          <w:sz w:val="24"/>
          <w:szCs w:val="24"/>
        </w:rPr>
        <w:t xml:space="preserve">et al. </w:t>
      </w:r>
      <w:r w:rsidR="00B633B4" w:rsidRPr="005F15AB">
        <w:rPr>
          <w:rFonts w:ascii="Arial" w:hAnsi="Arial" w:cs="Arial"/>
          <w:sz w:val="24"/>
          <w:szCs w:val="24"/>
        </w:rPr>
        <w:t xml:space="preserve">(2022) observed that metabolic alterations resulting from photopolymerization can compromise corneal homeostasis and favor the appearance of areas of stromal lysis, even in cases initially considered safe, findings which reinforced the hypothesis that </w:t>
      </w:r>
      <w:r w:rsidR="00694B8A" w:rsidRPr="005F15AB">
        <w:rPr>
          <w:rFonts w:ascii="Arial" w:hAnsi="Arial" w:cs="Arial"/>
          <w:i/>
          <w:sz w:val="24"/>
          <w:szCs w:val="24"/>
        </w:rPr>
        <w:t xml:space="preserve">melting </w:t>
      </w:r>
      <w:r w:rsidR="00B633B4" w:rsidRPr="005F15AB">
        <w:rPr>
          <w:rFonts w:ascii="Arial" w:hAnsi="Arial" w:cs="Arial"/>
          <w:sz w:val="24"/>
          <w:szCs w:val="24"/>
        </w:rPr>
        <w:t xml:space="preserve">is the result of a disproportionate tissue response to photochemical insult, aggravated by pre-existing structural factors. Furthermore, identifying specific risk factors is fundamental to improving the safety of CXL. Among the most frequently implicated elements, in addition to reduced pachymetry, are extensive epithelial irregularities, inadequate application of riboflavin, accelerated irradiation protocols, and previous inflammatory conditions of the ocular surface (Chiu </w:t>
      </w:r>
      <w:proofErr w:type="gramStart"/>
      <w:r w:rsidR="00EF7385" w:rsidRPr="005F15AB">
        <w:rPr>
          <w:rFonts w:ascii="Arial" w:hAnsi="Arial" w:cs="Arial"/>
          <w:i/>
          <w:sz w:val="24"/>
          <w:szCs w:val="24"/>
        </w:rPr>
        <w:t xml:space="preserve">et al. </w:t>
      </w:r>
      <w:r w:rsidR="00B633B4" w:rsidRPr="005F15AB">
        <w:rPr>
          <w:rFonts w:ascii="Arial" w:hAnsi="Arial" w:cs="Arial"/>
          <w:sz w:val="24"/>
          <w:szCs w:val="24"/>
        </w:rPr>
        <w:t>,</w:t>
      </w:r>
      <w:proofErr w:type="gramEnd"/>
      <w:r w:rsidR="00B633B4" w:rsidRPr="005F15AB">
        <w:rPr>
          <w:rFonts w:ascii="Arial" w:hAnsi="Arial" w:cs="Arial"/>
          <w:sz w:val="24"/>
          <w:szCs w:val="24"/>
        </w:rPr>
        <w:t xml:space="preserve"> 2017). Comparative analysis between different protocols (Dresden, sub-400, fast, and </w:t>
      </w:r>
      <w:proofErr w:type="spellStart"/>
      <w:r w:rsidR="00B633B4" w:rsidRPr="005F15AB">
        <w:rPr>
          <w:rFonts w:ascii="Arial" w:hAnsi="Arial" w:cs="Arial"/>
          <w:sz w:val="24"/>
          <w:szCs w:val="24"/>
        </w:rPr>
        <w:t>hypoosmolar</w:t>
      </w:r>
      <w:proofErr w:type="spellEnd"/>
      <w:r w:rsidR="00B633B4" w:rsidRPr="005F15AB">
        <w:rPr>
          <w:rFonts w:ascii="Arial" w:hAnsi="Arial" w:cs="Arial"/>
          <w:sz w:val="24"/>
          <w:szCs w:val="24"/>
        </w:rPr>
        <w:t xml:space="preserve">) has proven relevant for understanding the influence of technical variables on the incidence of </w:t>
      </w:r>
      <w:r w:rsidR="00694B8A" w:rsidRPr="000A142B">
        <w:rPr>
          <w:rFonts w:ascii="Arial" w:hAnsi="Arial" w:cs="Arial"/>
          <w:i/>
          <w:sz w:val="24"/>
          <w:szCs w:val="24"/>
        </w:rPr>
        <w:t xml:space="preserve">melting </w:t>
      </w:r>
      <w:r w:rsidR="00B633B4" w:rsidRPr="000A142B">
        <w:rPr>
          <w:rFonts w:ascii="Arial" w:hAnsi="Arial" w:cs="Arial"/>
          <w:sz w:val="24"/>
          <w:szCs w:val="24"/>
        </w:rPr>
        <w:t xml:space="preserve">(Gadelha </w:t>
      </w:r>
      <w:proofErr w:type="gramStart"/>
      <w:r w:rsidR="00EF7385" w:rsidRPr="000A142B">
        <w:rPr>
          <w:rFonts w:ascii="Arial" w:hAnsi="Arial" w:cs="Arial"/>
          <w:i/>
          <w:sz w:val="24"/>
          <w:szCs w:val="24"/>
        </w:rPr>
        <w:t xml:space="preserve">et al. </w:t>
      </w:r>
      <w:r w:rsidR="00B633B4" w:rsidRPr="000A142B">
        <w:rPr>
          <w:rFonts w:ascii="Arial" w:hAnsi="Arial" w:cs="Arial"/>
          <w:sz w:val="24"/>
          <w:szCs w:val="24"/>
        </w:rPr>
        <w:t>,</w:t>
      </w:r>
      <w:proofErr w:type="gramEnd"/>
      <w:r w:rsidR="00B633B4" w:rsidRPr="000A142B">
        <w:rPr>
          <w:rFonts w:ascii="Arial" w:hAnsi="Arial" w:cs="Arial"/>
          <w:sz w:val="24"/>
          <w:szCs w:val="24"/>
        </w:rPr>
        <w:t xml:space="preserve"> 2010). </w:t>
      </w:r>
      <w:r w:rsidR="00B633B4" w:rsidRPr="000A142B">
        <w:rPr>
          <w:rFonts w:ascii="Arial" w:hAnsi="Arial" w:cs="Arial"/>
          <w:sz w:val="24"/>
          <w:szCs w:val="24"/>
        </w:rPr>
        <w:lastRenderedPageBreak/>
        <w:t>Although modified protocols have been developed to broaden the indications for CXL and reduce morbidity, the balance between efficacy and safety remains a challenge.</w:t>
      </w:r>
    </w:p>
    <w:p w14:paraId="30EF963F" w14:textId="6AEEC4FA" w:rsidR="00B633B4" w:rsidRPr="000A142B" w:rsidRDefault="00B633B4" w:rsidP="00B633B4">
      <w:pPr>
        <w:ind w:firstLine="708"/>
        <w:rPr>
          <w:rFonts w:ascii="Arial" w:hAnsi="Arial" w:cs="Arial"/>
          <w:sz w:val="24"/>
          <w:szCs w:val="24"/>
        </w:rPr>
      </w:pPr>
      <w:r w:rsidRPr="000A142B">
        <w:rPr>
          <w:rFonts w:ascii="Arial" w:hAnsi="Arial" w:cs="Arial"/>
          <w:sz w:val="24"/>
          <w:szCs w:val="24"/>
        </w:rPr>
        <w:t xml:space="preserve">Given these assumptions, this systematic review aims to analyze the available scientific evidence on corneal </w:t>
      </w:r>
      <w:r w:rsidR="00694B8A" w:rsidRPr="000A142B">
        <w:rPr>
          <w:rFonts w:ascii="Arial" w:hAnsi="Arial" w:cs="Arial"/>
          <w:i/>
          <w:sz w:val="24"/>
          <w:szCs w:val="24"/>
        </w:rPr>
        <w:t xml:space="preserve">melting </w:t>
      </w:r>
      <w:r w:rsidRPr="000A142B">
        <w:rPr>
          <w:rFonts w:ascii="Arial" w:hAnsi="Arial" w:cs="Arial"/>
          <w:sz w:val="24"/>
          <w:szCs w:val="24"/>
        </w:rPr>
        <w:t xml:space="preserve">after </w:t>
      </w:r>
      <w:r w:rsidR="000A142B" w:rsidRPr="000A142B">
        <w:rPr>
          <w:rFonts w:ascii="Arial" w:hAnsi="Arial" w:cs="Arial"/>
          <w:i/>
          <w:sz w:val="24"/>
          <w:szCs w:val="24"/>
        </w:rPr>
        <w:t xml:space="preserve">crosslinking </w:t>
      </w:r>
      <w:r w:rsidRPr="000A142B">
        <w:rPr>
          <w:rFonts w:ascii="Arial" w:hAnsi="Arial" w:cs="Arial"/>
          <w:sz w:val="24"/>
          <w:szCs w:val="24"/>
        </w:rPr>
        <w:t xml:space="preserve">, </w:t>
      </w:r>
      <w:r w:rsidR="000A142B" w:rsidRPr="000A142B">
        <w:rPr>
          <w:rFonts w:ascii="Arial" w:hAnsi="Arial" w:cs="Arial"/>
          <w:bCs/>
          <w:sz w:val="24"/>
          <w:szCs w:val="24"/>
        </w:rPr>
        <w:t xml:space="preserve">characterizing it </w:t>
      </w:r>
      <w:r w:rsidRPr="000A142B">
        <w:rPr>
          <w:rFonts w:ascii="Arial" w:hAnsi="Arial" w:cs="Arial"/>
          <w:sz w:val="24"/>
          <w:szCs w:val="24"/>
        </w:rPr>
        <w:t xml:space="preserve">with relevant clinical and technical parameters, especially seeking to establish the relationship between pachymetry values prior to the procedure and the risk of stromal necrosis, as well as identifying the incidence of this complication in the different existing protocols, and also analyzing the average interval between the performance of CXL and the appearance of </w:t>
      </w:r>
      <w:r w:rsidR="00694B8A" w:rsidRPr="000A142B">
        <w:rPr>
          <w:rFonts w:ascii="Arial" w:hAnsi="Arial" w:cs="Arial"/>
          <w:i/>
          <w:sz w:val="24"/>
          <w:szCs w:val="24"/>
        </w:rPr>
        <w:t xml:space="preserve">melting </w:t>
      </w:r>
      <w:r w:rsidRPr="000A142B">
        <w:rPr>
          <w:rFonts w:ascii="Arial" w:hAnsi="Arial" w:cs="Arial"/>
          <w:sz w:val="24"/>
          <w:szCs w:val="24"/>
        </w:rPr>
        <w:t>, in order to recognize the period of greatest postoperative vulnerability (</w:t>
      </w:r>
      <w:proofErr w:type="spellStart"/>
      <w:r w:rsidRPr="000A142B">
        <w:rPr>
          <w:rFonts w:ascii="Arial" w:hAnsi="Arial" w:cs="Arial"/>
          <w:sz w:val="24"/>
          <w:szCs w:val="24"/>
        </w:rPr>
        <w:t>Moramarco</w:t>
      </w:r>
      <w:proofErr w:type="spellEnd"/>
      <w:r w:rsidRPr="000A142B">
        <w:rPr>
          <w:rFonts w:ascii="Arial" w:hAnsi="Arial" w:cs="Arial"/>
          <w:sz w:val="24"/>
          <w:szCs w:val="24"/>
        </w:rPr>
        <w:t xml:space="preserve"> </w:t>
      </w:r>
      <w:r w:rsidR="00EF7385" w:rsidRPr="000A142B">
        <w:rPr>
          <w:rFonts w:ascii="Arial" w:hAnsi="Arial" w:cs="Arial"/>
          <w:i/>
          <w:sz w:val="24"/>
          <w:szCs w:val="24"/>
        </w:rPr>
        <w:t xml:space="preserve">et al. </w:t>
      </w:r>
      <w:r w:rsidRPr="000A142B">
        <w:rPr>
          <w:rFonts w:ascii="Arial" w:hAnsi="Arial" w:cs="Arial"/>
          <w:sz w:val="24"/>
          <w:szCs w:val="24"/>
        </w:rPr>
        <w:t>, 2024).</w:t>
      </w:r>
    </w:p>
    <w:p w14:paraId="488F0D38" w14:textId="27772E77" w:rsidR="00346A30" w:rsidRPr="00D449C1" w:rsidRDefault="000A142B" w:rsidP="00B633B4">
      <w:pPr>
        <w:ind w:firstLine="708"/>
        <w:rPr>
          <w:rFonts w:ascii="Arial" w:hAnsi="Arial" w:cs="Arial"/>
          <w:sz w:val="24"/>
          <w:szCs w:val="24"/>
        </w:rPr>
      </w:pPr>
      <w:r w:rsidRPr="000A142B">
        <w:rPr>
          <w:rFonts w:ascii="Arial" w:hAnsi="Arial" w:cs="Arial"/>
          <w:sz w:val="24"/>
          <w:szCs w:val="24"/>
        </w:rPr>
        <w:t xml:space="preserve">Therefore, the relevance of this investigation is based on the need to improve the criteria for indication and follow-up of </w:t>
      </w:r>
      <w:proofErr w:type="gramStart"/>
      <w:r w:rsidRPr="000A142B">
        <w:rPr>
          <w:rFonts w:ascii="Arial" w:hAnsi="Arial" w:cs="Arial"/>
          <w:i/>
          <w:sz w:val="24"/>
          <w:szCs w:val="24"/>
        </w:rPr>
        <w:t xml:space="preserve">crosslinking </w:t>
      </w:r>
      <w:r w:rsidR="00B633B4" w:rsidRPr="000A142B">
        <w:rPr>
          <w:rFonts w:ascii="Arial" w:hAnsi="Arial" w:cs="Arial"/>
          <w:sz w:val="24"/>
          <w:szCs w:val="24"/>
        </w:rPr>
        <w:t>,</w:t>
      </w:r>
      <w:proofErr w:type="gramEnd"/>
      <w:r w:rsidR="00B633B4" w:rsidRPr="000A142B">
        <w:rPr>
          <w:rFonts w:ascii="Arial" w:hAnsi="Arial" w:cs="Arial"/>
          <w:sz w:val="24"/>
          <w:szCs w:val="24"/>
        </w:rPr>
        <w:t xml:space="preserve"> since, despite its widespread use and recognized effectiveness, gaps still persist regarding safety in corneas of smaller thickness or those subjected to alternative protocols (Mohamed-Noriega </w:t>
      </w:r>
      <w:r w:rsidR="00EF7385" w:rsidRPr="000A142B">
        <w:rPr>
          <w:rFonts w:ascii="Arial" w:hAnsi="Arial" w:cs="Arial"/>
          <w:i/>
          <w:sz w:val="24"/>
          <w:szCs w:val="24"/>
        </w:rPr>
        <w:t xml:space="preserve">et al. </w:t>
      </w:r>
      <w:r w:rsidR="00B633B4" w:rsidRPr="000A142B">
        <w:rPr>
          <w:rFonts w:ascii="Arial" w:hAnsi="Arial" w:cs="Arial"/>
          <w:sz w:val="24"/>
          <w:szCs w:val="24"/>
        </w:rPr>
        <w:t xml:space="preserve">, 2016). Furthermore, characterizing the predisposing factors to corneal </w:t>
      </w:r>
      <w:r w:rsidR="00694B8A" w:rsidRPr="000A142B">
        <w:rPr>
          <w:rFonts w:ascii="Arial" w:hAnsi="Arial" w:cs="Arial"/>
          <w:i/>
          <w:sz w:val="24"/>
          <w:szCs w:val="24"/>
        </w:rPr>
        <w:t xml:space="preserve">melting </w:t>
      </w:r>
      <w:r w:rsidR="00B633B4" w:rsidRPr="000A142B">
        <w:rPr>
          <w:rFonts w:ascii="Arial" w:hAnsi="Arial" w:cs="Arial"/>
          <w:sz w:val="24"/>
          <w:szCs w:val="24"/>
        </w:rPr>
        <w:t>may provide support for the development of safer clinical guidelines, contribute to the reduction of serious complications and, consequently, improve the visual prognosis of patients with keratoconus undergoing CXL. Thus, this research is fully justified, both by the scarcity of consolidated data on the subject and by the potential clinical and scientific impact of its results (Naranjo &amp; Manche, 2024).</w:t>
      </w:r>
    </w:p>
    <w:p w14:paraId="6388FB6A" w14:textId="77777777" w:rsidR="00D3550E" w:rsidRPr="00D449C1" w:rsidRDefault="00D3550E" w:rsidP="00346A30">
      <w:pPr>
        <w:ind w:firstLine="708"/>
        <w:rPr>
          <w:rFonts w:ascii="Arial" w:hAnsi="Arial" w:cs="Arial"/>
          <w:sz w:val="24"/>
          <w:szCs w:val="24"/>
        </w:rPr>
      </w:pPr>
    </w:p>
    <w:p w14:paraId="6A6F39B3" w14:textId="6CA5451B" w:rsidR="00106A4F" w:rsidRPr="00F43F7B" w:rsidRDefault="00B35AD9" w:rsidP="00106A4F">
      <w:pPr>
        <w:ind w:firstLine="0"/>
        <w:outlineLvl w:val="1"/>
        <w:rPr>
          <w:rFonts w:ascii="Arial" w:hAnsi="Arial" w:cs="Arial"/>
          <w:b/>
          <w:bCs/>
          <w:sz w:val="24"/>
          <w:szCs w:val="24"/>
        </w:rPr>
      </w:pPr>
      <w:bookmarkStart w:id="3" w:name="_Toc357992704"/>
      <w:bookmarkStart w:id="4" w:name="_Toc181469140"/>
      <w:bookmarkStart w:id="5" w:name="_Toc517819924"/>
      <w:bookmarkEnd w:id="2"/>
      <w:r>
        <w:rPr>
          <w:rFonts w:ascii="Arial" w:hAnsi="Arial" w:cs="Arial"/>
          <w:b/>
          <w:bCs/>
          <w:sz w:val="24"/>
          <w:szCs w:val="24"/>
        </w:rPr>
        <w:t>2. MATERIALS AND METHODS</w:t>
      </w:r>
    </w:p>
    <w:p w14:paraId="2D034B2D" w14:textId="77777777" w:rsidR="00003F74" w:rsidRDefault="00003F74" w:rsidP="00A46306">
      <w:pPr>
        <w:rPr>
          <w:rFonts w:ascii="Arial" w:hAnsi="Arial" w:cs="Arial"/>
          <w:sz w:val="24"/>
          <w:szCs w:val="24"/>
        </w:rPr>
      </w:pPr>
    </w:p>
    <w:p w14:paraId="527AE0A7" w14:textId="05B28775" w:rsidR="008B5AFA" w:rsidRPr="00A46306" w:rsidRDefault="008B5AFA" w:rsidP="00A46306">
      <w:pPr>
        <w:rPr>
          <w:rFonts w:ascii="Arial" w:hAnsi="Arial" w:cs="Arial"/>
          <w:sz w:val="24"/>
          <w:szCs w:val="24"/>
          <w:highlight w:val="green"/>
        </w:rPr>
      </w:pPr>
      <w:r w:rsidRPr="00F43F7B">
        <w:rPr>
          <w:rFonts w:ascii="Arial" w:hAnsi="Arial" w:cs="Arial"/>
          <w:sz w:val="24"/>
          <w:szCs w:val="24"/>
        </w:rPr>
        <w:t xml:space="preserve">This study conducted a systematic literature review focusing on the identification, analysis, and synthesis of available scientific evidence on the occurrence of corneal </w:t>
      </w:r>
      <w:r w:rsidR="00694B8A" w:rsidRPr="00F43F7B">
        <w:rPr>
          <w:rFonts w:ascii="Arial" w:hAnsi="Arial" w:cs="Arial"/>
          <w:i/>
          <w:sz w:val="24"/>
          <w:szCs w:val="24"/>
        </w:rPr>
        <w:t xml:space="preserve">melting </w:t>
      </w:r>
      <w:r w:rsidRPr="00F43F7B">
        <w:rPr>
          <w:rFonts w:ascii="Arial" w:hAnsi="Arial" w:cs="Arial"/>
          <w:sz w:val="24"/>
          <w:szCs w:val="24"/>
        </w:rPr>
        <w:t xml:space="preserve">after CXL. Its general objective was to </w:t>
      </w:r>
      <w:r w:rsidR="00F43F7B" w:rsidRPr="00A46306">
        <w:rPr>
          <w:rFonts w:ascii="Arial" w:hAnsi="Arial" w:cs="Arial"/>
          <w:bCs/>
          <w:sz w:val="24"/>
          <w:szCs w:val="24"/>
        </w:rPr>
        <w:t xml:space="preserve">analyze the available scientific evidence on the occurrence </w:t>
      </w:r>
      <w:r w:rsidRPr="00A46306">
        <w:rPr>
          <w:rFonts w:ascii="Arial" w:hAnsi="Arial" w:cs="Arial"/>
          <w:sz w:val="24"/>
          <w:szCs w:val="24"/>
        </w:rPr>
        <w:t xml:space="preserve">of this complication, and its specific objectives were to analyze the relationship between pre-procedure pachymetry </w:t>
      </w:r>
      <w:r w:rsidR="00F43F7B" w:rsidRPr="00A46306">
        <w:rPr>
          <w:rFonts w:ascii="Arial" w:hAnsi="Arial" w:cs="Arial"/>
          <w:bCs/>
          <w:sz w:val="24"/>
          <w:szCs w:val="24"/>
        </w:rPr>
        <w:t xml:space="preserve">values and the incidence of </w:t>
      </w:r>
      <w:proofErr w:type="gramStart"/>
      <w:r w:rsidR="00694B8A" w:rsidRPr="00A46306">
        <w:rPr>
          <w:rFonts w:ascii="Arial" w:hAnsi="Arial" w:cs="Arial"/>
          <w:i/>
          <w:sz w:val="24"/>
          <w:szCs w:val="24"/>
        </w:rPr>
        <w:t xml:space="preserve">melting </w:t>
      </w:r>
      <w:r w:rsidR="00A46306" w:rsidRPr="00A46306">
        <w:rPr>
          <w:rFonts w:ascii="Arial" w:hAnsi="Arial" w:cs="Arial"/>
          <w:sz w:val="24"/>
          <w:szCs w:val="24"/>
        </w:rPr>
        <w:t>;</w:t>
      </w:r>
      <w:proofErr w:type="gramEnd"/>
      <w:r w:rsidR="00A46306" w:rsidRPr="00A46306">
        <w:rPr>
          <w:rFonts w:ascii="Arial" w:hAnsi="Arial" w:cs="Arial"/>
          <w:sz w:val="24"/>
          <w:szCs w:val="24"/>
        </w:rPr>
        <w:t xml:space="preserve"> </w:t>
      </w:r>
      <w:r w:rsidR="00A46306" w:rsidRPr="00A46306">
        <w:rPr>
          <w:rFonts w:ascii="Arial" w:hAnsi="Arial" w:cs="Arial"/>
          <w:bCs/>
          <w:sz w:val="24"/>
          <w:szCs w:val="24"/>
        </w:rPr>
        <w:t xml:space="preserve">to characterize the occurrence of </w:t>
      </w:r>
      <w:r w:rsidR="00A46306" w:rsidRPr="00A46306">
        <w:rPr>
          <w:rFonts w:ascii="Arial" w:hAnsi="Arial" w:cs="Arial"/>
          <w:bCs/>
          <w:i/>
          <w:sz w:val="24"/>
          <w:szCs w:val="24"/>
        </w:rPr>
        <w:t xml:space="preserve">melting </w:t>
      </w:r>
      <w:r w:rsidR="00A46306" w:rsidRPr="00A46306">
        <w:rPr>
          <w:rFonts w:ascii="Arial" w:hAnsi="Arial" w:cs="Arial"/>
          <w:bCs/>
          <w:sz w:val="24"/>
          <w:szCs w:val="24"/>
        </w:rPr>
        <w:t xml:space="preserve">in </w:t>
      </w:r>
      <w:r w:rsidRPr="00A46306">
        <w:rPr>
          <w:rFonts w:ascii="Arial" w:hAnsi="Arial" w:cs="Arial"/>
          <w:sz w:val="24"/>
          <w:szCs w:val="24"/>
        </w:rPr>
        <w:t xml:space="preserve">different CXL protocols (Dresden, sub-400, fast, and </w:t>
      </w:r>
      <w:proofErr w:type="spellStart"/>
      <w:r w:rsidRPr="00A46306">
        <w:rPr>
          <w:rFonts w:ascii="Arial" w:hAnsi="Arial" w:cs="Arial"/>
          <w:sz w:val="24"/>
          <w:szCs w:val="24"/>
        </w:rPr>
        <w:t>hypoosmolar</w:t>
      </w:r>
      <w:proofErr w:type="spellEnd"/>
      <w:r w:rsidRPr="00A46306">
        <w:rPr>
          <w:rFonts w:ascii="Arial" w:hAnsi="Arial" w:cs="Arial"/>
          <w:sz w:val="24"/>
          <w:szCs w:val="24"/>
        </w:rPr>
        <w:t xml:space="preserve"> riboflavin); and </w:t>
      </w:r>
      <w:r w:rsidR="00A46306" w:rsidRPr="00A46306">
        <w:rPr>
          <w:rFonts w:ascii="Arial" w:hAnsi="Arial" w:cs="Arial"/>
          <w:bCs/>
          <w:sz w:val="24"/>
          <w:szCs w:val="24"/>
        </w:rPr>
        <w:t xml:space="preserve">to investigate the period of manifestation of post-CXL corneal </w:t>
      </w:r>
      <w:r w:rsidR="00A46306" w:rsidRPr="00A46306">
        <w:rPr>
          <w:rFonts w:ascii="Arial" w:hAnsi="Arial" w:cs="Arial"/>
          <w:bCs/>
          <w:i/>
          <w:sz w:val="24"/>
          <w:szCs w:val="24"/>
        </w:rPr>
        <w:t xml:space="preserve">melting </w:t>
      </w:r>
      <w:r w:rsidRPr="00A46306">
        <w:rPr>
          <w:rFonts w:ascii="Arial" w:hAnsi="Arial" w:cs="Arial"/>
          <w:sz w:val="24"/>
          <w:szCs w:val="24"/>
        </w:rPr>
        <w:t>in order to determine the period of greatest risk.</w:t>
      </w:r>
    </w:p>
    <w:p w14:paraId="4F095749" w14:textId="77777777" w:rsidR="008B5AFA" w:rsidRPr="00A46306" w:rsidRDefault="008B5AFA" w:rsidP="008B5AFA">
      <w:pPr>
        <w:ind w:firstLine="0"/>
        <w:outlineLvl w:val="1"/>
        <w:rPr>
          <w:rFonts w:ascii="Arial" w:hAnsi="Arial" w:cs="Arial"/>
          <w:sz w:val="24"/>
          <w:szCs w:val="24"/>
        </w:rPr>
      </w:pPr>
    </w:p>
    <w:p w14:paraId="34666596" w14:textId="6CF5ADAB" w:rsidR="008B5AFA" w:rsidRPr="00A46306" w:rsidRDefault="00B35AD9" w:rsidP="008B5AFA">
      <w:pPr>
        <w:ind w:firstLine="0"/>
        <w:outlineLvl w:val="1"/>
        <w:rPr>
          <w:rFonts w:ascii="Arial" w:hAnsi="Arial" w:cs="Arial"/>
          <w:b/>
          <w:bCs/>
          <w:sz w:val="24"/>
          <w:szCs w:val="24"/>
        </w:rPr>
      </w:pPr>
      <w:r>
        <w:rPr>
          <w:rFonts w:ascii="Arial" w:hAnsi="Arial" w:cs="Arial"/>
          <w:b/>
          <w:bCs/>
          <w:sz w:val="24"/>
          <w:szCs w:val="24"/>
        </w:rPr>
        <w:t>2.1. Type of Study and Methodological Basis</w:t>
      </w:r>
    </w:p>
    <w:p w14:paraId="5753EBB4" w14:textId="77777777" w:rsidR="008B5AFA" w:rsidRPr="00A46306" w:rsidRDefault="008B5AFA" w:rsidP="008B5AFA">
      <w:pPr>
        <w:ind w:firstLine="0"/>
        <w:outlineLvl w:val="1"/>
        <w:rPr>
          <w:rFonts w:ascii="Arial" w:hAnsi="Arial" w:cs="Arial"/>
          <w:sz w:val="24"/>
          <w:szCs w:val="24"/>
        </w:rPr>
      </w:pPr>
    </w:p>
    <w:p w14:paraId="49864BC8" w14:textId="0827FEAA" w:rsidR="008B5AFA" w:rsidRPr="008B5AFA" w:rsidRDefault="008B5AFA" w:rsidP="00A46306">
      <w:pPr>
        <w:outlineLvl w:val="1"/>
        <w:rPr>
          <w:rFonts w:ascii="Arial" w:hAnsi="Arial" w:cs="Arial"/>
          <w:sz w:val="24"/>
          <w:szCs w:val="24"/>
          <w:highlight w:val="green"/>
        </w:rPr>
      </w:pPr>
      <w:r w:rsidRPr="002B19F8">
        <w:rPr>
          <w:rFonts w:ascii="Arial" w:hAnsi="Arial" w:cs="Arial"/>
          <w:sz w:val="24"/>
          <w:szCs w:val="24"/>
        </w:rPr>
        <w:t xml:space="preserve">This investigation presented a qualitative and quantitative systematic review design, based on the principles of the PRISMA (Preferred Reporting Items for Systematic Reviews and Meta-Analyses) method, in which the methodological model adopted allowed for the synthesis of published findings on corneal </w:t>
      </w:r>
      <w:proofErr w:type="gramStart"/>
      <w:r w:rsidR="00694B8A" w:rsidRPr="002B19F8">
        <w:rPr>
          <w:rFonts w:ascii="Arial" w:hAnsi="Arial" w:cs="Arial"/>
          <w:i/>
          <w:sz w:val="24"/>
          <w:szCs w:val="24"/>
        </w:rPr>
        <w:t xml:space="preserve">melting </w:t>
      </w:r>
      <w:r w:rsidRPr="002B19F8">
        <w:rPr>
          <w:rFonts w:ascii="Arial" w:hAnsi="Arial" w:cs="Arial"/>
          <w:sz w:val="24"/>
          <w:szCs w:val="24"/>
        </w:rPr>
        <w:t>,</w:t>
      </w:r>
      <w:proofErr w:type="gramEnd"/>
      <w:r w:rsidRPr="002B19F8">
        <w:rPr>
          <w:rFonts w:ascii="Arial" w:hAnsi="Arial" w:cs="Arial"/>
          <w:sz w:val="24"/>
          <w:szCs w:val="24"/>
        </w:rPr>
        <w:t xml:space="preserve"> reducing selection biases and ensuring scientific reproducibility. Furthermore, observational studies, experimental studies, and clinical reports were included, since these formats constituted the main sources of data on post-CXL complications.</w:t>
      </w:r>
    </w:p>
    <w:p w14:paraId="40160701" w14:textId="77777777" w:rsidR="008B5AFA" w:rsidRDefault="008B5AFA" w:rsidP="008B5AFA">
      <w:pPr>
        <w:ind w:firstLine="0"/>
        <w:outlineLvl w:val="1"/>
        <w:rPr>
          <w:rFonts w:ascii="Arial" w:hAnsi="Arial" w:cs="Arial"/>
          <w:sz w:val="24"/>
          <w:szCs w:val="24"/>
          <w:highlight w:val="green"/>
        </w:rPr>
      </w:pPr>
    </w:p>
    <w:p w14:paraId="281798EA" w14:textId="317CD98F" w:rsidR="008B5AFA" w:rsidRPr="002B19F8" w:rsidRDefault="00B35AD9" w:rsidP="008B5AFA">
      <w:pPr>
        <w:ind w:firstLine="0"/>
        <w:outlineLvl w:val="1"/>
        <w:rPr>
          <w:rFonts w:ascii="Arial" w:hAnsi="Arial" w:cs="Arial"/>
          <w:b/>
          <w:bCs/>
          <w:sz w:val="24"/>
          <w:szCs w:val="24"/>
        </w:rPr>
      </w:pPr>
      <w:r>
        <w:rPr>
          <w:rFonts w:ascii="Arial" w:hAnsi="Arial" w:cs="Arial"/>
          <w:b/>
          <w:bCs/>
          <w:sz w:val="24"/>
          <w:szCs w:val="24"/>
        </w:rPr>
        <w:t>2.2. Search Strategy</w:t>
      </w:r>
    </w:p>
    <w:p w14:paraId="2C5223E6" w14:textId="77777777" w:rsidR="008B5AFA" w:rsidRPr="008B5AFA" w:rsidRDefault="008B5AFA" w:rsidP="008B5AFA">
      <w:pPr>
        <w:ind w:firstLine="0"/>
        <w:outlineLvl w:val="1"/>
        <w:rPr>
          <w:rFonts w:ascii="Arial" w:hAnsi="Arial" w:cs="Arial"/>
          <w:sz w:val="24"/>
          <w:szCs w:val="24"/>
          <w:highlight w:val="green"/>
        </w:rPr>
      </w:pPr>
    </w:p>
    <w:p w14:paraId="7208D4AD" w14:textId="5FE85F4B" w:rsidR="008B5AFA" w:rsidRPr="00904534" w:rsidRDefault="008B5AFA" w:rsidP="00A46306">
      <w:pPr>
        <w:outlineLvl w:val="1"/>
        <w:rPr>
          <w:rFonts w:ascii="Arial" w:hAnsi="Arial" w:cs="Arial"/>
          <w:sz w:val="24"/>
          <w:szCs w:val="24"/>
        </w:rPr>
      </w:pPr>
      <w:r w:rsidRPr="00904534">
        <w:rPr>
          <w:rFonts w:ascii="Arial" w:hAnsi="Arial" w:cs="Arial"/>
          <w:sz w:val="24"/>
          <w:szCs w:val="24"/>
        </w:rPr>
        <w:t xml:space="preserve">The bibliographic search was conducted between January and March 2025 in international research databases, including PubMed, Scopus, Web of Science, Bireme, ScienceDirect, </w:t>
      </w:r>
      <w:proofErr w:type="spellStart"/>
      <w:r w:rsidRPr="00904534">
        <w:rPr>
          <w:rFonts w:ascii="Arial" w:hAnsi="Arial" w:cs="Arial"/>
          <w:sz w:val="24"/>
          <w:szCs w:val="24"/>
        </w:rPr>
        <w:t>SciELO</w:t>
      </w:r>
      <w:proofErr w:type="spellEnd"/>
      <w:r w:rsidRPr="00904534">
        <w:rPr>
          <w:rFonts w:ascii="Arial" w:hAnsi="Arial" w:cs="Arial"/>
          <w:sz w:val="24"/>
          <w:szCs w:val="24"/>
        </w:rPr>
        <w:t xml:space="preserve">, and Google Scholar, using combinations of controlled and uncontrolled descriptors: </w:t>
      </w:r>
      <w:proofErr w:type="gramStart"/>
      <w:r w:rsidRPr="00904534">
        <w:rPr>
          <w:rFonts w:ascii="Arial" w:hAnsi="Arial" w:cs="Arial"/>
          <w:sz w:val="24"/>
          <w:szCs w:val="24"/>
        </w:rPr>
        <w:t xml:space="preserve">“ </w:t>
      </w:r>
      <w:r w:rsidRPr="00904534">
        <w:rPr>
          <w:rFonts w:ascii="Arial" w:hAnsi="Arial" w:cs="Arial"/>
          <w:i/>
          <w:iCs/>
          <w:sz w:val="24"/>
          <w:szCs w:val="24"/>
        </w:rPr>
        <w:t>corneal</w:t>
      </w:r>
      <w:proofErr w:type="gramEnd"/>
      <w:r w:rsidRPr="00904534">
        <w:rPr>
          <w:rFonts w:ascii="Arial" w:hAnsi="Arial" w:cs="Arial"/>
          <w:sz w:val="24"/>
          <w:szCs w:val="24"/>
        </w:rPr>
        <w:t xml:space="preserve"> </w:t>
      </w:r>
      <w:r w:rsidR="00694B8A" w:rsidRPr="00904534">
        <w:rPr>
          <w:rFonts w:ascii="Arial" w:hAnsi="Arial" w:cs="Arial"/>
          <w:i/>
          <w:sz w:val="24"/>
          <w:szCs w:val="24"/>
        </w:rPr>
        <w:t xml:space="preserve">"melting </w:t>
      </w:r>
      <w:r w:rsidRPr="00904534">
        <w:rPr>
          <w:rFonts w:ascii="Arial" w:hAnsi="Arial" w:cs="Arial"/>
          <w:sz w:val="24"/>
          <w:szCs w:val="24"/>
        </w:rPr>
        <w:t xml:space="preserve">", " </w:t>
      </w:r>
      <w:r w:rsidRPr="00904534">
        <w:rPr>
          <w:rFonts w:ascii="Arial" w:hAnsi="Arial" w:cs="Arial"/>
          <w:i/>
          <w:iCs/>
          <w:sz w:val="24"/>
          <w:szCs w:val="24"/>
        </w:rPr>
        <w:t>collagen"</w:t>
      </w:r>
      <w:r w:rsidRPr="00904534">
        <w:rPr>
          <w:rFonts w:ascii="Arial" w:hAnsi="Arial" w:cs="Arial"/>
          <w:sz w:val="24"/>
          <w:szCs w:val="24"/>
        </w:rPr>
        <w:t xml:space="preserve"> The search terms were “ </w:t>
      </w:r>
      <w:r w:rsidR="000A142B" w:rsidRPr="00904534">
        <w:rPr>
          <w:rFonts w:ascii="Arial" w:hAnsi="Arial" w:cs="Arial"/>
          <w:i/>
          <w:sz w:val="24"/>
          <w:szCs w:val="24"/>
        </w:rPr>
        <w:t xml:space="preserve">crosslinking </w:t>
      </w:r>
      <w:r w:rsidRPr="00904534">
        <w:rPr>
          <w:rFonts w:ascii="Arial" w:hAnsi="Arial" w:cs="Arial"/>
          <w:sz w:val="24"/>
          <w:szCs w:val="24"/>
        </w:rPr>
        <w:t xml:space="preserve">”, “ </w:t>
      </w:r>
      <w:r w:rsidRPr="00904534">
        <w:rPr>
          <w:rFonts w:ascii="Arial" w:hAnsi="Arial" w:cs="Arial"/>
          <w:i/>
          <w:iCs/>
          <w:sz w:val="24"/>
          <w:szCs w:val="24"/>
        </w:rPr>
        <w:t xml:space="preserve">keratoconus </w:t>
      </w:r>
      <w:r w:rsidRPr="00904534">
        <w:rPr>
          <w:rFonts w:ascii="Arial" w:hAnsi="Arial" w:cs="Arial"/>
          <w:sz w:val="24"/>
          <w:szCs w:val="24"/>
        </w:rPr>
        <w:t xml:space="preserve">”, “ </w:t>
      </w:r>
      <w:r w:rsidRPr="00904534">
        <w:rPr>
          <w:rFonts w:ascii="Arial" w:hAnsi="Arial" w:cs="Arial"/>
          <w:i/>
          <w:iCs/>
          <w:sz w:val="24"/>
          <w:szCs w:val="24"/>
        </w:rPr>
        <w:t xml:space="preserve">postoperative complications </w:t>
      </w:r>
      <w:r w:rsidRPr="00904534">
        <w:rPr>
          <w:rFonts w:ascii="Arial" w:hAnsi="Arial" w:cs="Arial"/>
          <w:sz w:val="24"/>
          <w:szCs w:val="24"/>
        </w:rPr>
        <w:t xml:space="preserve">”, and “ </w:t>
      </w:r>
      <w:r w:rsidRPr="00904534">
        <w:rPr>
          <w:rFonts w:ascii="Arial" w:hAnsi="Arial" w:cs="Arial"/>
          <w:i/>
          <w:iCs/>
          <w:sz w:val="24"/>
          <w:szCs w:val="24"/>
        </w:rPr>
        <w:t xml:space="preserve">systematic review </w:t>
      </w:r>
      <w:r w:rsidRPr="00904534">
        <w:rPr>
          <w:rFonts w:ascii="Arial" w:hAnsi="Arial" w:cs="Arial"/>
          <w:sz w:val="24"/>
          <w:szCs w:val="24"/>
        </w:rPr>
        <w:t xml:space="preserve">”. The terms were combined using Boolean operators (“AND” and “OR”) to encompass the largest possible number of relevant studies. The temporal selection covered publications between 2009 and 2025, a period corresponding to the consolidation and evolution of CXL techniques from the original Dresden protocol to accelerated and </w:t>
      </w:r>
      <w:proofErr w:type="spellStart"/>
      <w:r w:rsidRPr="00904534">
        <w:rPr>
          <w:rFonts w:ascii="Arial" w:hAnsi="Arial" w:cs="Arial"/>
          <w:sz w:val="24"/>
          <w:szCs w:val="24"/>
        </w:rPr>
        <w:t>hypoosmolar</w:t>
      </w:r>
      <w:proofErr w:type="spellEnd"/>
      <w:r w:rsidRPr="00904534">
        <w:rPr>
          <w:rFonts w:ascii="Arial" w:hAnsi="Arial" w:cs="Arial"/>
          <w:sz w:val="24"/>
          <w:szCs w:val="24"/>
        </w:rPr>
        <w:t xml:space="preserve"> variants. Searches were also restricted to articles available in English, Portuguese, and Spanish, the predominant languages in ophthalmological scientific literature.</w:t>
      </w:r>
    </w:p>
    <w:p w14:paraId="57D3D806" w14:textId="77777777" w:rsidR="008B5AFA" w:rsidRPr="00904534" w:rsidRDefault="008B5AFA" w:rsidP="008B5AFA">
      <w:pPr>
        <w:ind w:firstLine="0"/>
        <w:outlineLvl w:val="1"/>
        <w:rPr>
          <w:rFonts w:ascii="Arial" w:hAnsi="Arial" w:cs="Arial"/>
          <w:sz w:val="24"/>
          <w:szCs w:val="24"/>
        </w:rPr>
      </w:pPr>
    </w:p>
    <w:p w14:paraId="75133CA9" w14:textId="7B27E5C4" w:rsidR="008B5AFA" w:rsidRPr="00904534" w:rsidRDefault="00B35AD9" w:rsidP="008B5AFA">
      <w:pPr>
        <w:ind w:firstLine="0"/>
        <w:outlineLvl w:val="1"/>
        <w:rPr>
          <w:rFonts w:ascii="Arial" w:hAnsi="Arial" w:cs="Arial"/>
          <w:b/>
          <w:bCs/>
          <w:sz w:val="24"/>
          <w:szCs w:val="24"/>
        </w:rPr>
      </w:pPr>
      <w:r>
        <w:rPr>
          <w:rFonts w:ascii="Arial" w:hAnsi="Arial" w:cs="Arial"/>
          <w:b/>
          <w:bCs/>
          <w:sz w:val="24"/>
          <w:szCs w:val="24"/>
        </w:rPr>
        <w:t>2.3. Inclusion and Exclusion Criteria</w:t>
      </w:r>
    </w:p>
    <w:p w14:paraId="7E0B2177" w14:textId="77777777" w:rsidR="008B5AFA" w:rsidRPr="008B5AFA" w:rsidRDefault="008B5AFA" w:rsidP="008B5AFA">
      <w:pPr>
        <w:ind w:firstLine="0"/>
        <w:outlineLvl w:val="1"/>
        <w:rPr>
          <w:rFonts w:ascii="Arial" w:hAnsi="Arial" w:cs="Arial"/>
          <w:sz w:val="24"/>
          <w:szCs w:val="24"/>
          <w:highlight w:val="green"/>
        </w:rPr>
      </w:pPr>
    </w:p>
    <w:p w14:paraId="06A61688" w14:textId="0D28C947" w:rsidR="008B5AFA" w:rsidRPr="00F70D0D" w:rsidRDefault="008B5AFA" w:rsidP="00A46306">
      <w:pPr>
        <w:outlineLvl w:val="1"/>
        <w:rPr>
          <w:rFonts w:ascii="Arial" w:hAnsi="Arial" w:cs="Arial"/>
          <w:sz w:val="24"/>
          <w:szCs w:val="24"/>
        </w:rPr>
      </w:pPr>
      <w:r w:rsidRPr="00F70D0D">
        <w:rPr>
          <w:rFonts w:ascii="Arial" w:hAnsi="Arial" w:cs="Arial"/>
          <w:sz w:val="24"/>
          <w:szCs w:val="24"/>
        </w:rPr>
        <w:t xml:space="preserve">Studies that </w:t>
      </w:r>
      <w:r w:rsidR="00F70D0D" w:rsidRPr="00F70D0D">
        <w:rPr>
          <w:rFonts w:ascii="Arial" w:hAnsi="Arial" w:cs="Arial"/>
          <w:sz w:val="24"/>
          <w:szCs w:val="24"/>
        </w:rPr>
        <w:t xml:space="preserve">addressed clinical cases, case series, or systematic reviews describing corneal </w:t>
      </w:r>
      <w:r w:rsidR="00694B8A" w:rsidRPr="00F70D0D">
        <w:rPr>
          <w:rFonts w:ascii="Arial" w:hAnsi="Arial" w:cs="Arial"/>
          <w:i/>
          <w:sz w:val="24"/>
          <w:szCs w:val="24"/>
        </w:rPr>
        <w:t xml:space="preserve">melting </w:t>
      </w:r>
      <w:r w:rsidRPr="00F70D0D">
        <w:rPr>
          <w:rFonts w:ascii="Arial" w:hAnsi="Arial" w:cs="Arial"/>
          <w:sz w:val="24"/>
          <w:szCs w:val="24"/>
        </w:rPr>
        <w:t xml:space="preserve">after corneal laser grafting (CXL) were included; studies that presented quantitative or descriptive data on characterization, time of occurrence, or protocol used; and that reported corneal pachymetry parameters before the procedure. Conversely, duplicate articles, narrative reviews, studies with undefined methodology, brief communications, or publications without full text access were excluded. These criteria were established based on the need for rigor in defining the </w:t>
      </w:r>
      <w:r w:rsidRPr="00F70D0D">
        <w:rPr>
          <w:rFonts w:ascii="Arial" w:hAnsi="Arial" w:cs="Arial"/>
          <w:sz w:val="24"/>
          <w:szCs w:val="24"/>
        </w:rPr>
        <w:lastRenderedPageBreak/>
        <w:t xml:space="preserve">clinical and technical variables related to </w:t>
      </w:r>
      <w:r w:rsidR="00694B8A" w:rsidRPr="00F70D0D">
        <w:rPr>
          <w:rFonts w:ascii="Arial" w:hAnsi="Arial" w:cs="Arial"/>
          <w:i/>
          <w:sz w:val="24"/>
          <w:szCs w:val="24"/>
        </w:rPr>
        <w:t xml:space="preserve">melting </w:t>
      </w:r>
      <w:r w:rsidRPr="00F70D0D">
        <w:rPr>
          <w:rFonts w:ascii="Arial" w:hAnsi="Arial" w:cs="Arial"/>
          <w:sz w:val="24"/>
          <w:szCs w:val="24"/>
        </w:rPr>
        <w:t>to avoid diagnostic confusion with infections or sterile ulcers.</w:t>
      </w:r>
    </w:p>
    <w:p w14:paraId="2CBB1BBA" w14:textId="77777777" w:rsidR="008B5AFA" w:rsidRPr="00F70D0D" w:rsidRDefault="008B5AFA" w:rsidP="008B5AFA">
      <w:pPr>
        <w:ind w:firstLine="0"/>
        <w:outlineLvl w:val="1"/>
        <w:rPr>
          <w:rFonts w:ascii="Arial" w:hAnsi="Arial" w:cs="Arial"/>
          <w:sz w:val="24"/>
          <w:szCs w:val="24"/>
        </w:rPr>
      </w:pPr>
    </w:p>
    <w:p w14:paraId="21236A84" w14:textId="4666074A" w:rsidR="008B5AFA" w:rsidRPr="00F70D0D" w:rsidRDefault="00B35AD9" w:rsidP="008B5AFA">
      <w:pPr>
        <w:ind w:firstLine="0"/>
        <w:outlineLvl w:val="1"/>
        <w:rPr>
          <w:rFonts w:ascii="Arial" w:hAnsi="Arial" w:cs="Arial"/>
          <w:b/>
          <w:bCs/>
          <w:sz w:val="24"/>
          <w:szCs w:val="24"/>
        </w:rPr>
      </w:pPr>
      <w:r>
        <w:rPr>
          <w:rFonts w:ascii="Arial" w:hAnsi="Arial" w:cs="Arial"/>
          <w:b/>
          <w:bCs/>
          <w:sz w:val="24"/>
          <w:szCs w:val="24"/>
        </w:rPr>
        <w:t>2.4. Selection and Extraction of Studies</w:t>
      </w:r>
    </w:p>
    <w:p w14:paraId="66BA096A" w14:textId="77777777" w:rsidR="008B5AFA" w:rsidRPr="00F70D0D" w:rsidRDefault="008B5AFA" w:rsidP="008B5AFA">
      <w:pPr>
        <w:ind w:firstLine="0"/>
        <w:outlineLvl w:val="1"/>
        <w:rPr>
          <w:rFonts w:ascii="Arial" w:hAnsi="Arial" w:cs="Arial"/>
          <w:sz w:val="24"/>
          <w:szCs w:val="24"/>
        </w:rPr>
      </w:pPr>
    </w:p>
    <w:p w14:paraId="3F293F31" w14:textId="1438950C" w:rsidR="008B5AFA" w:rsidRPr="008B5AFA" w:rsidRDefault="008B5AFA" w:rsidP="00A46306">
      <w:pPr>
        <w:outlineLvl w:val="1"/>
        <w:rPr>
          <w:rFonts w:ascii="Arial" w:hAnsi="Arial" w:cs="Arial"/>
          <w:sz w:val="24"/>
          <w:szCs w:val="24"/>
          <w:highlight w:val="green"/>
        </w:rPr>
      </w:pPr>
      <w:r w:rsidRPr="00515B76">
        <w:rPr>
          <w:rFonts w:ascii="Arial" w:hAnsi="Arial" w:cs="Arial"/>
          <w:sz w:val="24"/>
          <w:szCs w:val="24"/>
        </w:rPr>
        <w:t xml:space="preserve">The initial screening identified 94 publications related to the topic, and after reading the titles and abstracts, 37 studies met the preliminary eligibility criteria. Subsequently, after full reading and application of the exclusion criteria, 15 studies remained for final analysis. For this, the screening and selection process followed a systematic methodology based on double consensus and independent review by two reviewers, while disagreements were resolved by a third reviewer. The data extracted from each article included: authors, year, country of publication, sample studied, CXL protocol employed, previous pachymetry values, mean time to </w:t>
      </w:r>
      <w:r w:rsidR="00694B8A" w:rsidRPr="00515B76">
        <w:rPr>
          <w:rFonts w:ascii="Arial" w:hAnsi="Arial" w:cs="Arial"/>
          <w:i/>
          <w:sz w:val="24"/>
          <w:szCs w:val="24"/>
        </w:rPr>
        <w:t xml:space="preserve">melting </w:t>
      </w:r>
      <w:proofErr w:type="gramStart"/>
      <w:r w:rsidR="00694B8A" w:rsidRPr="00515B76">
        <w:rPr>
          <w:rFonts w:ascii="Arial" w:hAnsi="Arial" w:cs="Arial"/>
          <w:i/>
          <w:sz w:val="24"/>
          <w:szCs w:val="24"/>
        </w:rPr>
        <w:t xml:space="preserve">onset </w:t>
      </w:r>
      <w:r w:rsidRPr="00515B76">
        <w:rPr>
          <w:rFonts w:ascii="Arial" w:hAnsi="Arial" w:cs="Arial"/>
          <w:sz w:val="24"/>
          <w:szCs w:val="24"/>
        </w:rPr>
        <w:t>,</w:t>
      </w:r>
      <w:proofErr w:type="gramEnd"/>
      <w:r w:rsidRPr="00515B76">
        <w:rPr>
          <w:rFonts w:ascii="Arial" w:hAnsi="Arial" w:cs="Arial"/>
          <w:sz w:val="24"/>
          <w:szCs w:val="24"/>
        </w:rPr>
        <w:t xml:space="preserve"> recorded incidence, and clinical management. This standardization ensured the comparability of results and allowed for the construction of a comprehensive synthesis, as observed in recent systematic reviews on post-CXL complications.</w:t>
      </w:r>
    </w:p>
    <w:p w14:paraId="2C6A128B" w14:textId="77777777" w:rsidR="008B5AFA" w:rsidRPr="006F3AF9" w:rsidRDefault="008B5AFA" w:rsidP="008B5AFA">
      <w:pPr>
        <w:ind w:firstLine="0"/>
        <w:outlineLvl w:val="1"/>
        <w:rPr>
          <w:rFonts w:ascii="Arial" w:hAnsi="Arial" w:cs="Arial"/>
          <w:sz w:val="24"/>
          <w:szCs w:val="24"/>
        </w:rPr>
      </w:pPr>
    </w:p>
    <w:p w14:paraId="7C562CDE" w14:textId="503A76FA" w:rsidR="008B5AFA" w:rsidRPr="00176812" w:rsidRDefault="00B35AD9" w:rsidP="008B5AFA">
      <w:pPr>
        <w:ind w:firstLine="0"/>
        <w:outlineLvl w:val="1"/>
        <w:rPr>
          <w:rFonts w:ascii="Arial" w:hAnsi="Arial" w:cs="Arial"/>
          <w:b/>
          <w:bCs/>
          <w:sz w:val="24"/>
          <w:szCs w:val="24"/>
        </w:rPr>
      </w:pPr>
      <w:r>
        <w:rPr>
          <w:rFonts w:ascii="Arial" w:hAnsi="Arial" w:cs="Arial"/>
          <w:b/>
          <w:bCs/>
          <w:sz w:val="24"/>
          <w:szCs w:val="24"/>
        </w:rPr>
        <w:t>2.5. Data Organization and Analysis</w:t>
      </w:r>
    </w:p>
    <w:p w14:paraId="110440B4" w14:textId="77777777" w:rsidR="008B5AFA" w:rsidRPr="00176812" w:rsidRDefault="008B5AFA" w:rsidP="008B5AFA">
      <w:pPr>
        <w:ind w:firstLine="0"/>
        <w:outlineLvl w:val="1"/>
        <w:rPr>
          <w:rFonts w:ascii="Arial" w:hAnsi="Arial" w:cs="Arial"/>
          <w:sz w:val="24"/>
          <w:szCs w:val="24"/>
        </w:rPr>
      </w:pPr>
    </w:p>
    <w:p w14:paraId="62E6F73A" w14:textId="6979B97E" w:rsidR="008B5AFA" w:rsidRPr="008B5AFA" w:rsidRDefault="008B5AFA" w:rsidP="00A46306">
      <w:pPr>
        <w:outlineLvl w:val="1"/>
        <w:rPr>
          <w:rFonts w:ascii="Arial" w:hAnsi="Arial" w:cs="Arial"/>
          <w:sz w:val="24"/>
          <w:szCs w:val="24"/>
          <w:highlight w:val="green"/>
        </w:rPr>
      </w:pPr>
      <w:r w:rsidRPr="00176812">
        <w:rPr>
          <w:rFonts w:ascii="Arial" w:hAnsi="Arial" w:cs="Arial"/>
          <w:sz w:val="24"/>
          <w:szCs w:val="24"/>
        </w:rPr>
        <w:t xml:space="preserve">The collected data were organized into digital spreadsheets and analyzed descriptively and comparatively. To achieve this, the data were categorized according to the specific objectives of this research. Numerical values were presented as averages or ranges, allowing for an approximate assessment. To ensure methodological accuracy, an extraction model was used, </w:t>
      </w:r>
      <w:r w:rsidRPr="007E04EB">
        <w:rPr>
          <w:rFonts w:ascii="Arial" w:hAnsi="Arial" w:cs="Arial"/>
          <w:sz w:val="24"/>
          <w:szCs w:val="24"/>
        </w:rPr>
        <w:t>highlighting the importance of standardized comparative analyses in ophthalmological reviews.</w:t>
      </w:r>
      <w:r w:rsidR="00176812" w:rsidRPr="007E04EB">
        <w:rPr>
          <w:rFonts w:ascii="Arial" w:hAnsi="Arial" w:cs="Arial"/>
          <w:sz w:val="24"/>
          <w:szCs w:val="24"/>
        </w:rPr>
        <w:t xml:space="preserve"> </w:t>
      </w:r>
    </w:p>
    <w:p w14:paraId="51A7689A" w14:textId="77777777" w:rsidR="008B5AFA" w:rsidRPr="0005440D" w:rsidRDefault="008B5AFA" w:rsidP="008B5AFA">
      <w:pPr>
        <w:ind w:firstLine="0"/>
        <w:outlineLvl w:val="1"/>
        <w:rPr>
          <w:rFonts w:ascii="Arial" w:hAnsi="Arial" w:cs="Arial"/>
          <w:sz w:val="24"/>
          <w:szCs w:val="24"/>
        </w:rPr>
      </w:pPr>
    </w:p>
    <w:p w14:paraId="1E64B171" w14:textId="263AB098" w:rsidR="008B5AFA" w:rsidRPr="0005440D" w:rsidRDefault="00B35AD9" w:rsidP="008B5AFA">
      <w:pPr>
        <w:ind w:firstLine="0"/>
        <w:outlineLvl w:val="1"/>
        <w:rPr>
          <w:rFonts w:ascii="Arial" w:hAnsi="Arial" w:cs="Arial"/>
          <w:b/>
          <w:bCs/>
          <w:sz w:val="24"/>
          <w:szCs w:val="24"/>
        </w:rPr>
      </w:pPr>
      <w:r>
        <w:rPr>
          <w:rFonts w:ascii="Arial" w:hAnsi="Arial" w:cs="Arial"/>
          <w:b/>
          <w:bCs/>
          <w:sz w:val="24"/>
          <w:szCs w:val="24"/>
        </w:rPr>
        <w:t>2.6. Quality Assessment and Risk of Bias</w:t>
      </w:r>
    </w:p>
    <w:p w14:paraId="17F7F932" w14:textId="77777777" w:rsidR="008B5AFA" w:rsidRPr="0005440D" w:rsidRDefault="008B5AFA" w:rsidP="008B5AFA">
      <w:pPr>
        <w:ind w:firstLine="0"/>
        <w:outlineLvl w:val="1"/>
        <w:rPr>
          <w:rFonts w:ascii="Arial" w:hAnsi="Arial" w:cs="Arial"/>
          <w:sz w:val="24"/>
          <w:szCs w:val="24"/>
        </w:rPr>
      </w:pPr>
    </w:p>
    <w:p w14:paraId="6ADFCB64" w14:textId="3D18DEA3" w:rsidR="008B5AFA" w:rsidRPr="0005440D" w:rsidRDefault="008B5AFA" w:rsidP="00A46306">
      <w:pPr>
        <w:outlineLvl w:val="1"/>
        <w:rPr>
          <w:rFonts w:ascii="Arial" w:hAnsi="Arial" w:cs="Arial"/>
          <w:sz w:val="24"/>
          <w:szCs w:val="24"/>
        </w:rPr>
      </w:pPr>
      <w:r w:rsidRPr="0005440D">
        <w:rPr>
          <w:rFonts w:ascii="Arial" w:hAnsi="Arial" w:cs="Arial"/>
          <w:sz w:val="24"/>
          <w:szCs w:val="24"/>
        </w:rPr>
        <w:t xml:space="preserve">The methodological quality of the included studies was assessed using the Joanna Briggs Institute (JBI) tool, adapted for systematic reviews of case reports and observational studies. Parameters considered included clarity of diagnostic criteria for </w:t>
      </w:r>
      <w:proofErr w:type="gramStart"/>
      <w:r w:rsidR="00694B8A" w:rsidRPr="0005440D">
        <w:rPr>
          <w:rFonts w:ascii="Arial" w:hAnsi="Arial" w:cs="Arial"/>
          <w:i/>
          <w:sz w:val="24"/>
          <w:szCs w:val="24"/>
        </w:rPr>
        <w:t xml:space="preserve">melting </w:t>
      </w:r>
      <w:r w:rsidRPr="0005440D">
        <w:rPr>
          <w:rFonts w:ascii="Arial" w:hAnsi="Arial" w:cs="Arial"/>
          <w:sz w:val="24"/>
          <w:szCs w:val="24"/>
        </w:rPr>
        <w:t>,</w:t>
      </w:r>
      <w:proofErr w:type="gramEnd"/>
      <w:r w:rsidRPr="0005440D">
        <w:rPr>
          <w:rFonts w:ascii="Arial" w:hAnsi="Arial" w:cs="Arial"/>
          <w:sz w:val="24"/>
          <w:szCs w:val="24"/>
        </w:rPr>
        <w:t xml:space="preserve"> detailed description of the CXL protocol, presence of postoperative follow-up, and completeness of data. Studies that did not meet at least 70% of the quality criteria were excluded. Therefore, the risk of bias analysis considered aspects of </w:t>
      </w:r>
      <w:r w:rsidRPr="0005440D">
        <w:rPr>
          <w:rFonts w:ascii="Arial" w:hAnsi="Arial" w:cs="Arial"/>
          <w:sz w:val="24"/>
          <w:szCs w:val="24"/>
        </w:rPr>
        <w:lastRenderedPageBreak/>
        <w:t xml:space="preserve">selection, measurement, and reporting. This assessment is crucial for properly interpreting the findings, since many </w:t>
      </w:r>
      <w:r w:rsidR="00694B8A" w:rsidRPr="0005440D">
        <w:rPr>
          <w:rFonts w:ascii="Arial" w:hAnsi="Arial" w:cs="Arial"/>
          <w:i/>
          <w:sz w:val="24"/>
          <w:szCs w:val="24"/>
        </w:rPr>
        <w:t xml:space="preserve">melting cases </w:t>
      </w:r>
      <w:r w:rsidRPr="0005440D">
        <w:rPr>
          <w:rFonts w:ascii="Arial" w:hAnsi="Arial" w:cs="Arial"/>
          <w:sz w:val="24"/>
          <w:szCs w:val="24"/>
        </w:rPr>
        <w:t>were reported in small series, limiting the generalizability of the results.</w:t>
      </w:r>
    </w:p>
    <w:p w14:paraId="268AB384" w14:textId="77777777" w:rsidR="008B5AFA" w:rsidRPr="008B5AFA" w:rsidRDefault="008B5AFA" w:rsidP="008B5AFA">
      <w:pPr>
        <w:ind w:firstLine="0"/>
        <w:outlineLvl w:val="1"/>
        <w:rPr>
          <w:rFonts w:ascii="Arial" w:hAnsi="Arial" w:cs="Arial"/>
          <w:sz w:val="24"/>
          <w:szCs w:val="24"/>
          <w:highlight w:val="green"/>
        </w:rPr>
      </w:pPr>
    </w:p>
    <w:p w14:paraId="32158FEB" w14:textId="64D46D32" w:rsidR="008B5AFA" w:rsidRPr="00C64F71" w:rsidRDefault="00B35AD9" w:rsidP="008B5AFA">
      <w:pPr>
        <w:ind w:firstLine="0"/>
        <w:outlineLvl w:val="1"/>
        <w:rPr>
          <w:rFonts w:ascii="Arial" w:hAnsi="Arial" w:cs="Arial"/>
          <w:b/>
          <w:bCs/>
          <w:sz w:val="24"/>
          <w:szCs w:val="24"/>
        </w:rPr>
      </w:pPr>
      <w:r>
        <w:rPr>
          <w:rFonts w:ascii="Arial" w:hAnsi="Arial" w:cs="Arial"/>
          <w:b/>
          <w:bCs/>
          <w:sz w:val="24"/>
          <w:szCs w:val="24"/>
        </w:rPr>
        <w:t>2.7. Summary of Results</w:t>
      </w:r>
    </w:p>
    <w:p w14:paraId="003EF05C" w14:textId="77777777" w:rsidR="008B5AFA" w:rsidRPr="00C64F71" w:rsidRDefault="008B5AFA" w:rsidP="008B5AFA">
      <w:pPr>
        <w:ind w:firstLine="0"/>
        <w:outlineLvl w:val="1"/>
        <w:rPr>
          <w:rFonts w:ascii="Arial" w:hAnsi="Arial" w:cs="Arial"/>
          <w:sz w:val="24"/>
          <w:szCs w:val="24"/>
        </w:rPr>
      </w:pPr>
    </w:p>
    <w:p w14:paraId="2935894D" w14:textId="05D0CD11" w:rsidR="008B5AFA" w:rsidRPr="008B5AFA" w:rsidRDefault="008B5AFA" w:rsidP="00A46306">
      <w:pPr>
        <w:outlineLvl w:val="1"/>
        <w:rPr>
          <w:rFonts w:ascii="Arial" w:hAnsi="Arial" w:cs="Arial"/>
          <w:sz w:val="24"/>
          <w:szCs w:val="24"/>
          <w:highlight w:val="green"/>
        </w:rPr>
      </w:pPr>
      <w:r w:rsidRPr="00C64F71">
        <w:rPr>
          <w:rFonts w:ascii="Arial" w:hAnsi="Arial" w:cs="Arial"/>
          <w:sz w:val="24"/>
          <w:szCs w:val="24"/>
        </w:rPr>
        <w:t xml:space="preserve">The synthesis of the results encompassed both quantitative and qualitative aspects, describing the reported idiosyncrasies of </w:t>
      </w:r>
      <w:r w:rsidR="00694B8A" w:rsidRPr="00C64F71">
        <w:rPr>
          <w:rFonts w:ascii="Arial" w:hAnsi="Arial" w:cs="Arial"/>
          <w:i/>
          <w:sz w:val="24"/>
          <w:szCs w:val="24"/>
        </w:rPr>
        <w:t xml:space="preserve">melting </w:t>
      </w:r>
      <w:r w:rsidRPr="00C64F71">
        <w:rPr>
          <w:rFonts w:ascii="Arial" w:hAnsi="Arial" w:cs="Arial"/>
          <w:sz w:val="24"/>
          <w:szCs w:val="24"/>
        </w:rPr>
        <w:t xml:space="preserve">in each protocol, the reported pachymetry values associated with the complication, and the period of onset of stromal necrosis. Furthermore, the differences between the protocols tested were compared. Additionally, the findings were integrated into a didactic table and interpreted comparatively, allowing for the identification of epidemiological and technical differences. This involved an analytical approach that sought to approximate the methodological rigor employed by other research that characterized the chronology and description of </w:t>
      </w:r>
      <w:r w:rsidR="00694B8A" w:rsidRPr="00C64F71">
        <w:rPr>
          <w:rFonts w:ascii="Arial" w:hAnsi="Arial" w:cs="Arial"/>
          <w:i/>
          <w:sz w:val="24"/>
          <w:szCs w:val="24"/>
        </w:rPr>
        <w:t xml:space="preserve">melting cases </w:t>
      </w:r>
      <w:r w:rsidRPr="00C64F71">
        <w:rPr>
          <w:rFonts w:ascii="Arial" w:hAnsi="Arial" w:cs="Arial"/>
          <w:sz w:val="24"/>
          <w:szCs w:val="24"/>
        </w:rPr>
        <w:t>in pioneering studies on CXL.</w:t>
      </w:r>
    </w:p>
    <w:p w14:paraId="05E11333" w14:textId="77777777" w:rsidR="008B5AFA" w:rsidRPr="008B5AFA" w:rsidRDefault="008B5AFA" w:rsidP="008B5AFA">
      <w:pPr>
        <w:ind w:firstLine="0"/>
        <w:outlineLvl w:val="1"/>
        <w:rPr>
          <w:rFonts w:ascii="Arial" w:hAnsi="Arial" w:cs="Arial"/>
          <w:sz w:val="24"/>
          <w:szCs w:val="24"/>
          <w:highlight w:val="green"/>
        </w:rPr>
      </w:pPr>
    </w:p>
    <w:p w14:paraId="26AA3A8C" w14:textId="4947BF16" w:rsidR="008B5AFA" w:rsidRPr="002B19F8" w:rsidRDefault="00B35AD9" w:rsidP="008B5AFA">
      <w:pPr>
        <w:ind w:firstLine="0"/>
        <w:outlineLvl w:val="1"/>
        <w:rPr>
          <w:rFonts w:ascii="Arial" w:hAnsi="Arial" w:cs="Arial"/>
          <w:b/>
          <w:bCs/>
          <w:sz w:val="24"/>
          <w:szCs w:val="24"/>
        </w:rPr>
      </w:pPr>
      <w:r>
        <w:rPr>
          <w:rFonts w:ascii="Arial" w:hAnsi="Arial" w:cs="Arial"/>
          <w:b/>
          <w:bCs/>
          <w:sz w:val="24"/>
          <w:szCs w:val="24"/>
        </w:rPr>
        <w:t>2.8. Methodological Limitations</w:t>
      </w:r>
    </w:p>
    <w:p w14:paraId="6B94D2BA" w14:textId="77777777" w:rsidR="008B5AFA" w:rsidRPr="002B19F8" w:rsidRDefault="008B5AFA" w:rsidP="008B5AFA">
      <w:pPr>
        <w:ind w:firstLine="0"/>
        <w:outlineLvl w:val="1"/>
        <w:rPr>
          <w:rFonts w:ascii="Arial" w:hAnsi="Arial" w:cs="Arial"/>
          <w:sz w:val="24"/>
          <w:szCs w:val="24"/>
        </w:rPr>
      </w:pPr>
    </w:p>
    <w:p w14:paraId="6D6C432E" w14:textId="0A3CD49A" w:rsidR="00106A4F" w:rsidRPr="00D7220D" w:rsidRDefault="002B19F8" w:rsidP="00A46306">
      <w:pPr>
        <w:outlineLvl w:val="1"/>
        <w:rPr>
          <w:rFonts w:ascii="Arial" w:hAnsi="Arial" w:cs="Arial"/>
          <w:sz w:val="24"/>
          <w:szCs w:val="24"/>
        </w:rPr>
      </w:pPr>
      <w:r>
        <w:rPr>
          <w:rFonts w:ascii="Arial" w:hAnsi="Arial" w:cs="Arial"/>
          <w:sz w:val="24"/>
          <w:szCs w:val="24"/>
        </w:rPr>
        <w:t xml:space="preserve">During this research, it was recognized that the main limitation of this review lay in the methodological heterogeneity among the included studies, especially regarding the variability of CXL protocols and the diagnostic criteria for </w:t>
      </w:r>
      <w:proofErr w:type="gramStart"/>
      <w:r w:rsidR="00694B8A" w:rsidRPr="002B19F8">
        <w:rPr>
          <w:rFonts w:ascii="Arial" w:hAnsi="Arial" w:cs="Arial"/>
          <w:i/>
          <w:sz w:val="24"/>
          <w:szCs w:val="24"/>
        </w:rPr>
        <w:t xml:space="preserve">melting </w:t>
      </w:r>
      <w:r w:rsidR="00C64F71">
        <w:rPr>
          <w:rFonts w:ascii="Arial" w:hAnsi="Arial" w:cs="Arial"/>
          <w:sz w:val="24"/>
          <w:szCs w:val="24"/>
        </w:rPr>
        <w:t>.</w:t>
      </w:r>
      <w:proofErr w:type="gramEnd"/>
      <w:r w:rsidR="00C64F71">
        <w:rPr>
          <w:rFonts w:ascii="Arial" w:hAnsi="Arial" w:cs="Arial"/>
          <w:sz w:val="24"/>
          <w:szCs w:val="24"/>
        </w:rPr>
        <w:t xml:space="preserve"> Furthermore, the scarcity of randomized clinical trials reduced the possibility of robust quantitative meta-analysis; however, this limitation was mitigated by the adoption of rigorous inclusion criteria and the critical analysis of the evidence.</w:t>
      </w:r>
    </w:p>
    <w:p w14:paraId="1EEA86FF" w14:textId="77777777" w:rsidR="008B5AFA" w:rsidRPr="00D7220D" w:rsidRDefault="008B5AFA" w:rsidP="008B5AFA">
      <w:pPr>
        <w:ind w:firstLine="0"/>
        <w:outlineLvl w:val="1"/>
        <w:rPr>
          <w:rFonts w:ascii="Arial" w:hAnsi="Arial" w:cs="Arial"/>
          <w:sz w:val="24"/>
          <w:szCs w:val="24"/>
        </w:rPr>
      </w:pPr>
    </w:p>
    <w:p w14:paraId="12176578" w14:textId="55E7DC98" w:rsidR="009166F2" w:rsidRPr="00B35AD9" w:rsidRDefault="001F6FB7" w:rsidP="00B35AD9">
      <w:pPr>
        <w:pStyle w:val="ListParagraph"/>
        <w:numPr>
          <w:ilvl w:val="0"/>
          <w:numId w:val="18"/>
        </w:numPr>
        <w:ind w:left="0" w:firstLine="0"/>
        <w:outlineLvl w:val="1"/>
        <w:rPr>
          <w:rFonts w:ascii="Arial" w:hAnsi="Arial" w:cs="Arial"/>
          <w:b/>
          <w:bCs/>
          <w:sz w:val="24"/>
          <w:szCs w:val="24"/>
        </w:rPr>
      </w:pPr>
      <w:r w:rsidRPr="00B35AD9">
        <w:rPr>
          <w:rFonts w:ascii="Arial" w:hAnsi="Arial" w:cs="Arial"/>
          <w:b/>
          <w:bCs/>
          <w:sz w:val="24"/>
          <w:szCs w:val="24"/>
        </w:rPr>
        <w:t>RESULTS</w:t>
      </w:r>
    </w:p>
    <w:p w14:paraId="53F6E4F0" w14:textId="77777777" w:rsidR="00B90848" w:rsidRPr="00D7220D" w:rsidRDefault="00B90848" w:rsidP="00B90848">
      <w:pPr>
        <w:rPr>
          <w:rFonts w:ascii="Arial" w:eastAsia="Arial" w:hAnsi="Arial" w:cs="Arial"/>
          <w:sz w:val="24"/>
          <w:szCs w:val="24"/>
        </w:rPr>
      </w:pPr>
    </w:p>
    <w:p w14:paraId="6BEE70E7" w14:textId="44880AD5" w:rsidR="00D00908" w:rsidRPr="00D7220D" w:rsidRDefault="00D00908" w:rsidP="00D00908">
      <w:pPr>
        <w:rPr>
          <w:rFonts w:ascii="Arial" w:eastAsia="Arial" w:hAnsi="Arial" w:cs="Arial"/>
          <w:sz w:val="24"/>
          <w:szCs w:val="24"/>
        </w:rPr>
      </w:pPr>
      <w:r w:rsidRPr="00D7220D">
        <w:rPr>
          <w:rFonts w:ascii="Arial" w:eastAsia="Arial" w:hAnsi="Arial" w:cs="Arial"/>
          <w:sz w:val="24"/>
          <w:szCs w:val="24"/>
        </w:rPr>
        <w:t xml:space="preserve">The systematic search identified 94 publications related to the occurrence of corneal </w:t>
      </w:r>
      <w:r w:rsidR="00694B8A" w:rsidRPr="00D7220D">
        <w:rPr>
          <w:rFonts w:ascii="Arial" w:eastAsia="Arial" w:hAnsi="Arial" w:cs="Arial"/>
          <w:i/>
          <w:sz w:val="24"/>
          <w:szCs w:val="24"/>
        </w:rPr>
        <w:t xml:space="preserve">melting after the </w:t>
      </w:r>
      <w:r w:rsidR="000A142B" w:rsidRPr="00D7220D">
        <w:rPr>
          <w:rFonts w:ascii="Arial" w:eastAsia="Arial" w:hAnsi="Arial" w:cs="Arial"/>
          <w:i/>
          <w:sz w:val="24"/>
          <w:szCs w:val="24"/>
        </w:rPr>
        <w:t xml:space="preserve">crosslinking </w:t>
      </w:r>
      <w:proofErr w:type="gramStart"/>
      <w:r w:rsidRPr="00D7220D">
        <w:rPr>
          <w:rFonts w:ascii="Arial" w:eastAsia="Arial" w:hAnsi="Arial" w:cs="Arial"/>
          <w:sz w:val="24"/>
          <w:szCs w:val="24"/>
        </w:rPr>
        <w:t>procedure ,</w:t>
      </w:r>
      <w:proofErr w:type="gramEnd"/>
      <w:r w:rsidRPr="00D7220D">
        <w:rPr>
          <w:rFonts w:ascii="Arial" w:eastAsia="Arial" w:hAnsi="Arial" w:cs="Arial"/>
          <w:sz w:val="24"/>
          <w:szCs w:val="24"/>
        </w:rPr>
        <w:t xml:space="preserve"> covering investigations on its etiology, risk factors, and clinical management. The publications were located in several databases, including PubMed (32), Scopus (18), Web of Science (16), </w:t>
      </w:r>
      <w:proofErr w:type="spellStart"/>
      <w:r w:rsidRPr="00D7220D">
        <w:rPr>
          <w:rFonts w:ascii="Arial" w:eastAsia="Arial" w:hAnsi="Arial" w:cs="Arial"/>
          <w:sz w:val="24"/>
          <w:szCs w:val="24"/>
        </w:rPr>
        <w:t>SciELO</w:t>
      </w:r>
      <w:proofErr w:type="spellEnd"/>
      <w:r w:rsidRPr="00D7220D">
        <w:rPr>
          <w:rFonts w:ascii="Arial" w:eastAsia="Arial" w:hAnsi="Arial" w:cs="Arial"/>
          <w:sz w:val="24"/>
          <w:szCs w:val="24"/>
        </w:rPr>
        <w:t xml:space="preserve"> (6), Virtual Health Library (8), Google Scholar (10), and CAPES Journals (4).</w:t>
      </w:r>
    </w:p>
    <w:p w14:paraId="7A7073F3" w14:textId="501AD56B" w:rsidR="00BC761A" w:rsidRPr="00D449C1" w:rsidRDefault="00D00908" w:rsidP="00D00908">
      <w:pPr>
        <w:rPr>
          <w:rFonts w:ascii="Arial" w:hAnsi="Arial" w:cs="Arial"/>
          <w:sz w:val="24"/>
          <w:szCs w:val="24"/>
        </w:rPr>
      </w:pPr>
      <w:r w:rsidRPr="00D7220D">
        <w:rPr>
          <w:rFonts w:ascii="Arial" w:eastAsia="Arial" w:hAnsi="Arial" w:cs="Arial"/>
          <w:sz w:val="24"/>
          <w:szCs w:val="24"/>
        </w:rPr>
        <w:t xml:space="preserve">The predefined inclusion and exclusion criteria allowed the analysis to be restricted to studies published between 2009 and 2025 that presented complete </w:t>
      </w:r>
      <w:r w:rsidRPr="00D7220D">
        <w:rPr>
          <w:rFonts w:ascii="Arial" w:eastAsia="Arial" w:hAnsi="Arial" w:cs="Arial"/>
          <w:sz w:val="24"/>
          <w:szCs w:val="24"/>
        </w:rPr>
        <w:lastRenderedPageBreak/>
        <w:t xml:space="preserve">clinical or descriptive data on cases of post-CXL corneal </w:t>
      </w:r>
      <w:proofErr w:type="gramStart"/>
      <w:r w:rsidR="00694B8A" w:rsidRPr="00D7220D">
        <w:rPr>
          <w:rFonts w:ascii="Arial" w:eastAsia="Arial" w:hAnsi="Arial" w:cs="Arial"/>
          <w:i/>
          <w:sz w:val="24"/>
          <w:szCs w:val="24"/>
        </w:rPr>
        <w:t xml:space="preserve">melting </w:t>
      </w:r>
      <w:r w:rsidRPr="00D7220D">
        <w:rPr>
          <w:rFonts w:ascii="Arial" w:eastAsia="Arial" w:hAnsi="Arial" w:cs="Arial"/>
          <w:sz w:val="24"/>
          <w:szCs w:val="24"/>
        </w:rPr>
        <w:t>.</w:t>
      </w:r>
      <w:proofErr w:type="gramEnd"/>
      <w:r w:rsidRPr="00D7220D">
        <w:rPr>
          <w:rFonts w:ascii="Arial" w:eastAsia="Arial" w:hAnsi="Arial" w:cs="Arial"/>
          <w:sz w:val="24"/>
          <w:szCs w:val="24"/>
        </w:rPr>
        <w:t xml:space="preserve"> This initial screening eliminated articles that exclusively addressed the efficacy of CXL without reporting complications, as well as narrative reviews, studies with undefined methodology, or publications without access to the full text. After rigorous application of the methodological criteria and quality assessment, 15 studies were selected for full-text analysis, distributed among the databases as follows: PubMed (5), Scopus (3), Web of Science (2), </w:t>
      </w:r>
      <w:proofErr w:type="spellStart"/>
      <w:r w:rsidRPr="00D7220D">
        <w:rPr>
          <w:rFonts w:ascii="Arial" w:eastAsia="Arial" w:hAnsi="Arial" w:cs="Arial"/>
          <w:sz w:val="24"/>
          <w:szCs w:val="24"/>
        </w:rPr>
        <w:t>SciELO</w:t>
      </w:r>
      <w:proofErr w:type="spellEnd"/>
      <w:r w:rsidRPr="00D7220D">
        <w:rPr>
          <w:rFonts w:ascii="Arial" w:eastAsia="Arial" w:hAnsi="Arial" w:cs="Arial"/>
          <w:sz w:val="24"/>
          <w:szCs w:val="24"/>
        </w:rPr>
        <w:t xml:space="preserve"> (1), BVS (2), Google Scholar (1), and CAPES Journals (1). These studies represented different geographical and methodological contexts, including research conducted in Europe, the Americas, Asia, and the Middle East, in addition to relevant contributions from Brazilian groups. As shown in Table 1 below:</w:t>
      </w:r>
    </w:p>
    <w:p w14:paraId="476A3D23" w14:textId="77777777" w:rsidR="00BC761A" w:rsidRPr="00D449C1" w:rsidRDefault="00BC761A" w:rsidP="000E7C62">
      <w:pPr>
        <w:ind w:firstLine="0"/>
        <w:outlineLvl w:val="1"/>
        <w:rPr>
          <w:rFonts w:ascii="Arial" w:hAnsi="Arial" w:cs="Arial"/>
          <w:sz w:val="24"/>
          <w:szCs w:val="24"/>
        </w:rPr>
      </w:pPr>
    </w:p>
    <w:p w14:paraId="229E2E72" w14:textId="77777777" w:rsidR="00BC761A" w:rsidRPr="00D449C1" w:rsidRDefault="00BC761A" w:rsidP="000E7C62">
      <w:pPr>
        <w:ind w:firstLine="0"/>
        <w:outlineLvl w:val="1"/>
        <w:rPr>
          <w:rFonts w:ascii="Arial" w:hAnsi="Arial" w:cs="Arial"/>
          <w:sz w:val="24"/>
          <w:szCs w:val="24"/>
        </w:rPr>
      </w:pPr>
    </w:p>
    <w:p w14:paraId="2E7ED0BE" w14:textId="77777777" w:rsidR="00BC761A" w:rsidRPr="00D449C1" w:rsidRDefault="00BC761A" w:rsidP="00BC761A">
      <w:pPr>
        <w:spacing w:line="240" w:lineRule="auto"/>
        <w:jc w:val="center"/>
        <w:rPr>
          <w:rFonts w:ascii="Arial" w:eastAsia="Arial" w:hAnsi="Arial" w:cs="Arial"/>
          <w:b/>
          <w:bCs/>
          <w:color w:val="000000"/>
          <w:sz w:val="24"/>
          <w:szCs w:val="24"/>
          <w:lang w:eastAsia="pt-BR"/>
        </w:rPr>
        <w:sectPr w:rsidR="00BC761A" w:rsidRPr="00D449C1" w:rsidSect="00BC761A">
          <w:headerReference w:type="even" r:id="rId14"/>
          <w:headerReference w:type="default" r:id="rId15"/>
          <w:headerReference w:type="first" r:id="rId16"/>
          <w:pgSz w:w="11909" w:h="16834" w:code="9"/>
          <w:pgMar w:top="1440" w:right="1440" w:bottom="1440" w:left="1440" w:header="720" w:footer="864" w:gutter="0"/>
          <w:cols w:space="720"/>
          <w:titlePg/>
          <w:docGrid w:linePitch="360"/>
        </w:sectPr>
      </w:pPr>
    </w:p>
    <w:p w14:paraId="521ACE1B" w14:textId="48BCDB2A" w:rsidR="00BC761A" w:rsidRPr="00196BB7" w:rsidRDefault="00BC761A" w:rsidP="00B967C7">
      <w:pPr>
        <w:ind w:firstLine="0"/>
        <w:rPr>
          <w:rFonts w:ascii="Arial" w:eastAsia="Arial" w:hAnsi="Arial" w:cs="Arial"/>
          <w:b/>
          <w:bCs/>
          <w:color w:val="000000"/>
          <w:sz w:val="24"/>
          <w:szCs w:val="24"/>
          <w:lang w:eastAsia="pt-BR"/>
        </w:rPr>
      </w:pPr>
      <w:r w:rsidRPr="00196BB7">
        <w:rPr>
          <w:rFonts w:ascii="Arial" w:eastAsia="Arial" w:hAnsi="Arial" w:cs="Arial"/>
          <w:b/>
          <w:bCs/>
          <w:color w:val="000000"/>
          <w:sz w:val="24"/>
          <w:szCs w:val="24"/>
          <w:lang w:eastAsia="pt-BR"/>
        </w:rPr>
        <w:lastRenderedPageBreak/>
        <w:t xml:space="preserve">Table 1. </w:t>
      </w:r>
      <w:r w:rsidR="00D00908" w:rsidRPr="00196BB7">
        <w:rPr>
          <w:rFonts w:ascii="Arial" w:eastAsia="Arial" w:hAnsi="Arial" w:cs="Arial"/>
          <w:b/>
          <w:bCs/>
          <w:color w:val="000000"/>
          <w:sz w:val="24"/>
          <w:szCs w:val="24"/>
          <w:lang w:eastAsia="pt-BR"/>
        </w:rPr>
        <w:t xml:space="preserve">Presentation of the scientific publications included in the systematic review, with authors, year, source, type of study, location, relationship to the objectives, methodological approach and main findings on corneal </w:t>
      </w:r>
      <w:r w:rsidR="00694B8A" w:rsidRPr="00196BB7">
        <w:rPr>
          <w:rFonts w:ascii="Arial" w:eastAsia="Arial" w:hAnsi="Arial" w:cs="Arial"/>
          <w:b/>
          <w:bCs/>
          <w:i/>
          <w:color w:val="000000"/>
          <w:sz w:val="24"/>
          <w:szCs w:val="24"/>
          <w:lang w:eastAsia="pt-BR"/>
        </w:rPr>
        <w:t xml:space="preserve">melting after </w:t>
      </w:r>
      <w:proofErr w:type="gramStart"/>
      <w:r w:rsidR="000A142B" w:rsidRPr="00196BB7">
        <w:rPr>
          <w:rFonts w:ascii="Arial" w:eastAsia="Arial" w:hAnsi="Arial" w:cs="Arial"/>
          <w:b/>
          <w:bCs/>
          <w:i/>
          <w:color w:val="000000"/>
          <w:sz w:val="24"/>
          <w:szCs w:val="24"/>
          <w:lang w:eastAsia="pt-BR"/>
        </w:rPr>
        <w:t xml:space="preserve">crosslinking </w:t>
      </w:r>
      <w:r w:rsidR="00D00908" w:rsidRPr="00196BB7">
        <w:rPr>
          <w:rFonts w:ascii="Arial" w:eastAsia="Arial" w:hAnsi="Arial" w:cs="Arial"/>
          <w:b/>
          <w:bCs/>
          <w:color w:val="000000"/>
          <w:sz w:val="24"/>
          <w:szCs w:val="24"/>
          <w:lang w:eastAsia="pt-BR"/>
        </w:rPr>
        <w:t>.</w:t>
      </w:r>
      <w:proofErr w:type="gramEnd"/>
    </w:p>
    <w:p w14:paraId="6961CDC7" w14:textId="77777777" w:rsidR="00BC761A" w:rsidRPr="00D449C1" w:rsidRDefault="00BC761A" w:rsidP="00BC761A">
      <w:pPr>
        <w:spacing w:line="240" w:lineRule="auto"/>
        <w:rPr>
          <w:rFonts w:ascii="Arial" w:eastAsia="Calibri" w:hAnsi="Arial" w:cs="Arial"/>
          <w:strike/>
          <w:color w:val="000000"/>
          <w:sz w:val="24"/>
          <w:szCs w:val="24"/>
          <w:lang w:eastAsia="pt-BR"/>
        </w:rPr>
      </w:pPr>
    </w:p>
    <w:tbl>
      <w:tblPr>
        <w:tblStyle w:val="TableGrid"/>
        <w:tblW w:w="5892" w:type="pct"/>
        <w:tblInd w:w="-1276"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276"/>
        <w:gridCol w:w="1701"/>
        <w:gridCol w:w="1843"/>
        <w:gridCol w:w="1276"/>
        <w:gridCol w:w="2766"/>
        <w:gridCol w:w="1741"/>
        <w:gridCol w:w="4422"/>
      </w:tblGrid>
      <w:tr w:rsidR="00EA10DF" w:rsidRPr="00F2226B" w14:paraId="52B08F85" w14:textId="77777777" w:rsidTr="00BF4C30">
        <w:trPr>
          <w:trHeight w:val="20"/>
          <w:tblHeader/>
        </w:trPr>
        <w:tc>
          <w:tcPr>
            <w:tcW w:w="1418" w:type="dxa"/>
            <w:tcBorders>
              <w:top w:val="single" w:sz="4" w:space="0" w:color="auto"/>
              <w:bottom w:val="single" w:sz="4" w:space="0" w:color="auto"/>
            </w:tcBorders>
          </w:tcPr>
          <w:p w14:paraId="682041AD" w14:textId="77777777" w:rsidR="00BC761A" w:rsidRPr="00444161" w:rsidRDefault="00BC761A" w:rsidP="00F2226B">
            <w:pPr>
              <w:spacing w:before="10"/>
              <w:ind w:left="-22" w:firstLine="37"/>
              <w:jc w:val="left"/>
              <w:rPr>
                <w:rFonts w:ascii="Arial" w:eastAsia="Arial" w:hAnsi="Arial" w:cs="Arial"/>
                <w:b/>
                <w:bCs/>
                <w:sz w:val="24"/>
                <w:szCs w:val="24"/>
                <w:lang w:eastAsia="pt-BR"/>
              </w:rPr>
            </w:pPr>
            <w:r w:rsidRPr="00444161">
              <w:rPr>
                <w:rFonts w:ascii="Arial" w:eastAsia="Calibri" w:hAnsi="Arial" w:cs="Arial"/>
                <w:b/>
                <w:bCs/>
                <w:sz w:val="24"/>
                <w:szCs w:val="24"/>
                <w:lang w:eastAsia="pt-BR"/>
              </w:rPr>
              <w:t>Author</w:t>
            </w:r>
          </w:p>
        </w:tc>
        <w:tc>
          <w:tcPr>
            <w:tcW w:w="1276" w:type="dxa"/>
            <w:tcBorders>
              <w:top w:val="single" w:sz="4" w:space="0" w:color="auto"/>
              <w:bottom w:val="single" w:sz="4" w:space="0" w:color="auto"/>
            </w:tcBorders>
          </w:tcPr>
          <w:p w14:paraId="388489C0" w14:textId="77777777" w:rsidR="00BC761A" w:rsidRPr="00444161" w:rsidRDefault="00BC761A" w:rsidP="00BF4C30">
            <w:pPr>
              <w:spacing w:before="10"/>
              <w:ind w:left="-22" w:right="36" w:firstLine="22"/>
              <w:jc w:val="left"/>
              <w:rPr>
                <w:rFonts w:ascii="Arial" w:eastAsia="Arial" w:hAnsi="Arial" w:cs="Arial"/>
                <w:b/>
                <w:bCs/>
                <w:sz w:val="24"/>
                <w:szCs w:val="24"/>
                <w:lang w:eastAsia="pt-BR"/>
              </w:rPr>
            </w:pPr>
            <w:r w:rsidRPr="00444161">
              <w:rPr>
                <w:rFonts w:ascii="Arial" w:eastAsia="Calibri" w:hAnsi="Arial" w:cs="Arial"/>
                <w:b/>
                <w:bCs/>
                <w:sz w:val="24"/>
                <w:szCs w:val="24"/>
                <w:lang w:eastAsia="pt-BR"/>
              </w:rPr>
              <w:t>Year</w:t>
            </w:r>
          </w:p>
        </w:tc>
        <w:tc>
          <w:tcPr>
            <w:tcW w:w="1701" w:type="dxa"/>
            <w:tcBorders>
              <w:top w:val="single" w:sz="4" w:space="0" w:color="auto"/>
              <w:bottom w:val="single" w:sz="4" w:space="0" w:color="auto"/>
            </w:tcBorders>
          </w:tcPr>
          <w:p w14:paraId="4FA566E9" w14:textId="77777777" w:rsidR="00BC761A" w:rsidRPr="00444161" w:rsidRDefault="00BC761A" w:rsidP="003E081B">
            <w:pPr>
              <w:spacing w:before="10"/>
              <w:ind w:left="-108" w:firstLine="22"/>
              <w:jc w:val="center"/>
              <w:rPr>
                <w:rFonts w:ascii="Arial" w:eastAsia="Arial" w:hAnsi="Arial" w:cs="Arial"/>
                <w:b/>
                <w:bCs/>
                <w:color w:val="FF0000"/>
                <w:sz w:val="24"/>
                <w:szCs w:val="24"/>
                <w:lang w:eastAsia="pt-BR"/>
              </w:rPr>
            </w:pPr>
            <w:r w:rsidRPr="00444161">
              <w:rPr>
                <w:rFonts w:ascii="Arial" w:eastAsia="Calibri" w:hAnsi="Arial" w:cs="Arial"/>
                <w:b/>
                <w:bCs/>
                <w:sz w:val="24"/>
                <w:szCs w:val="24"/>
                <w:lang w:eastAsia="pt-BR"/>
              </w:rPr>
              <w:t>Source</w:t>
            </w:r>
          </w:p>
        </w:tc>
        <w:tc>
          <w:tcPr>
            <w:tcW w:w="1843" w:type="dxa"/>
            <w:tcBorders>
              <w:top w:val="single" w:sz="4" w:space="0" w:color="auto"/>
              <w:bottom w:val="single" w:sz="4" w:space="0" w:color="auto"/>
            </w:tcBorders>
          </w:tcPr>
          <w:p w14:paraId="1769E285" w14:textId="14CECBC4" w:rsidR="00BC761A" w:rsidRPr="00444161" w:rsidRDefault="00BC761A" w:rsidP="00EA10DF">
            <w:pPr>
              <w:spacing w:before="10"/>
              <w:ind w:left="-22" w:firstLine="22"/>
              <w:jc w:val="center"/>
              <w:rPr>
                <w:rFonts w:ascii="Arial" w:eastAsia="Arial" w:hAnsi="Arial" w:cs="Arial"/>
                <w:b/>
                <w:bCs/>
                <w:sz w:val="24"/>
                <w:szCs w:val="24"/>
                <w:lang w:eastAsia="pt-BR"/>
              </w:rPr>
            </w:pPr>
            <w:r w:rsidRPr="00444161">
              <w:rPr>
                <w:rFonts w:ascii="Arial" w:eastAsia="Calibri" w:hAnsi="Arial" w:cs="Arial"/>
                <w:b/>
                <w:bCs/>
                <w:sz w:val="24"/>
                <w:szCs w:val="24"/>
                <w:lang w:eastAsia="pt-BR"/>
              </w:rPr>
              <w:t>Publication Type</w:t>
            </w:r>
          </w:p>
        </w:tc>
        <w:tc>
          <w:tcPr>
            <w:tcW w:w="1276" w:type="dxa"/>
            <w:tcBorders>
              <w:top w:val="single" w:sz="4" w:space="0" w:color="auto"/>
              <w:bottom w:val="single" w:sz="4" w:space="0" w:color="auto"/>
            </w:tcBorders>
          </w:tcPr>
          <w:p w14:paraId="5423D50B" w14:textId="2E973A8D" w:rsidR="00BC761A" w:rsidRPr="00444161" w:rsidRDefault="00BC761A" w:rsidP="009568A0">
            <w:pPr>
              <w:spacing w:before="10"/>
              <w:ind w:left="-22" w:firstLine="22"/>
              <w:jc w:val="center"/>
              <w:rPr>
                <w:rFonts w:ascii="Arial" w:eastAsia="Arial" w:hAnsi="Arial" w:cs="Arial"/>
                <w:b/>
                <w:bCs/>
                <w:sz w:val="24"/>
                <w:szCs w:val="24"/>
                <w:lang w:eastAsia="pt-BR"/>
              </w:rPr>
            </w:pPr>
            <w:r w:rsidRPr="00444161">
              <w:rPr>
                <w:rFonts w:ascii="Arial" w:eastAsia="Calibri" w:hAnsi="Arial" w:cs="Arial"/>
                <w:b/>
                <w:bCs/>
                <w:sz w:val="24"/>
                <w:szCs w:val="24"/>
                <w:lang w:eastAsia="pt-BR"/>
              </w:rPr>
              <w:t>Study Location</w:t>
            </w:r>
          </w:p>
        </w:tc>
        <w:tc>
          <w:tcPr>
            <w:tcW w:w="2766" w:type="dxa"/>
            <w:tcBorders>
              <w:top w:val="single" w:sz="4" w:space="0" w:color="auto"/>
              <w:bottom w:val="single" w:sz="4" w:space="0" w:color="auto"/>
            </w:tcBorders>
          </w:tcPr>
          <w:p w14:paraId="7DB0E0D5" w14:textId="5AAC384E" w:rsidR="00BC761A" w:rsidRPr="00444161" w:rsidRDefault="00BC761A" w:rsidP="00EA10DF">
            <w:pPr>
              <w:spacing w:before="10"/>
              <w:ind w:left="-22" w:firstLine="22"/>
              <w:jc w:val="center"/>
              <w:rPr>
                <w:rFonts w:ascii="Arial" w:eastAsia="Arial" w:hAnsi="Arial" w:cs="Arial"/>
                <w:b/>
                <w:bCs/>
                <w:sz w:val="24"/>
                <w:szCs w:val="24"/>
                <w:lang w:eastAsia="pt-BR"/>
              </w:rPr>
            </w:pPr>
            <w:r w:rsidRPr="00444161">
              <w:rPr>
                <w:rFonts w:ascii="Arial" w:eastAsia="Calibri" w:hAnsi="Arial" w:cs="Arial"/>
                <w:b/>
                <w:bCs/>
                <w:sz w:val="24"/>
                <w:szCs w:val="24"/>
                <w:lang w:eastAsia="pt-BR"/>
              </w:rPr>
              <w:t>Relationship to the Research Objectives</w:t>
            </w:r>
          </w:p>
        </w:tc>
        <w:tc>
          <w:tcPr>
            <w:tcW w:w="1741" w:type="dxa"/>
            <w:tcBorders>
              <w:top w:val="single" w:sz="4" w:space="0" w:color="auto"/>
              <w:bottom w:val="single" w:sz="4" w:space="0" w:color="auto"/>
            </w:tcBorders>
          </w:tcPr>
          <w:p w14:paraId="05AE436B" w14:textId="35F58AED" w:rsidR="00BC761A" w:rsidRPr="00444161" w:rsidRDefault="00BC761A" w:rsidP="00EA10DF">
            <w:pPr>
              <w:spacing w:before="10"/>
              <w:ind w:left="-22" w:firstLine="23"/>
              <w:jc w:val="center"/>
              <w:rPr>
                <w:rFonts w:ascii="Arial" w:eastAsia="Arial" w:hAnsi="Arial" w:cs="Arial"/>
                <w:b/>
                <w:bCs/>
                <w:color w:val="FF0000"/>
                <w:sz w:val="24"/>
                <w:szCs w:val="24"/>
                <w:lang w:eastAsia="pt-BR"/>
              </w:rPr>
            </w:pPr>
            <w:r w:rsidRPr="00444161">
              <w:rPr>
                <w:rFonts w:ascii="Arial" w:eastAsia="Calibri" w:hAnsi="Arial" w:cs="Arial"/>
                <w:b/>
                <w:bCs/>
                <w:sz w:val="24"/>
                <w:szCs w:val="24"/>
                <w:lang w:eastAsia="pt-BR"/>
              </w:rPr>
              <w:t>Methodological Approach</w:t>
            </w:r>
          </w:p>
        </w:tc>
        <w:tc>
          <w:tcPr>
            <w:tcW w:w="4422" w:type="dxa"/>
            <w:tcBorders>
              <w:top w:val="single" w:sz="4" w:space="0" w:color="auto"/>
              <w:bottom w:val="single" w:sz="4" w:space="0" w:color="auto"/>
            </w:tcBorders>
          </w:tcPr>
          <w:p w14:paraId="095D130D" w14:textId="42BD9D0F" w:rsidR="00BC761A" w:rsidRPr="00F2226B" w:rsidRDefault="00BC761A" w:rsidP="00EA10DF">
            <w:pPr>
              <w:spacing w:before="10"/>
              <w:ind w:left="-22" w:firstLine="18"/>
              <w:jc w:val="center"/>
              <w:rPr>
                <w:rFonts w:ascii="Arial" w:eastAsia="Arial" w:hAnsi="Arial" w:cs="Arial"/>
                <w:b/>
                <w:bCs/>
                <w:color w:val="FF0000"/>
                <w:sz w:val="24"/>
                <w:szCs w:val="24"/>
                <w:highlight w:val="green"/>
                <w:lang w:eastAsia="pt-BR"/>
              </w:rPr>
            </w:pPr>
            <w:r w:rsidRPr="00022A90">
              <w:rPr>
                <w:rFonts w:ascii="Arial" w:eastAsia="Calibri" w:hAnsi="Arial" w:cs="Arial"/>
                <w:b/>
                <w:bCs/>
                <w:sz w:val="24"/>
                <w:szCs w:val="24"/>
                <w:lang w:eastAsia="pt-BR"/>
              </w:rPr>
              <w:t>Main Discoveries</w:t>
            </w:r>
          </w:p>
        </w:tc>
      </w:tr>
      <w:tr w:rsidR="00F2226B" w:rsidRPr="00F2226B" w14:paraId="744D9AA9" w14:textId="77777777" w:rsidTr="00BF4C30">
        <w:trPr>
          <w:trHeight w:val="20"/>
        </w:trPr>
        <w:tc>
          <w:tcPr>
            <w:tcW w:w="1418" w:type="dxa"/>
            <w:tcBorders>
              <w:top w:val="single" w:sz="4" w:space="0" w:color="auto"/>
              <w:bottom w:val="single" w:sz="4" w:space="0" w:color="auto"/>
            </w:tcBorders>
          </w:tcPr>
          <w:p w14:paraId="5A7ECB30" w14:textId="3A6A9DB0" w:rsidR="00F2226B" w:rsidRPr="00444161" w:rsidRDefault="00F2226B" w:rsidP="006D7176">
            <w:pPr>
              <w:spacing w:before="10"/>
              <w:ind w:right="-112" w:hanging="3"/>
              <w:jc w:val="left"/>
              <w:rPr>
                <w:rFonts w:ascii="Arial" w:eastAsia="Calibri" w:hAnsi="Arial" w:cs="Arial"/>
                <w:b/>
                <w:bCs/>
                <w:sz w:val="24"/>
                <w:szCs w:val="24"/>
                <w:lang w:eastAsia="pt-BR"/>
              </w:rPr>
            </w:pPr>
            <w:r w:rsidRPr="00444161">
              <w:rPr>
                <w:rFonts w:ascii="Arial" w:hAnsi="Arial" w:cs="Arial"/>
                <w:sz w:val="24"/>
                <w:szCs w:val="24"/>
              </w:rPr>
              <w:t xml:space="preserve">Bennani </w:t>
            </w:r>
            <w:r w:rsidR="00EF7385" w:rsidRPr="00444161">
              <w:rPr>
                <w:rFonts w:ascii="Arial" w:hAnsi="Arial" w:cs="Arial"/>
                <w:i/>
                <w:sz w:val="24"/>
                <w:szCs w:val="24"/>
              </w:rPr>
              <w:t>et al.</w:t>
            </w:r>
          </w:p>
        </w:tc>
        <w:tc>
          <w:tcPr>
            <w:tcW w:w="1276" w:type="dxa"/>
            <w:tcBorders>
              <w:top w:val="single" w:sz="4" w:space="0" w:color="auto"/>
              <w:bottom w:val="single" w:sz="4" w:space="0" w:color="auto"/>
            </w:tcBorders>
          </w:tcPr>
          <w:p w14:paraId="4D45E387" w14:textId="1CDEAB52" w:rsidR="00F2226B" w:rsidRPr="00444161" w:rsidRDefault="00F2226B" w:rsidP="00F2226B">
            <w:pPr>
              <w:spacing w:before="10"/>
              <w:ind w:left="39" w:right="36" w:firstLine="22"/>
              <w:jc w:val="left"/>
              <w:rPr>
                <w:rFonts w:ascii="Arial" w:eastAsia="Calibri" w:hAnsi="Arial" w:cs="Arial"/>
                <w:b/>
                <w:bCs/>
                <w:sz w:val="24"/>
                <w:szCs w:val="24"/>
                <w:lang w:eastAsia="pt-BR"/>
              </w:rPr>
            </w:pPr>
            <w:r w:rsidRPr="00444161">
              <w:rPr>
                <w:rFonts w:ascii="Arial" w:hAnsi="Arial" w:cs="Arial"/>
                <w:sz w:val="24"/>
                <w:szCs w:val="24"/>
              </w:rPr>
              <w:t>2025</w:t>
            </w:r>
          </w:p>
        </w:tc>
        <w:tc>
          <w:tcPr>
            <w:tcW w:w="1701" w:type="dxa"/>
            <w:tcBorders>
              <w:top w:val="single" w:sz="4" w:space="0" w:color="auto"/>
              <w:bottom w:val="single" w:sz="4" w:space="0" w:color="auto"/>
            </w:tcBorders>
          </w:tcPr>
          <w:p w14:paraId="0D368BE3" w14:textId="517518B4" w:rsidR="00F2226B" w:rsidRPr="00444161" w:rsidRDefault="00F2226B" w:rsidP="00F2226B">
            <w:pPr>
              <w:spacing w:before="10"/>
              <w:ind w:left="-108" w:right="-104" w:firstLine="22"/>
              <w:jc w:val="center"/>
              <w:rPr>
                <w:rFonts w:ascii="Arial" w:eastAsia="Calibri" w:hAnsi="Arial" w:cs="Arial"/>
                <w:b/>
                <w:bCs/>
                <w:sz w:val="24"/>
                <w:szCs w:val="24"/>
                <w:lang w:eastAsia="pt-BR"/>
              </w:rPr>
            </w:pPr>
            <w:r w:rsidRPr="00444161">
              <w:rPr>
                <w:rFonts w:ascii="Arial" w:hAnsi="Arial" w:cs="Arial"/>
                <w:sz w:val="24"/>
                <w:szCs w:val="24"/>
              </w:rPr>
              <w:t>Indian Journal of Ophthalmology</w:t>
            </w:r>
          </w:p>
        </w:tc>
        <w:tc>
          <w:tcPr>
            <w:tcW w:w="1843" w:type="dxa"/>
            <w:tcBorders>
              <w:top w:val="single" w:sz="4" w:space="0" w:color="auto"/>
              <w:bottom w:val="single" w:sz="4" w:space="0" w:color="auto"/>
            </w:tcBorders>
          </w:tcPr>
          <w:p w14:paraId="00A12EC7" w14:textId="33DFED14" w:rsidR="00F2226B" w:rsidRPr="00444161" w:rsidRDefault="00F2226B" w:rsidP="00F2226B">
            <w:pPr>
              <w:spacing w:before="10"/>
              <w:ind w:left="39" w:firstLine="22"/>
              <w:jc w:val="center"/>
              <w:rPr>
                <w:rFonts w:ascii="Arial" w:eastAsia="Calibri" w:hAnsi="Arial" w:cs="Arial"/>
                <w:b/>
                <w:bCs/>
                <w:sz w:val="24"/>
                <w:szCs w:val="24"/>
                <w:lang w:eastAsia="pt-BR"/>
              </w:rPr>
            </w:pPr>
            <w:r w:rsidRPr="00444161">
              <w:rPr>
                <w:rFonts w:ascii="Arial" w:hAnsi="Arial" w:cs="Arial"/>
                <w:sz w:val="24"/>
                <w:szCs w:val="24"/>
              </w:rPr>
              <w:t>Case report</w:t>
            </w:r>
          </w:p>
        </w:tc>
        <w:tc>
          <w:tcPr>
            <w:tcW w:w="1276" w:type="dxa"/>
            <w:tcBorders>
              <w:top w:val="single" w:sz="4" w:space="0" w:color="auto"/>
              <w:bottom w:val="single" w:sz="4" w:space="0" w:color="auto"/>
            </w:tcBorders>
          </w:tcPr>
          <w:p w14:paraId="428C3B52" w14:textId="27298622" w:rsidR="00F2226B" w:rsidRPr="00444161" w:rsidRDefault="00F2226B" w:rsidP="00F2226B">
            <w:pPr>
              <w:spacing w:before="10"/>
              <w:ind w:left="39" w:right="-102" w:firstLine="22"/>
              <w:jc w:val="center"/>
              <w:rPr>
                <w:rFonts w:ascii="Arial" w:eastAsia="Calibri" w:hAnsi="Arial" w:cs="Arial"/>
                <w:b/>
                <w:bCs/>
                <w:sz w:val="24"/>
                <w:szCs w:val="24"/>
                <w:lang w:eastAsia="pt-BR"/>
              </w:rPr>
            </w:pPr>
            <w:r w:rsidRPr="00444161">
              <w:rPr>
                <w:rFonts w:ascii="Arial" w:hAnsi="Arial" w:cs="Arial"/>
                <w:sz w:val="24"/>
                <w:szCs w:val="24"/>
              </w:rPr>
              <w:t>Morocco</w:t>
            </w:r>
          </w:p>
        </w:tc>
        <w:tc>
          <w:tcPr>
            <w:tcW w:w="2766" w:type="dxa"/>
            <w:tcBorders>
              <w:top w:val="single" w:sz="4" w:space="0" w:color="auto"/>
              <w:bottom w:val="single" w:sz="4" w:space="0" w:color="auto"/>
            </w:tcBorders>
          </w:tcPr>
          <w:p w14:paraId="18CC8705" w14:textId="3AD788CF" w:rsidR="00F2226B" w:rsidRPr="00444161" w:rsidRDefault="00115CEE" w:rsidP="00F2226B">
            <w:pPr>
              <w:spacing w:before="10"/>
              <w:ind w:left="39" w:firstLine="22"/>
              <w:rPr>
                <w:rFonts w:ascii="Arial" w:eastAsia="Calibri" w:hAnsi="Arial" w:cs="Arial"/>
                <w:b/>
                <w:bCs/>
                <w:sz w:val="24"/>
                <w:szCs w:val="24"/>
                <w:lang w:eastAsia="pt-BR"/>
              </w:rPr>
            </w:pPr>
            <w:r>
              <w:rPr>
                <w:rFonts w:ascii="Arial" w:hAnsi="Arial" w:cs="Arial"/>
                <w:sz w:val="24"/>
                <w:szCs w:val="24"/>
              </w:rPr>
              <w:t xml:space="preserve">It was </w:t>
            </w:r>
            <w:r w:rsidR="00444161" w:rsidRPr="00444161">
              <w:rPr>
                <w:rFonts w:ascii="Arial" w:hAnsi="Arial" w:cs="Arial"/>
                <w:sz w:val="24"/>
                <w:szCs w:val="24"/>
              </w:rPr>
              <w:t>compared the Dresden and accelerated protocols.</w:t>
            </w:r>
          </w:p>
        </w:tc>
        <w:tc>
          <w:tcPr>
            <w:tcW w:w="1741" w:type="dxa"/>
            <w:tcBorders>
              <w:top w:val="single" w:sz="4" w:space="0" w:color="auto"/>
              <w:bottom w:val="single" w:sz="4" w:space="0" w:color="auto"/>
            </w:tcBorders>
          </w:tcPr>
          <w:p w14:paraId="79647BAB" w14:textId="1596DB1F" w:rsidR="00F2226B" w:rsidRPr="00444161" w:rsidRDefault="00F2226B" w:rsidP="00F2226B">
            <w:pPr>
              <w:spacing w:before="10"/>
              <w:ind w:left="39" w:firstLine="23"/>
              <w:jc w:val="center"/>
              <w:rPr>
                <w:rFonts w:ascii="Arial" w:eastAsia="Calibri" w:hAnsi="Arial" w:cs="Arial"/>
                <w:b/>
                <w:bCs/>
                <w:sz w:val="24"/>
                <w:szCs w:val="24"/>
                <w:lang w:eastAsia="pt-BR"/>
              </w:rPr>
            </w:pPr>
            <w:r w:rsidRPr="00444161">
              <w:rPr>
                <w:rFonts w:ascii="Arial" w:hAnsi="Arial" w:cs="Arial"/>
                <w:sz w:val="24"/>
                <w:szCs w:val="24"/>
              </w:rPr>
              <w:t>Clinical case report</w:t>
            </w:r>
          </w:p>
        </w:tc>
        <w:tc>
          <w:tcPr>
            <w:tcW w:w="4422" w:type="dxa"/>
            <w:tcBorders>
              <w:top w:val="single" w:sz="4" w:space="0" w:color="auto"/>
              <w:bottom w:val="single" w:sz="4" w:space="0" w:color="auto"/>
            </w:tcBorders>
          </w:tcPr>
          <w:p w14:paraId="1EE93972" w14:textId="5473CFD4" w:rsidR="00F2226B" w:rsidRPr="00F2226B" w:rsidRDefault="00022A90" w:rsidP="00F2226B">
            <w:pPr>
              <w:spacing w:before="10"/>
              <w:ind w:left="39" w:firstLine="18"/>
              <w:rPr>
                <w:rFonts w:ascii="Arial" w:eastAsia="Calibri" w:hAnsi="Arial" w:cs="Arial"/>
                <w:b/>
                <w:bCs/>
                <w:sz w:val="24"/>
                <w:szCs w:val="24"/>
                <w:highlight w:val="green"/>
                <w:lang w:eastAsia="pt-BR"/>
              </w:rPr>
            </w:pPr>
            <w:r w:rsidRPr="00022A90">
              <w:rPr>
                <w:rFonts w:ascii="Arial" w:hAnsi="Arial" w:cs="Arial"/>
                <w:sz w:val="24"/>
                <w:szCs w:val="24"/>
              </w:rPr>
              <w:t xml:space="preserve">"They described corneal necrosis after an accelerated epithelium-off protocol in a young patient, and the event occurred a few days after CXL, with no detectable infection. Concluding that more intense energy may increase the risk of </w:t>
            </w:r>
            <w:r w:rsidR="00694B8A" w:rsidRPr="00022A90">
              <w:rPr>
                <w:rFonts w:ascii="Arial" w:hAnsi="Arial" w:cs="Arial"/>
                <w:i/>
                <w:sz w:val="24"/>
                <w:szCs w:val="24"/>
              </w:rPr>
              <w:t xml:space="preserve">melting </w:t>
            </w:r>
            <w:r w:rsidR="00F2226B" w:rsidRPr="00022A90">
              <w:rPr>
                <w:rFonts w:ascii="Arial" w:hAnsi="Arial" w:cs="Arial"/>
                <w:sz w:val="24"/>
                <w:szCs w:val="24"/>
              </w:rPr>
              <w:t>in young individuals."</w:t>
            </w:r>
          </w:p>
        </w:tc>
      </w:tr>
      <w:tr w:rsidR="00F2226B" w:rsidRPr="00F2226B" w14:paraId="72523D7B" w14:textId="77777777" w:rsidTr="00BF4C30">
        <w:trPr>
          <w:trHeight w:val="20"/>
        </w:trPr>
        <w:tc>
          <w:tcPr>
            <w:tcW w:w="1418" w:type="dxa"/>
            <w:tcBorders>
              <w:top w:val="single" w:sz="4" w:space="0" w:color="auto"/>
              <w:bottom w:val="single" w:sz="4" w:space="0" w:color="auto"/>
            </w:tcBorders>
          </w:tcPr>
          <w:p w14:paraId="603333D6" w14:textId="7F485770" w:rsidR="00F2226B" w:rsidRPr="00444161" w:rsidRDefault="00F2226B" w:rsidP="006D7176">
            <w:pPr>
              <w:spacing w:before="10"/>
              <w:ind w:right="-112" w:hanging="3"/>
              <w:jc w:val="left"/>
              <w:rPr>
                <w:rFonts w:ascii="Arial" w:eastAsia="Calibri" w:hAnsi="Arial" w:cs="Arial"/>
                <w:b/>
                <w:bCs/>
                <w:sz w:val="24"/>
                <w:szCs w:val="24"/>
                <w:lang w:eastAsia="pt-BR"/>
              </w:rPr>
            </w:pPr>
            <w:proofErr w:type="spellStart"/>
            <w:r w:rsidRPr="00444161">
              <w:rPr>
                <w:rFonts w:ascii="Arial" w:hAnsi="Arial" w:cs="Arial"/>
                <w:sz w:val="24"/>
                <w:szCs w:val="24"/>
              </w:rPr>
              <w:t>Moramarco</w:t>
            </w:r>
            <w:proofErr w:type="spellEnd"/>
            <w:r w:rsidRPr="00444161">
              <w:rPr>
                <w:rFonts w:ascii="Arial" w:hAnsi="Arial" w:cs="Arial"/>
                <w:sz w:val="24"/>
                <w:szCs w:val="24"/>
              </w:rPr>
              <w:t xml:space="preserve"> </w:t>
            </w:r>
            <w:r w:rsidR="00EF7385" w:rsidRPr="00444161">
              <w:rPr>
                <w:rFonts w:ascii="Arial" w:hAnsi="Arial" w:cs="Arial"/>
                <w:i/>
                <w:sz w:val="24"/>
                <w:szCs w:val="24"/>
              </w:rPr>
              <w:t>et al.</w:t>
            </w:r>
          </w:p>
        </w:tc>
        <w:tc>
          <w:tcPr>
            <w:tcW w:w="1276" w:type="dxa"/>
            <w:tcBorders>
              <w:top w:val="single" w:sz="4" w:space="0" w:color="auto"/>
              <w:bottom w:val="single" w:sz="4" w:space="0" w:color="auto"/>
            </w:tcBorders>
          </w:tcPr>
          <w:p w14:paraId="27588F0E" w14:textId="2FED0724" w:rsidR="00F2226B" w:rsidRPr="00444161" w:rsidRDefault="00F2226B" w:rsidP="00F2226B">
            <w:pPr>
              <w:spacing w:before="10"/>
              <w:ind w:left="39" w:right="36" w:firstLine="22"/>
              <w:jc w:val="left"/>
              <w:rPr>
                <w:rFonts w:ascii="Arial" w:eastAsia="Calibri" w:hAnsi="Arial" w:cs="Arial"/>
                <w:b/>
                <w:bCs/>
                <w:sz w:val="24"/>
                <w:szCs w:val="24"/>
                <w:lang w:eastAsia="pt-BR"/>
              </w:rPr>
            </w:pPr>
            <w:r w:rsidRPr="00444161">
              <w:rPr>
                <w:rFonts w:ascii="Arial" w:hAnsi="Arial" w:cs="Arial"/>
                <w:sz w:val="24"/>
                <w:szCs w:val="24"/>
              </w:rPr>
              <w:t>2024</w:t>
            </w:r>
          </w:p>
        </w:tc>
        <w:tc>
          <w:tcPr>
            <w:tcW w:w="1701" w:type="dxa"/>
            <w:tcBorders>
              <w:top w:val="single" w:sz="4" w:space="0" w:color="auto"/>
              <w:bottom w:val="single" w:sz="4" w:space="0" w:color="auto"/>
            </w:tcBorders>
          </w:tcPr>
          <w:p w14:paraId="0B74DEA9" w14:textId="7A649AEA" w:rsidR="00F2226B" w:rsidRPr="00444161" w:rsidRDefault="00F2226B" w:rsidP="00F2226B">
            <w:pPr>
              <w:spacing w:before="10"/>
              <w:ind w:left="-108" w:firstLine="22"/>
              <w:jc w:val="center"/>
              <w:rPr>
                <w:rFonts w:ascii="Arial" w:eastAsia="Calibri" w:hAnsi="Arial" w:cs="Arial"/>
                <w:b/>
                <w:bCs/>
                <w:sz w:val="24"/>
                <w:szCs w:val="24"/>
                <w:lang w:eastAsia="pt-BR"/>
              </w:rPr>
            </w:pPr>
            <w:r w:rsidRPr="00444161">
              <w:rPr>
                <w:rFonts w:ascii="Arial" w:hAnsi="Arial" w:cs="Arial"/>
                <w:sz w:val="24"/>
                <w:szCs w:val="24"/>
              </w:rPr>
              <w:t>PubMed</w:t>
            </w:r>
          </w:p>
        </w:tc>
        <w:tc>
          <w:tcPr>
            <w:tcW w:w="1843" w:type="dxa"/>
            <w:tcBorders>
              <w:top w:val="single" w:sz="4" w:space="0" w:color="auto"/>
              <w:bottom w:val="single" w:sz="4" w:space="0" w:color="auto"/>
            </w:tcBorders>
          </w:tcPr>
          <w:p w14:paraId="1D8EB351" w14:textId="64440EFA" w:rsidR="00F2226B" w:rsidRPr="00444161" w:rsidRDefault="00F2226B" w:rsidP="00F2226B">
            <w:pPr>
              <w:spacing w:before="10"/>
              <w:ind w:left="39" w:firstLine="22"/>
              <w:jc w:val="center"/>
              <w:rPr>
                <w:rFonts w:ascii="Arial" w:eastAsia="Calibri" w:hAnsi="Arial" w:cs="Arial"/>
                <w:b/>
                <w:bCs/>
                <w:sz w:val="24"/>
                <w:szCs w:val="24"/>
                <w:lang w:eastAsia="pt-BR"/>
              </w:rPr>
            </w:pPr>
            <w:r w:rsidRPr="00444161">
              <w:rPr>
                <w:rFonts w:ascii="Arial" w:hAnsi="Arial" w:cs="Arial"/>
                <w:sz w:val="24"/>
                <w:szCs w:val="24"/>
              </w:rPr>
              <w:t>Case report + review</w:t>
            </w:r>
          </w:p>
        </w:tc>
        <w:tc>
          <w:tcPr>
            <w:tcW w:w="1276" w:type="dxa"/>
            <w:tcBorders>
              <w:top w:val="single" w:sz="4" w:space="0" w:color="auto"/>
              <w:bottom w:val="single" w:sz="4" w:space="0" w:color="auto"/>
            </w:tcBorders>
          </w:tcPr>
          <w:p w14:paraId="0681ED91" w14:textId="62F4A646" w:rsidR="00F2226B" w:rsidRPr="00444161" w:rsidRDefault="00F2226B" w:rsidP="00F2226B">
            <w:pPr>
              <w:spacing w:before="10"/>
              <w:ind w:left="39" w:firstLine="22"/>
              <w:rPr>
                <w:rFonts w:ascii="Arial" w:eastAsia="Calibri" w:hAnsi="Arial" w:cs="Arial"/>
                <w:b/>
                <w:bCs/>
                <w:sz w:val="24"/>
                <w:szCs w:val="24"/>
                <w:lang w:eastAsia="pt-BR"/>
              </w:rPr>
            </w:pPr>
            <w:r w:rsidRPr="00444161">
              <w:rPr>
                <w:rFonts w:ascii="Arial" w:hAnsi="Arial" w:cs="Arial"/>
                <w:sz w:val="24"/>
                <w:szCs w:val="24"/>
              </w:rPr>
              <w:t>Italy</w:t>
            </w:r>
          </w:p>
        </w:tc>
        <w:tc>
          <w:tcPr>
            <w:tcW w:w="2766" w:type="dxa"/>
            <w:tcBorders>
              <w:top w:val="single" w:sz="4" w:space="0" w:color="auto"/>
              <w:bottom w:val="single" w:sz="4" w:space="0" w:color="auto"/>
            </w:tcBorders>
          </w:tcPr>
          <w:p w14:paraId="41837D90" w14:textId="67762544" w:rsidR="00F2226B" w:rsidRPr="00444161" w:rsidRDefault="00444161" w:rsidP="00F2226B">
            <w:pPr>
              <w:spacing w:before="10"/>
              <w:ind w:left="39" w:firstLine="22"/>
              <w:rPr>
                <w:rFonts w:ascii="Arial" w:eastAsia="Calibri" w:hAnsi="Arial" w:cs="Arial"/>
                <w:b/>
                <w:bCs/>
                <w:sz w:val="24"/>
                <w:szCs w:val="24"/>
                <w:lang w:eastAsia="pt-BR"/>
              </w:rPr>
            </w:pPr>
            <w:r w:rsidRPr="00444161">
              <w:rPr>
                <w:rFonts w:ascii="Arial" w:hAnsi="Arial" w:cs="Arial"/>
                <w:sz w:val="24"/>
                <w:szCs w:val="24"/>
              </w:rPr>
              <w:t>The definition of the post-CXL mean interval and associated factors were discussed.</w:t>
            </w:r>
          </w:p>
        </w:tc>
        <w:tc>
          <w:tcPr>
            <w:tcW w:w="1741" w:type="dxa"/>
            <w:tcBorders>
              <w:top w:val="single" w:sz="4" w:space="0" w:color="auto"/>
              <w:bottom w:val="single" w:sz="4" w:space="0" w:color="auto"/>
            </w:tcBorders>
          </w:tcPr>
          <w:p w14:paraId="6C74C564" w14:textId="11F48339" w:rsidR="00F2226B" w:rsidRPr="00444161" w:rsidRDefault="00F2226B" w:rsidP="00F2226B">
            <w:pPr>
              <w:spacing w:before="10"/>
              <w:ind w:left="39" w:firstLine="23"/>
              <w:jc w:val="center"/>
              <w:rPr>
                <w:rFonts w:ascii="Arial" w:eastAsia="Calibri" w:hAnsi="Arial" w:cs="Arial"/>
                <w:b/>
                <w:bCs/>
                <w:sz w:val="24"/>
                <w:szCs w:val="24"/>
                <w:lang w:eastAsia="pt-BR"/>
              </w:rPr>
            </w:pPr>
            <w:r w:rsidRPr="00444161">
              <w:rPr>
                <w:rFonts w:ascii="Arial" w:hAnsi="Arial" w:cs="Arial"/>
                <w:sz w:val="24"/>
                <w:szCs w:val="24"/>
              </w:rPr>
              <w:t>Case report and systematic review</w:t>
            </w:r>
          </w:p>
        </w:tc>
        <w:tc>
          <w:tcPr>
            <w:tcW w:w="4422" w:type="dxa"/>
            <w:tcBorders>
              <w:top w:val="single" w:sz="4" w:space="0" w:color="auto"/>
              <w:bottom w:val="single" w:sz="4" w:space="0" w:color="auto"/>
            </w:tcBorders>
          </w:tcPr>
          <w:p w14:paraId="56C5837D" w14:textId="33B95C55" w:rsidR="00F2226B" w:rsidRPr="00F2226B" w:rsidRDefault="000478A5" w:rsidP="00F2226B">
            <w:pPr>
              <w:spacing w:before="10"/>
              <w:ind w:left="39" w:firstLine="18"/>
              <w:rPr>
                <w:rFonts w:ascii="Arial" w:eastAsia="Calibri" w:hAnsi="Arial" w:cs="Arial"/>
                <w:b/>
                <w:bCs/>
                <w:sz w:val="24"/>
                <w:szCs w:val="24"/>
                <w:highlight w:val="green"/>
                <w:lang w:eastAsia="pt-BR"/>
              </w:rPr>
            </w:pPr>
            <w:r w:rsidRPr="000478A5">
              <w:rPr>
                <w:rFonts w:ascii="Arial" w:hAnsi="Arial" w:cs="Arial"/>
                <w:sz w:val="24"/>
                <w:szCs w:val="24"/>
              </w:rPr>
              <w:t xml:space="preserve">"They described a case of a pediatric patient who presented with severe corneal </w:t>
            </w:r>
            <w:r w:rsidR="00694B8A" w:rsidRPr="000478A5">
              <w:rPr>
                <w:rFonts w:ascii="Arial" w:hAnsi="Arial" w:cs="Arial"/>
                <w:i/>
                <w:sz w:val="24"/>
                <w:szCs w:val="24"/>
              </w:rPr>
              <w:t xml:space="preserve">melting </w:t>
            </w:r>
            <w:r w:rsidR="00F2226B" w:rsidRPr="000478A5">
              <w:rPr>
                <w:rFonts w:ascii="Arial" w:hAnsi="Arial" w:cs="Arial"/>
                <w:sz w:val="24"/>
                <w:szCs w:val="24"/>
              </w:rPr>
              <w:t>after accelerated epithelium-off CXL, with the interval between the procedure and the event being only a few days; furthermore, the review showed that accelerated protocols increased tissue vulnerability."</w:t>
            </w:r>
          </w:p>
        </w:tc>
      </w:tr>
      <w:tr w:rsidR="00F2226B" w:rsidRPr="00F2226B" w14:paraId="47040F29" w14:textId="77777777" w:rsidTr="00BF4C30">
        <w:trPr>
          <w:trHeight w:val="20"/>
        </w:trPr>
        <w:tc>
          <w:tcPr>
            <w:tcW w:w="1418" w:type="dxa"/>
            <w:tcBorders>
              <w:top w:val="single" w:sz="4" w:space="0" w:color="auto"/>
              <w:bottom w:val="single" w:sz="4" w:space="0" w:color="auto"/>
            </w:tcBorders>
          </w:tcPr>
          <w:p w14:paraId="580D872D" w14:textId="73CC9724" w:rsidR="00F2226B" w:rsidRPr="00444161" w:rsidRDefault="00F2226B" w:rsidP="006D7176">
            <w:pPr>
              <w:spacing w:before="10"/>
              <w:ind w:hanging="39"/>
              <w:jc w:val="left"/>
              <w:rPr>
                <w:rFonts w:ascii="Arial" w:eastAsia="Calibri" w:hAnsi="Arial" w:cs="Arial"/>
                <w:b/>
                <w:bCs/>
                <w:sz w:val="24"/>
                <w:szCs w:val="24"/>
                <w:lang w:eastAsia="pt-BR"/>
              </w:rPr>
            </w:pPr>
            <w:r w:rsidRPr="00444161">
              <w:rPr>
                <w:rFonts w:ascii="Arial" w:hAnsi="Arial" w:cs="Arial"/>
                <w:sz w:val="24"/>
                <w:szCs w:val="24"/>
              </w:rPr>
              <w:t>Naranjo &amp; Manche</w:t>
            </w:r>
          </w:p>
        </w:tc>
        <w:tc>
          <w:tcPr>
            <w:tcW w:w="1276" w:type="dxa"/>
            <w:tcBorders>
              <w:top w:val="single" w:sz="4" w:space="0" w:color="auto"/>
              <w:bottom w:val="single" w:sz="4" w:space="0" w:color="auto"/>
            </w:tcBorders>
          </w:tcPr>
          <w:p w14:paraId="1A07ADFB" w14:textId="478F2DC5" w:rsidR="00F2226B" w:rsidRPr="00444161" w:rsidRDefault="00F2226B" w:rsidP="00F2226B">
            <w:pPr>
              <w:spacing w:before="10"/>
              <w:ind w:left="39" w:right="36" w:firstLine="22"/>
              <w:jc w:val="left"/>
              <w:rPr>
                <w:rFonts w:ascii="Arial" w:eastAsia="Calibri" w:hAnsi="Arial" w:cs="Arial"/>
                <w:b/>
                <w:bCs/>
                <w:sz w:val="24"/>
                <w:szCs w:val="24"/>
                <w:lang w:eastAsia="pt-BR"/>
              </w:rPr>
            </w:pPr>
            <w:r w:rsidRPr="00444161">
              <w:rPr>
                <w:rFonts w:ascii="Arial" w:hAnsi="Arial" w:cs="Arial"/>
                <w:sz w:val="24"/>
                <w:szCs w:val="24"/>
              </w:rPr>
              <w:t>2024</w:t>
            </w:r>
          </w:p>
        </w:tc>
        <w:tc>
          <w:tcPr>
            <w:tcW w:w="1701" w:type="dxa"/>
            <w:tcBorders>
              <w:top w:val="single" w:sz="4" w:space="0" w:color="auto"/>
              <w:bottom w:val="single" w:sz="4" w:space="0" w:color="auto"/>
            </w:tcBorders>
          </w:tcPr>
          <w:p w14:paraId="33AA277D" w14:textId="3891F2B9" w:rsidR="00F2226B" w:rsidRPr="00444161" w:rsidRDefault="00F2226B" w:rsidP="00F2226B">
            <w:pPr>
              <w:spacing w:before="10"/>
              <w:ind w:left="-108" w:firstLine="22"/>
              <w:jc w:val="center"/>
              <w:rPr>
                <w:rFonts w:ascii="Arial" w:eastAsia="Calibri" w:hAnsi="Arial" w:cs="Arial"/>
                <w:b/>
                <w:bCs/>
                <w:sz w:val="24"/>
                <w:szCs w:val="24"/>
                <w:lang w:eastAsia="pt-BR"/>
              </w:rPr>
            </w:pPr>
            <w:r w:rsidRPr="00444161">
              <w:rPr>
                <w:rFonts w:ascii="Arial" w:hAnsi="Arial" w:cs="Arial"/>
                <w:sz w:val="24"/>
                <w:szCs w:val="24"/>
              </w:rPr>
              <w:t>PMC</w:t>
            </w:r>
          </w:p>
        </w:tc>
        <w:tc>
          <w:tcPr>
            <w:tcW w:w="1843" w:type="dxa"/>
            <w:tcBorders>
              <w:top w:val="single" w:sz="4" w:space="0" w:color="auto"/>
              <w:bottom w:val="single" w:sz="4" w:space="0" w:color="auto"/>
            </w:tcBorders>
          </w:tcPr>
          <w:p w14:paraId="21B9ADD2" w14:textId="36D6676C" w:rsidR="00F2226B" w:rsidRPr="00444161" w:rsidRDefault="00F2226B" w:rsidP="00F2226B">
            <w:pPr>
              <w:spacing w:before="10"/>
              <w:ind w:left="39" w:firstLine="22"/>
              <w:jc w:val="center"/>
              <w:rPr>
                <w:rFonts w:ascii="Arial" w:eastAsia="Calibri" w:hAnsi="Arial" w:cs="Arial"/>
                <w:b/>
                <w:bCs/>
                <w:sz w:val="24"/>
                <w:szCs w:val="24"/>
                <w:lang w:eastAsia="pt-BR"/>
              </w:rPr>
            </w:pPr>
            <w:r w:rsidRPr="00444161">
              <w:rPr>
                <w:rFonts w:ascii="Arial" w:hAnsi="Arial" w:cs="Arial"/>
                <w:sz w:val="24"/>
                <w:szCs w:val="24"/>
              </w:rPr>
              <w:t>Narrative review</w:t>
            </w:r>
          </w:p>
        </w:tc>
        <w:tc>
          <w:tcPr>
            <w:tcW w:w="1276" w:type="dxa"/>
            <w:tcBorders>
              <w:top w:val="single" w:sz="4" w:space="0" w:color="auto"/>
              <w:bottom w:val="single" w:sz="4" w:space="0" w:color="auto"/>
            </w:tcBorders>
          </w:tcPr>
          <w:p w14:paraId="6B4E08BC" w14:textId="715D1C39" w:rsidR="00F2226B" w:rsidRPr="00444161" w:rsidRDefault="00F2226B" w:rsidP="00444161">
            <w:pPr>
              <w:spacing w:before="10"/>
              <w:ind w:left="39" w:firstLine="22"/>
              <w:jc w:val="center"/>
              <w:rPr>
                <w:rFonts w:ascii="Arial" w:eastAsia="Calibri" w:hAnsi="Arial" w:cs="Arial"/>
                <w:b/>
                <w:bCs/>
                <w:sz w:val="24"/>
                <w:szCs w:val="24"/>
                <w:lang w:eastAsia="pt-BR"/>
              </w:rPr>
            </w:pPr>
            <w:r w:rsidRPr="00444161">
              <w:rPr>
                <w:rFonts w:ascii="Arial" w:hAnsi="Arial" w:cs="Arial"/>
                <w:sz w:val="24"/>
                <w:szCs w:val="24"/>
              </w:rPr>
              <w:t>International</w:t>
            </w:r>
          </w:p>
        </w:tc>
        <w:tc>
          <w:tcPr>
            <w:tcW w:w="2766" w:type="dxa"/>
            <w:tcBorders>
              <w:top w:val="single" w:sz="4" w:space="0" w:color="auto"/>
              <w:bottom w:val="single" w:sz="4" w:space="0" w:color="auto"/>
            </w:tcBorders>
          </w:tcPr>
          <w:p w14:paraId="2BB1FE06" w14:textId="70D48E6A" w:rsidR="00F2226B" w:rsidRPr="00F2226B" w:rsidRDefault="00F2226B" w:rsidP="00F2226B">
            <w:pPr>
              <w:spacing w:before="10"/>
              <w:ind w:left="39" w:firstLine="22"/>
              <w:rPr>
                <w:rFonts w:ascii="Arial" w:eastAsia="Calibri" w:hAnsi="Arial" w:cs="Arial"/>
                <w:b/>
                <w:bCs/>
                <w:sz w:val="24"/>
                <w:szCs w:val="24"/>
                <w:highlight w:val="green"/>
                <w:lang w:eastAsia="pt-BR"/>
              </w:rPr>
            </w:pPr>
            <w:r w:rsidRPr="00444161">
              <w:rPr>
                <w:rFonts w:ascii="Arial" w:hAnsi="Arial" w:cs="Arial"/>
                <w:sz w:val="24"/>
                <w:szCs w:val="24"/>
              </w:rPr>
              <w:t>It was related to all the objectives of this research (pachymetry, protocol and average time).</w:t>
            </w:r>
          </w:p>
        </w:tc>
        <w:tc>
          <w:tcPr>
            <w:tcW w:w="1741" w:type="dxa"/>
            <w:tcBorders>
              <w:top w:val="single" w:sz="4" w:space="0" w:color="auto"/>
              <w:bottom w:val="single" w:sz="4" w:space="0" w:color="auto"/>
            </w:tcBorders>
          </w:tcPr>
          <w:p w14:paraId="666AEB0B" w14:textId="046F1CA0" w:rsidR="00F2226B" w:rsidRPr="00444161" w:rsidRDefault="00F2226B" w:rsidP="00F2226B">
            <w:pPr>
              <w:spacing w:before="10"/>
              <w:ind w:left="39" w:firstLine="23"/>
              <w:jc w:val="center"/>
              <w:rPr>
                <w:rFonts w:ascii="Arial" w:eastAsia="Calibri" w:hAnsi="Arial" w:cs="Arial"/>
                <w:b/>
                <w:bCs/>
                <w:sz w:val="24"/>
                <w:szCs w:val="24"/>
                <w:lang w:eastAsia="pt-BR"/>
              </w:rPr>
            </w:pPr>
            <w:r w:rsidRPr="00444161">
              <w:rPr>
                <w:rFonts w:ascii="Arial" w:hAnsi="Arial" w:cs="Arial"/>
                <w:sz w:val="24"/>
                <w:szCs w:val="24"/>
              </w:rPr>
              <w:t>Narrative literature review</w:t>
            </w:r>
          </w:p>
        </w:tc>
        <w:tc>
          <w:tcPr>
            <w:tcW w:w="4422" w:type="dxa"/>
            <w:tcBorders>
              <w:top w:val="single" w:sz="4" w:space="0" w:color="auto"/>
              <w:bottom w:val="single" w:sz="4" w:space="0" w:color="auto"/>
            </w:tcBorders>
          </w:tcPr>
          <w:p w14:paraId="2EC7EE0C" w14:textId="1F7BBB6E" w:rsidR="00F2226B" w:rsidRPr="00F2226B" w:rsidRDefault="000478A5" w:rsidP="00F2226B">
            <w:pPr>
              <w:spacing w:before="10"/>
              <w:ind w:left="39" w:firstLine="18"/>
              <w:rPr>
                <w:rFonts w:ascii="Arial" w:eastAsia="Calibri" w:hAnsi="Arial" w:cs="Arial"/>
                <w:b/>
                <w:bCs/>
                <w:sz w:val="24"/>
                <w:szCs w:val="24"/>
                <w:highlight w:val="green"/>
                <w:lang w:eastAsia="pt-BR"/>
              </w:rPr>
            </w:pPr>
            <w:r w:rsidRPr="000478A5">
              <w:rPr>
                <w:rFonts w:ascii="Arial" w:hAnsi="Arial" w:cs="Arial"/>
                <w:sz w:val="24"/>
                <w:szCs w:val="24"/>
              </w:rPr>
              <w:t xml:space="preserve">"They reviewed studies on CXL complications, including corneal </w:t>
            </w:r>
            <w:proofErr w:type="gramStart"/>
            <w:r w:rsidR="00694B8A" w:rsidRPr="000478A5">
              <w:rPr>
                <w:rFonts w:ascii="Arial" w:hAnsi="Arial" w:cs="Arial"/>
                <w:i/>
                <w:sz w:val="24"/>
                <w:szCs w:val="24"/>
              </w:rPr>
              <w:t xml:space="preserve">melting </w:t>
            </w:r>
            <w:r w:rsidR="00F2226B" w:rsidRPr="000478A5">
              <w:rPr>
                <w:rFonts w:ascii="Arial" w:hAnsi="Arial" w:cs="Arial"/>
                <w:sz w:val="24"/>
                <w:szCs w:val="24"/>
              </w:rPr>
              <w:t>,</w:t>
            </w:r>
            <w:proofErr w:type="gramEnd"/>
            <w:r w:rsidR="00F2226B" w:rsidRPr="000478A5">
              <w:rPr>
                <w:rFonts w:ascii="Arial" w:hAnsi="Arial" w:cs="Arial"/>
                <w:sz w:val="24"/>
                <w:szCs w:val="24"/>
              </w:rPr>
              <w:t xml:space="preserve"> and identified a higher incidence in thin corneas and accelerated protocols, without quantitative values, in addition to highlighting the increased risk in pachymetry &lt;400 µm and suggesting </w:t>
            </w:r>
            <w:r w:rsidR="00F2226B" w:rsidRPr="000478A5">
              <w:rPr>
                <w:rFonts w:ascii="Arial" w:hAnsi="Arial" w:cs="Arial"/>
                <w:sz w:val="24"/>
                <w:szCs w:val="24"/>
              </w:rPr>
              <w:lastRenderedPageBreak/>
              <w:t>that the critical risk period is in the first few weeks."</w:t>
            </w:r>
          </w:p>
        </w:tc>
      </w:tr>
      <w:tr w:rsidR="00F2226B" w:rsidRPr="00F2226B" w14:paraId="768CA322" w14:textId="77777777" w:rsidTr="00BF4C30">
        <w:trPr>
          <w:trHeight w:val="20"/>
        </w:trPr>
        <w:tc>
          <w:tcPr>
            <w:tcW w:w="1418" w:type="dxa"/>
            <w:tcBorders>
              <w:top w:val="single" w:sz="4" w:space="0" w:color="auto"/>
              <w:bottom w:val="single" w:sz="4" w:space="0" w:color="auto"/>
            </w:tcBorders>
          </w:tcPr>
          <w:p w14:paraId="01C678B5" w14:textId="2295498B" w:rsidR="00F2226B" w:rsidRPr="00444161" w:rsidRDefault="00F2226B" w:rsidP="00F2226B">
            <w:pPr>
              <w:spacing w:before="10"/>
              <w:ind w:left="39" w:right="-112" w:hanging="3"/>
              <w:jc w:val="left"/>
              <w:rPr>
                <w:rFonts w:ascii="Arial" w:eastAsia="Calibri" w:hAnsi="Arial" w:cs="Arial"/>
                <w:b/>
                <w:bCs/>
                <w:sz w:val="24"/>
                <w:szCs w:val="24"/>
                <w:lang w:eastAsia="pt-BR"/>
              </w:rPr>
            </w:pPr>
            <w:r w:rsidRPr="00444161">
              <w:rPr>
                <w:rFonts w:ascii="Arial" w:hAnsi="Arial" w:cs="Arial"/>
                <w:sz w:val="24"/>
                <w:szCs w:val="24"/>
              </w:rPr>
              <w:lastRenderedPageBreak/>
              <w:t xml:space="preserve">Kilian </w:t>
            </w:r>
            <w:r w:rsidR="00EF7385" w:rsidRPr="00444161">
              <w:rPr>
                <w:rFonts w:ascii="Arial" w:hAnsi="Arial" w:cs="Arial"/>
                <w:i/>
                <w:sz w:val="24"/>
                <w:szCs w:val="24"/>
              </w:rPr>
              <w:t>et al.</w:t>
            </w:r>
          </w:p>
        </w:tc>
        <w:tc>
          <w:tcPr>
            <w:tcW w:w="1276" w:type="dxa"/>
            <w:tcBorders>
              <w:top w:val="single" w:sz="4" w:space="0" w:color="auto"/>
              <w:bottom w:val="single" w:sz="4" w:space="0" w:color="auto"/>
            </w:tcBorders>
          </w:tcPr>
          <w:p w14:paraId="36115EF1" w14:textId="6DB0B501" w:rsidR="00F2226B" w:rsidRPr="00444161" w:rsidRDefault="00F2226B" w:rsidP="00F2226B">
            <w:pPr>
              <w:spacing w:before="10"/>
              <w:ind w:left="39" w:right="36" w:firstLine="22"/>
              <w:jc w:val="left"/>
              <w:rPr>
                <w:rFonts w:ascii="Arial" w:eastAsia="Calibri" w:hAnsi="Arial" w:cs="Arial"/>
                <w:b/>
                <w:bCs/>
                <w:sz w:val="24"/>
                <w:szCs w:val="24"/>
                <w:lang w:eastAsia="pt-BR"/>
              </w:rPr>
            </w:pPr>
            <w:r w:rsidRPr="00444161">
              <w:rPr>
                <w:rFonts w:ascii="Arial" w:hAnsi="Arial" w:cs="Arial"/>
                <w:sz w:val="24"/>
                <w:szCs w:val="24"/>
              </w:rPr>
              <w:t>2024</w:t>
            </w:r>
          </w:p>
        </w:tc>
        <w:tc>
          <w:tcPr>
            <w:tcW w:w="1701" w:type="dxa"/>
            <w:tcBorders>
              <w:top w:val="single" w:sz="4" w:space="0" w:color="auto"/>
              <w:bottom w:val="single" w:sz="4" w:space="0" w:color="auto"/>
            </w:tcBorders>
          </w:tcPr>
          <w:p w14:paraId="53741D51" w14:textId="026DFD1E" w:rsidR="00F2226B" w:rsidRPr="00444161" w:rsidRDefault="00F2226B" w:rsidP="00F2226B">
            <w:pPr>
              <w:spacing w:before="10"/>
              <w:ind w:left="-108" w:firstLine="22"/>
              <w:jc w:val="center"/>
              <w:rPr>
                <w:rFonts w:ascii="Arial" w:eastAsia="Calibri" w:hAnsi="Arial" w:cs="Arial"/>
                <w:b/>
                <w:bCs/>
                <w:sz w:val="24"/>
                <w:szCs w:val="24"/>
                <w:lang w:eastAsia="pt-BR"/>
              </w:rPr>
            </w:pPr>
            <w:r w:rsidRPr="00444161">
              <w:rPr>
                <w:rFonts w:ascii="Arial" w:hAnsi="Arial" w:cs="Arial"/>
                <w:sz w:val="24"/>
                <w:szCs w:val="24"/>
              </w:rPr>
              <w:t>Nature</w:t>
            </w:r>
          </w:p>
        </w:tc>
        <w:tc>
          <w:tcPr>
            <w:tcW w:w="1843" w:type="dxa"/>
            <w:tcBorders>
              <w:top w:val="single" w:sz="4" w:space="0" w:color="auto"/>
              <w:bottom w:val="single" w:sz="4" w:space="0" w:color="auto"/>
            </w:tcBorders>
          </w:tcPr>
          <w:p w14:paraId="28958E22" w14:textId="5C52AA67" w:rsidR="00F2226B" w:rsidRPr="00444161" w:rsidRDefault="00F2226B" w:rsidP="00F2226B">
            <w:pPr>
              <w:spacing w:before="10"/>
              <w:ind w:left="39" w:firstLine="22"/>
              <w:jc w:val="center"/>
              <w:rPr>
                <w:rFonts w:ascii="Arial" w:eastAsia="Calibri" w:hAnsi="Arial" w:cs="Arial"/>
                <w:b/>
                <w:bCs/>
                <w:sz w:val="24"/>
                <w:szCs w:val="24"/>
                <w:lang w:eastAsia="pt-BR"/>
              </w:rPr>
            </w:pPr>
            <w:r w:rsidRPr="00444161">
              <w:rPr>
                <w:rFonts w:ascii="Arial" w:hAnsi="Arial" w:cs="Arial"/>
                <w:sz w:val="24"/>
                <w:szCs w:val="24"/>
              </w:rPr>
              <w:t>Retrospective case series</w:t>
            </w:r>
          </w:p>
        </w:tc>
        <w:tc>
          <w:tcPr>
            <w:tcW w:w="1276" w:type="dxa"/>
            <w:tcBorders>
              <w:top w:val="single" w:sz="4" w:space="0" w:color="auto"/>
              <w:bottom w:val="single" w:sz="4" w:space="0" w:color="auto"/>
            </w:tcBorders>
          </w:tcPr>
          <w:p w14:paraId="0C7A82CD" w14:textId="033AA208" w:rsidR="00F2226B" w:rsidRPr="00444161" w:rsidRDefault="00F2226B" w:rsidP="00F2226B">
            <w:pPr>
              <w:spacing w:before="10"/>
              <w:ind w:left="39" w:firstLine="22"/>
              <w:rPr>
                <w:rFonts w:ascii="Arial" w:eastAsia="Calibri" w:hAnsi="Arial" w:cs="Arial"/>
                <w:b/>
                <w:bCs/>
                <w:sz w:val="24"/>
                <w:szCs w:val="24"/>
                <w:lang w:eastAsia="pt-BR"/>
              </w:rPr>
            </w:pPr>
            <w:r w:rsidRPr="00444161">
              <w:rPr>
                <w:rFonts w:ascii="Arial" w:hAnsi="Arial" w:cs="Arial"/>
                <w:sz w:val="24"/>
                <w:szCs w:val="24"/>
              </w:rPr>
              <w:t>Austria</w:t>
            </w:r>
          </w:p>
        </w:tc>
        <w:tc>
          <w:tcPr>
            <w:tcW w:w="2766" w:type="dxa"/>
            <w:tcBorders>
              <w:top w:val="single" w:sz="4" w:space="0" w:color="auto"/>
              <w:bottom w:val="single" w:sz="4" w:space="0" w:color="auto"/>
            </w:tcBorders>
          </w:tcPr>
          <w:p w14:paraId="52F89AC9" w14:textId="54D1389D" w:rsidR="00F2226B" w:rsidRPr="00F2226B" w:rsidRDefault="00F2226B" w:rsidP="00F2226B">
            <w:pPr>
              <w:spacing w:before="10"/>
              <w:ind w:left="39" w:firstLine="22"/>
              <w:rPr>
                <w:rFonts w:ascii="Arial" w:eastAsia="Calibri" w:hAnsi="Arial" w:cs="Arial"/>
                <w:b/>
                <w:bCs/>
                <w:sz w:val="24"/>
                <w:szCs w:val="24"/>
                <w:highlight w:val="green"/>
                <w:lang w:eastAsia="pt-BR"/>
              </w:rPr>
            </w:pPr>
            <w:r w:rsidRPr="00444161">
              <w:rPr>
                <w:rFonts w:ascii="Arial" w:hAnsi="Arial" w:cs="Arial"/>
                <w:sz w:val="24"/>
                <w:szCs w:val="24"/>
              </w:rPr>
              <w:t xml:space="preserve">It was related to post- </w:t>
            </w:r>
            <w:r w:rsidR="00694B8A" w:rsidRPr="00444161">
              <w:rPr>
                <w:rFonts w:ascii="Arial" w:hAnsi="Arial" w:cs="Arial"/>
                <w:i/>
                <w:sz w:val="24"/>
                <w:szCs w:val="24"/>
              </w:rPr>
              <w:t xml:space="preserve">melting evolution </w:t>
            </w:r>
            <w:r w:rsidRPr="00444161">
              <w:rPr>
                <w:rFonts w:ascii="Arial" w:hAnsi="Arial" w:cs="Arial"/>
                <w:sz w:val="24"/>
                <w:szCs w:val="24"/>
              </w:rPr>
              <w:t>and associated therapies.</w:t>
            </w:r>
          </w:p>
        </w:tc>
        <w:tc>
          <w:tcPr>
            <w:tcW w:w="1741" w:type="dxa"/>
            <w:tcBorders>
              <w:top w:val="single" w:sz="4" w:space="0" w:color="auto"/>
              <w:bottom w:val="single" w:sz="4" w:space="0" w:color="auto"/>
            </w:tcBorders>
          </w:tcPr>
          <w:p w14:paraId="2656E038" w14:textId="0661D3CE" w:rsidR="00F2226B" w:rsidRPr="00444161" w:rsidRDefault="00F2226B" w:rsidP="00F2226B">
            <w:pPr>
              <w:spacing w:before="10"/>
              <w:ind w:left="39" w:firstLine="23"/>
              <w:jc w:val="center"/>
              <w:rPr>
                <w:rFonts w:ascii="Arial" w:eastAsia="Calibri" w:hAnsi="Arial" w:cs="Arial"/>
                <w:b/>
                <w:bCs/>
                <w:sz w:val="24"/>
                <w:szCs w:val="24"/>
                <w:lang w:eastAsia="pt-BR"/>
              </w:rPr>
            </w:pPr>
            <w:r w:rsidRPr="00444161">
              <w:rPr>
                <w:rFonts w:ascii="Arial" w:hAnsi="Arial" w:cs="Arial"/>
                <w:sz w:val="24"/>
                <w:szCs w:val="24"/>
              </w:rPr>
              <w:t>Retrospective study with 18 patients</w:t>
            </w:r>
          </w:p>
        </w:tc>
        <w:tc>
          <w:tcPr>
            <w:tcW w:w="4422" w:type="dxa"/>
            <w:tcBorders>
              <w:top w:val="single" w:sz="4" w:space="0" w:color="auto"/>
              <w:bottom w:val="single" w:sz="4" w:space="0" w:color="auto"/>
            </w:tcBorders>
          </w:tcPr>
          <w:p w14:paraId="6DE49DF5" w14:textId="50F67E7A" w:rsidR="00F2226B" w:rsidRPr="003039EA" w:rsidRDefault="003039EA" w:rsidP="00F2226B">
            <w:pPr>
              <w:spacing w:before="10"/>
              <w:ind w:left="39" w:firstLine="18"/>
              <w:rPr>
                <w:rFonts w:ascii="Arial" w:eastAsia="Calibri" w:hAnsi="Arial" w:cs="Arial"/>
                <w:b/>
                <w:bCs/>
                <w:sz w:val="24"/>
                <w:szCs w:val="24"/>
                <w:lang w:eastAsia="pt-BR"/>
              </w:rPr>
            </w:pPr>
            <w:r w:rsidRPr="003039EA">
              <w:rPr>
                <w:rFonts w:ascii="Arial" w:hAnsi="Arial" w:cs="Arial"/>
                <w:sz w:val="24"/>
                <w:szCs w:val="24"/>
              </w:rPr>
              <w:t xml:space="preserve">"The study evaluated 20 eyes treated with cross-linked corneal grafts after </w:t>
            </w:r>
            <w:proofErr w:type="gramStart"/>
            <w:r w:rsidR="00694B8A" w:rsidRPr="003039EA">
              <w:rPr>
                <w:rFonts w:ascii="Arial" w:hAnsi="Arial" w:cs="Arial"/>
                <w:i/>
                <w:sz w:val="24"/>
                <w:szCs w:val="24"/>
              </w:rPr>
              <w:t xml:space="preserve">melting </w:t>
            </w:r>
            <w:r w:rsidRPr="003039EA">
              <w:rPr>
                <w:rFonts w:ascii="Arial" w:hAnsi="Arial" w:cs="Arial"/>
                <w:sz w:val="24"/>
                <w:szCs w:val="24"/>
              </w:rPr>
              <w:t>,</w:t>
            </w:r>
            <w:proofErr w:type="gramEnd"/>
            <w:r w:rsidRPr="003039EA">
              <w:rPr>
                <w:rFonts w:ascii="Arial" w:hAnsi="Arial" w:cs="Arial"/>
                <w:sz w:val="24"/>
                <w:szCs w:val="24"/>
              </w:rPr>
              <w:t xml:space="preserve"> with a mean follow-up of 29.2 ± 15.8 months, showing a reduction in </w:t>
            </w:r>
            <w:r w:rsidR="00694B8A" w:rsidRPr="003039EA">
              <w:rPr>
                <w:rFonts w:ascii="Arial" w:hAnsi="Arial" w:cs="Arial"/>
                <w:i/>
                <w:sz w:val="24"/>
                <w:szCs w:val="24"/>
              </w:rPr>
              <w:t xml:space="preserve">melting recurrence </w:t>
            </w:r>
            <w:r w:rsidRPr="003039EA">
              <w:rPr>
                <w:rFonts w:ascii="Arial" w:hAnsi="Arial" w:cs="Arial"/>
                <w:sz w:val="24"/>
                <w:szCs w:val="24"/>
              </w:rPr>
              <w:t>. However, this study did not quantify primary incidence, but it did elucidate late outcomes and the risk of recurrence."</w:t>
            </w:r>
          </w:p>
        </w:tc>
      </w:tr>
      <w:tr w:rsidR="00F2226B" w:rsidRPr="00F2226B" w14:paraId="3CF2E06A" w14:textId="77777777" w:rsidTr="00BF4C30">
        <w:trPr>
          <w:trHeight w:val="20"/>
        </w:trPr>
        <w:tc>
          <w:tcPr>
            <w:tcW w:w="1418" w:type="dxa"/>
            <w:tcBorders>
              <w:top w:val="single" w:sz="4" w:space="0" w:color="auto"/>
              <w:bottom w:val="single" w:sz="4" w:space="0" w:color="auto"/>
            </w:tcBorders>
          </w:tcPr>
          <w:p w14:paraId="225AE844" w14:textId="49A46EAA" w:rsidR="00F2226B" w:rsidRPr="00444161" w:rsidRDefault="00F2226B" w:rsidP="00F2226B">
            <w:pPr>
              <w:spacing w:before="10"/>
              <w:ind w:left="39" w:right="-112" w:hanging="3"/>
              <w:jc w:val="left"/>
              <w:rPr>
                <w:rFonts w:ascii="Arial" w:eastAsia="Calibri" w:hAnsi="Arial" w:cs="Arial"/>
                <w:b/>
                <w:bCs/>
                <w:sz w:val="24"/>
                <w:szCs w:val="24"/>
                <w:lang w:eastAsia="pt-BR"/>
              </w:rPr>
            </w:pPr>
            <w:proofErr w:type="spellStart"/>
            <w:r w:rsidRPr="00444161">
              <w:rPr>
                <w:rFonts w:ascii="Arial" w:hAnsi="Arial" w:cs="Arial"/>
                <w:sz w:val="24"/>
                <w:szCs w:val="24"/>
              </w:rPr>
              <w:t>Kodavoor</w:t>
            </w:r>
            <w:proofErr w:type="spellEnd"/>
            <w:r w:rsidRPr="00444161">
              <w:rPr>
                <w:rFonts w:ascii="Arial" w:hAnsi="Arial" w:cs="Arial"/>
                <w:sz w:val="24"/>
                <w:szCs w:val="24"/>
              </w:rPr>
              <w:t xml:space="preserve"> </w:t>
            </w:r>
            <w:r w:rsidR="00EF7385" w:rsidRPr="00444161">
              <w:rPr>
                <w:rFonts w:ascii="Arial" w:hAnsi="Arial" w:cs="Arial"/>
                <w:i/>
                <w:sz w:val="24"/>
                <w:szCs w:val="24"/>
              </w:rPr>
              <w:t>et al.</w:t>
            </w:r>
          </w:p>
        </w:tc>
        <w:tc>
          <w:tcPr>
            <w:tcW w:w="1276" w:type="dxa"/>
            <w:tcBorders>
              <w:top w:val="single" w:sz="4" w:space="0" w:color="auto"/>
              <w:bottom w:val="single" w:sz="4" w:space="0" w:color="auto"/>
            </w:tcBorders>
          </w:tcPr>
          <w:p w14:paraId="148D30D4" w14:textId="2AE5C3A3" w:rsidR="00F2226B" w:rsidRPr="00444161" w:rsidRDefault="00F2226B" w:rsidP="00F2226B">
            <w:pPr>
              <w:spacing w:before="10"/>
              <w:ind w:left="39" w:right="36" w:firstLine="22"/>
              <w:jc w:val="left"/>
              <w:rPr>
                <w:rFonts w:ascii="Arial" w:eastAsia="Calibri" w:hAnsi="Arial" w:cs="Arial"/>
                <w:b/>
                <w:bCs/>
                <w:sz w:val="24"/>
                <w:szCs w:val="24"/>
                <w:lang w:eastAsia="pt-BR"/>
              </w:rPr>
            </w:pPr>
            <w:r w:rsidRPr="00444161">
              <w:rPr>
                <w:rFonts w:ascii="Arial" w:hAnsi="Arial" w:cs="Arial"/>
                <w:sz w:val="24"/>
                <w:szCs w:val="24"/>
              </w:rPr>
              <w:t>2024</w:t>
            </w:r>
          </w:p>
        </w:tc>
        <w:tc>
          <w:tcPr>
            <w:tcW w:w="1701" w:type="dxa"/>
            <w:tcBorders>
              <w:top w:val="single" w:sz="4" w:space="0" w:color="auto"/>
              <w:bottom w:val="single" w:sz="4" w:space="0" w:color="auto"/>
            </w:tcBorders>
          </w:tcPr>
          <w:p w14:paraId="0796EA5E" w14:textId="47DAC64C" w:rsidR="00F2226B" w:rsidRPr="00444161" w:rsidRDefault="00F2226B" w:rsidP="00F2226B">
            <w:pPr>
              <w:spacing w:before="10"/>
              <w:ind w:left="-108" w:firstLine="22"/>
              <w:jc w:val="center"/>
              <w:rPr>
                <w:rFonts w:ascii="Arial" w:eastAsia="Calibri" w:hAnsi="Arial" w:cs="Arial"/>
                <w:b/>
                <w:bCs/>
                <w:sz w:val="24"/>
                <w:szCs w:val="24"/>
                <w:lang w:eastAsia="pt-BR"/>
              </w:rPr>
            </w:pPr>
            <w:r w:rsidRPr="00444161">
              <w:rPr>
                <w:rFonts w:ascii="Arial" w:hAnsi="Arial" w:cs="Arial"/>
                <w:sz w:val="24"/>
                <w:szCs w:val="24"/>
              </w:rPr>
              <w:t>PMC</w:t>
            </w:r>
          </w:p>
        </w:tc>
        <w:tc>
          <w:tcPr>
            <w:tcW w:w="1843" w:type="dxa"/>
            <w:tcBorders>
              <w:top w:val="single" w:sz="4" w:space="0" w:color="auto"/>
              <w:bottom w:val="single" w:sz="4" w:space="0" w:color="auto"/>
            </w:tcBorders>
          </w:tcPr>
          <w:p w14:paraId="43A9D836" w14:textId="37940DEE" w:rsidR="00F2226B" w:rsidRPr="00444161" w:rsidRDefault="00F2226B" w:rsidP="00F2226B">
            <w:pPr>
              <w:spacing w:before="10"/>
              <w:ind w:left="39" w:firstLine="22"/>
              <w:jc w:val="center"/>
              <w:rPr>
                <w:rFonts w:ascii="Arial" w:eastAsia="Calibri" w:hAnsi="Arial" w:cs="Arial"/>
                <w:b/>
                <w:bCs/>
                <w:sz w:val="24"/>
                <w:szCs w:val="24"/>
                <w:lang w:eastAsia="pt-BR"/>
              </w:rPr>
            </w:pPr>
            <w:r w:rsidRPr="00444161">
              <w:rPr>
                <w:rFonts w:ascii="Arial" w:hAnsi="Arial" w:cs="Arial"/>
                <w:sz w:val="24"/>
                <w:szCs w:val="24"/>
              </w:rPr>
              <w:t>Observational study</w:t>
            </w:r>
          </w:p>
        </w:tc>
        <w:tc>
          <w:tcPr>
            <w:tcW w:w="1276" w:type="dxa"/>
            <w:tcBorders>
              <w:top w:val="single" w:sz="4" w:space="0" w:color="auto"/>
              <w:bottom w:val="single" w:sz="4" w:space="0" w:color="auto"/>
            </w:tcBorders>
          </w:tcPr>
          <w:p w14:paraId="65D87511" w14:textId="5110DCB3" w:rsidR="00F2226B" w:rsidRPr="00444161" w:rsidRDefault="00F2226B" w:rsidP="00F2226B">
            <w:pPr>
              <w:spacing w:before="10"/>
              <w:ind w:left="39" w:firstLine="22"/>
              <w:rPr>
                <w:rFonts w:ascii="Arial" w:eastAsia="Calibri" w:hAnsi="Arial" w:cs="Arial"/>
                <w:b/>
                <w:bCs/>
                <w:sz w:val="24"/>
                <w:szCs w:val="24"/>
                <w:lang w:eastAsia="pt-BR"/>
              </w:rPr>
            </w:pPr>
            <w:r w:rsidRPr="00444161">
              <w:rPr>
                <w:rFonts w:ascii="Arial" w:hAnsi="Arial" w:cs="Arial"/>
                <w:sz w:val="24"/>
                <w:szCs w:val="24"/>
              </w:rPr>
              <w:t>India</w:t>
            </w:r>
          </w:p>
        </w:tc>
        <w:tc>
          <w:tcPr>
            <w:tcW w:w="2766" w:type="dxa"/>
            <w:tcBorders>
              <w:top w:val="single" w:sz="4" w:space="0" w:color="auto"/>
              <w:bottom w:val="single" w:sz="4" w:space="0" w:color="auto"/>
            </w:tcBorders>
          </w:tcPr>
          <w:p w14:paraId="3C100B21" w14:textId="1DE6DDEA" w:rsidR="00F2226B" w:rsidRPr="00444161" w:rsidRDefault="00115CEE" w:rsidP="00F2226B">
            <w:pPr>
              <w:spacing w:before="10"/>
              <w:ind w:left="39" w:firstLine="22"/>
              <w:jc w:val="center"/>
              <w:rPr>
                <w:rFonts w:ascii="Arial" w:eastAsia="Calibri" w:hAnsi="Arial" w:cs="Arial"/>
                <w:b/>
                <w:bCs/>
                <w:sz w:val="24"/>
                <w:szCs w:val="24"/>
                <w:lang w:eastAsia="pt-BR"/>
              </w:rPr>
            </w:pPr>
            <w:r w:rsidRPr="00444161">
              <w:rPr>
                <w:rFonts w:ascii="Arial" w:hAnsi="Arial" w:cs="Arial"/>
                <w:sz w:val="24"/>
                <w:szCs w:val="24"/>
              </w:rPr>
              <w:t>It was</w:t>
            </w:r>
            <w:r w:rsidR="00444161" w:rsidRPr="00444161">
              <w:rPr>
                <w:rFonts w:ascii="Arial" w:hAnsi="Arial" w:cs="Arial"/>
                <w:sz w:val="24"/>
                <w:szCs w:val="24"/>
              </w:rPr>
              <w:t xml:space="preserve"> observed pachymetry and average post-CXL time.</w:t>
            </w:r>
          </w:p>
        </w:tc>
        <w:tc>
          <w:tcPr>
            <w:tcW w:w="1741" w:type="dxa"/>
            <w:tcBorders>
              <w:top w:val="single" w:sz="4" w:space="0" w:color="auto"/>
              <w:bottom w:val="single" w:sz="4" w:space="0" w:color="auto"/>
            </w:tcBorders>
          </w:tcPr>
          <w:p w14:paraId="4E87D7CA" w14:textId="027DA4B2" w:rsidR="00F2226B" w:rsidRPr="00444161" w:rsidRDefault="00F2226B" w:rsidP="00F2226B">
            <w:pPr>
              <w:spacing w:before="10"/>
              <w:ind w:left="39" w:firstLine="23"/>
              <w:jc w:val="center"/>
              <w:rPr>
                <w:rFonts w:ascii="Arial" w:eastAsia="Calibri" w:hAnsi="Arial" w:cs="Arial"/>
                <w:b/>
                <w:bCs/>
                <w:sz w:val="24"/>
                <w:szCs w:val="24"/>
                <w:lang w:eastAsia="pt-BR"/>
              </w:rPr>
            </w:pPr>
            <w:r w:rsidRPr="00444161">
              <w:rPr>
                <w:rFonts w:ascii="Arial" w:hAnsi="Arial" w:cs="Arial"/>
                <w:sz w:val="24"/>
                <w:szCs w:val="24"/>
              </w:rPr>
              <w:t>Retrospective study of 12 patients</w:t>
            </w:r>
          </w:p>
        </w:tc>
        <w:tc>
          <w:tcPr>
            <w:tcW w:w="4422" w:type="dxa"/>
            <w:tcBorders>
              <w:top w:val="single" w:sz="4" w:space="0" w:color="auto"/>
              <w:bottom w:val="single" w:sz="4" w:space="0" w:color="auto"/>
            </w:tcBorders>
          </w:tcPr>
          <w:p w14:paraId="4C6E4250" w14:textId="1A694CE6" w:rsidR="00F2226B" w:rsidRPr="003039EA" w:rsidRDefault="003039EA" w:rsidP="00F2226B">
            <w:pPr>
              <w:spacing w:before="10"/>
              <w:ind w:left="39" w:firstLine="18"/>
              <w:rPr>
                <w:rFonts w:ascii="Arial" w:eastAsia="Calibri" w:hAnsi="Arial" w:cs="Arial"/>
                <w:b/>
                <w:bCs/>
                <w:sz w:val="24"/>
                <w:szCs w:val="24"/>
                <w:lang w:eastAsia="pt-BR"/>
              </w:rPr>
            </w:pPr>
            <w:r w:rsidRPr="003039EA">
              <w:rPr>
                <w:rFonts w:ascii="Arial" w:hAnsi="Arial" w:cs="Arial"/>
                <w:sz w:val="24"/>
                <w:szCs w:val="24"/>
              </w:rPr>
              <w:t xml:space="preserve">"They evaluated 12 cases of thinning and </w:t>
            </w:r>
            <w:r w:rsidR="00694B8A" w:rsidRPr="003039EA">
              <w:rPr>
                <w:rFonts w:ascii="Arial" w:hAnsi="Arial" w:cs="Arial"/>
                <w:i/>
                <w:sz w:val="24"/>
                <w:szCs w:val="24"/>
              </w:rPr>
              <w:t xml:space="preserve">melting </w:t>
            </w:r>
            <w:r w:rsidR="00F2226B" w:rsidRPr="003039EA">
              <w:rPr>
                <w:rFonts w:ascii="Arial" w:hAnsi="Arial" w:cs="Arial"/>
                <w:sz w:val="24"/>
                <w:szCs w:val="24"/>
              </w:rPr>
              <w:t xml:space="preserve">after CXL, with pachymetry ranging from 212–351 µm, and the time between CXL and </w:t>
            </w:r>
            <w:r w:rsidR="00694B8A" w:rsidRPr="003039EA">
              <w:rPr>
                <w:rFonts w:ascii="Arial" w:hAnsi="Arial" w:cs="Arial"/>
                <w:i/>
                <w:sz w:val="24"/>
                <w:szCs w:val="24"/>
              </w:rPr>
              <w:t xml:space="preserve">melting </w:t>
            </w:r>
            <w:r w:rsidR="00F2226B" w:rsidRPr="003039EA">
              <w:rPr>
                <w:rFonts w:ascii="Arial" w:hAnsi="Arial" w:cs="Arial"/>
                <w:sz w:val="24"/>
                <w:szCs w:val="24"/>
              </w:rPr>
              <w:t>was 5 to 12 years, concluding that very thin corneas maintained a late risk of stromal degradation."</w:t>
            </w:r>
          </w:p>
        </w:tc>
      </w:tr>
      <w:tr w:rsidR="00F2226B" w:rsidRPr="00F2226B" w14:paraId="7A0516DB" w14:textId="77777777" w:rsidTr="00BF4C30">
        <w:trPr>
          <w:trHeight w:val="20"/>
        </w:trPr>
        <w:tc>
          <w:tcPr>
            <w:tcW w:w="1418" w:type="dxa"/>
            <w:tcBorders>
              <w:top w:val="single" w:sz="4" w:space="0" w:color="auto"/>
              <w:bottom w:val="single" w:sz="4" w:space="0" w:color="auto"/>
            </w:tcBorders>
          </w:tcPr>
          <w:p w14:paraId="4C9804D2" w14:textId="74F0FEE0" w:rsidR="00F2226B" w:rsidRPr="00444161" w:rsidRDefault="00F2226B" w:rsidP="006D7176">
            <w:pPr>
              <w:spacing w:before="10"/>
              <w:ind w:left="39" w:hanging="39"/>
              <w:jc w:val="left"/>
              <w:rPr>
                <w:rFonts w:ascii="Arial" w:eastAsia="Calibri" w:hAnsi="Arial" w:cs="Arial"/>
                <w:b/>
                <w:bCs/>
                <w:sz w:val="24"/>
                <w:szCs w:val="24"/>
                <w:lang w:eastAsia="pt-BR"/>
              </w:rPr>
            </w:pPr>
            <w:proofErr w:type="spellStart"/>
            <w:r w:rsidRPr="00444161">
              <w:rPr>
                <w:rFonts w:ascii="Arial" w:hAnsi="Arial" w:cs="Arial"/>
                <w:sz w:val="24"/>
                <w:szCs w:val="24"/>
              </w:rPr>
              <w:t>Tillmann</w:t>
            </w:r>
            <w:proofErr w:type="spellEnd"/>
            <w:r w:rsidRPr="00444161">
              <w:rPr>
                <w:rFonts w:ascii="Arial" w:hAnsi="Arial" w:cs="Arial"/>
                <w:sz w:val="24"/>
                <w:szCs w:val="24"/>
              </w:rPr>
              <w:t xml:space="preserve"> </w:t>
            </w:r>
            <w:r w:rsidR="00EF7385" w:rsidRPr="00444161">
              <w:rPr>
                <w:rFonts w:ascii="Arial" w:hAnsi="Arial" w:cs="Arial"/>
                <w:i/>
                <w:sz w:val="24"/>
                <w:szCs w:val="24"/>
              </w:rPr>
              <w:t>et al.</w:t>
            </w:r>
          </w:p>
        </w:tc>
        <w:tc>
          <w:tcPr>
            <w:tcW w:w="1276" w:type="dxa"/>
            <w:tcBorders>
              <w:top w:val="single" w:sz="4" w:space="0" w:color="auto"/>
              <w:bottom w:val="single" w:sz="4" w:space="0" w:color="auto"/>
            </w:tcBorders>
          </w:tcPr>
          <w:p w14:paraId="7EFDBC9C" w14:textId="18B40F97" w:rsidR="00F2226B" w:rsidRPr="00444161" w:rsidRDefault="00F2226B" w:rsidP="00F2226B">
            <w:pPr>
              <w:spacing w:before="10"/>
              <w:ind w:left="39" w:right="36" w:firstLine="22"/>
              <w:jc w:val="left"/>
              <w:rPr>
                <w:rFonts w:ascii="Arial" w:eastAsia="Calibri" w:hAnsi="Arial" w:cs="Arial"/>
                <w:b/>
                <w:bCs/>
                <w:sz w:val="24"/>
                <w:szCs w:val="24"/>
                <w:lang w:eastAsia="pt-BR"/>
              </w:rPr>
            </w:pPr>
            <w:r w:rsidRPr="00444161">
              <w:rPr>
                <w:rFonts w:ascii="Arial" w:hAnsi="Arial" w:cs="Arial"/>
                <w:sz w:val="24"/>
                <w:szCs w:val="24"/>
              </w:rPr>
              <w:t>2022</w:t>
            </w:r>
          </w:p>
        </w:tc>
        <w:tc>
          <w:tcPr>
            <w:tcW w:w="1701" w:type="dxa"/>
            <w:tcBorders>
              <w:top w:val="single" w:sz="4" w:space="0" w:color="auto"/>
              <w:bottom w:val="single" w:sz="4" w:space="0" w:color="auto"/>
            </w:tcBorders>
          </w:tcPr>
          <w:p w14:paraId="6739A215" w14:textId="3D57FCD7" w:rsidR="00F2226B" w:rsidRPr="00444161" w:rsidRDefault="00F2226B" w:rsidP="00F2226B">
            <w:pPr>
              <w:spacing w:before="10"/>
              <w:ind w:left="-108" w:firstLine="22"/>
              <w:jc w:val="center"/>
              <w:rPr>
                <w:rFonts w:ascii="Arial" w:eastAsia="Calibri" w:hAnsi="Arial" w:cs="Arial"/>
                <w:b/>
                <w:bCs/>
                <w:sz w:val="24"/>
                <w:szCs w:val="24"/>
                <w:lang w:eastAsia="pt-BR"/>
              </w:rPr>
            </w:pPr>
            <w:r w:rsidRPr="00444161">
              <w:rPr>
                <w:rFonts w:ascii="Arial" w:hAnsi="Arial" w:cs="Arial"/>
                <w:sz w:val="24"/>
                <w:szCs w:val="24"/>
              </w:rPr>
              <w:t>ScienceDirect</w:t>
            </w:r>
          </w:p>
        </w:tc>
        <w:tc>
          <w:tcPr>
            <w:tcW w:w="1843" w:type="dxa"/>
            <w:tcBorders>
              <w:top w:val="single" w:sz="4" w:space="0" w:color="auto"/>
              <w:bottom w:val="single" w:sz="4" w:space="0" w:color="auto"/>
            </w:tcBorders>
          </w:tcPr>
          <w:p w14:paraId="290BF1BF" w14:textId="4F061546" w:rsidR="00F2226B" w:rsidRPr="00444161" w:rsidRDefault="00F2226B" w:rsidP="00F2226B">
            <w:pPr>
              <w:spacing w:before="10"/>
              <w:ind w:left="39" w:firstLine="22"/>
              <w:jc w:val="center"/>
              <w:rPr>
                <w:rFonts w:ascii="Arial" w:eastAsia="Calibri" w:hAnsi="Arial" w:cs="Arial"/>
                <w:b/>
                <w:bCs/>
                <w:sz w:val="24"/>
                <w:szCs w:val="24"/>
                <w:lang w:eastAsia="pt-BR"/>
              </w:rPr>
            </w:pPr>
            <w:r w:rsidRPr="00444161">
              <w:rPr>
                <w:rFonts w:ascii="Arial" w:hAnsi="Arial" w:cs="Arial"/>
                <w:sz w:val="24"/>
                <w:szCs w:val="24"/>
              </w:rPr>
              <w:t>Case report</w:t>
            </w:r>
          </w:p>
        </w:tc>
        <w:tc>
          <w:tcPr>
            <w:tcW w:w="1276" w:type="dxa"/>
            <w:tcBorders>
              <w:top w:val="single" w:sz="4" w:space="0" w:color="auto"/>
              <w:bottom w:val="single" w:sz="4" w:space="0" w:color="auto"/>
            </w:tcBorders>
          </w:tcPr>
          <w:p w14:paraId="4A45F85D" w14:textId="1F3EAFAB" w:rsidR="00F2226B" w:rsidRPr="00444161" w:rsidRDefault="00F2226B" w:rsidP="00444161">
            <w:pPr>
              <w:spacing w:before="10"/>
              <w:ind w:left="39" w:right="-102" w:hanging="6"/>
              <w:rPr>
                <w:rFonts w:ascii="Arial" w:eastAsia="Calibri" w:hAnsi="Arial" w:cs="Arial"/>
                <w:b/>
                <w:bCs/>
                <w:sz w:val="24"/>
                <w:szCs w:val="24"/>
                <w:lang w:eastAsia="pt-BR"/>
              </w:rPr>
            </w:pPr>
            <w:r w:rsidRPr="00444161">
              <w:rPr>
                <w:rFonts w:ascii="Arial" w:hAnsi="Arial" w:cs="Arial"/>
                <w:sz w:val="24"/>
                <w:szCs w:val="24"/>
              </w:rPr>
              <w:t>Germany</w:t>
            </w:r>
          </w:p>
        </w:tc>
        <w:tc>
          <w:tcPr>
            <w:tcW w:w="2766" w:type="dxa"/>
            <w:tcBorders>
              <w:top w:val="single" w:sz="4" w:space="0" w:color="auto"/>
              <w:bottom w:val="single" w:sz="4" w:space="0" w:color="auto"/>
            </w:tcBorders>
          </w:tcPr>
          <w:p w14:paraId="7955E8AA" w14:textId="1CDC9F4D" w:rsidR="00F2226B" w:rsidRPr="00444161" w:rsidRDefault="00F2226B" w:rsidP="00F2226B">
            <w:pPr>
              <w:spacing w:before="10"/>
              <w:ind w:left="39" w:firstLine="22"/>
              <w:rPr>
                <w:rFonts w:ascii="Arial" w:eastAsia="Calibri" w:hAnsi="Arial" w:cs="Arial"/>
                <w:b/>
                <w:bCs/>
                <w:sz w:val="24"/>
                <w:szCs w:val="24"/>
                <w:lang w:eastAsia="pt-BR"/>
              </w:rPr>
            </w:pPr>
            <w:r w:rsidRPr="00444161">
              <w:rPr>
                <w:rFonts w:ascii="Arial" w:hAnsi="Arial" w:cs="Arial"/>
                <w:sz w:val="24"/>
                <w:szCs w:val="24"/>
              </w:rPr>
              <w:t>It was related to the central axis of occurrence and temporal analysis post-CXL.</w:t>
            </w:r>
          </w:p>
        </w:tc>
        <w:tc>
          <w:tcPr>
            <w:tcW w:w="1741" w:type="dxa"/>
            <w:tcBorders>
              <w:top w:val="single" w:sz="4" w:space="0" w:color="auto"/>
              <w:bottom w:val="single" w:sz="4" w:space="0" w:color="auto"/>
            </w:tcBorders>
          </w:tcPr>
          <w:p w14:paraId="6FCBBCA3" w14:textId="5256F888" w:rsidR="00F2226B" w:rsidRPr="00444161" w:rsidRDefault="00F2226B" w:rsidP="00F2226B">
            <w:pPr>
              <w:spacing w:before="10"/>
              <w:ind w:left="39" w:firstLine="23"/>
              <w:jc w:val="center"/>
              <w:rPr>
                <w:rFonts w:ascii="Arial" w:eastAsia="Calibri" w:hAnsi="Arial" w:cs="Arial"/>
                <w:b/>
                <w:bCs/>
                <w:sz w:val="24"/>
                <w:szCs w:val="24"/>
                <w:lang w:eastAsia="pt-BR"/>
              </w:rPr>
            </w:pPr>
            <w:r w:rsidRPr="00444161">
              <w:rPr>
                <w:rFonts w:ascii="Arial" w:hAnsi="Arial" w:cs="Arial"/>
                <w:sz w:val="24"/>
                <w:szCs w:val="24"/>
              </w:rPr>
              <w:t>Report of two clinical cases</w:t>
            </w:r>
          </w:p>
        </w:tc>
        <w:tc>
          <w:tcPr>
            <w:tcW w:w="4422" w:type="dxa"/>
            <w:tcBorders>
              <w:top w:val="single" w:sz="4" w:space="0" w:color="auto"/>
              <w:bottom w:val="single" w:sz="4" w:space="0" w:color="auto"/>
            </w:tcBorders>
          </w:tcPr>
          <w:p w14:paraId="7610B538" w14:textId="2276C6FD" w:rsidR="00F2226B" w:rsidRPr="003039EA" w:rsidRDefault="003039EA" w:rsidP="00F2226B">
            <w:pPr>
              <w:spacing w:before="10"/>
              <w:ind w:left="39" w:firstLine="18"/>
              <w:rPr>
                <w:rFonts w:ascii="Arial" w:eastAsia="Calibri" w:hAnsi="Arial" w:cs="Arial"/>
                <w:b/>
                <w:bCs/>
                <w:sz w:val="24"/>
                <w:szCs w:val="24"/>
                <w:lang w:eastAsia="pt-BR"/>
              </w:rPr>
            </w:pPr>
            <w:r w:rsidRPr="003039EA">
              <w:rPr>
                <w:rFonts w:ascii="Arial" w:hAnsi="Arial" w:cs="Arial"/>
                <w:sz w:val="24"/>
                <w:szCs w:val="24"/>
              </w:rPr>
              <w:t xml:space="preserve">"They described two cases of acute corneal </w:t>
            </w:r>
            <w:r w:rsidR="00694B8A" w:rsidRPr="003039EA">
              <w:rPr>
                <w:rFonts w:ascii="Arial" w:hAnsi="Arial" w:cs="Arial"/>
                <w:i/>
                <w:sz w:val="24"/>
                <w:szCs w:val="24"/>
              </w:rPr>
              <w:t xml:space="preserve">melting </w:t>
            </w:r>
            <w:r w:rsidR="00F2226B" w:rsidRPr="003039EA">
              <w:rPr>
                <w:rFonts w:ascii="Arial" w:hAnsi="Arial" w:cs="Arial"/>
                <w:sz w:val="24"/>
                <w:szCs w:val="24"/>
              </w:rPr>
              <w:t>and perforation after standard CXL, with events occurring days after treatment, suggesting that the risk is higher in the early postoperative period; however, although population prevalence was not calculated, it reinforced the need for early surveillance."</w:t>
            </w:r>
          </w:p>
        </w:tc>
      </w:tr>
      <w:tr w:rsidR="00F2226B" w:rsidRPr="00F2226B" w14:paraId="405E1520" w14:textId="77777777" w:rsidTr="00BF4C30">
        <w:trPr>
          <w:trHeight w:val="20"/>
        </w:trPr>
        <w:tc>
          <w:tcPr>
            <w:tcW w:w="1418" w:type="dxa"/>
            <w:tcBorders>
              <w:top w:val="single" w:sz="4" w:space="0" w:color="auto"/>
              <w:bottom w:val="single" w:sz="4" w:space="0" w:color="auto"/>
            </w:tcBorders>
          </w:tcPr>
          <w:p w14:paraId="636F0232" w14:textId="22FDBE57" w:rsidR="00F2226B" w:rsidRPr="00444161" w:rsidRDefault="00F2226B" w:rsidP="00F2226B">
            <w:pPr>
              <w:spacing w:before="10"/>
              <w:ind w:left="-106" w:right="-112" w:firstLine="37"/>
              <w:jc w:val="left"/>
              <w:rPr>
                <w:rFonts w:ascii="Arial" w:eastAsia="Calibri" w:hAnsi="Arial" w:cs="Arial"/>
                <w:b/>
                <w:bCs/>
                <w:sz w:val="24"/>
                <w:szCs w:val="24"/>
                <w:lang w:eastAsia="pt-BR"/>
              </w:rPr>
            </w:pPr>
            <w:r w:rsidRPr="00444161">
              <w:rPr>
                <w:rFonts w:ascii="Arial" w:hAnsi="Arial" w:cs="Arial"/>
                <w:sz w:val="24"/>
                <w:szCs w:val="24"/>
              </w:rPr>
              <w:t xml:space="preserve">Wu </w:t>
            </w:r>
            <w:r w:rsidR="00EF7385" w:rsidRPr="00444161">
              <w:rPr>
                <w:rFonts w:ascii="Arial" w:hAnsi="Arial" w:cs="Arial"/>
                <w:i/>
                <w:sz w:val="24"/>
                <w:szCs w:val="24"/>
              </w:rPr>
              <w:t>et al.</w:t>
            </w:r>
          </w:p>
        </w:tc>
        <w:tc>
          <w:tcPr>
            <w:tcW w:w="1276" w:type="dxa"/>
            <w:tcBorders>
              <w:top w:val="single" w:sz="4" w:space="0" w:color="auto"/>
              <w:bottom w:val="single" w:sz="4" w:space="0" w:color="auto"/>
            </w:tcBorders>
          </w:tcPr>
          <w:p w14:paraId="34B431C6" w14:textId="5A77986C" w:rsidR="00F2226B" w:rsidRPr="00444161" w:rsidRDefault="00F2226B" w:rsidP="00F2226B">
            <w:pPr>
              <w:spacing w:before="10"/>
              <w:ind w:left="39" w:right="36" w:firstLine="22"/>
              <w:jc w:val="left"/>
              <w:rPr>
                <w:rFonts w:ascii="Arial" w:eastAsia="Calibri" w:hAnsi="Arial" w:cs="Arial"/>
                <w:b/>
                <w:bCs/>
                <w:sz w:val="24"/>
                <w:szCs w:val="24"/>
                <w:lang w:eastAsia="pt-BR"/>
              </w:rPr>
            </w:pPr>
            <w:r w:rsidRPr="00444161">
              <w:rPr>
                <w:rFonts w:ascii="Arial" w:hAnsi="Arial" w:cs="Arial"/>
                <w:sz w:val="24"/>
                <w:szCs w:val="24"/>
              </w:rPr>
              <w:t>2021</w:t>
            </w:r>
          </w:p>
        </w:tc>
        <w:tc>
          <w:tcPr>
            <w:tcW w:w="1701" w:type="dxa"/>
            <w:tcBorders>
              <w:top w:val="single" w:sz="4" w:space="0" w:color="auto"/>
              <w:bottom w:val="single" w:sz="4" w:space="0" w:color="auto"/>
            </w:tcBorders>
          </w:tcPr>
          <w:p w14:paraId="7FE64B33" w14:textId="7FC27F8D" w:rsidR="00F2226B" w:rsidRPr="00444161" w:rsidRDefault="00F2226B" w:rsidP="00F2226B">
            <w:pPr>
              <w:spacing w:before="10"/>
              <w:ind w:left="-108" w:right="-104" w:firstLine="22"/>
              <w:jc w:val="center"/>
              <w:rPr>
                <w:rFonts w:ascii="Arial" w:eastAsia="Calibri" w:hAnsi="Arial" w:cs="Arial"/>
                <w:b/>
                <w:bCs/>
                <w:sz w:val="24"/>
                <w:szCs w:val="24"/>
                <w:lang w:eastAsia="pt-BR"/>
              </w:rPr>
            </w:pPr>
            <w:r w:rsidRPr="00444161">
              <w:rPr>
                <w:rFonts w:ascii="Arial" w:hAnsi="Arial" w:cs="Arial"/>
                <w:sz w:val="24"/>
                <w:szCs w:val="24"/>
              </w:rPr>
              <w:t>Frontiers in Pharmacology</w:t>
            </w:r>
          </w:p>
        </w:tc>
        <w:tc>
          <w:tcPr>
            <w:tcW w:w="1843" w:type="dxa"/>
            <w:tcBorders>
              <w:top w:val="single" w:sz="4" w:space="0" w:color="auto"/>
              <w:bottom w:val="single" w:sz="4" w:space="0" w:color="auto"/>
            </w:tcBorders>
          </w:tcPr>
          <w:p w14:paraId="40DFCE4D" w14:textId="31C4C59E" w:rsidR="00F2226B" w:rsidRPr="00444161" w:rsidRDefault="00F2226B" w:rsidP="00F2226B">
            <w:pPr>
              <w:spacing w:before="10"/>
              <w:ind w:left="39" w:firstLine="22"/>
              <w:jc w:val="center"/>
              <w:rPr>
                <w:rFonts w:ascii="Arial" w:eastAsia="Calibri" w:hAnsi="Arial" w:cs="Arial"/>
                <w:b/>
                <w:bCs/>
                <w:sz w:val="24"/>
                <w:szCs w:val="24"/>
                <w:lang w:eastAsia="pt-BR"/>
              </w:rPr>
            </w:pPr>
            <w:r w:rsidRPr="00444161">
              <w:rPr>
                <w:rFonts w:ascii="Arial" w:hAnsi="Arial" w:cs="Arial"/>
                <w:sz w:val="24"/>
                <w:szCs w:val="24"/>
              </w:rPr>
              <w:t>Theoretical review</w:t>
            </w:r>
          </w:p>
        </w:tc>
        <w:tc>
          <w:tcPr>
            <w:tcW w:w="1276" w:type="dxa"/>
            <w:tcBorders>
              <w:top w:val="single" w:sz="4" w:space="0" w:color="auto"/>
              <w:bottom w:val="single" w:sz="4" w:space="0" w:color="auto"/>
            </w:tcBorders>
          </w:tcPr>
          <w:p w14:paraId="64FA33AA" w14:textId="3809C5AF" w:rsidR="00F2226B" w:rsidRPr="00444161" w:rsidRDefault="00F2226B" w:rsidP="00444161">
            <w:pPr>
              <w:spacing w:before="10"/>
              <w:ind w:left="39" w:firstLine="22"/>
              <w:jc w:val="center"/>
              <w:rPr>
                <w:rFonts w:ascii="Arial" w:eastAsia="Calibri" w:hAnsi="Arial" w:cs="Arial"/>
                <w:b/>
                <w:bCs/>
                <w:sz w:val="24"/>
                <w:szCs w:val="24"/>
                <w:lang w:eastAsia="pt-BR"/>
              </w:rPr>
            </w:pPr>
            <w:r w:rsidRPr="00444161">
              <w:rPr>
                <w:rFonts w:ascii="Arial" w:hAnsi="Arial" w:cs="Arial"/>
                <w:sz w:val="24"/>
                <w:szCs w:val="24"/>
              </w:rPr>
              <w:t>International</w:t>
            </w:r>
          </w:p>
        </w:tc>
        <w:tc>
          <w:tcPr>
            <w:tcW w:w="2766" w:type="dxa"/>
            <w:tcBorders>
              <w:top w:val="single" w:sz="4" w:space="0" w:color="auto"/>
              <w:bottom w:val="single" w:sz="4" w:space="0" w:color="auto"/>
            </w:tcBorders>
          </w:tcPr>
          <w:p w14:paraId="6D9CFCD6" w14:textId="429949A4" w:rsidR="00F2226B" w:rsidRPr="00F2226B" w:rsidRDefault="00444161" w:rsidP="00444161">
            <w:pPr>
              <w:spacing w:before="10"/>
              <w:ind w:left="39" w:firstLine="22"/>
              <w:jc w:val="center"/>
              <w:rPr>
                <w:rFonts w:ascii="Arial" w:eastAsia="Calibri" w:hAnsi="Arial" w:cs="Arial"/>
                <w:b/>
                <w:bCs/>
                <w:sz w:val="24"/>
                <w:szCs w:val="24"/>
                <w:highlight w:val="green"/>
                <w:lang w:eastAsia="pt-BR"/>
              </w:rPr>
            </w:pPr>
            <w:r w:rsidRPr="00444161">
              <w:rPr>
                <w:rFonts w:ascii="Arial" w:hAnsi="Arial" w:cs="Arial"/>
                <w:sz w:val="24"/>
                <w:szCs w:val="24"/>
              </w:rPr>
              <w:t>The objective was to understand pathophysiological mechanisms.</w:t>
            </w:r>
          </w:p>
        </w:tc>
        <w:tc>
          <w:tcPr>
            <w:tcW w:w="1741" w:type="dxa"/>
            <w:tcBorders>
              <w:top w:val="single" w:sz="4" w:space="0" w:color="auto"/>
              <w:bottom w:val="single" w:sz="4" w:space="0" w:color="auto"/>
            </w:tcBorders>
          </w:tcPr>
          <w:p w14:paraId="3A9C9627" w14:textId="2065A8BC" w:rsidR="00F2226B" w:rsidRPr="00444161" w:rsidRDefault="00F2226B" w:rsidP="00F2226B">
            <w:pPr>
              <w:spacing w:before="10"/>
              <w:ind w:left="39" w:firstLine="23"/>
              <w:jc w:val="center"/>
              <w:rPr>
                <w:rFonts w:ascii="Arial" w:eastAsia="Calibri" w:hAnsi="Arial" w:cs="Arial"/>
                <w:b/>
                <w:bCs/>
                <w:sz w:val="24"/>
                <w:szCs w:val="24"/>
                <w:lang w:eastAsia="pt-BR"/>
              </w:rPr>
            </w:pPr>
            <w:r w:rsidRPr="00444161">
              <w:rPr>
                <w:rFonts w:ascii="Arial" w:hAnsi="Arial" w:cs="Arial"/>
                <w:sz w:val="24"/>
                <w:szCs w:val="24"/>
              </w:rPr>
              <w:t>Biomolecular review</w:t>
            </w:r>
          </w:p>
        </w:tc>
        <w:tc>
          <w:tcPr>
            <w:tcW w:w="4422" w:type="dxa"/>
            <w:tcBorders>
              <w:top w:val="single" w:sz="4" w:space="0" w:color="auto"/>
              <w:bottom w:val="single" w:sz="4" w:space="0" w:color="auto"/>
            </w:tcBorders>
          </w:tcPr>
          <w:p w14:paraId="24392C1D" w14:textId="2467EB07" w:rsidR="00F2226B" w:rsidRPr="00F2226B" w:rsidRDefault="003039EA" w:rsidP="00F2226B">
            <w:pPr>
              <w:spacing w:before="10"/>
              <w:ind w:left="39" w:firstLine="18"/>
              <w:rPr>
                <w:rFonts w:ascii="Arial" w:eastAsia="Calibri" w:hAnsi="Arial" w:cs="Arial"/>
                <w:b/>
                <w:bCs/>
                <w:sz w:val="24"/>
                <w:szCs w:val="24"/>
                <w:highlight w:val="green"/>
                <w:lang w:eastAsia="pt-BR"/>
              </w:rPr>
            </w:pPr>
            <w:r w:rsidRPr="003039EA">
              <w:rPr>
                <w:rFonts w:ascii="Arial" w:hAnsi="Arial" w:cs="Arial"/>
                <w:sz w:val="24"/>
                <w:szCs w:val="24"/>
              </w:rPr>
              <w:t xml:space="preserve">"They presented a review on the role of metalloproteinases and oxidative stress in post-CXL corneal </w:t>
            </w:r>
            <w:proofErr w:type="gramStart"/>
            <w:r w:rsidR="00694B8A" w:rsidRPr="003039EA">
              <w:rPr>
                <w:rFonts w:ascii="Arial" w:hAnsi="Arial" w:cs="Arial"/>
                <w:i/>
                <w:sz w:val="24"/>
                <w:szCs w:val="24"/>
              </w:rPr>
              <w:t xml:space="preserve">melting </w:t>
            </w:r>
            <w:r w:rsidR="00F2226B" w:rsidRPr="003039EA">
              <w:rPr>
                <w:rFonts w:ascii="Arial" w:hAnsi="Arial" w:cs="Arial"/>
                <w:sz w:val="24"/>
                <w:szCs w:val="24"/>
              </w:rPr>
              <w:t>,</w:t>
            </w:r>
            <w:proofErr w:type="gramEnd"/>
            <w:r w:rsidR="00F2226B" w:rsidRPr="003039EA">
              <w:rPr>
                <w:rFonts w:ascii="Arial" w:hAnsi="Arial" w:cs="Arial"/>
                <w:sz w:val="24"/>
                <w:szCs w:val="24"/>
              </w:rPr>
              <w:t xml:space="preserve"> in addition to demonstrating that accelerated </w:t>
            </w:r>
            <w:r w:rsidR="00F2226B" w:rsidRPr="003039EA">
              <w:rPr>
                <w:rFonts w:ascii="Arial" w:hAnsi="Arial" w:cs="Arial"/>
                <w:sz w:val="24"/>
                <w:szCs w:val="24"/>
              </w:rPr>
              <w:lastRenderedPageBreak/>
              <w:t xml:space="preserve">protocols amplified stromal collagen degradation, as well as elucidating the biochemical basis of the association between protocol and risk. </w:t>
            </w:r>
            <w:r w:rsidRPr="003039EA">
              <w:rPr>
                <w:rFonts w:ascii="Arial" w:hAnsi="Arial" w:cs="Arial"/>
                <w:sz w:val="24"/>
                <w:szCs w:val="24"/>
              </w:rPr>
              <w:t>"</w:t>
            </w:r>
          </w:p>
        </w:tc>
      </w:tr>
      <w:tr w:rsidR="00F2226B" w:rsidRPr="00F2226B" w14:paraId="796BCD7C" w14:textId="77777777" w:rsidTr="00BF4C30">
        <w:trPr>
          <w:trHeight w:val="20"/>
        </w:trPr>
        <w:tc>
          <w:tcPr>
            <w:tcW w:w="1418" w:type="dxa"/>
            <w:tcBorders>
              <w:top w:val="single" w:sz="4" w:space="0" w:color="auto"/>
              <w:bottom w:val="single" w:sz="4" w:space="0" w:color="auto"/>
            </w:tcBorders>
          </w:tcPr>
          <w:p w14:paraId="745D3620" w14:textId="58A6CF64" w:rsidR="00F2226B" w:rsidRPr="00444161" w:rsidRDefault="00F2226B" w:rsidP="00F2226B">
            <w:pPr>
              <w:spacing w:before="10"/>
              <w:ind w:left="-106" w:right="-112" w:firstLine="37"/>
              <w:jc w:val="left"/>
              <w:rPr>
                <w:rFonts w:ascii="Arial" w:eastAsia="Calibri" w:hAnsi="Arial" w:cs="Arial"/>
                <w:b/>
                <w:bCs/>
                <w:sz w:val="24"/>
                <w:szCs w:val="24"/>
                <w:lang w:eastAsia="pt-BR"/>
              </w:rPr>
            </w:pPr>
            <w:r w:rsidRPr="00444161">
              <w:rPr>
                <w:rFonts w:ascii="Arial" w:hAnsi="Arial" w:cs="Arial"/>
                <w:sz w:val="24"/>
                <w:szCs w:val="24"/>
              </w:rPr>
              <w:lastRenderedPageBreak/>
              <w:t xml:space="preserve">Chiu </w:t>
            </w:r>
            <w:r w:rsidR="00EF7385" w:rsidRPr="00444161">
              <w:rPr>
                <w:rFonts w:ascii="Arial" w:hAnsi="Arial" w:cs="Arial"/>
                <w:i/>
                <w:sz w:val="24"/>
                <w:szCs w:val="24"/>
              </w:rPr>
              <w:t>et al.</w:t>
            </w:r>
          </w:p>
        </w:tc>
        <w:tc>
          <w:tcPr>
            <w:tcW w:w="1276" w:type="dxa"/>
            <w:tcBorders>
              <w:top w:val="single" w:sz="4" w:space="0" w:color="auto"/>
              <w:bottom w:val="single" w:sz="4" w:space="0" w:color="auto"/>
            </w:tcBorders>
          </w:tcPr>
          <w:p w14:paraId="36F27119" w14:textId="2A439EBE" w:rsidR="00F2226B" w:rsidRPr="00444161" w:rsidRDefault="00F2226B" w:rsidP="00F2226B">
            <w:pPr>
              <w:spacing w:before="10"/>
              <w:ind w:left="39" w:right="36" w:firstLine="22"/>
              <w:jc w:val="left"/>
              <w:rPr>
                <w:rFonts w:ascii="Arial" w:eastAsia="Calibri" w:hAnsi="Arial" w:cs="Arial"/>
                <w:b/>
                <w:bCs/>
                <w:sz w:val="24"/>
                <w:szCs w:val="24"/>
                <w:lang w:eastAsia="pt-BR"/>
              </w:rPr>
            </w:pPr>
            <w:r w:rsidRPr="00444161">
              <w:rPr>
                <w:rFonts w:ascii="Arial" w:hAnsi="Arial" w:cs="Arial"/>
                <w:sz w:val="24"/>
                <w:szCs w:val="24"/>
              </w:rPr>
              <w:t>2017</w:t>
            </w:r>
          </w:p>
        </w:tc>
        <w:tc>
          <w:tcPr>
            <w:tcW w:w="1701" w:type="dxa"/>
            <w:tcBorders>
              <w:top w:val="single" w:sz="4" w:space="0" w:color="auto"/>
              <w:bottom w:val="single" w:sz="4" w:space="0" w:color="auto"/>
            </w:tcBorders>
          </w:tcPr>
          <w:p w14:paraId="0DE98F25" w14:textId="173C71EB" w:rsidR="00F2226B" w:rsidRPr="00444161" w:rsidRDefault="00F2226B" w:rsidP="00F2226B">
            <w:pPr>
              <w:spacing w:before="10"/>
              <w:ind w:left="-108" w:right="-104" w:firstLine="22"/>
              <w:jc w:val="center"/>
              <w:rPr>
                <w:rFonts w:ascii="Arial" w:eastAsia="Calibri" w:hAnsi="Arial" w:cs="Arial"/>
                <w:b/>
                <w:bCs/>
                <w:sz w:val="24"/>
                <w:szCs w:val="24"/>
                <w:lang w:eastAsia="pt-BR"/>
              </w:rPr>
            </w:pPr>
            <w:r w:rsidRPr="00444161">
              <w:rPr>
                <w:rFonts w:ascii="Arial" w:hAnsi="Arial" w:cs="Arial"/>
                <w:sz w:val="24"/>
                <w:szCs w:val="24"/>
              </w:rPr>
              <w:t>Canadian Journal of Ophthalmology</w:t>
            </w:r>
          </w:p>
        </w:tc>
        <w:tc>
          <w:tcPr>
            <w:tcW w:w="1843" w:type="dxa"/>
            <w:tcBorders>
              <w:top w:val="single" w:sz="4" w:space="0" w:color="auto"/>
              <w:bottom w:val="single" w:sz="4" w:space="0" w:color="auto"/>
            </w:tcBorders>
          </w:tcPr>
          <w:p w14:paraId="542547B8" w14:textId="46B4402D" w:rsidR="00F2226B" w:rsidRPr="00444161" w:rsidRDefault="00F2226B" w:rsidP="00F2226B">
            <w:pPr>
              <w:spacing w:before="10"/>
              <w:ind w:left="39" w:firstLine="22"/>
              <w:jc w:val="center"/>
              <w:rPr>
                <w:rFonts w:ascii="Arial" w:eastAsia="Calibri" w:hAnsi="Arial" w:cs="Arial"/>
                <w:b/>
                <w:bCs/>
                <w:sz w:val="24"/>
                <w:szCs w:val="24"/>
                <w:lang w:eastAsia="pt-BR"/>
              </w:rPr>
            </w:pPr>
            <w:r w:rsidRPr="00444161">
              <w:rPr>
                <w:rFonts w:ascii="Arial" w:hAnsi="Arial" w:cs="Arial"/>
                <w:sz w:val="24"/>
                <w:szCs w:val="24"/>
              </w:rPr>
              <w:t>Case report</w:t>
            </w:r>
          </w:p>
        </w:tc>
        <w:tc>
          <w:tcPr>
            <w:tcW w:w="1276" w:type="dxa"/>
            <w:tcBorders>
              <w:top w:val="single" w:sz="4" w:space="0" w:color="auto"/>
              <w:bottom w:val="single" w:sz="4" w:space="0" w:color="auto"/>
            </w:tcBorders>
          </w:tcPr>
          <w:p w14:paraId="353D5069" w14:textId="2E329603" w:rsidR="00F2226B" w:rsidRPr="00444161" w:rsidRDefault="00F2226B" w:rsidP="00F2226B">
            <w:pPr>
              <w:spacing w:before="10"/>
              <w:ind w:firstLine="22"/>
              <w:rPr>
                <w:rFonts w:ascii="Arial" w:eastAsia="Calibri" w:hAnsi="Arial" w:cs="Arial"/>
                <w:b/>
                <w:bCs/>
                <w:sz w:val="24"/>
                <w:szCs w:val="24"/>
                <w:lang w:eastAsia="pt-BR"/>
              </w:rPr>
            </w:pPr>
            <w:r w:rsidRPr="00444161">
              <w:rPr>
                <w:rFonts w:ascii="Arial" w:hAnsi="Arial" w:cs="Arial"/>
                <w:sz w:val="24"/>
                <w:szCs w:val="24"/>
              </w:rPr>
              <w:t>Canada</w:t>
            </w:r>
          </w:p>
        </w:tc>
        <w:tc>
          <w:tcPr>
            <w:tcW w:w="2766" w:type="dxa"/>
            <w:tcBorders>
              <w:top w:val="single" w:sz="4" w:space="0" w:color="auto"/>
              <w:bottom w:val="single" w:sz="4" w:space="0" w:color="auto"/>
            </w:tcBorders>
          </w:tcPr>
          <w:p w14:paraId="0C429B92" w14:textId="51188A37" w:rsidR="00F2226B" w:rsidRPr="00444161" w:rsidRDefault="00444161" w:rsidP="00F2226B">
            <w:pPr>
              <w:spacing w:before="10"/>
              <w:ind w:left="39" w:firstLine="22"/>
              <w:jc w:val="center"/>
              <w:rPr>
                <w:rFonts w:ascii="Arial" w:eastAsia="Calibri" w:hAnsi="Arial" w:cs="Arial"/>
                <w:b/>
                <w:bCs/>
                <w:sz w:val="24"/>
                <w:szCs w:val="24"/>
                <w:lang w:eastAsia="pt-BR"/>
              </w:rPr>
            </w:pPr>
            <w:r w:rsidRPr="00444161">
              <w:rPr>
                <w:rFonts w:ascii="Arial" w:hAnsi="Arial" w:cs="Arial"/>
                <w:sz w:val="24"/>
                <w:szCs w:val="24"/>
              </w:rPr>
              <w:t>The objective was to understand and determine the risk interval.</w:t>
            </w:r>
          </w:p>
        </w:tc>
        <w:tc>
          <w:tcPr>
            <w:tcW w:w="1741" w:type="dxa"/>
            <w:tcBorders>
              <w:top w:val="single" w:sz="4" w:space="0" w:color="auto"/>
              <w:bottom w:val="single" w:sz="4" w:space="0" w:color="auto"/>
            </w:tcBorders>
          </w:tcPr>
          <w:p w14:paraId="7256F831" w14:textId="3B66FCFA" w:rsidR="00F2226B" w:rsidRPr="00444161" w:rsidRDefault="00F2226B" w:rsidP="00F2226B">
            <w:pPr>
              <w:spacing w:before="10"/>
              <w:ind w:left="39" w:firstLine="23"/>
              <w:jc w:val="center"/>
              <w:rPr>
                <w:rFonts w:ascii="Arial" w:eastAsia="Calibri" w:hAnsi="Arial" w:cs="Arial"/>
                <w:b/>
                <w:bCs/>
                <w:sz w:val="24"/>
                <w:szCs w:val="24"/>
                <w:lang w:eastAsia="pt-BR"/>
              </w:rPr>
            </w:pPr>
            <w:r w:rsidRPr="00444161">
              <w:rPr>
                <w:rFonts w:ascii="Arial" w:hAnsi="Arial" w:cs="Arial"/>
                <w:sz w:val="24"/>
                <w:szCs w:val="24"/>
              </w:rPr>
              <w:t>Clinical case report</w:t>
            </w:r>
          </w:p>
        </w:tc>
        <w:tc>
          <w:tcPr>
            <w:tcW w:w="4422" w:type="dxa"/>
            <w:tcBorders>
              <w:top w:val="single" w:sz="4" w:space="0" w:color="auto"/>
              <w:bottom w:val="single" w:sz="4" w:space="0" w:color="auto"/>
            </w:tcBorders>
          </w:tcPr>
          <w:p w14:paraId="0D7C6CEF" w14:textId="4C96CF81" w:rsidR="00F2226B" w:rsidRPr="00F2226B" w:rsidRDefault="003039EA" w:rsidP="00F2226B">
            <w:pPr>
              <w:spacing w:before="10"/>
              <w:ind w:left="39" w:firstLine="18"/>
              <w:rPr>
                <w:rFonts w:ascii="Arial" w:eastAsia="Calibri" w:hAnsi="Arial" w:cs="Arial"/>
                <w:b/>
                <w:bCs/>
                <w:sz w:val="24"/>
                <w:szCs w:val="24"/>
                <w:highlight w:val="green"/>
                <w:lang w:eastAsia="pt-BR"/>
              </w:rPr>
            </w:pPr>
            <w:r w:rsidRPr="003039EA">
              <w:rPr>
                <w:rFonts w:ascii="Arial" w:hAnsi="Arial" w:cs="Arial"/>
                <w:sz w:val="24"/>
                <w:szCs w:val="24"/>
              </w:rPr>
              <w:t xml:space="preserve">"An adult patient experienced </w:t>
            </w:r>
            <w:r w:rsidR="00694B8A" w:rsidRPr="003039EA">
              <w:rPr>
                <w:rFonts w:ascii="Arial" w:hAnsi="Arial" w:cs="Arial"/>
                <w:i/>
                <w:sz w:val="24"/>
                <w:szCs w:val="24"/>
              </w:rPr>
              <w:t xml:space="preserve">melting </w:t>
            </w:r>
            <w:r w:rsidR="00F2226B" w:rsidRPr="003039EA">
              <w:rPr>
                <w:rFonts w:ascii="Arial" w:hAnsi="Arial" w:cs="Arial"/>
                <w:sz w:val="24"/>
                <w:szCs w:val="24"/>
              </w:rPr>
              <w:t>after an accelerated protocol, with an event occurring months after CXL, showing that the risk may persist beyond the initial period, but the study did not present numerical prevalence data."</w:t>
            </w:r>
          </w:p>
        </w:tc>
      </w:tr>
      <w:tr w:rsidR="00F2226B" w:rsidRPr="00F2226B" w14:paraId="35A8E051" w14:textId="77777777" w:rsidTr="00BF4C30">
        <w:trPr>
          <w:trHeight w:val="20"/>
        </w:trPr>
        <w:tc>
          <w:tcPr>
            <w:tcW w:w="1418" w:type="dxa"/>
            <w:tcBorders>
              <w:top w:val="single" w:sz="4" w:space="0" w:color="auto"/>
              <w:bottom w:val="single" w:sz="4" w:space="0" w:color="auto"/>
            </w:tcBorders>
          </w:tcPr>
          <w:p w14:paraId="37B704E2" w14:textId="4A913358" w:rsidR="00F2226B" w:rsidRPr="00444161" w:rsidRDefault="00F2226B" w:rsidP="006D7176">
            <w:pPr>
              <w:spacing w:before="10"/>
              <w:ind w:left="-106" w:firstLine="0"/>
              <w:jc w:val="left"/>
              <w:rPr>
                <w:rFonts w:ascii="Arial" w:eastAsia="Calibri" w:hAnsi="Arial" w:cs="Arial"/>
                <w:b/>
                <w:bCs/>
                <w:sz w:val="24"/>
                <w:szCs w:val="24"/>
                <w:lang w:eastAsia="pt-BR"/>
              </w:rPr>
            </w:pPr>
            <w:r w:rsidRPr="00444161">
              <w:rPr>
                <w:rFonts w:ascii="Arial" w:hAnsi="Arial" w:cs="Arial"/>
                <w:sz w:val="24"/>
                <w:szCs w:val="24"/>
              </w:rPr>
              <w:t xml:space="preserve">Mohamed-Noriega </w:t>
            </w:r>
            <w:r w:rsidR="00EF7385" w:rsidRPr="00444161">
              <w:rPr>
                <w:rFonts w:ascii="Arial" w:hAnsi="Arial" w:cs="Arial"/>
                <w:i/>
                <w:sz w:val="24"/>
                <w:szCs w:val="24"/>
              </w:rPr>
              <w:t>et al.</w:t>
            </w:r>
          </w:p>
        </w:tc>
        <w:tc>
          <w:tcPr>
            <w:tcW w:w="1276" w:type="dxa"/>
            <w:tcBorders>
              <w:top w:val="single" w:sz="4" w:space="0" w:color="auto"/>
              <w:bottom w:val="single" w:sz="4" w:space="0" w:color="auto"/>
            </w:tcBorders>
          </w:tcPr>
          <w:p w14:paraId="03432F3E" w14:textId="65E3A0A7" w:rsidR="00F2226B" w:rsidRPr="00444161" w:rsidRDefault="00F2226B" w:rsidP="00F2226B">
            <w:pPr>
              <w:spacing w:before="10"/>
              <w:ind w:left="39" w:right="36" w:firstLine="22"/>
              <w:jc w:val="left"/>
              <w:rPr>
                <w:rFonts w:ascii="Arial" w:eastAsia="Calibri" w:hAnsi="Arial" w:cs="Arial"/>
                <w:b/>
                <w:bCs/>
                <w:sz w:val="24"/>
                <w:szCs w:val="24"/>
                <w:lang w:eastAsia="pt-BR"/>
              </w:rPr>
            </w:pPr>
            <w:r w:rsidRPr="00444161">
              <w:rPr>
                <w:rFonts w:ascii="Arial" w:hAnsi="Arial" w:cs="Arial"/>
                <w:sz w:val="24"/>
                <w:szCs w:val="24"/>
              </w:rPr>
              <w:t>2016</w:t>
            </w:r>
          </w:p>
        </w:tc>
        <w:tc>
          <w:tcPr>
            <w:tcW w:w="1701" w:type="dxa"/>
            <w:tcBorders>
              <w:top w:val="single" w:sz="4" w:space="0" w:color="auto"/>
              <w:bottom w:val="single" w:sz="4" w:space="0" w:color="auto"/>
            </w:tcBorders>
          </w:tcPr>
          <w:p w14:paraId="43780888" w14:textId="05D2B7B1" w:rsidR="00F2226B" w:rsidRPr="00444161" w:rsidRDefault="00F2226B" w:rsidP="00F2226B">
            <w:pPr>
              <w:spacing w:before="10"/>
              <w:ind w:left="-108" w:firstLine="22"/>
              <w:jc w:val="center"/>
              <w:rPr>
                <w:rFonts w:ascii="Arial" w:eastAsia="Calibri" w:hAnsi="Arial" w:cs="Arial"/>
                <w:b/>
                <w:bCs/>
                <w:sz w:val="24"/>
                <w:szCs w:val="24"/>
                <w:lang w:eastAsia="pt-BR"/>
              </w:rPr>
            </w:pPr>
            <w:r w:rsidRPr="00444161">
              <w:rPr>
                <w:rFonts w:ascii="Arial" w:hAnsi="Arial" w:cs="Arial"/>
                <w:sz w:val="24"/>
                <w:szCs w:val="24"/>
              </w:rPr>
              <w:t>Semantic Scholar</w:t>
            </w:r>
          </w:p>
        </w:tc>
        <w:tc>
          <w:tcPr>
            <w:tcW w:w="1843" w:type="dxa"/>
            <w:tcBorders>
              <w:top w:val="single" w:sz="4" w:space="0" w:color="auto"/>
              <w:bottom w:val="single" w:sz="4" w:space="0" w:color="auto"/>
            </w:tcBorders>
          </w:tcPr>
          <w:p w14:paraId="6EEC2D49" w14:textId="798F2F64" w:rsidR="00F2226B" w:rsidRPr="00444161" w:rsidRDefault="00F2226B" w:rsidP="00F2226B">
            <w:pPr>
              <w:spacing w:before="10"/>
              <w:ind w:left="39" w:firstLine="22"/>
              <w:jc w:val="center"/>
              <w:rPr>
                <w:rFonts w:ascii="Arial" w:eastAsia="Calibri" w:hAnsi="Arial" w:cs="Arial"/>
                <w:b/>
                <w:bCs/>
                <w:sz w:val="24"/>
                <w:szCs w:val="24"/>
                <w:lang w:eastAsia="pt-BR"/>
              </w:rPr>
            </w:pPr>
            <w:r w:rsidRPr="00444161">
              <w:rPr>
                <w:rFonts w:ascii="Arial" w:hAnsi="Arial" w:cs="Arial"/>
                <w:sz w:val="24"/>
                <w:szCs w:val="24"/>
              </w:rPr>
              <w:t>Case report</w:t>
            </w:r>
          </w:p>
        </w:tc>
        <w:tc>
          <w:tcPr>
            <w:tcW w:w="1276" w:type="dxa"/>
            <w:tcBorders>
              <w:top w:val="single" w:sz="4" w:space="0" w:color="auto"/>
              <w:bottom w:val="single" w:sz="4" w:space="0" w:color="auto"/>
            </w:tcBorders>
          </w:tcPr>
          <w:p w14:paraId="75923F3B" w14:textId="5165C216" w:rsidR="00F2226B" w:rsidRPr="00444161" w:rsidRDefault="00F2226B" w:rsidP="00F2226B">
            <w:pPr>
              <w:spacing w:before="10"/>
              <w:ind w:left="39" w:right="-102" w:firstLine="22"/>
              <w:rPr>
                <w:rFonts w:ascii="Arial" w:eastAsia="Calibri" w:hAnsi="Arial" w:cs="Arial"/>
                <w:b/>
                <w:bCs/>
                <w:sz w:val="24"/>
                <w:szCs w:val="24"/>
                <w:lang w:eastAsia="pt-BR"/>
              </w:rPr>
            </w:pPr>
            <w:r w:rsidRPr="00444161">
              <w:rPr>
                <w:rFonts w:ascii="Arial" w:hAnsi="Arial" w:cs="Arial"/>
                <w:sz w:val="24"/>
                <w:szCs w:val="24"/>
              </w:rPr>
              <w:t>Mexico</w:t>
            </w:r>
          </w:p>
        </w:tc>
        <w:tc>
          <w:tcPr>
            <w:tcW w:w="2766" w:type="dxa"/>
            <w:tcBorders>
              <w:top w:val="single" w:sz="4" w:space="0" w:color="auto"/>
              <w:bottom w:val="single" w:sz="4" w:space="0" w:color="auto"/>
            </w:tcBorders>
          </w:tcPr>
          <w:p w14:paraId="0690A210" w14:textId="310CB272" w:rsidR="00F2226B" w:rsidRPr="00444161" w:rsidRDefault="00444161" w:rsidP="00F2226B">
            <w:pPr>
              <w:spacing w:before="10"/>
              <w:ind w:left="39" w:firstLine="22"/>
              <w:rPr>
                <w:rFonts w:ascii="Arial" w:eastAsia="Calibri" w:hAnsi="Arial" w:cs="Arial"/>
                <w:b/>
                <w:bCs/>
                <w:sz w:val="24"/>
                <w:szCs w:val="24"/>
                <w:lang w:eastAsia="pt-BR"/>
              </w:rPr>
            </w:pPr>
            <w:r w:rsidRPr="00444161">
              <w:rPr>
                <w:rFonts w:ascii="Arial" w:hAnsi="Arial" w:cs="Arial"/>
                <w:sz w:val="24"/>
                <w:szCs w:val="24"/>
              </w:rPr>
              <w:t>It was related to the axis on pachymetry and risk time.</w:t>
            </w:r>
          </w:p>
        </w:tc>
        <w:tc>
          <w:tcPr>
            <w:tcW w:w="1741" w:type="dxa"/>
            <w:tcBorders>
              <w:top w:val="single" w:sz="4" w:space="0" w:color="auto"/>
              <w:bottom w:val="single" w:sz="4" w:space="0" w:color="auto"/>
            </w:tcBorders>
          </w:tcPr>
          <w:p w14:paraId="75A5FB61" w14:textId="40AC997D" w:rsidR="00F2226B" w:rsidRPr="00444161" w:rsidRDefault="00F2226B" w:rsidP="00F2226B">
            <w:pPr>
              <w:spacing w:before="10"/>
              <w:ind w:left="39" w:firstLine="23"/>
              <w:jc w:val="center"/>
              <w:rPr>
                <w:rFonts w:ascii="Arial" w:eastAsia="Calibri" w:hAnsi="Arial" w:cs="Arial"/>
                <w:b/>
                <w:bCs/>
                <w:sz w:val="24"/>
                <w:szCs w:val="24"/>
                <w:lang w:eastAsia="pt-BR"/>
              </w:rPr>
            </w:pPr>
            <w:r w:rsidRPr="00444161">
              <w:rPr>
                <w:rFonts w:ascii="Arial" w:hAnsi="Arial" w:cs="Arial"/>
                <w:sz w:val="24"/>
                <w:szCs w:val="24"/>
              </w:rPr>
              <w:t>Case report</w:t>
            </w:r>
          </w:p>
        </w:tc>
        <w:tc>
          <w:tcPr>
            <w:tcW w:w="4422" w:type="dxa"/>
            <w:tcBorders>
              <w:top w:val="single" w:sz="4" w:space="0" w:color="auto"/>
              <w:bottom w:val="single" w:sz="4" w:space="0" w:color="auto"/>
            </w:tcBorders>
          </w:tcPr>
          <w:p w14:paraId="7BA9A196" w14:textId="0BA987C0" w:rsidR="00F2226B" w:rsidRPr="00F2226B" w:rsidRDefault="003039EA" w:rsidP="00F2226B">
            <w:pPr>
              <w:spacing w:before="10"/>
              <w:ind w:left="39" w:firstLine="18"/>
              <w:rPr>
                <w:rFonts w:ascii="Arial" w:eastAsia="Calibri" w:hAnsi="Arial" w:cs="Arial"/>
                <w:b/>
                <w:bCs/>
                <w:sz w:val="24"/>
                <w:szCs w:val="24"/>
                <w:highlight w:val="green"/>
                <w:lang w:eastAsia="pt-BR"/>
              </w:rPr>
            </w:pPr>
            <w:r w:rsidRPr="003039EA">
              <w:rPr>
                <w:rFonts w:ascii="Arial" w:hAnsi="Arial" w:cs="Arial"/>
                <w:sz w:val="24"/>
                <w:szCs w:val="24"/>
              </w:rPr>
              <w:t xml:space="preserve">“They reported a diabetic patient with keratoconus and a thin cornea (212–351 µm) who presented with </w:t>
            </w:r>
            <w:r w:rsidR="00694B8A" w:rsidRPr="003039EA">
              <w:rPr>
                <w:rFonts w:ascii="Arial" w:hAnsi="Arial" w:cs="Arial"/>
                <w:i/>
                <w:sz w:val="24"/>
                <w:szCs w:val="24"/>
              </w:rPr>
              <w:t xml:space="preserve">melting </w:t>
            </w:r>
            <w:r w:rsidR="00F2226B" w:rsidRPr="003039EA">
              <w:rPr>
                <w:rFonts w:ascii="Arial" w:hAnsi="Arial" w:cs="Arial"/>
                <w:sz w:val="24"/>
                <w:szCs w:val="24"/>
              </w:rPr>
              <w:t>weeks after CXL, and also highlighted that systemic diseases and corneas sub-400 increased vulnerability, with an event occurring within the first month, reinforcing the initial risk.”</w:t>
            </w:r>
          </w:p>
        </w:tc>
      </w:tr>
      <w:tr w:rsidR="00F2226B" w:rsidRPr="00F2226B" w14:paraId="01DF874F" w14:textId="77777777" w:rsidTr="00BF4C30">
        <w:trPr>
          <w:trHeight w:val="20"/>
        </w:trPr>
        <w:tc>
          <w:tcPr>
            <w:tcW w:w="1418" w:type="dxa"/>
            <w:tcBorders>
              <w:top w:val="single" w:sz="4" w:space="0" w:color="auto"/>
              <w:bottom w:val="single" w:sz="4" w:space="0" w:color="auto"/>
            </w:tcBorders>
          </w:tcPr>
          <w:p w14:paraId="2AB261C3" w14:textId="1A3DC24A" w:rsidR="00F2226B" w:rsidRPr="00444161" w:rsidRDefault="00F2226B" w:rsidP="006D7176">
            <w:pPr>
              <w:spacing w:before="10"/>
              <w:ind w:hanging="106"/>
              <w:jc w:val="left"/>
              <w:rPr>
                <w:rFonts w:ascii="Arial" w:eastAsia="Arial" w:hAnsi="Arial" w:cs="Arial"/>
                <w:b/>
                <w:sz w:val="24"/>
                <w:szCs w:val="24"/>
                <w:lang w:eastAsia="pt-BR"/>
              </w:rPr>
            </w:pPr>
            <w:proofErr w:type="spellStart"/>
            <w:r w:rsidRPr="00444161">
              <w:rPr>
                <w:rFonts w:ascii="Arial" w:hAnsi="Arial" w:cs="Arial"/>
                <w:sz w:val="24"/>
                <w:szCs w:val="24"/>
              </w:rPr>
              <w:t>Kocak</w:t>
            </w:r>
            <w:proofErr w:type="spellEnd"/>
            <w:r w:rsidRPr="00444161">
              <w:rPr>
                <w:rFonts w:ascii="Arial" w:hAnsi="Arial" w:cs="Arial"/>
                <w:sz w:val="24"/>
                <w:szCs w:val="24"/>
              </w:rPr>
              <w:t xml:space="preserve"> </w:t>
            </w:r>
            <w:r w:rsidR="00EF7385" w:rsidRPr="00444161">
              <w:rPr>
                <w:rFonts w:ascii="Arial" w:hAnsi="Arial" w:cs="Arial"/>
                <w:i/>
                <w:sz w:val="24"/>
                <w:szCs w:val="24"/>
              </w:rPr>
              <w:t>et al.</w:t>
            </w:r>
          </w:p>
        </w:tc>
        <w:tc>
          <w:tcPr>
            <w:tcW w:w="1276" w:type="dxa"/>
            <w:tcBorders>
              <w:top w:val="single" w:sz="4" w:space="0" w:color="auto"/>
              <w:bottom w:val="single" w:sz="4" w:space="0" w:color="auto"/>
            </w:tcBorders>
          </w:tcPr>
          <w:p w14:paraId="185D439E" w14:textId="56B0DEC7" w:rsidR="00F2226B" w:rsidRPr="00444161" w:rsidRDefault="00F2226B" w:rsidP="00F2226B">
            <w:pPr>
              <w:spacing w:before="10"/>
              <w:ind w:right="353" w:firstLine="22"/>
              <w:jc w:val="left"/>
              <w:rPr>
                <w:rFonts w:ascii="Arial" w:eastAsia="Arial" w:hAnsi="Arial" w:cs="Arial"/>
                <w:b/>
                <w:sz w:val="24"/>
                <w:szCs w:val="24"/>
                <w:lang w:eastAsia="pt-BR"/>
              </w:rPr>
            </w:pPr>
            <w:r w:rsidRPr="00444161">
              <w:rPr>
                <w:rFonts w:ascii="Arial" w:hAnsi="Arial" w:cs="Arial"/>
                <w:sz w:val="24"/>
                <w:szCs w:val="24"/>
              </w:rPr>
              <w:t>2015</w:t>
            </w:r>
          </w:p>
        </w:tc>
        <w:tc>
          <w:tcPr>
            <w:tcW w:w="1701" w:type="dxa"/>
            <w:tcBorders>
              <w:top w:val="single" w:sz="4" w:space="0" w:color="auto"/>
              <w:bottom w:val="single" w:sz="4" w:space="0" w:color="auto"/>
            </w:tcBorders>
          </w:tcPr>
          <w:p w14:paraId="4CF7CCB4" w14:textId="19DE05FC" w:rsidR="00F2226B" w:rsidRPr="00444161" w:rsidRDefault="00F2226B" w:rsidP="00F2226B">
            <w:pPr>
              <w:spacing w:before="10"/>
              <w:ind w:left="-108" w:firstLine="22"/>
              <w:jc w:val="center"/>
              <w:rPr>
                <w:rFonts w:ascii="Arial" w:eastAsia="Arial" w:hAnsi="Arial" w:cs="Arial"/>
                <w:b/>
                <w:sz w:val="24"/>
                <w:szCs w:val="24"/>
                <w:lang w:eastAsia="pt-BR"/>
              </w:rPr>
            </w:pPr>
            <w:r w:rsidRPr="00444161">
              <w:rPr>
                <w:rFonts w:ascii="Arial" w:hAnsi="Arial" w:cs="Arial"/>
                <w:sz w:val="24"/>
                <w:szCs w:val="24"/>
              </w:rPr>
              <w:t>ScienceDirect</w:t>
            </w:r>
          </w:p>
        </w:tc>
        <w:tc>
          <w:tcPr>
            <w:tcW w:w="1843" w:type="dxa"/>
            <w:tcBorders>
              <w:top w:val="single" w:sz="4" w:space="0" w:color="auto"/>
              <w:bottom w:val="single" w:sz="4" w:space="0" w:color="auto"/>
            </w:tcBorders>
          </w:tcPr>
          <w:p w14:paraId="5974FA18" w14:textId="7259EE72" w:rsidR="00F2226B" w:rsidRPr="00444161" w:rsidRDefault="00F2226B" w:rsidP="00F2226B">
            <w:pPr>
              <w:spacing w:before="10"/>
              <w:ind w:left="39" w:firstLine="22"/>
              <w:jc w:val="center"/>
              <w:rPr>
                <w:rFonts w:ascii="Arial" w:eastAsia="Arial" w:hAnsi="Arial" w:cs="Arial"/>
                <w:b/>
                <w:sz w:val="24"/>
                <w:szCs w:val="24"/>
                <w:lang w:eastAsia="pt-BR"/>
              </w:rPr>
            </w:pPr>
            <w:r w:rsidRPr="00444161">
              <w:rPr>
                <w:rFonts w:ascii="Arial" w:hAnsi="Arial" w:cs="Arial"/>
                <w:sz w:val="24"/>
                <w:szCs w:val="24"/>
              </w:rPr>
              <w:t>Case report</w:t>
            </w:r>
          </w:p>
        </w:tc>
        <w:tc>
          <w:tcPr>
            <w:tcW w:w="1276" w:type="dxa"/>
            <w:tcBorders>
              <w:top w:val="single" w:sz="4" w:space="0" w:color="auto"/>
              <w:bottom w:val="single" w:sz="4" w:space="0" w:color="auto"/>
            </w:tcBorders>
          </w:tcPr>
          <w:p w14:paraId="77AB495A" w14:textId="2B3D0140" w:rsidR="00F2226B" w:rsidRPr="00444161" w:rsidRDefault="00F2226B" w:rsidP="00F2226B">
            <w:pPr>
              <w:spacing w:before="10"/>
              <w:ind w:left="39" w:firstLine="22"/>
              <w:rPr>
                <w:rFonts w:ascii="Arial" w:eastAsia="Arial" w:hAnsi="Arial" w:cs="Arial"/>
                <w:b/>
                <w:sz w:val="24"/>
                <w:szCs w:val="24"/>
                <w:lang w:eastAsia="pt-BR"/>
              </w:rPr>
            </w:pPr>
            <w:proofErr w:type="spellStart"/>
            <w:r w:rsidRPr="00444161">
              <w:rPr>
                <w:rFonts w:ascii="Arial" w:hAnsi="Arial" w:cs="Arial"/>
                <w:sz w:val="24"/>
                <w:szCs w:val="24"/>
              </w:rPr>
              <w:t>Türkiye</w:t>
            </w:r>
            <w:proofErr w:type="spellEnd"/>
          </w:p>
        </w:tc>
        <w:tc>
          <w:tcPr>
            <w:tcW w:w="2766" w:type="dxa"/>
            <w:tcBorders>
              <w:top w:val="single" w:sz="4" w:space="0" w:color="auto"/>
              <w:bottom w:val="single" w:sz="4" w:space="0" w:color="auto"/>
            </w:tcBorders>
          </w:tcPr>
          <w:p w14:paraId="0129EB59" w14:textId="029F9912" w:rsidR="00F2226B" w:rsidRPr="00444161" w:rsidRDefault="00444161" w:rsidP="00F2226B">
            <w:pPr>
              <w:spacing w:before="10"/>
              <w:ind w:left="39" w:firstLine="22"/>
              <w:rPr>
                <w:rFonts w:ascii="Arial" w:eastAsia="Arial" w:hAnsi="Arial" w:cs="Arial"/>
                <w:b/>
                <w:sz w:val="24"/>
                <w:szCs w:val="24"/>
                <w:lang w:eastAsia="pt-BR"/>
              </w:rPr>
            </w:pPr>
            <w:r w:rsidRPr="00444161">
              <w:rPr>
                <w:rFonts w:ascii="Arial" w:hAnsi="Arial" w:cs="Arial"/>
                <w:sz w:val="24"/>
                <w:szCs w:val="24"/>
              </w:rPr>
              <w:t>The objective was to observe pachymetry and safety.</w:t>
            </w:r>
          </w:p>
        </w:tc>
        <w:tc>
          <w:tcPr>
            <w:tcW w:w="1741" w:type="dxa"/>
            <w:tcBorders>
              <w:top w:val="single" w:sz="4" w:space="0" w:color="auto"/>
              <w:bottom w:val="single" w:sz="4" w:space="0" w:color="auto"/>
            </w:tcBorders>
          </w:tcPr>
          <w:p w14:paraId="40366D4E" w14:textId="01F9201A" w:rsidR="00F2226B" w:rsidRPr="003039EA" w:rsidRDefault="00F2226B" w:rsidP="00F2226B">
            <w:pPr>
              <w:spacing w:before="10"/>
              <w:ind w:left="39" w:firstLine="23"/>
              <w:jc w:val="center"/>
              <w:rPr>
                <w:rFonts w:ascii="Arial" w:eastAsia="Arial" w:hAnsi="Arial" w:cs="Arial"/>
                <w:b/>
                <w:color w:val="FF0000"/>
                <w:sz w:val="24"/>
                <w:szCs w:val="24"/>
                <w:lang w:eastAsia="pt-BR"/>
              </w:rPr>
            </w:pPr>
            <w:r w:rsidRPr="003039EA">
              <w:rPr>
                <w:rFonts w:ascii="Arial" w:hAnsi="Arial" w:cs="Arial"/>
                <w:sz w:val="24"/>
                <w:szCs w:val="24"/>
              </w:rPr>
              <w:t>Case report</w:t>
            </w:r>
          </w:p>
        </w:tc>
        <w:tc>
          <w:tcPr>
            <w:tcW w:w="4422" w:type="dxa"/>
            <w:tcBorders>
              <w:top w:val="single" w:sz="4" w:space="0" w:color="auto"/>
              <w:bottom w:val="single" w:sz="4" w:space="0" w:color="auto"/>
            </w:tcBorders>
          </w:tcPr>
          <w:p w14:paraId="030C171E" w14:textId="1FEAE623" w:rsidR="00F2226B" w:rsidRPr="003039EA" w:rsidRDefault="003039EA" w:rsidP="00F2226B">
            <w:pPr>
              <w:ind w:firstLine="0"/>
              <w:rPr>
                <w:rFonts w:ascii="Arial" w:hAnsi="Arial" w:cs="Arial"/>
                <w:color w:val="000000" w:themeColor="text1"/>
                <w:sz w:val="24"/>
                <w:szCs w:val="24"/>
              </w:rPr>
            </w:pPr>
            <w:r w:rsidRPr="003039EA">
              <w:rPr>
                <w:rFonts w:ascii="Arial" w:hAnsi="Arial" w:cs="Arial"/>
                <w:sz w:val="24"/>
                <w:szCs w:val="24"/>
              </w:rPr>
              <w:t xml:space="preserve">"They reported </w:t>
            </w:r>
            <w:r w:rsidR="00694B8A" w:rsidRPr="003039EA">
              <w:rPr>
                <w:rFonts w:ascii="Arial" w:hAnsi="Arial" w:cs="Arial"/>
                <w:i/>
                <w:sz w:val="24"/>
                <w:szCs w:val="24"/>
              </w:rPr>
              <w:t xml:space="preserve">melting </w:t>
            </w:r>
            <w:r w:rsidR="00F2226B" w:rsidRPr="003039EA">
              <w:rPr>
                <w:rFonts w:ascii="Arial" w:hAnsi="Arial" w:cs="Arial"/>
                <w:sz w:val="24"/>
                <w:szCs w:val="24"/>
              </w:rPr>
              <w:t>in very thin corneas after CXL; furthermore, the study associated the complication with low pachymetry and reinforced the importance of personalized protocols. However, it did not present an overall incidence, but confirmed a correlation between thickness and risk."</w:t>
            </w:r>
          </w:p>
        </w:tc>
      </w:tr>
      <w:tr w:rsidR="00F2226B" w:rsidRPr="00F2226B" w14:paraId="41E7EAC1" w14:textId="77777777" w:rsidTr="00BF4C30">
        <w:trPr>
          <w:trHeight w:val="20"/>
        </w:trPr>
        <w:tc>
          <w:tcPr>
            <w:tcW w:w="1418" w:type="dxa"/>
            <w:tcBorders>
              <w:top w:val="single" w:sz="4" w:space="0" w:color="auto"/>
              <w:bottom w:val="single" w:sz="4" w:space="0" w:color="auto"/>
            </w:tcBorders>
          </w:tcPr>
          <w:p w14:paraId="77569806" w14:textId="6FD35CA7" w:rsidR="00F2226B" w:rsidRPr="00444161" w:rsidRDefault="00F2226B" w:rsidP="00F2226B">
            <w:pPr>
              <w:spacing w:before="10"/>
              <w:ind w:left="-106" w:right="-112" w:firstLine="36"/>
              <w:jc w:val="left"/>
              <w:rPr>
                <w:rFonts w:ascii="Arial" w:eastAsia="Arial" w:hAnsi="Arial" w:cs="Arial"/>
                <w:b/>
                <w:sz w:val="24"/>
                <w:szCs w:val="24"/>
                <w:lang w:eastAsia="pt-BR"/>
              </w:rPr>
            </w:pPr>
            <w:r w:rsidRPr="00444161">
              <w:rPr>
                <w:rFonts w:ascii="Arial" w:hAnsi="Arial" w:cs="Arial"/>
                <w:sz w:val="24"/>
                <w:szCs w:val="24"/>
              </w:rPr>
              <w:t xml:space="preserve">Said </w:t>
            </w:r>
            <w:r w:rsidR="00EF7385" w:rsidRPr="00444161">
              <w:rPr>
                <w:rFonts w:ascii="Arial" w:hAnsi="Arial" w:cs="Arial"/>
                <w:i/>
                <w:sz w:val="24"/>
                <w:szCs w:val="24"/>
              </w:rPr>
              <w:t>et al.</w:t>
            </w:r>
          </w:p>
        </w:tc>
        <w:tc>
          <w:tcPr>
            <w:tcW w:w="1276" w:type="dxa"/>
            <w:tcBorders>
              <w:top w:val="single" w:sz="4" w:space="0" w:color="auto"/>
              <w:bottom w:val="single" w:sz="4" w:space="0" w:color="auto"/>
            </w:tcBorders>
          </w:tcPr>
          <w:p w14:paraId="5013031A" w14:textId="71B7856A" w:rsidR="00F2226B" w:rsidRPr="00444161" w:rsidRDefault="00F2226B" w:rsidP="00F2226B">
            <w:pPr>
              <w:spacing w:before="10"/>
              <w:ind w:right="353" w:firstLine="22"/>
              <w:jc w:val="left"/>
              <w:rPr>
                <w:rFonts w:ascii="Arial" w:eastAsia="Arial" w:hAnsi="Arial" w:cs="Arial"/>
                <w:b/>
                <w:sz w:val="24"/>
                <w:szCs w:val="24"/>
                <w:lang w:eastAsia="pt-BR"/>
              </w:rPr>
            </w:pPr>
            <w:r w:rsidRPr="00444161">
              <w:rPr>
                <w:rFonts w:ascii="Arial" w:hAnsi="Arial" w:cs="Arial"/>
                <w:sz w:val="24"/>
                <w:szCs w:val="24"/>
              </w:rPr>
              <w:t>2014</w:t>
            </w:r>
          </w:p>
        </w:tc>
        <w:tc>
          <w:tcPr>
            <w:tcW w:w="1701" w:type="dxa"/>
            <w:tcBorders>
              <w:top w:val="single" w:sz="4" w:space="0" w:color="auto"/>
              <w:bottom w:val="single" w:sz="4" w:space="0" w:color="auto"/>
            </w:tcBorders>
          </w:tcPr>
          <w:p w14:paraId="046AE86C" w14:textId="3B6FCD6C" w:rsidR="00F2226B" w:rsidRPr="00444161" w:rsidRDefault="00F2226B" w:rsidP="00F2226B">
            <w:pPr>
              <w:spacing w:before="10"/>
              <w:ind w:left="-108" w:right="-104" w:firstLine="22"/>
              <w:jc w:val="center"/>
              <w:rPr>
                <w:rFonts w:ascii="Arial" w:eastAsia="Arial" w:hAnsi="Arial" w:cs="Arial"/>
                <w:b/>
                <w:color w:val="FF0000"/>
                <w:sz w:val="24"/>
                <w:szCs w:val="24"/>
                <w:lang w:val="en-US" w:eastAsia="pt-BR"/>
              </w:rPr>
            </w:pPr>
            <w:r w:rsidRPr="00444161">
              <w:rPr>
                <w:rFonts w:ascii="Arial" w:hAnsi="Arial" w:cs="Arial"/>
                <w:sz w:val="24"/>
                <w:szCs w:val="24"/>
              </w:rPr>
              <w:t>American Journal of Ophthalmology</w:t>
            </w:r>
          </w:p>
        </w:tc>
        <w:tc>
          <w:tcPr>
            <w:tcW w:w="1843" w:type="dxa"/>
            <w:tcBorders>
              <w:top w:val="single" w:sz="4" w:space="0" w:color="auto"/>
              <w:bottom w:val="single" w:sz="4" w:space="0" w:color="auto"/>
            </w:tcBorders>
          </w:tcPr>
          <w:p w14:paraId="146320E6" w14:textId="6B2A0F0C" w:rsidR="00F2226B" w:rsidRPr="00444161" w:rsidRDefault="00F2226B" w:rsidP="00F2226B">
            <w:pPr>
              <w:spacing w:before="10"/>
              <w:ind w:left="39" w:firstLine="22"/>
              <w:jc w:val="center"/>
              <w:rPr>
                <w:rFonts w:ascii="Arial" w:eastAsia="Arial" w:hAnsi="Arial" w:cs="Arial"/>
                <w:b/>
                <w:sz w:val="24"/>
                <w:szCs w:val="24"/>
                <w:lang w:eastAsia="pt-BR"/>
              </w:rPr>
            </w:pPr>
            <w:r w:rsidRPr="00444161">
              <w:rPr>
                <w:rFonts w:ascii="Arial" w:hAnsi="Arial" w:cs="Arial"/>
                <w:sz w:val="24"/>
                <w:szCs w:val="24"/>
              </w:rPr>
              <w:t>Case report</w:t>
            </w:r>
          </w:p>
        </w:tc>
        <w:tc>
          <w:tcPr>
            <w:tcW w:w="1276" w:type="dxa"/>
            <w:tcBorders>
              <w:top w:val="single" w:sz="4" w:space="0" w:color="auto"/>
              <w:bottom w:val="single" w:sz="4" w:space="0" w:color="auto"/>
            </w:tcBorders>
          </w:tcPr>
          <w:p w14:paraId="39F1CABB" w14:textId="021A3D8D" w:rsidR="00F2226B" w:rsidRPr="00444161" w:rsidRDefault="00F2226B" w:rsidP="00F2226B">
            <w:pPr>
              <w:spacing w:before="10"/>
              <w:ind w:left="39" w:firstLine="22"/>
              <w:rPr>
                <w:rFonts w:ascii="Arial" w:eastAsia="Arial" w:hAnsi="Arial" w:cs="Arial"/>
                <w:b/>
                <w:sz w:val="24"/>
                <w:szCs w:val="24"/>
                <w:lang w:eastAsia="pt-BR"/>
              </w:rPr>
            </w:pPr>
            <w:r w:rsidRPr="00444161">
              <w:rPr>
                <w:rFonts w:ascii="Arial" w:hAnsi="Arial" w:cs="Arial"/>
                <w:sz w:val="24"/>
                <w:szCs w:val="24"/>
              </w:rPr>
              <w:t>USA</w:t>
            </w:r>
          </w:p>
        </w:tc>
        <w:tc>
          <w:tcPr>
            <w:tcW w:w="2766" w:type="dxa"/>
            <w:tcBorders>
              <w:top w:val="single" w:sz="4" w:space="0" w:color="auto"/>
              <w:bottom w:val="single" w:sz="4" w:space="0" w:color="auto"/>
            </w:tcBorders>
          </w:tcPr>
          <w:p w14:paraId="0BFB4419" w14:textId="639621D8" w:rsidR="00F2226B" w:rsidRPr="00F2226B" w:rsidRDefault="00115CEE" w:rsidP="00F2226B">
            <w:pPr>
              <w:spacing w:before="10"/>
              <w:ind w:left="39" w:firstLine="22"/>
              <w:jc w:val="center"/>
              <w:rPr>
                <w:rFonts w:ascii="Arial" w:eastAsia="Arial" w:hAnsi="Arial" w:cs="Arial"/>
                <w:b/>
                <w:sz w:val="24"/>
                <w:szCs w:val="24"/>
                <w:highlight w:val="green"/>
                <w:lang w:eastAsia="pt-BR"/>
              </w:rPr>
            </w:pPr>
            <w:r w:rsidRPr="00444161">
              <w:rPr>
                <w:rFonts w:ascii="Arial" w:hAnsi="Arial" w:cs="Arial"/>
                <w:sz w:val="24"/>
                <w:szCs w:val="24"/>
              </w:rPr>
              <w:t>It was</w:t>
            </w:r>
            <w:r w:rsidR="00444161" w:rsidRPr="00444161">
              <w:rPr>
                <w:rFonts w:ascii="Arial" w:hAnsi="Arial" w:cs="Arial"/>
                <w:sz w:val="24"/>
                <w:szCs w:val="24"/>
              </w:rPr>
              <w:t xml:space="preserve"> investigated whether the </w:t>
            </w:r>
            <w:r w:rsidR="00694B8A" w:rsidRPr="00444161">
              <w:rPr>
                <w:rFonts w:ascii="Arial" w:hAnsi="Arial" w:cs="Arial"/>
                <w:i/>
                <w:sz w:val="24"/>
                <w:szCs w:val="24"/>
              </w:rPr>
              <w:t xml:space="preserve">melting </w:t>
            </w:r>
            <w:r w:rsidR="00694B8A" w:rsidRPr="00444161">
              <w:rPr>
                <w:rFonts w:ascii="Arial" w:hAnsi="Arial" w:cs="Arial"/>
                <w:i/>
                <w:sz w:val="24"/>
                <w:szCs w:val="24"/>
              </w:rPr>
              <w:lastRenderedPageBreak/>
              <w:t xml:space="preserve">was infectious or </w:t>
            </w:r>
            <w:proofErr w:type="gramStart"/>
            <w:r w:rsidR="00694B8A" w:rsidRPr="00444161">
              <w:rPr>
                <w:rFonts w:ascii="Arial" w:hAnsi="Arial" w:cs="Arial"/>
                <w:i/>
                <w:sz w:val="24"/>
                <w:szCs w:val="24"/>
              </w:rPr>
              <w:t xml:space="preserve">sterile </w:t>
            </w:r>
            <w:r w:rsidR="00F2226B" w:rsidRPr="00444161">
              <w:rPr>
                <w:rFonts w:ascii="Arial" w:hAnsi="Arial" w:cs="Arial"/>
                <w:sz w:val="24"/>
                <w:szCs w:val="24"/>
              </w:rPr>
              <w:t>.</w:t>
            </w:r>
            <w:proofErr w:type="gramEnd"/>
          </w:p>
        </w:tc>
        <w:tc>
          <w:tcPr>
            <w:tcW w:w="1741" w:type="dxa"/>
            <w:tcBorders>
              <w:top w:val="single" w:sz="4" w:space="0" w:color="auto"/>
              <w:bottom w:val="single" w:sz="4" w:space="0" w:color="auto"/>
            </w:tcBorders>
          </w:tcPr>
          <w:p w14:paraId="41703698" w14:textId="5C63777D" w:rsidR="00F2226B" w:rsidRPr="00444161" w:rsidRDefault="00F2226B" w:rsidP="00F2226B">
            <w:pPr>
              <w:spacing w:before="10"/>
              <w:ind w:left="39" w:firstLine="23"/>
              <w:jc w:val="center"/>
              <w:rPr>
                <w:rFonts w:ascii="Arial" w:eastAsia="Arial" w:hAnsi="Arial" w:cs="Arial"/>
                <w:b/>
                <w:color w:val="FF0000"/>
                <w:sz w:val="24"/>
                <w:szCs w:val="24"/>
                <w:lang w:eastAsia="pt-BR"/>
              </w:rPr>
            </w:pPr>
            <w:r w:rsidRPr="00444161">
              <w:rPr>
                <w:rFonts w:ascii="Arial" w:hAnsi="Arial" w:cs="Arial"/>
                <w:sz w:val="24"/>
                <w:szCs w:val="24"/>
              </w:rPr>
              <w:lastRenderedPageBreak/>
              <w:t>Case report</w:t>
            </w:r>
          </w:p>
        </w:tc>
        <w:tc>
          <w:tcPr>
            <w:tcW w:w="4422" w:type="dxa"/>
            <w:tcBorders>
              <w:top w:val="single" w:sz="4" w:space="0" w:color="auto"/>
              <w:bottom w:val="single" w:sz="4" w:space="0" w:color="auto"/>
            </w:tcBorders>
          </w:tcPr>
          <w:p w14:paraId="08EB31F3" w14:textId="5DA1A458" w:rsidR="00F2226B" w:rsidRPr="00F2226B" w:rsidRDefault="003039EA" w:rsidP="00F2226B">
            <w:pPr>
              <w:spacing w:before="10"/>
              <w:ind w:left="39" w:firstLine="0"/>
              <w:rPr>
                <w:rFonts w:ascii="Arial" w:eastAsia="Arial" w:hAnsi="Arial" w:cs="Arial"/>
                <w:sz w:val="24"/>
                <w:szCs w:val="24"/>
                <w:highlight w:val="green"/>
                <w:lang w:eastAsia="pt-BR"/>
              </w:rPr>
            </w:pPr>
            <w:r w:rsidRPr="003039EA">
              <w:rPr>
                <w:rFonts w:ascii="Arial" w:hAnsi="Arial" w:cs="Arial"/>
                <w:sz w:val="24"/>
                <w:szCs w:val="24"/>
              </w:rPr>
              <w:t xml:space="preserve">"They reported sterile </w:t>
            </w:r>
            <w:r w:rsidR="00694B8A" w:rsidRPr="003039EA">
              <w:rPr>
                <w:rFonts w:ascii="Arial" w:hAnsi="Arial" w:cs="Arial"/>
                <w:i/>
                <w:sz w:val="24"/>
                <w:szCs w:val="24"/>
              </w:rPr>
              <w:t xml:space="preserve">melting </w:t>
            </w:r>
            <w:r w:rsidR="00F2226B" w:rsidRPr="003039EA">
              <w:rPr>
                <w:rFonts w:ascii="Arial" w:hAnsi="Arial" w:cs="Arial"/>
                <w:sz w:val="24"/>
                <w:szCs w:val="24"/>
              </w:rPr>
              <w:t xml:space="preserve">after CXL epithelium-off, a case that highlighted the importance of differentiating </w:t>
            </w:r>
            <w:r w:rsidR="00F2226B" w:rsidRPr="003039EA">
              <w:rPr>
                <w:rFonts w:ascii="Arial" w:hAnsi="Arial" w:cs="Arial"/>
                <w:sz w:val="24"/>
                <w:szCs w:val="24"/>
              </w:rPr>
              <w:lastRenderedPageBreak/>
              <w:t xml:space="preserve">between infection and stromal necrolysis, as both present similar clinical </w:t>
            </w:r>
            <w:proofErr w:type="gramStart"/>
            <w:r w:rsidR="00F2226B" w:rsidRPr="003039EA">
              <w:rPr>
                <w:rFonts w:ascii="Arial" w:hAnsi="Arial" w:cs="Arial"/>
                <w:sz w:val="24"/>
                <w:szCs w:val="24"/>
              </w:rPr>
              <w:t xml:space="preserve">pictures </w:t>
            </w:r>
            <w:r w:rsidRPr="003039EA">
              <w:rPr>
                <w:rFonts w:ascii="Arial" w:hAnsi="Arial" w:cs="Arial"/>
                <w:sz w:val="24"/>
                <w:szCs w:val="24"/>
              </w:rPr>
              <w:t>;</w:t>
            </w:r>
            <w:proofErr w:type="gramEnd"/>
            <w:r w:rsidRPr="003039EA">
              <w:rPr>
                <w:rFonts w:ascii="Arial" w:hAnsi="Arial" w:cs="Arial"/>
                <w:sz w:val="24"/>
                <w:szCs w:val="24"/>
              </w:rPr>
              <w:t xml:space="preserve"> furthermore, the study suggested rigorous microbiological surveillance."</w:t>
            </w:r>
          </w:p>
        </w:tc>
      </w:tr>
      <w:tr w:rsidR="00F2226B" w:rsidRPr="00F2226B" w14:paraId="2ADE4D12" w14:textId="77777777" w:rsidTr="00BF4C30">
        <w:trPr>
          <w:trHeight w:val="20"/>
        </w:trPr>
        <w:tc>
          <w:tcPr>
            <w:tcW w:w="1418" w:type="dxa"/>
            <w:tcBorders>
              <w:top w:val="single" w:sz="4" w:space="0" w:color="auto"/>
              <w:bottom w:val="single" w:sz="4" w:space="0" w:color="auto"/>
            </w:tcBorders>
          </w:tcPr>
          <w:p w14:paraId="7925BFC8" w14:textId="194BA08E" w:rsidR="00F2226B" w:rsidRPr="00444161" w:rsidRDefault="00F2226B" w:rsidP="00F2226B">
            <w:pPr>
              <w:spacing w:before="10"/>
              <w:ind w:left="-106" w:right="-112" w:firstLine="0"/>
              <w:jc w:val="left"/>
              <w:rPr>
                <w:rFonts w:ascii="Arial" w:eastAsia="Arial" w:hAnsi="Arial" w:cs="Arial"/>
                <w:b/>
                <w:sz w:val="24"/>
                <w:szCs w:val="24"/>
                <w:lang w:eastAsia="pt-BR"/>
              </w:rPr>
            </w:pPr>
            <w:proofErr w:type="spellStart"/>
            <w:r w:rsidRPr="00444161">
              <w:rPr>
                <w:rFonts w:ascii="Arial" w:hAnsi="Arial" w:cs="Arial"/>
                <w:sz w:val="24"/>
                <w:szCs w:val="24"/>
              </w:rPr>
              <w:lastRenderedPageBreak/>
              <w:t>Labiris</w:t>
            </w:r>
            <w:proofErr w:type="spellEnd"/>
            <w:r w:rsidRPr="00444161">
              <w:rPr>
                <w:rFonts w:ascii="Arial" w:hAnsi="Arial" w:cs="Arial"/>
                <w:sz w:val="24"/>
                <w:szCs w:val="24"/>
              </w:rPr>
              <w:t xml:space="preserve"> </w:t>
            </w:r>
            <w:r w:rsidR="00EF7385" w:rsidRPr="00444161">
              <w:rPr>
                <w:rFonts w:ascii="Arial" w:hAnsi="Arial" w:cs="Arial"/>
                <w:i/>
                <w:sz w:val="24"/>
                <w:szCs w:val="24"/>
              </w:rPr>
              <w:t>et al.</w:t>
            </w:r>
          </w:p>
        </w:tc>
        <w:tc>
          <w:tcPr>
            <w:tcW w:w="1276" w:type="dxa"/>
            <w:tcBorders>
              <w:top w:val="single" w:sz="4" w:space="0" w:color="auto"/>
              <w:bottom w:val="single" w:sz="4" w:space="0" w:color="auto"/>
            </w:tcBorders>
          </w:tcPr>
          <w:p w14:paraId="383B5B69" w14:textId="706790D9" w:rsidR="00F2226B" w:rsidRPr="00444161" w:rsidRDefault="00F2226B" w:rsidP="00F2226B">
            <w:pPr>
              <w:spacing w:before="10"/>
              <w:ind w:left="39" w:right="353" w:firstLine="22"/>
              <w:jc w:val="left"/>
              <w:rPr>
                <w:rFonts w:ascii="Arial" w:eastAsia="Arial" w:hAnsi="Arial" w:cs="Arial"/>
                <w:b/>
                <w:sz w:val="24"/>
                <w:szCs w:val="24"/>
                <w:lang w:eastAsia="pt-BR"/>
              </w:rPr>
            </w:pPr>
            <w:r w:rsidRPr="00444161">
              <w:rPr>
                <w:rFonts w:ascii="Arial" w:hAnsi="Arial" w:cs="Arial"/>
                <w:sz w:val="24"/>
                <w:szCs w:val="24"/>
              </w:rPr>
              <w:t>2011</w:t>
            </w:r>
          </w:p>
        </w:tc>
        <w:tc>
          <w:tcPr>
            <w:tcW w:w="1701" w:type="dxa"/>
            <w:tcBorders>
              <w:top w:val="single" w:sz="4" w:space="0" w:color="auto"/>
              <w:bottom w:val="single" w:sz="4" w:space="0" w:color="auto"/>
            </w:tcBorders>
          </w:tcPr>
          <w:p w14:paraId="582E9972" w14:textId="62FB4BC1" w:rsidR="00F2226B" w:rsidRPr="00444161" w:rsidRDefault="00F2226B" w:rsidP="00F2226B">
            <w:pPr>
              <w:spacing w:before="10"/>
              <w:ind w:left="-108" w:firstLine="22"/>
              <w:jc w:val="center"/>
              <w:rPr>
                <w:rFonts w:ascii="Arial" w:eastAsia="Arial" w:hAnsi="Arial" w:cs="Arial"/>
                <w:b/>
                <w:sz w:val="24"/>
                <w:szCs w:val="24"/>
                <w:lang w:eastAsia="pt-BR"/>
              </w:rPr>
            </w:pPr>
            <w:r w:rsidRPr="00444161">
              <w:rPr>
                <w:rFonts w:ascii="Arial" w:hAnsi="Arial" w:cs="Arial"/>
                <w:sz w:val="24"/>
                <w:szCs w:val="24"/>
              </w:rPr>
              <w:t>PubMed</w:t>
            </w:r>
          </w:p>
        </w:tc>
        <w:tc>
          <w:tcPr>
            <w:tcW w:w="1843" w:type="dxa"/>
            <w:tcBorders>
              <w:top w:val="single" w:sz="4" w:space="0" w:color="auto"/>
              <w:bottom w:val="single" w:sz="4" w:space="0" w:color="auto"/>
            </w:tcBorders>
          </w:tcPr>
          <w:p w14:paraId="0EC17D23" w14:textId="64C67712" w:rsidR="00F2226B" w:rsidRPr="00444161" w:rsidRDefault="00F2226B" w:rsidP="00F2226B">
            <w:pPr>
              <w:spacing w:before="10"/>
              <w:ind w:left="39" w:firstLine="22"/>
              <w:jc w:val="center"/>
              <w:rPr>
                <w:rFonts w:ascii="Arial" w:eastAsia="Arial" w:hAnsi="Arial" w:cs="Arial"/>
                <w:b/>
                <w:sz w:val="24"/>
                <w:szCs w:val="24"/>
                <w:lang w:eastAsia="pt-BR"/>
              </w:rPr>
            </w:pPr>
            <w:r w:rsidRPr="00444161">
              <w:rPr>
                <w:rFonts w:ascii="Arial" w:hAnsi="Arial" w:cs="Arial"/>
                <w:sz w:val="24"/>
                <w:szCs w:val="24"/>
              </w:rPr>
              <w:t>Case report</w:t>
            </w:r>
          </w:p>
        </w:tc>
        <w:tc>
          <w:tcPr>
            <w:tcW w:w="1276" w:type="dxa"/>
            <w:tcBorders>
              <w:top w:val="single" w:sz="4" w:space="0" w:color="auto"/>
              <w:bottom w:val="single" w:sz="4" w:space="0" w:color="auto"/>
            </w:tcBorders>
          </w:tcPr>
          <w:p w14:paraId="2FEA6F93" w14:textId="2FDB2785" w:rsidR="00F2226B" w:rsidRPr="00444161" w:rsidRDefault="00F2226B" w:rsidP="00F2226B">
            <w:pPr>
              <w:spacing w:before="10"/>
              <w:ind w:left="39" w:firstLine="22"/>
              <w:rPr>
                <w:rFonts w:ascii="Arial" w:eastAsia="Arial" w:hAnsi="Arial" w:cs="Arial"/>
                <w:b/>
                <w:sz w:val="24"/>
                <w:szCs w:val="24"/>
                <w:lang w:eastAsia="pt-BR"/>
              </w:rPr>
            </w:pPr>
            <w:r w:rsidRPr="00444161">
              <w:rPr>
                <w:rFonts w:ascii="Arial" w:hAnsi="Arial" w:cs="Arial"/>
                <w:sz w:val="24"/>
                <w:szCs w:val="24"/>
              </w:rPr>
              <w:t>Greece</w:t>
            </w:r>
          </w:p>
        </w:tc>
        <w:tc>
          <w:tcPr>
            <w:tcW w:w="2766" w:type="dxa"/>
            <w:tcBorders>
              <w:top w:val="single" w:sz="4" w:space="0" w:color="auto"/>
              <w:bottom w:val="single" w:sz="4" w:space="0" w:color="auto"/>
            </w:tcBorders>
          </w:tcPr>
          <w:p w14:paraId="4FC7154C" w14:textId="5812BDDC" w:rsidR="00F2226B" w:rsidRPr="00F2226B" w:rsidRDefault="00115CEE" w:rsidP="00444161">
            <w:pPr>
              <w:spacing w:before="10"/>
              <w:ind w:left="39" w:firstLine="22"/>
              <w:jc w:val="center"/>
              <w:rPr>
                <w:rFonts w:ascii="Arial" w:eastAsia="Calibri" w:hAnsi="Arial" w:cs="Arial"/>
                <w:sz w:val="24"/>
                <w:szCs w:val="24"/>
                <w:highlight w:val="green"/>
                <w:lang w:eastAsia="pt-BR"/>
              </w:rPr>
            </w:pPr>
            <w:r w:rsidRPr="00444161">
              <w:rPr>
                <w:rFonts w:ascii="Arial" w:hAnsi="Arial" w:cs="Arial"/>
                <w:sz w:val="24"/>
                <w:szCs w:val="24"/>
              </w:rPr>
              <w:t>It was</w:t>
            </w:r>
            <w:r w:rsidR="00444161" w:rsidRPr="00444161">
              <w:rPr>
                <w:rFonts w:ascii="Arial" w:hAnsi="Arial" w:cs="Arial"/>
                <w:sz w:val="24"/>
                <w:szCs w:val="24"/>
              </w:rPr>
              <w:t xml:space="preserve"> assessed pachymetry prior to CXL.</w:t>
            </w:r>
          </w:p>
        </w:tc>
        <w:tc>
          <w:tcPr>
            <w:tcW w:w="1741" w:type="dxa"/>
            <w:tcBorders>
              <w:top w:val="single" w:sz="4" w:space="0" w:color="auto"/>
              <w:bottom w:val="single" w:sz="4" w:space="0" w:color="auto"/>
            </w:tcBorders>
          </w:tcPr>
          <w:p w14:paraId="2388D59C" w14:textId="41B730D2" w:rsidR="00F2226B" w:rsidRPr="00444161" w:rsidRDefault="00F2226B" w:rsidP="00F2226B">
            <w:pPr>
              <w:spacing w:before="10"/>
              <w:ind w:left="39" w:firstLine="23"/>
              <w:jc w:val="center"/>
              <w:rPr>
                <w:rFonts w:ascii="Arial" w:eastAsia="Arial" w:hAnsi="Arial" w:cs="Arial"/>
                <w:b/>
                <w:color w:val="FF0000"/>
                <w:sz w:val="24"/>
                <w:szCs w:val="24"/>
                <w:lang w:eastAsia="pt-BR"/>
              </w:rPr>
            </w:pPr>
            <w:r w:rsidRPr="00444161">
              <w:rPr>
                <w:rFonts w:ascii="Arial" w:hAnsi="Arial" w:cs="Arial"/>
                <w:sz w:val="24"/>
                <w:szCs w:val="24"/>
              </w:rPr>
              <w:t>Clinical case report</w:t>
            </w:r>
          </w:p>
        </w:tc>
        <w:tc>
          <w:tcPr>
            <w:tcW w:w="4422" w:type="dxa"/>
            <w:tcBorders>
              <w:top w:val="single" w:sz="4" w:space="0" w:color="auto"/>
              <w:bottom w:val="single" w:sz="4" w:space="0" w:color="auto"/>
            </w:tcBorders>
          </w:tcPr>
          <w:p w14:paraId="537782B5" w14:textId="451AFA9A" w:rsidR="00F2226B" w:rsidRPr="00046910" w:rsidRDefault="003039EA" w:rsidP="00F2226B">
            <w:pPr>
              <w:spacing w:before="10"/>
              <w:ind w:left="39" w:firstLine="18"/>
              <w:rPr>
                <w:rFonts w:ascii="Arial" w:eastAsia="Arial" w:hAnsi="Arial" w:cs="Arial"/>
                <w:bCs/>
                <w:color w:val="000000"/>
                <w:sz w:val="24"/>
                <w:szCs w:val="24"/>
                <w:lang w:eastAsia="pt-BR"/>
              </w:rPr>
            </w:pPr>
            <w:r w:rsidRPr="00046910">
              <w:rPr>
                <w:rFonts w:ascii="Arial" w:hAnsi="Arial" w:cs="Arial"/>
                <w:sz w:val="24"/>
                <w:szCs w:val="24"/>
              </w:rPr>
              <w:t xml:space="preserve">"They reported a case of </w:t>
            </w:r>
            <w:r w:rsidR="00694B8A" w:rsidRPr="00046910">
              <w:rPr>
                <w:rFonts w:ascii="Arial" w:hAnsi="Arial" w:cs="Arial"/>
                <w:i/>
                <w:sz w:val="24"/>
                <w:szCs w:val="24"/>
              </w:rPr>
              <w:t xml:space="preserve">melting </w:t>
            </w:r>
            <w:r w:rsidR="00F2226B" w:rsidRPr="00046910">
              <w:rPr>
                <w:rFonts w:ascii="Arial" w:hAnsi="Arial" w:cs="Arial"/>
                <w:sz w:val="24"/>
                <w:szCs w:val="24"/>
              </w:rPr>
              <w:t>in a patient with keratoconus and a very thin cornea, but did not provide prevalence or average time, but directly associated low pachymetry with the risk of post-CXL complications."</w:t>
            </w:r>
          </w:p>
        </w:tc>
      </w:tr>
      <w:tr w:rsidR="00F2226B" w:rsidRPr="00F2226B" w14:paraId="6CB35788" w14:textId="77777777" w:rsidTr="00BF4C30">
        <w:trPr>
          <w:trHeight w:val="20"/>
        </w:trPr>
        <w:tc>
          <w:tcPr>
            <w:tcW w:w="1418" w:type="dxa"/>
            <w:tcBorders>
              <w:top w:val="single" w:sz="4" w:space="0" w:color="auto"/>
              <w:bottom w:val="single" w:sz="4" w:space="0" w:color="auto"/>
            </w:tcBorders>
          </w:tcPr>
          <w:p w14:paraId="2D3F73EC" w14:textId="133E2595" w:rsidR="00F2226B" w:rsidRPr="00444161" w:rsidRDefault="00F2226B" w:rsidP="00F2226B">
            <w:pPr>
              <w:spacing w:before="10"/>
              <w:ind w:left="-106" w:right="-112" w:hanging="3"/>
              <w:jc w:val="left"/>
              <w:rPr>
                <w:rFonts w:ascii="Arial" w:eastAsia="Arial" w:hAnsi="Arial" w:cs="Arial"/>
                <w:b/>
                <w:sz w:val="24"/>
                <w:szCs w:val="24"/>
                <w:lang w:eastAsia="pt-BR"/>
              </w:rPr>
            </w:pPr>
            <w:proofErr w:type="spellStart"/>
            <w:r w:rsidRPr="00444161">
              <w:rPr>
                <w:rFonts w:ascii="Arial" w:hAnsi="Arial" w:cs="Arial"/>
                <w:sz w:val="24"/>
                <w:szCs w:val="24"/>
              </w:rPr>
              <w:t>Almodin</w:t>
            </w:r>
            <w:proofErr w:type="spellEnd"/>
            <w:r w:rsidRPr="00444161">
              <w:rPr>
                <w:rFonts w:ascii="Arial" w:hAnsi="Arial" w:cs="Arial"/>
                <w:sz w:val="24"/>
                <w:szCs w:val="24"/>
              </w:rPr>
              <w:t xml:space="preserve"> </w:t>
            </w:r>
            <w:r w:rsidR="00EF7385" w:rsidRPr="00444161">
              <w:rPr>
                <w:rFonts w:ascii="Arial" w:hAnsi="Arial" w:cs="Arial"/>
                <w:i/>
                <w:sz w:val="24"/>
                <w:szCs w:val="24"/>
              </w:rPr>
              <w:t>et al.</w:t>
            </w:r>
          </w:p>
        </w:tc>
        <w:tc>
          <w:tcPr>
            <w:tcW w:w="1276" w:type="dxa"/>
            <w:tcBorders>
              <w:top w:val="single" w:sz="4" w:space="0" w:color="auto"/>
              <w:bottom w:val="single" w:sz="4" w:space="0" w:color="auto"/>
            </w:tcBorders>
          </w:tcPr>
          <w:p w14:paraId="764EEA0A" w14:textId="791E2CED" w:rsidR="00F2226B" w:rsidRPr="00444161" w:rsidRDefault="00F2226B" w:rsidP="00F2226B">
            <w:pPr>
              <w:spacing w:before="10"/>
              <w:ind w:left="39" w:right="353" w:firstLine="22"/>
              <w:jc w:val="left"/>
              <w:rPr>
                <w:rFonts w:ascii="Arial" w:eastAsia="Arial" w:hAnsi="Arial" w:cs="Arial"/>
                <w:b/>
                <w:sz w:val="24"/>
                <w:szCs w:val="24"/>
                <w:vertAlign w:val="superscript"/>
                <w:lang w:eastAsia="pt-BR"/>
              </w:rPr>
            </w:pPr>
            <w:r w:rsidRPr="00444161">
              <w:rPr>
                <w:rFonts w:ascii="Arial" w:hAnsi="Arial" w:cs="Arial"/>
                <w:sz w:val="24"/>
                <w:szCs w:val="24"/>
              </w:rPr>
              <w:t>2010</w:t>
            </w:r>
          </w:p>
        </w:tc>
        <w:tc>
          <w:tcPr>
            <w:tcW w:w="1701" w:type="dxa"/>
            <w:tcBorders>
              <w:top w:val="single" w:sz="4" w:space="0" w:color="auto"/>
              <w:bottom w:val="single" w:sz="4" w:space="0" w:color="auto"/>
            </w:tcBorders>
          </w:tcPr>
          <w:p w14:paraId="4C758282" w14:textId="606913B8" w:rsidR="00F2226B" w:rsidRPr="00444161" w:rsidRDefault="00F2226B" w:rsidP="00F2226B">
            <w:pPr>
              <w:spacing w:before="10"/>
              <w:ind w:left="-108" w:firstLine="22"/>
              <w:jc w:val="center"/>
              <w:rPr>
                <w:rFonts w:ascii="Arial" w:eastAsia="Arial" w:hAnsi="Arial" w:cs="Arial"/>
                <w:b/>
                <w:sz w:val="24"/>
                <w:szCs w:val="24"/>
                <w:lang w:eastAsia="pt-BR"/>
              </w:rPr>
            </w:pPr>
            <w:r w:rsidRPr="00444161">
              <w:rPr>
                <w:rFonts w:ascii="Arial" w:hAnsi="Arial" w:cs="Arial"/>
                <w:sz w:val="24"/>
                <w:szCs w:val="24"/>
              </w:rPr>
              <w:t>Semantic Scholar</w:t>
            </w:r>
          </w:p>
        </w:tc>
        <w:tc>
          <w:tcPr>
            <w:tcW w:w="1843" w:type="dxa"/>
            <w:tcBorders>
              <w:top w:val="single" w:sz="4" w:space="0" w:color="auto"/>
              <w:bottom w:val="single" w:sz="4" w:space="0" w:color="auto"/>
            </w:tcBorders>
          </w:tcPr>
          <w:p w14:paraId="531C9F40" w14:textId="6CAFC35F" w:rsidR="00F2226B" w:rsidRPr="00444161" w:rsidRDefault="00F2226B" w:rsidP="00F2226B">
            <w:pPr>
              <w:spacing w:before="10"/>
              <w:ind w:left="39" w:firstLine="22"/>
              <w:jc w:val="center"/>
              <w:rPr>
                <w:rFonts w:ascii="Arial" w:eastAsia="Arial" w:hAnsi="Arial" w:cs="Arial"/>
                <w:b/>
                <w:sz w:val="24"/>
                <w:szCs w:val="24"/>
                <w:lang w:eastAsia="pt-BR"/>
              </w:rPr>
            </w:pPr>
            <w:r w:rsidRPr="00444161">
              <w:rPr>
                <w:rFonts w:ascii="Arial" w:hAnsi="Arial" w:cs="Arial"/>
                <w:sz w:val="24"/>
                <w:szCs w:val="24"/>
              </w:rPr>
              <w:t>Case report</w:t>
            </w:r>
          </w:p>
        </w:tc>
        <w:tc>
          <w:tcPr>
            <w:tcW w:w="1276" w:type="dxa"/>
            <w:tcBorders>
              <w:top w:val="single" w:sz="4" w:space="0" w:color="auto"/>
              <w:bottom w:val="single" w:sz="4" w:space="0" w:color="auto"/>
            </w:tcBorders>
          </w:tcPr>
          <w:p w14:paraId="0C1634EB" w14:textId="12D29D57" w:rsidR="00F2226B" w:rsidRPr="00444161" w:rsidRDefault="00F2226B" w:rsidP="00F2226B">
            <w:pPr>
              <w:spacing w:before="10"/>
              <w:ind w:left="39" w:right="-102" w:firstLine="22"/>
              <w:rPr>
                <w:rFonts w:ascii="Arial" w:eastAsia="Arial" w:hAnsi="Arial" w:cs="Arial"/>
                <w:bCs/>
                <w:color w:val="FF0000"/>
                <w:sz w:val="24"/>
                <w:szCs w:val="24"/>
                <w:lang w:eastAsia="pt-BR"/>
              </w:rPr>
            </w:pPr>
            <w:r w:rsidRPr="00444161">
              <w:rPr>
                <w:rFonts w:ascii="Arial" w:hAnsi="Arial" w:cs="Arial"/>
                <w:sz w:val="24"/>
                <w:szCs w:val="24"/>
              </w:rPr>
              <w:t>Brazil</w:t>
            </w:r>
          </w:p>
        </w:tc>
        <w:tc>
          <w:tcPr>
            <w:tcW w:w="2766" w:type="dxa"/>
            <w:tcBorders>
              <w:top w:val="single" w:sz="4" w:space="0" w:color="auto"/>
              <w:bottom w:val="single" w:sz="4" w:space="0" w:color="auto"/>
            </w:tcBorders>
          </w:tcPr>
          <w:p w14:paraId="4AF8C69B" w14:textId="295636CF" w:rsidR="00F2226B" w:rsidRPr="00F2226B" w:rsidRDefault="00F2226B" w:rsidP="00F2226B">
            <w:pPr>
              <w:spacing w:before="10"/>
              <w:ind w:left="39" w:firstLine="22"/>
              <w:rPr>
                <w:rFonts w:ascii="Arial" w:eastAsia="Arial" w:hAnsi="Arial" w:cs="Arial"/>
                <w:bCs/>
                <w:sz w:val="24"/>
                <w:szCs w:val="24"/>
                <w:highlight w:val="green"/>
                <w:lang w:eastAsia="pt-BR"/>
              </w:rPr>
            </w:pPr>
            <w:r w:rsidRPr="00444161">
              <w:rPr>
                <w:rFonts w:ascii="Arial" w:hAnsi="Arial" w:cs="Arial"/>
                <w:sz w:val="24"/>
                <w:szCs w:val="24"/>
              </w:rPr>
              <w:t xml:space="preserve">It was related to the relationship between pachymetry and </w:t>
            </w:r>
            <w:r w:rsidR="00694B8A" w:rsidRPr="00444161">
              <w:rPr>
                <w:rFonts w:ascii="Arial" w:hAnsi="Arial" w:cs="Arial"/>
                <w:i/>
                <w:sz w:val="24"/>
                <w:szCs w:val="24"/>
              </w:rPr>
              <w:t xml:space="preserve">melting </w:t>
            </w:r>
            <w:proofErr w:type="gramStart"/>
            <w:r w:rsidR="00694B8A" w:rsidRPr="00444161">
              <w:rPr>
                <w:rFonts w:ascii="Arial" w:hAnsi="Arial" w:cs="Arial"/>
                <w:i/>
                <w:sz w:val="24"/>
                <w:szCs w:val="24"/>
              </w:rPr>
              <w:t xml:space="preserve">risk </w:t>
            </w:r>
            <w:r w:rsidRPr="00444161">
              <w:rPr>
                <w:rFonts w:ascii="Arial" w:hAnsi="Arial" w:cs="Arial"/>
                <w:sz w:val="24"/>
                <w:szCs w:val="24"/>
              </w:rPr>
              <w:t>.</w:t>
            </w:r>
            <w:proofErr w:type="gramEnd"/>
          </w:p>
        </w:tc>
        <w:tc>
          <w:tcPr>
            <w:tcW w:w="1741" w:type="dxa"/>
            <w:tcBorders>
              <w:top w:val="single" w:sz="4" w:space="0" w:color="auto"/>
              <w:bottom w:val="single" w:sz="4" w:space="0" w:color="auto"/>
            </w:tcBorders>
          </w:tcPr>
          <w:p w14:paraId="44E7FABB" w14:textId="0972B9EC" w:rsidR="00F2226B" w:rsidRPr="00444161" w:rsidRDefault="00F2226B" w:rsidP="00F2226B">
            <w:pPr>
              <w:spacing w:before="10"/>
              <w:ind w:left="39" w:firstLine="23"/>
              <w:jc w:val="center"/>
              <w:rPr>
                <w:rFonts w:ascii="Arial" w:eastAsia="Arial" w:hAnsi="Arial" w:cs="Arial"/>
                <w:b/>
                <w:color w:val="FF0000"/>
                <w:sz w:val="24"/>
                <w:szCs w:val="24"/>
                <w:lang w:eastAsia="pt-BR"/>
              </w:rPr>
            </w:pPr>
            <w:r w:rsidRPr="00444161">
              <w:rPr>
                <w:rFonts w:ascii="Arial" w:hAnsi="Arial" w:cs="Arial"/>
                <w:sz w:val="24"/>
                <w:szCs w:val="24"/>
              </w:rPr>
              <w:t>Case report</w:t>
            </w:r>
          </w:p>
        </w:tc>
        <w:tc>
          <w:tcPr>
            <w:tcW w:w="4422" w:type="dxa"/>
            <w:tcBorders>
              <w:top w:val="single" w:sz="4" w:space="0" w:color="auto"/>
              <w:bottom w:val="single" w:sz="4" w:space="0" w:color="auto"/>
            </w:tcBorders>
          </w:tcPr>
          <w:p w14:paraId="128AAA48" w14:textId="61462F8D" w:rsidR="00F2226B" w:rsidRPr="00046910" w:rsidRDefault="00046910" w:rsidP="00F2226B">
            <w:pPr>
              <w:spacing w:before="10"/>
              <w:ind w:left="39" w:firstLine="0"/>
              <w:rPr>
                <w:rFonts w:ascii="Arial" w:eastAsia="Calibri" w:hAnsi="Arial" w:cs="Arial"/>
                <w:color w:val="000000"/>
                <w:sz w:val="24"/>
                <w:szCs w:val="24"/>
                <w:lang w:eastAsia="pt-BR"/>
              </w:rPr>
            </w:pPr>
            <w:r w:rsidRPr="00046910">
              <w:rPr>
                <w:rFonts w:ascii="Arial" w:hAnsi="Arial" w:cs="Arial"/>
                <w:sz w:val="24"/>
                <w:szCs w:val="24"/>
              </w:rPr>
              <w:t xml:space="preserve">"They described </w:t>
            </w:r>
            <w:r w:rsidR="00694B8A" w:rsidRPr="00046910">
              <w:rPr>
                <w:rFonts w:ascii="Arial" w:hAnsi="Arial" w:cs="Arial"/>
                <w:i/>
                <w:sz w:val="24"/>
                <w:szCs w:val="24"/>
              </w:rPr>
              <w:t xml:space="preserve">melting </w:t>
            </w:r>
            <w:r w:rsidR="00F2226B" w:rsidRPr="00046910">
              <w:rPr>
                <w:rFonts w:ascii="Arial" w:hAnsi="Arial" w:cs="Arial"/>
                <w:sz w:val="24"/>
                <w:szCs w:val="24"/>
              </w:rPr>
              <w:t>in a patient undergoing a riboflavin/UVA protocol, through research that highlighted that thinner corneas showed a greater propensity for stromal necrosis, however there was no quantitative data, but the finding reinforced the minimum limit of 400 µm as a safety parameter."</w:t>
            </w:r>
          </w:p>
        </w:tc>
      </w:tr>
      <w:tr w:rsidR="00F2226B" w:rsidRPr="00F2226B" w14:paraId="30D60F5C" w14:textId="77777777" w:rsidTr="00BF4C30">
        <w:trPr>
          <w:trHeight w:val="20"/>
        </w:trPr>
        <w:tc>
          <w:tcPr>
            <w:tcW w:w="1418" w:type="dxa"/>
            <w:tcBorders>
              <w:top w:val="single" w:sz="4" w:space="0" w:color="auto"/>
              <w:bottom w:val="single" w:sz="4" w:space="0" w:color="auto"/>
            </w:tcBorders>
          </w:tcPr>
          <w:p w14:paraId="3731F245" w14:textId="435F7455" w:rsidR="00F2226B" w:rsidRPr="00444161" w:rsidRDefault="00F2226B" w:rsidP="006D7176">
            <w:pPr>
              <w:spacing w:before="10"/>
              <w:ind w:left="-106" w:right="-112" w:hanging="3"/>
              <w:jc w:val="left"/>
              <w:rPr>
                <w:rFonts w:ascii="Arial" w:eastAsia="Arial" w:hAnsi="Arial" w:cs="Arial"/>
                <w:b/>
                <w:sz w:val="24"/>
                <w:szCs w:val="24"/>
                <w:lang w:eastAsia="pt-BR"/>
              </w:rPr>
            </w:pPr>
            <w:r w:rsidRPr="00444161">
              <w:rPr>
                <w:rFonts w:ascii="Arial" w:hAnsi="Arial" w:cs="Arial"/>
                <w:sz w:val="24"/>
                <w:szCs w:val="24"/>
              </w:rPr>
              <w:t xml:space="preserve">Gadelha </w:t>
            </w:r>
            <w:r w:rsidR="00EF7385" w:rsidRPr="00444161">
              <w:rPr>
                <w:rFonts w:ascii="Arial" w:hAnsi="Arial" w:cs="Arial"/>
                <w:i/>
                <w:sz w:val="24"/>
                <w:szCs w:val="24"/>
              </w:rPr>
              <w:t>et al.</w:t>
            </w:r>
          </w:p>
        </w:tc>
        <w:tc>
          <w:tcPr>
            <w:tcW w:w="1276" w:type="dxa"/>
            <w:tcBorders>
              <w:top w:val="single" w:sz="4" w:space="0" w:color="auto"/>
              <w:bottom w:val="single" w:sz="4" w:space="0" w:color="auto"/>
            </w:tcBorders>
          </w:tcPr>
          <w:p w14:paraId="12281045" w14:textId="20838B6B" w:rsidR="00F2226B" w:rsidRPr="00444161" w:rsidRDefault="00F2226B" w:rsidP="00F2226B">
            <w:pPr>
              <w:spacing w:before="10"/>
              <w:ind w:left="39" w:right="353" w:firstLine="22"/>
              <w:jc w:val="left"/>
              <w:rPr>
                <w:rFonts w:ascii="Arial" w:eastAsia="Arial" w:hAnsi="Arial" w:cs="Arial"/>
                <w:b/>
                <w:sz w:val="24"/>
                <w:szCs w:val="24"/>
                <w:lang w:eastAsia="pt-BR"/>
              </w:rPr>
            </w:pPr>
            <w:r w:rsidRPr="00444161">
              <w:rPr>
                <w:rFonts w:ascii="Arial" w:hAnsi="Arial" w:cs="Arial"/>
                <w:sz w:val="24"/>
                <w:szCs w:val="24"/>
              </w:rPr>
              <w:t>2010</w:t>
            </w:r>
          </w:p>
        </w:tc>
        <w:tc>
          <w:tcPr>
            <w:tcW w:w="1701" w:type="dxa"/>
            <w:tcBorders>
              <w:top w:val="single" w:sz="4" w:space="0" w:color="auto"/>
              <w:bottom w:val="single" w:sz="4" w:space="0" w:color="auto"/>
            </w:tcBorders>
          </w:tcPr>
          <w:p w14:paraId="2604DA52" w14:textId="15AC70BA" w:rsidR="00F2226B" w:rsidRPr="00444161" w:rsidRDefault="00F2226B" w:rsidP="00F2226B">
            <w:pPr>
              <w:spacing w:before="10"/>
              <w:ind w:left="-108" w:firstLine="22"/>
              <w:jc w:val="center"/>
              <w:rPr>
                <w:rFonts w:ascii="Arial" w:eastAsia="Arial" w:hAnsi="Arial" w:cs="Arial"/>
                <w:b/>
                <w:color w:val="FF0000"/>
                <w:sz w:val="24"/>
                <w:szCs w:val="24"/>
                <w:lang w:eastAsia="pt-BR"/>
              </w:rPr>
            </w:pPr>
            <w:r w:rsidRPr="00444161">
              <w:rPr>
                <w:rFonts w:ascii="Arial" w:hAnsi="Arial" w:cs="Arial"/>
                <w:sz w:val="24"/>
                <w:szCs w:val="24"/>
              </w:rPr>
              <w:t>UFPE</w:t>
            </w:r>
          </w:p>
        </w:tc>
        <w:tc>
          <w:tcPr>
            <w:tcW w:w="1843" w:type="dxa"/>
            <w:tcBorders>
              <w:top w:val="single" w:sz="4" w:space="0" w:color="auto"/>
              <w:bottom w:val="single" w:sz="4" w:space="0" w:color="auto"/>
            </w:tcBorders>
          </w:tcPr>
          <w:p w14:paraId="2338388F" w14:textId="62D16819" w:rsidR="00F2226B" w:rsidRPr="00444161" w:rsidRDefault="00F2226B" w:rsidP="00F2226B">
            <w:pPr>
              <w:spacing w:before="10"/>
              <w:ind w:left="39" w:firstLine="22"/>
              <w:jc w:val="center"/>
              <w:rPr>
                <w:rFonts w:ascii="Arial" w:eastAsia="Arial" w:hAnsi="Arial" w:cs="Arial"/>
                <w:b/>
                <w:color w:val="FF0000"/>
                <w:sz w:val="24"/>
                <w:szCs w:val="24"/>
                <w:lang w:eastAsia="pt-BR"/>
              </w:rPr>
            </w:pPr>
            <w:r w:rsidRPr="00444161">
              <w:rPr>
                <w:rFonts w:ascii="Arial" w:hAnsi="Arial" w:cs="Arial"/>
                <w:sz w:val="24"/>
                <w:szCs w:val="24"/>
              </w:rPr>
              <w:t>Postgraduate thesis</w:t>
            </w:r>
          </w:p>
        </w:tc>
        <w:tc>
          <w:tcPr>
            <w:tcW w:w="1276" w:type="dxa"/>
            <w:tcBorders>
              <w:top w:val="single" w:sz="4" w:space="0" w:color="auto"/>
              <w:bottom w:val="single" w:sz="4" w:space="0" w:color="auto"/>
            </w:tcBorders>
          </w:tcPr>
          <w:p w14:paraId="3EDE8557" w14:textId="30643F1D" w:rsidR="00F2226B" w:rsidRPr="00444161" w:rsidRDefault="00F2226B" w:rsidP="00F2226B">
            <w:pPr>
              <w:spacing w:before="10"/>
              <w:ind w:left="39" w:right="-113" w:firstLine="22"/>
              <w:rPr>
                <w:rFonts w:ascii="Arial" w:eastAsia="Arial" w:hAnsi="Arial" w:cs="Arial"/>
                <w:b/>
                <w:color w:val="FF0000"/>
                <w:sz w:val="24"/>
                <w:szCs w:val="24"/>
                <w:lang w:eastAsia="pt-BR"/>
              </w:rPr>
            </w:pPr>
            <w:r w:rsidRPr="00444161">
              <w:rPr>
                <w:rFonts w:ascii="Arial" w:hAnsi="Arial" w:cs="Arial"/>
                <w:sz w:val="24"/>
                <w:szCs w:val="24"/>
              </w:rPr>
              <w:t>Brazil</w:t>
            </w:r>
          </w:p>
        </w:tc>
        <w:tc>
          <w:tcPr>
            <w:tcW w:w="2766" w:type="dxa"/>
            <w:tcBorders>
              <w:top w:val="single" w:sz="4" w:space="0" w:color="auto"/>
              <w:bottom w:val="single" w:sz="4" w:space="0" w:color="auto"/>
            </w:tcBorders>
          </w:tcPr>
          <w:p w14:paraId="79AE27B4" w14:textId="4989E030" w:rsidR="00F2226B" w:rsidRPr="00F2226B" w:rsidRDefault="00115CEE" w:rsidP="00F2226B">
            <w:pPr>
              <w:spacing w:before="10"/>
              <w:ind w:left="39" w:firstLine="22"/>
              <w:rPr>
                <w:rFonts w:ascii="Arial" w:eastAsia="Calibri" w:hAnsi="Arial" w:cs="Arial"/>
                <w:sz w:val="24"/>
                <w:szCs w:val="24"/>
                <w:highlight w:val="green"/>
                <w:lang w:eastAsia="pt-BR"/>
              </w:rPr>
            </w:pPr>
            <w:r w:rsidRPr="00444161">
              <w:rPr>
                <w:rFonts w:ascii="Arial" w:hAnsi="Arial" w:cs="Arial"/>
                <w:sz w:val="24"/>
                <w:szCs w:val="24"/>
              </w:rPr>
              <w:t>It was</w:t>
            </w:r>
            <w:r w:rsidR="00444161" w:rsidRPr="00444161">
              <w:rPr>
                <w:rFonts w:ascii="Arial" w:hAnsi="Arial" w:cs="Arial"/>
                <w:sz w:val="24"/>
                <w:szCs w:val="24"/>
              </w:rPr>
              <w:t xml:space="preserve"> observed and analyzed the Dresden and Fast protocols.</w:t>
            </w:r>
          </w:p>
        </w:tc>
        <w:tc>
          <w:tcPr>
            <w:tcW w:w="1741" w:type="dxa"/>
            <w:tcBorders>
              <w:top w:val="single" w:sz="4" w:space="0" w:color="auto"/>
              <w:bottom w:val="single" w:sz="4" w:space="0" w:color="auto"/>
            </w:tcBorders>
          </w:tcPr>
          <w:p w14:paraId="29362113" w14:textId="6DB6EDC6" w:rsidR="00F2226B" w:rsidRPr="00444161" w:rsidRDefault="00F2226B" w:rsidP="00F2226B">
            <w:pPr>
              <w:spacing w:before="10"/>
              <w:ind w:left="39" w:firstLine="23"/>
              <w:jc w:val="center"/>
              <w:rPr>
                <w:rFonts w:ascii="Arial" w:eastAsia="Arial" w:hAnsi="Arial" w:cs="Arial"/>
                <w:b/>
                <w:color w:val="FF0000"/>
                <w:sz w:val="24"/>
                <w:szCs w:val="24"/>
                <w:lang w:eastAsia="pt-BR"/>
              </w:rPr>
            </w:pPr>
            <w:r w:rsidRPr="00444161">
              <w:rPr>
                <w:rFonts w:ascii="Arial" w:hAnsi="Arial" w:cs="Arial"/>
                <w:sz w:val="24"/>
                <w:szCs w:val="24"/>
              </w:rPr>
              <w:t>Theoretical literature review</w:t>
            </w:r>
          </w:p>
        </w:tc>
        <w:tc>
          <w:tcPr>
            <w:tcW w:w="4422" w:type="dxa"/>
            <w:tcBorders>
              <w:top w:val="single" w:sz="4" w:space="0" w:color="auto"/>
              <w:bottom w:val="single" w:sz="4" w:space="0" w:color="auto"/>
            </w:tcBorders>
          </w:tcPr>
          <w:p w14:paraId="1C9F92F9" w14:textId="0A4C85DE" w:rsidR="00F2226B" w:rsidRPr="00F2226B" w:rsidRDefault="00046910" w:rsidP="00F2226B">
            <w:pPr>
              <w:spacing w:before="10"/>
              <w:ind w:left="39" w:firstLine="18"/>
              <w:rPr>
                <w:rFonts w:ascii="Arial" w:eastAsia="Arial" w:hAnsi="Arial" w:cs="Arial"/>
                <w:bCs/>
                <w:color w:val="000000"/>
                <w:sz w:val="24"/>
                <w:szCs w:val="24"/>
                <w:highlight w:val="green"/>
                <w:lang w:eastAsia="pt-BR"/>
              </w:rPr>
            </w:pPr>
            <w:r w:rsidRPr="00046910">
              <w:rPr>
                <w:rFonts w:ascii="Arial" w:hAnsi="Arial" w:cs="Arial"/>
                <w:sz w:val="24"/>
                <w:szCs w:val="24"/>
              </w:rPr>
              <w:t xml:space="preserve">"They analyzed the main CXL protocols and cited </w:t>
            </w:r>
            <w:r w:rsidR="00694B8A" w:rsidRPr="00046910">
              <w:rPr>
                <w:rFonts w:ascii="Arial" w:hAnsi="Arial" w:cs="Arial"/>
                <w:i/>
                <w:sz w:val="24"/>
                <w:szCs w:val="24"/>
              </w:rPr>
              <w:t xml:space="preserve">melting </w:t>
            </w:r>
            <w:r w:rsidR="00F2226B" w:rsidRPr="00046910">
              <w:rPr>
                <w:rFonts w:ascii="Arial" w:hAnsi="Arial" w:cs="Arial"/>
                <w:sz w:val="24"/>
                <w:szCs w:val="24"/>
              </w:rPr>
              <w:t>as a rare complication, highlighting the importance of UV energy control and minimum corneal thickness, reinforcing the Dresden protocol as the safety standard and the Fast protocol as a potential risk factor."</w:t>
            </w:r>
          </w:p>
        </w:tc>
      </w:tr>
      <w:tr w:rsidR="00F2226B" w:rsidRPr="00D449C1" w14:paraId="7CF5922F" w14:textId="77777777" w:rsidTr="00BF4C30">
        <w:trPr>
          <w:trHeight w:val="20"/>
        </w:trPr>
        <w:tc>
          <w:tcPr>
            <w:tcW w:w="1418" w:type="dxa"/>
            <w:tcBorders>
              <w:top w:val="single" w:sz="4" w:space="0" w:color="auto"/>
              <w:bottom w:val="single" w:sz="4" w:space="0" w:color="auto"/>
            </w:tcBorders>
          </w:tcPr>
          <w:p w14:paraId="5EDB7D0A" w14:textId="2A3F972A" w:rsidR="00F2226B" w:rsidRPr="00444161" w:rsidRDefault="00F2226B" w:rsidP="006D7176">
            <w:pPr>
              <w:spacing w:before="10"/>
              <w:ind w:left="-106" w:hanging="3"/>
              <w:jc w:val="left"/>
              <w:rPr>
                <w:rFonts w:ascii="Arial" w:eastAsia="Arial" w:hAnsi="Arial" w:cs="Arial"/>
                <w:b/>
                <w:sz w:val="24"/>
                <w:szCs w:val="24"/>
                <w:lang w:eastAsia="pt-BR"/>
              </w:rPr>
            </w:pPr>
            <w:proofErr w:type="spellStart"/>
            <w:r w:rsidRPr="00444161">
              <w:rPr>
                <w:rFonts w:ascii="Arial" w:hAnsi="Arial" w:cs="Arial"/>
                <w:sz w:val="24"/>
                <w:szCs w:val="24"/>
              </w:rPr>
              <w:t>Angunawela</w:t>
            </w:r>
            <w:proofErr w:type="spellEnd"/>
            <w:r w:rsidRPr="00444161">
              <w:rPr>
                <w:rFonts w:ascii="Arial" w:hAnsi="Arial" w:cs="Arial"/>
                <w:sz w:val="24"/>
                <w:szCs w:val="24"/>
              </w:rPr>
              <w:t xml:space="preserve"> </w:t>
            </w:r>
            <w:r w:rsidR="00EF7385" w:rsidRPr="00444161">
              <w:rPr>
                <w:rFonts w:ascii="Arial" w:hAnsi="Arial" w:cs="Arial"/>
                <w:i/>
                <w:sz w:val="24"/>
                <w:szCs w:val="24"/>
              </w:rPr>
              <w:t>et al.</w:t>
            </w:r>
          </w:p>
        </w:tc>
        <w:tc>
          <w:tcPr>
            <w:tcW w:w="1276" w:type="dxa"/>
            <w:tcBorders>
              <w:top w:val="single" w:sz="4" w:space="0" w:color="auto"/>
              <w:bottom w:val="single" w:sz="4" w:space="0" w:color="auto"/>
            </w:tcBorders>
          </w:tcPr>
          <w:p w14:paraId="2558DA00" w14:textId="1924DF98" w:rsidR="00F2226B" w:rsidRPr="00444161" w:rsidRDefault="00F2226B" w:rsidP="00F2226B">
            <w:pPr>
              <w:spacing w:before="10"/>
              <w:ind w:left="39" w:right="353" w:firstLine="22"/>
              <w:jc w:val="left"/>
              <w:rPr>
                <w:rFonts w:ascii="Arial" w:eastAsia="Arial" w:hAnsi="Arial" w:cs="Arial"/>
                <w:b/>
                <w:sz w:val="24"/>
                <w:szCs w:val="24"/>
                <w:lang w:eastAsia="pt-BR"/>
              </w:rPr>
            </w:pPr>
            <w:r w:rsidRPr="00444161">
              <w:rPr>
                <w:rFonts w:ascii="Arial" w:hAnsi="Arial" w:cs="Arial"/>
                <w:sz w:val="24"/>
                <w:szCs w:val="24"/>
              </w:rPr>
              <w:t>2009</w:t>
            </w:r>
          </w:p>
        </w:tc>
        <w:tc>
          <w:tcPr>
            <w:tcW w:w="1701" w:type="dxa"/>
            <w:tcBorders>
              <w:top w:val="single" w:sz="4" w:space="0" w:color="auto"/>
              <w:bottom w:val="single" w:sz="4" w:space="0" w:color="auto"/>
            </w:tcBorders>
          </w:tcPr>
          <w:p w14:paraId="5CB00505" w14:textId="1371FF31" w:rsidR="00F2226B" w:rsidRPr="00444161" w:rsidRDefault="00F2226B" w:rsidP="00F2226B">
            <w:pPr>
              <w:spacing w:before="10"/>
              <w:ind w:left="-108" w:firstLine="22"/>
              <w:jc w:val="center"/>
              <w:rPr>
                <w:rFonts w:ascii="Arial" w:eastAsia="Arial" w:hAnsi="Arial" w:cs="Arial"/>
                <w:b/>
                <w:color w:val="FF0000"/>
                <w:sz w:val="24"/>
                <w:szCs w:val="24"/>
                <w:lang w:eastAsia="pt-BR"/>
              </w:rPr>
            </w:pPr>
            <w:r w:rsidRPr="00444161">
              <w:rPr>
                <w:rFonts w:ascii="Arial" w:hAnsi="Arial" w:cs="Arial"/>
                <w:sz w:val="24"/>
                <w:szCs w:val="24"/>
              </w:rPr>
              <w:t>ResearchGate</w:t>
            </w:r>
          </w:p>
        </w:tc>
        <w:tc>
          <w:tcPr>
            <w:tcW w:w="1843" w:type="dxa"/>
            <w:tcBorders>
              <w:top w:val="single" w:sz="4" w:space="0" w:color="auto"/>
              <w:bottom w:val="single" w:sz="4" w:space="0" w:color="auto"/>
            </w:tcBorders>
          </w:tcPr>
          <w:p w14:paraId="67BD748B" w14:textId="1B0A7CDB" w:rsidR="00F2226B" w:rsidRPr="00444161" w:rsidRDefault="00F2226B" w:rsidP="00F2226B">
            <w:pPr>
              <w:spacing w:before="10"/>
              <w:ind w:left="39" w:firstLine="22"/>
              <w:jc w:val="center"/>
              <w:rPr>
                <w:rFonts w:ascii="Arial" w:eastAsia="Arial" w:hAnsi="Arial" w:cs="Arial"/>
                <w:b/>
                <w:sz w:val="24"/>
                <w:szCs w:val="24"/>
                <w:lang w:eastAsia="pt-BR"/>
              </w:rPr>
            </w:pPr>
            <w:r w:rsidRPr="00444161">
              <w:rPr>
                <w:rFonts w:ascii="Arial" w:hAnsi="Arial" w:cs="Arial"/>
                <w:sz w:val="24"/>
                <w:szCs w:val="24"/>
              </w:rPr>
              <w:t>Case report</w:t>
            </w:r>
          </w:p>
        </w:tc>
        <w:tc>
          <w:tcPr>
            <w:tcW w:w="1276" w:type="dxa"/>
            <w:tcBorders>
              <w:top w:val="single" w:sz="4" w:space="0" w:color="auto"/>
              <w:bottom w:val="single" w:sz="4" w:space="0" w:color="auto"/>
            </w:tcBorders>
          </w:tcPr>
          <w:p w14:paraId="6A2CEFA1" w14:textId="383F81E6" w:rsidR="00F2226B" w:rsidRPr="00444161" w:rsidRDefault="00F2226B" w:rsidP="00F2226B">
            <w:pPr>
              <w:spacing w:before="10"/>
              <w:ind w:left="39" w:firstLine="22"/>
              <w:rPr>
                <w:rFonts w:ascii="Arial" w:eastAsia="Arial" w:hAnsi="Arial" w:cs="Arial"/>
                <w:bCs/>
                <w:sz w:val="24"/>
                <w:szCs w:val="24"/>
                <w:lang w:eastAsia="pt-BR"/>
              </w:rPr>
            </w:pPr>
            <w:r w:rsidRPr="00444161">
              <w:rPr>
                <w:rFonts w:ascii="Arial" w:hAnsi="Arial" w:cs="Arial"/>
                <w:sz w:val="24"/>
                <w:szCs w:val="24"/>
              </w:rPr>
              <w:t>United Kingdom</w:t>
            </w:r>
          </w:p>
        </w:tc>
        <w:tc>
          <w:tcPr>
            <w:tcW w:w="2766" w:type="dxa"/>
            <w:tcBorders>
              <w:top w:val="single" w:sz="4" w:space="0" w:color="auto"/>
              <w:bottom w:val="single" w:sz="4" w:space="0" w:color="auto"/>
            </w:tcBorders>
          </w:tcPr>
          <w:p w14:paraId="58F1EC59" w14:textId="612B99A0" w:rsidR="00F2226B" w:rsidRPr="00F2226B" w:rsidRDefault="00694B8A" w:rsidP="00F2226B">
            <w:pPr>
              <w:spacing w:before="10"/>
              <w:ind w:left="39" w:firstLine="22"/>
              <w:rPr>
                <w:rFonts w:ascii="Arial" w:eastAsia="Arial" w:hAnsi="Arial" w:cs="Arial"/>
                <w:b/>
                <w:sz w:val="24"/>
                <w:szCs w:val="24"/>
                <w:highlight w:val="green"/>
                <w:lang w:eastAsia="pt-BR"/>
              </w:rPr>
            </w:pPr>
            <w:r w:rsidRPr="00444161">
              <w:rPr>
                <w:rFonts w:ascii="Arial" w:hAnsi="Arial" w:cs="Arial"/>
                <w:i/>
                <w:sz w:val="24"/>
                <w:szCs w:val="24"/>
              </w:rPr>
              <w:t xml:space="preserve">melting </w:t>
            </w:r>
            <w:r w:rsidR="00F2226B" w:rsidRPr="00444161">
              <w:rPr>
                <w:rFonts w:ascii="Arial" w:hAnsi="Arial" w:cs="Arial"/>
                <w:sz w:val="24"/>
                <w:szCs w:val="24"/>
              </w:rPr>
              <w:t xml:space="preserve">was </w:t>
            </w:r>
            <w:proofErr w:type="gramStart"/>
            <w:r w:rsidR="00F2226B" w:rsidRPr="00444161">
              <w:rPr>
                <w:rFonts w:ascii="Arial" w:hAnsi="Arial" w:cs="Arial"/>
                <w:sz w:val="24"/>
                <w:szCs w:val="24"/>
              </w:rPr>
              <w:t>related .</w:t>
            </w:r>
            <w:proofErr w:type="gramEnd"/>
          </w:p>
        </w:tc>
        <w:tc>
          <w:tcPr>
            <w:tcW w:w="1741" w:type="dxa"/>
            <w:tcBorders>
              <w:top w:val="single" w:sz="4" w:space="0" w:color="auto"/>
              <w:bottom w:val="single" w:sz="4" w:space="0" w:color="auto"/>
            </w:tcBorders>
          </w:tcPr>
          <w:p w14:paraId="5404EBA5" w14:textId="7AA106BE" w:rsidR="00F2226B" w:rsidRPr="00444161" w:rsidRDefault="00F2226B" w:rsidP="00F2226B">
            <w:pPr>
              <w:spacing w:before="10"/>
              <w:ind w:left="39" w:firstLine="23"/>
              <w:jc w:val="center"/>
              <w:rPr>
                <w:rFonts w:ascii="Arial" w:eastAsia="Arial" w:hAnsi="Arial" w:cs="Arial"/>
                <w:b/>
                <w:color w:val="FF0000"/>
                <w:sz w:val="24"/>
                <w:szCs w:val="24"/>
                <w:lang w:eastAsia="pt-BR"/>
              </w:rPr>
            </w:pPr>
            <w:r w:rsidRPr="00444161">
              <w:rPr>
                <w:rFonts w:ascii="Arial" w:hAnsi="Arial" w:cs="Arial"/>
                <w:sz w:val="24"/>
                <w:szCs w:val="24"/>
              </w:rPr>
              <w:t>Case report</w:t>
            </w:r>
          </w:p>
        </w:tc>
        <w:tc>
          <w:tcPr>
            <w:tcW w:w="4422" w:type="dxa"/>
            <w:tcBorders>
              <w:top w:val="single" w:sz="4" w:space="0" w:color="auto"/>
              <w:bottom w:val="single" w:sz="4" w:space="0" w:color="auto"/>
            </w:tcBorders>
          </w:tcPr>
          <w:p w14:paraId="5BD1068F" w14:textId="02F4A3D8" w:rsidR="00F2226B" w:rsidRPr="00F2226B" w:rsidRDefault="00046910" w:rsidP="00F2226B">
            <w:pPr>
              <w:spacing w:before="10"/>
              <w:ind w:left="39" w:firstLine="24"/>
              <w:rPr>
                <w:rFonts w:ascii="Arial" w:eastAsia="Calibri" w:hAnsi="Arial" w:cs="Arial"/>
                <w:sz w:val="24"/>
                <w:szCs w:val="24"/>
                <w:lang w:eastAsia="pt-BR"/>
              </w:rPr>
            </w:pPr>
            <w:r w:rsidRPr="00046910">
              <w:rPr>
                <w:rFonts w:ascii="Arial" w:hAnsi="Arial" w:cs="Arial"/>
                <w:sz w:val="24"/>
                <w:szCs w:val="24"/>
              </w:rPr>
              <w:t xml:space="preserve">"They described sterile peripheral infiltrates evolving to </w:t>
            </w:r>
            <w:r w:rsidR="00694B8A" w:rsidRPr="00046910">
              <w:rPr>
                <w:rFonts w:ascii="Arial" w:hAnsi="Arial" w:cs="Arial"/>
                <w:i/>
                <w:sz w:val="24"/>
                <w:szCs w:val="24"/>
              </w:rPr>
              <w:t xml:space="preserve">melting </w:t>
            </w:r>
            <w:r w:rsidR="00F2226B" w:rsidRPr="00046910">
              <w:rPr>
                <w:rFonts w:ascii="Arial" w:hAnsi="Arial" w:cs="Arial"/>
                <w:sz w:val="24"/>
                <w:szCs w:val="24"/>
              </w:rPr>
              <w:t xml:space="preserve">after CXL in keratoconus; therefore, the study </w:t>
            </w:r>
            <w:r w:rsidR="00F2226B" w:rsidRPr="00046910">
              <w:rPr>
                <w:rFonts w:ascii="Arial" w:hAnsi="Arial" w:cs="Arial"/>
                <w:sz w:val="24"/>
                <w:szCs w:val="24"/>
              </w:rPr>
              <w:lastRenderedPageBreak/>
              <w:t>suggested a peripheral inflammatory reaction as a predisposing factor. However, there were no quantitative prevalence data, but it did show a stromal inflammatory mechanism."</w:t>
            </w:r>
          </w:p>
        </w:tc>
      </w:tr>
    </w:tbl>
    <w:p w14:paraId="240F421E" w14:textId="7923A438" w:rsidR="00BC761A" w:rsidRPr="00D449C1" w:rsidRDefault="00BC761A" w:rsidP="00BC761A">
      <w:pPr>
        <w:spacing w:line="240" w:lineRule="auto"/>
        <w:ind w:left="-709"/>
        <w:jc w:val="center"/>
        <w:rPr>
          <w:rFonts w:ascii="Arial" w:eastAsia="Calibri" w:hAnsi="Arial" w:cs="Arial"/>
          <w:i/>
          <w:iCs/>
          <w:color w:val="000000"/>
          <w:sz w:val="24"/>
          <w:szCs w:val="24"/>
          <w:lang w:eastAsia="pt-BR"/>
        </w:rPr>
      </w:pPr>
      <w:r w:rsidRPr="00D449C1">
        <w:rPr>
          <w:rFonts w:ascii="Arial" w:eastAsia="Arial" w:hAnsi="Arial" w:cs="Arial"/>
          <w:i/>
          <w:iCs/>
          <w:color w:val="000000"/>
          <w:sz w:val="24"/>
          <w:szCs w:val="24"/>
          <w:lang w:eastAsia="pt-BR"/>
        </w:rPr>
        <w:lastRenderedPageBreak/>
        <w:t>Source: Author (2025).</w:t>
      </w:r>
    </w:p>
    <w:p w14:paraId="78684AA5" w14:textId="77777777" w:rsidR="00BC761A" w:rsidRPr="00D449C1" w:rsidRDefault="00BC761A" w:rsidP="00BC761A">
      <w:pPr>
        <w:spacing w:line="240" w:lineRule="auto"/>
        <w:rPr>
          <w:rFonts w:ascii="Arial" w:eastAsia="Arial" w:hAnsi="Arial" w:cs="Arial"/>
          <w:bCs/>
          <w:sz w:val="24"/>
          <w:szCs w:val="24"/>
          <w:lang w:eastAsia="pt-BR"/>
        </w:rPr>
        <w:sectPr w:rsidR="00BC761A" w:rsidRPr="00D449C1" w:rsidSect="003E081B">
          <w:pgSz w:w="16834" w:h="11909" w:orient="landscape" w:code="9"/>
          <w:pgMar w:top="1276" w:right="1440" w:bottom="1440" w:left="1440" w:header="720" w:footer="864" w:gutter="0"/>
          <w:cols w:space="720"/>
          <w:docGrid w:linePitch="360"/>
        </w:sectPr>
      </w:pPr>
    </w:p>
    <w:p w14:paraId="566E70EC" w14:textId="3596E01C" w:rsidR="00BE79FF" w:rsidRPr="0048579B" w:rsidRDefault="009C1F4C" w:rsidP="00886457">
      <w:pPr>
        <w:spacing w:before="100" w:beforeAutospacing="1" w:after="100" w:afterAutospacing="1"/>
        <w:rPr>
          <w:rFonts w:ascii="Arial" w:hAnsi="Arial" w:cs="Arial"/>
          <w:bCs/>
          <w:sz w:val="24"/>
          <w:szCs w:val="24"/>
        </w:rPr>
      </w:pPr>
      <w:r w:rsidRPr="00843686">
        <w:rPr>
          <w:rFonts w:ascii="Arial" w:eastAsia="Arial" w:hAnsi="Arial" w:cs="Arial"/>
          <w:bCs/>
          <w:sz w:val="24"/>
          <w:szCs w:val="24"/>
        </w:rPr>
        <w:lastRenderedPageBreak/>
        <w:t>This table summarized research on</w:t>
      </w:r>
      <w:r w:rsidR="00A01EC4" w:rsidRPr="00843686">
        <w:rPr>
          <w:rFonts w:ascii="Arial" w:eastAsia="Arial" w:hAnsi="Arial" w:cs="Arial"/>
          <w:bCs/>
          <w:sz w:val="24"/>
          <w:szCs w:val="24"/>
        </w:rPr>
        <w:t xml:space="preserve"> Corneal </w:t>
      </w:r>
      <w:r w:rsidR="00A01EC4" w:rsidRPr="00115CEE">
        <w:rPr>
          <w:rFonts w:ascii="Arial" w:eastAsia="Times New Roman" w:hAnsi="Arial" w:cs="Arial"/>
          <w:bCs/>
          <w:i/>
          <w:sz w:val="24"/>
          <w:szCs w:val="24"/>
          <w:lang w:val="en-US" w:eastAsia="pt-BR"/>
        </w:rPr>
        <w:t xml:space="preserve">melting </w:t>
      </w:r>
      <w:r w:rsidR="00A01EC4" w:rsidRPr="00115CEE">
        <w:rPr>
          <w:rFonts w:ascii="Arial" w:eastAsia="Times New Roman" w:hAnsi="Arial" w:cs="Arial"/>
          <w:bCs/>
          <w:sz w:val="24"/>
          <w:szCs w:val="24"/>
          <w:lang w:val="en-US" w:eastAsia="pt-BR"/>
        </w:rPr>
        <w:t xml:space="preserve">after </w:t>
      </w:r>
      <w:proofErr w:type="gramStart"/>
      <w:r w:rsidR="00A01EC4" w:rsidRPr="00115CEE">
        <w:rPr>
          <w:rFonts w:ascii="Arial" w:eastAsia="Times New Roman" w:hAnsi="Arial" w:cs="Arial"/>
          <w:bCs/>
          <w:i/>
          <w:sz w:val="24"/>
          <w:szCs w:val="24"/>
          <w:lang w:val="en-US" w:eastAsia="pt-BR"/>
        </w:rPr>
        <w:t xml:space="preserve">crosslinking </w:t>
      </w:r>
      <w:r w:rsidRPr="00843686">
        <w:rPr>
          <w:rFonts w:ascii="Arial" w:eastAsia="Arial" w:hAnsi="Arial" w:cs="Arial"/>
          <w:bCs/>
          <w:sz w:val="24"/>
          <w:szCs w:val="24"/>
        </w:rPr>
        <w:t>,</w:t>
      </w:r>
      <w:proofErr w:type="gramEnd"/>
      <w:r w:rsidRPr="00843686">
        <w:rPr>
          <w:rFonts w:ascii="Arial" w:eastAsia="Arial" w:hAnsi="Arial" w:cs="Arial"/>
          <w:bCs/>
          <w:sz w:val="24"/>
          <w:szCs w:val="24"/>
        </w:rPr>
        <w:t xml:space="preserve"> highlighting the main findings in this field. For this purpose, findings such as those of </w:t>
      </w:r>
      <w:proofErr w:type="spellStart"/>
      <w:r w:rsidR="00ED0686" w:rsidRPr="00843686">
        <w:rPr>
          <w:rFonts w:ascii="Arial" w:eastAsia="Times New Roman" w:hAnsi="Arial" w:cs="Arial"/>
          <w:bCs/>
          <w:sz w:val="24"/>
          <w:szCs w:val="24"/>
          <w:lang w:eastAsia="pt-BR"/>
        </w:rPr>
        <w:t>Tillmann</w:t>
      </w:r>
      <w:proofErr w:type="spellEnd"/>
      <w:r w:rsidR="00ED0686" w:rsidRPr="00843686">
        <w:rPr>
          <w:rFonts w:ascii="Arial" w:eastAsia="Times New Roman" w:hAnsi="Arial" w:cs="Arial"/>
          <w:bCs/>
          <w:sz w:val="24"/>
          <w:szCs w:val="24"/>
          <w:lang w:eastAsia="pt-BR"/>
        </w:rPr>
        <w:t xml:space="preserve"> </w:t>
      </w:r>
      <w:r w:rsidR="00EF7385" w:rsidRPr="00843686">
        <w:rPr>
          <w:rFonts w:ascii="Arial" w:eastAsia="Times New Roman" w:hAnsi="Arial" w:cs="Arial"/>
          <w:bCs/>
          <w:i/>
          <w:sz w:val="24"/>
          <w:szCs w:val="24"/>
          <w:lang w:eastAsia="pt-BR"/>
        </w:rPr>
        <w:t xml:space="preserve">et al. </w:t>
      </w:r>
      <w:r w:rsidR="00ED0686" w:rsidRPr="00843686">
        <w:rPr>
          <w:rFonts w:ascii="Arial" w:eastAsia="Times New Roman" w:hAnsi="Arial" w:cs="Arial"/>
          <w:bCs/>
          <w:sz w:val="24"/>
          <w:szCs w:val="24"/>
          <w:lang w:eastAsia="pt-BR"/>
        </w:rPr>
        <w:t xml:space="preserve">(2022), who reported two cases of acute corneal </w:t>
      </w:r>
      <w:r w:rsidR="00694B8A" w:rsidRPr="00843686">
        <w:rPr>
          <w:rFonts w:ascii="Arial" w:eastAsia="Times New Roman" w:hAnsi="Arial" w:cs="Arial"/>
          <w:bCs/>
          <w:i/>
          <w:sz w:val="24"/>
          <w:szCs w:val="24"/>
          <w:lang w:eastAsia="pt-BR"/>
        </w:rPr>
        <w:t xml:space="preserve">melting </w:t>
      </w:r>
      <w:r w:rsidR="00ED0686" w:rsidRPr="00843686">
        <w:rPr>
          <w:rFonts w:ascii="Arial" w:eastAsia="Times New Roman" w:hAnsi="Arial" w:cs="Arial"/>
          <w:bCs/>
          <w:sz w:val="24"/>
          <w:szCs w:val="24"/>
          <w:lang w:eastAsia="pt-BR"/>
        </w:rPr>
        <w:t xml:space="preserve">with perforation after standard CXL, where the complication manifested a few days after the procedure, reinforcing the need for rigorous monitoring in the immediate postoperative period; in this vein, Bennani </w:t>
      </w:r>
      <w:r w:rsidR="00EF7385" w:rsidRPr="00843686">
        <w:rPr>
          <w:rFonts w:ascii="Arial" w:eastAsia="Times New Roman" w:hAnsi="Arial" w:cs="Arial"/>
          <w:bCs/>
          <w:i/>
          <w:sz w:val="24"/>
          <w:szCs w:val="24"/>
          <w:lang w:eastAsia="pt-BR"/>
        </w:rPr>
        <w:t xml:space="preserve">et al. </w:t>
      </w:r>
      <w:r w:rsidR="00ED0686" w:rsidRPr="00843686">
        <w:rPr>
          <w:rFonts w:ascii="Arial" w:eastAsia="Times New Roman" w:hAnsi="Arial" w:cs="Arial"/>
          <w:bCs/>
          <w:sz w:val="24"/>
          <w:szCs w:val="24"/>
          <w:lang w:eastAsia="pt-BR"/>
        </w:rPr>
        <w:t xml:space="preserve">(2025) described a case of corneal necrosis after accelerated CXL, also with early onset, suggesting that protocols with higher ultraviolet energy intensity may increase the risk of </w:t>
      </w:r>
      <w:r w:rsidR="00694B8A" w:rsidRPr="00843686">
        <w:rPr>
          <w:rFonts w:ascii="Arial" w:eastAsia="Times New Roman" w:hAnsi="Arial" w:cs="Arial"/>
          <w:bCs/>
          <w:i/>
          <w:sz w:val="24"/>
          <w:szCs w:val="24"/>
          <w:lang w:eastAsia="pt-BR"/>
        </w:rPr>
        <w:t xml:space="preserve">melting </w:t>
      </w:r>
      <w:r w:rsidR="00ED0686" w:rsidRPr="00843686">
        <w:rPr>
          <w:rFonts w:ascii="Arial" w:eastAsia="Times New Roman" w:hAnsi="Arial" w:cs="Arial"/>
          <w:bCs/>
          <w:sz w:val="24"/>
          <w:szCs w:val="24"/>
          <w:lang w:eastAsia="pt-BR"/>
        </w:rPr>
        <w:t>, especially in younger patients. Furthermore,</w:t>
      </w:r>
      <w:r w:rsidR="00843686" w:rsidRPr="004D7E46">
        <w:rPr>
          <w:rFonts w:ascii="Arial" w:eastAsia="Arial" w:hAnsi="Arial" w:cs="Arial"/>
          <w:bCs/>
          <w:sz w:val="24"/>
          <w:szCs w:val="24"/>
        </w:rPr>
        <w:t xml:space="preserve"> </w:t>
      </w:r>
      <w:proofErr w:type="spellStart"/>
      <w:r w:rsidR="00ED0686" w:rsidRPr="004D7E46">
        <w:rPr>
          <w:rFonts w:ascii="Arial" w:eastAsia="Times New Roman" w:hAnsi="Arial" w:cs="Arial"/>
          <w:bCs/>
          <w:sz w:val="24"/>
          <w:szCs w:val="24"/>
          <w:lang w:eastAsia="pt-BR"/>
        </w:rPr>
        <w:t>Moramarco</w:t>
      </w:r>
      <w:proofErr w:type="spellEnd"/>
      <w:r w:rsidR="00ED0686" w:rsidRPr="004D7E46">
        <w:rPr>
          <w:rFonts w:ascii="Arial" w:eastAsia="Times New Roman" w:hAnsi="Arial" w:cs="Arial"/>
          <w:bCs/>
          <w:sz w:val="24"/>
          <w:szCs w:val="24"/>
          <w:lang w:eastAsia="pt-BR"/>
        </w:rPr>
        <w:t xml:space="preserve"> </w:t>
      </w:r>
      <w:r w:rsidR="00EF7385" w:rsidRPr="004D7E46">
        <w:rPr>
          <w:rFonts w:ascii="Arial" w:eastAsia="Times New Roman" w:hAnsi="Arial" w:cs="Arial"/>
          <w:bCs/>
          <w:i/>
          <w:sz w:val="24"/>
          <w:szCs w:val="24"/>
          <w:lang w:eastAsia="pt-BR"/>
        </w:rPr>
        <w:t xml:space="preserve">et al. </w:t>
      </w:r>
      <w:r w:rsidR="00ED0686" w:rsidRPr="004D7E46">
        <w:rPr>
          <w:rFonts w:ascii="Arial" w:eastAsia="Times New Roman" w:hAnsi="Arial" w:cs="Arial"/>
          <w:bCs/>
          <w:sz w:val="24"/>
          <w:szCs w:val="24"/>
          <w:lang w:eastAsia="pt-BR"/>
        </w:rPr>
        <w:t xml:space="preserve">(2024), in their case report and systematic review, showed that </w:t>
      </w:r>
      <w:r w:rsidR="00694B8A" w:rsidRPr="004D7E46">
        <w:rPr>
          <w:rFonts w:ascii="Arial" w:eastAsia="Times New Roman" w:hAnsi="Arial" w:cs="Arial"/>
          <w:bCs/>
          <w:i/>
          <w:sz w:val="24"/>
          <w:szCs w:val="24"/>
          <w:lang w:eastAsia="pt-BR"/>
        </w:rPr>
        <w:t xml:space="preserve">melting </w:t>
      </w:r>
      <w:r w:rsidR="00ED0686" w:rsidRPr="004D7E46">
        <w:rPr>
          <w:rFonts w:ascii="Arial" w:eastAsia="Times New Roman" w:hAnsi="Arial" w:cs="Arial"/>
          <w:bCs/>
          <w:sz w:val="24"/>
          <w:szCs w:val="24"/>
          <w:lang w:eastAsia="pt-BR"/>
        </w:rPr>
        <w:t xml:space="preserve">occurred predominantly in the first few days after accelerated corneal laser grafting (CXL), corroborating the existence of a period of greater tissue vulnerability in the first few weeks. Similarly, Naranjo and Manche (2024), in a narrative review, highlighted that corneas with pachymetry below 400 µm are at increased risk, although they did not quantify the specific prevalence. Furthermore, studies such as those by </w:t>
      </w:r>
      <w:proofErr w:type="spellStart"/>
      <w:r w:rsidR="00ED0686" w:rsidRPr="004D7E46">
        <w:rPr>
          <w:rFonts w:ascii="Arial" w:eastAsia="Times New Roman" w:hAnsi="Arial" w:cs="Arial"/>
          <w:bCs/>
          <w:sz w:val="24"/>
          <w:szCs w:val="24"/>
          <w:lang w:eastAsia="pt-BR"/>
        </w:rPr>
        <w:t>Kodavoor</w:t>
      </w:r>
      <w:proofErr w:type="spellEnd"/>
      <w:r w:rsidR="00ED0686" w:rsidRPr="004D7E46">
        <w:rPr>
          <w:rFonts w:ascii="Arial" w:eastAsia="Times New Roman" w:hAnsi="Arial" w:cs="Arial"/>
          <w:bCs/>
          <w:sz w:val="24"/>
          <w:szCs w:val="24"/>
          <w:lang w:eastAsia="pt-BR"/>
        </w:rPr>
        <w:t xml:space="preserve"> </w:t>
      </w:r>
      <w:r w:rsidR="00EF7385" w:rsidRPr="004D7E46">
        <w:rPr>
          <w:rFonts w:ascii="Arial" w:eastAsia="Times New Roman" w:hAnsi="Arial" w:cs="Arial"/>
          <w:bCs/>
          <w:i/>
          <w:sz w:val="24"/>
          <w:szCs w:val="24"/>
          <w:lang w:eastAsia="pt-BR"/>
        </w:rPr>
        <w:t xml:space="preserve">et al. </w:t>
      </w:r>
      <w:r w:rsidR="00ED0686" w:rsidRPr="004D7E46">
        <w:rPr>
          <w:rFonts w:ascii="Arial" w:eastAsia="Times New Roman" w:hAnsi="Arial" w:cs="Arial"/>
          <w:bCs/>
          <w:sz w:val="24"/>
          <w:szCs w:val="24"/>
          <w:lang w:eastAsia="pt-BR"/>
        </w:rPr>
        <w:t xml:space="preserve">(2024) and Mohamed-Noriega </w:t>
      </w:r>
      <w:r w:rsidR="00EF7385" w:rsidRPr="004D7E46">
        <w:rPr>
          <w:rFonts w:ascii="Arial" w:eastAsia="Times New Roman" w:hAnsi="Arial" w:cs="Arial"/>
          <w:bCs/>
          <w:i/>
          <w:sz w:val="24"/>
          <w:szCs w:val="24"/>
          <w:lang w:eastAsia="pt-BR"/>
        </w:rPr>
        <w:t xml:space="preserve">et al. </w:t>
      </w:r>
      <w:r w:rsidR="00ED0686" w:rsidRPr="004D7E46">
        <w:rPr>
          <w:rFonts w:ascii="Arial" w:eastAsia="Times New Roman" w:hAnsi="Arial" w:cs="Arial"/>
          <w:bCs/>
          <w:sz w:val="24"/>
          <w:szCs w:val="24"/>
          <w:lang w:eastAsia="pt-BR"/>
        </w:rPr>
        <w:t xml:space="preserve">(2016) clearly associated low pre-existing corneal thickness (ranging from 212 to 351 µm) with the development of </w:t>
      </w:r>
      <w:proofErr w:type="gramStart"/>
      <w:r w:rsidR="00694B8A" w:rsidRPr="004D7E46">
        <w:rPr>
          <w:rFonts w:ascii="Arial" w:eastAsia="Times New Roman" w:hAnsi="Arial" w:cs="Arial"/>
          <w:bCs/>
          <w:i/>
          <w:sz w:val="24"/>
          <w:szCs w:val="24"/>
          <w:lang w:eastAsia="pt-BR"/>
        </w:rPr>
        <w:t xml:space="preserve">melting </w:t>
      </w:r>
      <w:r w:rsidR="00ED0686" w:rsidRPr="004D7E46">
        <w:rPr>
          <w:rFonts w:ascii="Arial" w:eastAsia="Times New Roman" w:hAnsi="Arial" w:cs="Arial"/>
          <w:bCs/>
          <w:sz w:val="24"/>
          <w:szCs w:val="24"/>
          <w:lang w:eastAsia="pt-BR"/>
        </w:rPr>
        <w:t>,</w:t>
      </w:r>
      <w:proofErr w:type="gramEnd"/>
      <w:r w:rsidR="00ED0686" w:rsidRPr="004D7E46">
        <w:rPr>
          <w:rFonts w:ascii="Arial" w:eastAsia="Times New Roman" w:hAnsi="Arial" w:cs="Arial"/>
          <w:bCs/>
          <w:sz w:val="24"/>
          <w:szCs w:val="24"/>
          <w:lang w:eastAsia="pt-BR"/>
        </w:rPr>
        <w:t xml:space="preserve"> occurring within the first month post-procedure, while </w:t>
      </w:r>
      <w:proofErr w:type="spellStart"/>
      <w:r w:rsidR="00ED0686" w:rsidRPr="004D7E46">
        <w:rPr>
          <w:rFonts w:ascii="Arial" w:eastAsia="Times New Roman" w:hAnsi="Arial" w:cs="Arial"/>
          <w:bCs/>
          <w:sz w:val="24"/>
          <w:szCs w:val="24"/>
          <w:lang w:eastAsia="pt-BR"/>
        </w:rPr>
        <w:t>Almodin</w:t>
      </w:r>
      <w:proofErr w:type="spellEnd"/>
      <w:r w:rsidR="00ED0686" w:rsidRPr="004D7E46">
        <w:rPr>
          <w:rFonts w:ascii="Arial" w:eastAsia="Times New Roman" w:hAnsi="Arial" w:cs="Arial"/>
          <w:bCs/>
          <w:sz w:val="24"/>
          <w:szCs w:val="24"/>
          <w:lang w:eastAsia="pt-BR"/>
        </w:rPr>
        <w:t xml:space="preserve"> </w:t>
      </w:r>
      <w:r w:rsidR="00EF7385" w:rsidRPr="004D7E46">
        <w:rPr>
          <w:rFonts w:ascii="Arial" w:eastAsia="Times New Roman" w:hAnsi="Arial" w:cs="Arial"/>
          <w:bCs/>
          <w:i/>
          <w:sz w:val="24"/>
          <w:szCs w:val="24"/>
          <w:lang w:eastAsia="pt-BR"/>
        </w:rPr>
        <w:t xml:space="preserve">et al. </w:t>
      </w:r>
      <w:r w:rsidR="00ED0686" w:rsidRPr="004D7E46">
        <w:rPr>
          <w:rFonts w:ascii="Arial" w:eastAsia="Times New Roman" w:hAnsi="Arial" w:cs="Arial"/>
          <w:bCs/>
          <w:sz w:val="24"/>
          <w:szCs w:val="24"/>
          <w:lang w:eastAsia="pt-BR"/>
        </w:rPr>
        <w:t xml:space="preserve">(2010) and </w:t>
      </w:r>
      <w:proofErr w:type="spellStart"/>
      <w:r w:rsidR="00ED0686" w:rsidRPr="004D7E46">
        <w:rPr>
          <w:rFonts w:ascii="Arial" w:eastAsia="Times New Roman" w:hAnsi="Arial" w:cs="Arial"/>
          <w:bCs/>
          <w:sz w:val="24"/>
          <w:szCs w:val="24"/>
          <w:lang w:eastAsia="pt-BR"/>
        </w:rPr>
        <w:t>Labiris</w:t>
      </w:r>
      <w:proofErr w:type="spellEnd"/>
      <w:r w:rsidR="00ED0686" w:rsidRPr="004D7E46">
        <w:rPr>
          <w:rFonts w:ascii="Arial" w:eastAsia="Times New Roman" w:hAnsi="Arial" w:cs="Arial"/>
          <w:bCs/>
          <w:sz w:val="24"/>
          <w:szCs w:val="24"/>
          <w:lang w:eastAsia="pt-BR"/>
        </w:rPr>
        <w:t xml:space="preserve"> </w:t>
      </w:r>
      <w:r w:rsidR="00EF7385" w:rsidRPr="004D7E46">
        <w:rPr>
          <w:rFonts w:ascii="Arial" w:eastAsia="Times New Roman" w:hAnsi="Arial" w:cs="Arial"/>
          <w:bCs/>
          <w:i/>
          <w:sz w:val="24"/>
          <w:szCs w:val="24"/>
          <w:lang w:eastAsia="pt-BR"/>
        </w:rPr>
        <w:t xml:space="preserve">et al. </w:t>
      </w:r>
      <w:r w:rsidR="00ED0686" w:rsidRPr="004D7E46">
        <w:rPr>
          <w:rFonts w:ascii="Arial" w:eastAsia="Times New Roman" w:hAnsi="Arial" w:cs="Arial"/>
          <w:bCs/>
          <w:sz w:val="24"/>
          <w:szCs w:val="24"/>
          <w:lang w:eastAsia="pt-BR"/>
        </w:rPr>
        <w:t xml:space="preserve">(2011) also reported cases in thin corneas, reinforcing the 400 µm threshold as a relevant safety parameter. Regarding the different protocols, Gadelha </w:t>
      </w:r>
      <w:r w:rsidR="00EF7385" w:rsidRPr="004D7E46">
        <w:rPr>
          <w:rFonts w:ascii="Arial" w:eastAsia="Times New Roman" w:hAnsi="Arial" w:cs="Arial"/>
          <w:bCs/>
          <w:i/>
          <w:sz w:val="24"/>
          <w:szCs w:val="24"/>
          <w:lang w:eastAsia="pt-BR"/>
        </w:rPr>
        <w:t xml:space="preserve">et al. </w:t>
      </w:r>
      <w:r w:rsidR="00ED0686" w:rsidRPr="004D7E46">
        <w:rPr>
          <w:rFonts w:ascii="Arial" w:eastAsia="Times New Roman" w:hAnsi="Arial" w:cs="Arial"/>
          <w:bCs/>
          <w:sz w:val="24"/>
          <w:szCs w:val="24"/>
          <w:lang w:eastAsia="pt-BR"/>
        </w:rPr>
        <w:t xml:space="preserve">(2010) pointed to the Dresden CXL as the gold standard for safety, while accelerated variants and those with </w:t>
      </w:r>
      <w:proofErr w:type="spellStart"/>
      <w:r w:rsidR="00ED0686" w:rsidRPr="004D7E46">
        <w:rPr>
          <w:rFonts w:ascii="Arial" w:eastAsia="Times New Roman" w:hAnsi="Arial" w:cs="Arial"/>
          <w:bCs/>
          <w:sz w:val="24"/>
          <w:szCs w:val="24"/>
          <w:lang w:eastAsia="pt-BR"/>
        </w:rPr>
        <w:t>hypoosmolar</w:t>
      </w:r>
      <w:proofErr w:type="spellEnd"/>
      <w:r w:rsidR="00ED0686" w:rsidRPr="004D7E46">
        <w:rPr>
          <w:rFonts w:ascii="Arial" w:eastAsia="Times New Roman" w:hAnsi="Arial" w:cs="Arial"/>
          <w:bCs/>
          <w:sz w:val="24"/>
          <w:szCs w:val="24"/>
          <w:lang w:eastAsia="pt-BR"/>
        </w:rPr>
        <w:t xml:space="preserve"> riboflavin were identified as potential risk factors by Wu </w:t>
      </w:r>
      <w:r w:rsidR="00EF7385" w:rsidRPr="004D7E46">
        <w:rPr>
          <w:rFonts w:ascii="Arial" w:eastAsia="Times New Roman" w:hAnsi="Arial" w:cs="Arial"/>
          <w:bCs/>
          <w:i/>
          <w:sz w:val="24"/>
          <w:szCs w:val="24"/>
          <w:lang w:eastAsia="pt-BR"/>
        </w:rPr>
        <w:t xml:space="preserve">et al. </w:t>
      </w:r>
      <w:r w:rsidR="00ED0686" w:rsidRPr="004D7E46">
        <w:rPr>
          <w:rFonts w:ascii="Arial" w:eastAsia="Times New Roman" w:hAnsi="Arial" w:cs="Arial"/>
          <w:bCs/>
          <w:sz w:val="24"/>
          <w:szCs w:val="24"/>
          <w:lang w:eastAsia="pt-BR"/>
        </w:rPr>
        <w:t xml:space="preserve">(2021), who elucidated the biochemical mechanisms of exacerbated stromal degradation in these contexts. Furthermore, Kilian </w:t>
      </w:r>
      <w:r w:rsidR="00EF7385" w:rsidRPr="004D7E46">
        <w:rPr>
          <w:rFonts w:ascii="Arial" w:eastAsia="Times New Roman" w:hAnsi="Arial" w:cs="Arial"/>
          <w:bCs/>
          <w:i/>
          <w:sz w:val="24"/>
          <w:szCs w:val="24"/>
          <w:lang w:eastAsia="pt-BR"/>
        </w:rPr>
        <w:t xml:space="preserve">et al. </w:t>
      </w:r>
      <w:r w:rsidR="00ED0686" w:rsidRPr="004D7E46">
        <w:rPr>
          <w:rFonts w:ascii="Arial" w:eastAsia="Times New Roman" w:hAnsi="Arial" w:cs="Arial"/>
          <w:bCs/>
          <w:sz w:val="24"/>
          <w:szCs w:val="24"/>
          <w:lang w:eastAsia="pt-BR"/>
        </w:rPr>
        <w:t xml:space="preserve">(2024), although not focusing on the primary incidence of </w:t>
      </w:r>
      <w:proofErr w:type="gramStart"/>
      <w:r w:rsidR="00694B8A" w:rsidRPr="004D7E46">
        <w:rPr>
          <w:rFonts w:ascii="Arial" w:eastAsia="Times New Roman" w:hAnsi="Arial" w:cs="Arial"/>
          <w:bCs/>
          <w:i/>
          <w:sz w:val="24"/>
          <w:szCs w:val="24"/>
          <w:lang w:eastAsia="pt-BR"/>
        </w:rPr>
        <w:t xml:space="preserve">melting </w:t>
      </w:r>
      <w:r w:rsidR="00ED0686" w:rsidRPr="004D7E46">
        <w:rPr>
          <w:rFonts w:ascii="Arial" w:eastAsia="Times New Roman" w:hAnsi="Arial" w:cs="Arial"/>
          <w:bCs/>
          <w:sz w:val="24"/>
          <w:szCs w:val="24"/>
          <w:lang w:eastAsia="pt-BR"/>
        </w:rPr>
        <w:t>,</w:t>
      </w:r>
      <w:proofErr w:type="gramEnd"/>
      <w:r w:rsidR="00ED0686" w:rsidRPr="004D7E46">
        <w:rPr>
          <w:rFonts w:ascii="Arial" w:eastAsia="Times New Roman" w:hAnsi="Arial" w:cs="Arial"/>
          <w:bCs/>
          <w:sz w:val="24"/>
          <w:szCs w:val="24"/>
          <w:lang w:eastAsia="pt-BR"/>
        </w:rPr>
        <w:t xml:space="preserve"> observed late outcomes in patients undergoing corneal grafts after this complication, indicating the severity and potential chronicity of the condition. Chiu </w:t>
      </w:r>
      <w:r w:rsidR="00EF7385" w:rsidRPr="004D7E46">
        <w:rPr>
          <w:rFonts w:ascii="Arial" w:eastAsia="Times New Roman" w:hAnsi="Arial" w:cs="Arial"/>
          <w:bCs/>
          <w:i/>
          <w:sz w:val="24"/>
          <w:szCs w:val="24"/>
          <w:lang w:eastAsia="pt-BR"/>
        </w:rPr>
        <w:t xml:space="preserve">et al. </w:t>
      </w:r>
      <w:r w:rsidR="00ED0686" w:rsidRPr="004D7E46">
        <w:rPr>
          <w:rFonts w:ascii="Arial" w:eastAsia="Times New Roman" w:hAnsi="Arial" w:cs="Arial"/>
          <w:bCs/>
          <w:sz w:val="24"/>
          <w:szCs w:val="24"/>
          <w:lang w:eastAsia="pt-BR"/>
        </w:rPr>
        <w:t xml:space="preserve">(2017), after reporting a case of </w:t>
      </w:r>
      <w:r w:rsidR="00694B8A" w:rsidRPr="004D7E46">
        <w:rPr>
          <w:rFonts w:ascii="Arial" w:eastAsia="Times New Roman" w:hAnsi="Arial" w:cs="Arial"/>
          <w:bCs/>
          <w:i/>
          <w:sz w:val="24"/>
          <w:szCs w:val="24"/>
          <w:lang w:eastAsia="pt-BR"/>
        </w:rPr>
        <w:t xml:space="preserve">melting </w:t>
      </w:r>
      <w:r w:rsidR="00ED0686" w:rsidRPr="004D7E46">
        <w:rPr>
          <w:rFonts w:ascii="Arial" w:eastAsia="Times New Roman" w:hAnsi="Arial" w:cs="Arial"/>
          <w:bCs/>
          <w:sz w:val="24"/>
          <w:szCs w:val="24"/>
          <w:lang w:eastAsia="pt-BR"/>
        </w:rPr>
        <w:t xml:space="preserve">months after CXL, suggested that the risk may persist beyond the initial period. In parallel, </w:t>
      </w:r>
      <w:proofErr w:type="spellStart"/>
      <w:r w:rsidR="00ED0686" w:rsidRPr="004D7E46">
        <w:rPr>
          <w:rFonts w:ascii="Arial" w:eastAsia="Times New Roman" w:hAnsi="Arial" w:cs="Arial"/>
          <w:bCs/>
          <w:sz w:val="24"/>
          <w:szCs w:val="24"/>
          <w:lang w:eastAsia="pt-BR"/>
        </w:rPr>
        <w:t>Kocak</w:t>
      </w:r>
      <w:proofErr w:type="spellEnd"/>
      <w:r w:rsidR="00ED0686" w:rsidRPr="004D7E46">
        <w:rPr>
          <w:rFonts w:ascii="Arial" w:eastAsia="Times New Roman" w:hAnsi="Arial" w:cs="Arial"/>
          <w:bCs/>
          <w:sz w:val="24"/>
          <w:szCs w:val="24"/>
          <w:lang w:eastAsia="pt-BR"/>
        </w:rPr>
        <w:t xml:space="preserve"> </w:t>
      </w:r>
      <w:r w:rsidR="00EF7385" w:rsidRPr="004B2629">
        <w:rPr>
          <w:rFonts w:ascii="Arial" w:eastAsia="Times New Roman" w:hAnsi="Arial" w:cs="Arial"/>
          <w:bCs/>
          <w:i/>
          <w:sz w:val="24"/>
          <w:szCs w:val="24"/>
          <w:lang w:eastAsia="pt-BR"/>
        </w:rPr>
        <w:t xml:space="preserve">et al. </w:t>
      </w:r>
      <w:r w:rsidR="00ED0686" w:rsidRPr="004B2629">
        <w:rPr>
          <w:rFonts w:ascii="Arial" w:eastAsia="Times New Roman" w:hAnsi="Arial" w:cs="Arial"/>
          <w:bCs/>
          <w:sz w:val="24"/>
          <w:szCs w:val="24"/>
          <w:lang w:eastAsia="pt-BR"/>
        </w:rPr>
        <w:t xml:space="preserve">(2015) and Said </w:t>
      </w:r>
      <w:r w:rsidR="00EF7385" w:rsidRPr="004B2629">
        <w:rPr>
          <w:rFonts w:ascii="Arial" w:eastAsia="Times New Roman" w:hAnsi="Arial" w:cs="Arial"/>
          <w:bCs/>
          <w:i/>
          <w:sz w:val="24"/>
          <w:szCs w:val="24"/>
          <w:lang w:eastAsia="pt-BR"/>
        </w:rPr>
        <w:t xml:space="preserve">et al. </w:t>
      </w:r>
      <w:r w:rsidR="00ED0686" w:rsidRPr="004B2629">
        <w:rPr>
          <w:rFonts w:ascii="Arial" w:eastAsia="Times New Roman" w:hAnsi="Arial" w:cs="Arial"/>
          <w:bCs/>
          <w:sz w:val="24"/>
          <w:szCs w:val="24"/>
          <w:lang w:eastAsia="pt-BR"/>
        </w:rPr>
        <w:t xml:space="preserve">(2014) emphasized the importance of differential diagnosis between </w:t>
      </w:r>
      <w:r w:rsidR="00ED0686" w:rsidRPr="004D7E46">
        <w:rPr>
          <w:rFonts w:ascii="Arial" w:eastAsia="Times New Roman" w:hAnsi="Arial" w:cs="Arial"/>
          <w:bCs/>
          <w:sz w:val="24"/>
          <w:szCs w:val="24"/>
          <w:lang w:eastAsia="pt-BR"/>
        </w:rPr>
        <w:t xml:space="preserve">sterile and infectious </w:t>
      </w:r>
      <w:proofErr w:type="gramStart"/>
      <w:r w:rsidR="00694B8A" w:rsidRPr="004D7E46">
        <w:rPr>
          <w:rFonts w:ascii="Arial" w:eastAsia="Times New Roman" w:hAnsi="Arial" w:cs="Arial"/>
          <w:bCs/>
          <w:i/>
          <w:sz w:val="24"/>
          <w:szCs w:val="24"/>
          <w:lang w:eastAsia="pt-BR"/>
        </w:rPr>
        <w:t>melting ,</w:t>
      </w:r>
      <w:proofErr w:type="gramEnd"/>
      <w:r w:rsidR="00694B8A" w:rsidRPr="004D7E46">
        <w:rPr>
          <w:rFonts w:ascii="Arial" w:eastAsia="Times New Roman" w:hAnsi="Arial" w:cs="Arial"/>
          <w:bCs/>
          <w:i/>
          <w:sz w:val="24"/>
          <w:szCs w:val="24"/>
          <w:lang w:eastAsia="pt-BR"/>
        </w:rPr>
        <w:t xml:space="preserve"> highlighting the multifactorial nature of the complication. </w:t>
      </w:r>
      <w:proofErr w:type="spellStart"/>
      <w:r w:rsidR="00ED0686" w:rsidRPr="004D7E46">
        <w:rPr>
          <w:rFonts w:ascii="Arial" w:eastAsia="Times New Roman" w:hAnsi="Arial" w:cs="Arial"/>
          <w:bCs/>
          <w:sz w:val="24"/>
          <w:szCs w:val="24"/>
          <w:lang w:eastAsia="pt-BR"/>
        </w:rPr>
        <w:t>Angunawela</w:t>
      </w:r>
      <w:proofErr w:type="spellEnd"/>
      <w:r w:rsidR="00ED0686" w:rsidRPr="004D7E46">
        <w:rPr>
          <w:rFonts w:ascii="Arial" w:eastAsia="Times New Roman" w:hAnsi="Arial" w:cs="Arial"/>
          <w:bCs/>
          <w:sz w:val="24"/>
          <w:szCs w:val="24"/>
          <w:lang w:eastAsia="pt-BR"/>
        </w:rPr>
        <w:t xml:space="preserve"> </w:t>
      </w:r>
      <w:r w:rsidR="00EF7385" w:rsidRPr="004D7E46">
        <w:rPr>
          <w:rFonts w:ascii="Arial" w:eastAsia="Times New Roman" w:hAnsi="Arial" w:cs="Arial"/>
          <w:bCs/>
          <w:i/>
          <w:sz w:val="24"/>
          <w:szCs w:val="24"/>
          <w:lang w:eastAsia="pt-BR"/>
        </w:rPr>
        <w:t xml:space="preserve">et al. </w:t>
      </w:r>
      <w:r w:rsidR="00ED0686" w:rsidRPr="004D7E46">
        <w:rPr>
          <w:rFonts w:ascii="Arial" w:eastAsia="Times New Roman" w:hAnsi="Arial" w:cs="Arial"/>
          <w:bCs/>
          <w:sz w:val="24"/>
          <w:szCs w:val="24"/>
          <w:lang w:eastAsia="pt-BR"/>
        </w:rPr>
        <w:t xml:space="preserve">(2009) described sterile peripheral infiltrates as possible precursors to </w:t>
      </w:r>
      <w:proofErr w:type="gramStart"/>
      <w:r w:rsidR="00694B8A" w:rsidRPr="004D7E46">
        <w:rPr>
          <w:rFonts w:ascii="Arial" w:eastAsia="Times New Roman" w:hAnsi="Arial" w:cs="Arial"/>
          <w:bCs/>
          <w:i/>
          <w:sz w:val="24"/>
          <w:szCs w:val="24"/>
          <w:lang w:eastAsia="pt-BR"/>
        </w:rPr>
        <w:t xml:space="preserve">melting </w:t>
      </w:r>
      <w:r w:rsidR="00ED0686" w:rsidRPr="004D7E46">
        <w:rPr>
          <w:rFonts w:ascii="Arial" w:eastAsia="Times New Roman" w:hAnsi="Arial" w:cs="Arial"/>
          <w:bCs/>
          <w:sz w:val="24"/>
          <w:szCs w:val="24"/>
          <w:lang w:eastAsia="pt-BR"/>
        </w:rPr>
        <w:t>,</w:t>
      </w:r>
      <w:proofErr w:type="gramEnd"/>
      <w:r w:rsidR="00ED0686" w:rsidRPr="004D7E46">
        <w:rPr>
          <w:rFonts w:ascii="Arial" w:eastAsia="Times New Roman" w:hAnsi="Arial" w:cs="Arial"/>
          <w:bCs/>
          <w:sz w:val="24"/>
          <w:szCs w:val="24"/>
          <w:lang w:eastAsia="pt-BR"/>
        </w:rPr>
        <w:t xml:space="preserve"> broadening the pathophysiological </w:t>
      </w:r>
      <w:r w:rsidR="00ED0686" w:rsidRPr="004D7E46">
        <w:rPr>
          <w:rFonts w:ascii="Arial" w:eastAsia="Times New Roman" w:hAnsi="Arial" w:cs="Arial"/>
          <w:bCs/>
          <w:sz w:val="24"/>
          <w:szCs w:val="24"/>
          <w:lang w:eastAsia="pt-BR"/>
        </w:rPr>
        <w:lastRenderedPageBreak/>
        <w:t xml:space="preserve">understanding. Thus, the reviewed studies agree that </w:t>
      </w:r>
      <w:r w:rsidR="004D7E46" w:rsidRPr="004D7E46">
        <w:rPr>
          <w:rFonts w:ascii="Arial" w:eastAsia="Times New Roman" w:hAnsi="Arial" w:cs="Arial"/>
          <w:bCs/>
          <w:sz w:val="24"/>
          <w:szCs w:val="24"/>
          <w:lang w:eastAsia="pt-BR"/>
        </w:rPr>
        <w:t xml:space="preserve">post -CXL corneal </w:t>
      </w:r>
      <w:r w:rsidR="00694B8A" w:rsidRPr="004D7E46">
        <w:rPr>
          <w:rFonts w:ascii="Arial" w:eastAsia="Times New Roman" w:hAnsi="Arial" w:cs="Arial"/>
          <w:bCs/>
          <w:i/>
          <w:sz w:val="24"/>
          <w:szCs w:val="24"/>
          <w:lang w:eastAsia="pt-BR"/>
        </w:rPr>
        <w:t xml:space="preserve">melting </w:t>
      </w:r>
      <w:r w:rsidR="00ED0686" w:rsidRPr="004D7E46">
        <w:rPr>
          <w:rFonts w:ascii="Arial" w:eastAsia="Times New Roman" w:hAnsi="Arial" w:cs="Arial"/>
          <w:bCs/>
          <w:sz w:val="24"/>
          <w:szCs w:val="24"/>
          <w:lang w:eastAsia="pt-BR"/>
        </w:rPr>
        <w:t>is a rare but serious event, with a prevalence that is difficult to quantify precisely due to the sporadic nature of the reports; however, the association with reduced pachymetry and accelerated protocols is consistent, and the period of greatest risk is concentrated in the first weeks after the procedure.</w:t>
      </w:r>
    </w:p>
    <w:p w14:paraId="515650F9" w14:textId="01A14339" w:rsidR="001F6FB7" w:rsidRPr="0048579B" w:rsidRDefault="001F6FB7" w:rsidP="00B35AD9">
      <w:pPr>
        <w:pStyle w:val="ListParagraph"/>
        <w:numPr>
          <w:ilvl w:val="0"/>
          <w:numId w:val="18"/>
        </w:numPr>
        <w:ind w:left="0" w:firstLine="0"/>
        <w:outlineLvl w:val="0"/>
        <w:rPr>
          <w:rFonts w:ascii="Arial" w:hAnsi="Arial" w:cs="Arial"/>
          <w:b/>
          <w:bCs/>
          <w:sz w:val="24"/>
          <w:szCs w:val="24"/>
        </w:rPr>
      </w:pPr>
      <w:r w:rsidRPr="0048579B">
        <w:rPr>
          <w:rFonts w:ascii="Arial" w:hAnsi="Arial" w:cs="Arial"/>
          <w:b/>
          <w:bCs/>
          <w:sz w:val="24"/>
          <w:szCs w:val="24"/>
        </w:rPr>
        <w:t>DISCUSSION</w:t>
      </w:r>
    </w:p>
    <w:p w14:paraId="3EC3E06E" w14:textId="77777777" w:rsidR="00C377E1" w:rsidRPr="0048579B" w:rsidRDefault="00C377E1" w:rsidP="00C377E1">
      <w:pPr>
        <w:pStyle w:val="ListParagraph"/>
        <w:ind w:left="390" w:firstLine="0"/>
        <w:outlineLvl w:val="0"/>
        <w:rPr>
          <w:rFonts w:ascii="Arial" w:hAnsi="Arial" w:cs="Arial"/>
          <w:b/>
          <w:bCs/>
          <w:sz w:val="24"/>
          <w:szCs w:val="24"/>
        </w:rPr>
      </w:pPr>
    </w:p>
    <w:p w14:paraId="40F2AF82" w14:textId="5E06B003" w:rsidR="0048579B" w:rsidRPr="00B75A8C" w:rsidRDefault="009C1F4C" w:rsidP="00B75A8C">
      <w:pPr>
        <w:pStyle w:val="1"/>
        <w:numPr>
          <w:ilvl w:val="0"/>
          <w:numId w:val="0"/>
        </w:numPr>
        <w:spacing w:line="360" w:lineRule="auto"/>
        <w:ind w:firstLine="709"/>
        <w:rPr>
          <w:rFonts w:ascii="Arial" w:hAnsi="Arial" w:cs="Arial"/>
          <w:b w:val="0"/>
          <w:bCs w:val="0"/>
          <w:szCs w:val="24"/>
        </w:rPr>
      </w:pPr>
      <w:r w:rsidRPr="0048579B">
        <w:rPr>
          <w:rFonts w:ascii="Arial" w:eastAsia="Times New Roman" w:hAnsi="Arial" w:cs="Arial"/>
          <w:b w:val="0"/>
          <w:bCs w:val="0"/>
        </w:rPr>
        <w:t xml:space="preserve">This research compared results on corneal </w:t>
      </w:r>
      <w:r w:rsidR="0048579B" w:rsidRPr="00B75A8C">
        <w:rPr>
          <w:rFonts w:ascii="Arial" w:eastAsia="Times New Roman" w:hAnsi="Arial" w:cs="Arial"/>
          <w:b w:val="0"/>
          <w:bCs w:val="0"/>
          <w:i/>
          <w:iCs/>
        </w:rPr>
        <w:t xml:space="preserve">melting </w:t>
      </w:r>
      <w:r w:rsidR="0048579B" w:rsidRPr="00B75A8C">
        <w:rPr>
          <w:rFonts w:ascii="Arial" w:eastAsia="Times New Roman" w:hAnsi="Arial" w:cs="Arial"/>
          <w:b w:val="0"/>
          <w:bCs w:val="0"/>
        </w:rPr>
        <w:t xml:space="preserve">after </w:t>
      </w:r>
      <w:proofErr w:type="gramStart"/>
      <w:r w:rsidR="0048579B" w:rsidRPr="00B75A8C">
        <w:rPr>
          <w:rFonts w:ascii="Arial" w:eastAsia="Times New Roman" w:hAnsi="Arial" w:cs="Arial"/>
          <w:b w:val="0"/>
          <w:bCs w:val="0"/>
          <w:i/>
          <w:iCs/>
        </w:rPr>
        <w:t xml:space="preserve">crosslinking </w:t>
      </w:r>
      <w:r w:rsidRPr="00B75A8C">
        <w:rPr>
          <w:rFonts w:ascii="Arial" w:eastAsia="Times New Roman" w:hAnsi="Arial" w:cs="Arial"/>
          <w:b w:val="0"/>
          <w:bCs w:val="0"/>
        </w:rPr>
        <w:t>,</w:t>
      </w:r>
      <w:proofErr w:type="gramEnd"/>
      <w:r w:rsidRPr="00B75A8C">
        <w:rPr>
          <w:rFonts w:ascii="Arial" w:eastAsia="Times New Roman" w:hAnsi="Arial" w:cs="Arial"/>
          <w:b w:val="0"/>
          <w:bCs w:val="0"/>
        </w:rPr>
        <w:t xml:space="preserve"> analyzing available scientific evidence on its occurrence, as well as the relationship between </w:t>
      </w:r>
      <w:r w:rsidR="0048579B" w:rsidRPr="00B75A8C">
        <w:rPr>
          <w:rFonts w:ascii="Arial" w:hAnsi="Arial" w:cs="Arial"/>
          <w:b w:val="0"/>
          <w:bCs w:val="0"/>
          <w:szCs w:val="24"/>
        </w:rPr>
        <w:t xml:space="preserve">different CXL protocols </w:t>
      </w:r>
      <w:r w:rsidR="0048579B" w:rsidRPr="00B75A8C">
        <w:rPr>
          <w:rFonts w:ascii="Arial" w:eastAsia="Times New Roman" w:hAnsi="Arial" w:cs="Arial"/>
          <w:b w:val="0"/>
          <w:bCs w:val="0"/>
        </w:rPr>
        <w:t xml:space="preserve">, pachymetry, CXL, </w:t>
      </w:r>
      <w:r w:rsidR="0048579B" w:rsidRPr="00B75A8C">
        <w:rPr>
          <w:rFonts w:ascii="Arial" w:hAnsi="Arial" w:cs="Arial"/>
          <w:b w:val="0"/>
          <w:bCs w:val="0"/>
          <w:szCs w:val="24"/>
        </w:rPr>
        <w:t xml:space="preserve">time intervals of manifestation </w:t>
      </w:r>
      <w:r w:rsidR="0048579B" w:rsidRPr="0048579B">
        <w:rPr>
          <w:rFonts w:ascii="Arial" w:eastAsia="Times New Roman" w:hAnsi="Arial" w:cs="Arial"/>
          <w:b w:val="0"/>
          <w:bCs w:val="0"/>
        </w:rPr>
        <w:t xml:space="preserve">, and corneal </w:t>
      </w:r>
      <w:r w:rsidR="0048579B" w:rsidRPr="00B75A8C">
        <w:rPr>
          <w:rFonts w:ascii="Arial" w:eastAsia="Times New Roman" w:hAnsi="Arial" w:cs="Arial"/>
          <w:b w:val="0"/>
          <w:bCs w:val="0"/>
          <w:i/>
          <w:iCs/>
        </w:rPr>
        <w:t xml:space="preserve">melting </w:t>
      </w:r>
      <w:r w:rsidR="0048579B" w:rsidRPr="0048579B">
        <w:rPr>
          <w:rFonts w:ascii="Arial" w:eastAsia="Times New Roman" w:hAnsi="Arial" w:cs="Arial"/>
          <w:b w:val="0"/>
          <w:bCs w:val="0"/>
        </w:rPr>
        <w:t xml:space="preserve">. Therefore, in this discussion, organized into three main categories, relevant studies on </w:t>
      </w:r>
      <w:r w:rsidR="0048579B" w:rsidRPr="00B75A8C">
        <w:rPr>
          <w:rFonts w:ascii="Arial" w:hAnsi="Arial" w:cs="Arial"/>
          <w:b w:val="0"/>
          <w:bCs w:val="0"/>
          <w:szCs w:val="24"/>
        </w:rPr>
        <w:t xml:space="preserve">the analysis of the relationship between pachymetry values prior to CXL and the development of corneal </w:t>
      </w:r>
      <w:r w:rsidR="00B75A8C" w:rsidRPr="00B75A8C">
        <w:rPr>
          <w:rFonts w:ascii="Arial" w:hAnsi="Arial" w:cs="Arial"/>
          <w:b w:val="0"/>
          <w:bCs w:val="0"/>
          <w:i/>
          <w:szCs w:val="24"/>
        </w:rPr>
        <w:t xml:space="preserve">melting were compared </w:t>
      </w:r>
      <w:r w:rsidR="00B75A8C" w:rsidRPr="00B75A8C">
        <w:rPr>
          <w:rFonts w:ascii="Arial" w:hAnsi="Arial" w:cs="Arial"/>
          <w:b w:val="0"/>
          <w:bCs w:val="0"/>
          <w:szCs w:val="24"/>
        </w:rPr>
        <w:t xml:space="preserve">; as well as characterizing the occurrence of corneal </w:t>
      </w:r>
      <w:r w:rsidR="00B75A8C" w:rsidRPr="00B75A8C">
        <w:rPr>
          <w:rFonts w:ascii="Arial" w:hAnsi="Arial" w:cs="Arial"/>
          <w:b w:val="0"/>
          <w:bCs w:val="0"/>
          <w:i/>
          <w:szCs w:val="24"/>
        </w:rPr>
        <w:t xml:space="preserve">melting </w:t>
      </w:r>
      <w:r w:rsidR="00B75A8C" w:rsidRPr="00B75A8C">
        <w:rPr>
          <w:rFonts w:ascii="Arial" w:hAnsi="Arial" w:cs="Arial"/>
          <w:b w:val="0"/>
          <w:bCs w:val="0"/>
          <w:szCs w:val="24"/>
        </w:rPr>
        <w:t xml:space="preserve">in the Dresden, sub-400, Fast, and </w:t>
      </w:r>
      <w:proofErr w:type="spellStart"/>
      <w:r w:rsidR="00B75A8C" w:rsidRPr="00B75A8C">
        <w:rPr>
          <w:rFonts w:ascii="Arial" w:hAnsi="Arial" w:cs="Arial"/>
          <w:b w:val="0"/>
          <w:bCs w:val="0"/>
          <w:szCs w:val="24"/>
        </w:rPr>
        <w:t>hypoosmolar</w:t>
      </w:r>
      <w:proofErr w:type="spellEnd"/>
      <w:r w:rsidR="00B75A8C" w:rsidRPr="00B75A8C">
        <w:rPr>
          <w:rFonts w:ascii="Arial" w:hAnsi="Arial" w:cs="Arial"/>
          <w:b w:val="0"/>
          <w:bCs w:val="0"/>
          <w:szCs w:val="24"/>
        </w:rPr>
        <w:t xml:space="preserve"> riboflavin protocols applied to CXL </w:t>
      </w:r>
      <w:r w:rsidR="00CE6587" w:rsidRPr="00B75A8C">
        <w:rPr>
          <w:rFonts w:ascii="Arial" w:hAnsi="Arial" w:cs="Arial"/>
          <w:b w:val="0"/>
          <w:szCs w:val="24"/>
        </w:rPr>
        <w:t xml:space="preserve">, and also discussing the </w:t>
      </w:r>
      <w:r w:rsidR="00B75A8C" w:rsidRPr="00B75A8C">
        <w:rPr>
          <w:rFonts w:ascii="Arial" w:hAnsi="Arial" w:cs="Arial"/>
          <w:b w:val="0"/>
          <w:bCs w:val="0"/>
          <w:szCs w:val="24"/>
        </w:rPr>
        <w:t xml:space="preserve">period of manifestation of corneal </w:t>
      </w:r>
      <w:r w:rsidR="00B75A8C" w:rsidRPr="00B75A8C">
        <w:rPr>
          <w:rFonts w:ascii="Arial" w:hAnsi="Arial" w:cs="Arial"/>
          <w:b w:val="0"/>
          <w:bCs w:val="0"/>
          <w:i/>
          <w:szCs w:val="24"/>
        </w:rPr>
        <w:t xml:space="preserve">melting </w:t>
      </w:r>
      <w:r w:rsidR="00B75A8C" w:rsidRPr="00B75A8C">
        <w:rPr>
          <w:rFonts w:ascii="Arial" w:hAnsi="Arial" w:cs="Arial"/>
          <w:b w:val="0"/>
          <w:bCs w:val="0"/>
          <w:szCs w:val="24"/>
        </w:rPr>
        <w:t xml:space="preserve">post-CXL through qualitative analysis of the time intervals reported in the literature </w:t>
      </w:r>
      <w:r w:rsidRPr="00B75A8C">
        <w:rPr>
          <w:rFonts w:ascii="Arial" w:eastAsia="Times New Roman" w:hAnsi="Arial" w:cs="Arial"/>
          <w:b w:val="0"/>
          <w:bCs w:val="0"/>
        </w:rPr>
        <w:t xml:space="preserve">, </w:t>
      </w:r>
      <w:r w:rsidRPr="00B75A8C">
        <w:rPr>
          <w:rFonts w:ascii="Arial" w:eastAsia="Arial" w:hAnsi="Arial" w:cs="Arial"/>
          <w:b w:val="0"/>
          <w:bCs w:val="0"/>
          <w:szCs w:val="24"/>
        </w:rPr>
        <w:t xml:space="preserve">according to </w:t>
      </w:r>
      <w:r w:rsidRPr="00B75A8C">
        <w:rPr>
          <w:rFonts w:ascii="Arial" w:hAnsi="Arial" w:cs="Arial"/>
          <w:b w:val="0"/>
          <w:bCs w:val="0"/>
          <w:szCs w:val="24"/>
        </w:rPr>
        <w:t xml:space="preserve">the studies shown in Table 1 </w:t>
      </w:r>
      <w:r w:rsidRPr="00B75A8C">
        <w:rPr>
          <w:rFonts w:ascii="Arial" w:eastAsia="Arial" w:hAnsi="Arial" w:cs="Arial"/>
          <w:b w:val="0"/>
          <w:bCs w:val="0"/>
          <w:szCs w:val="24"/>
        </w:rPr>
        <w:t>.</w:t>
      </w:r>
    </w:p>
    <w:p w14:paraId="5896BC56" w14:textId="77777777" w:rsidR="00B75A8C" w:rsidRDefault="00B75A8C" w:rsidP="00B75A8C">
      <w:pPr>
        <w:ind w:firstLine="0"/>
        <w:rPr>
          <w:rFonts w:ascii="Arial" w:hAnsi="Arial" w:cs="Arial"/>
          <w:bCs/>
          <w:sz w:val="24"/>
          <w:szCs w:val="24"/>
        </w:rPr>
      </w:pPr>
    </w:p>
    <w:p w14:paraId="42893702" w14:textId="496A7D09" w:rsidR="009C1F4C" w:rsidRPr="00D449C1" w:rsidRDefault="00B35AD9" w:rsidP="009C1F4C">
      <w:pPr>
        <w:pStyle w:val="ListParagraph"/>
        <w:ind w:left="0" w:firstLine="0"/>
        <w:outlineLvl w:val="0"/>
        <w:rPr>
          <w:rFonts w:ascii="Arial" w:hAnsi="Arial" w:cs="Arial"/>
          <w:b/>
          <w:bCs/>
          <w:sz w:val="24"/>
          <w:szCs w:val="24"/>
        </w:rPr>
      </w:pPr>
      <w:r>
        <w:rPr>
          <w:rFonts w:ascii="Arial" w:eastAsia="Times New Roman" w:hAnsi="Arial" w:cs="Arial"/>
          <w:b/>
          <w:bCs/>
          <w:sz w:val="24"/>
          <w:szCs w:val="28"/>
          <w:lang w:eastAsia="pt-BR"/>
        </w:rPr>
        <w:t xml:space="preserve">4.1. </w:t>
      </w:r>
      <w:r w:rsidR="00B75A8C" w:rsidRPr="00115CEE">
        <w:rPr>
          <w:rFonts w:ascii="Arial" w:hAnsi="Arial" w:cs="Arial"/>
          <w:b/>
          <w:sz w:val="24"/>
          <w:szCs w:val="24"/>
        </w:rPr>
        <w:t xml:space="preserve">The relationship between pachymetry values prior to CXL and the development of corneal melting </w:t>
      </w:r>
    </w:p>
    <w:p w14:paraId="10ACE0C6" w14:textId="77777777" w:rsidR="00487E49" w:rsidRPr="00D449C1" w:rsidRDefault="00487E49" w:rsidP="009C1F4C">
      <w:pPr>
        <w:pStyle w:val="ListParagraph"/>
        <w:ind w:left="0" w:firstLine="0"/>
        <w:outlineLvl w:val="0"/>
        <w:rPr>
          <w:rFonts w:ascii="Arial" w:hAnsi="Arial" w:cs="Arial"/>
          <w:b/>
          <w:bCs/>
          <w:sz w:val="24"/>
          <w:szCs w:val="24"/>
        </w:rPr>
      </w:pPr>
    </w:p>
    <w:p w14:paraId="6C42CDED" w14:textId="08EAFADD" w:rsidR="00255A59" w:rsidRPr="00D449C1" w:rsidRDefault="00E56DDD" w:rsidP="00E56DDD">
      <w:pPr>
        <w:outlineLvl w:val="1"/>
        <w:rPr>
          <w:rFonts w:ascii="Arial" w:eastAsia="Times New Roman" w:hAnsi="Arial" w:cs="Arial"/>
          <w:sz w:val="24"/>
          <w:szCs w:val="28"/>
          <w:lang w:eastAsia="pt-BR"/>
        </w:rPr>
      </w:pPr>
      <w:r w:rsidRPr="004B2629">
        <w:rPr>
          <w:rFonts w:ascii="Arial" w:eastAsia="Times New Roman" w:hAnsi="Arial" w:cs="Arial"/>
          <w:sz w:val="24"/>
          <w:szCs w:val="28"/>
          <w:lang w:eastAsia="pt-BR"/>
        </w:rPr>
        <w:t xml:space="preserve">After analyzing the research in this review, it was possible to establish a relationship between preoperative corneal pachymetry and the risk of developing corneal </w:t>
      </w:r>
      <w:r w:rsidR="00694B8A" w:rsidRPr="004B2629">
        <w:rPr>
          <w:rFonts w:ascii="Arial" w:eastAsia="Times New Roman" w:hAnsi="Arial" w:cs="Arial"/>
          <w:i/>
          <w:sz w:val="24"/>
          <w:szCs w:val="28"/>
          <w:lang w:eastAsia="pt-BR"/>
        </w:rPr>
        <w:t xml:space="preserve">melting </w:t>
      </w:r>
      <w:r w:rsidRPr="004B2629">
        <w:rPr>
          <w:rFonts w:ascii="Arial" w:eastAsia="Times New Roman" w:hAnsi="Arial" w:cs="Arial"/>
          <w:sz w:val="24"/>
          <w:szCs w:val="28"/>
          <w:lang w:eastAsia="pt-BR"/>
        </w:rPr>
        <w:t xml:space="preserve">after the CXL procedure, given that Naranjo and Manche (2024) reinforced that corneas with a thickness of less than 400 µm present greater vulnerability, a finding that aligns with the original Dresden protocol, established as a safety reference. In parallel, research such as that of </w:t>
      </w:r>
      <w:proofErr w:type="spellStart"/>
      <w:r w:rsidRPr="004B2629">
        <w:rPr>
          <w:rFonts w:ascii="Arial" w:eastAsia="Times New Roman" w:hAnsi="Arial" w:cs="Arial"/>
          <w:sz w:val="24"/>
          <w:szCs w:val="28"/>
          <w:lang w:eastAsia="pt-BR"/>
        </w:rPr>
        <w:t>Kodavoor</w:t>
      </w:r>
      <w:proofErr w:type="spellEnd"/>
      <w:r w:rsidRPr="004B2629">
        <w:rPr>
          <w:rFonts w:ascii="Arial" w:eastAsia="Times New Roman" w:hAnsi="Arial" w:cs="Arial"/>
          <w:sz w:val="24"/>
          <w:szCs w:val="28"/>
          <w:lang w:eastAsia="pt-BR"/>
        </w:rPr>
        <w:t xml:space="preserve"> </w:t>
      </w:r>
      <w:r w:rsidR="00EF7385" w:rsidRPr="004B2629">
        <w:rPr>
          <w:rFonts w:ascii="Arial" w:eastAsia="Times New Roman" w:hAnsi="Arial" w:cs="Arial"/>
          <w:i/>
          <w:sz w:val="24"/>
          <w:szCs w:val="28"/>
          <w:lang w:eastAsia="pt-BR"/>
        </w:rPr>
        <w:t xml:space="preserve">et al. </w:t>
      </w:r>
      <w:r w:rsidRPr="004B2629">
        <w:rPr>
          <w:rFonts w:ascii="Arial" w:eastAsia="Times New Roman" w:hAnsi="Arial" w:cs="Arial"/>
          <w:sz w:val="24"/>
          <w:szCs w:val="28"/>
          <w:lang w:eastAsia="pt-BR"/>
        </w:rPr>
        <w:t xml:space="preserve">(2024) and Mohamed-Noriega </w:t>
      </w:r>
      <w:r w:rsidR="00EF7385" w:rsidRPr="004B2629">
        <w:rPr>
          <w:rFonts w:ascii="Arial" w:eastAsia="Times New Roman" w:hAnsi="Arial" w:cs="Arial"/>
          <w:i/>
          <w:sz w:val="24"/>
          <w:szCs w:val="28"/>
          <w:lang w:eastAsia="pt-BR"/>
        </w:rPr>
        <w:t xml:space="preserve">et al. </w:t>
      </w:r>
      <w:r w:rsidRPr="004B2629">
        <w:rPr>
          <w:rFonts w:ascii="Arial" w:eastAsia="Times New Roman" w:hAnsi="Arial" w:cs="Arial"/>
          <w:sz w:val="24"/>
          <w:szCs w:val="28"/>
          <w:lang w:eastAsia="pt-BR"/>
        </w:rPr>
        <w:t xml:space="preserve">(2016) documented cases of </w:t>
      </w:r>
      <w:r w:rsidR="00694B8A" w:rsidRPr="004B2629">
        <w:rPr>
          <w:rFonts w:ascii="Arial" w:eastAsia="Times New Roman" w:hAnsi="Arial" w:cs="Arial"/>
          <w:i/>
          <w:sz w:val="24"/>
          <w:szCs w:val="28"/>
          <w:lang w:eastAsia="pt-BR"/>
        </w:rPr>
        <w:t xml:space="preserve">melting </w:t>
      </w:r>
      <w:r w:rsidRPr="004B2629">
        <w:rPr>
          <w:rFonts w:ascii="Arial" w:eastAsia="Times New Roman" w:hAnsi="Arial" w:cs="Arial"/>
          <w:sz w:val="24"/>
          <w:szCs w:val="28"/>
          <w:lang w:eastAsia="pt-BR"/>
        </w:rPr>
        <w:t xml:space="preserve">in patients with pachymetry ranging between 212 and 351 µm, confirming that previous corneal thinning constitutes a prominent risk factor; while </w:t>
      </w:r>
      <w:proofErr w:type="spellStart"/>
      <w:r w:rsidRPr="004B2629">
        <w:rPr>
          <w:rFonts w:ascii="Arial" w:eastAsia="Times New Roman" w:hAnsi="Arial" w:cs="Arial"/>
          <w:sz w:val="24"/>
          <w:szCs w:val="28"/>
          <w:lang w:eastAsia="pt-BR"/>
        </w:rPr>
        <w:t>Almodin</w:t>
      </w:r>
      <w:proofErr w:type="spellEnd"/>
      <w:r w:rsidRPr="004B2629">
        <w:rPr>
          <w:rFonts w:ascii="Arial" w:eastAsia="Times New Roman" w:hAnsi="Arial" w:cs="Arial"/>
          <w:sz w:val="24"/>
          <w:szCs w:val="28"/>
          <w:lang w:eastAsia="pt-BR"/>
        </w:rPr>
        <w:t xml:space="preserve"> </w:t>
      </w:r>
      <w:r w:rsidR="00EF7385" w:rsidRPr="004B2629">
        <w:rPr>
          <w:rFonts w:ascii="Arial" w:eastAsia="Times New Roman" w:hAnsi="Arial" w:cs="Arial"/>
          <w:i/>
          <w:sz w:val="24"/>
          <w:szCs w:val="28"/>
          <w:lang w:eastAsia="pt-BR"/>
        </w:rPr>
        <w:t xml:space="preserve">et al. </w:t>
      </w:r>
      <w:r w:rsidRPr="004B2629">
        <w:rPr>
          <w:rFonts w:ascii="Arial" w:eastAsia="Times New Roman" w:hAnsi="Arial" w:cs="Arial"/>
          <w:sz w:val="24"/>
          <w:szCs w:val="28"/>
          <w:lang w:eastAsia="pt-BR"/>
        </w:rPr>
        <w:t xml:space="preserve">(2010) and </w:t>
      </w:r>
      <w:proofErr w:type="spellStart"/>
      <w:r w:rsidRPr="004B2629">
        <w:rPr>
          <w:rFonts w:ascii="Arial" w:eastAsia="Times New Roman" w:hAnsi="Arial" w:cs="Arial"/>
          <w:sz w:val="24"/>
          <w:szCs w:val="28"/>
          <w:lang w:eastAsia="pt-BR"/>
        </w:rPr>
        <w:t>Labiris</w:t>
      </w:r>
      <w:proofErr w:type="spellEnd"/>
      <w:r w:rsidRPr="004B2629">
        <w:rPr>
          <w:rFonts w:ascii="Arial" w:eastAsia="Times New Roman" w:hAnsi="Arial" w:cs="Arial"/>
          <w:sz w:val="24"/>
          <w:szCs w:val="28"/>
          <w:lang w:eastAsia="pt-BR"/>
        </w:rPr>
        <w:t xml:space="preserve"> </w:t>
      </w:r>
      <w:r w:rsidR="00EF7385" w:rsidRPr="004B2629">
        <w:rPr>
          <w:rFonts w:ascii="Arial" w:eastAsia="Times New Roman" w:hAnsi="Arial" w:cs="Arial"/>
          <w:i/>
          <w:sz w:val="24"/>
          <w:szCs w:val="28"/>
          <w:lang w:eastAsia="pt-BR"/>
        </w:rPr>
        <w:t xml:space="preserve">et al. </w:t>
      </w:r>
      <w:r w:rsidRPr="004B2629">
        <w:rPr>
          <w:rFonts w:ascii="Arial" w:eastAsia="Times New Roman" w:hAnsi="Arial" w:cs="Arial"/>
          <w:sz w:val="24"/>
          <w:szCs w:val="28"/>
          <w:lang w:eastAsia="pt-BR"/>
        </w:rPr>
        <w:t xml:space="preserve">(2011) also reported similar occurrences, highlighting the importance of </w:t>
      </w:r>
      <w:r w:rsidRPr="004B2629">
        <w:rPr>
          <w:rFonts w:ascii="Arial" w:eastAsia="Times New Roman" w:hAnsi="Arial" w:cs="Arial"/>
          <w:sz w:val="24"/>
          <w:szCs w:val="28"/>
          <w:lang w:eastAsia="pt-BR"/>
        </w:rPr>
        <w:lastRenderedPageBreak/>
        <w:t xml:space="preserve">respecting a minimum thickness threshold. Furthermore, Bennani </w:t>
      </w:r>
      <w:r w:rsidR="00EF7385" w:rsidRPr="0063477C">
        <w:rPr>
          <w:rFonts w:ascii="Arial" w:eastAsia="Times New Roman" w:hAnsi="Arial" w:cs="Arial"/>
          <w:i/>
          <w:sz w:val="24"/>
          <w:szCs w:val="28"/>
          <w:lang w:eastAsia="pt-BR"/>
        </w:rPr>
        <w:t xml:space="preserve">et al. </w:t>
      </w:r>
      <w:r w:rsidRPr="0063477C">
        <w:rPr>
          <w:rFonts w:ascii="Arial" w:eastAsia="Times New Roman" w:hAnsi="Arial" w:cs="Arial"/>
          <w:sz w:val="24"/>
          <w:szCs w:val="28"/>
          <w:lang w:eastAsia="pt-BR"/>
        </w:rPr>
        <w:t xml:space="preserve">(2025) observed that even accelerated protocols, when applied to borderline corneas, can precipitate stromal necrosis events, suggesting that the intensity of ultraviolet energy employed is not an isolated factor, but acts in synergy with low thickness, a view also corroborated by </w:t>
      </w:r>
      <w:proofErr w:type="spellStart"/>
      <w:r w:rsidRPr="0063477C">
        <w:rPr>
          <w:rFonts w:ascii="Arial" w:eastAsia="Times New Roman" w:hAnsi="Arial" w:cs="Arial"/>
          <w:sz w:val="24"/>
          <w:szCs w:val="28"/>
          <w:lang w:eastAsia="pt-BR"/>
        </w:rPr>
        <w:t>Moramarco</w:t>
      </w:r>
      <w:proofErr w:type="spellEnd"/>
      <w:r w:rsidRPr="0063477C">
        <w:rPr>
          <w:rFonts w:ascii="Arial" w:eastAsia="Times New Roman" w:hAnsi="Arial" w:cs="Arial"/>
          <w:sz w:val="24"/>
          <w:szCs w:val="28"/>
          <w:lang w:eastAsia="pt-BR"/>
        </w:rPr>
        <w:t xml:space="preserve"> </w:t>
      </w:r>
      <w:r w:rsidR="00EF7385" w:rsidRPr="0063477C">
        <w:rPr>
          <w:rFonts w:ascii="Arial" w:eastAsia="Times New Roman" w:hAnsi="Arial" w:cs="Arial"/>
          <w:i/>
          <w:sz w:val="24"/>
          <w:szCs w:val="28"/>
          <w:lang w:eastAsia="pt-BR"/>
        </w:rPr>
        <w:t xml:space="preserve">et al. </w:t>
      </w:r>
      <w:r w:rsidRPr="0063477C">
        <w:rPr>
          <w:rFonts w:ascii="Arial" w:eastAsia="Times New Roman" w:hAnsi="Arial" w:cs="Arial"/>
          <w:sz w:val="24"/>
          <w:szCs w:val="28"/>
          <w:lang w:eastAsia="pt-BR"/>
        </w:rPr>
        <w:t xml:space="preserve">(2024), who identified early </w:t>
      </w:r>
      <w:r w:rsidR="00694B8A" w:rsidRPr="0063477C">
        <w:rPr>
          <w:rFonts w:ascii="Arial" w:eastAsia="Times New Roman" w:hAnsi="Arial" w:cs="Arial"/>
          <w:i/>
          <w:sz w:val="24"/>
          <w:szCs w:val="28"/>
          <w:lang w:eastAsia="pt-BR"/>
        </w:rPr>
        <w:t xml:space="preserve">melting </w:t>
      </w:r>
      <w:r w:rsidRPr="0063477C">
        <w:rPr>
          <w:rFonts w:ascii="Arial" w:eastAsia="Times New Roman" w:hAnsi="Arial" w:cs="Arial"/>
          <w:sz w:val="24"/>
          <w:szCs w:val="28"/>
          <w:lang w:eastAsia="pt-BR"/>
        </w:rPr>
        <w:t xml:space="preserve">in thin corneas subjected to accelerated CXL; in addition to Wu </w:t>
      </w:r>
      <w:r w:rsidR="00EF7385" w:rsidRPr="0063477C">
        <w:rPr>
          <w:rFonts w:ascii="Arial" w:eastAsia="Times New Roman" w:hAnsi="Arial" w:cs="Arial"/>
          <w:i/>
          <w:sz w:val="24"/>
          <w:szCs w:val="28"/>
          <w:lang w:eastAsia="pt-BR"/>
        </w:rPr>
        <w:t xml:space="preserve">et al. </w:t>
      </w:r>
      <w:r w:rsidRPr="0063477C">
        <w:rPr>
          <w:rFonts w:ascii="Arial" w:eastAsia="Times New Roman" w:hAnsi="Arial" w:cs="Arial"/>
          <w:sz w:val="24"/>
          <w:szCs w:val="28"/>
          <w:lang w:eastAsia="pt-BR"/>
        </w:rPr>
        <w:t xml:space="preserve">(2021) who elucidated the underlying pathophysiological mechanisms, demonstrating that oxidative stress and enzymatic imbalance are exacerbated in thinner corneas, facilitating collagen degradation, a biochemical understanding that provides the rational basis for the clinical observations reiterated in the literature. However, it is also pertinent to point out that pachymetry is not the only determinant, since </w:t>
      </w:r>
      <w:proofErr w:type="spellStart"/>
      <w:r w:rsidRPr="0063477C">
        <w:rPr>
          <w:rFonts w:ascii="Arial" w:eastAsia="Times New Roman" w:hAnsi="Arial" w:cs="Arial"/>
          <w:sz w:val="24"/>
          <w:szCs w:val="28"/>
          <w:lang w:eastAsia="pt-BR"/>
        </w:rPr>
        <w:t>Tillmann</w:t>
      </w:r>
      <w:proofErr w:type="spellEnd"/>
      <w:r w:rsidRPr="0063477C">
        <w:rPr>
          <w:rFonts w:ascii="Arial" w:eastAsia="Times New Roman" w:hAnsi="Arial" w:cs="Arial"/>
          <w:sz w:val="24"/>
          <w:szCs w:val="28"/>
          <w:lang w:eastAsia="pt-BR"/>
        </w:rPr>
        <w:t xml:space="preserve"> </w:t>
      </w:r>
      <w:r w:rsidR="00EF7385" w:rsidRPr="0063477C">
        <w:rPr>
          <w:rFonts w:ascii="Arial" w:eastAsia="Times New Roman" w:hAnsi="Arial" w:cs="Arial"/>
          <w:i/>
          <w:sz w:val="24"/>
          <w:szCs w:val="28"/>
          <w:lang w:eastAsia="pt-BR"/>
        </w:rPr>
        <w:t xml:space="preserve">et al. </w:t>
      </w:r>
      <w:r w:rsidRPr="0063477C">
        <w:rPr>
          <w:rFonts w:ascii="Arial" w:eastAsia="Times New Roman" w:hAnsi="Arial" w:cs="Arial"/>
          <w:sz w:val="24"/>
          <w:szCs w:val="28"/>
          <w:lang w:eastAsia="pt-BR"/>
        </w:rPr>
        <w:t xml:space="preserve">(2022) reported cases of </w:t>
      </w:r>
      <w:r w:rsidR="00694B8A" w:rsidRPr="0063477C">
        <w:rPr>
          <w:rFonts w:ascii="Arial" w:eastAsia="Times New Roman" w:hAnsi="Arial" w:cs="Arial"/>
          <w:i/>
          <w:sz w:val="24"/>
          <w:szCs w:val="28"/>
          <w:lang w:eastAsia="pt-BR"/>
        </w:rPr>
        <w:t xml:space="preserve">melting </w:t>
      </w:r>
      <w:r w:rsidRPr="0063477C">
        <w:rPr>
          <w:rFonts w:ascii="Arial" w:eastAsia="Times New Roman" w:hAnsi="Arial" w:cs="Arial"/>
          <w:sz w:val="24"/>
          <w:szCs w:val="28"/>
          <w:lang w:eastAsia="pt-BR"/>
        </w:rPr>
        <w:t xml:space="preserve">in scenarios that did not necessarily involve extremely low thicknesses, indicating the influence of additional variables, such as surgical technique and individual inflammatory response. Similarly, </w:t>
      </w:r>
      <w:proofErr w:type="spellStart"/>
      <w:r w:rsidRPr="0063477C">
        <w:rPr>
          <w:rFonts w:ascii="Arial" w:eastAsia="Times New Roman" w:hAnsi="Arial" w:cs="Arial"/>
          <w:sz w:val="24"/>
          <w:szCs w:val="28"/>
          <w:lang w:eastAsia="pt-BR"/>
        </w:rPr>
        <w:t>Kocak</w:t>
      </w:r>
      <w:proofErr w:type="spellEnd"/>
      <w:r w:rsidRPr="0063477C">
        <w:rPr>
          <w:rFonts w:ascii="Arial" w:eastAsia="Times New Roman" w:hAnsi="Arial" w:cs="Arial"/>
          <w:sz w:val="24"/>
          <w:szCs w:val="28"/>
          <w:lang w:eastAsia="pt-BR"/>
        </w:rPr>
        <w:t xml:space="preserve"> </w:t>
      </w:r>
      <w:r w:rsidR="00EF7385" w:rsidRPr="0063477C">
        <w:rPr>
          <w:rFonts w:ascii="Arial" w:eastAsia="Times New Roman" w:hAnsi="Arial" w:cs="Arial"/>
          <w:i/>
          <w:sz w:val="24"/>
          <w:szCs w:val="28"/>
          <w:lang w:eastAsia="pt-BR"/>
        </w:rPr>
        <w:t xml:space="preserve">et al. </w:t>
      </w:r>
      <w:r w:rsidRPr="0063477C">
        <w:rPr>
          <w:rFonts w:ascii="Arial" w:eastAsia="Times New Roman" w:hAnsi="Arial" w:cs="Arial"/>
          <w:sz w:val="24"/>
          <w:szCs w:val="28"/>
          <w:lang w:eastAsia="pt-BR"/>
        </w:rPr>
        <w:t xml:space="preserve">(2015) emphasized that, although pachymetry is a critical parameter, the evaluation should be complemented by other aspects, such as corneal topography and epithelial status, that is, an essential view for a more precise risk stratification; in contrast, Said </w:t>
      </w:r>
      <w:r w:rsidR="00EF7385" w:rsidRPr="0063477C">
        <w:rPr>
          <w:rFonts w:ascii="Arial" w:eastAsia="Times New Roman" w:hAnsi="Arial" w:cs="Arial"/>
          <w:i/>
          <w:sz w:val="24"/>
          <w:szCs w:val="28"/>
          <w:lang w:eastAsia="pt-BR"/>
        </w:rPr>
        <w:t xml:space="preserve">et al. </w:t>
      </w:r>
      <w:r w:rsidRPr="0063477C">
        <w:rPr>
          <w:rFonts w:ascii="Arial" w:eastAsia="Times New Roman" w:hAnsi="Arial" w:cs="Arial"/>
          <w:sz w:val="24"/>
          <w:szCs w:val="28"/>
          <w:lang w:eastAsia="pt-BR"/>
        </w:rPr>
        <w:t xml:space="preserve">(2014) warned of the need to differentiate sterile </w:t>
      </w:r>
      <w:r w:rsidR="00694B8A" w:rsidRPr="0063477C">
        <w:rPr>
          <w:rFonts w:ascii="Arial" w:eastAsia="Times New Roman" w:hAnsi="Arial" w:cs="Arial"/>
          <w:i/>
          <w:sz w:val="24"/>
          <w:szCs w:val="28"/>
          <w:lang w:eastAsia="pt-BR"/>
        </w:rPr>
        <w:t xml:space="preserve">melting </w:t>
      </w:r>
      <w:r w:rsidRPr="0063477C">
        <w:rPr>
          <w:rFonts w:ascii="Arial" w:eastAsia="Times New Roman" w:hAnsi="Arial" w:cs="Arial"/>
          <w:sz w:val="24"/>
          <w:szCs w:val="28"/>
          <w:lang w:eastAsia="pt-BR"/>
        </w:rPr>
        <w:t xml:space="preserve">from that associated with infections, a distinction that can influence both the perception of risk factors and therapeutic conduct, given that this diagnostic complexity highlighted that the pachymetry- </w:t>
      </w:r>
      <w:r w:rsidR="00694B8A" w:rsidRPr="000500F1">
        <w:rPr>
          <w:rFonts w:ascii="Arial" w:eastAsia="Times New Roman" w:hAnsi="Arial" w:cs="Arial"/>
          <w:i/>
          <w:sz w:val="24"/>
          <w:szCs w:val="28"/>
          <w:lang w:eastAsia="pt-BR"/>
        </w:rPr>
        <w:t xml:space="preserve">melting correlation </w:t>
      </w:r>
      <w:r w:rsidRPr="000500F1">
        <w:rPr>
          <w:rFonts w:ascii="Arial" w:eastAsia="Times New Roman" w:hAnsi="Arial" w:cs="Arial"/>
          <w:sz w:val="24"/>
          <w:szCs w:val="28"/>
          <w:lang w:eastAsia="pt-BR"/>
        </w:rPr>
        <w:t xml:space="preserve">is neither direct nor exclusive; therefore, </w:t>
      </w:r>
      <w:proofErr w:type="spellStart"/>
      <w:r w:rsidRPr="000500F1">
        <w:rPr>
          <w:rFonts w:ascii="Arial" w:eastAsia="Times New Roman" w:hAnsi="Arial" w:cs="Arial"/>
          <w:sz w:val="24"/>
          <w:szCs w:val="28"/>
          <w:lang w:eastAsia="pt-BR"/>
        </w:rPr>
        <w:t>Angunawela</w:t>
      </w:r>
      <w:proofErr w:type="spellEnd"/>
      <w:r w:rsidRPr="000500F1">
        <w:rPr>
          <w:rFonts w:ascii="Arial" w:eastAsia="Times New Roman" w:hAnsi="Arial" w:cs="Arial"/>
          <w:sz w:val="24"/>
          <w:szCs w:val="28"/>
          <w:lang w:eastAsia="pt-BR"/>
        </w:rPr>
        <w:t xml:space="preserve"> </w:t>
      </w:r>
      <w:r w:rsidR="00EF7385" w:rsidRPr="000500F1">
        <w:rPr>
          <w:rFonts w:ascii="Arial" w:eastAsia="Times New Roman" w:hAnsi="Arial" w:cs="Arial"/>
          <w:i/>
          <w:sz w:val="24"/>
          <w:szCs w:val="28"/>
          <w:lang w:eastAsia="pt-BR"/>
        </w:rPr>
        <w:t xml:space="preserve">et al. </w:t>
      </w:r>
      <w:r w:rsidRPr="000500F1">
        <w:rPr>
          <w:rFonts w:ascii="Arial" w:eastAsia="Times New Roman" w:hAnsi="Arial" w:cs="Arial"/>
          <w:sz w:val="24"/>
          <w:szCs w:val="28"/>
          <w:lang w:eastAsia="pt-BR"/>
        </w:rPr>
        <w:t xml:space="preserve">(2009) described the occurrence of sterile peripheral infiltrates as a possible precursor stage to </w:t>
      </w:r>
      <w:r w:rsidR="00694B8A" w:rsidRPr="00517CF4">
        <w:rPr>
          <w:rFonts w:ascii="Arial" w:eastAsia="Times New Roman" w:hAnsi="Arial" w:cs="Arial"/>
          <w:i/>
          <w:sz w:val="24"/>
          <w:szCs w:val="28"/>
          <w:lang w:eastAsia="pt-BR"/>
        </w:rPr>
        <w:t xml:space="preserve">melting </w:t>
      </w:r>
      <w:r w:rsidRPr="00517CF4">
        <w:rPr>
          <w:rFonts w:ascii="Arial" w:eastAsia="Times New Roman" w:hAnsi="Arial" w:cs="Arial"/>
          <w:sz w:val="24"/>
          <w:szCs w:val="28"/>
          <w:lang w:eastAsia="pt-BR"/>
        </w:rPr>
        <w:t xml:space="preserve">, suggesting that the local inflammatory response, regardless of thickness, can initiate the stromal lysis process. Therefore, pachymetry prior to CXL remains a cornerstone in assessing the risk of corneal </w:t>
      </w:r>
      <w:proofErr w:type="gramStart"/>
      <w:r w:rsidR="00694B8A" w:rsidRPr="00517CF4">
        <w:rPr>
          <w:rFonts w:ascii="Arial" w:eastAsia="Times New Roman" w:hAnsi="Arial" w:cs="Arial"/>
          <w:i/>
          <w:sz w:val="24"/>
          <w:szCs w:val="28"/>
          <w:lang w:eastAsia="pt-BR"/>
        </w:rPr>
        <w:t xml:space="preserve">melting </w:t>
      </w:r>
      <w:r w:rsidRPr="00517CF4">
        <w:rPr>
          <w:rFonts w:ascii="Arial" w:eastAsia="Times New Roman" w:hAnsi="Arial" w:cs="Arial"/>
          <w:sz w:val="24"/>
          <w:szCs w:val="28"/>
          <w:lang w:eastAsia="pt-BR"/>
        </w:rPr>
        <w:t>,</w:t>
      </w:r>
      <w:proofErr w:type="gramEnd"/>
      <w:r w:rsidRPr="00517CF4">
        <w:rPr>
          <w:rFonts w:ascii="Arial" w:eastAsia="Times New Roman" w:hAnsi="Arial" w:cs="Arial"/>
          <w:sz w:val="24"/>
          <w:szCs w:val="28"/>
          <w:lang w:eastAsia="pt-BR"/>
        </w:rPr>
        <w:t xml:space="preserve"> as converging evidence indicates that values below 400 µm, especially when associated with modified protocols, significantly increase the likelihood of this devastating complication </w:t>
      </w:r>
      <w:r w:rsidR="000500F1" w:rsidRPr="00517CF4">
        <w:rPr>
          <w:rFonts w:ascii="Arial" w:eastAsia="Times New Roman" w:hAnsi="Arial" w:cs="Arial"/>
          <w:sz w:val="24"/>
          <w:szCs w:val="28"/>
          <w:lang w:eastAsia="pt-BR"/>
        </w:rPr>
        <w:t xml:space="preserve">. Thus, the integrated interpretation of corneal thickness with the chosen protocol and the patient's comorbidities allows for better selection of CXL candidates, aiming to minimize the incidence of </w:t>
      </w:r>
      <w:r w:rsidR="00694B8A" w:rsidRPr="00517CF4">
        <w:rPr>
          <w:rFonts w:ascii="Arial" w:eastAsia="Times New Roman" w:hAnsi="Arial" w:cs="Arial"/>
          <w:i/>
          <w:sz w:val="24"/>
          <w:szCs w:val="28"/>
          <w:lang w:eastAsia="pt-BR"/>
        </w:rPr>
        <w:t xml:space="preserve">melting </w:t>
      </w:r>
      <w:r w:rsidRPr="00517CF4">
        <w:rPr>
          <w:rFonts w:ascii="Arial" w:eastAsia="Times New Roman" w:hAnsi="Arial" w:cs="Arial"/>
          <w:sz w:val="24"/>
          <w:szCs w:val="28"/>
          <w:lang w:eastAsia="pt-BR"/>
        </w:rPr>
        <w:t>and maximize the safety of the procedure.</w:t>
      </w:r>
    </w:p>
    <w:p w14:paraId="5EA352CB" w14:textId="77777777" w:rsidR="00255A59" w:rsidRPr="00D449C1" w:rsidRDefault="00255A59" w:rsidP="009C1F4C">
      <w:pPr>
        <w:ind w:firstLine="0"/>
        <w:outlineLvl w:val="1"/>
        <w:rPr>
          <w:rFonts w:ascii="Arial" w:eastAsia="Times New Roman" w:hAnsi="Arial" w:cs="Arial"/>
          <w:sz w:val="24"/>
          <w:szCs w:val="28"/>
          <w:lang w:eastAsia="pt-BR"/>
        </w:rPr>
      </w:pPr>
    </w:p>
    <w:p w14:paraId="326302B7" w14:textId="154B95D1" w:rsidR="00B75A8C" w:rsidRDefault="00B35AD9" w:rsidP="009C1F4C">
      <w:pPr>
        <w:pStyle w:val="ListParagraph"/>
        <w:ind w:left="0" w:firstLine="0"/>
        <w:outlineLvl w:val="0"/>
        <w:rPr>
          <w:rFonts w:ascii="Arial" w:hAnsi="Arial" w:cs="Arial"/>
          <w:b/>
          <w:sz w:val="24"/>
          <w:szCs w:val="24"/>
        </w:rPr>
      </w:pPr>
      <w:r>
        <w:rPr>
          <w:rFonts w:ascii="Arial" w:eastAsia="Times New Roman" w:hAnsi="Arial" w:cs="Arial"/>
          <w:b/>
          <w:bCs/>
          <w:sz w:val="24"/>
          <w:szCs w:val="28"/>
          <w:lang w:eastAsia="pt-BR"/>
        </w:rPr>
        <w:lastRenderedPageBreak/>
        <w:t xml:space="preserve">4.2 </w:t>
      </w:r>
      <w:r w:rsidR="00255A59" w:rsidRPr="00D449C1">
        <w:rPr>
          <w:rFonts w:ascii="Arial" w:eastAsia="Times New Roman" w:hAnsi="Arial" w:cs="Arial"/>
          <w:b/>
          <w:bCs/>
          <w:sz w:val="24"/>
          <w:szCs w:val="28"/>
          <w:lang w:eastAsia="pt-BR"/>
        </w:rPr>
        <w:tab/>
      </w:r>
      <w:r w:rsidR="00B75A8C" w:rsidRPr="00115CEE">
        <w:rPr>
          <w:rFonts w:ascii="Arial" w:hAnsi="Arial" w:cs="Arial"/>
          <w:b/>
          <w:sz w:val="24"/>
          <w:szCs w:val="24"/>
        </w:rPr>
        <w:t xml:space="preserve">Characterization of corneal melting in response to different CXL protocols: Dresden, Sub-400, Fast, and </w:t>
      </w:r>
      <w:proofErr w:type="spellStart"/>
      <w:r w:rsidR="00B75A8C" w:rsidRPr="00115CEE">
        <w:rPr>
          <w:rFonts w:ascii="Arial" w:hAnsi="Arial" w:cs="Arial"/>
          <w:b/>
          <w:sz w:val="24"/>
          <w:szCs w:val="24"/>
        </w:rPr>
        <w:t>Hyposmolar</w:t>
      </w:r>
      <w:proofErr w:type="spellEnd"/>
      <w:r w:rsidR="00B75A8C" w:rsidRPr="00115CEE">
        <w:rPr>
          <w:rFonts w:ascii="Arial" w:hAnsi="Arial" w:cs="Arial"/>
          <w:b/>
          <w:sz w:val="24"/>
          <w:szCs w:val="24"/>
        </w:rPr>
        <w:t xml:space="preserve"> Riboflavin</w:t>
      </w:r>
    </w:p>
    <w:p w14:paraId="48250487" w14:textId="77777777" w:rsidR="00D4202A" w:rsidRPr="00D449C1" w:rsidRDefault="00D4202A" w:rsidP="009C1F4C">
      <w:pPr>
        <w:pStyle w:val="ListParagraph"/>
        <w:ind w:left="0" w:firstLine="0"/>
        <w:outlineLvl w:val="0"/>
        <w:rPr>
          <w:rFonts w:ascii="Arial" w:hAnsi="Arial" w:cs="Arial"/>
          <w:b/>
          <w:bCs/>
          <w:sz w:val="24"/>
          <w:szCs w:val="24"/>
        </w:rPr>
      </w:pPr>
    </w:p>
    <w:p w14:paraId="768B3767" w14:textId="30BDC6C8" w:rsidR="00255A59" w:rsidRDefault="004442B8" w:rsidP="00236406">
      <w:pPr>
        <w:outlineLvl w:val="1"/>
        <w:rPr>
          <w:rFonts w:ascii="Arial" w:eastAsia="Times New Roman" w:hAnsi="Arial" w:cs="Arial"/>
          <w:sz w:val="24"/>
          <w:szCs w:val="28"/>
          <w:lang w:eastAsia="pt-BR"/>
        </w:rPr>
      </w:pPr>
      <w:r w:rsidRPr="004442B8">
        <w:rPr>
          <w:rFonts w:ascii="Arial" w:eastAsia="Times New Roman" w:hAnsi="Arial" w:cs="Arial"/>
          <w:sz w:val="24"/>
          <w:szCs w:val="28"/>
          <w:lang w:eastAsia="pt-BR"/>
        </w:rPr>
        <w:t xml:space="preserve">Through comparative analysis of different CXL protocols, relevant disparities were revealed in the safety profile and incidence of corneal </w:t>
      </w:r>
      <w:r w:rsidR="00694B8A" w:rsidRPr="004442B8">
        <w:rPr>
          <w:rFonts w:ascii="Arial" w:eastAsia="Times New Roman" w:hAnsi="Arial" w:cs="Arial"/>
          <w:i/>
          <w:sz w:val="24"/>
          <w:szCs w:val="28"/>
          <w:lang w:eastAsia="pt-BR"/>
        </w:rPr>
        <w:t xml:space="preserve">melting </w:t>
      </w:r>
      <w:r w:rsidR="00236406" w:rsidRPr="004442B8">
        <w:rPr>
          <w:rFonts w:ascii="Arial" w:eastAsia="Times New Roman" w:hAnsi="Arial" w:cs="Arial"/>
          <w:sz w:val="24"/>
          <w:szCs w:val="28"/>
          <w:lang w:eastAsia="pt-BR"/>
        </w:rPr>
        <w:t xml:space="preserve">, considering that, according to Gadelha </w:t>
      </w:r>
      <w:r w:rsidR="00EF7385" w:rsidRPr="004442B8">
        <w:rPr>
          <w:rFonts w:ascii="Arial" w:eastAsia="Times New Roman" w:hAnsi="Arial" w:cs="Arial"/>
          <w:i/>
          <w:sz w:val="24"/>
          <w:szCs w:val="28"/>
          <w:lang w:eastAsia="pt-BR"/>
        </w:rPr>
        <w:t xml:space="preserve">et al. </w:t>
      </w:r>
      <w:r w:rsidR="00236406" w:rsidRPr="004442B8">
        <w:rPr>
          <w:rFonts w:ascii="Arial" w:eastAsia="Times New Roman" w:hAnsi="Arial" w:cs="Arial"/>
          <w:sz w:val="24"/>
          <w:szCs w:val="28"/>
          <w:lang w:eastAsia="pt-BR"/>
        </w:rPr>
        <w:t xml:space="preserve">(2010), the Dresden protocol, considered the gold standard, demonstrated a robust safety profile when judiciously applied to corneas with adequate pachymetry, a finding that established a fundamental benchmark for the safety of the procedure; in parallel, accelerated (FAST) protocols emerged as an alternative to reduce surgical time, however, Bennani </w:t>
      </w:r>
      <w:r w:rsidR="00EF7385" w:rsidRPr="004442B8">
        <w:rPr>
          <w:rFonts w:ascii="Arial" w:eastAsia="Times New Roman" w:hAnsi="Arial" w:cs="Arial"/>
          <w:i/>
          <w:sz w:val="24"/>
          <w:szCs w:val="28"/>
          <w:lang w:eastAsia="pt-BR"/>
        </w:rPr>
        <w:t xml:space="preserve">et al. </w:t>
      </w:r>
      <w:r w:rsidR="00236406" w:rsidRPr="004442B8">
        <w:rPr>
          <w:rFonts w:ascii="Arial" w:eastAsia="Times New Roman" w:hAnsi="Arial" w:cs="Arial"/>
          <w:sz w:val="24"/>
          <w:szCs w:val="28"/>
          <w:lang w:eastAsia="pt-BR"/>
        </w:rPr>
        <w:t xml:space="preserve">(2025) and </w:t>
      </w:r>
      <w:proofErr w:type="spellStart"/>
      <w:r w:rsidR="00236406" w:rsidRPr="004442B8">
        <w:rPr>
          <w:rFonts w:ascii="Arial" w:eastAsia="Times New Roman" w:hAnsi="Arial" w:cs="Arial"/>
          <w:sz w:val="24"/>
          <w:szCs w:val="28"/>
          <w:lang w:eastAsia="pt-BR"/>
        </w:rPr>
        <w:t>Moramarco</w:t>
      </w:r>
      <w:proofErr w:type="spellEnd"/>
      <w:r w:rsidR="00236406" w:rsidRPr="004442B8">
        <w:rPr>
          <w:rFonts w:ascii="Arial" w:eastAsia="Times New Roman" w:hAnsi="Arial" w:cs="Arial"/>
          <w:sz w:val="24"/>
          <w:szCs w:val="28"/>
          <w:lang w:eastAsia="pt-BR"/>
        </w:rPr>
        <w:t xml:space="preserve"> </w:t>
      </w:r>
      <w:r w:rsidR="00EF7385" w:rsidRPr="004442B8">
        <w:rPr>
          <w:rFonts w:ascii="Arial" w:eastAsia="Times New Roman" w:hAnsi="Arial" w:cs="Arial"/>
          <w:i/>
          <w:sz w:val="24"/>
          <w:szCs w:val="28"/>
          <w:lang w:eastAsia="pt-BR"/>
        </w:rPr>
        <w:t xml:space="preserve">et al. </w:t>
      </w:r>
      <w:r w:rsidR="00236406" w:rsidRPr="004442B8">
        <w:rPr>
          <w:rFonts w:ascii="Arial" w:eastAsia="Times New Roman" w:hAnsi="Arial" w:cs="Arial"/>
          <w:sz w:val="24"/>
          <w:szCs w:val="28"/>
          <w:lang w:eastAsia="pt-BR"/>
        </w:rPr>
        <w:t xml:space="preserve">(2024) reported that cases of early </w:t>
      </w:r>
      <w:r w:rsidR="00694B8A" w:rsidRPr="004442B8">
        <w:rPr>
          <w:rFonts w:ascii="Arial" w:eastAsia="Times New Roman" w:hAnsi="Arial" w:cs="Arial"/>
          <w:i/>
          <w:sz w:val="24"/>
          <w:szCs w:val="28"/>
          <w:lang w:eastAsia="pt-BR"/>
        </w:rPr>
        <w:t xml:space="preserve">melting </w:t>
      </w:r>
      <w:r w:rsidR="00236406" w:rsidRPr="004442B8">
        <w:rPr>
          <w:rFonts w:ascii="Arial" w:eastAsia="Times New Roman" w:hAnsi="Arial" w:cs="Arial"/>
          <w:sz w:val="24"/>
          <w:szCs w:val="28"/>
          <w:lang w:eastAsia="pt-BR"/>
        </w:rPr>
        <w:t xml:space="preserve">were associated with this technical variant, and also postulated that the higher intensity of ultraviolet radiation per unit of time may potentiate oxidative stress and compromise cell viability, predisposing to stromal necrosis; Furthermore, technical modifications targeting thin corneas, particularly the sub-400 protocol, have been particularly relevant, as </w:t>
      </w:r>
      <w:proofErr w:type="spellStart"/>
      <w:r w:rsidR="00236406" w:rsidRPr="004442B8">
        <w:rPr>
          <w:rFonts w:ascii="Arial" w:eastAsia="Times New Roman" w:hAnsi="Arial" w:cs="Arial"/>
          <w:sz w:val="24"/>
          <w:szCs w:val="28"/>
          <w:lang w:eastAsia="pt-BR"/>
        </w:rPr>
        <w:t>Kodavoor</w:t>
      </w:r>
      <w:proofErr w:type="spellEnd"/>
      <w:r w:rsidR="00236406" w:rsidRPr="004442B8">
        <w:rPr>
          <w:rFonts w:ascii="Arial" w:eastAsia="Times New Roman" w:hAnsi="Arial" w:cs="Arial"/>
          <w:sz w:val="24"/>
          <w:szCs w:val="28"/>
          <w:lang w:eastAsia="pt-BR"/>
        </w:rPr>
        <w:t xml:space="preserve"> </w:t>
      </w:r>
      <w:r w:rsidR="00EF7385" w:rsidRPr="004442B8">
        <w:rPr>
          <w:rFonts w:ascii="Arial" w:eastAsia="Times New Roman" w:hAnsi="Arial" w:cs="Arial"/>
          <w:i/>
          <w:sz w:val="24"/>
          <w:szCs w:val="28"/>
          <w:lang w:eastAsia="pt-BR"/>
        </w:rPr>
        <w:t xml:space="preserve">et al. </w:t>
      </w:r>
      <w:r w:rsidR="00236406" w:rsidRPr="004442B8">
        <w:rPr>
          <w:rFonts w:ascii="Arial" w:eastAsia="Times New Roman" w:hAnsi="Arial" w:cs="Arial"/>
          <w:sz w:val="24"/>
          <w:szCs w:val="28"/>
          <w:lang w:eastAsia="pt-BR"/>
        </w:rPr>
        <w:t xml:space="preserve">(2024) documented cases of late </w:t>
      </w:r>
      <w:r w:rsidR="00694B8A" w:rsidRPr="004442B8">
        <w:rPr>
          <w:rFonts w:ascii="Arial" w:eastAsia="Times New Roman" w:hAnsi="Arial" w:cs="Arial"/>
          <w:i/>
          <w:sz w:val="24"/>
          <w:szCs w:val="28"/>
          <w:lang w:eastAsia="pt-BR"/>
        </w:rPr>
        <w:t xml:space="preserve">melting </w:t>
      </w:r>
      <w:r w:rsidR="00236406" w:rsidRPr="004442B8">
        <w:rPr>
          <w:rFonts w:ascii="Arial" w:eastAsia="Times New Roman" w:hAnsi="Arial" w:cs="Arial"/>
          <w:sz w:val="24"/>
          <w:szCs w:val="28"/>
          <w:lang w:eastAsia="pt-BR"/>
        </w:rPr>
        <w:t xml:space="preserve">in patients undergoing this approach, with occurrence intervals ranging from 5 to 12 years post-procedure, suggesting that the risk persists in the long term even in adapted protocols; however, Naranjo and Manche (2024) emphasized in their study that, although modified protocols broaden the indications for CXL, the risk-benefit ratio should be carefully evaluated, particularly in corneas with borderline thickness, a perspective corroborated by Wu </w:t>
      </w:r>
      <w:r w:rsidR="00EF7385" w:rsidRPr="004442B8">
        <w:rPr>
          <w:rFonts w:ascii="Arial" w:eastAsia="Times New Roman" w:hAnsi="Arial" w:cs="Arial"/>
          <w:i/>
          <w:sz w:val="24"/>
          <w:szCs w:val="28"/>
          <w:lang w:eastAsia="pt-BR"/>
        </w:rPr>
        <w:t xml:space="preserve">et al. </w:t>
      </w:r>
      <w:r w:rsidR="00236406" w:rsidRPr="004442B8">
        <w:rPr>
          <w:rFonts w:ascii="Arial" w:eastAsia="Times New Roman" w:hAnsi="Arial" w:cs="Arial"/>
          <w:sz w:val="24"/>
          <w:szCs w:val="28"/>
          <w:lang w:eastAsia="pt-BR"/>
        </w:rPr>
        <w:t xml:space="preserve">(2021), who elucidated the biochemical mechanisms by which the energy distribution in accelerated protocols may be less homogeneous, potentiating cytotoxicity </w:t>
      </w:r>
      <w:r w:rsidRPr="004442B8">
        <w:rPr>
          <w:rFonts w:ascii="Arial" w:eastAsia="Times New Roman" w:hAnsi="Arial" w:cs="Arial"/>
          <w:sz w:val="24"/>
          <w:szCs w:val="28"/>
          <w:lang w:eastAsia="pt-BR"/>
        </w:rPr>
        <w:t xml:space="preserve">; On the other hand, the use of </w:t>
      </w:r>
      <w:proofErr w:type="spellStart"/>
      <w:r w:rsidRPr="004442B8">
        <w:rPr>
          <w:rFonts w:ascii="Arial" w:eastAsia="Times New Roman" w:hAnsi="Arial" w:cs="Arial"/>
          <w:sz w:val="24"/>
          <w:szCs w:val="28"/>
          <w:lang w:eastAsia="pt-BR"/>
        </w:rPr>
        <w:t>hypoosmolar</w:t>
      </w:r>
      <w:proofErr w:type="spellEnd"/>
      <w:r w:rsidRPr="004442B8">
        <w:rPr>
          <w:rFonts w:ascii="Arial" w:eastAsia="Times New Roman" w:hAnsi="Arial" w:cs="Arial"/>
          <w:sz w:val="24"/>
          <w:szCs w:val="28"/>
          <w:lang w:eastAsia="pt-BR"/>
        </w:rPr>
        <w:t xml:space="preserve"> riboflavin represented another promising technical adaptation, given that Mohamed-Noriega </w:t>
      </w:r>
      <w:r w:rsidR="00EF7385" w:rsidRPr="004442B8">
        <w:rPr>
          <w:rFonts w:ascii="Arial" w:eastAsia="Times New Roman" w:hAnsi="Arial" w:cs="Arial"/>
          <w:i/>
          <w:sz w:val="24"/>
          <w:szCs w:val="28"/>
          <w:lang w:eastAsia="pt-BR"/>
        </w:rPr>
        <w:t xml:space="preserve">et al. </w:t>
      </w:r>
      <w:r w:rsidR="00236406" w:rsidRPr="004442B8">
        <w:rPr>
          <w:rFonts w:ascii="Arial" w:eastAsia="Times New Roman" w:hAnsi="Arial" w:cs="Arial"/>
          <w:sz w:val="24"/>
          <w:szCs w:val="28"/>
          <w:lang w:eastAsia="pt-BR"/>
        </w:rPr>
        <w:t xml:space="preserve">(2016) reported its use in thin corneas of diabetic patients, with </w:t>
      </w:r>
      <w:r w:rsidR="00694B8A" w:rsidRPr="004442B8">
        <w:rPr>
          <w:rFonts w:ascii="Arial" w:eastAsia="Times New Roman" w:hAnsi="Arial" w:cs="Arial"/>
          <w:i/>
          <w:sz w:val="24"/>
          <w:szCs w:val="28"/>
          <w:lang w:eastAsia="pt-BR"/>
        </w:rPr>
        <w:t xml:space="preserve">melting developing </w:t>
      </w:r>
      <w:r w:rsidR="00236406" w:rsidRPr="004442B8">
        <w:rPr>
          <w:rFonts w:ascii="Arial" w:eastAsia="Times New Roman" w:hAnsi="Arial" w:cs="Arial"/>
          <w:sz w:val="24"/>
          <w:szCs w:val="28"/>
          <w:lang w:eastAsia="pt-BR"/>
        </w:rPr>
        <w:t xml:space="preserve">in the first postoperative month, highlighting the interaction between modified protocols and systemic comorbidities as a potentiating risk factor; similarly, </w:t>
      </w:r>
      <w:proofErr w:type="spellStart"/>
      <w:r w:rsidR="00236406" w:rsidRPr="004442B8">
        <w:rPr>
          <w:rFonts w:ascii="Arial" w:eastAsia="Times New Roman" w:hAnsi="Arial" w:cs="Arial"/>
          <w:sz w:val="24"/>
          <w:szCs w:val="28"/>
          <w:lang w:eastAsia="pt-BR"/>
        </w:rPr>
        <w:t>Tillmann</w:t>
      </w:r>
      <w:proofErr w:type="spellEnd"/>
      <w:r w:rsidR="00236406" w:rsidRPr="004442B8">
        <w:rPr>
          <w:rFonts w:ascii="Arial" w:eastAsia="Times New Roman" w:hAnsi="Arial" w:cs="Arial"/>
          <w:sz w:val="24"/>
          <w:szCs w:val="28"/>
          <w:lang w:eastAsia="pt-BR"/>
        </w:rPr>
        <w:t xml:space="preserve"> </w:t>
      </w:r>
      <w:r w:rsidR="00EF7385" w:rsidRPr="00F76860">
        <w:rPr>
          <w:rFonts w:ascii="Arial" w:eastAsia="Times New Roman" w:hAnsi="Arial" w:cs="Arial"/>
          <w:i/>
          <w:sz w:val="24"/>
          <w:szCs w:val="28"/>
          <w:lang w:eastAsia="pt-BR"/>
        </w:rPr>
        <w:t xml:space="preserve">et al. </w:t>
      </w:r>
      <w:r w:rsidR="00236406" w:rsidRPr="00F76860">
        <w:rPr>
          <w:rFonts w:ascii="Arial" w:eastAsia="Times New Roman" w:hAnsi="Arial" w:cs="Arial"/>
          <w:sz w:val="24"/>
          <w:szCs w:val="28"/>
          <w:lang w:eastAsia="pt-BR"/>
        </w:rPr>
        <w:t xml:space="preserve">(2022) documented cases of acute </w:t>
      </w:r>
      <w:r w:rsidR="00694B8A" w:rsidRPr="00F76860">
        <w:rPr>
          <w:rFonts w:ascii="Arial" w:eastAsia="Times New Roman" w:hAnsi="Arial" w:cs="Arial"/>
          <w:i/>
          <w:sz w:val="24"/>
          <w:szCs w:val="28"/>
          <w:lang w:eastAsia="pt-BR"/>
        </w:rPr>
        <w:t xml:space="preserve">melting </w:t>
      </w:r>
      <w:r w:rsidR="00236406" w:rsidRPr="00F76860">
        <w:rPr>
          <w:rFonts w:ascii="Arial" w:eastAsia="Times New Roman" w:hAnsi="Arial" w:cs="Arial"/>
          <w:sz w:val="24"/>
          <w:szCs w:val="28"/>
          <w:lang w:eastAsia="pt-BR"/>
        </w:rPr>
        <w:t xml:space="preserve">with perforation even with the conventional protocol, indicating that surgical technical factors, such as the uniformity of riboflavin application and the calibration of the UVA equipment, can significantly </w:t>
      </w:r>
      <w:r w:rsidR="00236406" w:rsidRPr="00F76860">
        <w:rPr>
          <w:rFonts w:ascii="Arial" w:eastAsia="Times New Roman" w:hAnsi="Arial" w:cs="Arial"/>
          <w:sz w:val="24"/>
          <w:szCs w:val="28"/>
          <w:lang w:eastAsia="pt-BR"/>
        </w:rPr>
        <w:lastRenderedPageBreak/>
        <w:t xml:space="preserve">influence outcomes, regardless of the protocol chosen; however, Kilian </w:t>
      </w:r>
      <w:r w:rsidR="00EF7385" w:rsidRPr="00F76860">
        <w:rPr>
          <w:rFonts w:ascii="Arial" w:eastAsia="Times New Roman" w:hAnsi="Arial" w:cs="Arial"/>
          <w:i/>
          <w:sz w:val="24"/>
          <w:szCs w:val="28"/>
          <w:lang w:eastAsia="pt-BR"/>
        </w:rPr>
        <w:t xml:space="preserve">et al. </w:t>
      </w:r>
      <w:r w:rsidR="00236406" w:rsidRPr="00F76860">
        <w:rPr>
          <w:rFonts w:ascii="Arial" w:eastAsia="Times New Roman" w:hAnsi="Arial" w:cs="Arial"/>
          <w:sz w:val="24"/>
          <w:szCs w:val="28"/>
          <w:lang w:eastAsia="pt-BR"/>
        </w:rPr>
        <w:t xml:space="preserve">(2024) approached the topic from a different perspective, focusing on the surgical management of </w:t>
      </w:r>
      <w:r w:rsidR="00694B8A" w:rsidRPr="00F76860">
        <w:rPr>
          <w:rFonts w:ascii="Arial" w:eastAsia="Times New Roman" w:hAnsi="Arial" w:cs="Arial"/>
          <w:i/>
          <w:sz w:val="24"/>
          <w:szCs w:val="28"/>
          <w:lang w:eastAsia="pt-BR"/>
        </w:rPr>
        <w:t xml:space="preserve">melting </w:t>
      </w:r>
      <w:r w:rsidR="00236406" w:rsidRPr="00F76860">
        <w:rPr>
          <w:rFonts w:ascii="Arial" w:eastAsia="Times New Roman" w:hAnsi="Arial" w:cs="Arial"/>
          <w:sz w:val="24"/>
          <w:szCs w:val="28"/>
          <w:lang w:eastAsia="pt-BR"/>
        </w:rPr>
        <w:t xml:space="preserve">established through reticulated corneal grafts, although their results do not quantify the primary incidence, they reinforced the severity of this complication and the need for specialized surgical strategies for its resolution, in addition, Chiu </w:t>
      </w:r>
      <w:r w:rsidR="00EF7385" w:rsidRPr="00F76860">
        <w:rPr>
          <w:rFonts w:ascii="Arial" w:eastAsia="Times New Roman" w:hAnsi="Arial" w:cs="Arial"/>
          <w:i/>
          <w:sz w:val="24"/>
          <w:szCs w:val="28"/>
          <w:lang w:eastAsia="pt-BR"/>
        </w:rPr>
        <w:t xml:space="preserve">et al. </w:t>
      </w:r>
      <w:r w:rsidR="00236406" w:rsidRPr="00F76860">
        <w:rPr>
          <w:rFonts w:ascii="Arial" w:eastAsia="Times New Roman" w:hAnsi="Arial" w:cs="Arial"/>
          <w:sz w:val="24"/>
          <w:szCs w:val="28"/>
          <w:lang w:eastAsia="pt-BR"/>
        </w:rPr>
        <w:t xml:space="preserve">(2017) reported an atypical case of </w:t>
      </w:r>
      <w:r w:rsidR="00694B8A" w:rsidRPr="00F76860">
        <w:rPr>
          <w:rFonts w:ascii="Arial" w:eastAsia="Times New Roman" w:hAnsi="Arial" w:cs="Arial"/>
          <w:i/>
          <w:sz w:val="24"/>
          <w:szCs w:val="28"/>
          <w:lang w:eastAsia="pt-BR"/>
        </w:rPr>
        <w:t xml:space="preserve">melting </w:t>
      </w:r>
      <w:r w:rsidR="00236406" w:rsidRPr="00F76860">
        <w:rPr>
          <w:rFonts w:ascii="Arial" w:eastAsia="Times New Roman" w:hAnsi="Arial" w:cs="Arial"/>
          <w:sz w:val="24"/>
          <w:szCs w:val="28"/>
          <w:lang w:eastAsia="pt-BR"/>
        </w:rPr>
        <w:t xml:space="preserve">months after accelerated CXL, challenging the conventional notion that the risk is restricted to the immediate postoperative period, a finding that expands the time window of clinical surveillance necessary for patients undergoing modified protocols. Therefore, the occurrence of corneal </w:t>
      </w:r>
      <w:r w:rsidR="00694B8A" w:rsidRPr="00F76860">
        <w:rPr>
          <w:rFonts w:ascii="Arial" w:eastAsia="Times New Roman" w:hAnsi="Arial" w:cs="Arial"/>
          <w:i/>
          <w:sz w:val="24"/>
          <w:szCs w:val="28"/>
          <w:lang w:eastAsia="pt-BR"/>
        </w:rPr>
        <w:t xml:space="preserve">melting </w:t>
      </w:r>
      <w:r w:rsidR="00236406" w:rsidRPr="00F76860">
        <w:rPr>
          <w:rFonts w:ascii="Arial" w:eastAsia="Times New Roman" w:hAnsi="Arial" w:cs="Arial"/>
          <w:sz w:val="24"/>
          <w:szCs w:val="28"/>
          <w:lang w:eastAsia="pt-BR"/>
        </w:rPr>
        <w:t>varies substantially among the different CXL protocols, with an apparent gradient of increasing risk ranging from the standard Dresden protocol to the accelerated variants adapted for thin corneas. Thus, optimization of the technique and careful patient selection remain fundamental pillars for minimizing this devastating complication. Therefore, the development of evidence-based guidelines for the specific application of each protocol, considering the individual characteristics of patients and the available technical resources, represents an imperative for the safe advancement of this important therapeutic modality.</w:t>
      </w:r>
    </w:p>
    <w:p w14:paraId="7061F367" w14:textId="77777777" w:rsidR="00236406" w:rsidRDefault="00236406" w:rsidP="00236406">
      <w:pPr>
        <w:ind w:firstLine="0"/>
        <w:outlineLvl w:val="1"/>
        <w:rPr>
          <w:rFonts w:ascii="Arial" w:eastAsia="Times New Roman" w:hAnsi="Arial" w:cs="Arial"/>
          <w:sz w:val="24"/>
          <w:szCs w:val="28"/>
          <w:lang w:eastAsia="pt-BR"/>
        </w:rPr>
      </w:pPr>
    </w:p>
    <w:p w14:paraId="6D50CD98" w14:textId="77777777" w:rsidR="00F76860" w:rsidRDefault="00F76860" w:rsidP="00236406">
      <w:pPr>
        <w:ind w:firstLine="0"/>
        <w:outlineLvl w:val="1"/>
        <w:rPr>
          <w:rFonts w:ascii="Arial" w:eastAsia="Times New Roman" w:hAnsi="Arial" w:cs="Arial"/>
          <w:sz w:val="24"/>
          <w:szCs w:val="28"/>
          <w:lang w:eastAsia="pt-BR"/>
        </w:rPr>
      </w:pPr>
    </w:p>
    <w:p w14:paraId="32232701" w14:textId="77777777" w:rsidR="00F76860" w:rsidRPr="00D449C1" w:rsidRDefault="00F76860" w:rsidP="00236406">
      <w:pPr>
        <w:ind w:firstLine="0"/>
        <w:outlineLvl w:val="1"/>
        <w:rPr>
          <w:rFonts w:ascii="Arial" w:eastAsia="Times New Roman" w:hAnsi="Arial" w:cs="Arial"/>
          <w:sz w:val="24"/>
          <w:szCs w:val="28"/>
          <w:lang w:eastAsia="pt-BR"/>
        </w:rPr>
      </w:pPr>
    </w:p>
    <w:p w14:paraId="06F1B0A8" w14:textId="363C0C0B" w:rsidR="00B75A8C" w:rsidRPr="00115CEE" w:rsidRDefault="00B75A8C" w:rsidP="00B35AD9">
      <w:pPr>
        <w:pStyle w:val="ListParagraph"/>
        <w:numPr>
          <w:ilvl w:val="1"/>
          <w:numId w:val="19"/>
        </w:numPr>
        <w:ind w:left="0" w:firstLine="0"/>
        <w:outlineLvl w:val="0"/>
        <w:rPr>
          <w:rFonts w:ascii="Arial" w:hAnsi="Arial" w:cs="Arial"/>
          <w:b/>
          <w:sz w:val="24"/>
          <w:szCs w:val="24"/>
        </w:rPr>
      </w:pPr>
      <w:r w:rsidRPr="00115CEE">
        <w:rPr>
          <w:rFonts w:ascii="Arial" w:hAnsi="Arial" w:cs="Arial"/>
          <w:b/>
          <w:sz w:val="24"/>
          <w:szCs w:val="24"/>
        </w:rPr>
        <w:t>Analysis of time intervals and the period of manifestation of post-CXL corneal melting</w:t>
      </w:r>
    </w:p>
    <w:p w14:paraId="3C25CDAC" w14:textId="77777777" w:rsidR="00236406" w:rsidRPr="00236406" w:rsidRDefault="00236406" w:rsidP="00236406">
      <w:pPr>
        <w:ind w:firstLine="0"/>
        <w:outlineLvl w:val="0"/>
        <w:rPr>
          <w:rFonts w:ascii="Arial" w:hAnsi="Arial" w:cs="Arial"/>
          <w:b/>
          <w:bCs/>
          <w:sz w:val="24"/>
          <w:szCs w:val="24"/>
        </w:rPr>
      </w:pPr>
    </w:p>
    <w:p w14:paraId="16BC3366" w14:textId="0746D927" w:rsidR="00236406" w:rsidRPr="00236406" w:rsidRDefault="00236406" w:rsidP="00236406">
      <w:pPr>
        <w:outlineLvl w:val="1"/>
        <w:rPr>
          <w:rFonts w:ascii="Arial" w:eastAsia="Times New Roman" w:hAnsi="Arial" w:cs="Arial"/>
          <w:sz w:val="24"/>
          <w:szCs w:val="28"/>
          <w:lang w:eastAsia="pt-BR"/>
        </w:rPr>
      </w:pPr>
      <w:r w:rsidRPr="00C86FC1">
        <w:rPr>
          <w:rFonts w:ascii="Arial" w:eastAsia="Times New Roman" w:hAnsi="Arial" w:cs="Arial"/>
          <w:sz w:val="24"/>
          <w:szCs w:val="28"/>
          <w:lang w:eastAsia="pt-BR"/>
        </w:rPr>
        <w:t xml:space="preserve">The temporal characterization of the interval between the CXL procedure and the onset of corneal </w:t>
      </w:r>
      <w:r w:rsidR="00694B8A" w:rsidRPr="00C86FC1">
        <w:rPr>
          <w:rFonts w:ascii="Arial" w:eastAsia="Times New Roman" w:hAnsi="Arial" w:cs="Arial"/>
          <w:i/>
          <w:sz w:val="24"/>
          <w:szCs w:val="28"/>
          <w:lang w:eastAsia="pt-BR"/>
        </w:rPr>
        <w:t xml:space="preserve">melting </w:t>
      </w:r>
      <w:r w:rsidRPr="00C86FC1">
        <w:rPr>
          <w:rFonts w:ascii="Arial" w:eastAsia="Times New Roman" w:hAnsi="Arial" w:cs="Arial"/>
          <w:sz w:val="24"/>
          <w:szCs w:val="28"/>
          <w:lang w:eastAsia="pt-BR"/>
        </w:rPr>
        <w:t xml:space="preserve">reveals a clinical pattern relevant to the establishment of postoperative surveillance protocols. According to the synthesis of the analyzed studies, especially those by </w:t>
      </w:r>
      <w:proofErr w:type="spellStart"/>
      <w:r w:rsidRPr="00C86FC1">
        <w:rPr>
          <w:rFonts w:ascii="Arial" w:eastAsia="Times New Roman" w:hAnsi="Arial" w:cs="Arial"/>
          <w:sz w:val="24"/>
          <w:szCs w:val="28"/>
          <w:lang w:eastAsia="pt-BR"/>
        </w:rPr>
        <w:t>Moramarco</w:t>
      </w:r>
      <w:proofErr w:type="spellEnd"/>
      <w:r w:rsidRPr="00C86FC1">
        <w:rPr>
          <w:rFonts w:ascii="Arial" w:eastAsia="Times New Roman" w:hAnsi="Arial" w:cs="Arial"/>
          <w:sz w:val="24"/>
          <w:szCs w:val="28"/>
          <w:lang w:eastAsia="pt-BR"/>
        </w:rPr>
        <w:t xml:space="preserve"> </w:t>
      </w:r>
      <w:r w:rsidR="00EF7385" w:rsidRPr="00C86FC1">
        <w:rPr>
          <w:rFonts w:ascii="Arial" w:eastAsia="Times New Roman" w:hAnsi="Arial" w:cs="Arial"/>
          <w:i/>
          <w:sz w:val="24"/>
          <w:szCs w:val="28"/>
          <w:lang w:eastAsia="pt-BR"/>
        </w:rPr>
        <w:t xml:space="preserve">et al. </w:t>
      </w:r>
      <w:r w:rsidRPr="00C86FC1">
        <w:rPr>
          <w:rFonts w:ascii="Arial" w:eastAsia="Times New Roman" w:hAnsi="Arial" w:cs="Arial"/>
          <w:sz w:val="24"/>
          <w:szCs w:val="28"/>
          <w:lang w:eastAsia="pt-BR"/>
        </w:rPr>
        <w:t xml:space="preserve">(2024) and Bennani </w:t>
      </w:r>
      <w:r w:rsidR="00EF7385" w:rsidRPr="00C86FC1">
        <w:rPr>
          <w:rFonts w:ascii="Arial" w:eastAsia="Times New Roman" w:hAnsi="Arial" w:cs="Arial"/>
          <w:i/>
          <w:sz w:val="24"/>
          <w:szCs w:val="28"/>
          <w:lang w:eastAsia="pt-BR"/>
        </w:rPr>
        <w:t xml:space="preserve">et al. </w:t>
      </w:r>
      <w:r w:rsidRPr="00C86FC1">
        <w:rPr>
          <w:rFonts w:ascii="Arial" w:eastAsia="Times New Roman" w:hAnsi="Arial" w:cs="Arial"/>
          <w:sz w:val="24"/>
          <w:szCs w:val="28"/>
          <w:lang w:eastAsia="pt-BR"/>
        </w:rPr>
        <w:t xml:space="preserve">(2025), which consistently identified that most </w:t>
      </w:r>
      <w:r w:rsidR="00694B8A" w:rsidRPr="00C86FC1">
        <w:rPr>
          <w:rFonts w:ascii="Arial" w:eastAsia="Times New Roman" w:hAnsi="Arial" w:cs="Arial"/>
          <w:i/>
          <w:sz w:val="24"/>
          <w:szCs w:val="28"/>
          <w:lang w:eastAsia="pt-BR"/>
        </w:rPr>
        <w:t xml:space="preserve">melting cases </w:t>
      </w:r>
      <w:r w:rsidRPr="00C86FC1">
        <w:rPr>
          <w:rFonts w:ascii="Arial" w:eastAsia="Times New Roman" w:hAnsi="Arial" w:cs="Arial"/>
          <w:sz w:val="24"/>
          <w:szCs w:val="28"/>
          <w:lang w:eastAsia="pt-BR"/>
        </w:rPr>
        <w:t xml:space="preserve">occurred within the first days or weeks after CXL, marking a period of acute tissue vulnerability, this suggests that the pathophysiological processes triggering stromal necrosis are immediate or subacute. In parallel, </w:t>
      </w:r>
      <w:proofErr w:type="spellStart"/>
      <w:r w:rsidRPr="00C86FC1">
        <w:rPr>
          <w:rFonts w:ascii="Arial" w:eastAsia="Times New Roman" w:hAnsi="Arial" w:cs="Arial"/>
          <w:sz w:val="24"/>
          <w:szCs w:val="28"/>
          <w:lang w:eastAsia="pt-BR"/>
        </w:rPr>
        <w:t>Tillmann</w:t>
      </w:r>
      <w:proofErr w:type="spellEnd"/>
      <w:r w:rsidRPr="00C86FC1">
        <w:rPr>
          <w:rFonts w:ascii="Arial" w:eastAsia="Times New Roman" w:hAnsi="Arial" w:cs="Arial"/>
          <w:sz w:val="24"/>
          <w:szCs w:val="28"/>
          <w:lang w:eastAsia="pt-BR"/>
        </w:rPr>
        <w:t xml:space="preserve"> </w:t>
      </w:r>
      <w:r w:rsidR="00EF7385" w:rsidRPr="00C86FC1">
        <w:rPr>
          <w:rFonts w:ascii="Arial" w:eastAsia="Times New Roman" w:hAnsi="Arial" w:cs="Arial"/>
          <w:i/>
          <w:sz w:val="24"/>
          <w:szCs w:val="28"/>
          <w:lang w:eastAsia="pt-BR"/>
        </w:rPr>
        <w:t xml:space="preserve">et al. </w:t>
      </w:r>
      <w:r w:rsidRPr="00C86FC1">
        <w:rPr>
          <w:rFonts w:ascii="Arial" w:eastAsia="Times New Roman" w:hAnsi="Arial" w:cs="Arial"/>
          <w:sz w:val="24"/>
          <w:szCs w:val="28"/>
          <w:lang w:eastAsia="pt-BR"/>
        </w:rPr>
        <w:t xml:space="preserve">(2022) corroborated this timeline by documenting cases of acute </w:t>
      </w:r>
      <w:r w:rsidR="00694B8A" w:rsidRPr="00C86FC1">
        <w:rPr>
          <w:rFonts w:ascii="Arial" w:eastAsia="Times New Roman" w:hAnsi="Arial" w:cs="Arial"/>
          <w:i/>
          <w:sz w:val="24"/>
          <w:szCs w:val="28"/>
          <w:lang w:eastAsia="pt-BR"/>
        </w:rPr>
        <w:t xml:space="preserve">melting </w:t>
      </w:r>
      <w:r w:rsidRPr="00C86FC1">
        <w:rPr>
          <w:rFonts w:ascii="Arial" w:eastAsia="Times New Roman" w:hAnsi="Arial" w:cs="Arial"/>
          <w:sz w:val="24"/>
          <w:szCs w:val="28"/>
          <w:lang w:eastAsia="pt-BR"/>
        </w:rPr>
        <w:t xml:space="preserve">with perforation occurring a few </w:t>
      </w:r>
      <w:r w:rsidRPr="00C86FC1">
        <w:rPr>
          <w:rFonts w:ascii="Arial" w:eastAsia="Times New Roman" w:hAnsi="Arial" w:cs="Arial"/>
          <w:sz w:val="24"/>
          <w:szCs w:val="28"/>
          <w:lang w:eastAsia="pt-BR"/>
        </w:rPr>
        <w:lastRenderedPageBreak/>
        <w:t xml:space="preserve">days after the procedure, reinforcing the hypothesis of an accelerated phototoxic or inflammatory response, since the speed of onset points to a primary failure in corneal homeostasis, possibly related to intense oxidative stress during the irradiation phase. Furthermore, Mohamed-Noriega </w:t>
      </w:r>
      <w:r w:rsidR="00EF7385" w:rsidRPr="00C86FC1">
        <w:rPr>
          <w:rFonts w:ascii="Arial" w:eastAsia="Times New Roman" w:hAnsi="Arial" w:cs="Arial"/>
          <w:i/>
          <w:sz w:val="24"/>
          <w:szCs w:val="28"/>
          <w:lang w:eastAsia="pt-BR"/>
        </w:rPr>
        <w:t xml:space="preserve">et al. </w:t>
      </w:r>
      <w:r w:rsidRPr="00C86FC1">
        <w:rPr>
          <w:rFonts w:ascii="Arial" w:eastAsia="Times New Roman" w:hAnsi="Arial" w:cs="Arial"/>
          <w:sz w:val="24"/>
          <w:szCs w:val="28"/>
          <w:lang w:eastAsia="pt-BR"/>
        </w:rPr>
        <w:t xml:space="preserve">(2016) reported the appearance of </w:t>
      </w:r>
      <w:r w:rsidR="00694B8A" w:rsidRPr="00C86FC1">
        <w:rPr>
          <w:rFonts w:ascii="Arial" w:eastAsia="Times New Roman" w:hAnsi="Arial" w:cs="Arial"/>
          <w:i/>
          <w:sz w:val="24"/>
          <w:szCs w:val="28"/>
          <w:lang w:eastAsia="pt-BR"/>
        </w:rPr>
        <w:t xml:space="preserve">melting </w:t>
      </w:r>
      <w:r w:rsidRPr="00C86FC1">
        <w:rPr>
          <w:rFonts w:ascii="Arial" w:eastAsia="Times New Roman" w:hAnsi="Arial" w:cs="Arial"/>
          <w:sz w:val="24"/>
          <w:szCs w:val="28"/>
          <w:lang w:eastAsia="pt-BR"/>
        </w:rPr>
        <w:t xml:space="preserve">within the first month post-CXL in a diabetic patient with a thin cornea, introducing the variable of systemic comorbidities as a potential modulator of the event's chronology, which greatly expands the understanding beyond purely technical factors, incorporating the individual biological terrain into the calculation of temporal risk. However, the existence of cases of late manifestation challenges the notion of an exclusively early risk, since </w:t>
      </w:r>
      <w:proofErr w:type="spellStart"/>
      <w:r w:rsidRPr="00C86FC1">
        <w:rPr>
          <w:rFonts w:ascii="Arial" w:eastAsia="Times New Roman" w:hAnsi="Arial" w:cs="Arial"/>
          <w:sz w:val="24"/>
          <w:szCs w:val="28"/>
          <w:lang w:eastAsia="pt-BR"/>
        </w:rPr>
        <w:t>Kodavoor</w:t>
      </w:r>
      <w:proofErr w:type="spellEnd"/>
      <w:r w:rsidRPr="00C86FC1">
        <w:rPr>
          <w:rFonts w:ascii="Arial" w:eastAsia="Times New Roman" w:hAnsi="Arial" w:cs="Arial"/>
          <w:sz w:val="24"/>
          <w:szCs w:val="28"/>
          <w:lang w:eastAsia="pt-BR"/>
        </w:rPr>
        <w:t xml:space="preserve"> </w:t>
      </w:r>
      <w:r w:rsidR="00EF7385" w:rsidRPr="00C86FC1">
        <w:rPr>
          <w:rFonts w:ascii="Arial" w:eastAsia="Times New Roman" w:hAnsi="Arial" w:cs="Arial"/>
          <w:i/>
          <w:sz w:val="24"/>
          <w:szCs w:val="28"/>
          <w:lang w:eastAsia="pt-BR"/>
        </w:rPr>
        <w:t xml:space="preserve">et al. </w:t>
      </w:r>
      <w:r w:rsidRPr="00C86FC1">
        <w:rPr>
          <w:rFonts w:ascii="Arial" w:eastAsia="Times New Roman" w:hAnsi="Arial" w:cs="Arial"/>
          <w:sz w:val="24"/>
          <w:szCs w:val="28"/>
          <w:lang w:eastAsia="pt-BR"/>
        </w:rPr>
        <w:t xml:space="preserve">(2024) documented a surprisingly long time window, with cases of </w:t>
      </w:r>
      <w:r w:rsidR="00694B8A" w:rsidRPr="00C86FC1">
        <w:rPr>
          <w:rFonts w:ascii="Arial" w:eastAsia="Times New Roman" w:hAnsi="Arial" w:cs="Arial"/>
          <w:i/>
          <w:sz w:val="24"/>
          <w:szCs w:val="28"/>
          <w:lang w:eastAsia="pt-BR"/>
        </w:rPr>
        <w:t xml:space="preserve">melting </w:t>
      </w:r>
      <w:r w:rsidRPr="00C86FC1">
        <w:rPr>
          <w:rFonts w:ascii="Arial" w:eastAsia="Times New Roman" w:hAnsi="Arial" w:cs="Arial"/>
          <w:sz w:val="24"/>
          <w:szCs w:val="28"/>
          <w:lang w:eastAsia="pt-BR"/>
        </w:rPr>
        <w:t xml:space="preserve">occurring between 5 and 12 years after CXL, indicating that latent biomechanical or metabolic changes can precipitate stromal degradation even in the long term; in the same vein, Chiu </w:t>
      </w:r>
      <w:r w:rsidR="00EF7385" w:rsidRPr="00C86FC1">
        <w:rPr>
          <w:rFonts w:ascii="Arial" w:eastAsia="Times New Roman" w:hAnsi="Arial" w:cs="Arial"/>
          <w:i/>
          <w:sz w:val="24"/>
          <w:szCs w:val="28"/>
          <w:lang w:eastAsia="pt-BR"/>
        </w:rPr>
        <w:t xml:space="preserve">et al. </w:t>
      </w:r>
      <w:r w:rsidRPr="00C86FC1">
        <w:rPr>
          <w:rFonts w:ascii="Arial" w:eastAsia="Times New Roman" w:hAnsi="Arial" w:cs="Arial"/>
          <w:sz w:val="24"/>
          <w:szCs w:val="28"/>
          <w:lang w:eastAsia="pt-BR"/>
        </w:rPr>
        <w:t xml:space="preserve">(2017) reported a case of </w:t>
      </w:r>
      <w:r w:rsidR="00694B8A" w:rsidRPr="00C86FC1">
        <w:rPr>
          <w:rFonts w:ascii="Arial" w:eastAsia="Times New Roman" w:hAnsi="Arial" w:cs="Arial"/>
          <w:i/>
          <w:sz w:val="24"/>
          <w:szCs w:val="28"/>
          <w:lang w:eastAsia="pt-BR"/>
        </w:rPr>
        <w:t xml:space="preserve">melting </w:t>
      </w:r>
      <w:r w:rsidRPr="00C86FC1">
        <w:rPr>
          <w:rFonts w:ascii="Arial" w:eastAsia="Times New Roman" w:hAnsi="Arial" w:cs="Arial"/>
          <w:sz w:val="24"/>
          <w:szCs w:val="28"/>
          <w:lang w:eastAsia="pt-BR"/>
        </w:rPr>
        <w:t xml:space="preserve">that manifested months after the procedure, situated in an intermediate zone that challenges a rigid temporal delimitation, highlighting once again the heterogeneous and potentially unpredictable nature of this complication; In contrast, Naranjo and Manche (2024) consolidated the perception that, notwithstanding atypical cases, the period of greatest risk is concentrated </w:t>
      </w:r>
      <w:r w:rsidR="00C86FC1" w:rsidRPr="00C86FC1">
        <w:rPr>
          <w:rFonts w:ascii="Arial" w:eastAsia="Times New Roman" w:hAnsi="Arial" w:cs="Arial"/>
          <w:sz w:val="24"/>
          <w:szCs w:val="28"/>
          <w:lang w:eastAsia="pt-BR"/>
        </w:rPr>
        <w:t xml:space="preserve">in the first weeks, a consensus that should guide the intensity of clinical follow-up in the immediate postoperative period. Furthermore, the analysis by Wu </w:t>
      </w:r>
      <w:r w:rsidR="00EF7385" w:rsidRPr="00C86FC1">
        <w:rPr>
          <w:rFonts w:ascii="Arial" w:eastAsia="Times New Roman" w:hAnsi="Arial" w:cs="Arial"/>
          <w:i/>
          <w:sz w:val="24"/>
          <w:szCs w:val="28"/>
          <w:lang w:eastAsia="pt-BR"/>
        </w:rPr>
        <w:t xml:space="preserve">et al. </w:t>
      </w:r>
      <w:r w:rsidRPr="00C86FC1">
        <w:rPr>
          <w:rFonts w:ascii="Arial" w:eastAsia="Times New Roman" w:hAnsi="Arial" w:cs="Arial"/>
          <w:sz w:val="24"/>
          <w:szCs w:val="28"/>
          <w:lang w:eastAsia="pt-BR"/>
        </w:rPr>
        <w:t xml:space="preserve">(2021) provided the pathophysiological basis for this chronology, explaining that the peak activity of metalloproteinases and post-UVA redox imbalance are typically acute phenomena, which would justify the higher incidence of </w:t>
      </w:r>
      <w:r w:rsidR="00694B8A" w:rsidRPr="00C86FC1">
        <w:rPr>
          <w:rFonts w:ascii="Arial" w:eastAsia="Times New Roman" w:hAnsi="Arial" w:cs="Arial"/>
          <w:i/>
          <w:sz w:val="24"/>
          <w:szCs w:val="28"/>
          <w:lang w:eastAsia="pt-BR"/>
        </w:rPr>
        <w:t xml:space="preserve">melting </w:t>
      </w:r>
      <w:r w:rsidRPr="00C86FC1">
        <w:rPr>
          <w:rFonts w:ascii="Arial" w:eastAsia="Times New Roman" w:hAnsi="Arial" w:cs="Arial"/>
          <w:sz w:val="24"/>
          <w:szCs w:val="28"/>
          <w:lang w:eastAsia="pt-BR"/>
        </w:rPr>
        <w:t xml:space="preserve">in the initial period. However, the persistence of a long-term baseline risk, as suggested by </w:t>
      </w:r>
      <w:proofErr w:type="spellStart"/>
      <w:r w:rsidRPr="00C86FC1">
        <w:rPr>
          <w:rFonts w:ascii="Arial" w:eastAsia="Times New Roman" w:hAnsi="Arial" w:cs="Arial"/>
          <w:sz w:val="24"/>
          <w:szCs w:val="28"/>
          <w:lang w:eastAsia="pt-BR"/>
        </w:rPr>
        <w:t>Kodavoor</w:t>
      </w:r>
      <w:proofErr w:type="spellEnd"/>
      <w:r w:rsidRPr="00C86FC1">
        <w:rPr>
          <w:rFonts w:ascii="Arial" w:eastAsia="Times New Roman" w:hAnsi="Arial" w:cs="Arial"/>
          <w:sz w:val="24"/>
          <w:szCs w:val="28"/>
          <w:lang w:eastAsia="pt-BR"/>
        </w:rPr>
        <w:t xml:space="preserve"> </w:t>
      </w:r>
      <w:r w:rsidR="00EF7385" w:rsidRPr="00C86FC1">
        <w:rPr>
          <w:rFonts w:ascii="Arial" w:eastAsia="Times New Roman" w:hAnsi="Arial" w:cs="Arial"/>
          <w:i/>
          <w:sz w:val="24"/>
          <w:szCs w:val="28"/>
          <w:lang w:eastAsia="pt-BR"/>
        </w:rPr>
        <w:t xml:space="preserve">et al., is also noteworthy. </w:t>
      </w:r>
      <w:r w:rsidRPr="00C86FC1">
        <w:rPr>
          <w:rFonts w:ascii="Arial" w:eastAsia="Times New Roman" w:hAnsi="Arial" w:cs="Arial"/>
          <w:sz w:val="24"/>
          <w:szCs w:val="28"/>
          <w:lang w:eastAsia="pt-BR"/>
        </w:rPr>
        <w:t xml:space="preserve">(2024), implies the need for indefinite ophthalmological follow-up for patients undergoing CXL, especially those with known risk factors, such as reduced pachymetry or undergoing alternative protocols. Therefore, the average time for the appearance of </w:t>
      </w:r>
      <w:r w:rsidR="00694B8A" w:rsidRPr="00C86FC1">
        <w:rPr>
          <w:rFonts w:ascii="Arial" w:eastAsia="Times New Roman" w:hAnsi="Arial" w:cs="Arial"/>
          <w:i/>
          <w:sz w:val="24"/>
          <w:szCs w:val="28"/>
          <w:lang w:eastAsia="pt-BR"/>
        </w:rPr>
        <w:t xml:space="preserve">melting </w:t>
      </w:r>
      <w:r w:rsidRPr="00C86FC1">
        <w:rPr>
          <w:rFonts w:ascii="Arial" w:eastAsia="Times New Roman" w:hAnsi="Arial" w:cs="Arial"/>
          <w:sz w:val="24"/>
          <w:szCs w:val="28"/>
          <w:lang w:eastAsia="pt-BR"/>
        </w:rPr>
        <w:t xml:space="preserve">after CXL is variable, with a peak incidence in the first weeks, but with a spectrum extending from days to years, i.e., a bimodal or continuous temporal distribution reflects the multifactorial etiology of this complication. Thus, identifying the interval of greatest risk should consider not only chronology, but also the interaction </w:t>
      </w:r>
      <w:r w:rsidRPr="00C86FC1">
        <w:rPr>
          <w:rFonts w:ascii="Arial" w:eastAsia="Times New Roman" w:hAnsi="Arial" w:cs="Arial"/>
          <w:sz w:val="24"/>
          <w:szCs w:val="28"/>
          <w:lang w:eastAsia="pt-BR"/>
        </w:rPr>
        <w:lastRenderedPageBreak/>
        <w:t>between the protocol used, individual corneal characteristics, and possible late triggering factors, demanding adaptive and prolonged clinical surveillance to ensure early detection and appropriate management of this serious complication.</w:t>
      </w:r>
    </w:p>
    <w:p w14:paraId="1E4AA327" w14:textId="77777777" w:rsidR="00255A59" w:rsidRPr="00D449C1" w:rsidRDefault="00255A59" w:rsidP="00255A59">
      <w:pPr>
        <w:ind w:firstLine="0"/>
        <w:outlineLvl w:val="1"/>
        <w:rPr>
          <w:rFonts w:ascii="Arial" w:hAnsi="Arial" w:cs="Arial"/>
          <w:sz w:val="24"/>
          <w:szCs w:val="24"/>
        </w:rPr>
      </w:pPr>
    </w:p>
    <w:p w14:paraId="2F7B19C2" w14:textId="3B5C627E" w:rsidR="001F6FB7" w:rsidRPr="00D449C1" w:rsidRDefault="001F6FB7" w:rsidP="00B35AD9">
      <w:pPr>
        <w:pStyle w:val="1"/>
        <w:numPr>
          <w:ilvl w:val="0"/>
          <w:numId w:val="18"/>
        </w:numPr>
        <w:spacing w:line="360" w:lineRule="auto"/>
        <w:ind w:left="0" w:firstLine="0"/>
        <w:rPr>
          <w:rFonts w:ascii="Arial" w:hAnsi="Arial" w:cs="Arial"/>
          <w:bCs w:val="0"/>
          <w:szCs w:val="24"/>
        </w:rPr>
      </w:pPr>
      <w:r w:rsidRPr="00D449C1">
        <w:rPr>
          <w:rFonts w:ascii="Arial" w:hAnsi="Arial" w:cs="Arial"/>
          <w:bCs w:val="0"/>
          <w:szCs w:val="24"/>
        </w:rPr>
        <w:t>CONCLUSION</w:t>
      </w:r>
    </w:p>
    <w:p w14:paraId="3CAD8439" w14:textId="798D844F" w:rsidR="00D84990" w:rsidRDefault="00D84990" w:rsidP="00F670F7">
      <w:pPr>
        <w:pStyle w:val="1"/>
        <w:numPr>
          <w:ilvl w:val="0"/>
          <w:numId w:val="0"/>
        </w:numPr>
        <w:spacing w:line="360" w:lineRule="auto"/>
        <w:ind w:firstLine="709"/>
        <w:rPr>
          <w:rFonts w:ascii="Arial" w:hAnsi="Arial" w:cs="Arial"/>
          <w:bCs w:val="0"/>
          <w:szCs w:val="24"/>
        </w:rPr>
      </w:pPr>
    </w:p>
    <w:p w14:paraId="4519CC66" w14:textId="72EF1445" w:rsidR="00F670F7" w:rsidRPr="00F670F7" w:rsidRDefault="00F670F7" w:rsidP="00F670F7">
      <w:pPr>
        <w:pStyle w:val="1"/>
        <w:numPr>
          <w:ilvl w:val="0"/>
          <w:numId w:val="0"/>
        </w:numPr>
        <w:spacing w:line="360" w:lineRule="auto"/>
        <w:ind w:firstLine="709"/>
        <w:rPr>
          <w:rFonts w:ascii="Arial" w:hAnsi="Arial" w:cs="Arial"/>
          <w:b w:val="0"/>
          <w:bCs w:val="0"/>
          <w:szCs w:val="24"/>
        </w:rPr>
      </w:pPr>
      <w:r w:rsidRPr="009808E8">
        <w:rPr>
          <w:rFonts w:ascii="Arial" w:hAnsi="Arial" w:cs="Arial"/>
          <w:b w:val="0"/>
          <w:bCs w:val="0"/>
          <w:szCs w:val="24"/>
        </w:rPr>
        <w:t xml:space="preserve">This systematic review consolidated fundamental evidence on corneal </w:t>
      </w:r>
      <w:r w:rsidR="00694B8A" w:rsidRPr="009808E8">
        <w:rPr>
          <w:rFonts w:ascii="Arial" w:hAnsi="Arial" w:cs="Arial"/>
          <w:b w:val="0"/>
          <w:bCs w:val="0"/>
          <w:i/>
          <w:szCs w:val="24"/>
        </w:rPr>
        <w:t xml:space="preserve">melting </w:t>
      </w:r>
      <w:r w:rsidRPr="009808E8">
        <w:rPr>
          <w:rFonts w:ascii="Arial" w:hAnsi="Arial" w:cs="Arial"/>
          <w:b w:val="0"/>
          <w:bCs w:val="0"/>
          <w:szCs w:val="24"/>
        </w:rPr>
        <w:t xml:space="preserve">after </w:t>
      </w:r>
      <w:proofErr w:type="gramStart"/>
      <w:r w:rsidR="000A142B" w:rsidRPr="009808E8">
        <w:rPr>
          <w:rFonts w:ascii="Arial" w:hAnsi="Arial" w:cs="Arial"/>
          <w:b w:val="0"/>
          <w:bCs w:val="0"/>
          <w:i/>
          <w:szCs w:val="24"/>
        </w:rPr>
        <w:t xml:space="preserve">crosslinking </w:t>
      </w:r>
      <w:r w:rsidRPr="009808E8">
        <w:rPr>
          <w:rFonts w:ascii="Arial" w:hAnsi="Arial" w:cs="Arial"/>
          <w:b w:val="0"/>
          <w:bCs w:val="0"/>
          <w:szCs w:val="24"/>
        </w:rPr>
        <w:t>,</w:t>
      </w:r>
      <w:proofErr w:type="gramEnd"/>
      <w:r w:rsidRPr="009808E8">
        <w:rPr>
          <w:rFonts w:ascii="Arial" w:hAnsi="Arial" w:cs="Arial"/>
          <w:b w:val="0"/>
          <w:bCs w:val="0"/>
          <w:szCs w:val="24"/>
        </w:rPr>
        <w:t xml:space="preserve"> consistently achieving its proposed objectives. Therefore, it is concluded that the occurrence of this complication, although low in population terms, presents significant variations when specific risk factors are analyzed. The research objective was achieved, primarily by characterizing its occurrence and demonstrating that, despite its rarity, </w:t>
      </w:r>
      <w:r w:rsidR="00694B8A" w:rsidRPr="009808E8">
        <w:rPr>
          <w:rFonts w:ascii="Arial" w:hAnsi="Arial" w:cs="Arial"/>
          <w:b w:val="0"/>
          <w:bCs w:val="0"/>
          <w:i/>
          <w:szCs w:val="24"/>
        </w:rPr>
        <w:t xml:space="preserve">melting </w:t>
      </w:r>
      <w:r w:rsidRPr="009808E8">
        <w:rPr>
          <w:rFonts w:ascii="Arial" w:hAnsi="Arial" w:cs="Arial"/>
          <w:b w:val="0"/>
          <w:bCs w:val="0"/>
          <w:szCs w:val="24"/>
        </w:rPr>
        <w:t xml:space="preserve">represents an extremely serious clinical entity with a potentially devastating impact on visual acuity and ocular integrity. Secondarily, the analyzed data allowed for a better elucidation of the unequivocal relationship between reduced corneal pachymetry and an increased risk of </w:t>
      </w:r>
      <w:proofErr w:type="gramStart"/>
      <w:r w:rsidR="00694B8A" w:rsidRPr="009808E8">
        <w:rPr>
          <w:rFonts w:ascii="Arial" w:hAnsi="Arial" w:cs="Arial"/>
          <w:b w:val="0"/>
          <w:bCs w:val="0"/>
          <w:i/>
          <w:szCs w:val="24"/>
        </w:rPr>
        <w:t xml:space="preserve">melting </w:t>
      </w:r>
      <w:r w:rsidRPr="009808E8">
        <w:rPr>
          <w:rFonts w:ascii="Arial" w:hAnsi="Arial" w:cs="Arial"/>
          <w:b w:val="0"/>
          <w:bCs w:val="0"/>
          <w:szCs w:val="24"/>
        </w:rPr>
        <w:t>,</w:t>
      </w:r>
      <w:proofErr w:type="gramEnd"/>
      <w:r w:rsidRPr="009808E8">
        <w:rPr>
          <w:rFonts w:ascii="Arial" w:hAnsi="Arial" w:cs="Arial"/>
          <w:b w:val="0"/>
          <w:bCs w:val="0"/>
          <w:szCs w:val="24"/>
        </w:rPr>
        <w:t xml:space="preserve"> with values below 400 µm emerging as a critical threshold, particularly when associated with modified protocols </w:t>
      </w:r>
      <w:r w:rsidR="009808E8">
        <w:rPr>
          <w:rFonts w:ascii="Arial" w:hAnsi="Arial" w:cs="Arial"/>
          <w:b w:val="0"/>
          <w:bCs w:val="0"/>
          <w:szCs w:val="24"/>
        </w:rPr>
        <w:t xml:space="preserve">. In parallel, the incidence of </w:t>
      </w:r>
      <w:r w:rsidR="00694B8A" w:rsidRPr="009808E8">
        <w:rPr>
          <w:rFonts w:ascii="Arial" w:hAnsi="Arial" w:cs="Arial"/>
          <w:b w:val="0"/>
          <w:bCs w:val="0"/>
          <w:i/>
          <w:szCs w:val="24"/>
        </w:rPr>
        <w:t xml:space="preserve">melting </w:t>
      </w:r>
      <w:r w:rsidRPr="009808E8">
        <w:rPr>
          <w:rFonts w:ascii="Arial" w:hAnsi="Arial" w:cs="Arial"/>
          <w:b w:val="0"/>
          <w:bCs w:val="0"/>
          <w:szCs w:val="24"/>
        </w:rPr>
        <w:t xml:space="preserve">varied substantially among the different CXL protocols, with the Dresden protocol maintaining the safest profile, while the accelerated (Fast) and thin-cornea-adapted (sub-400) variants showed a greater association with the complication, in addition to the use of </w:t>
      </w:r>
      <w:proofErr w:type="spellStart"/>
      <w:r w:rsidRPr="009808E8">
        <w:rPr>
          <w:rFonts w:ascii="Arial" w:hAnsi="Arial" w:cs="Arial"/>
          <w:b w:val="0"/>
          <w:bCs w:val="0"/>
          <w:szCs w:val="24"/>
        </w:rPr>
        <w:t>hypoosmolar</w:t>
      </w:r>
      <w:proofErr w:type="spellEnd"/>
      <w:r w:rsidRPr="009808E8">
        <w:rPr>
          <w:rFonts w:ascii="Arial" w:hAnsi="Arial" w:cs="Arial"/>
          <w:b w:val="0"/>
          <w:bCs w:val="0"/>
          <w:szCs w:val="24"/>
        </w:rPr>
        <w:t xml:space="preserve"> riboflavin, which also showed a potential increased risk in selected cases. Furthermore, temporal analysis revealed a bimodal presentation profile, with a peak incidence in the first </w:t>
      </w:r>
      <w:proofErr w:type="gramStart"/>
      <w:r w:rsidRPr="009808E8">
        <w:rPr>
          <w:rFonts w:ascii="Arial" w:hAnsi="Arial" w:cs="Arial"/>
          <w:b w:val="0"/>
          <w:bCs w:val="0"/>
          <w:szCs w:val="24"/>
        </w:rPr>
        <w:t>weeks</w:t>
      </w:r>
      <w:proofErr w:type="gramEnd"/>
      <w:r w:rsidRPr="009808E8">
        <w:rPr>
          <w:rFonts w:ascii="Arial" w:hAnsi="Arial" w:cs="Arial"/>
          <w:b w:val="0"/>
          <w:bCs w:val="0"/>
          <w:szCs w:val="24"/>
        </w:rPr>
        <w:t xml:space="preserve"> post-procedure, the period of greatest vulnerability identified in different studies, but with the possibility of late manifestation, even years after CXL. Thus, this systematic review concluded that post-CXL corneal </w:t>
      </w:r>
      <w:r w:rsidR="00694B8A" w:rsidRPr="009808E8">
        <w:rPr>
          <w:rFonts w:ascii="Arial" w:hAnsi="Arial" w:cs="Arial"/>
          <w:b w:val="0"/>
          <w:bCs w:val="0"/>
          <w:i/>
          <w:szCs w:val="24"/>
        </w:rPr>
        <w:t xml:space="preserve">melting </w:t>
      </w:r>
      <w:r w:rsidRPr="009808E8">
        <w:rPr>
          <w:rFonts w:ascii="Arial" w:hAnsi="Arial" w:cs="Arial"/>
          <w:b w:val="0"/>
          <w:bCs w:val="0"/>
          <w:szCs w:val="24"/>
        </w:rPr>
        <w:t xml:space="preserve">is a multifactorial complication, the prevention of which depends fundamentally on the careful selection of candidates, with emphasis on the evaluation of preoperative pachymetry, the appropriate choice of protocol, and the maintenance of prolonged clinical surveillance. While the window of greatest risk is in the first few weeks, long-term follow-up is mandatory, especially for patients undergoing alternative protocols or with associated risk factors. Therefore, the reported findings reinforce the need for continuous technical refinement of CXL protocols </w:t>
      </w:r>
      <w:r w:rsidRPr="009808E8">
        <w:rPr>
          <w:rFonts w:ascii="Arial" w:hAnsi="Arial" w:cs="Arial"/>
          <w:b w:val="0"/>
          <w:bCs w:val="0"/>
          <w:szCs w:val="24"/>
        </w:rPr>
        <w:lastRenderedPageBreak/>
        <w:t>and the development of evidence-based clinical guidelines that optimize the risk-benefit ratio of this fundamental therapeutic modality for keratoconus.</w:t>
      </w:r>
    </w:p>
    <w:p w14:paraId="3D864F59" w14:textId="286E79A8" w:rsidR="00E455C5" w:rsidRPr="00E201A1" w:rsidRDefault="006A0566" w:rsidP="00320B15">
      <w:pPr>
        <w:pStyle w:val="Heading1"/>
        <w:ind w:firstLine="0"/>
        <w:rPr>
          <w:rFonts w:ascii="Arial" w:hAnsi="Arial" w:cs="Arial"/>
          <w:bCs w:val="0"/>
          <w:color w:val="auto"/>
          <w:sz w:val="24"/>
          <w:szCs w:val="24"/>
        </w:rPr>
      </w:pPr>
      <w:r w:rsidRPr="00E201A1">
        <w:rPr>
          <w:rFonts w:ascii="Arial" w:hAnsi="Arial" w:cs="Arial"/>
          <w:bCs w:val="0"/>
          <w:color w:val="auto"/>
          <w:sz w:val="24"/>
          <w:szCs w:val="24"/>
        </w:rPr>
        <w:t>REFERENCES</w:t>
      </w:r>
      <w:bookmarkEnd w:id="3"/>
      <w:bookmarkEnd w:id="4"/>
      <w:bookmarkEnd w:id="5"/>
    </w:p>
    <w:p w14:paraId="79A7B28E" w14:textId="77777777" w:rsidR="00E201A1" w:rsidRPr="00E201A1" w:rsidRDefault="00E201A1" w:rsidP="00E201A1">
      <w:pPr>
        <w:shd w:val="clear" w:color="auto" w:fill="FFFFFF"/>
        <w:rPr>
          <w:rFonts w:ascii="Arial" w:hAnsi="Arial" w:cs="Arial"/>
          <w:sz w:val="24"/>
          <w:szCs w:val="24"/>
        </w:rPr>
      </w:pPr>
    </w:p>
    <w:p w14:paraId="3179EDE3" w14:textId="77777777" w:rsidR="00E201A1" w:rsidRPr="00E201A1" w:rsidRDefault="00E201A1" w:rsidP="00E201A1">
      <w:pPr>
        <w:pStyle w:val="ListParagraph"/>
        <w:numPr>
          <w:ilvl w:val="0"/>
          <w:numId w:val="16"/>
        </w:numPr>
        <w:shd w:val="clear" w:color="auto" w:fill="FFFFFF"/>
        <w:ind w:left="0" w:firstLine="0"/>
        <w:rPr>
          <w:rFonts w:ascii="Arial" w:hAnsi="Arial" w:cs="Arial"/>
          <w:sz w:val="24"/>
          <w:szCs w:val="24"/>
          <w:lang w:val="en-US"/>
        </w:rPr>
      </w:pPr>
      <w:proofErr w:type="spellStart"/>
      <w:r w:rsidRPr="00E201A1">
        <w:rPr>
          <w:rFonts w:ascii="Arial" w:hAnsi="Arial" w:cs="Arial"/>
          <w:sz w:val="24"/>
          <w:szCs w:val="24"/>
        </w:rPr>
        <w:t>Angunawela</w:t>
      </w:r>
      <w:proofErr w:type="spellEnd"/>
      <w:r w:rsidRPr="00E201A1">
        <w:rPr>
          <w:rFonts w:ascii="Arial" w:hAnsi="Arial" w:cs="Arial"/>
          <w:sz w:val="24"/>
          <w:szCs w:val="24"/>
        </w:rPr>
        <w:t xml:space="preserve">, R I.; </w:t>
      </w:r>
      <w:proofErr w:type="spellStart"/>
      <w:r w:rsidRPr="00E201A1">
        <w:rPr>
          <w:rFonts w:ascii="Arial" w:hAnsi="Arial" w:cs="Arial"/>
          <w:sz w:val="24"/>
          <w:szCs w:val="24"/>
        </w:rPr>
        <w:t>Arnalich</w:t>
      </w:r>
      <w:proofErr w:type="spellEnd"/>
      <w:r w:rsidRPr="00E201A1">
        <w:rPr>
          <w:rFonts w:ascii="Arial" w:hAnsi="Arial" w:cs="Arial"/>
          <w:sz w:val="24"/>
          <w:szCs w:val="24"/>
        </w:rPr>
        <w:t xml:space="preserve">-Montiel, F; Allan, B. Peripheral stereoscopic infiltrates of the cornea and fusion after collagen cross-linking for keratoconus. </w:t>
      </w:r>
      <w:r w:rsidRPr="00E201A1">
        <w:rPr>
          <w:rFonts w:ascii="Arial" w:hAnsi="Arial" w:cs="Arial"/>
          <w:sz w:val="24"/>
          <w:szCs w:val="24"/>
          <w:lang w:val="en-US"/>
        </w:rPr>
        <w:t>Journal of Cataract &amp; Refractive Surgery 35(3</w:t>
      </w:r>
      <w:proofErr w:type="gramStart"/>
      <w:r w:rsidRPr="00E201A1">
        <w:rPr>
          <w:rFonts w:ascii="Arial" w:hAnsi="Arial" w:cs="Arial"/>
          <w:sz w:val="24"/>
          <w:szCs w:val="24"/>
          <w:lang w:val="en-US"/>
        </w:rPr>
        <w:t>):p</w:t>
      </w:r>
      <w:proofErr w:type="gramEnd"/>
      <w:r w:rsidRPr="00E201A1">
        <w:rPr>
          <w:rFonts w:ascii="Arial" w:hAnsi="Arial" w:cs="Arial"/>
          <w:sz w:val="24"/>
          <w:szCs w:val="24"/>
          <w:lang w:val="en-US"/>
        </w:rPr>
        <w:t xml:space="preserve"> 606-607, 2009.</w:t>
      </w:r>
    </w:p>
    <w:p w14:paraId="2DA7FCDA" w14:textId="77777777" w:rsidR="00E201A1" w:rsidRPr="00E201A1" w:rsidRDefault="00E201A1" w:rsidP="00E201A1">
      <w:pPr>
        <w:pStyle w:val="ListParagraph"/>
        <w:numPr>
          <w:ilvl w:val="0"/>
          <w:numId w:val="16"/>
        </w:numPr>
        <w:shd w:val="clear" w:color="auto" w:fill="FFFFFF"/>
        <w:ind w:left="0" w:firstLine="0"/>
        <w:rPr>
          <w:rFonts w:ascii="Arial" w:hAnsi="Arial" w:cs="Arial"/>
          <w:sz w:val="24"/>
          <w:szCs w:val="24"/>
        </w:rPr>
      </w:pPr>
      <w:r w:rsidRPr="00E201A1">
        <w:rPr>
          <w:rFonts w:ascii="Arial" w:hAnsi="Arial" w:cs="Arial"/>
          <w:sz w:val="24"/>
          <w:szCs w:val="24"/>
          <w:lang w:val="en-US"/>
        </w:rPr>
        <w:t xml:space="preserve">Said, DG. et al. Collagen Cross-Linking with Photoactivated Riboflavin (PACK-CXL) for the Treatment of Advanced Infectious Keratitis with Corneal Melting. </w:t>
      </w:r>
      <w:r w:rsidRPr="00E201A1">
        <w:rPr>
          <w:rFonts w:ascii="Arial" w:hAnsi="Arial" w:cs="Arial"/>
          <w:sz w:val="24"/>
          <w:szCs w:val="24"/>
        </w:rPr>
        <w:t>Ophthalmology, Volume 121, Issue 7, 1377 - 1382. 2014.</w:t>
      </w:r>
    </w:p>
    <w:p w14:paraId="209BF371" w14:textId="77777777" w:rsidR="00E201A1" w:rsidRPr="00E201A1" w:rsidRDefault="00E201A1" w:rsidP="00E201A1">
      <w:pPr>
        <w:pStyle w:val="ListParagraph"/>
        <w:numPr>
          <w:ilvl w:val="0"/>
          <w:numId w:val="16"/>
        </w:numPr>
        <w:shd w:val="clear" w:color="auto" w:fill="FFFFFF"/>
        <w:ind w:left="0" w:firstLine="0"/>
        <w:rPr>
          <w:rFonts w:ascii="Arial" w:hAnsi="Arial" w:cs="Arial"/>
          <w:sz w:val="24"/>
          <w:szCs w:val="24"/>
        </w:rPr>
      </w:pPr>
      <w:r w:rsidRPr="00E201A1">
        <w:rPr>
          <w:rFonts w:ascii="Arial" w:hAnsi="Arial" w:cs="Arial"/>
          <w:sz w:val="24"/>
          <w:szCs w:val="24"/>
          <w:lang w:val="en-US"/>
        </w:rPr>
        <w:t xml:space="preserve">Bennani, Y., </w:t>
      </w:r>
      <w:proofErr w:type="spellStart"/>
      <w:r w:rsidRPr="00E201A1">
        <w:rPr>
          <w:rFonts w:ascii="Arial" w:hAnsi="Arial" w:cs="Arial"/>
          <w:sz w:val="24"/>
          <w:szCs w:val="24"/>
          <w:lang w:val="en-US"/>
        </w:rPr>
        <w:t>Elmassry</w:t>
      </w:r>
      <w:proofErr w:type="spellEnd"/>
      <w:r w:rsidRPr="00E201A1">
        <w:rPr>
          <w:rFonts w:ascii="Arial" w:hAnsi="Arial" w:cs="Arial"/>
          <w:sz w:val="24"/>
          <w:szCs w:val="24"/>
          <w:lang w:val="en-US"/>
        </w:rPr>
        <w:t xml:space="preserve">, A., </w:t>
      </w:r>
      <w:proofErr w:type="spellStart"/>
      <w:r w:rsidRPr="00E201A1">
        <w:rPr>
          <w:rFonts w:ascii="Arial" w:hAnsi="Arial" w:cs="Arial"/>
          <w:sz w:val="24"/>
          <w:szCs w:val="24"/>
          <w:lang w:val="en-US"/>
        </w:rPr>
        <w:t>Bencherif</w:t>
      </w:r>
      <w:proofErr w:type="spellEnd"/>
      <w:r w:rsidRPr="00E201A1">
        <w:rPr>
          <w:rFonts w:ascii="Arial" w:hAnsi="Arial" w:cs="Arial"/>
          <w:sz w:val="24"/>
          <w:szCs w:val="24"/>
          <w:lang w:val="en-US"/>
        </w:rPr>
        <w:t xml:space="preserve">, S., </w:t>
      </w:r>
      <w:proofErr w:type="spellStart"/>
      <w:r w:rsidRPr="00E201A1">
        <w:rPr>
          <w:rFonts w:ascii="Arial" w:hAnsi="Arial" w:cs="Arial"/>
          <w:sz w:val="24"/>
          <w:szCs w:val="24"/>
          <w:lang w:val="en-US"/>
        </w:rPr>
        <w:t>Benamar</w:t>
      </w:r>
      <w:proofErr w:type="spellEnd"/>
      <w:r w:rsidRPr="00E201A1">
        <w:rPr>
          <w:rFonts w:ascii="Arial" w:hAnsi="Arial" w:cs="Arial"/>
          <w:sz w:val="24"/>
          <w:szCs w:val="24"/>
          <w:lang w:val="en-US"/>
        </w:rPr>
        <w:t xml:space="preserve">, S., </w:t>
      </w:r>
      <w:proofErr w:type="spellStart"/>
      <w:r w:rsidRPr="00E201A1">
        <w:rPr>
          <w:rFonts w:ascii="Arial" w:hAnsi="Arial" w:cs="Arial"/>
          <w:sz w:val="24"/>
          <w:szCs w:val="24"/>
          <w:lang w:val="en-US"/>
        </w:rPr>
        <w:t>Belmekki</w:t>
      </w:r>
      <w:proofErr w:type="spellEnd"/>
      <w:r w:rsidRPr="00E201A1">
        <w:rPr>
          <w:rFonts w:ascii="Arial" w:hAnsi="Arial" w:cs="Arial"/>
          <w:sz w:val="24"/>
          <w:szCs w:val="24"/>
          <w:lang w:val="en-US"/>
        </w:rPr>
        <w:t xml:space="preserve">, M., &amp; </w:t>
      </w:r>
      <w:proofErr w:type="spellStart"/>
      <w:r w:rsidRPr="00E201A1">
        <w:rPr>
          <w:rFonts w:ascii="Arial" w:hAnsi="Arial" w:cs="Arial"/>
          <w:sz w:val="24"/>
          <w:szCs w:val="24"/>
          <w:lang w:val="en-US"/>
        </w:rPr>
        <w:t>Awad</w:t>
      </w:r>
      <w:proofErr w:type="spellEnd"/>
      <w:r w:rsidRPr="00E201A1">
        <w:rPr>
          <w:rFonts w:ascii="Arial" w:hAnsi="Arial" w:cs="Arial"/>
          <w:sz w:val="24"/>
          <w:szCs w:val="24"/>
          <w:lang w:val="en-US"/>
        </w:rPr>
        <w:t xml:space="preserve">, R. Corneal necrosis following an epithelium-off accelerated cross-linking for keratoconus, a case report and literature review. Indian Journal of Ophthalmology - Case Reports, 5(2), 251–256. https://doi.org/10.4103/IJO.IJO_1562_24. </w:t>
      </w:r>
      <w:r w:rsidRPr="00E201A1">
        <w:rPr>
          <w:rFonts w:ascii="Arial" w:hAnsi="Arial" w:cs="Arial"/>
          <w:sz w:val="24"/>
          <w:szCs w:val="24"/>
        </w:rPr>
        <w:t>2025.</w:t>
      </w:r>
    </w:p>
    <w:p w14:paraId="19D6EB07" w14:textId="77777777" w:rsidR="00E201A1" w:rsidRPr="00E201A1" w:rsidRDefault="00E201A1" w:rsidP="00E201A1">
      <w:pPr>
        <w:pStyle w:val="ListParagraph"/>
        <w:numPr>
          <w:ilvl w:val="0"/>
          <w:numId w:val="16"/>
        </w:numPr>
        <w:shd w:val="clear" w:color="auto" w:fill="FFFFFF"/>
        <w:ind w:left="0" w:firstLine="0"/>
        <w:rPr>
          <w:rFonts w:ascii="Arial" w:hAnsi="Arial" w:cs="Arial"/>
          <w:sz w:val="24"/>
          <w:szCs w:val="24"/>
        </w:rPr>
      </w:pPr>
      <w:proofErr w:type="spellStart"/>
      <w:r w:rsidRPr="00E201A1">
        <w:rPr>
          <w:rFonts w:ascii="Arial" w:hAnsi="Arial" w:cs="Arial"/>
          <w:sz w:val="24"/>
          <w:szCs w:val="24"/>
          <w:lang w:val="en-US"/>
        </w:rPr>
        <w:t>Kocak</w:t>
      </w:r>
      <w:proofErr w:type="spellEnd"/>
      <w:r w:rsidRPr="00E201A1">
        <w:rPr>
          <w:rFonts w:ascii="Arial" w:hAnsi="Arial" w:cs="Arial"/>
          <w:sz w:val="24"/>
          <w:szCs w:val="24"/>
          <w:lang w:val="en-US"/>
        </w:rPr>
        <w:t xml:space="preserve">, I.; Aydin, A.; </w:t>
      </w:r>
      <w:proofErr w:type="spellStart"/>
      <w:r w:rsidRPr="00E201A1">
        <w:rPr>
          <w:rFonts w:ascii="Arial" w:hAnsi="Arial" w:cs="Arial"/>
          <w:sz w:val="24"/>
          <w:szCs w:val="24"/>
          <w:lang w:val="en-US"/>
        </w:rPr>
        <w:t>Sahbaz</w:t>
      </w:r>
      <w:proofErr w:type="spellEnd"/>
      <w:r w:rsidRPr="00E201A1">
        <w:rPr>
          <w:rFonts w:ascii="Arial" w:hAnsi="Arial" w:cs="Arial"/>
          <w:sz w:val="24"/>
          <w:szCs w:val="24"/>
          <w:lang w:val="en-US"/>
        </w:rPr>
        <w:t xml:space="preserve">, I.; Kaya, F.; </w:t>
      </w:r>
      <w:proofErr w:type="spellStart"/>
      <w:r w:rsidRPr="00E201A1">
        <w:rPr>
          <w:rFonts w:ascii="Arial" w:hAnsi="Arial" w:cs="Arial"/>
          <w:sz w:val="24"/>
          <w:szCs w:val="24"/>
          <w:lang w:val="en-US"/>
        </w:rPr>
        <w:t>Baybora</w:t>
      </w:r>
      <w:proofErr w:type="spellEnd"/>
      <w:r w:rsidRPr="00E201A1">
        <w:rPr>
          <w:rFonts w:ascii="Arial" w:hAnsi="Arial" w:cs="Arial"/>
          <w:sz w:val="24"/>
          <w:szCs w:val="24"/>
          <w:lang w:val="en-US"/>
        </w:rPr>
        <w:t xml:space="preserve">, </w:t>
      </w:r>
      <w:proofErr w:type="gramStart"/>
      <w:r w:rsidRPr="00E201A1">
        <w:rPr>
          <w:rFonts w:ascii="Arial" w:hAnsi="Arial" w:cs="Arial"/>
          <w:sz w:val="24"/>
          <w:szCs w:val="24"/>
          <w:lang w:val="en-US"/>
        </w:rPr>
        <w:t>H..</w:t>
      </w:r>
      <w:proofErr w:type="gramEnd"/>
      <w:r w:rsidRPr="00E201A1">
        <w:rPr>
          <w:rFonts w:ascii="Arial" w:hAnsi="Arial" w:cs="Arial"/>
          <w:sz w:val="24"/>
          <w:szCs w:val="24"/>
          <w:lang w:val="en-US"/>
        </w:rPr>
        <w:t xml:space="preserve"> The management of corneal melt occurring after collagen cross-linking for keratoconus. </w:t>
      </w:r>
      <w:r w:rsidRPr="00E201A1">
        <w:rPr>
          <w:rFonts w:ascii="Arial" w:hAnsi="Arial" w:cs="Arial"/>
          <w:sz w:val="24"/>
          <w:szCs w:val="24"/>
        </w:rPr>
        <w:t xml:space="preserve">Journal </w:t>
      </w:r>
      <w:proofErr w:type="spellStart"/>
      <w:r w:rsidRPr="00E201A1">
        <w:rPr>
          <w:rFonts w:ascii="Arial" w:hAnsi="Arial" w:cs="Arial"/>
          <w:sz w:val="24"/>
          <w:szCs w:val="24"/>
        </w:rPr>
        <w:t>Français</w:t>
      </w:r>
      <w:proofErr w:type="spellEnd"/>
      <w:r w:rsidRPr="00E201A1">
        <w:rPr>
          <w:rFonts w:ascii="Arial" w:hAnsi="Arial" w:cs="Arial"/>
          <w:sz w:val="24"/>
          <w:szCs w:val="24"/>
        </w:rPr>
        <w:t xml:space="preserve"> </w:t>
      </w:r>
      <w:proofErr w:type="spellStart"/>
      <w:r w:rsidRPr="00E201A1">
        <w:rPr>
          <w:rFonts w:ascii="Arial" w:hAnsi="Arial" w:cs="Arial"/>
          <w:sz w:val="24"/>
          <w:szCs w:val="24"/>
        </w:rPr>
        <w:t>d'Ophtalmologie</w:t>
      </w:r>
      <w:proofErr w:type="spellEnd"/>
      <w:r w:rsidRPr="00E201A1">
        <w:rPr>
          <w:rFonts w:ascii="Arial" w:hAnsi="Arial" w:cs="Arial"/>
          <w:sz w:val="24"/>
          <w:szCs w:val="24"/>
        </w:rPr>
        <w:t>. Volume 38, Issue 1. 2015.</w:t>
      </w:r>
    </w:p>
    <w:p w14:paraId="65032F20" w14:textId="77777777" w:rsidR="00E201A1" w:rsidRPr="00E201A1" w:rsidRDefault="00E201A1" w:rsidP="00E201A1">
      <w:pPr>
        <w:pStyle w:val="ListParagraph"/>
        <w:numPr>
          <w:ilvl w:val="0"/>
          <w:numId w:val="16"/>
        </w:numPr>
        <w:shd w:val="clear" w:color="auto" w:fill="FFFFFF"/>
        <w:ind w:left="0" w:firstLine="0"/>
        <w:rPr>
          <w:rFonts w:ascii="Arial" w:hAnsi="Arial" w:cs="Arial"/>
          <w:sz w:val="24"/>
          <w:szCs w:val="24"/>
        </w:rPr>
      </w:pPr>
      <w:r w:rsidRPr="00FC5CFA">
        <w:rPr>
          <w:rFonts w:ascii="Arial" w:hAnsi="Arial" w:cs="Arial"/>
          <w:sz w:val="24"/>
          <w:szCs w:val="24"/>
          <w:lang w:val="en-US"/>
        </w:rPr>
        <w:t xml:space="preserve">Chiu, HH; </w:t>
      </w:r>
      <w:proofErr w:type="spellStart"/>
      <w:r w:rsidRPr="00FC5CFA">
        <w:rPr>
          <w:rFonts w:ascii="Arial" w:hAnsi="Arial" w:cs="Arial"/>
          <w:sz w:val="24"/>
          <w:szCs w:val="24"/>
          <w:lang w:val="en-US"/>
        </w:rPr>
        <w:t>Shachar</w:t>
      </w:r>
      <w:proofErr w:type="spellEnd"/>
      <w:r w:rsidRPr="00FC5CFA">
        <w:rPr>
          <w:rFonts w:ascii="Arial" w:hAnsi="Arial" w:cs="Arial"/>
          <w:sz w:val="24"/>
          <w:szCs w:val="24"/>
          <w:lang w:val="en-US"/>
        </w:rPr>
        <w:t xml:space="preserve">, S.; Hall, F. Chew Corneal melt following collagen crosslinking and topography-guided customized ablation treatment for keratoconus. </w:t>
      </w:r>
      <w:r w:rsidRPr="00E201A1">
        <w:rPr>
          <w:rFonts w:ascii="Arial" w:hAnsi="Arial" w:cs="Arial"/>
          <w:sz w:val="24"/>
          <w:szCs w:val="24"/>
        </w:rPr>
        <w:t>Canadian Journal of Ophthalmology, Volume 52, Issue 3, e88 - e91. 2017.</w:t>
      </w:r>
    </w:p>
    <w:p w14:paraId="4633D8AF" w14:textId="77777777" w:rsidR="00E201A1" w:rsidRPr="00E201A1" w:rsidRDefault="00E201A1" w:rsidP="00E201A1">
      <w:pPr>
        <w:pStyle w:val="ListParagraph"/>
        <w:numPr>
          <w:ilvl w:val="0"/>
          <w:numId w:val="16"/>
        </w:numPr>
        <w:shd w:val="clear" w:color="auto" w:fill="FFFFFF"/>
        <w:ind w:left="0" w:firstLine="0"/>
        <w:rPr>
          <w:rFonts w:ascii="Arial" w:hAnsi="Arial" w:cs="Arial"/>
          <w:sz w:val="24"/>
          <w:szCs w:val="24"/>
        </w:rPr>
      </w:pPr>
      <w:proofErr w:type="spellStart"/>
      <w:r w:rsidRPr="00FC5CFA">
        <w:rPr>
          <w:rFonts w:ascii="Arial" w:hAnsi="Arial" w:cs="Arial"/>
          <w:sz w:val="24"/>
          <w:szCs w:val="24"/>
          <w:lang w:val="en-US"/>
        </w:rPr>
        <w:t>Kodavoor</w:t>
      </w:r>
      <w:proofErr w:type="spellEnd"/>
      <w:r w:rsidRPr="00FC5CFA">
        <w:rPr>
          <w:rFonts w:ascii="Arial" w:hAnsi="Arial" w:cs="Arial"/>
          <w:sz w:val="24"/>
          <w:szCs w:val="24"/>
          <w:lang w:val="en-US"/>
        </w:rPr>
        <w:t xml:space="preserve"> SK, </w:t>
      </w:r>
      <w:proofErr w:type="spellStart"/>
      <w:r w:rsidRPr="00FC5CFA">
        <w:rPr>
          <w:rFonts w:ascii="Arial" w:hAnsi="Arial" w:cs="Arial"/>
          <w:sz w:val="24"/>
          <w:szCs w:val="24"/>
          <w:lang w:val="en-US"/>
        </w:rPr>
        <w:t>Sugali</w:t>
      </w:r>
      <w:proofErr w:type="spellEnd"/>
      <w:r w:rsidRPr="00FC5CFA">
        <w:rPr>
          <w:rFonts w:ascii="Arial" w:hAnsi="Arial" w:cs="Arial"/>
          <w:sz w:val="24"/>
          <w:szCs w:val="24"/>
          <w:lang w:val="en-US"/>
        </w:rPr>
        <w:t xml:space="preserve"> SC, </w:t>
      </w:r>
      <w:proofErr w:type="spellStart"/>
      <w:r w:rsidRPr="00FC5CFA">
        <w:rPr>
          <w:rFonts w:ascii="Arial" w:hAnsi="Arial" w:cs="Arial"/>
          <w:sz w:val="24"/>
          <w:szCs w:val="24"/>
          <w:lang w:val="en-US"/>
        </w:rPr>
        <w:t>Selvaraju</w:t>
      </w:r>
      <w:proofErr w:type="spellEnd"/>
      <w:r w:rsidRPr="00FC5CFA">
        <w:rPr>
          <w:rFonts w:ascii="Arial" w:hAnsi="Arial" w:cs="Arial"/>
          <w:sz w:val="24"/>
          <w:szCs w:val="24"/>
          <w:lang w:val="en-US"/>
        </w:rPr>
        <w:t xml:space="preserve"> G, </w:t>
      </w:r>
      <w:proofErr w:type="spellStart"/>
      <w:r w:rsidRPr="00FC5CFA">
        <w:rPr>
          <w:rFonts w:ascii="Arial" w:hAnsi="Arial" w:cs="Arial"/>
          <w:sz w:val="24"/>
          <w:szCs w:val="24"/>
          <w:lang w:val="en-US"/>
        </w:rPr>
        <w:t>Dandapani</w:t>
      </w:r>
      <w:proofErr w:type="spellEnd"/>
      <w:r w:rsidRPr="00FC5CFA">
        <w:rPr>
          <w:rFonts w:ascii="Arial" w:hAnsi="Arial" w:cs="Arial"/>
          <w:sz w:val="24"/>
          <w:szCs w:val="24"/>
          <w:lang w:val="en-US"/>
        </w:rPr>
        <w:t xml:space="preserve"> R. Progression of corneal thinning and melting after collagen cross-linking for keratoconus. </w:t>
      </w:r>
      <w:r w:rsidRPr="00E201A1">
        <w:rPr>
          <w:rFonts w:ascii="Arial" w:hAnsi="Arial" w:cs="Arial"/>
          <w:sz w:val="24"/>
          <w:szCs w:val="24"/>
        </w:rPr>
        <w:t xml:space="preserve">Rom J </w:t>
      </w:r>
      <w:proofErr w:type="spellStart"/>
      <w:r w:rsidRPr="00E201A1">
        <w:rPr>
          <w:rFonts w:ascii="Arial" w:hAnsi="Arial" w:cs="Arial"/>
          <w:sz w:val="24"/>
          <w:szCs w:val="24"/>
        </w:rPr>
        <w:t>Ophthalmol</w:t>
      </w:r>
      <w:proofErr w:type="spellEnd"/>
      <w:r w:rsidRPr="00E201A1">
        <w:rPr>
          <w:rFonts w:ascii="Arial" w:hAnsi="Arial" w:cs="Arial"/>
          <w:sz w:val="24"/>
          <w:szCs w:val="24"/>
        </w:rPr>
        <w:t>. 2024.</w:t>
      </w:r>
    </w:p>
    <w:p w14:paraId="4E0C874B" w14:textId="77777777" w:rsidR="00E201A1" w:rsidRPr="00E201A1" w:rsidRDefault="00E201A1" w:rsidP="00E201A1">
      <w:pPr>
        <w:pStyle w:val="ListParagraph"/>
        <w:numPr>
          <w:ilvl w:val="0"/>
          <w:numId w:val="16"/>
        </w:numPr>
        <w:shd w:val="clear" w:color="auto" w:fill="FFFFFF"/>
        <w:ind w:left="0" w:firstLine="0"/>
        <w:rPr>
          <w:rFonts w:ascii="Arial" w:hAnsi="Arial" w:cs="Arial"/>
          <w:sz w:val="24"/>
          <w:szCs w:val="24"/>
        </w:rPr>
      </w:pPr>
      <w:r w:rsidRPr="00FC5CFA">
        <w:rPr>
          <w:rFonts w:ascii="Arial" w:hAnsi="Arial" w:cs="Arial"/>
          <w:sz w:val="24"/>
          <w:szCs w:val="24"/>
          <w:lang w:val="en-US"/>
        </w:rPr>
        <w:t xml:space="preserve">Kilian, R., </w:t>
      </w:r>
      <w:proofErr w:type="spellStart"/>
      <w:r w:rsidRPr="00FC5CFA">
        <w:rPr>
          <w:rFonts w:ascii="Arial" w:hAnsi="Arial" w:cs="Arial"/>
          <w:sz w:val="24"/>
          <w:szCs w:val="24"/>
          <w:lang w:val="en-US"/>
        </w:rPr>
        <w:t>Schmidinger</w:t>
      </w:r>
      <w:proofErr w:type="spellEnd"/>
      <w:r w:rsidRPr="00FC5CFA">
        <w:rPr>
          <w:rFonts w:ascii="Arial" w:hAnsi="Arial" w:cs="Arial"/>
          <w:sz w:val="24"/>
          <w:szCs w:val="24"/>
          <w:lang w:val="en-US"/>
        </w:rPr>
        <w:t xml:space="preserve">, G.; Lammer, J. The role of graft cross-linking during keratoplasty in patients with corneal melting. </w:t>
      </w:r>
      <w:r w:rsidRPr="00E201A1">
        <w:rPr>
          <w:rFonts w:ascii="Arial" w:hAnsi="Arial" w:cs="Arial"/>
          <w:sz w:val="24"/>
          <w:szCs w:val="24"/>
        </w:rPr>
        <w:t>Sci Rep 14, 16026. 2024.</w:t>
      </w:r>
    </w:p>
    <w:p w14:paraId="51AF1A4B" w14:textId="77777777" w:rsidR="00E201A1" w:rsidRPr="00E201A1" w:rsidRDefault="00E201A1" w:rsidP="00E201A1">
      <w:pPr>
        <w:pStyle w:val="ListParagraph"/>
        <w:numPr>
          <w:ilvl w:val="0"/>
          <w:numId w:val="16"/>
        </w:numPr>
        <w:shd w:val="clear" w:color="auto" w:fill="FFFFFF"/>
        <w:ind w:left="0" w:firstLine="0"/>
        <w:rPr>
          <w:rFonts w:ascii="Arial" w:hAnsi="Arial" w:cs="Arial"/>
          <w:sz w:val="24"/>
          <w:szCs w:val="24"/>
        </w:rPr>
      </w:pPr>
      <w:r w:rsidRPr="00115CEE">
        <w:rPr>
          <w:rFonts w:ascii="Arial" w:hAnsi="Arial" w:cs="Arial"/>
          <w:sz w:val="24"/>
          <w:szCs w:val="24"/>
          <w:lang w:val="pt-BR"/>
        </w:rPr>
        <w:t xml:space="preserve">Wu D, Lim DK, Lim BXH, Wong N, Hafezi F, Manotosh R, Lim CHL. </w:t>
      </w:r>
      <w:r w:rsidRPr="006D7176">
        <w:rPr>
          <w:rFonts w:ascii="Arial" w:hAnsi="Arial" w:cs="Arial"/>
          <w:sz w:val="24"/>
          <w:szCs w:val="24"/>
          <w:lang w:val="en-US"/>
        </w:rPr>
        <w:t xml:space="preserve">Corneal Cross-Linking: The Evolution of Treatment for Corneal Diseases. </w:t>
      </w:r>
      <w:r w:rsidRPr="00E201A1">
        <w:rPr>
          <w:rFonts w:ascii="Arial" w:hAnsi="Arial" w:cs="Arial"/>
          <w:sz w:val="24"/>
          <w:szCs w:val="24"/>
        </w:rPr>
        <w:t>Frontiers in Pharmacology. Volume 12. 2021.</w:t>
      </w:r>
    </w:p>
    <w:p w14:paraId="4590851D" w14:textId="77777777" w:rsidR="00E201A1" w:rsidRPr="00E201A1" w:rsidRDefault="00E201A1" w:rsidP="00E201A1">
      <w:pPr>
        <w:pStyle w:val="ListParagraph"/>
        <w:numPr>
          <w:ilvl w:val="0"/>
          <w:numId w:val="16"/>
        </w:numPr>
        <w:shd w:val="clear" w:color="auto" w:fill="FFFFFF"/>
        <w:ind w:left="0" w:firstLine="0"/>
        <w:rPr>
          <w:rFonts w:ascii="Arial" w:hAnsi="Arial" w:cs="Arial"/>
          <w:sz w:val="24"/>
          <w:szCs w:val="24"/>
        </w:rPr>
      </w:pPr>
      <w:r w:rsidRPr="00E201A1">
        <w:rPr>
          <w:rFonts w:ascii="Arial" w:hAnsi="Arial" w:cs="Arial"/>
          <w:sz w:val="24"/>
          <w:szCs w:val="24"/>
        </w:rPr>
        <w:t xml:space="preserve">Mohamed-Noriega, K. Karla </w:t>
      </w:r>
      <w:proofErr w:type="spellStart"/>
      <w:r w:rsidRPr="00E201A1">
        <w:rPr>
          <w:rFonts w:ascii="Arial" w:hAnsi="Arial" w:cs="Arial"/>
          <w:sz w:val="24"/>
          <w:szCs w:val="24"/>
        </w:rPr>
        <w:t>Butron</w:t>
      </w:r>
      <w:proofErr w:type="spellEnd"/>
      <w:r w:rsidRPr="00E201A1">
        <w:rPr>
          <w:rFonts w:ascii="Arial" w:hAnsi="Arial" w:cs="Arial"/>
          <w:sz w:val="24"/>
          <w:szCs w:val="24"/>
        </w:rPr>
        <w:t xml:space="preserve">-Valdez, Jeronimo Vazquez-Galvan, </w:t>
      </w:r>
      <w:proofErr w:type="spellStart"/>
      <w:r w:rsidRPr="00E201A1">
        <w:rPr>
          <w:rFonts w:ascii="Arial" w:hAnsi="Arial" w:cs="Arial"/>
          <w:sz w:val="24"/>
          <w:szCs w:val="24"/>
        </w:rPr>
        <w:t>Jibran</w:t>
      </w:r>
      <w:proofErr w:type="spellEnd"/>
      <w:r w:rsidRPr="00E201A1">
        <w:rPr>
          <w:rFonts w:ascii="Arial" w:hAnsi="Arial" w:cs="Arial"/>
          <w:sz w:val="24"/>
          <w:szCs w:val="24"/>
        </w:rPr>
        <w:t xml:space="preserve"> Mohamed-Noriega, Humberto Cavazos-</w:t>
      </w:r>
      <w:proofErr w:type="spellStart"/>
      <w:r w:rsidRPr="00E201A1">
        <w:rPr>
          <w:rFonts w:ascii="Arial" w:hAnsi="Arial" w:cs="Arial"/>
          <w:sz w:val="24"/>
          <w:szCs w:val="24"/>
        </w:rPr>
        <w:t>Adame</w:t>
      </w:r>
      <w:proofErr w:type="spellEnd"/>
      <w:r w:rsidRPr="00E201A1">
        <w:rPr>
          <w:rFonts w:ascii="Arial" w:hAnsi="Arial" w:cs="Arial"/>
          <w:sz w:val="24"/>
          <w:szCs w:val="24"/>
        </w:rPr>
        <w:t>, Jesus Mohamed-</w:t>
      </w:r>
      <w:proofErr w:type="spellStart"/>
      <w:r w:rsidRPr="00E201A1">
        <w:rPr>
          <w:rFonts w:ascii="Arial" w:hAnsi="Arial" w:cs="Arial"/>
          <w:sz w:val="24"/>
          <w:szCs w:val="24"/>
        </w:rPr>
        <w:lastRenderedPageBreak/>
        <w:t>Hamsho</w:t>
      </w:r>
      <w:proofErr w:type="spellEnd"/>
      <w:r w:rsidRPr="00E201A1">
        <w:rPr>
          <w:rFonts w:ascii="Arial" w:hAnsi="Arial" w:cs="Arial"/>
          <w:sz w:val="24"/>
          <w:szCs w:val="24"/>
        </w:rPr>
        <w:t xml:space="preserve">. </w:t>
      </w:r>
      <w:r w:rsidRPr="006D7176">
        <w:rPr>
          <w:rFonts w:ascii="Arial" w:hAnsi="Arial" w:cs="Arial"/>
          <w:sz w:val="24"/>
          <w:szCs w:val="24"/>
          <w:lang w:val="en-US"/>
        </w:rPr>
        <w:t xml:space="preserve">Corneal Melting after Collagen Cross-Linking for Keratoconus in a Thin Cornea of a Diabetic Patient Treated with Topical Nepafenac: A Case Report with a Literature Review. </w:t>
      </w:r>
      <w:r w:rsidRPr="00E201A1">
        <w:rPr>
          <w:rFonts w:ascii="Arial" w:hAnsi="Arial" w:cs="Arial"/>
          <w:sz w:val="24"/>
          <w:szCs w:val="24"/>
        </w:rPr>
        <w:t>Case Reports in Ophthalmology. 2016.</w:t>
      </w:r>
    </w:p>
    <w:p w14:paraId="544F8984" w14:textId="77777777" w:rsidR="00E201A1" w:rsidRPr="00E201A1" w:rsidRDefault="00E201A1" w:rsidP="00E201A1">
      <w:pPr>
        <w:pStyle w:val="ListParagraph"/>
        <w:numPr>
          <w:ilvl w:val="0"/>
          <w:numId w:val="16"/>
        </w:numPr>
        <w:shd w:val="clear" w:color="auto" w:fill="FFFFFF"/>
        <w:ind w:left="0" w:firstLine="0"/>
        <w:rPr>
          <w:rFonts w:ascii="Arial" w:hAnsi="Arial" w:cs="Arial"/>
          <w:sz w:val="24"/>
          <w:szCs w:val="24"/>
        </w:rPr>
      </w:pPr>
      <w:r w:rsidRPr="00E201A1">
        <w:rPr>
          <w:rFonts w:ascii="Arial" w:hAnsi="Arial" w:cs="Arial"/>
          <w:sz w:val="24"/>
          <w:szCs w:val="24"/>
        </w:rPr>
        <w:t xml:space="preserve">Gadelha, Diego Nery </w:t>
      </w:r>
      <w:proofErr w:type="spellStart"/>
      <w:r w:rsidRPr="00E201A1">
        <w:rPr>
          <w:rFonts w:ascii="Arial" w:hAnsi="Arial" w:cs="Arial"/>
          <w:sz w:val="24"/>
          <w:szCs w:val="24"/>
        </w:rPr>
        <w:t>Benevides</w:t>
      </w:r>
      <w:proofErr w:type="spellEnd"/>
      <w:r w:rsidRPr="00E201A1">
        <w:rPr>
          <w:rFonts w:ascii="Arial" w:hAnsi="Arial" w:cs="Arial"/>
          <w:sz w:val="24"/>
          <w:szCs w:val="24"/>
        </w:rPr>
        <w:t>. Therapeutic effect of corneal cross-linking in patients with symptomatic bullous keratopathy. Dissertation (Master's in Surgery) – Health Sciences Center, Federal University of Pernambuco, Recife, 2010.</w:t>
      </w:r>
    </w:p>
    <w:p w14:paraId="0A5B80F2" w14:textId="77777777" w:rsidR="00E201A1" w:rsidRPr="00E201A1" w:rsidRDefault="00E201A1" w:rsidP="00E201A1">
      <w:pPr>
        <w:pStyle w:val="ListParagraph"/>
        <w:numPr>
          <w:ilvl w:val="0"/>
          <w:numId w:val="16"/>
        </w:numPr>
        <w:shd w:val="clear" w:color="auto" w:fill="FFFFFF"/>
        <w:ind w:left="0" w:firstLine="0"/>
        <w:rPr>
          <w:rFonts w:ascii="Arial" w:hAnsi="Arial" w:cs="Arial"/>
          <w:sz w:val="24"/>
          <w:szCs w:val="24"/>
        </w:rPr>
      </w:pPr>
      <w:proofErr w:type="spellStart"/>
      <w:r w:rsidRPr="006D7176">
        <w:rPr>
          <w:rFonts w:ascii="Arial" w:hAnsi="Arial" w:cs="Arial"/>
          <w:sz w:val="24"/>
          <w:szCs w:val="24"/>
          <w:lang w:val="en-US"/>
        </w:rPr>
        <w:t>Almodin</w:t>
      </w:r>
      <w:proofErr w:type="spellEnd"/>
      <w:r w:rsidRPr="006D7176">
        <w:rPr>
          <w:rFonts w:ascii="Arial" w:hAnsi="Arial" w:cs="Arial"/>
          <w:sz w:val="24"/>
          <w:szCs w:val="24"/>
          <w:lang w:val="en-US"/>
        </w:rPr>
        <w:t xml:space="preserve">, EM; </w:t>
      </w:r>
      <w:proofErr w:type="spellStart"/>
      <w:r w:rsidRPr="006D7176">
        <w:rPr>
          <w:rFonts w:ascii="Arial" w:hAnsi="Arial" w:cs="Arial"/>
          <w:sz w:val="24"/>
          <w:szCs w:val="24"/>
          <w:lang w:val="en-US"/>
        </w:rPr>
        <w:t>Almodin</w:t>
      </w:r>
      <w:proofErr w:type="spellEnd"/>
      <w:r w:rsidRPr="006D7176">
        <w:rPr>
          <w:rFonts w:ascii="Arial" w:hAnsi="Arial" w:cs="Arial"/>
          <w:sz w:val="24"/>
          <w:szCs w:val="24"/>
          <w:lang w:val="en-US"/>
        </w:rPr>
        <w:t xml:space="preserve">, JM; </w:t>
      </w:r>
      <w:proofErr w:type="spellStart"/>
      <w:r w:rsidRPr="006D7176">
        <w:rPr>
          <w:rFonts w:ascii="Arial" w:hAnsi="Arial" w:cs="Arial"/>
          <w:sz w:val="24"/>
          <w:szCs w:val="24"/>
          <w:lang w:val="en-US"/>
        </w:rPr>
        <w:t>Almodin</w:t>
      </w:r>
      <w:proofErr w:type="spellEnd"/>
      <w:r w:rsidRPr="006D7176">
        <w:rPr>
          <w:rFonts w:ascii="Arial" w:hAnsi="Arial" w:cs="Arial"/>
          <w:sz w:val="24"/>
          <w:szCs w:val="24"/>
          <w:lang w:val="en-US"/>
        </w:rPr>
        <w:t xml:space="preserve">, FM. Corneal assessment after using two different types of crosslinking equipment. </w:t>
      </w:r>
      <w:r w:rsidRPr="00E201A1">
        <w:rPr>
          <w:rFonts w:ascii="Arial" w:hAnsi="Arial" w:cs="Arial"/>
          <w:sz w:val="24"/>
          <w:szCs w:val="24"/>
        </w:rPr>
        <w:t xml:space="preserve">Rev Bras </w:t>
      </w:r>
      <w:proofErr w:type="spellStart"/>
      <w:r w:rsidRPr="00E201A1">
        <w:rPr>
          <w:rFonts w:ascii="Arial" w:hAnsi="Arial" w:cs="Arial"/>
          <w:sz w:val="24"/>
          <w:szCs w:val="24"/>
        </w:rPr>
        <w:t>Oftalmol</w:t>
      </w:r>
      <w:proofErr w:type="spellEnd"/>
      <w:r w:rsidRPr="00E201A1">
        <w:rPr>
          <w:rFonts w:ascii="Arial" w:hAnsi="Arial" w:cs="Arial"/>
          <w:sz w:val="24"/>
          <w:szCs w:val="24"/>
        </w:rPr>
        <w:t>. 69 (3): 159-64. 2010.</w:t>
      </w:r>
    </w:p>
    <w:p w14:paraId="736E7E48" w14:textId="77777777" w:rsidR="00E201A1" w:rsidRPr="00E201A1" w:rsidRDefault="00E201A1" w:rsidP="00E201A1">
      <w:pPr>
        <w:pStyle w:val="ListParagraph"/>
        <w:numPr>
          <w:ilvl w:val="0"/>
          <w:numId w:val="16"/>
        </w:numPr>
        <w:shd w:val="clear" w:color="auto" w:fill="FFFFFF"/>
        <w:ind w:left="0" w:firstLine="0"/>
        <w:rPr>
          <w:rFonts w:ascii="Arial" w:hAnsi="Arial" w:cs="Arial"/>
          <w:sz w:val="24"/>
          <w:szCs w:val="24"/>
        </w:rPr>
      </w:pPr>
      <w:r w:rsidRPr="00115CEE">
        <w:rPr>
          <w:rFonts w:ascii="Arial" w:hAnsi="Arial" w:cs="Arial"/>
          <w:sz w:val="24"/>
          <w:szCs w:val="24"/>
          <w:lang w:val="pt-BR"/>
        </w:rPr>
        <w:t xml:space="preserve">Labiris G, Kaloghianni E, Koukoula S, Zissimopoulos A, Kozobolis VP. </w:t>
      </w:r>
      <w:r w:rsidRPr="006D7176">
        <w:rPr>
          <w:rFonts w:ascii="Arial" w:hAnsi="Arial" w:cs="Arial"/>
          <w:sz w:val="24"/>
          <w:szCs w:val="24"/>
          <w:lang w:val="en-US"/>
        </w:rPr>
        <w:t xml:space="preserve">Corneal melting after collagen cross-linking for keratoconus: a case report. </w:t>
      </w:r>
      <w:r w:rsidRPr="00E201A1">
        <w:rPr>
          <w:rFonts w:ascii="Arial" w:hAnsi="Arial" w:cs="Arial"/>
          <w:sz w:val="24"/>
          <w:szCs w:val="24"/>
        </w:rPr>
        <w:t xml:space="preserve">J Med Case Rep 2011 Apr </w:t>
      </w:r>
      <w:proofErr w:type="gramStart"/>
      <w:r w:rsidRPr="00E201A1">
        <w:rPr>
          <w:rFonts w:ascii="Arial" w:hAnsi="Arial" w:cs="Arial"/>
          <w:sz w:val="24"/>
          <w:szCs w:val="24"/>
        </w:rPr>
        <w:t>16;5:152</w:t>
      </w:r>
      <w:proofErr w:type="gramEnd"/>
      <w:r w:rsidRPr="00E201A1">
        <w:rPr>
          <w:rFonts w:ascii="Arial" w:hAnsi="Arial" w:cs="Arial"/>
          <w:sz w:val="24"/>
          <w:szCs w:val="24"/>
        </w:rPr>
        <w:t xml:space="preserve">. </w:t>
      </w:r>
      <w:proofErr w:type="spellStart"/>
      <w:r w:rsidRPr="00E201A1">
        <w:rPr>
          <w:rFonts w:ascii="Arial" w:hAnsi="Arial" w:cs="Arial"/>
          <w:sz w:val="24"/>
          <w:szCs w:val="24"/>
        </w:rPr>
        <w:t>doi</w:t>
      </w:r>
      <w:proofErr w:type="spellEnd"/>
      <w:r w:rsidRPr="00E201A1">
        <w:rPr>
          <w:rFonts w:ascii="Arial" w:hAnsi="Arial" w:cs="Arial"/>
          <w:sz w:val="24"/>
          <w:szCs w:val="24"/>
        </w:rPr>
        <w:t>: 10.1186/1752-1947-5-152. PMID: 21496288; PMCID: PMC3094293.</w:t>
      </w:r>
    </w:p>
    <w:p w14:paraId="70EF7D19" w14:textId="77777777" w:rsidR="00E201A1" w:rsidRPr="00E201A1" w:rsidRDefault="00E201A1" w:rsidP="00E201A1">
      <w:pPr>
        <w:pStyle w:val="ListParagraph"/>
        <w:numPr>
          <w:ilvl w:val="0"/>
          <w:numId w:val="16"/>
        </w:numPr>
        <w:shd w:val="clear" w:color="auto" w:fill="FFFFFF"/>
        <w:ind w:left="0" w:firstLine="0"/>
        <w:rPr>
          <w:rFonts w:ascii="Arial" w:hAnsi="Arial" w:cs="Arial"/>
          <w:sz w:val="24"/>
          <w:szCs w:val="24"/>
        </w:rPr>
      </w:pPr>
      <w:proofErr w:type="spellStart"/>
      <w:r w:rsidRPr="006D7176">
        <w:rPr>
          <w:rFonts w:ascii="Arial" w:hAnsi="Arial" w:cs="Arial"/>
          <w:sz w:val="24"/>
          <w:szCs w:val="24"/>
          <w:lang w:val="en-US"/>
        </w:rPr>
        <w:t>Moramarco</w:t>
      </w:r>
      <w:proofErr w:type="spellEnd"/>
      <w:r w:rsidRPr="006D7176">
        <w:rPr>
          <w:rFonts w:ascii="Arial" w:hAnsi="Arial" w:cs="Arial"/>
          <w:sz w:val="24"/>
          <w:szCs w:val="24"/>
          <w:lang w:val="en-US"/>
        </w:rPr>
        <w:t xml:space="preserve"> A, di Geronimo N, </w:t>
      </w:r>
      <w:proofErr w:type="spellStart"/>
      <w:r w:rsidRPr="006D7176">
        <w:rPr>
          <w:rFonts w:ascii="Arial" w:hAnsi="Arial" w:cs="Arial"/>
          <w:sz w:val="24"/>
          <w:szCs w:val="24"/>
          <w:lang w:val="en-US"/>
        </w:rPr>
        <w:t>Gardini</w:t>
      </w:r>
      <w:proofErr w:type="spellEnd"/>
      <w:r w:rsidRPr="006D7176">
        <w:rPr>
          <w:rFonts w:ascii="Arial" w:hAnsi="Arial" w:cs="Arial"/>
          <w:sz w:val="24"/>
          <w:szCs w:val="24"/>
          <w:lang w:val="en-US"/>
        </w:rPr>
        <w:t xml:space="preserve"> L, </w:t>
      </w:r>
      <w:proofErr w:type="spellStart"/>
      <w:r w:rsidRPr="006D7176">
        <w:rPr>
          <w:rFonts w:ascii="Arial" w:hAnsi="Arial" w:cs="Arial"/>
          <w:sz w:val="24"/>
          <w:szCs w:val="24"/>
          <w:lang w:val="en-US"/>
        </w:rPr>
        <w:t>Grendele</w:t>
      </w:r>
      <w:proofErr w:type="spellEnd"/>
      <w:r w:rsidRPr="006D7176">
        <w:rPr>
          <w:rFonts w:ascii="Arial" w:hAnsi="Arial" w:cs="Arial"/>
          <w:sz w:val="24"/>
          <w:szCs w:val="24"/>
          <w:lang w:val="en-US"/>
        </w:rPr>
        <w:t xml:space="preserve"> A, Fontana L. Management of corneal melting after collagen cross-linking for keratoconus: a case report and a review of the literature. </w:t>
      </w:r>
      <w:r w:rsidRPr="00E201A1">
        <w:rPr>
          <w:rFonts w:ascii="Arial" w:hAnsi="Arial" w:cs="Arial"/>
          <w:sz w:val="24"/>
          <w:szCs w:val="24"/>
        </w:rPr>
        <w:t xml:space="preserve">BMC </w:t>
      </w:r>
      <w:proofErr w:type="spellStart"/>
      <w:r w:rsidRPr="00E201A1">
        <w:rPr>
          <w:rFonts w:ascii="Arial" w:hAnsi="Arial" w:cs="Arial"/>
          <w:sz w:val="24"/>
          <w:szCs w:val="24"/>
        </w:rPr>
        <w:t>Ophthalmol</w:t>
      </w:r>
      <w:proofErr w:type="spellEnd"/>
      <w:r w:rsidRPr="00E201A1">
        <w:rPr>
          <w:rFonts w:ascii="Arial" w:hAnsi="Arial" w:cs="Arial"/>
          <w:sz w:val="24"/>
          <w:szCs w:val="24"/>
        </w:rPr>
        <w:t xml:space="preserve">. 2024 Mar 25;24(1):131. </w:t>
      </w:r>
      <w:proofErr w:type="spellStart"/>
      <w:r w:rsidRPr="00E201A1">
        <w:rPr>
          <w:rFonts w:ascii="Arial" w:hAnsi="Arial" w:cs="Arial"/>
          <w:sz w:val="24"/>
          <w:szCs w:val="24"/>
        </w:rPr>
        <w:t>doi</w:t>
      </w:r>
      <w:proofErr w:type="spellEnd"/>
      <w:r w:rsidRPr="00E201A1">
        <w:rPr>
          <w:rFonts w:ascii="Arial" w:hAnsi="Arial" w:cs="Arial"/>
          <w:sz w:val="24"/>
          <w:szCs w:val="24"/>
        </w:rPr>
        <w:t>: 10.1186/s12886-024-03400-1. PMID: 38528481; PMCID: PMC10962074.</w:t>
      </w:r>
    </w:p>
    <w:p w14:paraId="2E9F2C7B" w14:textId="77777777" w:rsidR="00E201A1" w:rsidRPr="00E201A1" w:rsidRDefault="00E201A1" w:rsidP="00E201A1">
      <w:pPr>
        <w:pStyle w:val="ListParagraph"/>
        <w:numPr>
          <w:ilvl w:val="0"/>
          <w:numId w:val="16"/>
        </w:numPr>
        <w:shd w:val="clear" w:color="auto" w:fill="FFFFFF"/>
        <w:ind w:left="0" w:firstLine="0"/>
        <w:rPr>
          <w:rFonts w:ascii="Arial" w:hAnsi="Arial" w:cs="Arial"/>
          <w:sz w:val="24"/>
          <w:szCs w:val="24"/>
        </w:rPr>
      </w:pPr>
      <w:proofErr w:type="spellStart"/>
      <w:r w:rsidRPr="006D7176">
        <w:rPr>
          <w:rFonts w:ascii="Arial" w:hAnsi="Arial" w:cs="Arial"/>
          <w:sz w:val="24"/>
          <w:szCs w:val="24"/>
          <w:lang w:val="en-US"/>
        </w:rPr>
        <w:t>Tillmann</w:t>
      </w:r>
      <w:proofErr w:type="spellEnd"/>
      <w:r w:rsidRPr="006D7176">
        <w:rPr>
          <w:rFonts w:ascii="Arial" w:hAnsi="Arial" w:cs="Arial"/>
          <w:sz w:val="24"/>
          <w:szCs w:val="24"/>
          <w:lang w:val="en-US"/>
        </w:rPr>
        <w:t xml:space="preserve"> A, Daniel </w:t>
      </w:r>
      <w:proofErr w:type="spellStart"/>
      <w:r w:rsidRPr="006D7176">
        <w:rPr>
          <w:rFonts w:ascii="Arial" w:hAnsi="Arial" w:cs="Arial"/>
          <w:sz w:val="24"/>
          <w:szCs w:val="24"/>
          <w:lang w:val="en-US"/>
        </w:rPr>
        <w:t>DanielKampik</w:t>
      </w:r>
      <w:proofErr w:type="spellEnd"/>
      <w:r w:rsidRPr="006D7176">
        <w:rPr>
          <w:rFonts w:ascii="Arial" w:hAnsi="Arial" w:cs="Arial"/>
          <w:sz w:val="24"/>
          <w:szCs w:val="24"/>
          <w:lang w:val="en-US"/>
        </w:rPr>
        <w:t xml:space="preserve">, Maria Borrelli, Maximilian </w:t>
      </w:r>
      <w:proofErr w:type="spellStart"/>
      <w:r w:rsidRPr="006D7176">
        <w:rPr>
          <w:rFonts w:ascii="Arial" w:hAnsi="Arial" w:cs="Arial"/>
          <w:sz w:val="24"/>
          <w:szCs w:val="24"/>
          <w:lang w:val="en-US"/>
        </w:rPr>
        <w:t>Seidl</w:t>
      </w:r>
      <w:proofErr w:type="spellEnd"/>
      <w:r w:rsidRPr="006D7176">
        <w:rPr>
          <w:rFonts w:ascii="Arial" w:hAnsi="Arial" w:cs="Arial"/>
          <w:sz w:val="24"/>
          <w:szCs w:val="24"/>
          <w:lang w:val="en-US"/>
        </w:rPr>
        <w:t xml:space="preserve">, Johannes Menzel-Severing, Theo Günter Seiler, Gerd </w:t>
      </w:r>
      <w:proofErr w:type="spellStart"/>
      <w:r w:rsidRPr="006D7176">
        <w:rPr>
          <w:rFonts w:ascii="Arial" w:hAnsi="Arial" w:cs="Arial"/>
          <w:sz w:val="24"/>
          <w:szCs w:val="24"/>
          <w:lang w:val="en-US"/>
        </w:rPr>
        <w:t>Geerling</w:t>
      </w:r>
      <w:proofErr w:type="spellEnd"/>
      <w:r w:rsidRPr="006D7176">
        <w:rPr>
          <w:rFonts w:ascii="Arial" w:hAnsi="Arial" w:cs="Arial"/>
          <w:sz w:val="24"/>
          <w:szCs w:val="24"/>
          <w:lang w:val="en-US"/>
        </w:rPr>
        <w:t xml:space="preserve">. Acute corneal melt and perforation – A possible complication after riboflavin/UV-A crosslinking (CXL) in keratoconus. </w:t>
      </w:r>
      <w:r w:rsidRPr="00E201A1">
        <w:rPr>
          <w:rFonts w:ascii="Arial" w:hAnsi="Arial" w:cs="Arial"/>
          <w:sz w:val="24"/>
          <w:szCs w:val="24"/>
        </w:rPr>
        <w:t>American Journal of Ophthalmology Case Reports. Volume 28. 2022.</w:t>
      </w:r>
    </w:p>
    <w:p w14:paraId="2B7A4307" w14:textId="77777777" w:rsidR="00E201A1" w:rsidRPr="006D7176" w:rsidRDefault="00E201A1" w:rsidP="00E201A1">
      <w:pPr>
        <w:pStyle w:val="ListParagraph"/>
        <w:numPr>
          <w:ilvl w:val="0"/>
          <w:numId w:val="16"/>
        </w:numPr>
        <w:shd w:val="clear" w:color="auto" w:fill="FFFFFF"/>
        <w:ind w:left="0" w:firstLine="0"/>
        <w:rPr>
          <w:rFonts w:ascii="Arial" w:hAnsi="Arial" w:cs="Arial"/>
          <w:sz w:val="24"/>
          <w:szCs w:val="24"/>
          <w:lang w:val="en-US"/>
        </w:rPr>
      </w:pPr>
      <w:r w:rsidRPr="00E201A1">
        <w:rPr>
          <w:rFonts w:ascii="Arial" w:hAnsi="Arial" w:cs="Arial"/>
          <w:sz w:val="24"/>
          <w:szCs w:val="24"/>
          <w:lang w:val="en-US"/>
        </w:rPr>
        <w:t xml:space="preserve">Naranjo A, Manche EE. A comprehensive review on corneal crosslinking. Taiwan J </w:t>
      </w:r>
      <w:proofErr w:type="spellStart"/>
      <w:r w:rsidRPr="00E201A1">
        <w:rPr>
          <w:rFonts w:ascii="Arial" w:hAnsi="Arial" w:cs="Arial"/>
          <w:sz w:val="24"/>
          <w:szCs w:val="24"/>
          <w:lang w:val="en-US"/>
        </w:rPr>
        <w:t>Ophthalmol</w:t>
      </w:r>
      <w:proofErr w:type="spellEnd"/>
      <w:r w:rsidRPr="00E201A1">
        <w:rPr>
          <w:rFonts w:ascii="Arial" w:hAnsi="Arial" w:cs="Arial"/>
          <w:sz w:val="24"/>
          <w:szCs w:val="24"/>
          <w:lang w:val="en-US"/>
        </w:rPr>
        <w:t xml:space="preserve">. 2024 Feb 2;14(1):44-49. </w:t>
      </w:r>
      <w:proofErr w:type="spellStart"/>
      <w:r w:rsidRPr="00E201A1">
        <w:rPr>
          <w:rFonts w:ascii="Arial" w:hAnsi="Arial" w:cs="Arial"/>
          <w:sz w:val="24"/>
          <w:szCs w:val="24"/>
          <w:lang w:val="en-US"/>
        </w:rPr>
        <w:t>doi</w:t>
      </w:r>
      <w:proofErr w:type="spellEnd"/>
      <w:r w:rsidRPr="00E201A1">
        <w:rPr>
          <w:rFonts w:ascii="Arial" w:hAnsi="Arial" w:cs="Arial"/>
          <w:sz w:val="24"/>
          <w:szCs w:val="24"/>
          <w:lang w:val="en-US"/>
        </w:rPr>
        <w:t>: 10.4103/tjo.TJO-D-23-00055. PMID: 38654993; PMCID: PMC11034691.</w:t>
      </w:r>
    </w:p>
    <w:p w14:paraId="708DAF6B" w14:textId="7CF3CCE1" w:rsidR="00383731" w:rsidRPr="00383731" w:rsidRDefault="00383731" w:rsidP="00383731">
      <w:pPr>
        <w:shd w:val="clear" w:color="auto" w:fill="FFFFFF"/>
        <w:rPr>
          <w:rFonts w:ascii="Arial" w:hAnsi="Arial" w:cs="Arial"/>
          <w:sz w:val="24"/>
          <w:szCs w:val="24"/>
          <w:shd w:val="clear" w:color="auto" w:fill="FFFFFF"/>
          <w:lang w:val="en-US"/>
        </w:rPr>
      </w:pPr>
    </w:p>
    <w:sectPr w:rsidR="00383731" w:rsidRPr="00383731" w:rsidSect="00A04CB0">
      <w:headerReference w:type="even" r:id="rId17"/>
      <w:headerReference w:type="default" r:id="rId18"/>
      <w:headerReference w:type="first" r:id="rId19"/>
      <w:pgSz w:w="11906" w:h="16838"/>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ADF7CE" w14:textId="77777777" w:rsidR="00D910EF" w:rsidRDefault="00D910EF" w:rsidP="00D803B6">
      <w:pPr>
        <w:spacing w:line="240" w:lineRule="auto"/>
      </w:pPr>
      <w:r>
        <w:separator/>
      </w:r>
    </w:p>
  </w:endnote>
  <w:endnote w:type="continuationSeparator" w:id="0">
    <w:p w14:paraId="16C8A8E3" w14:textId="77777777" w:rsidR="00D910EF" w:rsidRDefault="00D910EF" w:rsidP="00D803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roman"/>
    <w:notTrueType/>
    <w:pitch w:val="default"/>
  </w:font>
  <w:font w:name="ArialMT">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F7FEB" w14:textId="77777777" w:rsidR="00AF5883" w:rsidRDefault="00AF58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3224B" w14:textId="77777777" w:rsidR="00AF5883" w:rsidRDefault="00AF58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7FDD3" w14:textId="77777777" w:rsidR="00AF5883" w:rsidRDefault="00AF58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7C8E72" w14:textId="77777777" w:rsidR="00D910EF" w:rsidRDefault="00D910EF" w:rsidP="00D803B6">
      <w:pPr>
        <w:spacing w:line="240" w:lineRule="auto"/>
      </w:pPr>
      <w:r>
        <w:separator/>
      </w:r>
    </w:p>
  </w:footnote>
  <w:footnote w:type="continuationSeparator" w:id="0">
    <w:p w14:paraId="009EB9F4" w14:textId="77777777" w:rsidR="00D910EF" w:rsidRDefault="00D910EF" w:rsidP="00D803B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DA30C" w14:textId="646CD18A" w:rsidR="00AF5883" w:rsidRDefault="00AF5883">
    <w:pPr>
      <w:pStyle w:val="Header"/>
    </w:pPr>
    <w:r>
      <w:rPr>
        <w:noProof/>
      </w:rPr>
      <w:pict w14:anchorId="0B0546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100204" o:spid="_x0000_s2050" type="#_x0000_t136" style="position:absolute;left:0;text-align:left;margin-left:0;margin-top:0;width:553.55pt;height:104.4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67CA4" w14:textId="02AA688A" w:rsidR="00507E88" w:rsidRDefault="00AF5883">
    <w:pPr>
      <w:pStyle w:val="Header"/>
      <w:jc w:val="right"/>
    </w:pPr>
    <w:r>
      <w:rPr>
        <w:noProof/>
      </w:rPr>
      <w:pict w14:anchorId="20233B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100205" o:spid="_x0000_s2051" type="#_x0000_t136" style="position:absolute;left:0;text-align:left;margin-left:0;margin-top:0;width:553.55pt;height:104.4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39D8AE8B" w14:textId="77777777" w:rsidR="00507E88" w:rsidRDefault="00507E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8120A" w14:textId="405650C4" w:rsidR="00AF5883" w:rsidRDefault="00AF5883">
    <w:pPr>
      <w:pStyle w:val="Header"/>
    </w:pPr>
    <w:r>
      <w:rPr>
        <w:noProof/>
      </w:rPr>
      <w:pict w14:anchorId="2AFCD3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100203" o:spid="_x0000_s2049" type="#_x0000_t136" style="position:absolute;left:0;text-align:left;margin-left:0;margin-top:0;width:553.55pt;height:104.4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4A907" w14:textId="64AA6761" w:rsidR="00AF5883" w:rsidRDefault="00AF5883">
    <w:pPr>
      <w:pStyle w:val="Header"/>
    </w:pPr>
    <w:r>
      <w:rPr>
        <w:noProof/>
      </w:rPr>
      <w:pict w14:anchorId="0A150D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100207" o:spid="_x0000_s2053" type="#_x0000_t136" style="position:absolute;left:0;text-align:left;margin-left:0;margin-top:0;width:553.55pt;height:104.4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7AA17" w14:textId="5CCE2E6B" w:rsidR="00507E88" w:rsidRDefault="00AF5883">
    <w:pPr>
      <w:pStyle w:val="Header"/>
      <w:jc w:val="right"/>
    </w:pPr>
    <w:r>
      <w:rPr>
        <w:noProof/>
      </w:rPr>
      <w:pict w14:anchorId="381A1C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100208" o:spid="_x0000_s2054" type="#_x0000_t136" style="position:absolute;left:0;text-align:left;margin-left:0;margin-top:0;width:553.55pt;height:104.4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sdt>
      <w:sdtPr>
        <w:id w:val="-762605819"/>
        <w:docPartObj>
          <w:docPartGallery w:val="Page Numbers (Top of Page)"/>
          <w:docPartUnique/>
        </w:docPartObj>
      </w:sdtPr>
      <w:sdtEndPr/>
      <w:sdtContent>
        <w:r w:rsidR="00507E88">
          <w:fldChar w:fldCharType="begin"/>
        </w:r>
        <w:r w:rsidR="00507E88">
          <w:instrText>PAGE   \* MERGEFORMAT</w:instrText>
        </w:r>
        <w:r w:rsidR="00507E88">
          <w:fldChar w:fldCharType="separate"/>
        </w:r>
        <w:r w:rsidR="00787792">
          <w:rPr>
            <w:noProof/>
          </w:rPr>
          <w:t>13</w:t>
        </w:r>
        <w:r w:rsidR="00507E88">
          <w:fldChar w:fldCharType="end"/>
        </w:r>
      </w:sdtContent>
    </w:sdt>
  </w:p>
  <w:p w14:paraId="6CDE2710" w14:textId="77777777" w:rsidR="00507E88" w:rsidRDefault="00507E8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A7BEF" w14:textId="44597952" w:rsidR="00507E88" w:rsidRDefault="00AF5883">
    <w:pPr>
      <w:pStyle w:val="Header"/>
      <w:jc w:val="right"/>
    </w:pPr>
    <w:r>
      <w:rPr>
        <w:noProof/>
      </w:rPr>
      <w:pict w14:anchorId="6D8938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100206" o:spid="_x0000_s2052" type="#_x0000_t136" style="position:absolute;left:0;text-align:left;margin-left:0;margin-top:0;width:553.55pt;height:104.4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sdt>
      <w:sdtPr>
        <w:id w:val="609474955"/>
        <w:docPartObj>
          <w:docPartGallery w:val="Page Numbers (Top of Page)"/>
          <w:docPartUnique/>
        </w:docPartObj>
      </w:sdtPr>
      <w:sdtEndPr/>
      <w:sdtContent>
        <w:r w:rsidR="00507E88">
          <w:fldChar w:fldCharType="begin"/>
        </w:r>
        <w:r w:rsidR="00507E88">
          <w:instrText>PAGE   \* MERGEFORMAT</w:instrText>
        </w:r>
        <w:r w:rsidR="00507E88">
          <w:fldChar w:fldCharType="separate"/>
        </w:r>
        <w:r w:rsidR="00787792">
          <w:rPr>
            <w:noProof/>
          </w:rPr>
          <w:t>14</w:t>
        </w:r>
        <w:r w:rsidR="00507E88">
          <w:fldChar w:fldCharType="end"/>
        </w:r>
      </w:sdtContent>
    </w:sdt>
  </w:p>
  <w:p w14:paraId="3E2140CA" w14:textId="77777777" w:rsidR="00507E88" w:rsidRDefault="00507E8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8B6D6" w14:textId="726940F6" w:rsidR="00AF5883" w:rsidRDefault="00AF5883">
    <w:pPr>
      <w:pStyle w:val="Header"/>
    </w:pPr>
    <w:r>
      <w:rPr>
        <w:noProof/>
      </w:rPr>
      <w:pict w14:anchorId="5CB6F8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100210" o:spid="_x0000_s2056" type="#_x0000_t136" style="position:absolute;left:0;text-align:left;margin-left:0;margin-top:0;width:553.55pt;height:104.4pt;rotation:315;z-index:-25164288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65D71" w14:textId="100AC0B0" w:rsidR="00507E88" w:rsidRDefault="00AF5883">
    <w:pPr>
      <w:pStyle w:val="Header"/>
      <w:jc w:val="right"/>
    </w:pPr>
    <w:r>
      <w:rPr>
        <w:noProof/>
      </w:rPr>
      <w:pict w14:anchorId="79A027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100211" o:spid="_x0000_s2057" type="#_x0000_t136" style="position:absolute;left:0;text-align:left;margin-left:0;margin-top:0;width:553.55pt;height:104.4pt;rotation:315;z-index:-251640832;mso-position-horizontal:center;mso-position-horizontal-relative:margin;mso-position-vertical:center;mso-position-vertical-relative:margin" o:allowincell="f" fillcolor="silver" stroked="f">
          <v:fill opacity=".5"/>
          <v:textpath style="font-family:&quot;Calibri&quot;;font-size:1pt" string="UNDER PEER REVIEW"/>
        </v:shape>
      </w:pict>
    </w:r>
    <w:sdt>
      <w:sdtPr>
        <w:id w:val="21975237"/>
        <w:docPartObj>
          <w:docPartGallery w:val="Page Numbers (Top of Page)"/>
          <w:docPartUnique/>
        </w:docPartObj>
      </w:sdtPr>
      <w:sdtEndPr/>
      <w:sdtContent>
        <w:r w:rsidR="00507E88">
          <w:fldChar w:fldCharType="begin"/>
        </w:r>
        <w:r w:rsidR="00507E88">
          <w:instrText xml:space="preserve"> PAGE   \* MERGEFORMAT </w:instrText>
        </w:r>
        <w:r w:rsidR="00507E88">
          <w:fldChar w:fldCharType="separate"/>
        </w:r>
        <w:r w:rsidR="00787792">
          <w:rPr>
            <w:noProof/>
          </w:rPr>
          <w:t>20</w:t>
        </w:r>
        <w:r w:rsidR="00507E88">
          <w:rPr>
            <w:noProof/>
          </w:rPr>
          <w:fldChar w:fldCharType="end"/>
        </w:r>
      </w:sdtContent>
    </w:sdt>
  </w:p>
  <w:p w14:paraId="09BB7C04" w14:textId="77777777" w:rsidR="00507E88" w:rsidRDefault="00507E88">
    <w:pPr>
      <w:pStyle w:val="Header"/>
    </w:pPr>
  </w:p>
  <w:p w14:paraId="4E700CB3" w14:textId="77777777" w:rsidR="00507E88" w:rsidRDefault="00507E88"/>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90D65" w14:textId="2780BEF0" w:rsidR="00AF5883" w:rsidRDefault="00AF5883">
    <w:pPr>
      <w:pStyle w:val="Header"/>
    </w:pPr>
    <w:r>
      <w:rPr>
        <w:noProof/>
      </w:rPr>
      <w:pict w14:anchorId="606BED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100209" o:spid="_x0000_s2055" type="#_x0000_t136" style="position:absolute;left:0;text-align:left;margin-left:0;margin-top:0;width:553.55pt;height:104.4pt;rotation:315;z-index:-25164492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953EC"/>
    <w:multiLevelType w:val="hybridMultilevel"/>
    <w:tmpl w:val="11CAB7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EA87180"/>
    <w:multiLevelType w:val="hybridMultilevel"/>
    <w:tmpl w:val="D55CC6AC"/>
    <w:lvl w:ilvl="0" w:tplc="DC28908C">
      <w:start w:val="1"/>
      <w:numFmt w:val="decimal"/>
      <w:lvlText w:val="%1"/>
      <w:lvlJc w:val="left"/>
      <w:pPr>
        <w:ind w:left="360" w:hanging="360"/>
      </w:pPr>
      <w:rPr>
        <w:rFonts w:hint="default"/>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15:restartNumberingAfterBreak="0">
    <w:nsid w:val="0F364968"/>
    <w:multiLevelType w:val="multilevel"/>
    <w:tmpl w:val="638C56B2"/>
    <w:lvl w:ilvl="0">
      <w:start w:val="5"/>
      <w:numFmt w:val="decimal"/>
      <w:lvlText w:val="%1."/>
      <w:lvlJc w:val="left"/>
      <w:pPr>
        <w:ind w:left="390" w:hanging="390"/>
      </w:pPr>
      <w:rPr>
        <w:rFonts w:eastAsia="Arial" w:hint="default"/>
        <w:b/>
        <w:bCs w:val="0"/>
        <w:color w:val="auto"/>
      </w:rPr>
    </w:lvl>
    <w:lvl w:ilvl="1">
      <w:start w:val="1"/>
      <w:numFmt w:val="decimal"/>
      <w:lvlText w:val="%1.%2."/>
      <w:lvlJc w:val="left"/>
      <w:pPr>
        <w:ind w:left="720" w:hanging="720"/>
      </w:pPr>
      <w:rPr>
        <w:rFonts w:eastAsia="Arial" w:hint="default"/>
        <w:color w:val="auto"/>
      </w:rPr>
    </w:lvl>
    <w:lvl w:ilvl="2">
      <w:start w:val="1"/>
      <w:numFmt w:val="decimal"/>
      <w:lvlText w:val="%1.%2.%3."/>
      <w:lvlJc w:val="left"/>
      <w:pPr>
        <w:ind w:left="720" w:hanging="720"/>
      </w:pPr>
      <w:rPr>
        <w:rFonts w:eastAsia="Arial" w:hint="default"/>
        <w:color w:val="auto"/>
      </w:rPr>
    </w:lvl>
    <w:lvl w:ilvl="3">
      <w:start w:val="1"/>
      <w:numFmt w:val="decimal"/>
      <w:lvlText w:val="%1.%2.%3.%4."/>
      <w:lvlJc w:val="left"/>
      <w:pPr>
        <w:ind w:left="1080" w:hanging="1080"/>
      </w:pPr>
      <w:rPr>
        <w:rFonts w:eastAsia="Arial" w:hint="default"/>
        <w:color w:val="auto"/>
      </w:rPr>
    </w:lvl>
    <w:lvl w:ilvl="4">
      <w:start w:val="1"/>
      <w:numFmt w:val="decimal"/>
      <w:lvlText w:val="%1.%2.%3.%4.%5."/>
      <w:lvlJc w:val="left"/>
      <w:pPr>
        <w:ind w:left="1080" w:hanging="1080"/>
      </w:pPr>
      <w:rPr>
        <w:rFonts w:eastAsia="Arial" w:hint="default"/>
        <w:color w:val="auto"/>
      </w:rPr>
    </w:lvl>
    <w:lvl w:ilvl="5">
      <w:start w:val="1"/>
      <w:numFmt w:val="decimal"/>
      <w:lvlText w:val="%1.%2.%3.%4.%5.%6."/>
      <w:lvlJc w:val="left"/>
      <w:pPr>
        <w:ind w:left="1440" w:hanging="1440"/>
      </w:pPr>
      <w:rPr>
        <w:rFonts w:eastAsia="Arial" w:hint="default"/>
        <w:color w:val="auto"/>
      </w:rPr>
    </w:lvl>
    <w:lvl w:ilvl="6">
      <w:start w:val="1"/>
      <w:numFmt w:val="decimal"/>
      <w:lvlText w:val="%1.%2.%3.%4.%5.%6.%7."/>
      <w:lvlJc w:val="left"/>
      <w:pPr>
        <w:ind w:left="1440" w:hanging="1440"/>
      </w:pPr>
      <w:rPr>
        <w:rFonts w:eastAsia="Arial" w:hint="default"/>
        <w:color w:val="auto"/>
      </w:rPr>
    </w:lvl>
    <w:lvl w:ilvl="7">
      <w:start w:val="1"/>
      <w:numFmt w:val="decimal"/>
      <w:lvlText w:val="%1.%2.%3.%4.%5.%6.%7.%8."/>
      <w:lvlJc w:val="left"/>
      <w:pPr>
        <w:ind w:left="1800" w:hanging="1800"/>
      </w:pPr>
      <w:rPr>
        <w:rFonts w:eastAsia="Arial" w:hint="default"/>
        <w:color w:val="auto"/>
      </w:rPr>
    </w:lvl>
    <w:lvl w:ilvl="8">
      <w:start w:val="1"/>
      <w:numFmt w:val="decimal"/>
      <w:lvlText w:val="%1.%2.%3.%4.%5.%6.%7.%8.%9."/>
      <w:lvlJc w:val="left"/>
      <w:pPr>
        <w:ind w:left="2160" w:hanging="2160"/>
      </w:pPr>
      <w:rPr>
        <w:rFonts w:eastAsia="Arial" w:hint="default"/>
        <w:color w:val="auto"/>
      </w:rPr>
    </w:lvl>
  </w:abstractNum>
  <w:abstractNum w:abstractNumId="3" w15:restartNumberingAfterBreak="0">
    <w:nsid w:val="1DD23F26"/>
    <w:multiLevelType w:val="hybridMultilevel"/>
    <w:tmpl w:val="1C6CD530"/>
    <w:lvl w:ilvl="0" w:tplc="53A66104">
      <w:start w:val="1"/>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8324663"/>
    <w:multiLevelType w:val="hybridMultilevel"/>
    <w:tmpl w:val="34480182"/>
    <w:lvl w:ilvl="0" w:tplc="449225F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9461B87"/>
    <w:multiLevelType w:val="hybridMultilevel"/>
    <w:tmpl w:val="59EE8DB4"/>
    <w:lvl w:ilvl="0" w:tplc="0416000F">
      <w:start w:val="3"/>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B7D16BB"/>
    <w:multiLevelType w:val="hybridMultilevel"/>
    <w:tmpl w:val="D2FED17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0F26072"/>
    <w:multiLevelType w:val="hybridMultilevel"/>
    <w:tmpl w:val="7D06B250"/>
    <w:lvl w:ilvl="0" w:tplc="449225F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AE10A89"/>
    <w:multiLevelType w:val="hybridMultilevel"/>
    <w:tmpl w:val="AB42904A"/>
    <w:lvl w:ilvl="0" w:tplc="F30CDA88">
      <w:start w:val="1"/>
      <w:numFmt w:val="decimal"/>
      <w:pStyle w:val="1"/>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E656123"/>
    <w:multiLevelType w:val="hybridMultilevel"/>
    <w:tmpl w:val="7FD47616"/>
    <w:lvl w:ilvl="0" w:tplc="449225F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0F37437"/>
    <w:multiLevelType w:val="hybridMultilevel"/>
    <w:tmpl w:val="6E4E4602"/>
    <w:lvl w:ilvl="0" w:tplc="449225F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13C3A23"/>
    <w:multiLevelType w:val="multilevel"/>
    <w:tmpl w:val="082A7AEC"/>
    <w:lvl w:ilvl="0">
      <w:start w:val="4"/>
      <w:numFmt w:val="decimal"/>
      <w:lvlText w:val="%1."/>
      <w:lvlJc w:val="left"/>
      <w:pPr>
        <w:ind w:left="720" w:hanging="360"/>
      </w:pPr>
      <w:rPr>
        <w:rFonts w:hint="default"/>
      </w:rPr>
    </w:lvl>
    <w:lvl w:ilvl="1">
      <w:start w:val="3"/>
      <w:numFmt w:val="decimal"/>
      <w:isLgl/>
      <w:lvlText w:val="%1.%2"/>
      <w:lvlJc w:val="left"/>
      <w:pPr>
        <w:ind w:left="1065" w:hanging="705"/>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2" w15:restartNumberingAfterBreak="0">
    <w:nsid w:val="58ED42C5"/>
    <w:multiLevelType w:val="multilevel"/>
    <w:tmpl w:val="6DBE8D50"/>
    <w:lvl w:ilvl="0">
      <w:start w:val="4"/>
      <w:numFmt w:val="decimal"/>
      <w:lvlText w:val="%1."/>
      <w:lvlJc w:val="left"/>
      <w:pPr>
        <w:ind w:left="390" w:hanging="390"/>
      </w:pPr>
      <w:rPr>
        <w:rFonts w:hint="default"/>
      </w:rPr>
    </w:lvl>
    <w:lvl w:ilvl="1">
      <w:start w:val="3"/>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3" w15:restartNumberingAfterBreak="0">
    <w:nsid w:val="5ABD5F98"/>
    <w:multiLevelType w:val="hybridMultilevel"/>
    <w:tmpl w:val="94E6DA18"/>
    <w:lvl w:ilvl="0" w:tplc="04160001">
      <w:start w:val="1"/>
      <w:numFmt w:val="bullet"/>
      <w:lvlText w:val=""/>
      <w:lvlJc w:val="left"/>
      <w:pPr>
        <w:ind w:left="720" w:hanging="360"/>
      </w:pPr>
      <w:rPr>
        <w:rFonts w:ascii="Symbol" w:hAnsi="Symbol" w:hint="default"/>
      </w:rPr>
    </w:lvl>
    <w:lvl w:ilvl="1" w:tplc="820EF0C4">
      <w:numFmt w:val="bullet"/>
      <w:lvlText w:val="•"/>
      <w:lvlJc w:val="left"/>
      <w:pPr>
        <w:ind w:left="1440" w:hanging="360"/>
      </w:pPr>
      <w:rPr>
        <w:rFonts w:ascii="Arial" w:eastAsiaTheme="minorHAnsi" w:hAnsi="Arial" w:cs="Arial" w:hint="default"/>
        <w:b/>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65DD1A9A"/>
    <w:multiLevelType w:val="hybridMultilevel"/>
    <w:tmpl w:val="B8A88BCE"/>
    <w:lvl w:ilvl="0" w:tplc="04160001">
      <w:start w:val="1"/>
      <w:numFmt w:val="bullet"/>
      <w:lvlText w:val=""/>
      <w:lvlJc w:val="left"/>
      <w:pPr>
        <w:ind w:left="777" w:hanging="360"/>
      </w:pPr>
      <w:rPr>
        <w:rFonts w:ascii="Symbol" w:hAnsi="Symbol" w:hint="default"/>
      </w:rPr>
    </w:lvl>
    <w:lvl w:ilvl="1" w:tplc="04160003">
      <w:start w:val="1"/>
      <w:numFmt w:val="bullet"/>
      <w:lvlText w:val="o"/>
      <w:lvlJc w:val="left"/>
      <w:pPr>
        <w:ind w:left="1497" w:hanging="360"/>
      </w:pPr>
      <w:rPr>
        <w:rFonts w:ascii="Courier New" w:hAnsi="Courier New" w:cs="Courier New" w:hint="default"/>
      </w:rPr>
    </w:lvl>
    <w:lvl w:ilvl="2" w:tplc="04160005">
      <w:start w:val="1"/>
      <w:numFmt w:val="bullet"/>
      <w:lvlText w:val=""/>
      <w:lvlJc w:val="left"/>
      <w:pPr>
        <w:ind w:left="2217" w:hanging="360"/>
      </w:pPr>
      <w:rPr>
        <w:rFonts w:ascii="Wingdings" w:hAnsi="Wingdings" w:hint="default"/>
      </w:rPr>
    </w:lvl>
    <w:lvl w:ilvl="3" w:tplc="04160001">
      <w:start w:val="1"/>
      <w:numFmt w:val="bullet"/>
      <w:lvlText w:val=""/>
      <w:lvlJc w:val="left"/>
      <w:pPr>
        <w:ind w:left="2937" w:hanging="360"/>
      </w:pPr>
      <w:rPr>
        <w:rFonts w:ascii="Symbol" w:hAnsi="Symbol" w:hint="default"/>
      </w:rPr>
    </w:lvl>
    <w:lvl w:ilvl="4" w:tplc="04160003">
      <w:start w:val="1"/>
      <w:numFmt w:val="bullet"/>
      <w:lvlText w:val="o"/>
      <w:lvlJc w:val="left"/>
      <w:pPr>
        <w:ind w:left="3657" w:hanging="360"/>
      </w:pPr>
      <w:rPr>
        <w:rFonts w:ascii="Courier New" w:hAnsi="Courier New" w:cs="Courier New" w:hint="default"/>
      </w:rPr>
    </w:lvl>
    <w:lvl w:ilvl="5" w:tplc="04160005">
      <w:start w:val="1"/>
      <w:numFmt w:val="bullet"/>
      <w:lvlText w:val=""/>
      <w:lvlJc w:val="left"/>
      <w:pPr>
        <w:ind w:left="4377" w:hanging="360"/>
      </w:pPr>
      <w:rPr>
        <w:rFonts w:ascii="Wingdings" w:hAnsi="Wingdings" w:hint="default"/>
      </w:rPr>
    </w:lvl>
    <w:lvl w:ilvl="6" w:tplc="04160001">
      <w:start w:val="1"/>
      <w:numFmt w:val="bullet"/>
      <w:lvlText w:val=""/>
      <w:lvlJc w:val="left"/>
      <w:pPr>
        <w:ind w:left="5097" w:hanging="360"/>
      </w:pPr>
      <w:rPr>
        <w:rFonts w:ascii="Symbol" w:hAnsi="Symbol" w:hint="default"/>
      </w:rPr>
    </w:lvl>
    <w:lvl w:ilvl="7" w:tplc="04160003">
      <w:start w:val="1"/>
      <w:numFmt w:val="bullet"/>
      <w:lvlText w:val="o"/>
      <w:lvlJc w:val="left"/>
      <w:pPr>
        <w:ind w:left="5817" w:hanging="360"/>
      </w:pPr>
      <w:rPr>
        <w:rFonts w:ascii="Courier New" w:hAnsi="Courier New" w:cs="Courier New" w:hint="default"/>
      </w:rPr>
    </w:lvl>
    <w:lvl w:ilvl="8" w:tplc="04160005">
      <w:start w:val="1"/>
      <w:numFmt w:val="bullet"/>
      <w:lvlText w:val=""/>
      <w:lvlJc w:val="left"/>
      <w:pPr>
        <w:ind w:left="6537" w:hanging="360"/>
      </w:pPr>
      <w:rPr>
        <w:rFonts w:ascii="Wingdings" w:hAnsi="Wingdings" w:hint="default"/>
      </w:rPr>
    </w:lvl>
  </w:abstractNum>
  <w:abstractNum w:abstractNumId="15" w15:restartNumberingAfterBreak="0">
    <w:nsid w:val="73456332"/>
    <w:multiLevelType w:val="hybridMultilevel"/>
    <w:tmpl w:val="A79A73B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4DD1098"/>
    <w:multiLevelType w:val="hybridMultilevel"/>
    <w:tmpl w:val="384C3714"/>
    <w:lvl w:ilvl="0" w:tplc="449225F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BE25149"/>
    <w:multiLevelType w:val="multilevel"/>
    <w:tmpl w:val="42A2A116"/>
    <w:lvl w:ilvl="0">
      <w:start w:val="3"/>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3"/>
  </w:num>
  <w:num w:numId="3">
    <w:abstractNumId w:val="0"/>
  </w:num>
  <w:num w:numId="4">
    <w:abstractNumId w:val="17"/>
  </w:num>
  <w:num w:numId="5">
    <w:abstractNumId w:val="2"/>
  </w:num>
  <w:num w:numId="6">
    <w:abstractNumId w:val="14"/>
  </w:num>
  <w:num w:numId="7">
    <w:abstractNumId w:val="8"/>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7"/>
  </w:num>
  <w:num w:numId="11">
    <w:abstractNumId w:val="9"/>
  </w:num>
  <w:num w:numId="12">
    <w:abstractNumId w:val="10"/>
  </w:num>
  <w:num w:numId="13">
    <w:abstractNumId w:val="11"/>
  </w:num>
  <w:num w:numId="14">
    <w:abstractNumId w:val="15"/>
  </w:num>
  <w:num w:numId="15">
    <w:abstractNumId w:val="13"/>
  </w:num>
  <w:num w:numId="16">
    <w:abstractNumId w:val="16"/>
  </w:num>
  <w:num w:numId="17">
    <w:abstractNumId w:val="6"/>
  </w:num>
  <w:num w:numId="18">
    <w:abstractNumId w:val="5"/>
  </w:num>
  <w:num w:numId="19">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F53"/>
    <w:rsid w:val="0000143C"/>
    <w:rsid w:val="000018A8"/>
    <w:rsid w:val="00002005"/>
    <w:rsid w:val="00002987"/>
    <w:rsid w:val="00003958"/>
    <w:rsid w:val="00003F74"/>
    <w:rsid w:val="00020EF2"/>
    <w:rsid w:val="00022639"/>
    <w:rsid w:val="0002274D"/>
    <w:rsid w:val="00022A90"/>
    <w:rsid w:val="00024D63"/>
    <w:rsid w:val="00025129"/>
    <w:rsid w:val="00025EC9"/>
    <w:rsid w:val="00026DCA"/>
    <w:rsid w:val="000310D3"/>
    <w:rsid w:val="00034D5C"/>
    <w:rsid w:val="00037993"/>
    <w:rsid w:val="0004027A"/>
    <w:rsid w:val="000428D3"/>
    <w:rsid w:val="000451A4"/>
    <w:rsid w:val="00045507"/>
    <w:rsid w:val="00046910"/>
    <w:rsid w:val="00046D2F"/>
    <w:rsid w:val="000478A5"/>
    <w:rsid w:val="000500F1"/>
    <w:rsid w:val="00050249"/>
    <w:rsid w:val="000504DB"/>
    <w:rsid w:val="0005083D"/>
    <w:rsid w:val="00050EA8"/>
    <w:rsid w:val="00052C83"/>
    <w:rsid w:val="0005440D"/>
    <w:rsid w:val="0005651E"/>
    <w:rsid w:val="00060079"/>
    <w:rsid w:val="00063362"/>
    <w:rsid w:val="000636EB"/>
    <w:rsid w:val="00064F1C"/>
    <w:rsid w:val="00065462"/>
    <w:rsid w:val="00066371"/>
    <w:rsid w:val="0006735B"/>
    <w:rsid w:val="00077482"/>
    <w:rsid w:val="00083785"/>
    <w:rsid w:val="00084087"/>
    <w:rsid w:val="00085AB1"/>
    <w:rsid w:val="00086D6F"/>
    <w:rsid w:val="00090C35"/>
    <w:rsid w:val="00091883"/>
    <w:rsid w:val="000932EB"/>
    <w:rsid w:val="0009447D"/>
    <w:rsid w:val="00095697"/>
    <w:rsid w:val="00096EF2"/>
    <w:rsid w:val="000A142B"/>
    <w:rsid w:val="000A151B"/>
    <w:rsid w:val="000A3D20"/>
    <w:rsid w:val="000A43B4"/>
    <w:rsid w:val="000B184C"/>
    <w:rsid w:val="000B385A"/>
    <w:rsid w:val="000B62BE"/>
    <w:rsid w:val="000B7775"/>
    <w:rsid w:val="000C0093"/>
    <w:rsid w:val="000C2A5B"/>
    <w:rsid w:val="000C4F71"/>
    <w:rsid w:val="000D2D65"/>
    <w:rsid w:val="000D36BA"/>
    <w:rsid w:val="000D6B53"/>
    <w:rsid w:val="000D7FBD"/>
    <w:rsid w:val="000E060B"/>
    <w:rsid w:val="000E1071"/>
    <w:rsid w:val="000E12A2"/>
    <w:rsid w:val="000E1A7C"/>
    <w:rsid w:val="000E1FA3"/>
    <w:rsid w:val="000E4F05"/>
    <w:rsid w:val="000E508D"/>
    <w:rsid w:val="000E6DCE"/>
    <w:rsid w:val="000E7C62"/>
    <w:rsid w:val="000F0AF7"/>
    <w:rsid w:val="000F224E"/>
    <w:rsid w:val="000F3153"/>
    <w:rsid w:val="000F5A5A"/>
    <w:rsid w:val="000F6DE6"/>
    <w:rsid w:val="000F78B6"/>
    <w:rsid w:val="001009DE"/>
    <w:rsid w:val="00100AA6"/>
    <w:rsid w:val="0010174D"/>
    <w:rsid w:val="00102369"/>
    <w:rsid w:val="00102628"/>
    <w:rsid w:val="001026BE"/>
    <w:rsid w:val="00104999"/>
    <w:rsid w:val="00106278"/>
    <w:rsid w:val="001068C8"/>
    <w:rsid w:val="00106A4F"/>
    <w:rsid w:val="00110C63"/>
    <w:rsid w:val="00111162"/>
    <w:rsid w:val="00112187"/>
    <w:rsid w:val="001122FE"/>
    <w:rsid w:val="001138A1"/>
    <w:rsid w:val="001159BE"/>
    <w:rsid w:val="00115CEE"/>
    <w:rsid w:val="00120043"/>
    <w:rsid w:val="00121573"/>
    <w:rsid w:val="00125328"/>
    <w:rsid w:val="0012734E"/>
    <w:rsid w:val="00127476"/>
    <w:rsid w:val="001303A2"/>
    <w:rsid w:val="001309B1"/>
    <w:rsid w:val="00137AD0"/>
    <w:rsid w:val="001475C3"/>
    <w:rsid w:val="00150978"/>
    <w:rsid w:val="00151B59"/>
    <w:rsid w:val="00156823"/>
    <w:rsid w:val="001607F7"/>
    <w:rsid w:val="00162919"/>
    <w:rsid w:val="00170318"/>
    <w:rsid w:val="001703C9"/>
    <w:rsid w:val="00170F50"/>
    <w:rsid w:val="00172A86"/>
    <w:rsid w:val="00174709"/>
    <w:rsid w:val="0017511A"/>
    <w:rsid w:val="00176812"/>
    <w:rsid w:val="00181880"/>
    <w:rsid w:val="0018223F"/>
    <w:rsid w:val="001827EB"/>
    <w:rsid w:val="00185B8C"/>
    <w:rsid w:val="001870F8"/>
    <w:rsid w:val="001873AF"/>
    <w:rsid w:val="00187DBB"/>
    <w:rsid w:val="00190B1A"/>
    <w:rsid w:val="00191BE9"/>
    <w:rsid w:val="001923CF"/>
    <w:rsid w:val="00193D9C"/>
    <w:rsid w:val="00195680"/>
    <w:rsid w:val="00196BB7"/>
    <w:rsid w:val="001974C3"/>
    <w:rsid w:val="001A4884"/>
    <w:rsid w:val="001A4DDC"/>
    <w:rsid w:val="001A6001"/>
    <w:rsid w:val="001A6BE6"/>
    <w:rsid w:val="001C7B5F"/>
    <w:rsid w:val="001D075B"/>
    <w:rsid w:val="001D1B23"/>
    <w:rsid w:val="001D62B7"/>
    <w:rsid w:val="001E0B16"/>
    <w:rsid w:val="001E39F0"/>
    <w:rsid w:val="001E4389"/>
    <w:rsid w:val="001E4970"/>
    <w:rsid w:val="001E7742"/>
    <w:rsid w:val="001F4919"/>
    <w:rsid w:val="001F6FB7"/>
    <w:rsid w:val="002008AC"/>
    <w:rsid w:val="00206C61"/>
    <w:rsid w:val="002104B0"/>
    <w:rsid w:val="00213033"/>
    <w:rsid w:val="00213E6F"/>
    <w:rsid w:val="0021494F"/>
    <w:rsid w:val="00220289"/>
    <w:rsid w:val="00221FAA"/>
    <w:rsid w:val="00225867"/>
    <w:rsid w:val="002359F2"/>
    <w:rsid w:val="00236406"/>
    <w:rsid w:val="0023717D"/>
    <w:rsid w:val="00237339"/>
    <w:rsid w:val="00240FF5"/>
    <w:rsid w:val="00243578"/>
    <w:rsid w:val="00247140"/>
    <w:rsid w:val="00251A51"/>
    <w:rsid w:val="00255339"/>
    <w:rsid w:val="00255A59"/>
    <w:rsid w:val="00255B9F"/>
    <w:rsid w:val="00257FAC"/>
    <w:rsid w:val="00260F9B"/>
    <w:rsid w:val="002614EF"/>
    <w:rsid w:val="00264E90"/>
    <w:rsid w:val="00264F3A"/>
    <w:rsid w:val="002651EC"/>
    <w:rsid w:val="00265D3E"/>
    <w:rsid w:val="0026650B"/>
    <w:rsid w:val="002745DD"/>
    <w:rsid w:val="0027472F"/>
    <w:rsid w:val="00277589"/>
    <w:rsid w:val="00277642"/>
    <w:rsid w:val="00277810"/>
    <w:rsid w:val="00277C0B"/>
    <w:rsid w:val="00277DCB"/>
    <w:rsid w:val="002813B0"/>
    <w:rsid w:val="00281874"/>
    <w:rsid w:val="002822A8"/>
    <w:rsid w:val="00282378"/>
    <w:rsid w:val="00283D48"/>
    <w:rsid w:val="002844B5"/>
    <w:rsid w:val="00284887"/>
    <w:rsid w:val="0029062E"/>
    <w:rsid w:val="00297B3E"/>
    <w:rsid w:val="002A2776"/>
    <w:rsid w:val="002A2FF7"/>
    <w:rsid w:val="002A507E"/>
    <w:rsid w:val="002A5D81"/>
    <w:rsid w:val="002A6040"/>
    <w:rsid w:val="002A7CCA"/>
    <w:rsid w:val="002B19F8"/>
    <w:rsid w:val="002B48BB"/>
    <w:rsid w:val="002C43B0"/>
    <w:rsid w:val="002C5108"/>
    <w:rsid w:val="002D28DA"/>
    <w:rsid w:val="002D584C"/>
    <w:rsid w:val="002D789D"/>
    <w:rsid w:val="002E51EB"/>
    <w:rsid w:val="002F0EEE"/>
    <w:rsid w:val="002F2C3D"/>
    <w:rsid w:val="002F44E0"/>
    <w:rsid w:val="003019E7"/>
    <w:rsid w:val="0030223F"/>
    <w:rsid w:val="00302AAE"/>
    <w:rsid w:val="003039EA"/>
    <w:rsid w:val="00303F99"/>
    <w:rsid w:val="00305AED"/>
    <w:rsid w:val="00306719"/>
    <w:rsid w:val="00311312"/>
    <w:rsid w:val="003143BC"/>
    <w:rsid w:val="00320B15"/>
    <w:rsid w:val="00321238"/>
    <w:rsid w:val="00326559"/>
    <w:rsid w:val="0032678B"/>
    <w:rsid w:val="00330BB3"/>
    <w:rsid w:val="003316EF"/>
    <w:rsid w:val="003326B4"/>
    <w:rsid w:val="00334696"/>
    <w:rsid w:val="00335AB4"/>
    <w:rsid w:val="00335B1B"/>
    <w:rsid w:val="00341F83"/>
    <w:rsid w:val="00343D03"/>
    <w:rsid w:val="00345013"/>
    <w:rsid w:val="00346A30"/>
    <w:rsid w:val="00347620"/>
    <w:rsid w:val="0035037A"/>
    <w:rsid w:val="00352E6B"/>
    <w:rsid w:val="003541F4"/>
    <w:rsid w:val="003644B3"/>
    <w:rsid w:val="00366781"/>
    <w:rsid w:val="0036722A"/>
    <w:rsid w:val="003815B5"/>
    <w:rsid w:val="003817BF"/>
    <w:rsid w:val="00381C0F"/>
    <w:rsid w:val="00383731"/>
    <w:rsid w:val="00383E6E"/>
    <w:rsid w:val="0038713B"/>
    <w:rsid w:val="0039088E"/>
    <w:rsid w:val="00390C0A"/>
    <w:rsid w:val="00392E00"/>
    <w:rsid w:val="00394865"/>
    <w:rsid w:val="00397188"/>
    <w:rsid w:val="003A2E70"/>
    <w:rsid w:val="003A3B33"/>
    <w:rsid w:val="003A51F4"/>
    <w:rsid w:val="003A5422"/>
    <w:rsid w:val="003B01B3"/>
    <w:rsid w:val="003B077B"/>
    <w:rsid w:val="003B0F10"/>
    <w:rsid w:val="003B0F8B"/>
    <w:rsid w:val="003B17EF"/>
    <w:rsid w:val="003B1C79"/>
    <w:rsid w:val="003B3BD1"/>
    <w:rsid w:val="003B3BEB"/>
    <w:rsid w:val="003B4D4D"/>
    <w:rsid w:val="003B66B5"/>
    <w:rsid w:val="003B6F87"/>
    <w:rsid w:val="003C1269"/>
    <w:rsid w:val="003C1977"/>
    <w:rsid w:val="003D0B05"/>
    <w:rsid w:val="003D4103"/>
    <w:rsid w:val="003D5678"/>
    <w:rsid w:val="003D6996"/>
    <w:rsid w:val="003E081B"/>
    <w:rsid w:val="003E19F9"/>
    <w:rsid w:val="003E7901"/>
    <w:rsid w:val="003E7BAF"/>
    <w:rsid w:val="003F2215"/>
    <w:rsid w:val="003F25D6"/>
    <w:rsid w:val="003F33BA"/>
    <w:rsid w:val="003F393F"/>
    <w:rsid w:val="003F65E9"/>
    <w:rsid w:val="003F78C3"/>
    <w:rsid w:val="003F7E5B"/>
    <w:rsid w:val="00401BD2"/>
    <w:rsid w:val="00402A86"/>
    <w:rsid w:val="00404A63"/>
    <w:rsid w:val="00405136"/>
    <w:rsid w:val="00405217"/>
    <w:rsid w:val="00407357"/>
    <w:rsid w:val="00412D27"/>
    <w:rsid w:val="00414545"/>
    <w:rsid w:val="00414777"/>
    <w:rsid w:val="00420333"/>
    <w:rsid w:val="0043467F"/>
    <w:rsid w:val="004413A2"/>
    <w:rsid w:val="00441AB9"/>
    <w:rsid w:val="00442718"/>
    <w:rsid w:val="004428F0"/>
    <w:rsid w:val="00444161"/>
    <w:rsid w:val="004442B8"/>
    <w:rsid w:val="00444D70"/>
    <w:rsid w:val="00445A85"/>
    <w:rsid w:val="00447573"/>
    <w:rsid w:val="00447663"/>
    <w:rsid w:val="00447B02"/>
    <w:rsid w:val="004502C2"/>
    <w:rsid w:val="00451572"/>
    <w:rsid w:val="004517B8"/>
    <w:rsid w:val="00454834"/>
    <w:rsid w:val="00454967"/>
    <w:rsid w:val="0045787D"/>
    <w:rsid w:val="00463DF0"/>
    <w:rsid w:val="00470E55"/>
    <w:rsid w:val="00470E5F"/>
    <w:rsid w:val="00470F4D"/>
    <w:rsid w:val="00474058"/>
    <w:rsid w:val="00484C85"/>
    <w:rsid w:val="0048579B"/>
    <w:rsid w:val="0048585F"/>
    <w:rsid w:val="00485948"/>
    <w:rsid w:val="0048711A"/>
    <w:rsid w:val="00487BE5"/>
    <w:rsid w:val="00487E49"/>
    <w:rsid w:val="00494829"/>
    <w:rsid w:val="00494FBE"/>
    <w:rsid w:val="00496A3D"/>
    <w:rsid w:val="004A3CD2"/>
    <w:rsid w:val="004A60FD"/>
    <w:rsid w:val="004B1BE0"/>
    <w:rsid w:val="004B2629"/>
    <w:rsid w:val="004B315A"/>
    <w:rsid w:val="004B5879"/>
    <w:rsid w:val="004B60E4"/>
    <w:rsid w:val="004B61CF"/>
    <w:rsid w:val="004B66A0"/>
    <w:rsid w:val="004B70E6"/>
    <w:rsid w:val="004B718A"/>
    <w:rsid w:val="004B7D0C"/>
    <w:rsid w:val="004C3F3D"/>
    <w:rsid w:val="004C658F"/>
    <w:rsid w:val="004C6B1F"/>
    <w:rsid w:val="004D0BF7"/>
    <w:rsid w:val="004D7E46"/>
    <w:rsid w:val="004E02F6"/>
    <w:rsid w:val="004E4722"/>
    <w:rsid w:val="004E5B4F"/>
    <w:rsid w:val="004F3CD6"/>
    <w:rsid w:val="004F56A8"/>
    <w:rsid w:val="00507E88"/>
    <w:rsid w:val="005114C6"/>
    <w:rsid w:val="0051304F"/>
    <w:rsid w:val="005132F3"/>
    <w:rsid w:val="00515B76"/>
    <w:rsid w:val="00516D79"/>
    <w:rsid w:val="005170CC"/>
    <w:rsid w:val="00517CF4"/>
    <w:rsid w:val="00526E29"/>
    <w:rsid w:val="00530986"/>
    <w:rsid w:val="00534B73"/>
    <w:rsid w:val="00536540"/>
    <w:rsid w:val="00537423"/>
    <w:rsid w:val="00540823"/>
    <w:rsid w:val="005423C6"/>
    <w:rsid w:val="00542C00"/>
    <w:rsid w:val="005473AE"/>
    <w:rsid w:val="005523F7"/>
    <w:rsid w:val="005561DF"/>
    <w:rsid w:val="00556412"/>
    <w:rsid w:val="005577D2"/>
    <w:rsid w:val="00560C76"/>
    <w:rsid w:val="005633F3"/>
    <w:rsid w:val="00564D9E"/>
    <w:rsid w:val="00565CE7"/>
    <w:rsid w:val="00573797"/>
    <w:rsid w:val="00574D1C"/>
    <w:rsid w:val="00576470"/>
    <w:rsid w:val="00576708"/>
    <w:rsid w:val="00577076"/>
    <w:rsid w:val="00580604"/>
    <w:rsid w:val="00583B4C"/>
    <w:rsid w:val="00584B08"/>
    <w:rsid w:val="005859EA"/>
    <w:rsid w:val="005903F2"/>
    <w:rsid w:val="00590DE1"/>
    <w:rsid w:val="00592372"/>
    <w:rsid w:val="00592F07"/>
    <w:rsid w:val="005A3BDB"/>
    <w:rsid w:val="005B2845"/>
    <w:rsid w:val="005B670B"/>
    <w:rsid w:val="005C1C2A"/>
    <w:rsid w:val="005C63D3"/>
    <w:rsid w:val="005D2297"/>
    <w:rsid w:val="005D509F"/>
    <w:rsid w:val="005D7E59"/>
    <w:rsid w:val="005E2F22"/>
    <w:rsid w:val="005E32D0"/>
    <w:rsid w:val="005E5491"/>
    <w:rsid w:val="005F15AB"/>
    <w:rsid w:val="005F1F2A"/>
    <w:rsid w:val="005F445A"/>
    <w:rsid w:val="005F729D"/>
    <w:rsid w:val="00603A1F"/>
    <w:rsid w:val="00605201"/>
    <w:rsid w:val="006136ED"/>
    <w:rsid w:val="00614E70"/>
    <w:rsid w:val="0061577B"/>
    <w:rsid w:val="006157EB"/>
    <w:rsid w:val="00615D89"/>
    <w:rsid w:val="006164A1"/>
    <w:rsid w:val="00621382"/>
    <w:rsid w:val="0062235C"/>
    <w:rsid w:val="006255EB"/>
    <w:rsid w:val="00627FA8"/>
    <w:rsid w:val="00630FF0"/>
    <w:rsid w:val="006327D2"/>
    <w:rsid w:val="00633281"/>
    <w:rsid w:val="0063477C"/>
    <w:rsid w:val="0063515C"/>
    <w:rsid w:val="00636F87"/>
    <w:rsid w:val="0064155A"/>
    <w:rsid w:val="00643A4F"/>
    <w:rsid w:val="0064509B"/>
    <w:rsid w:val="006473C9"/>
    <w:rsid w:val="00650A56"/>
    <w:rsid w:val="00653781"/>
    <w:rsid w:val="00656943"/>
    <w:rsid w:val="006624DB"/>
    <w:rsid w:val="00674772"/>
    <w:rsid w:val="006775E0"/>
    <w:rsid w:val="00677683"/>
    <w:rsid w:val="00681401"/>
    <w:rsid w:val="00682943"/>
    <w:rsid w:val="00684789"/>
    <w:rsid w:val="006862C2"/>
    <w:rsid w:val="00693BEE"/>
    <w:rsid w:val="00694B8A"/>
    <w:rsid w:val="00697E65"/>
    <w:rsid w:val="006A0566"/>
    <w:rsid w:val="006A0B01"/>
    <w:rsid w:val="006A0BBC"/>
    <w:rsid w:val="006A2EC4"/>
    <w:rsid w:val="006A7E8D"/>
    <w:rsid w:val="006B04BD"/>
    <w:rsid w:val="006B2C0A"/>
    <w:rsid w:val="006B46C2"/>
    <w:rsid w:val="006B4CF6"/>
    <w:rsid w:val="006B5239"/>
    <w:rsid w:val="006B62B9"/>
    <w:rsid w:val="006B688B"/>
    <w:rsid w:val="006B73B4"/>
    <w:rsid w:val="006C2B15"/>
    <w:rsid w:val="006C4CFF"/>
    <w:rsid w:val="006C7C77"/>
    <w:rsid w:val="006D4018"/>
    <w:rsid w:val="006D41E8"/>
    <w:rsid w:val="006D49D0"/>
    <w:rsid w:val="006D5528"/>
    <w:rsid w:val="006D7176"/>
    <w:rsid w:val="006D75A1"/>
    <w:rsid w:val="006E0F26"/>
    <w:rsid w:val="006E108B"/>
    <w:rsid w:val="006E3CE5"/>
    <w:rsid w:val="006E3F9F"/>
    <w:rsid w:val="006F3AF9"/>
    <w:rsid w:val="006F6D42"/>
    <w:rsid w:val="007026F6"/>
    <w:rsid w:val="00702C56"/>
    <w:rsid w:val="00710159"/>
    <w:rsid w:val="00711635"/>
    <w:rsid w:val="0071313C"/>
    <w:rsid w:val="0071394D"/>
    <w:rsid w:val="0071402D"/>
    <w:rsid w:val="007156B2"/>
    <w:rsid w:val="007174CF"/>
    <w:rsid w:val="007217CA"/>
    <w:rsid w:val="007258CE"/>
    <w:rsid w:val="00726872"/>
    <w:rsid w:val="00726C23"/>
    <w:rsid w:val="00730020"/>
    <w:rsid w:val="0073275A"/>
    <w:rsid w:val="00732F46"/>
    <w:rsid w:val="007404E3"/>
    <w:rsid w:val="00741514"/>
    <w:rsid w:val="00743DF7"/>
    <w:rsid w:val="007446A4"/>
    <w:rsid w:val="0075105E"/>
    <w:rsid w:val="00752FDD"/>
    <w:rsid w:val="0075623A"/>
    <w:rsid w:val="00757FDD"/>
    <w:rsid w:val="00760DB3"/>
    <w:rsid w:val="0076254B"/>
    <w:rsid w:val="007626B3"/>
    <w:rsid w:val="00762D10"/>
    <w:rsid w:val="00763365"/>
    <w:rsid w:val="00765337"/>
    <w:rsid w:val="00770580"/>
    <w:rsid w:val="00771777"/>
    <w:rsid w:val="00773B4E"/>
    <w:rsid w:val="00784B41"/>
    <w:rsid w:val="007857BC"/>
    <w:rsid w:val="00787792"/>
    <w:rsid w:val="00793EE7"/>
    <w:rsid w:val="007950A3"/>
    <w:rsid w:val="007969C8"/>
    <w:rsid w:val="007A0189"/>
    <w:rsid w:val="007A0B80"/>
    <w:rsid w:val="007A78CA"/>
    <w:rsid w:val="007A7A9A"/>
    <w:rsid w:val="007A7E5E"/>
    <w:rsid w:val="007B2DEF"/>
    <w:rsid w:val="007B375E"/>
    <w:rsid w:val="007B6570"/>
    <w:rsid w:val="007B6EA5"/>
    <w:rsid w:val="007D189B"/>
    <w:rsid w:val="007D68D9"/>
    <w:rsid w:val="007D7A3E"/>
    <w:rsid w:val="007E04EB"/>
    <w:rsid w:val="007E0FE9"/>
    <w:rsid w:val="007E65D2"/>
    <w:rsid w:val="007E6F90"/>
    <w:rsid w:val="007F0F15"/>
    <w:rsid w:val="007F183E"/>
    <w:rsid w:val="007F272D"/>
    <w:rsid w:val="007F3370"/>
    <w:rsid w:val="007F54B1"/>
    <w:rsid w:val="007F5D7C"/>
    <w:rsid w:val="007F6307"/>
    <w:rsid w:val="007F6D1B"/>
    <w:rsid w:val="00800A7E"/>
    <w:rsid w:val="00801370"/>
    <w:rsid w:val="00805781"/>
    <w:rsid w:val="008104E4"/>
    <w:rsid w:val="008176A7"/>
    <w:rsid w:val="00821263"/>
    <w:rsid w:val="008244F5"/>
    <w:rsid w:val="00825AA7"/>
    <w:rsid w:val="00825ED1"/>
    <w:rsid w:val="00831A33"/>
    <w:rsid w:val="008349E5"/>
    <w:rsid w:val="00835661"/>
    <w:rsid w:val="008400AC"/>
    <w:rsid w:val="00842212"/>
    <w:rsid w:val="00843686"/>
    <w:rsid w:val="00847420"/>
    <w:rsid w:val="00850A46"/>
    <w:rsid w:val="00851D96"/>
    <w:rsid w:val="0085202E"/>
    <w:rsid w:val="00854C18"/>
    <w:rsid w:val="00855BBE"/>
    <w:rsid w:val="00863308"/>
    <w:rsid w:val="008657EF"/>
    <w:rsid w:val="00865ABD"/>
    <w:rsid w:val="00867FA4"/>
    <w:rsid w:val="00872AC6"/>
    <w:rsid w:val="0087580E"/>
    <w:rsid w:val="00876983"/>
    <w:rsid w:val="00880D01"/>
    <w:rsid w:val="00882075"/>
    <w:rsid w:val="0088228F"/>
    <w:rsid w:val="00882D71"/>
    <w:rsid w:val="0088403B"/>
    <w:rsid w:val="00886457"/>
    <w:rsid w:val="0088721F"/>
    <w:rsid w:val="00890B76"/>
    <w:rsid w:val="00891072"/>
    <w:rsid w:val="00891F1A"/>
    <w:rsid w:val="0089271F"/>
    <w:rsid w:val="00892765"/>
    <w:rsid w:val="0089414A"/>
    <w:rsid w:val="00897017"/>
    <w:rsid w:val="008A20F5"/>
    <w:rsid w:val="008A4DF2"/>
    <w:rsid w:val="008A5342"/>
    <w:rsid w:val="008A64CC"/>
    <w:rsid w:val="008A6C54"/>
    <w:rsid w:val="008A7284"/>
    <w:rsid w:val="008A74B2"/>
    <w:rsid w:val="008A7CC1"/>
    <w:rsid w:val="008B07EB"/>
    <w:rsid w:val="008B1079"/>
    <w:rsid w:val="008B582D"/>
    <w:rsid w:val="008B5AFA"/>
    <w:rsid w:val="008B607A"/>
    <w:rsid w:val="008B6BBD"/>
    <w:rsid w:val="008C0BAA"/>
    <w:rsid w:val="008D4553"/>
    <w:rsid w:val="008D65E5"/>
    <w:rsid w:val="008E3756"/>
    <w:rsid w:val="008E4660"/>
    <w:rsid w:val="008E6C8E"/>
    <w:rsid w:val="008F1E61"/>
    <w:rsid w:val="008F60F1"/>
    <w:rsid w:val="008F777B"/>
    <w:rsid w:val="008F797F"/>
    <w:rsid w:val="00902E49"/>
    <w:rsid w:val="00904534"/>
    <w:rsid w:val="00904E88"/>
    <w:rsid w:val="00904FCE"/>
    <w:rsid w:val="00905B54"/>
    <w:rsid w:val="00905B80"/>
    <w:rsid w:val="0091384A"/>
    <w:rsid w:val="00914875"/>
    <w:rsid w:val="00915994"/>
    <w:rsid w:val="009166F2"/>
    <w:rsid w:val="00922CFB"/>
    <w:rsid w:val="00922EE8"/>
    <w:rsid w:val="009236E4"/>
    <w:rsid w:val="009236F9"/>
    <w:rsid w:val="009240E5"/>
    <w:rsid w:val="00924D78"/>
    <w:rsid w:val="00926B5F"/>
    <w:rsid w:val="00926C95"/>
    <w:rsid w:val="00930056"/>
    <w:rsid w:val="0093433D"/>
    <w:rsid w:val="009378F5"/>
    <w:rsid w:val="00937CCA"/>
    <w:rsid w:val="00941941"/>
    <w:rsid w:val="00943EA7"/>
    <w:rsid w:val="00945620"/>
    <w:rsid w:val="00946637"/>
    <w:rsid w:val="0095034A"/>
    <w:rsid w:val="00953113"/>
    <w:rsid w:val="00953C1B"/>
    <w:rsid w:val="009543E5"/>
    <w:rsid w:val="0095442A"/>
    <w:rsid w:val="00954BD6"/>
    <w:rsid w:val="009568A0"/>
    <w:rsid w:val="00960128"/>
    <w:rsid w:val="009610A9"/>
    <w:rsid w:val="0096119A"/>
    <w:rsid w:val="00963DD8"/>
    <w:rsid w:val="00964423"/>
    <w:rsid w:val="009667A4"/>
    <w:rsid w:val="0097133C"/>
    <w:rsid w:val="00972D1A"/>
    <w:rsid w:val="00972E5E"/>
    <w:rsid w:val="00976DFC"/>
    <w:rsid w:val="00977679"/>
    <w:rsid w:val="009808E8"/>
    <w:rsid w:val="00984E8D"/>
    <w:rsid w:val="00992472"/>
    <w:rsid w:val="009971F8"/>
    <w:rsid w:val="009A08C7"/>
    <w:rsid w:val="009A31A1"/>
    <w:rsid w:val="009A34CC"/>
    <w:rsid w:val="009A59D6"/>
    <w:rsid w:val="009A7575"/>
    <w:rsid w:val="009A7FED"/>
    <w:rsid w:val="009B0959"/>
    <w:rsid w:val="009B1E71"/>
    <w:rsid w:val="009B2D73"/>
    <w:rsid w:val="009B4DBC"/>
    <w:rsid w:val="009B6BD2"/>
    <w:rsid w:val="009B7646"/>
    <w:rsid w:val="009B7724"/>
    <w:rsid w:val="009C13A5"/>
    <w:rsid w:val="009C1730"/>
    <w:rsid w:val="009C1F4C"/>
    <w:rsid w:val="009C3DFA"/>
    <w:rsid w:val="009C4A5C"/>
    <w:rsid w:val="009C56E8"/>
    <w:rsid w:val="009C5AE6"/>
    <w:rsid w:val="009C6264"/>
    <w:rsid w:val="009C7194"/>
    <w:rsid w:val="009D047D"/>
    <w:rsid w:val="009D283A"/>
    <w:rsid w:val="009D311E"/>
    <w:rsid w:val="009D4605"/>
    <w:rsid w:val="009D4B60"/>
    <w:rsid w:val="009D7178"/>
    <w:rsid w:val="009E3E2C"/>
    <w:rsid w:val="009E5F06"/>
    <w:rsid w:val="009E7EF6"/>
    <w:rsid w:val="009F1C73"/>
    <w:rsid w:val="009F2D18"/>
    <w:rsid w:val="009F3022"/>
    <w:rsid w:val="009F30B1"/>
    <w:rsid w:val="009F567D"/>
    <w:rsid w:val="00A01EC4"/>
    <w:rsid w:val="00A02822"/>
    <w:rsid w:val="00A0497F"/>
    <w:rsid w:val="00A04A77"/>
    <w:rsid w:val="00A04CB0"/>
    <w:rsid w:val="00A052AD"/>
    <w:rsid w:val="00A06289"/>
    <w:rsid w:val="00A0728A"/>
    <w:rsid w:val="00A12E5E"/>
    <w:rsid w:val="00A12E65"/>
    <w:rsid w:val="00A1318F"/>
    <w:rsid w:val="00A15E46"/>
    <w:rsid w:val="00A16F1B"/>
    <w:rsid w:val="00A201D8"/>
    <w:rsid w:val="00A22EEB"/>
    <w:rsid w:val="00A2321B"/>
    <w:rsid w:val="00A24132"/>
    <w:rsid w:val="00A3017B"/>
    <w:rsid w:val="00A311F4"/>
    <w:rsid w:val="00A3306A"/>
    <w:rsid w:val="00A33AC4"/>
    <w:rsid w:val="00A33F48"/>
    <w:rsid w:val="00A3575B"/>
    <w:rsid w:val="00A37221"/>
    <w:rsid w:val="00A46306"/>
    <w:rsid w:val="00A474FB"/>
    <w:rsid w:val="00A50217"/>
    <w:rsid w:val="00A50899"/>
    <w:rsid w:val="00A514FB"/>
    <w:rsid w:val="00A5184D"/>
    <w:rsid w:val="00A51AAE"/>
    <w:rsid w:val="00A52B55"/>
    <w:rsid w:val="00A52B73"/>
    <w:rsid w:val="00A618AA"/>
    <w:rsid w:val="00A62AA1"/>
    <w:rsid w:val="00A66777"/>
    <w:rsid w:val="00A671C9"/>
    <w:rsid w:val="00A6739F"/>
    <w:rsid w:val="00A739B5"/>
    <w:rsid w:val="00A74C60"/>
    <w:rsid w:val="00A755AD"/>
    <w:rsid w:val="00A8142B"/>
    <w:rsid w:val="00A86BD3"/>
    <w:rsid w:val="00A94994"/>
    <w:rsid w:val="00A949E6"/>
    <w:rsid w:val="00A94B56"/>
    <w:rsid w:val="00A963B9"/>
    <w:rsid w:val="00A96728"/>
    <w:rsid w:val="00A96B35"/>
    <w:rsid w:val="00AA0CFF"/>
    <w:rsid w:val="00AA2160"/>
    <w:rsid w:val="00AB1E2F"/>
    <w:rsid w:val="00AB2E44"/>
    <w:rsid w:val="00AB3301"/>
    <w:rsid w:val="00AC1005"/>
    <w:rsid w:val="00AC385D"/>
    <w:rsid w:val="00AC41F9"/>
    <w:rsid w:val="00AC4324"/>
    <w:rsid w:val="00AC55D7"/>
    <w:rsid w:val="00AD06BD"/>
    <w:rsid w:val="00AD22AA"/>
    <w:rsid w:val="00AD52B9"/>
    <w:rsid w:val="00AD6309"/>
    <w:rsid w:val="00AD6CFA"/>
    <w:rsid w:val="00AD7598"/>
    <w:rsid w:val="00AE13BE"/>
    <w:rsid w:val="00AE28AD"/>
    <w:rsid w:val="00AE5ABE"/>
    <w:rsid w:val="00AF0E19"/>
    <w:rsid w:val="00AF34A0"/>
    <w:rsid w:val="00AF5251"/>
    <w:rsid w:val="00AF5883"/>
    <w:rsid w:val="00AF64B1"/>
    <w:rsid w:val="00AF6D51"/>
    <w:rsid w:val="00AF704E"/>
    <w:rsid w:val="00AF7E15"/>
    <w:rsid w:val="00B0004E"/>
    <w:rsid w:val="00B0187D"/>
    <w:rsid w:val="00B02911"/>
    <w:rsid w:val="00B031F8"/>
    <w:rsid w:val="00B04B3E"/>
    <w:rsid w:val="00B06B3B"/>
    <w:rsid w:val="00B07479"/>
    <w:rsid w:val="00B07938"/>
    <w:rsid w:val="00B10A8E"/>
    <w:rsid w:val="00B11051"/>
    <w:rsid w:val="00B11319"/>
    <w:rsid w:val="00B11C92"/>
    <w:rsid w:val="00B12463"/>
    <w:rsid w:val="00B13D2C"/>
    <w:rsid w:val="00B1411E"/>
    <w:rsid w:val="00B1632F"/>
    <w:rsid w:val="00B20076"/>
    <w:rsid w:val="00B2699F"/>
    <w:rsid w:val="00B26AF0"/>
    <w:rsid w:val="00B27C2F"/>
    <w:rsid w:val="00B30396"/>
    <w:rsid w:val="00B303D0"/>
    <w:rsid w:val="00B333D8"/>
    <w:rsid w:val="00B346AB"/>
    <w:rsid w:val="00B34EB2"/>
    <w:rsid w:val="00B35AD9"/>
    <w:rsid w:val="00B36B81"/>
    <w:rsid w:val="00B3794B"/>
    <w:rsid w:val="00B37E48"/>
    <w:rsid w:val="00B440E9"/>
    <w:rsid w:val="00B4506C"/>
    <w:rsid w:val="00B452B7"/>
    <w:rsid w:val="00B5038B"/>
    <w:rsid w:val="00B54B61"/>
    <w:rsid w:val="00B569FA"/>
    <w:rsid w:val="00B56B48"/>
    <w:rsid w:val="00B62AFF"/>
    <w:rsid w:val="00B633B4"/>
    <w:rsid w:val="00B651A7"/>
    <w:rsid w:val="00B6616A"/>
    <w:rsid w:val="00B72129"/>
    <w:rsid w:val="00B728B2"/>
    <w:rsid w:val="00B73274"/>
    <w:rsid w:val="00B75A8C"/>
    <w:rsid w:val="00B802F9"/>
    <w:rsid w:val="00B80EBB"/>
    <w:rsid w:val="00B833F8"/>
    <w:rsid w:val="00B86253"/>
    <w:rsid w:val="00B86AF7"/>
    <w:rsid w:val="00B90848"/>
    <w:rsid w:val="00B91D73"/>
    <w:rsid w:val="00B92589"/>
    <w:rsid w:val="00B93342"/>
    <w:rsid w:val="00B93D45"/>
    <w:rsid w:val="00B967C7"/>
    <w:rsid w:val="00BA11E4"/>
    <w:rsid w:val="00BA21E5"/>
    <w:rsid w:val="00BA2AD0"/>
    <w:rsid w:val="00BA52D1"/>
    <w:rsid w:val="00BA5BF2"/>
    <w:rsid w:val="00BA622E"/>
    <w:rsid w:val="00BA668A"/>
    <w:rsid w:val="00BA712A"/>
    <w:rsid w:val="00BB16B6"/>
    <w:rsid w:val="00BB566A"/>
    <w:rsid w:val="00BB5872"/>
    <w:rsid w:val="00BB7106"/>
    <w:rsid w:val="00BC0B7D"/>
    <w:rsid w:val="00BC1EAC"/>
    <w:rsid w:val="00BC2B92"/>
    <w:rsid w:val="00BC6429"/>
    <w:rsid w:val="00BC761A"/>
    <w:rsid w:val="00BC777B"/>
    <w:rsid w:val="00BD1151"/>
    <w:rsid w:val="00BD2C05"/>
    <w:rsid w:val="00BD41F1"/>
    <w:rsid w:val="00BD4371"/>
    <w:rsid w:val="00BD6370"/>
    <w:rsid w:val="00BE67B6"/>
    <w:rsid w:val="00BE79FF"/>
    <w:rsid w:val="00BF1C93"/>
    <w:rsid w:val="00BF28D7"/>
    <w:rsid w:val="00BF3E52"/>
    <w:rsid w:val="00BF412E"/>
    <w:rsid w:val="00BF4660"/>
    <w:rsid w:val="00BF4C30"/>
    <w:rsid w:val="00C000E7"/>
    <w:rsid w:val="00C02622"/>
    <w:rsid w:val="00C0283B"/>
    <w:rsid w:val="00C049C7"/>
    <w:rsid w:val="00C053CC"/>
    <w:rsid w:val="00C06BD4"/>
    <w:rsid w:val="00C1116F"/>
    <w:rsid w:val="00C14A6A"/>
    <w:rsid w:val="00C14FF3"/>
    <w:rsid w:val="00C173B6"/>
    <w:rsid w:val="00C17A4B"/>
    <w:rsid w:val="00C218AA"/>
    <w:rsid w:val="00C22DBD"/>
    <w:rsid w:val="00C2639C"/>
    <w:rsid w:val="00C27551"/>
    <w:rsid w:val="00C300C0"/>
    <w:rsid w:val="00C3475B"/>
    <w:rsid w:val="00C34EFA"/>
    <w:rsid w:val="00C35001"/>
    <w:rsid w:val="00C367BB"/>
    <w:rsid w:val="00C377E1"/>
    <w:rsid w:val="00C40F2F"/>
    <w:rsid w:val="00C43648"/>
    <w:rsid w:val="00C4431C"/>
    <w:rsid w:val="00C44CEB"/>
    <w:rsid w:val="00C47CD6"/>
    <w:rsid w:val="00C50843"/>
    <w:rsid w:val="00C514AB"/>
    <w:rsid w:val="00C51DF0"/>
    <w:rsid w:val="00C522F8"/>
    <w:rsid w:val="00C526BD"/>
    <w:rsid w:val="00C548B7"/>
    <w:rsid w:val="00C570F5"/>
    <w:rsid w:val="00C5794E"/>
    <w:rsid w:val="00C57F37"/>
    <w:rsid w:val="00C620B2"/>
    <w:rsid w:val="00C63687"/>
    <w:rsid w:val="00C64F71"/>
    <w:rsid w:val="00C65625"/>
    <w:rsid w:val="00C66254"/>
    <w:rsid w:val="00C6672E"/>
    <w:rsid w:val="00C66CDF"/>
    <w:rsid w:val="00C707AF"/>
    <w:rsid w:val="00C724FD"/>
    <w:rsid w:val="00C72A25"/>
    <w:rsid w:val="00C752E9"/>
    <w:rsid w:val="00C771A3"/>
    <w:rsid w:val="00C80577"/>
    <w:rsid w:val="00C80986"/>
    <w:rsid w:val="00C81EF1"/>
    <w:rsid w:val="00C81F07"/>
    <w:rsid w:val="00C831B7"/>
    <w:rsid w:val="00C84C52"/>
    <w:rsid w:val="00C86A3A"/>
    <w:rsid w:val="00C86FC1"/>
    <w:rsid w:val="00C9114F"/>
    <w:rsid w:val="00C9591B"/>
    <w:rsid w:val="00C95D5B"/>
    <w:rsid w:val="00C96488"/>
    <w:rsid w:val="00CA0D80"/>
    <w:rsid w:val="00CA4E55"/>
    <w:rsid w:val="00CA59E6"/>
    <w:rsid w:val="00CA5AAA"/>
    <w:rsid w:val="00CA6F19"/>
    <w:rsid w:val="00CB0D28"/>
    <w:rsid w:val="00CB1D7A"/>
    <w:rsid w:val="00CB476A"/>
    <w:rsid w:val="00CB562D"/>
    <w:rsid w:val="00CC0D34"/>
    <w:rsid w:val="00CC282A"/>
    <w:rsid w:val="00CD0B28"/>
    <w:rsid w:val="00CD1B24"/>
    <w:rsid w:val="00CD4D21"/>
    <w:rsid w:val="00CD5481"/>
    <w:rsid w:val="00CD5D6D"/>
    <w:rsid w:val="00CE1A19"/>
    <w:rsid w:val="00CE2028"/>
    <w:rsid w:val="00CE29B5"/>
    <w:rsid w:val="00CE2E83"/>
    <w:rsid w:val="00CE3A23"/>
    <w:rsid w:val="00CE5D51"/>
    <w:rsid w:val="00CE6587"/>
    <w:rsid w:val="00CE6723"/>
    <w:rsid w:val="00CF0FE9"/>
    <w:rsid w:val="00CF2129"/>
    <w:rsid w:val="00CF3055"/>
    <w:rsid w:val="00CF4309"/>
    <w:rsid w:val="00CF5245"/>
    <w:rsid w:val="00CF76B8"/>
    <w:rsid w:val="00D00908"/>
    <w:rsid w:val="00D04B4D"/>
    <w:rsid w:val="00D0518F"/>
    <w:rsid w:val="00D0521D"/>
    <w:rsid w:val="00D06112"/>
    <w:rsid w:val="00D06A27"/>
    <w:rsid w:val="00D07F5B"/>
    <w:rsid w:val="00D20083"/>
    <w:rsid w:val="00D2055B"/>
    <w:rsid w:val="00D2242D"/>
    <w:rsid w:val="00D22A64"/>
    <w:rsid w:val="00D232F5"/>
    <w:rsid w:val="00D23943"/>
    <w:rsid w:val="00D24BB0"/>
    <w:rsid w:val="00D2580E"/>
    <w:rsid w:val="00D25C4F"/>
    <w:rsid w:val="00D27192"/>
    <w:rsid w:val="00D31FA3"/>
    <w:rsid w:val="00D33092"/>
    <w:rsid w:val="00D33180"/>
    <w:rsid w:val="00D332CB"/>
    <w:rsid w:val="00D3550E"/>
    <w:rsid w:val="00D360FB"/>
    <w:rsid w:val="00D36195"/>
    <w:rsid w:val="00D374E8"/>
    <w:rsid w:val="00D4202A"/>
    <w:rsid w:val="00D449C1"/>
    <w:rsid w:val="00D44B3A"/>
    <w:rsid w:val="00D453F1"/>
    <w:rsid w:val="00D45586"/>
    <w:rsid w:val="00D546E1"/>
    <w:rsid w:val="00D5558A"/>
    <w:rsid w:val="00D62F63"/>
    <w:rsid w:val="00D6466C"/>
    <w:rsid w:val="00D64D21"/>
    <w:rsid w:val="00D67AD6"/>
    <w:rsid w:val="00D70979"/>
    <w:rsid w:val="00D7220D"/>
    <w:rsid w:val="00D7647E"/>
    <w:rsid w:val="00D803B6"/>
    <w:rsid w:val="00D84990"/>
    <w:rsid w:val="00D910EF"/>
    <w:rsid w:val="00D92143"/>
    <w:rsid w:val="00D927C4"/>
    <w:rsid w:val="00D97245"/>
    <w:rsid w:val="00DA0841"/>
    <w:rsid w:val="00DA3E03"/>
    <w:rsid w:val="00DA571E"/>
    <w:rsid w:val="00DA6365"/>
    <w:rsid w:val="00DB0F5D"/>
    <w:rsid w:val="00DB467A"/>
    <w:rsid w:val="00DB7146"/>
    <w:rsid w:val="00DB7B37"/>
    <w:rsid w:val="00DC006D"/>
    <w:rsid w:val="00DC31A7"/>
    <w:rsid w:val="00DC4B93"/>
    <w:rsid w:val="00DC57D1"/>
    <w:rsid w:val="00DC66FD"/>
    <w:rsid w:val="00DD2568"/>
    <w:rsid w:val="00DD295C"/>
    <w:rsid w:val="00DD786B"/>
    <w:rsid w:val="00DE00BC"/>
    <w:rsid w:val="00DE077B"/>
    <w:rsid w:val="00DE0B35"/>
    <w:rsid w:val="00DE1110"/>
    <w:rsid w:val="00DE3389"/>
    <w:rsid w:val="00DE653E"/>
    <w:rsid w:val="00DE67E3"/>
    <w:rsid w:val="00DF10E3"/>
    <w:rsid w:val="00DF3B3B"/>
    <w:rsid w:val="00DF4D84"/>
    <w:rsid w:val="00DF55A8"/>
    <w:rsid w:val="00E02EB6"/>
    <w:rsid w:val="00E03F53"/>
    <w:rsid w:val="00E0407E"/>
    <w:rsid w:val="00E05893"/>
    <w:rsid w:val="00E10605"/>
    <w:rsid w:val="00E10B99"/>
    <w:rsid w:val="00E118FD"/>
    <w:rsid w:val="00E15E0F"/>
    <w:rsid w:val="00E201A1"/>
    <w:rsid w:val="00E22BB7"/>
    <w:rsid w:val="00E235D6"/>
    <w:rsid w:val="00E23C67"/>
    <w:rsid w:val="00E24590"/>
    <w:rsid w:val="00E265EC"/>
    <w:rsid w:val="00E26E16"/>
    <w:rsid w:val="00E27A47"/>
    <w:rsid w:val="00E27ED9"/>
    <w:rsid w:val="00E3114B"/>
    <w:rsid w:val="00E353D8"/>
    <w:rsid w:val="00E37F73"/>
    <w:rsid w:val="00E40A72"/>
    <w:rsid w:val="00E40F7C"/>
    <w:rsid w:val="00E424ED"/>
    <w:rsid w:val="00E43C29"/>
    <w:rsid w:val="00E44B10"/>
    <w:rsid w:val="00E455C5"/>
    <w:rsid w:val="00E478F2"/>
    <w:rsid w:val="00E530DB"/>
    <w:rsid w:val="00E53251"/>
    <w:rsid w:val="00E54F6C"/>
    <w:rsid w:val="00E56DDD"/>
    <w:rsid w:val="00E62B3A"/>
    <w:rsid w:val="00E63025"/>
    <w:rsid w:val="00E647D9"/>
    <w:rsid w:val="00E67BDA"/>
    <w:rsid w:val="00E70A55"/>
    <w:rsid w:val="00E70CCB"/>
    <w:rsid w:val="00E718BB"/>
    <w:rsid w:val="00E732E8"/>
    <w:rsid w:val="00E803B0"/>
    <w:rsid w:val="00E86D02"/>
    <w:rsid w:val="00E916A6"/>
    <w:rsid w:val="00E916F9"/>
    <w:rsid w:val="00E92596"/>
    <w:rsid w:val="00E92A2A"/>
    <w:rsid w:val="00E96C5D"/>
    <w:rsid w:val="00E9788A"/>
    <w:rsid w:val="00EA10DF"/>
    <w:rsid w:val="00EA2792"/>
    <w:rsid w:val="00EA7F5C"/>
    <w:rsid w:val="00EB263E"/>
    <w:rsid w:val="00EB545B"/>
    <w:rsid w:val="00EB69F2"/>
    <w:rsid w:val="00EC0D36"/>
    <w:rsid w:val="00EC17CF"/>
    <w:rsid w:val="00EC28D7"/>
    <w:rsid w:val="00EC5348"/>
    <w:rsid w:val="00EC5B09"/>
    <w:rsid w:val="00EC6A2B"/>
    <w:rsid w:val="00EC7D93"/>
    <w:rsid w:val="00ED0686"/>
    <w:rsid w:val="00ED0804"/>
    <w:rsid w:val="00ED0D30"/>
    <w:rsid w:val="00ED1505"/>
    <w:rsid w:val="00ED1542"/>
    <w:rsid w:val="00ED240C"/>
    <w:rsid w:val="00ED313A"/>
    <w:rsid w:val="00EE183A"/>
    <w:rsid w:val="00EE1BF8"/>
    <w:rsid w:val="00EE3790"/>
    <w:rsid w:val="00EE4A07"/>
    <w:rsid w:val="00EE4C4C"/>
    <w:rsid w:val="00EE5DEF"/>
    <w:rsid w:val="00EE6596"/>
    <w:rsid w:val="00EF12B5"/>
    <w:rsid w:val="00EF5191"/>
    <w:rsid w:val="00EF55ED"/>
    <w:rsid w:val="00EF7385"/>
    <w:rsid w:val="00F01AD8"/>
    <w:rsid w:val="00F13E7B"/>
    <w:rsid w:val="00F152A2"/>
    <w:rsid w:val="00F2042C"/>
    <w:rsid w:val="00F20966"/>
    <w:rsid w:val="00F2226B"/>
    <w:rsid w:val="00F22378"/>
    <w:rsid w:val="00F22965"/>
    <w:rsid w:val="00F23BB5"/>
    <w:rsid w:val="00F27BFF"/>
    <w:rsid w:val="00F307CC"/>
    <w:rsid w:val="00F32833"/>
    <w:rsid w:val="00F334E5"/>
    <w:rsid w:val="00F35B16"/>
    <w:rsid w:val="00F366C0"/>
    <w:rsid w:val="00F36D5B"/>
    <w:rsid w:val="00F40D90"/>
    <w:rsid w:val="00F43F7B"/>
    <w:rsid w:val="00F451D6"/>
    <w:rsid w:val="00F56687"/>
    <w:rsid w:val="00F616CD"/>
    <w:rsid w:val="00F62961"/>
    <w:rsid w:val="00F62C40"/>
    <w:rsid w:val="00F63384"/>
    <w:rsid w:val="00F66039"/>
    <w:rsid w:val="00F66A35"/>
    <w:rsid w:val="00F670F7"/>
    <w:rsid w:val="00F70D0D"/>
    <w:rsid w:val="00F71064"/>
    <w:rsid w:val="00F7301A"/>
    <w:rsid w:val="00F76860"/>
    <w:rsid w:val="00F770E0"/>
    <w:rsid w:val="00F82EA6"/>
    <w:rsid w:val="00F834EC"/>
    <w:rsid w:val="00F85DC6"/>
    <w:rsid w:val="00F90950"/>
    <w:rsid w:val="00F90FF0"/>
    <w:rsid w:val="00F93D8A"/>
    <w:rsid w:val="00FA15FA"/>
    <w:rsid w:val="00FA2FAB"/>
    <w:rsid w:val="00FA3AB4"/>
    <w:rsid w:val="00FA475E"/>
    <w:rsid w:val="00FA6BEE"/>
    <w:rsid w:val="00FA6CA0"/>
    <w:rsid w:val="00FA7CA4"/>
    <w:rsid w:val="00FA7CF4"/>
    <w:rsid w:val="00FB0A11"/>
    <w:rsid w:val="00FB0E48"/>
    <w:rsid w:val="00FB148D"/>
    <w:rsid w:val="00FB40D9"/>
    <w:rsid w:val="00FB44EB"/>
    <w:rsid w:val="00FB53E9"/>
    <w:rsid w:val="00FC20F4"/>
    <w:rsid w:val="00FC2878"/>
    <w:rsid w:val="00FC4148"/>
    <w:rsid w:val="00FC48E1"/>
    <w:rsid w:val="00FC5CFA"/>
    <w:rsid w:val="00FC7672"/>
    <w:rsid w:val="00FD32F7"/>
    <w:rsid w:val="00FD7612"/>
    <w:rsid w:val="00FE1467"/>
    <w:rsid w:val="00FE21DD"/>
    <w:rsid w:val="00FE2BCA"/>
    <w:rsid w:val="00FE3177"/>
    <w:rsid w:val="00FE4CCA"/>
    <w:rsid w:val="00FE54F8"/>
    <w:rsid w:val="00FF0E4C"/>
    <w:rsid w:val="00FF0FB2"/>
    <w:rsid w:val="00FF1941"/>
    <w:rsid w:val="00FF1C3F"/>
    <w:rsid w:val="0ED4E639"/>
    <w:rsid w:val="45009CC7"/>
    <w:rsid w:val="79CDA2B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09365E0A"/>
  <w15:docId w15:val="{7420FE47-073C-48E0-A178-9B461A189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 w:eastAsia="en-US" w:bidi="ar-SA"/>
      </w:rPr>
    </w:rPrDefault>
    <w:pPrDefault>
      <w:pPr>
        <w:spacing w:line="360" w:lineRule="auto"/>
        <w:ind w:firstLine="709"/>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3F7B"/>
  </w:style>
  <w:style w:type="paragraph" w:styleId="Heading1">
    <w:name w:val="heading 1"/>
    <w:basedOn w:val="Normal"/>
    <w:next w:val="Normal"/>
    <w:link w:val="Heading1Char"/>
    <w:uiPriority w:val="9"/>
    <w:qFormat/>
    <w:rsid w:val="00A12E5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5787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7">
    <w:name w:val="heading 7"/>
    <w:basedOn w:val="Normal"/>
    <w:next w:val="Normal"/>
    <w:link w:val="Heading7Char"/>
    <w:uiPriority w:val="9"/>
    <w:semiHidden/>
    <w:unhideWhenUsed/>
    <w:qFormat/>
    <w:rsid w:val="009C1F4C"/>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03B6"/>
    <w:pPr>
      <w:tabs>
        <w:tab w:val="center" w:pos="4252"/>
        <w:tab w:val="right" w:pos="8504"/>
      </w:tabs>
      <w:spacing w:line="240" w:lineRule="auto"/>
    </w:pPr>
  </w:style>
  <w:style w:type="character" w:customStyle="1" w:styleId="HeaderChar">
    <w:name w:val="Header Char"/>
    <w:basedOn w:val="DefaultParagraphFont"/>
    <w:link w:val="Header"/>
    <w:uiPriority w:val="99"/>
    <w:rsid w:val="00D803B6"/>
  </w:style>
  <w:style w:type="paragraph" w:styleId="Footer">
    <w:name w:val="footer"/>
    <w:basedOn w:val="Normal"/>
    <w:link w:val="FooterChar"/>
    <w:uiPriority w:val="99"/>
    <w:unhideWhenUsed/>
    <w:rsid w:val="00D803B6"/>
    <w:pPr>
      <w:tabs>
        <w:tab w:val="center" w:pos="4252"/>
        <w:tab w:val="right" w:pos="8504"/>
      </w:tabs>
      <w:spacing w:line="240" w:lineRule="auto"/>
    </w:pPr>
  </w:style>
  <w:style w:type="character" w:customStyle="1" w:styleId="FooterChar">
    <w:name w:val="Footer Char"/>
    <w:basedOn w:val="DefaultParagraphFont"/>
    <w:link w:val="Footer"/>
    <w:rsid w:val="00D803B6"/>
  </w:style>
  <w:style w:type="paragraph" w:styleId="BalloonText">
    <w:name w:val="Balloon Text"/>
    <w:basedOn w:val="Normal"/>
    <w:link w:val="BalloonTextChar"/>
    <w:uiPriority w:val="99"/>
    <w:semiHidden/>
    <w:unhideWhenUsed/>
    <w:rsid w:val="006164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64A1"/>
    <w:rPr>
      <w:rFonts w:ascii="Tahoma" w:hAnsi="Tahoma" w:cs="Tahoma"/>
      <w:sz w:val="16"/>
      <w:szCs w:val="16"/>
    </w:rPr>
  </w:style>
  <w:style w:type="paragraph" w:styleId="ListParagraph">
    <w:name w:val="List Paragraph"/>
    <w:basedOn w:val="Normal"/>
    <w:link w:val="ListParagraphChar"/>
    <w:uiPriority w:val="34"/>
    <w:qFormat/>
    <w:rsid w:val="00DD295C"/>
    <w:pPr>
      <w:ind w:left="720"/>
      <w:contextualSpacing/>
    </w:pPr>
  </w:style>
  <w:style w:type="table" w:styleId="TableGrid">
    <w:name w:val="Table Grid"/>
    <w:basedOn w:val="TableNormal"/>
    <w:uiPriority w:val="59"/>
    <w:rsid w:val="00880D0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045507"/>
    <w:pPr>
      <w:spacing w:after="120" w:line="480" w:lineRule="auto"/>
    </w:pPr>
    <w:rPr>
      <w:rFonts w:ascii="Courier New" w:eastAsia="Times New Roman" w:hAnsi="Courier New" w:cs="Times New Roman"/>
      <w:sz w:val="24"/>
      <w:szCs w:val="20"/>
      <w:lang w:eastAsia="pt-BR"/>
    </w:rPr>
  </w:style>
  <w:style w:type="character" w:customStyle="1" w:styleId="BodyText2Char">
    <w:name w:val="Body Text 2 Char"/>
    <w:basedOn w:val="DefaultParagraphFont"/>
    <w:link w:val="BodyText2"/>
    <w:uiPriority w:val="99"/>
    <w:rsid w:val="00045507"/>
    <w:rPr>
      <w:rFonts w:ascii="Courier New" w:eastAsia="Times New Roman" w:hAnsi="Courier New" w:cs="Times New Roman"/>
      <w:sz w:val="24"/>
      <w:szCs w:val="20"/>
      <w:lang w:val="en" w:eastAsia="pt-BR"/>
    </w:rPr>
  </w:style>
  <w:style w:type="paragraph" w:styleId="NormalWeb">
    <w:name w:val="Normal (Web)"/>
    <w:basedOn w:val="Normal"/>
    <w:uiPriority w:val="99"/>
    <w:unhideWhenUsed/>
    <w:rsid w:val="00A96B3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Heading1Char">
    <w:name w:val="Heading 1 Char"/>
    <w:basedOn w:val="DefaultParagraphFont"/>
    <w:link w:val="Heading1"/>
    <w:uiPriority w:val="9"/>
    <w:rsid w:val="00A12E5E"/>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A12E5E"/>
    <w:pPr>
      <w:spacing w:line="276" w:lineRule="auto"/>
      <w:ind w:firstLine="0"/>
      <w:jc w:val="left"/>
      <w:outlineLvl w:val="9"/>
    </w:pPr>
  </w:style>
  <w:style w:type="paragraph" w:styleId="TOC1">
    <w:name w:val="toc 1"/>
    <w:basedOn w:val="Normal"/>
    <w:next w:val="Normal"/>
    <w:autoRedefine/>
    <w:uiPriority w:val="39"/>
    <w:unhideWhenUsed/>
    <w:rsid w:val="00A12E5E"/>
    <w:pPr>
      <w:spacing w:after="100"/>
    </w:pPr>
  </w:style>
  <w:style w:type="paragraph" w:styleId="TOC2">
    <w:name w:val="toc 2"/>
    <w:basedOn w:val="Normal"/>
    <w:next w:val="Normal"/>
    <w:autoRedefine/>
    <w:uiPriority w:val="39"/>
    <w:unhideWhenUsed/>
    <w:rsid w:val="00A3575B"/>
    <w:pPr>
      <w:tabs>
        <w:tab w:val="left" w:pos="1540"/>
        <w:tab w:val="right" w:leader="dot" w:pos="9061"/>
      </w:tabs>
      <w:spacing w:after="100" w:line="240" w:lineRule="auto"/>
    </w:pPr>
    <w:rPr>
      <w:rFonts w:ascii="Arial" w:hAnsi="Arial" w:cs="Arial"/>
      <w:noProof/>
      <w:sz w:val="24"/>
      <w:szCs w:val="24"/>
    </w:rPr>
  </w:style>
  <w:style w:type="paragraph" w:styleId="TOC3">
    <w:name w:val="toc 3"/>
    <w:basedOn w:val="Normal"/>
    <w:next w:val="Normal"/>
    <w:autoRedefine/>
    <w:uiPriority w:val="39"/>
    <w:unhideWhenUsed/>
    <w:rsid w:val="00CF0FE9"/>
    <w:pPr>
      <w:tabs>
        <w:tab w:val="left" w:pos="1919"/>
        <w:tab w:val="right" w:leader="dot" w:pos="9061"/>
      </w:tabs>
      <w:spacing w:after="100" w:line="240" w:lineRule="auto"/>
    </w:pPr>
  </w:style>
  <w:style w:type="character" w:styleId="Hyperlink">
    <w:name w:val="Hyperlink"/>
    <w:basedOn w:val="DefaultParagraphFont"/>
    <w:uiPriority w:val="99"/>
    <w:unhideWhenUsed/>
    <w:rsid w:val="00A12E5E"/>
    <w:rPr>
      <w:color w:val="0000FF" w:themeColor="hyperlink"/>
      <w:u w:val="single"/>
    </w:rPr>
  </w:style>
  <w:style w:type="character" w:customStyle="1" w:styleId="apple-converted-space">
    <w:name w:val="apple-converted-space"/>
    <w:basedOn w:val="DefaultParagraphFont"/>
    <w:rsid w:val="00243578"/>
  </w:style>
  <w:style w:type="character" w:customStyle="1" w:styleId="Heading2Char">
    <w:name w:val="Heading 2 Char"/>
    <w:basedOn w:val="DefaultParagraphFont"/>
    <w:link w:val="Heading2"/>
    <w:uiPriority w:val="9"/>
    <w:semiHidden/>
    <w:rsid w:val="0045787D"/>
    <w:rPr>
      <w:rFonts w:asciiTheme="majorHAnsi" w:eastAsiaTheme="majorEastAsia" w:hAnsiTheme="majorHAnsi" w:cstheme="majorBidi"/>
      <w:b/>
      <w:bCs/>
      <w:color w:val="4F81BD" w:themeColor="accent1"/>
      <w:sz w:val="26"/>
      <w:szCs w:val="26"/>
    </w:rPr>
  </w:style>
  <w:style w:type="character" w:customStyle="1" w:styleId="MenoPendente1">
    <w:name w:val="Menção Pendente1"/>
    <w:basedOn w:val="DefaultParagraphFont"/>
    <w:uiPriority w:val="99"/>
    <w:semiHidden/>
    <w:unhideWhenUsed/>
    <w:rsid w:val="00F834EC"/>
    <w:rPr>
      <w:color w:val="605E5C"/>
      <w:shd w:val="clear" w:color="auto" w:fill="E1DFDD"/>
    </w:rPr>
  </w:style>
  <w:style w:type="character" w:styleId="Emphasis">
    <w:name w:val="Emphasis"/>
    <w:basedOn w:val="DefaultParagraphFont"/>
    <w:uiPriority w:val="20"/>
    <w:qFormat/>
    <w:rsid w:val="00B04B3E"/>
    <w:rPr>
      <w:i/>
      <w:iCs/>
    </w:rPr>
  </w:style>
  <w:style w:type="character" w:styleId="CommentReference">
    <w:name w:val="annotation reference"/>
    <w:basedOn w:val="DefaultParagraphFont"/>
    <w:uiPriority w:val="99"/>
    <w:semiHidden/>
    <w:unhideWhenUsed/>
    <w:rsid w:val="00AD52B9"/>
    <w:rPr>
      <w:sz w:val="16"/>
      <w:szCs w:val="16"/>
    </w:rPr>
  </w:style>
  <w:style w:type="paragraph" w:styleId="CommentText">
    <w:name w:val="annotation text"/>
    <w:basedOn w:val="Normal"/>
    <w:link w:val="CommentTextChar"/>
    <w:uiPriority w:val="99"/>
    <w:semiHidden/>
    <w:unhideWhenUsed/>
    <w:rsid w:val="00AD52B9"/>
    <w:pPr>
      <w:spacing w:line="240" w:lineRule="auto"/>
    </w:pPr>
    <w:rPr>
      <w:sz w:val="20"/>
      <w:szCs w:val="20"/>
    </w:rPr>
  </w:style>
  <w:style w:type="character" w:customStyle="1" w:styleId="CommentTextChar">
    <w:name w:val="Comment Text Char"/>
    <w:basedOn w:val="DefaultParagraphFont"/>
    <w:link w:val="CommentText"/>
    <w:uiPriority w:val="99"/>
    <w:semiHidden/>
    <w:rsid w:val="00AD52B9"/>
    <w:rPr>
      <w:sz w:val="20"/>
      <w:szCs w:val="20"/>
    </w:rPr>
  </w:style>
  <w:style w:type="paragraph" w:styleId="CommentSubject">
    <w:name w:val="annotation subject"/>
    <w:basedOn w:val="CommentText"/>
    <w:next w:val="CommentText"/>
    <w:link w:val="CommentSubjectChar"/>
    <w:uiPriority w:val="99"/>
    <w:semiHidden/>
    <w:unhideWhenUsed/>
    <w:rsid w:val="00AD52B9"/>
    <w:rPr>
      <w:b/>
      <w:bCs/>
    </w:rPr>
  </w:style>
  <w:style w:type="character" w:customStyle="1" w:styleId="CommentSubjectChar">
    <w:name w:val="Comment Subject Char"/>
    <w:basedOn w:val="CommentTextChar"/>
    <w:link w:val="CommentSubject"/>
    <w:uiPriority w:val="99"/>
    <w:semiHidden/>
    <w:rsid w:val="00AD52B9"/>
    <w:rPr>
      <w:b/>
      <w:bCs/>
      <w:sz w:val="20"/>
      <w:szCs w:val="20"/>
    </w:rPr>
  </w:style>
  <w:style w:type="character" w:styleId="Strong">
    <w:name w:val="Strong"/>
    <w:basedOn w:val="DefaultParagraphFont"/>
    <w:uiPriority w:val="22"/>
    <w:qFormat/>
    <w:rsid w:val="00F71064"/>
    <w:rPr>
      <w:b/>
      <w:bCs/>
    </w:rPr>
  </w:style>
  <w:style w:type="paragraph" w:styleId="HTMLPreformatted">
    <w:name w:val="HTML Preformatted"/>
    <w:basedOn w:val="Normal"/>
    <w:link w:val="HTMLPreformattedChar"/>
    <w:uiPriority w:val="99"/>
    <w:unhideWhenUsed/>
    <w:rsid w:val="00937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eastAsia="pt-BR"/>
    </w:rPr>
  </w:style>
  <w:style w:type="character" w:customStyle="1" w:styleId="HTMLPreformattedChar">
    <w:name w:val="HTML Preformatted Char"/>
    <w:basedOn w:val="DefaultParagraphFont"/>
    <w:link w:val="HTMLPreformatted"/>
    <w:uiPriority w:val="99"/>
    <w:rsid w:val="00937CCA"/>
    <w:rPr>
      <w:rFonts w:ascii="Courier New" w:eastAsia="Times New Roman" w:hAnsi="Courier New" w:cs="Courier New"/>
      <w:sz w:val="20"/>
      <w:szCs w:val="20"/>
      <w:lang w:val="en" w:eastAsia="pt-BR"/>
    </w:rPr>
  </w:style>
  <w:style w:type="character" w:customStyle="1" w:styleId="y2iqfc">
    <w:name w:val="y2iqfc"/>
    <w:basedOn w:val="DefaultParagraphFont"/>
    <w:rsid w:val="00937CCA"/>
  </w:style>
  <w:style w:type="paragraph" w:styleId="NoSpacing">
    <w:name w:val="No Spacing"/>
    <w:uiPriority w:val="1"/>
    <w:qFormat/>
    <w:rsid w:val="00BA52D1"/>
    <w:pPr>
      <w:spacing w:line="240" w:lineRule="auto"/>
    </w:pPr>
  </w:style>
  <w:style w:type="character" w:customStyle="1" w:styleId="fontstyle01">
    <w:name w:val="fontstyle01"/>
    <w:basedOn w:val="DefaultParagraphFont"/>
    <w:rsid w:val="000E6DCE"/>
    <w:rPr>
      <w:rFonts w:ascii="Arial-BoldMT" w:hAnsi="Arial-BoldMT" w:hint="default"/>
      <w:b/>
      <w:bCs/>
      <w:i w:val="0"/>
      <w:iCs w:val="0"/>
      <w:color w:val="000000"/>
      <w:sz w:val="24"/>
      <w:szCs w:val="24"/>
    </w:rPr>
  </w:style>
  <w:style w:type="paragraph" w:customStyle="1" w:styleId="Estilo2">
    <w:name w:val="Estilo2"/>
    <w:basedOn w:val="Normal"/>
    <w:link w:val="Estilo2Char"/>
    <w:rsid w:val="00E916A6"/>
    <w:pPr>
      <w:ind w:firstLine="0"/>
    </w:pPr>
    <w:rPr>
      <w:rFonts w:ascii="Times New Roman" w:eastAsiaTheme="minorEastAsia" w:hAnsi="Times New Roman"/>
      <w:b/>
      <w:bCs/>
      <w:sz w:val="24"/>
      <w:szCs w:val="28"/>
      <w:lang w:eastAsia="pt-BR"/>
    </w:rPr>
  </w:style>
  <w:style w:type="character" w:customStyle="1" w:styleId="ListParagraphChar">
    <w:name w:val="List Paragraph Char"/>
    <w:basedOn w:val="DefaultParagraphFont"/>
    <w:link w:val="ListParagraph"/>
    <w:uiPriority w:val="34"/>
    <w:rsid w:val="00E916A6"/>
  </w:style>
  <w:style w:type="character" w:customStyle="1" w:styleId="Estilo2Char">
    <w:name w:val="Estilo2 Char"/>
    <w:basedOn w:val="DefaultParagraphFont"/>
    <w:link w:val="Estilo2"/>
    <w:rsid w:val="00E916A6"/>
    <w:rPr>
      <w:rFonts w:ascii="Times New Roman" w:eastAsiaTheme="minorEastAsia" w:hAnsi="Times New Roman"/>
      <w:b/>
      <w:bCs/>
      <w:sz w:val="24"/>
      <w:szCs w:val="28"/>
      <w:lang w:val="en" w:eastAsia="pt-BR"/>
    </w:rPr>
  </w:style>
  <w:style w:type="paragraph" w:customStyle="1" w:styleId="1">
    <w:name w:val="1"/>
    <w:basedOn w:val="Normal"/>
    <w:link w:val="1Char"/>
    <w:rsid w:val="00E916A6"/>
    <w:pPr>
      <w:numPr>
        <w:numId w:val="7"/>
      </w:numPr>
      <w:spacing w:line="480" w:lineRule="auto"/>
      <w:ind w:left="284"/>
      <w:contextualSpacing/>
    </w:pPr>
    <w:rPr>
      <w:rFonts w:ascii="Times New Roman" w:eastAsiaTheme="minorEastAsia" w:hAnsi="Times New Roman"/>
      <w:b/>
      <w:bCs/>
      <w:sz w:val="24"/>
      <w:szCs w:val="28"/>
      <w:lang w:eastAsia="pt-BR"/>
    </w:rPr>
  </w:style>
  <w:style w:type="paragraph" w:customStyle="1" w:styleId="estilo1">
    <w:name w:val="estilo 1"/>
    <w:basedOn w:val="1"/>
    <w:link w:val="estilo1Char"/>
    <w:qFormat/>
    <w:rsid w:val="00E916A6"/>
    <w:pPr>
      <w:ind w:hanging="284"/>
    </w:pPr>
  </w:style>
  <w:style w:type="paragraph" w:customStyle="1" w:styleId="Estilo20">
    <w:name w:val="Estilo 2"/>
    <w:basedOn w:val="Estilo2"/>
    <w:link w:val="Estilo2Char0"/>
    <w:qFormat/>
    <w:rsid w:val="00E916A6"/>
    <w:pPr>
      <w:ind w:left="284" w:hanging="284"/>
    </w:pPr>
  </w:style>
  <w:style w:type="character" w:customStyle="1" w:styleId="estilo1Char">
    <w:name w:val="estilo 1 Char"/>
    <w:basedOn w:val="DefaultParagraphFont"/>
    <w:link w:val="estilo1"/>
    <w:rsid w:val="00E916A6"/>
    <w:rPr>
      <w:rFonts w:ascii="Times New Roman" w:eastAsiaTheme="minorEastAsia" w:hAnsi="Times New Roman"/>
      <w:b/>
      <w:bCs/>
      <w:sz w:val="24"/>
      <w:szCs w:val="28"/>
      <w:lang w:val="en" w:eastAsia="pt-BR"/>
    </w:rPr>
  </w:style>
  <w:style w:type="paragraph" w:customStyle="1" w:styleId="Estilo3">
    <w:name w:val="Estilo 3"/>
    <w:basedOn w:val="Normal"/>
    <w:link w:val="Estilo3Char"/>
    <w:qFormat/>
    <w:rsid w:val="00E916A6"/>
    <w:pPr>
      <w:ind w:left="284" w:hanging="284"/>
    </w:pPr>
    <w:rPr>
      <w:rFonts w:ascii="Times New Roman" w:eastAsia="Times New Roman" w:hAnsi="Times New Roman" w:cs="Times New Roman"/>
      <w:iCs/>
      <w:sz w:val="24"/>
      <w:szCs w:val="28"/>
      <w:lang w:eastAsia="pt-BR"/>
    </w:rPr>
  </w:style>
  <w:style w:type="character" w:customStyle="1" w:styleId="Estilo2Char0">
    <w:name w:val="Estilo 2 Char"/>
    <w:basedOn w:val="Estilo2Char"/>
    <w:link w:val="Estilo20"/>
    <w:rsid w:val="00E916A6"/>
    <w:rPr>
      <w:rFonts w:ascii="Times New Roman" w:eastAsiaTheme="minorEastAsia" w:hAnsi="Times New Roman"/>
      <w:b/>
      <w:bCs/>
      <w:sz w:val="24"/>
      <w:szCs w:val="28"/>
      <w:lang w:val="en" w:eastAsia="pt-BR"/>
    </w:rPr>
  </w:style>
  <w:style w:type="character" w:customStyle="1" w:styleId="Estilo3Char">
    <w:name w:val="Estilo 3 Char"/>
    <w:basedOn w:val="DefaultParagraphFont"/>
    <w:link w:val="Estilo3"/>
    <w:rsid w:val="00E916A6"/>
    <w:rPr>
      <w:rFonts w:ascii="Times New Roman" w:eastAsia="Times New Roman" w:hAnsi="Times New Roman" w:cs="Times New Roman"/>
      <w:iCs/>
      <w:sz w:val="24"/>
      <w:szCs w:val="28"/>
      <w:lang w:val="en" w:eastAsia="pt-BR"/>
    </w:rPr>
  </w:style>
  <w:style w:type="character" w:customStyle="1" w:styleId="fontstyle21">
    <w:name w:val="fontstyle21"/>
    <w:basedOn w:val="DefaultParagraphFont"/>
    <w:rsid w:val="00487BE5"/>
    <w:rPr>
      <w:rFonts w:ascii="ArialMT" w:hAnsi="ArialMT" w:hint="default"/>
      <w:b w:val="0"/>
      <w:bCs w:val="0"/>
      <w:i w:val="0"/>
      <w:iCs w:val="0"/>
      <w:color w:val="000000"/>
      <w:sz w:val="24"/>
      <w:szCs w:val="24"/>
    </w:rPr>
  </w:style>
  <w:style w:type="character" w:customStyle="1" w:styleId="fontstyle31">
    <w:name w:val="fontstyle31"/>
    <w:basedOn w:val="DefaultParagraphFont"/>
    <w:rsid w:val="00487BE5"/>
    <w:rPr>
      <w:rFonts w:ascii="Calibri" w:hAnsi="Calibri" w:cs="Calibri" w:hint="default"/>
      <w:b w:val="0"/>
      <w:bCs w:val="0"/>
      <w:i w:val="0"/>
      <w:iCs w:val="0"/>
      <w:color w:val="000000"/>
      <w:sz w:val="22"/>
      <w:szCs w:val="22"/>
    </w:rPr>
  </w:style>
  <w:style w:type="character" w:customStyle="1" w:styleId="1Char">
    <w:name w:val="1 Char"/>
    <w:basedOn w:val="DefaultParagraphFont"/>
    <w:link w:val="1"/>
    <w:locked/>
    <w:rsid w:val="00DA3E03"/>
    <w:rPr>
      <w:rFonts w:ascii="Times New Roman" w:eastAsiaTheme="minorEastAsia" w:hAnsi="Times New Roman"/>
      <w:b/>
      <w:bCs/>
      <w:sz w:val="24"/>
      <w:szCs w:val="28"/>
      <w:lang w:val="en" w:eastAsia="pt-BR"/>
    </w:rPr>
  </w:style>
  <w:style w:type="character" w:customStyle="1" w:styleId="MenoPendente2">
    <w:name w:val="Menção Pendente2"/>
    <w:basedOn w:val="DefaultParagraphFont"/>
    <w:uiPriority w:val="99"/>
    <w:semiHidden/>
    <w:unhideWhenUsed/>
    <w:rsid w:val="00E23C67"/>
    <w:rPr>
      <w:color w:val="605E5C"/>
      <w:shd w:val="clear" w:color="auto" w:fill="E1DFDD"/>
    </w:rPr>
  </w:style>
  <w:style w:type="character" w:customStyle="1" w:styleId="fontstyle11">
    <w:name w:val="fontstyle11"/>
    <w:basedOn w:val="DefaultParagraphFont"/>
    <w:rsid w:val="009D7178"/>
    <w:rPr>
      <w:rFonts w:ascii="Calibri" w:hAnsi="Calibri" w:cs="Calibri" w:hint="default"/>
      <w:b w:val="0"/>
      <w:bCs w:val="0"/>
      <w:i w:val="0"/>
      <w:iCs w:val="0"/>
      <w:color w:val="000000"/>
      <w:sz w:val="22"/>
      <w:szCs w:val="22"/>
    </w:rPr>
  </w:style>
  <w:style w:type="paragraph" w:styleId="Title">
    <w:name w:val="Title"/>
    <w:basedOn w:val="Normal"/>
    <w:next w:val="Normal"/>
    <w:link w:val="TitleChar"/>
    <w:uiPriority w:val="10"/>
    <w:qFormat/>
    <w:rsid w:val="00B11319"/>
    <w:pPr>
      <w:keepNext/>
      <w:keepLines/>
      <w:widowControl w:val="0"/>
      <w:spacing w:before="480" w:after="120"/>
      <w:ind w:firstLine="0"/>
    </w:pPr>
    <w:rPr>
      <w:rFonts w:ascii="Times New Roman" w:eastAsia="Times New Roman" w:hAnsi="Times New Roman" w:cs="Times New Roman"/>
      <w:b/>
      <w:sz w:val="72"/>
      <w:szCs w:val="72"/>
      <w:lang w:eastAsia="pt-BR"/>
    </w:rPr>
  </w:style>
  <w:style w:type="character" w:customStyle="1" w:styleId="TitleChar">
    <w:name w:val="Title Char"/>
    <w:basedOn w:val="DefaultParagraphFont"/>
    <w:link w:val="Title"/>
    <w:uiPriority w:val="10"/>
    <w:rsid w:val="00B11319"/>
    <w:rPr>
      <w:rFonts w:ascii="Times New Roman" w:eastAsia="Times New Roman" w:hAnsi="Times New Roman" w:cs="Times New Roman"/>
      <w:b/>
      <w:sz w:val="72"/>
      <w:szCs w:val="72"/>
      <w:lang w:val="en" w:eastAsia="pt-BR"/>
    </w:rPr>
  </w:style>
  <w:style w:type="paragraph" w:customStyle="1" w:styleId="PargrafoNormal">
    <w:name w:val="Parágrafo Normal"/>
    <w:basedOn w:val="Normal"/>
    <w:link w:val="PargrafoNormalChar"/>
    <w:qFormat/>
    <w:rsid w:val="00AF0E19"/>
    <w:rPr>
      <w:rFonts w:ascii="Arial" w:hAnsi="Arial" w:cs="Arial"/>
      <w:sz w:val="24"/>
    </w:rPr>
  </w:style>
  <w:style w:type="character" w:customStyle="1" w:styleId="PargrafoNormalChar">
    <w:name w:val="Parágrafo Normal Char"/>
    <w:basedOn w:val="DefaultParagraphFont"/>
    <w:link w:val="PargrafoNormal"/>
    <w:rsid w:val="00AF0E19"/>
    <w:rPr>
      <w:rFonts w:ascii="Arial" w:hAnsi="Arial" w:cs="Arial"/>
      <w:sz w:val="24"/>
    </w:rPr>
  </w:style>
  <w:style w:type="paragraph" w:customStyle="1" w:styleId="TextoSimples">
    <w:name w:val="Texto Simples"/>
    <w:basedOn w:val="PargrafoNormal"/>
    <w:link w:val="TextoSimplesChar"/>
    <w:qFormat/>
    <w:rsid w:val="00AF0E19"/>
    <w:pPr>
      <w:ind w:firstLine="0"/>
    </w:pPr>
  </w:style>
  <w:style w:type="paragraph" w:customStyle="1" w:styleId="Rodap1">
    <w:name w:val="Rodapé1"/>
    <w:basedOn w:val="TextoSimples"/>
    <w:qFormat/>
    <w:rsid w:val="00AF0E19"/>
    <w:pPr>
      <w:spacing w:line="240" w:lineRule="auto"/>
    </w:pPr>
    <w:rPr>
      <w:sz w:val="22"/>
    </w:rPr>
  </w:style>
  <w:style w:type="character" w:customStyle="1" w:styleId="TextoSimplesChar">
    <w:name w:val="Texto Simples Char"/>
    <w:basedOn w:val="PargrafoNormalChar"/>
    <w:link w:val="TextoSimples"/>
    <w:rsid w:val="00AF0E19"/>
    <w:rPr>
      <w:rFonts w:ascii="Arial" w:hAnsi="Arial" w:cs="Arial"/>
      <w:sz w:val="24"/>
    </w:rPr>
  </w:style>
  <w:style w:type="paragraph" w:customStyle="1" w:styleId="TabelaTitulo">
    <w:name w:val="Tabela Titulo"/>
    <w:basedOn w:val="Rodap1"/>
    <w:link w:val="TabelaTituloChar"/>
    <w:qFormat/>
    <w:rsid w:val="00AF0E19"/>
    <w:pPr>
      <w:ind w:left="1247" w:hanging="1247"/>
    </w:pPr>
  </w:style>
  <w:style w:type="character" w:customStyle="1" w:styleId="TabelaTituloChar">
    <w:name w:val="Tabela Titulo Char"/>
    <w:basedOn w:val="FooterChar"/>
    <w:link w:val="TabelaTitulo"/>
    <w:rsid w:val="00AF0E19"/>
    <w:rPr>
      <w:rFonts w:ascii="Arial" w:hAnsi="Arial" w:cs="Arial"/>
    </w:rPr>
  </w:style>
  <w:style w:type="table" w:customStyle="1" w:styleId="FreelancerTable">
    <w:name w:val="FreelancerTable"/>
    <w:basedOn w:val="TableNormal"/>
    <w:uiPriority w:val="99"/>
    <w:rsid w:val="00AF0E19"/>
    <w:pPr>
      <w:ind w:firstLine="0"/>
      <w:jc w:val="center"/>
    </w:pPr>
    <w:rPr>
      <w:rFonts w:ascii="Arial" w:hAnsi="Arial"/>
    </w:rPr>
    <w:tblPr>
      <w:jc w:val="center"/>
      <w:tblBorders>
        <w:bottom w:val="single" w:sz="8" w:space="0" w:color="auto"/>
      </w:tblBorders>
    </w:tblPr>
    <w:trPr>
      <w:jc w:val="center"/>
    </w:trPr>
    <w:tblStylePr w:type="firstRow">
      <w:pPr>
        <w:jc w:val="center"/>
      </w:pPr>
      <w:rPr>
        <w:b/>
      </w:rPr>
      <w:tblPr/>
      <w:tcPr>
        <w:tcBorders>
          <w:top w:val="single" w:sz="6" w:space="0" w:color="auto"/>
          <w:bottom w:val="single" w:sz="6" w:space="0" w:color="auto"/>
        </w:tcBorders>
      </w:tcPr>
    </w:tblStylePr>
    <w:tblStylePr w:type="lastRow">
      <w:tblPr/>
      <w:tcPr>
        <w:tcBorders>
          <w:bottom w:val="single" w:sz="4" w:space="0" w:color="auto"/>
        </w:tcBorders>
      </w:tcPr>
    </w:tblStylePr>
    <w:tblStylePr w:type="firstCol">
      <w:pPr>
        <w:jc w:val="left"/>
      </w:pPr>
    </w:tblStylePr>
  </w:style>
  <w:style w:type="paragraph" w:customStyle="1" w:styleId="TabelaHeader">
    <w:name w:val="Tabela Header"/>
    <w:link w:val="TabelaHeaderChar"/>
    <w:qFormat/>
    <w:rsid w:val="00AF0E19"/>
    <w:pPr>
      <w:spacing w:after="200" w:line="276" w:lineRule="auto"/>
      <w:ind w:left="113" w:right="113" w:firstLine="0"/>
      <w:jc w:val="center"/>
    </w:pPr>
    <w:rPr>
      <w:rFonts w:ascii="Arial" w:hAnsi="Arial" w:cs="Arial"/>
      <w:b/>
      <w:sz w:val="21"/>
    </w:rPr>
  </w:style>
  <w:style w:type="character" w:customStyle="1" w:styleId="TabelaHeaderChar">
    <w:name w:val="Tabela Header Char"/>
    <w:basedOn w:val="PargrafoNormalChar"/>
    <w:link w:val="TabelaHeader"/>
    <w:rsid w:val="00AF0E19"/>
    <w:rPr>
      <w:rFonts w:ascii="Arial" w:hAnsi="Arial" w:cs="Arial"/>
      <w:b/>
      <w:sz w:val="21"/>
    </w:rPr>
  </w:style>
  <w:style w:type="character" w:customStyle="1" w:styleId="Heading7Char">
    <w:name w:val="Heading 7 Char"/>
    <w:basedOn w:val="DefaultParagraphFont"/>
    <w:link w:val="Heading7"/>
    <w:uiPriority w:val="9"/>
    <w:semiHidden/>
    <w:rsid w:val="009C1F4C"/>
    <w:rPr>
      <w:rFonts w:asciiTheme="majorHAnsi" w:eastAsiaTheme="majorEastAsia" w:hAnsiTheme="majorHAnsi" w:cstheme="majorBidi"/>
      <w:i/>
      <w:iCs/>
      <w:color w:val="243F60" w:themeColor="accent1" w:themeShade="7F"/>
    </w:rPr>
  </w:style>
  <w:style w:type="character" w:styleId="UnresolvedMention">
    <w:name w:val="Unresolved Mention"/>
    <w:basedOn w:val="DefaultParagraphFont"/>
    <w:uiPriority w:val="99"/>
    <w:semiHidden/>
    <w:unhideWhenUsed/>
    <w:rsid w:val="00516D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640118">
      <w:bodyDiv w:val="1"/>
      <w:marLeft w:val="0"/>
      <w:marRight w:val="0"/>
      <w:marTop w:val="0"/>
      <w:marBottom w:val="0"/>
      <w:divBdr>
        <w:top w:val="none" w:sz="0" w:space="0" w:color="auto"/>
        <w:left w:val="none" w:sz="0" w:space="0" w:color="auto"/>
        <w:bottom w:val="none" w:sz="0" w:space="0" w:color="auto"/>
        <w:right w:val="none" w:sz="0" w:space="0" w:color="auto"/>
      </w:divBdr>
    </w:div>
    <w:div w:id="479421800">
      <w:bodyDiv w:val="1"/>
      <w:marLeft w:val="0"/>
      <w:marRight w:val="0"/>
      <w:marTop w:val="0"/>
      <w:marBottom w:val="0"/>
      <w:divBdr>
        <w:top w:val="none" w:sz="0" w:space="0" w:color="auto"/>
        <w:left w:val="none" w:sz="0" w:space="0" w:color="auto"/>
        <w:bottom w:val="none" w:sz="0" w:space="0" w:color="auto"/>
        <w:right w:val="none" w:sz="0" w:space="0" w:color="auto"/>
      </w:divBdr>
      <w:divsChild>
        <w:div w:id="677856196">
          <w:marLeft w:val="0"/>
          <w:marRight w:val="0"/>
          <w:marTop w:val="0"/>
          <w:marBottom w:val="0"/>
          <w:divBdr>
            <w:top w:val="none" w:sz="0" w:space="0" w:color="auto"/>
            <w:left w:val="none" w:sz="0" w:space="0" w:color="auto"/>
            <w:bottom w:val="none" w:sz="0" w:space="0" w:color="auto"/>
            <w:right w:val="none" w:sz="0" w:space="0" w:color="auto"/>
          </w:divBdr>
        </w:div>
        <w:div w:id="767654883">
          <w:marLeft w:val="0"/>
          <w:marRight w:val="0"/>
          <w:marTop w:val="0"/>
          <w:marBottom w:val="0"/>
          <w:divBdr>
            <w:top w:val="none" w:sz="0" w:space="0" w:color="auto"/>
            <w:left w:val="none" w:sz="0" w:space="0" w:color="auto"/>
            <w:bottom w:val="none" w:sz="0" w:space="0" w:color="auto"/>
            <w:right w:val="none" w:sz="0" w:space="0" w:color="auto"/>
          </w:divBdr>
          <w:divsChild>
            <w:div w:id="22828571">
              <w:marLeft w:val="0"/>
              <w:marRight w:val="0"/>
              <w:marTop w:val="0"/>
              <w:marBottom w:val="0"/>
              <w:divBdr>
                <w:top w:val="none" w:sz="0" w:space="0" w:color="auto"/>
                <w:left w:val="none" w:sz="0" w:space="0" w:color="auto"/>
                <w:bottom w:val="none" w:sz="0" w:space="0" w:color="auto"/>
                <w:right w:val="none" w:sz="0" w:space="0" w:color="auto"/>
              </w:divBdr>
            </w:div>
            <w:div w:id="268585310">
              <w:marLeft w:val="0"/>
              <w:marRight w:val="0"/>
              <w:marTop w:val="0"/>
              <w:marBottom w:val="0"/>
              <w:divBdr>
                <w:top w:val="none" w:sz="0" w:space="0" w:color="auto"/>
                <w:left w:val="none" w:sz="0" w:space="0" w:color="auto"/>
                <w:bottom w:val="none" w:sz="0" w:space="0" w:color="auto"/>
                <w:right w:val="none" w:sz="0" w:space="0" w:color="auto"/>
              </w:divBdr>
            </w:div>
            <w:div w:id="772555203">
              <w:marLeft w:val="0"/>
              <w:marRight w:val="0"/>
              <w:marTop w:val="0"/>
              <w:marBottom w:val="0"/>
              <w:divBdr>
                <w:top w:val="none" w:sz="0" w:space="0" w:color="auto"/>
                <w:left w:val="none" w:sz="0" w:space="0" w:color="auto"/>
                <w:bottom w:val="none" w:sz="0" w:space="0" w:color="auto"/>
                <w:right w:val="none" w:sz="0" w:space="0" w:color="auto"/>
              </w:divBdr>
            </w:div>
            <w:div w:id="1495491748">
              <w:marLeft w:val="0"/>
              <w:marRight w:val="0"/>
              <w:marTop w:val="0"/>
              <w:marBottom w:val="0"/>
              <w:divBdr>
                <w:top w:val="none" w:sz="0" w:space="0" w:color="auto"/>
                <w:left w:val="none" w:sz="0" w:space="0" w:color="auto"/>
                <w:bottom w:val="none" w:sz="0" w:space="0" w:color="auto"/>
                <w:right w:val="none" w:sz="0" w:space="0" w:color="auto"/>
              </w:divBdr>
            </w:div>
            <w:div w:id="1749423368">
              <w:marLeft w:val="0"/>
              <w:marRight w:val="0"/>
              <w:marTop w:val="0"/>
              <w:marBottom w:val="0"/>
              <w:divBdr>
                <w:top w:val="none" w:sz="0" w:space="0" w:color="auto"/>
                <w:left w:val="none" w:sz="0" w:space="0" w:color="auto"/>
                <w:bottom w:val="none" w:sz="0" w:space="0" w:color="auto"/>
                <w:right w:val="none" w:sz="0" w:space="0" w:color="auto"/>
              </w:divBdr>
            </w:div>
            <w:div w:id="1911844860">
              <w:marLeft w:val="0"/>
              <w:marRight w:val="0"/>
              <w:marTop w:val="0"/>
              <w:marBottom w:val="0"/>
              <w:divBdr>
                <w:top w:val="none" w:sz="0" w:space="0" w:color="auto"/>
                <w:left w:val="none" w:sz="0" w:space="0" w:color="auto"/>
                <w:bottom w:val="none" w:sz="0" w:space="0" w:color="auto"/>
                <w:right w:val="none" w:sz="0" w:space="0" w:color="auto"/>
              </w:divBdr>
            </w:div>
            <w:div w:id="2138183031">
              <w:marLeft w:val="0"/>
              <w:marRight w:val="0"/>
              <w:marTop w:val="0"/>
              <w:marBottom w:val="0"/>
              <w:divBdr>
                <w:top w:val="none" w:sz="0" w:space="0" w:color="auto"/>
                <w:left w:val="none" w:sz="0" w:space="0" w:color="auto"/>
                <w:bottom w:val="none" w:sz="0" w:space="0" w:color="auto"/>
                <w:right w:val="none" w:sz="0" w:space="0" w:color="auto"/>
              </w:divBdr>
            </w:div>
          </w:divsChild>
        </w:div>
        <w:div w:id="1235890678">
          <w:marLeft w:val="0"/>
          <w:marRight w:val="0"/>
          <w:marTop w:val="0"/>
          <w:marBottom w:val="0"/>
          <w:divBdr>
            <w:top w:val="none" w:sz="0" w:space="0" w:color="auto"/>
            <w:left w:val="none" w:sz="0" w:space="0" w:color="auto"/>
            <w:bottom w:val="none" w:sz="0" w:space="0" w:color="auto"/>
            <w:right w:val="none" w:sz="0" w:space="0" w:color="auto"/>
          </w:divBdr>
        </w:div>
        <w:div w:id="1810780327">
          <w:marLeft w:val="0"/>
          <w:marRight w:val="0"/>
          <w:marTop w:val="0"/>
          <w:marBottom w:val="0"/>
          <w:divBdr>
            <w:top w:val="none" w:sz="0" w:space="0" w:color="auto"/>
            <w:left w:val="none" w:sz="0" w:space="0" w:color="auto"/>
            <w:bottom w:val="none" w:sz="0" w:space="0" w:color="auto"/>
            <w:right w:val="none" w:sz="0" w:space="0" w:color="auto"/>
          </w:divBdr>
        </w:div>
        <w:div w:id="2021856657">
          <w:marLeft w:val="0"/>
          <w:marRight w:val="0"/>
          <w:marTop w:val="0"/>
          <w:marBottom w:val="0"/>
          <w:divBdr>
            <w:top w:val="none" w:sz="0" w:space="0" w:color="auto"/>
            <w:left w:val="none" w:sz="0" w:space="0" w:color="auto"/>
            <w:bottom w:val="none" w:sz="0" w:space="0" w:color="auto"/>
            <w:right w:val="none" w:sz="0" w:space="0" w:color="auto"/>
          </w:divBdr>
        </w:div>
      </w:divsChild>
    </w:div>
    <w:div w:id="636616907">
      <w:bodyDiv w:val="1"/>
      <w:marLeft w:val="0"/>
      <w:marRight w:val="0"/>
      <w:marTop w:val="0"/>
      <w:marBottom w:val="0"/>
      <w:divBdr>
        <w:top w:val="none" w:sz="0" w:space="0" w:color="auto"/>
        <w:left w:val="none" w:sz="0" w:space="0" w:color="auto"/>
        <w:bottom w:val="none" w:sz="0" w:space="0" w:color="auto"/>
        <w:right w:val="none" w:sz="0" w:space="0" w:color="auto"/>
      </w:divBdr>
    </w:div>
    <w:div w:id="733889687">
      <w:bodyDiv w:val="1"/>
      <w:marLeft w:val="0"/>
      <w:marRight w:val="0"/>
      <w:marTop w:val="0"/>
      <w:marBottom w:val="0"/>
      <w:divBdr>
        <w:top w:val="none" w:sz="0" w:space="0" w:color="auto"/>
        <w:left w:val="none" w:sz="0" w:space="0" w:color="auto"/>
        <w:bottom w:val="none" w:sz="0" w:space="0" w:color="auto"/>
        <w:right w:val="none" w:sz="0" w:space="0" w:color="auto"/>
      </w:divBdr>
    </w:div>
    <w:div w:id="782380790">
      <w:bodyDiv w:val="1"/>
      <w:marLeft w:val="0"/>
      <w:marRight w:val="0"/>
      <w:marTop w:val="0"/>
      <w:marBottom w:val="0"/>
      <w:divBdr>
        <w:top w:val="none" w:sz="0" w:space="0" w:color="auto"/>
        <w:left w:val="none" w:sz="0" w:space="0" w:color="auto"/>
        <w:bottom w:val="none" w:sz="0" w:space="0" w:color="auto"/>
        <w:right w:val="none" w:sz="0" w:space="0" w:color="auto"/>
      </w:divBdr>
    </w:div>
    <w:div w:id="829562311">
      <w:bodyDiv w:val="1"/>
      <w:marLeft w:val="0"/>
      <w:marRight w:val="0"/>
      <w:marTop w:val="0"/>
      <w:marBottom w:val="0"/>
      <w:divBdr>
        <w:top w:val="none" w:sz="0" w:space="0" w:color="auto"/>
        <w:left w:val="none" w:sz="0" w:space="0" w:color="auto"/>
        <w:bottom w:val="none" w:sz="0" w:space="0" w:color="auto"/>
        <w:right w:val="none" w:sz="0" w:space="0" w:color="auto"/>
      </w:divBdr>
    </w:div>
    <w:div w:id="908156851">
      <w:bodyDiv w:val="1"/>
      <w:marLeft w:val="0"/>
      <w:marRight w:val="0"/>
      <w:marTop w:val="0"/>
      <w:marBottom w:val="0"/>
      <w:divBdr>
        <w:top w:val="none" w:sz="0" w:space="0" w:color="auto"/>
        <w:left w:val="none" w:sz="0" w:space="0" w:color="auto"/>
        <w:bottom w:val="none" w:sz="0" w:space="0" w:color="auto"/>
        <w:right w:val="none" w:sz="0" w:space="0" w:color="auto"/>
      </w:divBdr>
    </w:div>
    <w:div w:id="1065683816">
      <w:bodyDiv w:val="1"/>
      <w:marLeft w:val="0"/>
      <w:marRight w:val="0"/>
      <w:marTop w:val="0"/>
      <w:marBottom w:val="0"/>
      <w:divBdr>
        <w:top w:val="none" w:sz="0" w:space="0" w:color="auto"/>
        <w:left w:val="none" w:sz="0" w:space="0" w:color="auto"/>
        <w:bottom w:val="none" w:sz="0" w:space="0" w:color="auto"/>
        <w:right w:val="none" w:sz="0" w:space="0" w:color="auto"/>
      </w:divBdr>
    </w:div>
    <w:div w:id="1218936130">
      <w:bodyDiv w:val="1"/>
      <w:marLeft w:val="0"/>
      <w:marRight w:val="0"/>
      <w:marTop w:val="0"/>
      <w:marBottom w:val="0"/>
      <w:divBdr>
        <w:top w:val="none" w:sz="0" w:space="0" w:color="auto"/>
        <w:left w:val="none" w:sz="0" w:space="0" w:color="auto"/>
        <w:bottom w:val="none" w:sz="0" w:space="0" w:color="auto"/>
        <w:right w:val="none" w:sz="0" w:space="0" w:color="auto"/>
      </w:divBdr>
    </w:div>
    <w:div w:id="1269511657">
      <w:bodyDiv w:val="1"/>
      <w:marLeft w:val="0"/>
      <w:marRight w:val="0"/>
      <w:marTop w:val="0"/>
      <w:marBottom w:val="0"/>
      <w:divBdr>
        <w:top w:val="none" w:sz="0" w:space="0" w:color="auto"/>
        <w:left w:val="none" w:sz="0" w:space="0" w:color="auto"/>
        <w:bottom w:val="none" w:sz="0" w:space="0" w:color="auto"/>
        <w:right w:val="none" w:sz="0" w:space="0" w:color="auto"/>
      </w:divBdr>
    </w:div>
    <w:div w:id="1299527773">
      <w:bodyDiv w:val="1"/>
      <w:marLeft w:val="0"/>
      <w:marRight w:val="0"/>
      <w:marTop w:val="0"/>
      <w:marBottom w:val="0"/>
      <w:divBdr>
        <w:top w:val="none" w:sz="0" w:space="0" w:color="auto"/>
        <w:left w:val="none" w:sz="0" w:space="0" w:color="auto"/>
        <w:bottom w:val="none" w:sz="0" w:space="0" w:color="auto"/>
        <w:right w:val="none" w:sz="0" w:space="0" w:color="auto"/>
      </w:divBdr>
    </w:div>
    <w:div w:id="1463110212">
      <w:bodyDiv w:val="1"/>
      <w:marLeft w:val="0"/>
      <w:marRight w:val="0"/>
      <w:marTop w:val="0"/>
      <w:marBottom w:val="0"/>
      <w:divBdr>
        <w:top w:val="none" w:sz="0" w:space="0" w:color="auto"/>
        <w:left w:val="none" w:sz="0" w:space="0" w:color="auto"/>
        <w:bottom w:val="none" w:sz="0" w:space="0" w:color="auto"/>
        <w:right w:val="none" w:sz="0" w:space="0" w:color="auto"/>
      </w:divBdr>
    </w:div>
    <w:div w:id="1541241036">
      <w:bodyDiv w:val="1"/>
      <w:marLeft w:val="0"/>
      <w:marRight w:val="0"/>
      <w:marTop w:val="0"/>
      <w:marBottom w:val="0"/>
      <w:divBdr>
        <w:top w:val="none" w:sz="0" w:space="0" w:color="auto"/>
        <w:left w:val="none" w:sz="0" w:space="0" w:color="auto"/>
        <w:bottom w:val="none" w:sz="0" w:space="0" w:color="auto"/>
        <w:right w:val="none" w:sz="0" w:space="0" w:color="auto"/>
      </w:divBdr>
    </w:div>
    <w:div w:id="1559323064">
      <w:bodyDiv w:val="1"/>
      <w:marLeft w:val="0"/>
      <w:marRight w:val="0"/>
      <w:marTop w:val="0"/>
      <w:marBottom w:val="0"/>
      <w:divBdr>
        <w:top w:val="none" w:sz="0" w:space="0" w:color="auto"/>
        <w:left w:val="none" w:sz="0" w:space="0" w:color="auto"/>
        <w:bottom w:val="none" w:sz="0" w:space="0" w:color="auto"/>
        <w:right w:val="none" w:sz="0" w:space="0" w:color="auto"/>
      </w:divBdr>
    </w:div>
    <w:div w:id="1596672682">
      <w:bodyDiv w:val="1"/>
      <w:marLeft w:val="0"/>
      <w:marRight w:val="0"/>
      <w:marTop w:val="0"/>
      <w:marBottom w:val="0"/>
      <w:divBdr>
        <w:top w:val="none" w:sz="0" w:space="0" w:color="auto"/>
        <w:left w:val="none" w:sz="0" w:space="0" w:color="auto"/>
        <w:bottom w:val="none" w:sz="0" w:space="0" w:color="auto"/>
        <w:right w:val="none" w:sz="0" w:space="0" w:color="auto"/>
      </w:divBdr>
    </w:div>
    <w:div w:id="1791506010">
      <w:bodyDiv w:val="1"/>
      <w:marLeft w:val="0"/>
      <w:marRight w:val="0"/>
      <w:marTop w:val="0"/>
      <w:marBottom w:val="0"/>
      <w:divBdr>
        <w:top w:val="none" w:sz="0" w:space="0" w:color="auto"/>
        <w:left w:val="none" w:sz="0" w:space="0" w:color="auto"/>
        <w:bottom w:val="none" w:sz="0" w:space="0" w:color="auto"/>
        <w:right w:val="none" w:sz="0" w:space="0" w:color="auto"/>
      </w:divBdr>
    </w:div>
    <w:div w:id="1814592823">
      <w:bodyDiv w:val="1"/>
      <w:marLeft w:val="0"/>
      <w:marRight w:val="0"/>
      <w:marTop w:val="0"/>
      <w:marBottom w:val="0"/>
      <w:divBdr>
        <w:top w:val="none" w:sz="0" w:space="0" w:color="auto"/>
        <w:left w:val="none" w:sz="0" w:space="0" w:color="auto"/>
        <w:bottom w:val="none" w:sz="0" w:space="0" w:color="auto"/>
        <w:right w:val="none" w:sz="0" w:space="0" w:color="auto"/>
      </w:divBdr>
      <w:divsChild>
        <w:div w:id="1340232326">
          <w:marLeft w:val="0"/>
          <w:marRight w:val="0"/>
          <w:marTop w:val="0"/>
          <w:marBottom w:val="0"/>
          <w:divBdr>
            <w:top w:val="none" w:sz="0" w:space="0" w:color="auto"/>
            <w:left w:val="none" w:sz="0" w:space="0" w:color="auto"/>
            <w:bottom w:val="none" w:sz="0" w:space="0" w:color="auto"/>
            <w:right w:val="none" w:sz="0" w:space="0" w:color="auto"/>
          </w:divBdr>
          <w:divsChild>
            <w:div w:id="663776139">
              <w:marLeft w:val="0"/>
              <w:marRight w:val="0"/>
              <w:marTop w:val="0"/>
              <w:marBottom w:val="0"/>
              <w:divBdr>
                <w:top w:val="none" w:sz="0" w:space="0" w:color="auto"/>
                <w:left w:val="none" w:sz="0" w:space="0" w:color="auto"/>
                <w:bottom w:val="none" w:sz="0" w:space="0" w:color="auto"/>
                <w:right w:val="none" w:sz="0" w:space="0" w:color="auto"/>
              </w:divBdr>
            </w:div>
          </w:divsChild>
        </w:div>
        <w:div w:id="2104328140">
          <w:marLeft w:val="0"/>
          <w:marRight w:val="0"/>
          <w:marTop w:val="0"/>
          <w:marBottom w:val="0"/>
          <w:divBdr>
            <w:top w:val="none" w:sz="0" w:space="0" w:color="auto"/>
            <w:left w:val="none" w:sz="0" w:space="0" w:color="auto"/>
            <w:bottom w:val="none" w:sz="0" w:space="0" w:color="auto"/>
            <w:right w:val="none" w:sz="0" w:space="0" w:color="auto"/>
          </w:divBdr>
        </w:div>
      </w:divsChild>
    </w:div>
    <w:div w:id="1864899677">
      <w:bodyDiv w:val="1"/>
      <w:marLeft w:val="0"/>
      <w:marRight w:val="0"/>
      <w:marTop w:val="0"/>
      <w:marBottom w:val="0"/>
      <w:divBdr>
        <w:top w:val="none" w:sz="0" w:space="0" w:color="auto"/>
        <w:left w:val="none" w:sz="0" w:space="0" w:color="auto"/>
        <w:bottom w:val="none" w:sz="0" w:space="0" w:color="auto"/>
        <w:right w:val="none" w:sz="0" w:space="0" w:color="auto"/>
      </w:divBdr>
    </w:div>
    <w:div w:id="2067415855">
      <w:bodyDiv w:val="1"/>
      <w:marLeft w:val="0"/>
      <w:marRight w:val="0"/>
      <w:marTop w:val="0"/>
      <w:marBottom w:val="0"/>
      <w:divBdr>
        <w:top w:val="none" w:sz="0" w:space="0" w:color="auto"/>
        <w:left w:val="none" w:sz="0" w:space="0" w:color="auto"/>
        <w:bottom w:val="none" w:sz="0" w:space="0" w:color="auto"/>
        <w:right w:val="none" w:sz="0" w:space="0" w:color="auto"/>
      </w:divBdr>
    </w:div>
    <w:div w:id="20853711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688815-40E1-4013-A2AA-CEF0648B6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6651</Words>
  <Characters>37917</Characters>
  <Application>Microsoft Office Word</Application>
  <DocSecurity>0</DocSecurity>
  <Lines>315</Lines>
  <Paragraphs>88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12250068</dc:creator>
  <cp:keywords/>
  <dc:description/>
  <cp:lastModifiedBy>SDI 1084</cp:lastModifiedBy>
  <cp:revision>4</cp:revision>
  <cp:lastPrinted>2018-06-29T04:51:00Z</cp:lastPrinted>
  <dcterms:created xsi:type="dcterms:W3CDTF">2025-11-16T02:26:00Z</dcterms:created>
  <dcterms:modified xsi:type="dcterms:W3CDTF">2025-11-17T10:48:00Z</dcterms:modified>
</cp:coreProperties>
</file>