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EF3C6" w14:textId="77777777" w:rsidR="0098455A" w:rsidRDefault="0098455A" w:rsidP="00D11272">
      <w:pPr>
        <w:pStyle w:val="Author"/>
        <w:spacing w:line="240" w:lineRule="auto"/>
        <w:jc w:val="left"/>
        <w:rPr>
          <w:rFonts w:ascii="Arial" w:hAnsi="Arial" w:cs="Arial"/>
          <w:bCs/>
          <w:iCs/>
          <w:kern w:val="28"/>
          <w:sz w:val="36"/>
        </w:rPr>
      </w:pPr>
      <w:r w:rsidRPr="0098455A">
        <w:rPr>
          <w:rFonts w:ascii="Arial" w:hAnsi="Arial" w:cs="Arial"/>
          <w:bCs/>
          <w:iCs/>
          <w:kern w:val="28"/>
          <w:sz w:val="36"/>
        </w:rPr>
        <w:t>Original Research Article</w:t>
      </w:r>
    </w:p>
    <w:p w14:paraId="176C1E9C" w14:textId="77777777" w:rsidR="0098455A" w:rsidRDefault="0098455A" w:rsidP="00D11272">
      <w:pPr>
        <w:pStyle w:val="Author"/>
        <w:spacing w:line="240" w:lineRule="auto"/>
        <w:jc w:val="left"/>
        <w:rPr>
          <w:rFonts w:ascii="Arial" w:hAnsi="Arial" w:cs="Arial"/>
          <w:bCs/>
          <w:iCs/>
          <w:kern w:val="28"/>
          <w:sz w:val="36"/>
        </w:rPr>
      </w:pPr>
    </w:p>
    <w:p w14:paraId="30C59CA7" w14:textId="663B9911" w:rsidR="00A258C3" w:rsidRPr="00790ADA" w:rsidRDefault="0096578E" w:rsidP="00D11272">
      <w:pPr>
        <w:pStyle w:val="Author"/>
        <w:spacing w:line="240" w:lineRule="auto"/>
        <w:jc w:val="left"/>
        <w:rPr>
          <w:rFonts w:ascii="Arial" w:hAnsi="Arial" w:cs="Arial"/>
          <w:sz w:val="36"/>
        </w:rPr>
      </w:pPr>
      <w:r w:rsidRPr="0096578E">
        <w:rPr>
          <w:rFonts w:ascii="Arial" w:hAnsi="Arial" w:cs="Arial"/>
          <w:bCs/>
          <w:iCs/>
          <w:kern w:val="28"/>
          <w:sz w:val="36"/>
        </w:rPr>
        <w:t xml:space="preserve">Prevalence and Associated Risk Factors of </w:t>
      </w:r>
      <w:r w:rsidRPr="003F66E9">
        <w:rPr>
          <w:rFonts w:ascii="Arial" w:hAnsi="Arial" w:cs="Arial"/>
          <w:bCs/>
          <w:i/>
          <w:iCs/>
          <w:kern w:val="28"/>
          <w:sz w:val="36"/>
        </w:rPr>
        <w:t>Chlamydia trachomatis</w:t>
      </w:r>
      <w:r w:rsidRPr="0096578E">
        <w:rPr>
          <w:rFonts w:ascii="Arial" w:hAnsi="Arial" w:cs="Arial"/>
          <w:bCs/>
          <w:iCs/>
          <w:kern w:val="28"/>
          <w:sz w:val="36"/>
        </w:rPr>
        <w:t xml:space="preserve"> </w:t>
      </w:r>
      <w:r w:rsidR="00D640C0" w:rsidRPr="0096578E">
        <w:rPr>
          <w:rFonts w:ascii="Arial" w:hAnsi="Arial" w:cs="Arial"/>
          <w:bCs/>
          <w:iCs/>
          <w:kern w:val="28"/>
          <w:sz w:val="36"/>
        </w:rPr>
        <w:t>Infection:</w:t>
      </w:r>
      <w:r w:rsidRPr="0096578E">
        <w:rPr>
          <w:rFonts w:ascii="Arial" w:hAnsi="Arial" w:cs="Arial"/>
          <w:bCs/>
          <w:iCs/>
          <w:kern w:val="28"/>
          <w:sz w:val="36"/>
        </w:rPr>
        <w:t xml:space="preserve"> A Cross-Sectional Study among Biology Students at the University of Lomé</w:t>
      </w:r>
    </w:p>
    <w:p w14:paraId="1314D9CC" w14:textId="77777777" w:rsidR="000045DC" w:rsidRPr="002132DB" w:rsidRDefault="000045DC" w:rsidP="00D11272">
      <w:pPr>
        <w:spacing w:before="100" w:beforeAutospacing="1" w:after="100" w:afterAutospacing="1"/>
        <w:rPr>
          <w:rFonts w:ascii="Tahoma" w:hAnsi="Tahoma" w:cs="Tahoma"/>
          <w:sz w:val="24"/>
          <w:szCs w:val="24"/>
          <w:lang w:eastAsia="fr-FR"/>
        </w:rPr>
      </w:pPr>
    </w:p>
    <w:p w14:paraId="0E9B7EF6" w14:textId="77777777" w:rsidR="00B01FCD" w:rsidRPr="00FB3A86" w:rsidRDefault="0096578E" w:rsidP="00D11272">
      <w:pPr>
        <w:pStyle w:val="Copyright"/>
        <w:spacing w:after="0" w:line="240" w:lineRule="auto"/>
        <w:rPr>
          <w:rFonts w:ascii="Arial" w:hAnsi="Arial" w:cs="Arial"/>
        </w:rPr>
        <w:sectPr w:rsidR="00B01FCD" w:rsidRPr="00FB3A86" w:rsidSect="00462F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1732DBE" wp14:editId="1AAEC20B">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D6DF3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E625903" w14:textId="77777777" w:rsidR="00790ADA" w:rsidRPr="00FB3A86" w:rsidRDefault="00B01FCD" w:rsidP="00D11272">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2F9F31" w14:textId="77777777" w:rsidTr="001E44FE">
        <w:tc>
          <w:tcPr>
            <w:tcW w:w="9576" w:type="dxa"/>
            <w:shd w:val="clear" w:color="auto" w:fill="F2F2F2"/>
          </w:tcPr>
          <w:p w14:paraId="1DFDCA64" w14:textId="77777777" w:rsidR="00256EBB" w:rsidRPr="00256EBB" w:rsidRDefault="00256EBB" w:rsidP="00D11272">
            <w:pPr>
              <w:pStyle w:val="Body"/>
              <w:spacing w:after="0"/>
              <w:jc w:val="left"/>
              <w:rPr>
                <w:rFonts w:ascii="Arial" w:eastAsia="Calibri" w:hAnsi="Arial" w:cs="Arial"/>
                <w:szCs w:val="22"/>
                <w:lang w:val="fr-FR"/>
              </w:rPr>
            </w:pPr>
            <w:r w:rsidRPr="00256EBB">
              <w:rPr>
                <w:rFonts w:ascii="Arial" w:eastAsia="Calibri" w:hAnsi="Arial" w:cs="Arial"/>
                <w:b/>
                <w:bCs/>
                <w:szCs w:val="22"/>
                <w:lang w:val="fr-FR"/>
              </w:rPr>
              <w:t>Background :</w:t>
            </w:r>
            <w:r w:rsidRPr="00256EBB">
              <w:rPr>
                <w:rFonts w:ascii="Arial" w:eastAsia="Calibri" w:hAnsi="Arial" w:cs="Arial"/>
                <w:szCs w:val="22"/>
                <w:lang w:val="fr-FR"/>
              </w:rPr>
              <w:t xml:space="preserve"> </w:t>
            </w:r>
            <w:r w:rsidRPr="00256EBB">
              <w:rPr>
                <w:rFonts w:ascii="Arial" w:eastAsia="Calibri" w:hAnsi="Arial" w:cs="Arial"/>
                <w:i/>
                <w:iCs/>
                <w:szCs w:val="22"/>
                <w:lang w:val="fr-FR"/>
              </w:rPr>
              <w:t>Chlamydia trachomatis</w:t>
            </w:r>
            <w:r w:rsidRPr="00256EBB">
              <w:rPr>
                <w:rFonts w:ascii="Arial" w:eastAsia="Calibri" w:hAnsi="Arial" w:cs="Arial"/>
                <w:szCs w:val="22"/>
                <w:lang w:val="fr-FR"/>
              </w:rPr>
              <w:t xml:space="preserve"> (CT) is the most common bacterial sexually transmitted infection (STI) globally, particularly among young adults. In Togo, epidemiological data on CT prevalence in university settings are scarce. This study aimed to determine the prevalence of CT infection and identify associated risk factors among students at the University of Lomé.</w:t>
            </w:r>
          </w:p>
          <w:p w14:paraId="2C4A3360" w14:textId="77777777" w:rsidR="00256EBB" w:rsidRPr="00256EBB" w:rsidRDefault="00256EBB" w:rsidP="00D11272">
            <w:pPr>
              <w:pStyle w:val="Body"/>
              <w:spacing w:after="0"/>
              <w:jc w:val="left"/>
              <w:rPr>
                <w:rFonts w:ascii="Arial" w:eastAsia="Calibri" w:hAnsi="Arial" w:cs="Arial"/>
                <w:szCs w:val="22"/>
                <w:lang w:val="fr-FR"/>
              </w:rPr>
            </w:pPr>
            <w:r w:rsidRPr="00256EBB">
              <w:rPr>
                <w:rFonts w:ascii="Arial" w:eastAsia="Calibri" w:hAnsi="Arial" w:cs="Arial"/>
                <w:b/>
                <w:bCs/>
                <w:szCs w:val="22"/>
                <w:lang w:val="fr-FR"/>
              </w:rPr>
              <w:t>Methods :</w:t>
            </w:r>
            <w:r w:rsidRPr="00256EBB">
              <w:rPr>
                <w:rFonts w:ascii="Arial" w:eastAsia="Calibri" w:hAnsi="Arial" w:cs="Arial"/>
                <w:szCs w:val="22"/>
                <w:lang w:val="fr-FR"/>
              </w:rPr>
              <w:t xml:space="preserve"> A cross-sectional study was conducted among 168 biology students. </w:t>
            </w:r>
            <w:proofErr w:type="gramStart"/>
            <w:r w:rsidRPr="00256EBB">
              <w:rPr>
                <w:rFonts w:ascii="Arial" w:eastAsia="Calibri" w:hAnsi="Arial" w:cs="Arial"/>
                <w:szCs w:val="22"/>
                <w:lang w:val="fr-FR"/>
              </w:rPr>
              <w:t>Data on</w:t>
            </w:r>
            <w:proofErr w:type="gramEnd"/>
            <w:r w:rsidRPr="00256EBB">
              <w:rPr>
                <w:rFonts w:ascii="Arial" w:eastAsia="Calibri" w:hAnsi="Arial" w:cs="Arial"/>
                <w:szCs w:val="22"/>
                <w:lang w:val="fr-FR"/>
              </w:rPr>
              <w:t xml:space="preserve"> sociodemographic characteristics and sexual behaviors were collected via an anonymous self-administered questionnaire. CT antigen was detected from urine and cervicovaginal swab samples using a rapid diagnostic test.</w:t>
            </w:r>
          </w:p>
          <w:p w14:paraId="35A1A392" w14:textId="77777777" w:rsidR="00256EBB" w:rsidRPr="00256EBB" w:rsidRDefault="00256EBB" w:rsidP="00D11272">
            <w:pPr>
              <w:pStyle w:val="Body"/>
              <w:spacing w:after="0"/>
              <w:jc w:val="left"/>
              <w:rPr>
                <w:rFonts w:ascii="Arial" w:eastAsia="Calibri" w:hAnsi="Arial" w:cs="Arial"/>
                <w:szCs w:val="22"/>
                <w:lang w:val="fr-FR"/>
              </w:rPr>
            </w:pPr>
            <w:proofErr w:type="gramStart"/>
            <w:r w:rsidRPr="00256EBB">
              <w:rPr>
                <w:rFonts w:ascii="Arial" w:eastAsia="Calibri" w:hAnsi="Arial" w:cs="Arial"/>
                <w:b/>
                <w:bCs/>
                <w:szCs w:val="22"/>
                <w:lang w:val="fr-FR"/>
              </w:rPr>
              <w:t>Results:</w:t>
            </w:r>
            <w:proofErr w:type="gramEnd"/>
            <w:r w:rsidRPr="00256EBB">
              <w:rPr>
                <w:rFonts w:ascii="Arial" w:eastAsia="Calibri" w:hAnsi="Arial" w:cs="Arial"/>
                <w:szCs w:val="22"/>
                <w:lang w:val="fr-FR"/>
              </w:rPr>
              <w:t xml:space="preserve"> The overall prevalence of </w:t>
            </w:r>
            <w:r w:rsidRPr="00256EBB">
              <w:rPr>
                <w:rFonts w:ascii="Arial" w:eastAsia="Calibri" w:hAnsi="Arial" w:cs="Arial"/>
                <w:i/>
                <w:iCs/>
                <w:szCs w:val="22"/>
                <w:lang w:val="fr-FR"/>
              </w:rPr>
              <w:t>C. trachomatis</w:t>
            </w:r>
            <w:r w:rsidRPr="00256EBB">
              <w:rPr>
                <w:rFonts w:ascii="Arial" w:eastAsia="Calibri" w:hAnsi="Arial" w:cs="Arial"/>
                <w:szCs w:val="22"/>
                <w:lang w:val="fr-FR"/>
              </w:rPr>
              <w:t xml:space="preserve"> infection was 9.5% (95% CI [5.1 - 14.0%]), with no significant difference between females (10.1%) and males (8.5%) (p &gt; 0.05). A high proportion of infections were asymptomatic (72.7% of females and 60.0% of males). Among males, infection was more prevalent in those reporting multiple partners and inconsistent condom use. In contrast, the high prevalence among females was inconsistent with their self-reported high rates of safe sex practices, suggesting a significant social desirability bias.</w:t>
            </w:r>
          </w:p>
          <w:p w14:paraId="150CECA3" w14:textId="77777777" w:rsidR="00256EBB" w:rsidRPr="00256EBB" w:rsidRDefault="00256EBB" w:rsidP="00D11272">
            <w:pPr>
              <w:pStyle w:val="Body"/>
              <w:spacing w:after="0"/>
              <w:jc w:val="left"/>
              <w:rPr>
                <w:rFonts w:ascii="Arial" w:eastAsia="Calibri" w:hAnsi="Arial" w:cs="Arial"/>
                <w:szCs w:val="22"/>
                <w:lang w:val="fr-FR"/>
              </w:rPr>
            </w:pPr>
            <w:r w:rsidRPr="00256EBB">
              <w:rPr>
                <w:rFonts w:ascii="Arial" w:eastAsia="Calibri" w:hAnsi="Arial" w:cs="Arial"/>
                <w:b/>
                <w:bCs/>
                <w:szCs w:val="22"/>
                <w:lang w:val="fr-FR"/>
              </w:rPr>
              <w:t>Conclusion :</w:t>
            </w:r>
            <w:r w:rsidRPr="00256EBB">
              <w:rPr>
                <w:rFonts w:ascii="Arial" w:eastAsia="Calibri" w:hAnsi="Arial" w:cs="Arial"/>
                <w:szCs w:val="22"/>
                <w:lang w:val="fr-FR"/>
              </w:rPr>
              <w:t xml:space="preserve"> This study reveals a high, largely asymptomatic prevalence of </w:t>
            </w:r>
            <w:r w:rsidRPr="00256EBB">
              <w:rPr>
                <w:rFonts w:ascii="Arial" w:eastAsia="Calibri" w:hAnsi="Arial" w:cs="Arial"/>
                <w:i/>
                <w:iCs/>
                <w:szCs w:val="22"/>
                <w:lang w:val="fr-FR"/>
              </w:rPr>
              <w:t>Chlamydia trachomatis</w:t>
            </w:r>
            <w:r w:rsidRPr="00256EBB">
              <w:rPr>
                <w:rFonts w:ascii="Arial" w:eastAsia="Calibri" w:hAnsi="Arial" w:cs="Arial"/>
                <w:szCs w:val="22"/>
                <w:lang w:val="fr-FR"/>
              </w:rPr>
              <w:t xml:space="preserve"> infection among students at the University of Lomé. The findings underscore the urgent need for systematic screening programs and targeted prevention campaigns to safeguard the reproductive health of this vulnerable population.</w:t>
            </w:r>
          </w:p>
          <w:p w14:paraId="2BDEDF77" w14:textId="77777777" w:rsidR="00505F06" w:rsidRPr="00BA1B01" w:rsidRDefault="00505F06" w:rsidP="00D11272">
            <w:pPr>
              <w:pStyle w:val="Body"/>
              <w:spacing w:after="0"/>
              <w:jc w:val="left"/>
              <w:rPr>
                <w:rFonts w:ascii="Arial" w:eastAsia="Calibri" w:hAnsi="Arial" w:cs="Arial"/>
                <w:szCs w:val="22"/>
              </w:rPr>
            </w:pPr>
          </w:p>
        </w:tc>
      </w:tr>
    </w:tbl>
    <w:p w14:paraId="5DFACECD" w14:textId="77777777" w:rsidR="00636EB2" w:rsidRDefault="00636EB2" w:rsidP="00D11272">
      <w:pPr>
        <w:pStyle w:val="Body"/>
        <w:spacing w:after="0"/>
        <w:jc w:val="left"/>
        <w:rPr>
          <w:rFonts w:ascii="Arial" w:hAnsi="Arial" w:cs="Arial"/>
          <w:i/>
        </w:rPr>
      </w:pPr>
    </w:p>
    <w:p w14:paraId="79DC6A8E" w14:textId="77777777" w:rsidR="00A24E7E" w:rsidRDefault="00A24E7E" w:rsidP="00D11272">
      <w:pPr>
        <w:pStyle w:val="Body"/>
        <w:spacing w:after="0"/>
        <w:jc w:val="left"/>
        <w:rPr>
          <w:rFonts w:ascii="Arial" w:hAnsi="Arial" w:cs="Arial"/>
          <w:i/>
        </w:rPr>
      </w:pPr>
      <w:r>
        <w:rPr>
          <w:rFonts w:ascii="Arial" w:hAnsi="Arial" w:cs="Arial"/>
          <w:i/>
        </w:rPr>
        <w:t xml:space="preserve">Keywords: </w:t>
      </w:r>
      <w:r w:rsidR="00916A43" w:rsidRPr="00916A43">
        <w:rPr>
          <w:rFonts w:ascii="Arial" w:hAnsi="Arial" w:cs="Arial"/>
          <w:i/>
        </w:rPr>
        <w:t xml:space="preserve">Chlamydia </w:t>
      </w:r>
      <w:proofErr w:type="gramStart"/>
      <w:r w:rsidR="00916A43" w:rsidRPr="00916A43">
        <w:rPr>
          <w:rFonts w:ascii="Arial" w:hAnsi="Arial" w:cs="Arial"/>
          <w:i/>
        </w:rPr>
        <w:t>trachomatis ;</w:t>
      </w:r>
      <w:proofErr w:type="gramEnd"/>
      <w:r w:rsidR="00916A43" w:rsidRPr="00916A43">
        <w:rPr>
          <w:rFonts w:ascii="Arial" w:hAnsi="Arial" w:cs="Arial"/>
          <w:i/>
        </w:rPr>
        <w:t xml:space="preserve"> Sexually Transmitted Infections, Prevalence, Risk Factors, Students, Togo</w:t>
      </w:r>
      <w:r w:rsidR="0066510A">
        <w:rPr>
          <w:rFonts w:ascii="Arial" w:hAnsi="Arial" w:cs="Arial"/>
          <w:i/>
        </w:rPr>
        <w:t>)</w:t>
      </w:r>
    </w:p>
    <w:p w14:paraId="17F0D2DB" w14:textId="77777777" w:rsidR="00790ADA" w:rsidRDefault="00790ADA" w:rsidP="00D11272">
      <w:pPr>
        <w:pStyle w:val="Body"/>
        <w:spacing w:after="0"/>
        <w:jc w:val="left"/>
        <w:rPr>
          <w:rFonts w:ascii="Arial" w:hAnsi="Arial" w:cs="Arial"/>
          <w:i/>
        </w:rPr>
      </w:pPr>
    </w:p>
    <w:p w14:paraId="0CD5EC69" w14:textId="77777777" w:rsidR="007F7B32" w:rsidRDefault="00902823" w:rsidP="00D11272">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DB2B40"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Infection with </w:t>
      </w:r>
      <w:r w:rsidRPr="00916A43">
        <w:rPr>
          <w:rFonts w:ascii="Arial" w:hAnsi="Arial" w:cs="Arial"/>
          <w:i/>
          <w:iCs/>
          <w:lang w:val="fr-FR"/>
        </w:rPr>
        <w:t>Chlamydia trachomatis</w:t>
      </w:r>
      <w:r w:rsidRPr="00916A43">
        <w:rPr>
          <w:rFonts w:ascii="Arial" w:hAnsi="Arial" w:cs="Arial"/>
          <w:lang w:val="fr-FR"/>
        </w:rPr>
        <w:t xml:space="preserve">, an obligate intracellular bacterial pathogen, is a major global public health concern, ranking as the leading bacterial sexually transmitted infection (STI) [Mishori et al., </w:t>
      </w:r>
      <w:proofErr w:type="gramStart"/>
      <w:r w:rsidRPr="00916A43">
        <w:rPr>
          <w:rFonts w:ascii="Arial" w:hAnsi="Arial" w:cs="Arial"/>
          <w:lang w:val="fr-FR"/>
        </w:rPr>
        <w:t>2012;</w:t>
      </w:r>
      <w:proofErr w:type="gramEnd"/>
      <w:r w:rsidRPr="00916A43">
        <w:rPr>
          <w:rFonts w:ascii="Arial" w:hAnsi="Arial" w:cs="Arial"/>
          <w:lang w:val="fr-FR"/>
        </w:rPr>
        <w:t xml:space="preserve"> Rowley et al., 2019; World Health Organization et al., 2021]. The global disease burden is considerable, disproportionately affecting young and sexually active populations. The primary challenge posed by this pathogen is its predominantly insidious clinical presentation ; indeed, over 70% of infections in women and nearly 50% in men remain asymptomatic [Haggerty et al., </w:t>
      </w:r>
      <w:proofErr w:type="gramStart"/>
      <w:r w:rsidRPr="00916A43">
        <w:rPr>
          <w:rFonts w:ascii="Arial" w:hAnsi="Arial" w:cs="Arial"/>
          <w:lang w:val="fr-FR"/>
        </w:rPr>
        <w:t>2007;</w:t>
      </w:r>
      <w:proofErr w:type="gramEnd"/>
      <w:r w:rsidRPr="00916A43">
        <w:rPr>
          <w:rFonts w:ascii="Arial" w:hAnsi="Arial" w:cs="Arial"/>
          <w:lang w:val="fr-FR"/>
        </w:rPr>
        <w:t xml:space="preserve"> Morré et al., 2002]. This "</w:t>
      </w:r>
      <w:proofErr w:type="gramStart"/>
      <w:r w:rsidRPr="00916A43">
        <w:rPr>
          <w:rFonts w:ascii="Arial" w:hAnsi="Arial" w:cs="Arial"/>
          <w:lang w:val="fr-FR"/>
        </w:rPr>
        <w:t>silent</w:t>
      </w:r>
      <w:proofErr w:type="gramEnd"/>
      <w:r w:rsidRPr="00916A43">
        <w:rPr>
          <w:rFonts w:ascii="Arial" w:hAnsi="Arial" w:cs="Arial"/>
          <w:lang w:val="fr-FR"/>
        </w:rPr>
        <w:t xml:space="preserve"> epidemic" fosters uncontrolled community transmission and significantly delays diagnosis and therapeutic management, exposing infected individuals, particularly women, to severe and irreversible sequelae. These include pelvic inflammatory disease, tubal factor infertility, </w:t>
      </w:r>
      <w:r w:rsidRPr="00916A43">
        <w:rPr>
          <w:rFonts w:ascii="Arial" w:hAnsi="Arial" w:cs="Arial"/>
          <w:lang w:val="fr-FR"/>
        </w:rPr>
        <w:lastRenderedPageBreak/>
        <w:t xml:space="preserve">ectopic pregnancy, and chronic pelvic pain, which can permanently compromise reproductive health [Morré et al., </w:t>
      </w:r>
      <w:proofErr w:type="gramStart"/>
      <w:r w:rsidRPr="00916A43">
        <w:rPr>
          <w:rFonts w:ascii="Arial" w:hAnsi="Arial" w:cs="Arial"/>
          <w:lang w:val="fr-FR"/>
        </w:rPr>
        <w:t>2002;</w:t>
      </w:r>
      <w:proofErr w:type="gramEnd"/>
      <w:r w:rsidRPr="00916A43">
        <w:rPr>
          <w:rFonts w:ascii="Arial" w:hAnsi="Arial" w:cs="Arial"/>
          <w:lang w:val="fr-FR"/>
        </w:rPr>
        <w:t xml:space="preserve"> Van Den Broek et al., 2016].</w:t>
      </w:r>
    </w:p>
    <w:p w14:paraId="4416E515"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In sub-Saharan Africa, a region that bears a disproportionate burden of STIs, the prevalence of </w:t>
      </w:r>
      <w:r w:rsidRPr="00916A43">
        <w:rPr>
          <w:rFonts w:ascii="Arial" w:hAnsi="Arial" w:cs="Arial"/>
          <w:i/>
          <w:iCs/>
          <w:lang w:val="fr-FR"/>
        </w:rPr>
        <w:t>C. trachomatis</w:t>
      </w:r>
      <w:r w:rsidRPr="00916A43">
        <w:rPr>
          <w:rFonts w:ascii="Arial" w:hAnsi="Arial" w:cs="Arial"/>
          <w:lang w:val="fr-FR"/>
        </w:rPr>
        <w:t xml:space="preserve"> infection among women of reproductive age is particularly high [Hussen et al., 2018]. The sociodemographic context (characterized by a predominantly young population, rapid urbanization, and evolving social and sexual norms) creates an environment conducive to STI transmission [Ardua et al., 2018]. However, the epidemiological landscape remains fragmented. Available data, often from studies in neighboring countries like Ghana or Nigeria, confirm alarming prevalence rates among youth and student populations [Ardua et al., </w:t>
      </w:r>
      <w:proofErr w:type="gramStart"/>
      <w:r w:rsidRPr="00916A43">
        <w:rPr>
          <w:rFonts w:ascii="Arial" w:hAnsi="Arial" w:cs="Arial"/>
          <w:lang w:val="fr-FR"/>
        </w:rPr>
        <w:t>2018;</w:t>
      </w:r>
      <w:proofErr w:type="gramEnd"/>
      <w:r w:rsidRPr="00916A43">
        <w:rPr>
          <w:rFonts w:ascii="Arial" w:hAnsi="Arial" w:cs="Arial"/>
          <w:lang w:val="fr-FR"/>
        </w:rPr>
        <w:t xml:space="preserve"> Ajayi et al., 2019], but these findings are only partially extrapolable. In Togo, knowledge of </w:t>
      </w:r>
      <w:r w:rsidRPr="00916A43">
        <w:rPr>
          <w:rFonts w:ascii="Arial" w:hAnsi="Arial" w:cs="Arial"/>
          <w:i/>
          <w:iCs/>
          <w:lang w:val="fr-FR"/>
        </w:rPr>
        <w:t>C. trachomatis</w:t>
      </w:r>
      <w:r w:rsidRPr="00916A43">
        <w:rPr>
          <w:rFonts w:ascii="Arial" w:hAnsi="Arial" w:cs="Arial"/>
          <w:lang w:val="fr-FR"/>
        </w:rPr>
        <w:t xml:space="preserve"> circulation is still nascent. A recent study in the Kara region reported a prevalence of 4.3% among women in the general population, attesting to the infection's presence in the country [Gnatou et al., 2024]. Nevertheless, there remains a notable lack of data specific to the capital, Lomé, particularly concerning young adult populations, who are central to transmission dynamics.</w:t>
      </w:r>
    </w:p>
    <w:p w14:paraId="3D5F1E43"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The university student population represents a key epidemiological sentinel group. This transition to adulthood is frequently associated with increased sexual activity, behavioral exploration, and a potential rise in the number of partners, thereby objectively increasing the risk of STI exposure [Azeze et al., </w:t>
      </w:r>
      <w:proofErr w:type="gramStart"/>
      <w:r w:rsidRPr="00916A43">
        <w:rPr>
          <w:rFonts w:ascii="Arial" w:hAnsi="Arial" w:cs="Arial"/>
          <w:lang w:val="fr-FR"/>
        </w:rPr>
        <w:t>2021;</w:t>
      </w:r>
      <w:proofErr w:type="gramEnd"/>
      <w:r w:rsidRPr="00916A43">
        <w:rPr>
          <w:rFonts w:ascii="Arial" w:hAnsi="Arial" w:cs="Arial"/>
          <w:lang w:val="fr-FR"/>
        </w:rPr>
        <w:t xml:space="preserve"> Davidson et al., 2021]. Furthermore, students may face structural, financial, or psychosocial barriers limiting their access to quality information, screening, and sexual health services [Avuvika et al., 2017]. The university campus, a site of high population density and social interaction, can thus function as a micro-epicenter for the transmission of silent infections [Ajayi et al., </w:t>
      </w:r>
      <w:proofErr w:type="gramStart"/>
      <w:r w:rsidRPr="00916A43">
        <w:rPr>
          <w:rFonts w:ascii="Arial" w:hAnsi="Arial" w:cs="Arial"/>
          <w:lang w:val="fr-FR"/>
        </w:rPr>
        <w:t>2019;</w:t>
      </w:r>
      <w:proofErr w:type="gramEnd"/>
      <w:r w:rsidRPr="00916A43">
        <w:rPr>
          <w:rFonts w:ascii="Arial" w:hAnsi="Arial" w:cs="Arial"/>
          <w:lang w:val="fr-FR"/>
        </w:rPr>
        <w:t xml:space="preserve"> Ajani et al., 2019].</w:t>
      </w:r>
    </w:p>
    <w:p w14:paraId="0518BCB2"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It is within this context of limited epidemiological data that the present study was designed, the first to our knowledge to investigate this issue at the University of Lomé. A significant knowledge gap exists regarding the epidemiology and behavioral correlates of epidemiological and behavioral data on </w:t>
      </w:r>
      <w:r w:rsidRPr="00916A43">
        <w:rPr>
          <w:rFonts w:ascii="Arial" w:hAnsi="Arial" w:cs="Arial"/>
          <w:i/>
          <w:iCs/>
          <w:lang w:val="fr-FR"/>
        </w:rPr>
        <w:t>C. trachomatis</w:t>
      </w:r>
      <w:r w:rsidRPr="00916A43">
        <w:rPr>
          <w:rFonts w:ascii="Arial" w:hAnsi="Arial" w:cs="Arial"/>
          <w:lang w:val="fr-FR"/>
        </w:rPr>
        <w:t xml:space="preserve"> infection in this key demographic group in Togo. Acquiring this preliminary information is an essential prerequisite to move beyond empiricism and to guide the development of evidence-based, targeted, and culturally appropriate prevention and screening strategies tailored to the reality of the Togolese student environment.</w:t>
      </w:r>
    </w:p>
    <w:p w14:paraId="210BAFAA"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This descriptive cross-sectional study's primary objective was therefore to establish an initial epidemiological baseline by estimating the prevalence of </w:t>
      </w:r>
      <w:r w:rsidRPr="00916A43">
        <w:rPr>
          <w:rFonts w:ascii="Arial" w:hAnsi="Arial" w:cs="Arial"/>
          <w:i/>
          <w:iCs/>
          <w:lang w:val="fr-FR"/>
        </w:rPr>
        <w:t>Chlamydia trachomatis</w:t>
      </w:r>
      <w:r w:rsidRPr="00916A43">
        <w:rPr>
          <w:rFonts w:ascii="Arial" w:hAnsi="Arial" w:cs="Arial"/>
          <w:lang w:val="fr-FR"/>
        </w:rPr>
        <w:t xml:space="preserve"> infection and identifying potential risk factors within a cohort of students from the Faculty of Sciences at the University of Lomé. The secondary objectives were to describe the sociodemographic characteristics of this population, to characterize self-reported sexual and preventive behaviors, to assess the level of knowledge and risk perception regarding STIs, and finally, to analyze the associations between these various factors and infection status.</w:t>
      </w:r>
    </w:p>
    <w:p w14:paraId="585ECCAC" w14:textId="77777777" w:rsidR="00B01FCD" w:rsidRDefault="006B57D0" w:rsidP="00D11272">
      <w:pPr>
        <w:pStyle w:val="Body"/>
        <w:spacing w:after="0"/>
        <w:jc w:val="left"/>
        <w:rPr>
          <w:rFonts w:ascii="Arial" w:hAnsi="Arial" w:cs="Arial"/>
        </w:rPr>
      </w:pPr>
      <w:r w:rsidRPr="006B57D0">
        <w:rPr>
          <w:rFonts w:ascii="Arial" w:hAnsi="Arial" w:cs="Arial"/>
        </w:rPr>
        <w:t>.</w:t>
      </w:r>
      <w:r>
        <w:rPr>
          <w:rFonts w:ascii="Arial" w:hAnsi="Arial" w:cs="Arial"/>
        </w:rPr>
        <w:t>]</w:t>
      </w:r>
    </w:p>
    <w:p w14:paraId="47DEBA00" w14:textId="77777777" w:rsidR="00790ADA" w:rsidRPr="00FB3A86" w:rsidRDefault="00790ADA" w:rsidP="00D11272">
      <w:pPr>
        <w:pStyle w:val="Body"/>
        <w:spacing w:after="0"/>
        <w:jc w:val="left"/>
        <w:rPr>
          <w:rFonts w:ascii="Arial" w:hAnsi="Arial" w:cs="Arial"/>
        </w:rPr>
      </w:pPr>
    </w:p>
    <w:p w14:paraId="469271D5" w14:textId="77777777" w:rsidR="00790ADA" w:rsidRPr="00FB3A86" w:rsidRDefault="00902823" w:rsidP="00D11272">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7B25DE6E"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1. Study design</w:t>
      </w:r>
      <w:r w:rsidRPr="00916A43">
        <w:rPr>
          <w:rFonts w:ascii="Arial" w:hAnsi="Arial" w:cs="Arial"/>
          <w:lang w:val="fr-FR"/>
        </w:rPr>
        <w:t xml:space="preserve"> </w:t>
      </w:r>
    </w:p>
    <w:p w14:paraId="76D30AEF"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This was a descriptive cross-sectional study with an exploratory analysis of associated factors conducted during the 2024-2025 academic year at the Faculty of Science, University of Lomé, Togo. The primary objective was to provide an initial estimate of the prevalence of Chlamydia trachomatis infection and to explore potentially associated risk factors in </w:t>
      </w:r>
      <w:proofErr w:type="gramStart"/>
      <w:r w:rsidRPr="00916A43">
        <w:rPr>
          <w:rFonts w:ascii="Arial" w:hAnsi="Arial" w:cs="Arial"/>
          <w:lang w:val="fr-FR"/>
        </w:rPr>
        <w:t>a</w:t>
      </w:r>
      <w:proofErr w:type="gramEnd"/>
      <w:r w:rsidRPr="00916A43">
        <w:rPr>
          <w:rFonts w:ascii="Arial" w:hAnsi="Arial" w:cs="Arial"/>
          <w:lang w:val="fr-FR"/>
        </w:rPr>
        <w:t xml:space="preserve"> population of life sciences students.</w:t>
      </w:r>
    </w:p>
    <w:p w14:paraId="19575F19"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2. Study population and sampling strategy</w:t>
      </w:r>
      <w:r w:rsidRPr="00916A43">
        <w:rPr>
          <w:rFonts w:ascii="Arial" w:hAnsi="Arial" w:cs="Arial"/>
          <w:lang w:val="fr-FR"/>
        </w:rPr>
        <w:t xml:space="preserve"> </w:t>
      </w:r>
    </w:p>
    <w:p w14:paraId="47E807B1"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Participants were recruited using a non-probabilistic convenience sampling method. All students enrolled in the BIO351 teaching unit (Practical Immunology, N=460) were invited to a group information session. The final sample consisted of 168 participants, corresponding to a participation rate of 36.5%. Students who provided written and signed informed consent were included in the study. The sole non-inclusion criterion was the refusal to participate.</w:t>
      </w:r>
    </w:p>
    <w:p w14:paraId="2B7BE153"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lastRenderedPageBreak/>
        <w:t>3. Data collection</w:t>
      </w:r>
      <w:r w:rsidRPr="00916A43">
        <w:rPr>
          <w:rFonts w:ascii="Arial" w:hAnsi="Arial" w:cs="Arial"/>
          <w:lang w:val="fr-FR"/>
        </w:rPr>
        <w:t xml:space="preserve"> </w:t>
      </w:r>
    </w:p>
    <w:p w14:paraId="4A8006B1"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Data collection was based on two complementary components : a standardized questionnaire and biological sampling.</w:t>
      </w:r>
    </w:p>
    <w:p w14:paraId="2C8D9077"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3.1. Self-administered questionnaire</w:t>
      </w:r>
      <w:r w:rsidRPr="00916A43">
        <w:rPr>
          <w:rFonts w:ascii="Arial" w:hAnsi="Arial" w:cs="Arial"/>
          <w:lang w:val="fr-FR"/>
        </w:rPr>
        <w:t xml:space="preserve"> </w:t>
      </w:r>
    </w:p>
    <w:p w14:paraId="4DEBE8BE"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A structured and anonymous questionnaire, pre-tested on a small group to ensure clarity, was self-administered by each participant. To ensure confidentiality, a unique alphanumeric code was assigned to each questionnaire and its corresponding biological sample, and no personally identifiable information was collected. The data collection instrument was divided into distinct sections exploring :</w:t>
      </w:r>
    </w:p>
    <w:p w14:paraId="6E4C8DBF" w14:textId="77777777" w:rsidR="00916A43" w:rsidRPr="00916A43" w:rsidRDefault="00916A43" w:rsidP="00D11272">
      <w:pPr>
        <w:pStyle w:val="Body"/>
        <w:numPr>
          <w:ilvl w:val="1"/>
          <w:numId w:val="31"/>
        </w:numPr>
        <w:spacing w:after="0"/>
        <w:jc w:val="left"/>
        <w:rPr>
          <w:rFonts w:ascii="Arial" w:hAnsi="Arial" w:cs="Arial"/>
          <w:lang w:val="fr-FR"/>
        </w:rPr>
      </w:pPr>
      <w:r w:rsidRPr="00916A43">
        <w:rPr>
          <w:rFonts w:ascii="Arial" w:hAnsi="Arial" w:cs="Arial"/>
          <w:lang w:val="fr-FR"/>
        </w:rPr>
        <w:t>Sociodemographic characteristics : age, sex, year of study, and marital status.</w:t>
      </w:r>
    </w:p>
    <w:p w14:paraId="09E6D898" w14:textId="77777777" w:rsidR="00916A43" w:rsidRPr="00916A43" w:rsidRDefault="00916A43" w:rsidP="00D11272">
      <w:pPr>
        <w:pStyle w:val="Body"/>
        <w:numPr>
          <w:ilvl w:val="1"/>
          <w:numId w:val="31"/>
        </w:numPr>
        <w:spacing w:after="0"/>
        <w:jc w:val="left"/>
        <w:rPr>
          <w:rFonts w:ascii="Arial" w:hAnsi="Arial" w:cs="Arial"/>
          <w:lang w:val="fr-FR"/>
        </w:rPr>
      </w:pPr>
      <w:r w:rsidRPr="00916A43">
        <w:rPr>
          <w:rFonts w:ascii="Arial" w:hAnsi="Arial" w:cs="Arial"/>
          <w:lang w:val="fr-FR"/>
        </w:rPr>
        <w:t>Sexual history and behaviors : age at first sexual intercourse, number of partners in the last 12 and 3 months, reported frequency of condom use, and a personal history of diagnosed STIs.</w:t>
      </w:r>
    </w:p>
    <w:p w14:paraId="780FEA99" w14:textId="77777777" w:rsidR="00916A43" w:rsidRPr="00916A43" w:rsidRDefault="00916A43" w:rsidP="00D11272">
      <w:pPr>
        <w:pStyle w:val="Body"/>
        <w:numPr>
          <w:ilvl w:val="1"/>
          <w:numId w:val="31"/>
        </w:numPr>
        <w:spacing w:after="0"/>
        <w:jc w:val="left"/>
        <w:rPr>
          <w:rFonts w:ascii="Arial" w:hAnsi="Arial" w:cs="Arial"/>
          <w:lang w:val="fr-FR"/>
        </w:rPr>
      </w:pPr>
      <w:r w:rsidRPr="00916A43">
        <w:rPr>
          <w:rFonts w:ascii="Arial" w:hAnsi="Arial" w:cs="Arial"/>
          <w:lang w:val="fr-FR"/>
        </w:rPr>
        <w:t xml:space="preserve">Knowledge and perceptions regarding STIs : identification of modes of transmission, symptoms, and complications of </w:t>
      </w:r>
      <w:r w:rsidRPr="00916A43">
        <w:rPr>
          <w:rFonts w:ascii="Arial" w:hAnsi="Arial" w:cs="Arial"/>
          <w:i/>
          <w:iCs/>
          <w:lang w:val="fr-FR"/>
        </w:rPr>
        <w:t>C. trachomatis</w:t>
      </w:r>
      <w:r w:rsidRPr="00916A43">
        <w:rPr>
          <w:rFonts w:ascii="Arial" w:hAnsi="Arial" w:cs="Arial"/>
          <w:lang w:val="fr-FR"/>
        </w:rPr>
        <w:t xml:space="preserve"> infection, as well as </w:t>
      </w:r>
      <w:proofErr w:type="gramStart"/>
      <w:r w:rsidRPr="00916A43">
        <w:rPr>
          <w:rFonts w:ascii="Arial" w:hAnsi="Arial" w:cs="Arial"/>
          <w:lang w:val="fr-FR"/>
        </w:rPr>
        <w:t>a</w:t>
      </w:r>
      <w:proofErr w:type="gramEnd"/>
      <w:r w:rsidRPr="00916A43">
        <w:rPr>
          <w:rFonts w:ascii="Arial" w:hAnsi="Arial" w:cs="Arial"/>
          <w:lang w:val="fr-FR"/>
        </w:rPr>
        <w:t xml:space="preserve"> self-assessment of personal infection risk.</w:t>
      </w:r>
    </w:p>
    <w:p w14:paraId="15A7F64E" w14:textId="77777777" w:rsidR="00916A43" w:rsidRDefault="00916A43" w:rsidP="00D11272">
      <w:pPr>
        <w:pStyle w:val="Body"/>
        <w:numPr>
          <w:ilvl w:val="1"/>
          <w:numId w:val="31"/>
        </w:numPr>
        <w:spacing w:after="0"/>
        <w:jc w:val="left"/>
        <w:rPr>
          <w:rFonts w:ascii="Arial" w:hAnsi="Arial" w:cs="Arial"/>
          <w:lang w:val="fr-FR"/>
        </w:rPr>
      </w:pPr>
      <w:r w:rsidRPr="00916A43">
        <w:rPr>
          <w:rFonts w:ascii="Arial" w:hAnsi="Arial" w:cs="Arial"/>
          <w:lang w:val="fr-FR"/>
        </w:rPr>
        <w:t>Recent urogenital symptomatology : recording the potential presence of clinical signs within the last three months from a closed list.</w:t>
      </w:r>
    </w:p>
    <w:p w14:paraId="67A0D896" w14:textId="77777777" w:rsidR="003F66E9" w:rsidRPr="00916A43" w:rsidRDefault="003F66E9" w:rsidP="00D11272">
      <w:pPr>
        <w:pStyle w:val="Body"/>
        <w:spacing w:after="0"/>
        <w:ind w:left="1440"/>
        <w:jc w:val="left"/>
        <w:rPr>
          <w:rFonts w:ascii="Arial" w:hAnsi="Arial" w:cs="Arial"/>
          <w:lang w:val="fr-FR"/>
        </w:rPr>
      </w:pPr>
    </w:p>
    <w:p w14:paraId="20A1F2EC"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3.2. Biological specimens</w:t>
      </w:r>
      <w:r w:rsidRPr="00916A43">
        <w:rPr>
          <w:rFonts w:ascii="Arial" w:hAnsi="Arial" w:cs="Arial"/>
          <w:lang w:val="fr-FR"/>
        </w:rPr>
        <w:t xml:space="preserve"> </w:t>
      </w:r>
    </w:p>
    <w:p w14:paraId="7FF107F2"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For male participants (n=59), the specimen consisted of a first-void urine sample (15-20 mL), collected in a sterile container provided for this purpose. For female participants (n=109), a dual modality was offered to optimize acceptability. Sixty students opted for a cervico-vaginal swab sample, collected either by the participant herself (self-collection) in a private room following a demonstration and clear instructions, or by a qualified midwife. The remaining forty-nine female participants provided a urine sample using the same protocol as the male students.</w:t>
      </w:r>
    </w:p>
    <w:p w14:paraId="5CCAC24D"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4. Laboratory diagnosis</w:t>
      </w:r>
      <w:r w:rsidRPr="00916A43">
        <w:rPr>
          <w:rFonts w:ascii="Arial" w:hAnsi="Arial" w:cs="Arial"/>
          <w:lang w:val="fr-FR"/>
        </w:rPr>
        <w:t xml:space="preserve"> </w:t>
      </w:r>
    </w:p>
    <w:p w14:paraId="698CF9AF"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Detection of the </w:t>
      </w:r>
      <w:r w:rsidRPr="00916A43">
        <w:rPr>
          <w:rFonts w:ascii="Arial" w:hAnsi="Arial" w:cs="Arial"/>
          <w:i/>
          <w:iCs/>
          <w:lang w:val="fr-FR"/>
        </w:rPr>
        <w:t>C. trachomatis</w:t>
      </w:r>
      <w:r w:rsidRPr="00916A43">
        <w:rPr>
          <w:rFonts w:ascii="Arial" w:hAnsi="Arial" w:cs="Arial"/>
          <w:lang w:val="fr-FR"/>
        </w:rPr>
        <w:t xml:space="preserve"> antigen was performed immediately after collection using an immunochromatographic rapid diagnostic test (RDT) cassette (Chlamydia Rapid Test Device, Atlas Medical GmbH, </w:t>
      </w:r>
      <w:proofErr w:type="gramStart"/>
      <w:r w:rsidRPr="00916A43">
        <w:rPr>
          <w:rFonts w:ascii="Arial" w:hAnsi="Arial" w:cs="Arial"/>
          <w:lang w:val="fr-FR"/>
        </w:rPr>
        <w:t>Germany;</w:t>
      </w:r>
      <w:proofErr w:type="gramEnd"/>
      <w:r w:rsidRPr="00916A43">
        <w:rPr>
          <w:rFonts w:ascii="Arial" w:hAnsi="Arial" w:cs="Arial"/>
          <w:lang w:val="fr-FR"/>
        </w:rPr>
        <w:t xml:space="preserve"> Ref. 8.04.26.0.0020). The analyses were conducted in strict accordance with the manufacturer's instructions. The procedure included an antigen extraction step from the urine or swab samples, using reagents A (0.15M NaOH) and B (0.2N HCl) provided in the kit. The validity of each test was systematically confirmed by the appearance of the internal control band.</w:t>
      </w:r>
    </w:p>
    <w:p w14:paraId="60539620"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5. Statistical analysis</w:t>
      </w:r>
      <w:r w:rsidRPr="00916A43">
        <w:rPr>
          <w:rFonts w:ascii="Arial" w:hAnsi="Arial" w:cs="Arial"/>
          <w:lang w:val="fr-FR"/>
        </w:rPr>
        <w:t xml:space="preserve"> </w:t>
      </w:r>
    </w:p>
    <w:p w14:paraId="01B32484"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 xml:space="preserve">The collected data were entered into Excel 2016 and analyzed using SPSS (version 21.0, IBM Corp.) and GraphPad Prism (version 8.02, GraphPad Software). The prevalence of the infection was calculated as </w:t>
      </w:r>
      <w:proofErr w:type="gramStart"/>
      <w:r w:rsidRPr="00916A43">
        <w:rPr>
          <w:rFonts w:ascii="Arial" w:hAnsi="Arial" w:cs="Arial"/>
          <w:lang w:val="fr-FR"/>
        </w:rPr>
        <w:t>a</w:t>
      </w:r>
      <w:proofErr w:type="gramEnd"/>
      <w:r w:rsidRPr="00916A43">
        <w:rPr>
          <w:rFonts w:ascii="Arial" w:hAnsi="Arial" w:cs="Arial"/>
          <w:lang w:val="fr-FR"/>
        </w:rPr>
        <w:t xml:space="preserve"> proportion with its 95% confidence interval (CI). Qualitative variables were described by frequencies and percentages, while quantitative variables were described by mean and standard deviation. The comparison of qualitative variables was performed using Pearson's Chi-squared test or Fisher's exact test, as appropriate. Due to the small number of positive cases (n=16), the statistical power was insufficient to perform a multivariate logistic regression analysis. Consequently, the analysis of risk factors was limited to descriptive statistics and bivariate comparisons using Pearson's Chi-squared or Fisher's exact test. The threshold for statistical significance was set at p &lt; 0.05.</w:t>
      </w:r>
    </w:p>
    <w:p w14:paraId="508C9C17" w14:textId="77777777" w:rsidR="00916A43" w:rsidRPr="00916A43" w:rsidRDefault="00916A43" w:rsidP="00D11272">
      <w:pPr>
        <w:pStyle w:val="Body"/>
        <w:spacing w:after="0"/>
        <w:jc w:val="left"/>
        <w:rPr>
          <w:rFonts w:ascii="Arial" w:hAnsi="Arial" w:cs="Arial"/>
          <w:lang w:val="fr-FR"/>
        </w:rPr>
      </w:pPr>
      <w:r w:rsidRPr="00916A43">
        <w:rPr>
          <w:rFonts w:ascii="Arial" w:hAnsi="Arial" w:cs="Arial"/>
          <w:b/>
          <w:bCs/>
          <w:lang w:val="fr-FR"/>
        </w:rPr>
        <w:t>6. Ethical considerations</w:t>
      </w:r>
      <w:r w:rsidRPr="00916A43">
        <w:rPr>
          <w:rFonts w:ascii="Arial" w:hAnsi="Arial" w:cs="Arial"/>
          <w:lang w:val="fr-FR"/>
        </w:rPr>
        <w:t xml:space="preserve"> </w:t>
      </w:r>
    </w:p>
    <w:p w14:paraId="3D4D0AC8" w14:textId="77777777" w:rsidR="00916A43" w:rsidRPr="00916A43" w:rsidRDefault="00916A43" w:rsidP="00D11272">
      <w:pPr>
        <w:pStyle w:val="Body"/>
        <w:spacing w:after="0"/>
        <w:jc w:val="left"/>
        <w:rPr>
          <w:rFonts w:ascii="Arial" w:hAnsi="Arial" w:cs="Arial"/>
          <w:lang w:val="fr-FR"/>
        </w:rPr>
      </w:pPr>
      <w:r w:rsidRPr="00916A43">
        <w:rPr>
          <w:rFonts w:ascii="Arial" w:hAnsi="Arial" w:cs="Arial"/>
          <w:lang w:val="fr-FR"/>
        </w:rPr>
        <w:t>The study protocol received approval from the Research Ethics Committee of the University of Lomé. Administrative authorization was also obtained from the Dean's office of the Faculty of Science. Free and informed consent was obtained in writing from each participant prior to inclusion. The information provided</w:t>
      </w:r>
      <w:r w:rsidR="00D640C0">
        <w:rPr>
          <w:rFonts w:ascii="Arial" w:hAnsi="Arial" w:cs="Arial"/>
          <w:lang w:val="fr-FR"/>
        </w:rPr>
        <w:t xml:space="preserve">in the </w:t>
      </w:r>
      <w:proofErr w:type="gramStart"/>
      <w:r w:rsidR="00D640C0">
        <w:rPr>
          <w:rFonts w:ascii="Arial" w:hAnsi="Arial" w:cs="Arial"/>
          <w:lang w:val="fr-FR"/>
        </w:rPr>
        <w:t xml:space="preserve">questionnaire </w:t>
      </w:r>
      <w:r w:rsidRPr="00916A43">
        <w:rPr>
          <w:rFonts w:ascii="Arial" w:hAnsi="Arial" w:cs="Arial"/>
          <w:lang w:val="fr-FR"/>
        </w:rPr>
        <w:t xml:space="preserve"> emphasized</w:t>
      </w:r>
      <w:proofErr w:type="gramEnd"/>
      <w:r w:rsidRPr="00916A43">
        <w:rPr>
          <w:rFonts w:ascii="Arial" w:hAnsi="Arial" w:cs="Arial"/>
          <w:lang w:val="fr-FR"/>
        </w:rPr>
        <w:t xml:space="preserve"> the voluntary nature of participation, the right to withdraw at any time without prejudice, and the rigorous measures </w:t>
      </w:r>
      <w:r w:rsidRPr="00916A43">
        <w:rPr>
          <w:rFonts w:ascii="Arial" w:hAnsi="Arial" w:cs="Arial"/>
          <w:lang w:val="fr-FR"/>
        </w:rPr>
        <w:lastRenderedPageBreak/>
        <w:t>in place to protect anonymity. A confidential referral system was established to direct participants who tested positive to partner university health services, ensuring their access to post-test counseling, confirmatory testing if necessary, and appropriate, free treatment.</w:t>
      </w:r>
    </w:p>
    <w:p w14:paraId="4FA35EC4" w14:textId="77777777" w:rsidR="00790ADA" w:rsidRPr="00FB3A86" w:rsidRDefault="00790ADA" w:rsidP="00D11272">
      <w:pPr>
        <w:pStyle w:val="Body"/>
        <w:spacing w:after="0"/>
        <w:jc w:val="left"/>
        <w:rPr>
          <w:rFonts w:ascii="Arial" w:hAnsi="Arial" w:cs="Arial"/>
        </w:rPr>
      </w:pPr>
    </w:p>
    <w:p w14:paraId="49776350" w14:textId="77777777" w:rsidR="00902823" w:rsidRDefault="00000F8F" w:rsidP="00D11272">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29D34D" w14:textId="77777777" w:rsidR="00790ADA" w:rsidRPr="00FB3A86" w:rsidRDefault="00653608" w:rsidP="00D11272">
      <w:pPr>
        <w:pStyle w:val="Head1"/>
        <w:spacing w:after="0"/>
        <w:rPr>
          <w:rFonts w:ascii="Arial" w:hAnsi="Arial" w:cs="Arial"/>
        </w:rPr>
      </w:pPr>
      <w:r>
        <w:rPr>
          <w:rFonts w:ascii="Arial" w:hAnsi="Arial" w:cs="Arial"/>
        </w:rPr>
        <w:t>RESULT</w:t>
      </w:r>
    </w:p>
    <w:p w14:paraId="539BDF47"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1. Sociodemographic characteristics of the study population</w:t>
      </w:r>
      <w:r w:rsidRPr="00653608">
        <w:rPr>
          <w:rFonts w:ascii="Arial" w:hAnsi="Arial" w:cs="Arial"/>
          <w:lang w:val="fr-FR"/>
        </w:rPr>
        <w:t xml:space="preserve"> </w:t>
      </w:r>
    </w:p>
    <w:p w14:paraId="1DD18A60" w14:textId="77777777" w:rsidR="00653608" w:rsidRDefault="00653608" w:rsidP="00D11272">
      <w:pPr>
        <w:pStyle w:val="Body"/>
        <w:spacing w:after="0"/>
        <w:jc w:val="left"/>
        <w:rPr>
          <w:rFonts w:ascii="Arial" w:hAnsi="Arial" w:cs="Arial"/>
          <w:lang w:val="fr-FR"/>
        </w:rPr>
      </w:pPr>
      <w:r w:rsidRPr="00653608">
        <w:rPr>
          <w:rFonts w:ascii="Arial" w:hAnsi="Arial" w:cs="Arial"/>
          <w:lang w:val="fr-FR"/>
        </w:rPr>
        <w:t>The study included a sample of 168 students who returned a valid questionnaire and provided a biological specimen. The population consisted of 109 female participants (64.9%) and 59 male participants (35.1%). The mean age of the female students was 20.6 ± 1.5 years (range : 17-25 years), while that of the male students was 21.7 ± 2.1 years (range : 17-25 years). All respondents (100%) reported their marital status as single.</w:t>
      </w:r>
    </w:p>
    <w:p w14:paraId="0AB647B7" w14:textId="77777777" w:rsidR="00806BAD" w:rsidRPr="00653608" w:rsidRDefault="00806BAD" w:rsidP="00D11272">
      <w:pPr>
        <w:pStyle w:val="Body"/>
        <w:spacing w:after="0"/>
        <w:jc w:val="left"/>
        <w:rPr>
          <w:rFonts w:ascii="Arial" w:hAnsi="Arial" w:cs="Arial"/>
          <w:lang w:val="fr-FR"/>
        </w:rPr>
      </w:pPr>
    </w:p>
    <w:p w14:paraId="0DE9EBDC"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 xml:space="preserve">2. Prevalence of </w:t>
      </w:r>
      <w:r w:rsidRPr="00653608">
        <w:rPr>
          <w:rFonts w:ascii="Arial" w:hAnsi="Arial" w:cs="Arial"/>
          <w:b/>
          <w:bCs/>
          <w:i/>
          <w:iCs/>
          <w:lang w:val="fr-FR"/>
        </w:rPr>
        <w:t>Chlamydia trachomatis</w:t>
      </w:r>
      <w:r w:rsidRPr="00653608">
        <w:rPr>
          <w:rFonts w:ascii="Arial" w:hAnsi="Arial" w:cs="Arial"/>
          <w:b/>
          <w:bCs/>
          <w:lang w:val="fr-FR"/>
        </w:rPr>
        <w:t xml:space="preserve"> infection</w:t>
      </w:r>
      <w:r w:rsidRPr="00653608">
        <w:rPr>
          <w:rFonts w:ascii="Arial" w:hAnsi="Arial" w:cs="Arial"/>
          <w:lang w:val="fr-FR"/>
        </w:rPr>
        <w:t xml:space="preserve"> </w:t>
      </w:r>
    </w:p>
    <w:p w14:paraId="620A091F"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 xml:space="preserve">Of the 168 specimens analyzed, 16 tested positive for the detection of the </w:t>
      </w:r>
      <w:r w:rsidRPr="00653608">
        <w:rPr>
          <w:rFonts w:ascii="Arial" w:hAnsi="Arial" w:cs="Arial"/>
          <w:i/>
          <w:iCs/>
          <w:lang w:val="fr-FR"/>
        </w:rPr>
        <w:t>C. trachomatis</w:t>
      </w:r>
      <w:r w:rsidRPr="00653608">
        <w:rPr>
          <w:rFonts w:ascii="Arial" w:hAnsi="Arial" w:cs="Arial"/>
          <w:lang w:val="fr-FR"/>
        </w:rPr>
        <w:t xml:space="preserve"> antigen. The overall point prevalence of the infection within the study sample was thus established at 9.5% (95% CI [5.1% - 14.0%]).</w:t>
      </w:r>
    </w:p>
    <w:p w14:paraId="360CDEED"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A sex-stratified analysis revealed a prevalence of 10.1% (n=11/</w:t>
      </w:r>
      <w:proofErr w:type="gramStart"/>
      <w:r w:rsidRPr="00653608">
        <w:rPr>
          <w:rFonts w:ascii="Arial" w:hAnsi="Arial" w:cs="Arial"/>
          <w:lang w:val="fr-FR"/>
        </w:rPr>
        <w:t>109;</w:t>
      </w:r>
      <w:proofErr w:type="gramEnd"/>
      <w:r w:rsidRPr="00653608">
        <w:rPr>
          <w:rFonts w:ascii="Arial" w:hAnsi="Arial" w:cs="Arial"/>
          <w:lang w:val="fr-FR"/>
        </w:rPr>
        <w:t xml:space="preserve"> 95% CI [4.4% - 15.7%]) among the female population and 8.5% (n=5/59; 95% CI [1.4% - 15.6%]) among the male population. No statistically significant difference was observed between the two sexes.</w:t>
      </w:r>
    </w:p>
    <w:p w14:paraId="26D0FCD2" w14:textId="77777777" w:rsidR="00653608" w:rsidRDefault="00653608" w:rsidP="00D11272">
      <w:pPr>
        <w:pStyle w:val="Body"/>
        <w:spacing w:after="0"/>
        <w:jc w:val="left"/>
        <w:rPr>
          <w:rFonts w:ascii="Arial" w:hAnsi="Arial" w:cs="Arial"/>
          <w:lang w:val="fr-FR"/>
        </w:rPr>
      </w:pPr>
      <w:r w:rsidRPr="00653608">
        <w:rPr>
          <w:rFonts w:ascii="Arial" w:hAnsi="Arial" w:cs="Arial"/>
          <w:lang w:val="fr-FR"/>
        </w:rPr>
        <w:t>Among female participants (n=109), the prevalence varied according to the specimen type. It reached 11.7% (n=7/</w:t>
      </w:r>
      <w:proofErr w:type="gramStart"/>
      <w:r w:rsidRPr="00653608">
        <w:rPr>
          <w:rFonts w:ascii="Arial" w:hAnsi="Arial" w:cs="Arial"/>
          <w:lang w:val="fr-FR"/>
        </w:rPr>
        <w:t>60;</w:t>
      </w:r>
      <w:proofErr w:type="gramEnd"/>
      <w:r w:rsidRPr="00653608">
        <w:rPr>
          <w:rFonts w:ascii="Arial" w:hAnsi="Arial" w:cs="Arial"/>
          <w:lang w:val="fr-FR"/>
        </w:rPr>
        <w:t xml:space="preserve"> 95% CI [3.6% - 19.8%]) for diagnoses performed on cervicovaginal swabs and was 8.2% (n=4/49; 95% CI [0.5% - 15.8%]) for those performed on urine samples. Table 1 summarizes these results.</w:t>
      </w:r>
    </w:p>
    <w:p w14:paraId="3A7FCC25" w14:textId="77777777" w:rsidR="008E25A9" w:rsidRDefault="008E25A9" w:rsidP="00D11272">
      <w:pPr>
        <w:pStyle w:val="Body"/>
        <w:spacing w:after="0"/>
        <w:jc w:val="left"/>
        <w:rPr>
          <w:rFonts w:ascii="Arial" w:hAnsi="Arial" w:cs="Arial"/>
          <w:lang w:val="fr-FR"/>
        </w:rPr>
      </w:pPr>
    </w:p>
    <w:p w14:paraId="53C788B3" w14:textId="77777777" w:rsidR="008E25A9" w:rsidRPr="008E25A9" w:rsidRDefault="008E25A9" w:rsidP="00D11272">
      <w:pPr>
        <w:pStyle w:val="Body"/>
        <w:spacing w:after="0"/>
        <w:jc w:val="left"/>
        <w:rPr>
          <w:rFonts w:ascii="Arial" w:hAnsi="Arial" w:cs="Arial"/>
          <w:lang w:val="fr-FR"/>
        </w:rPr>
      </w:pPr>
      <w:r w:rsidRPr="008E25A9">
        <w:rPr>
          <w:rFonts w:ascii="Arial" w:hAnsi="Arial" w:cs="Arial"/>
          <w:b/>
          <w:bCs/>
          <w:lang w:val="fr-FR"/>
        </w:rPr>
        <w:t xml:space="preserve">Table </w:t>
      </w:r>
      <w:proofErr w:type="gramStart"/>
      <w:r w:rsidRPr="008E25A9">
        <w:rPr>
          <w:rFonts w:ascii="Arial" w:hAnsi="Arial" w:cs="Arial"/>
          <w:b/>
          <w:bCs/>
          <w:lang w:val="fr-FR"/>
        </w:rPr>
        <w:t>1:</w:t>
      </w:r>
      <w:proofErr w:type="gramEnd"/>
      <w:r w:rsidRPr="008E25A9">
        <w:rPr>
          <w:rFonts w:ascii="Arial" w:hAnsi="Arial" w:cs="Arial"/>
          <w:lang w:val="fr-FR"/>
        </w:rPr>
        <w:t xml:space="preserve"> Prevalence of </w:t>
      </w:r>
      <w:r w:rsidRPr="008E25A9">
        <w:rPr>
          <w:rFonts w:ascii="Arial" w:hAnsi="Arial" w:cs="Arial"/>
          <w:i/>
          <w:iCs/>
          <w:lang w:val="fr-FR"/>
        </w:rPr>
        <w:t>Chlamydia trachomatis</w:t>
      </w:r>
      <w:r w:rsidRPr="008E25A9">
        <w:rPr>
          <w:rFonts w:ascii="Arial" w:hAnsi="Arial" w:cs="Arial"/>
          <w:lang w:val="fr-FR"/>
        </w:rPr>
        <w:t xml:space="preserve"> infection by sex and specimen type (N=168)</w:t>
      </w:r>
    </w:p>
    <w:tbl>
      <w:tblPr>
        <w:tblStyle w:val="TableGrid"/>
        <w:tblW w:w="94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1477"/>
        <w:gridCol w:w="1648"/>
        <w:gridCol w:w="1528"/>
        <w:gridCol w:w="2426"/>
      </w:tblGrid>
      <w:tr w:rsidR="008E25A9" w:rsidRPr="008E25A9" w14:paraId="16C77792" w14:textId="77777777" w:rsidTr="003F66E9">
        <w:trPr>
          <w:trHeight w:val="636"/>
        </w:trPr>
        <w:tc>
          <w:tcPr>
            <w:tcW w:w="2407" w:type="dxa"/>
            <w:tcBorders>
              <w:top w:val="single" w:sz="4" w:space="0" w:color="auto"/>
              <w:bottom w:val="single" w:sz="4" w:space="0" w:color="auto"/>
            </w:tcBorders>
            <w:hideMark/>
          </w:tcPr>
          <w:p w14:paraId="28D40C07" w14:textId="77777777" w:rsidR="008E25A9" w:rsidRPr="008E25A9" w:rsidRDefault="008E25A9" w:rsidP="00D11272">
            <w:pPr>
              <w:pStyle w:val="Body"/>
              <w:spacing w:after="0"/>
              <w:jc w:val="left"/>
              <w:rPr>
                <w:rFonts w:ascii="Arial" w:hAnsi="Arial" w:cs="Arial"/>
                <w:b/>
                <w:bCs/>
                <w:sz w:val="20"/>
                <w:lang w:val="fr-FR"/>
              </w:rPr>
            </w:pPr>
            <w:r w:rsidRPr="008E25A9">
              <w:rPr>
                <w:rFonts w:ascii="Arial" w:hAnsi="Arial" w:cs="Arial"/>
                <w:b/>
                <w:bCs/>
                <w:sz w:val="20"/>
                <w:lang w:val="fr-FR"/>
              </w:rPr>
              <w:t>Group</w:t>
            </w:r>
          </w:p>
        </w:tc>
        <w:tc>
          <w:tcPr>
            <w:tcW w:w="0" w:type="auto"/>
            <w:tcBorders>
              <w:top w:val="single" w:sz="4" w:space="0" w:color="auto"/>
              <w:bottom w:val="single" w:sz="4" w:space="0" w:color="auto"/>
            </w:tcBorders>
            <w:hideMark/>
          </w:tcPr>
          <w:p w14:paraId="69DE2994" w14:textId="77777777" w:rsidR="008E25A9" w:rsidRPr="008E25A9" w:rsidRDefault="008E25A9" w:rsidP="00D11272">
            <w:pPr>
              <w:pStyle w:val="Body"/>
              <w:spacing w:after="0"/>
              <w:jc w:val="left"/>
              <w:rPr>
                <w:rFonts w:ascii="Arial" w:hAnsi="Arial" w:cs="Arial"/>
                <w:b/>
                <w:bCs/>
                <w:sz w:val="20"/>
                <w:lang w:val="fr-FR"/>
              </w:rPr>
            </w:pPr>
            <w:r w:rsidRPr="008E25A9">
              <w:rPr>
                <w:rFonts w:ascii="Arial" w:hAnsi="Arial" w:cs="Arial"/>
                <w:b/>
                <w:bCs/>
                <w:sz w:val="20"/>
                <w:lang w:val="fr-FR"/>
              </w:rPr>
              <w:t>Sample Size (N)</w:t>
            </w:r>
          </w:p>
        </w:tc>
        <w:tc>
          <w:tcPr>
            <w:tcW w:w="0" w:type="auto"/>
            <w:tcBorders>
              <w:top w:val="single" w:sz="4" w:space="0" w:color="auto"/>
              <w:bottom w:val="single" w:sz="4" w:space="0" w:color="auto"/>
            </w:tcBorders>
            <w:hideMark/>
          </w:tcPr>
          <w:p w14:paraId="0AEE0615" w14:textId="77777777" w:rsidR="008E25A9" w:rsidRPr="008E25A9" w:rsidRDefault="008E25A9" w:rsidP="00D11272">
            <w:pPr>
              <w:pStyle w:val="Body"/>
              <w:spacing w:after="0"/>
              <w:jc w:val="left"/>
              <w:rPr>
                <w:rFonts w:ascii="Arial" w:hAnsi="Arial" w:cs="Arial"/>
                <w:b/>
                <w:bCs/>
                <w:sz w:val="20"/>
                <w:lang w:val="fr-FR"/>
              </w:rPr>
            </w:pPr>
            <w:r w:rsidRPr="008E25A9">
              <w:rPr>
                <w:rFonts w:ascii="Arial" w:hAnsi="Arial" w:cs="Arial"/>
                <w:b/>
                <w:bCs/>
                <w:sz w:val="20"/>
                <w:lang w:val="fr-FR"/>
              </w:rPr>
              <w:t>Positive Cases (n)</w:t>
            </w:r>
          </w:p>
        </w:tc>
        <w:tc>
          <w:tcPr>
            <w:tcW w:w="0" w:type="auto"/>
            <w:tcBorders>
              <w:top w:val="single" w:sz="4" w:space="0" w:color="auto"/>
              <w:bottom w:val="single" w:sz="4" w:space="0" w:color="auto"/>
            </w:tcBorders>
            <w:hideMark/>
          </w:tcPr>
          <w:p w14:paraId="686C1C02" w14:textId="77777777" w:rsidR="008E25A9" w:rsidRPr="008E25A9" w:rsidRDefault="008E25A9" w:rsidP="00D11272">
            <w:pPr>
              <w:pStyle w:val="Body"/>
              <w:spacing w:after="0"/>
              <w:jc w:val="left"/>
              <w:rPr>
                <w:rFonts w:ascii="Arial" w:hAnsi="Arial" w:cs="Arial"/>
                <w:b/>
                <w:bCs/>
                <w:sz w:val="20"/>
                <w:lang w:val="fr-FR"/>
              </w:rPr>
            </w:pPr>
            <w:r w:rsidRPr="008E25A9">
              <w:rPr>
                <w:rFonts w:ascii="Arial" w:hAnsi="Arial" w:cs="Arial"/>
                <w:b/>
                <w:bCs/>
                <w:sz w:val="20"/>
                <w:lang w:val="fr-FR"/>
              </w:rPr>
              <w:t>Prevalence (%)</w:t>
            </w:r>
          </w:p>
        </w:tc>
        <w:tc>
          <w:tcPr>
            <w:tcW w:w="0" w:type="auto"/>
            <w:tcBorders>
              <w:top w:val="single" w:sz="4" w:space="0" w:color="auto"/>
              <w:bottom w:val="single" w:sz="4" w:space="0" w:color="auto"/>
            </w:tcBorders>
            <w:hideMark/>
          </w:tcPr>
          <w:p w14:paraId="167B6467" w14:textId="77777777" w:rsidR="008E25A9" w:rsidRPr="008E25A9" w:rsidRDefault="008E25A9" w:rsidP="00D11272">
            <w:pPr>
              <w:pStyle w:val="Body"/>
              <w:spacing w:after="0"/>
              <w:jc w:val="left"/>
              <w:rPr>
                <w:rFonts w:ascii="Arial" w:hAnsi="Arial" w:cs="Arial"/>
                <w:b/>
                <w:bCs/>
                <w:sz w:val="20"/>
                <w:lang w:val="fr-FR"/>
              </w:rPr>
            </w:pPr>
            <w:r w:rsidRPr="008E25A9">
              <w:rPr>
                <w:rFonts w:ascii="Arial" w:hAnsi="Arial" w:cs="Arial"/>
                <w:b/>
                <w:bCs/>
                <w:sz w:val="20"/>
                <w:lang w:val="fr-FR"/>
              </w:rPr>
              <w:t>95% Confidence Interval (CI)</w:t>
            </w:r>
          </w:p>
        </w:tc>
      </w:tr>
      <w:tr w:rsidR="008E25A9" w:rsidRPr="008E25A9" w14:paraId="1139D639" w14:textId="77777777" w:rsidTr="003F66E9">
        <w:trPr>
          <w:trHeight w:val="325"/>
        </w:trPr>
        <w:tc>
          <w:tcPr>
            <w:tcW w:w="2407" w:type="dxa"/>
            <w:tcBorders>
              <w:top w:val="single" w:sz="4" w:space="0" w:color="auto"/>
            </w:tcBorders>
            <w:hideMark/>
          </w:tcPr>
          <w:p w14:paraId="7D42DFB2"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b/>
                <w:bCs/>
                <w:sz w:val="20"/>
                <w:lang w:val="fr-FR"/>
              </w:rPr>
              <w:t>Total Sample</w:t>
            </w:r>
          </w:p>
        </w:tc>
        <w:tc>
          <w:tcPr>
            <w:tcW w:w="0" w:type="auto"/>
            <w:tcBorders>
              <w:top w:val="single" w:sz="4" w:space="0" w:color="auto"/>
            </w:tcBorders>
            <w:hideMark/>
          </w:tcPr>
          <w:p w14:paraId="098CB0B2"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b/>
                <w:bCs/>
                <w:sz w:val="20"/>
                <w:lang w:val="fr-FR"/>
              </w:rPr>
              <w:t>168</w:t>
            </w:r>
          </w:p>
        </w:tc>
        <w:tc>
          <w:tcPr>
            <w:tcW w:w="0" w:type="auto"/>
            <w:tcBorders>
              <w:top w:val="single" w:sz="4" w:space="0" w:color="auto"/>
            </w:tcBorders>
            <w:hideMark/>
          </w:tcPr>
          <w:p w14:paraId="7563480B"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b/>
                <w:bCs/>
                <w:sz w:val="20"/>
                <w:lang w:val="fr-FR"/>
              </w:rPr>
              <w:t>16</w:t>
            </w:r>
          </w:p>
        </w:tc>
        <w:tc>
          <w:tcPr>
            <w:tcW w:w="0" w:type="auto"/>
            <w:tcBorders>
              <w:top w:val="single" w:sz="4" w:space="0" w:color="auto"/>
            </w:tcBorders>
            <w:hideMark/>
          </w:tcPr>
          <w:p w14:paraId="7CCFD4B7"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b/>
                <w:bCs/>
                <w:sz w:val="20"/>
                <w:lang w:val="fr-FR"/>
              </w:rPr>
              <w:t>9.5</w:t>
            </w:r>
          </w:p>
        </w:tc>
        <w:tc>
          <w:tcPr>
            <w:tcW w:w="0" w:type="auto"/>
            <w:tcBorders>
              <w:top w:val="single" w:sz="4" w:space="0" w:color="auto"/>
            </w:tcBorders>
            <w:hideMark/>
          </w:tcPr>
          <w:p w14:paraId="4C206119"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b/>
                <w:bCs/>
                <w:sz w:val="20"/>
                <w:lang w:val="fr-FR"/>
              </w:rPr>
              <w:t>[5.1 - 14.0]</w:t>
            </w:r>
          </w:p>
        </w:tc>
      </w:tr>
      <w:tr w:rsidR="008E25A9" w:rsidRPr="008E25A9" w14:paraId="69CA6700" w14:textId="77777777" w:rsidTr="003F66E9">
        <w:trPr>
          <w:trHeight w:val="325"/>
        </w:trPr>
        <w:tc>
          <w:tcPr>
            <w:tcW w:w="2407" w:type="dxa"/>
            <w:hideMark/>
          </w:tcPr>
          <w:p w14:paraId="72DC0FE3"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Male</w:t>
            </w:r>
          </w:p>
        </w:tc>
        <w:tc>
          <w:tcPr>
            <w:tcW w:w="0" w:type="auto"/>
            <w:hideMark/>
          </w:tcPr>
          <w:p w14:paraId="7F5A66BB"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59</w:t>
            </w:r>
          </w:p>
        </w:tc>
        <w:tc>
          <w:tcPr>
            <w:tcW w:w="0" w:type="auto"/>
            <w:hideMark/>
          </w:tcPr>
          <w:p w14:paraId="4A240A18"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5</w:t>
            </w:r>
          </w:p>
        </w:tc>
        <w:tc>
          <w:tcPr>
            <w:tcW w:w="0" w:type="auto"/>
            <w:hideMark/>
          </w:tcPr>
          <w:p w14:paraId="63A425CA"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8.5</w:t>
            </w:r>
          </w:p>
        </w:tc>
        <w:tc>
          <w:tcPr>
            <w:tcW w:w="0" w:type="auto"/>
            <w:hideMark/>
          </w:tcPr>
          <w:p w14:paraId="2B4AA5E1"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[1.4 - 15.6]</w:t>
            </w:r>
          </w:p>
        </w:tc>
      </w:tr>
      <w:tr w:rsidR="008E25A9" w:rsidRPr="008E25A9" w14:paraId="63C4AFCD" w14:textId="77777777" w:rsidTr="003F66E9">
        <w:trPr>
          <w:trHeight w:val="311"/>
        </w:trPr>
        <w:tc>
          <w:tcPr>
            <w:tcW w:w="2407" w:type="dxa"/>
            <w:hideMark/>
          </w:tcPr>
          <w:p w14:paraId="14DE6908"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Female</w:t>
            </w:r>
          </w:p>
        </w:tc>
        <w:tc>
          <w:tcPr>
            <w:tcW w:w="0" w:type="auto"/>
            <w:hideMark/>
          </w:tcPr>
          <w:p w14:paraId="33701F50"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109</w:t>
            </w:r>
          </w:p>
        </w:tc>
        <w:tc>
          <w:tcPr>
            <w:tcW w:w="0" w:type="auto"/>
            <w:hideMark/>
          </w:tcPr>
          <w:p w14:paraId="6F6E1DDF"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11</w:t>
            </w:r>
          </w:p>
        </w:tc>
        <w:tc>
          <w:tcPr>
            <w:tcW w:w="0" w:type="auto"/>
            <w:hideMark/>
          </w:tcPr>
          <w:p w14:paraId="6E7CDDBC"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10.1</w:t>
            </w:r>
          </w:p>
        </w:tc>
        <w:tc>
          <w:tcPr>
            <w:tcW w:w="0" w:type="auto"/>
            <w:hideMark/>
          </w:tcPr>
          <w:p w14:paraId="47535A86"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[4.4 - 15.7]</w:t>
            </w:r>
          </w:p>
        </w:tc>
      </w:tr>
      <w:tr w:rsidR="008E25A9" w:rsidRPr="008E25A9" w14:paraId="2214E4BF" w14:textId="77777777" w:rsidTr="003F66E9">
        <w:trPr>
          <w:trHeight w:val="325"/>
        </w:trPr>
        <w:tc>
          <w:tcPr>
            <w:tcW w:w="2407" w:type="dxa"/>
            <w:hideMark/>
          </w:tcPr>
          <w:p w14:paraId="0B99459C"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i/>
                <w:iCs/>
                <w:sz w:val="20"/>
                <w:lang w:val="fr-FR"/>
              </w:rPr>
              <w:t>Cervicovaginal Swab</w:t>
            </w:r>
          </w:p>
        </w:tc>
        <w:tc>
          <w:tcPr>
            <w:tcW w:w="0" w:type="auto"/>
            <w:hideMark/>
          </w:tcPr>
          <w:p w14:paraId="121027FF"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60</w:t>
            </w:r>
          </w:p>
        </w:tc>
        <w:tc>
          <w:tcPr>
            <w:tcW w:w="0" w:type="auto"/>
            <w:hideMark/>
          </w:tcPr>
          <w:p w14:paraId="10DB2F91"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7</w:t>
            </w:r>
          </w:p>
        </w:tc>
        <w:tc>
          <w:tcPr>
            <w:tcW w:w="0" w:type="auto"/>
            <w:hideMark/>
          </w:tcPr>
          <w:p w14:paraId="43BC7D8E"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11.7</w:t>
            </w:r>
          </w:p>
        </w:tc>
        <w:tc>
          <w:tcPr>
            <w:tcW w:w="0" w:type="auto"/>
            <w:hideMark/>
          </w:tcPr>
          <w:p w14:paraId="31298D0C"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[3.6 - 19.8]</w:t>
            </w:r>
          </w:p>
        </w:tc>
      </w:tr>
      <w:tr w:rsidR="008E25A9" w:rsidRPr="008E25A9" w14:paraId="22B4CFA8" w14:textId="77777777" w:rsidTr="003F66E9">
        <w:trPr>
          <w:trHeight w:val="311"/>
        </w:trPr>
        <w:tc>
          <w:tcPr>
            <w:tcW w:w="2407" w:type="dxa"/>
            <w:hideMark/>
          </w:tcPr>
          <w:p w14:paraId="16982FA2"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 xml:space="preserve"> </w:t>
            </w:r>
            <w:r w:rsidRPr="008E25A9">
              <w:rPr>
                <w:rFonts w:ascii="Arial" w:hAnsi="Arial" w:cs="Arial"/>
                <w:i/>
                <w:iCs/>
                <w:sz w:val="20"/>
                <w:lang w:val="fr-FR"/>
              </w:rPr>
              <w:t>Urine</w:t>
            </w:r>
          </w:p>
        </w:tc>
        <w:tc>
          <w:tcPr>
            <w:tcW w:w="0" w:type="auto"/>
            <w:hideMark/>
          </w:tcPr>
          <w:p w14:paraId="67680ED3"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49</w:t>
            </w:r>
          </w:p>
        </w:tc>
        <w:tc>
          <w:tcPr>
            <w:tcW w:w="0" w:type="auto"/>
            <w:hideMark/>
          </w:tcPr>
          <w:p w14:paraId="1E0D9E9A"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4</w:t>
            </w:r>
          </w:p>
        </w:tc>
        <w:tc>
          <w:tcPr>
            <w:tcW w:w="0" w:type="auto"/>
            <w:hideMark/>
          </w:tcPr>
          <w:p w14:paraId="0B8A4DA5"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8.2</w:t>
            </w:r>
          </w:p>
        </w:tc>
        <w:tc>
          <w:tcPr>
            <w:tcW w:w="0" w:type="auto"/>
            <w:hideMark/>
          </w:tcPr>
          <w:p w14:paraId="53D1624C" w14:textId="77777777" w:rsidR="008E25A9" w:rsidRPr="008E25A9" w:rsidRDefault="008E25A9" w:rsidP="00D11272">
            <w:pPr>
              <w:pStyle w:val="Body"/>
              <w:spacing w:after="0"/>
              <w:jc w:val="left"/>
              <w:rPr>
                <w:rFonts w:ascii="Arial" w:hAnsi="Arial" w:cs="Arial"/>
                <w:sz w:val="20"/>
                <w:lang w:val="fr-FR"/>
              </w:rPr>
            </w:pPr>
            <w:r w:rsidRPr="008E25A9">
              <w:rPr>
                <w:rFonts w:ascii="Arial" w:hAnsi="Arial" w:cs="Arial"/>
                <w:sz w:val="20"/>
                <w:lang w:val="fr-FR"/>
              </w:rPr>
              <w:t>[0.5 - 15.8]</w:t>
            </w:r>
          </w:p>
        </w:tc>
      </w:tr>
    </w:tbl>
    <w:p w14:paraId="0D8F35E7" w14:textId="77777777" w:rsidR="003F66E9" w:rsidRDefault="003F66E9" w:rsidP="00D11272">
      <w:pPr>
        <w:pStyle w:val="Body"/>
        <w:spacing w:after="0"/>
        <w:jc w:val="left"/>
        <w:rPr>
          <w:rFonts w:ascii="Arial" w:hAnsi="Arial" w:cs="Arial"/>
          <w:b/>
          <w:bCs/>
          <w:lang w:val="fr-FR"/>
        </w:rPr>
      </w:pPr>
    </w:p>
    <w:p w14:paraId="4A13988A"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3. Self-reported sexual behaviors and preventive practices</w:t>
      </w:r>
      <w:r w:rsidRPr="00653608">
        <w:rPr>
          <w:rFonts w:ascii="Arial" w:hAnsi="Arial" w:cs="Arial"/>
          <w:lang w:val="fr-FR"/>
        </w:rPr>
        <w:t xml:space="preserve"> </w:t>
      </w:r>
    </w:p>
    <w:p w14:paraId="6CCFB3C2" w14:textId="77777777" w:rsidR="00B05DDB" w:rsidRPr="00653608" w:rsidRDefault="00653608" w:rsidP="00D11272">
      <w:pPr>
        <w:pStyle w:val="Body"/>
        <w:spacing w:after="0"/>
        <w:jc w:val="left"/>
        <w:rPr>
          <w:rFonts w:ascii="Arial" w:hAnsi="Arial" w:cs="Arial"/>
          <w:lang w:val="fr-FR"/>
        </w:rPr>
      </w:pPr>
      <w:r w:rsidRPr="00653608">
        <w:rPr>
          <w:rFonts w:ascii="Arial" w:hAnsi="Arial" w:cs="Arial"/>
          <w:lang w:val="fr-FR"/>
        </w:rPr>
        <w:t>Among the 109 female students, 95.4% (n=104) reported being sexually active. Over the past 12 months, 66.1% (n=72) reported having only one sexual partner. Consistent condom use was reported by 85.3% of sexually active female students (Table 2).</w:t>
      </w:r>
    </w:p>
    <w:p w14:paraId="772FFA35" w14:textId="77777777" w:rsidR="00653608" w:rsidRDefault="00653608" w:rsidP="00D11272">
      <w:pPr>
        <w:pStyle w:val="Body"/>
        <w:spacing w:after="0"/>
        <w:jc w:val="left"/>
        <w:rPr>
          <w:rFonts w:ascii="Arial" w:hAnsi="Arial" w:cs="Arial"/>
          <w:lang w:val="fr-FR"/>
        </w:rPr>
      </w:pPr>
      <w:r w:rsidRPr="00653608">
        <w:rPr>
          <w:rFonts w:ascii="Arial" w:hAnsi="Arial" w:cs="Arial"/>
          <w:lang w:val="fr-FR"/>
        </w:rPr>
        <w:t>Among the 59 male students, 96.6% (n=57) reported sexual activity. Multiple partnerships were more frequently reported, with 61.4% (n=35) of sexually active males reporting two or more partners in the past 12 months. Consistent condom use was reported by 40.4% of sexually active male students (Table 3).</w:t>
      </w:r>
    </w:p>
    <w:p w14:paraId="069EB047" w14:textId="77777777" w:rsidR="003F66E9" w:rsidRDefault="003F66E9" w:rsidP="00D11272">
      <w:pPr>
        <w:pStyle w:val="Body"/>
        <w:spacing w:after="0"/>
        <w:jc w:val="left"/>
        <w:rPr>
          <w:rFonts w:ascii="Arial" w:hAnsi="Arial" w:cs="Arial"/>
          <w:lang w:val="fr-FR"/>
        </w:rPr>
      </w:pPr>
    </w:p>
    <w:p w14:paraId="10DD525C" w14:textId="77777777" w:rsidR="003F66E9" w:rsidRDefault="003F66E9" w:rsidP="00D11272">
      <w:pPr>
        <w:pStyle w:val="Body"/>
        <w:spacing w:after="0"/>
        <w:jc w:val="left"/>
        <w:rPr>
          <w:rFonts w:ascii="Arial" w:hAnsi="Arial" w:cs="Arial"/>
          <w:lang w:val="fr-FR"/>
        </w:rPr>
      </w:pPr>
    </w:p>
    <w:p w14:paraId="15AD609A" w14:textId="77777777" w:rsidR="00B05DDB" w:rsidRDefault="00B05DDB" w:rsidP="00D11272">
      <w:pPr>
        <w:pStyle w:val="Body"/>
        <w:spacing w:after="0"/>
        <w:jc w:val="left"/>
        <w:rPr>
          <w:rFonts w:ascii="Arial" w:hAnsi="Arial" w:cs="Arial"/>
          <w:lang w:val="fr-FR"/>
        </w:rPr>
      </w:pPr>
    </w:p>
    <w:p w14:paraId="375FAADE" w14:textId="77777777" w:rsidR="00B05DDB" w:rsidRPr="00B05DDB" w:rsidRDefault="00B05DDB" w:rsidP="00D11272">
      <w:pPr>
        <w:pStyle w:val="Body"/>
        <w:spacing w:after="0"/>
        <w:jc w:val="left"/>
        <w:rPr>
          <w:rFonts w:ascii="Arial" w:hAnsi="Arial" w:cs="Arial"/>
          <w:lang w:val="fr-FR"/>
        </w:rPr>
      </w:pPr>
      <w:r w:rsidRPr="00B05DDB">
        <w:rPr>
          <w:rFonts w:ascii="Arial" w:hAnsi="Arial" w:cs="Arial"/>
          <w:b/>
          <w:bCs/>
          <w:lang w:val="fr-FR"/>
        </w:rPr>
        <w:t xml:space="preserve">Table </w:t>
      </w:r>
      <w:proofErr w:type="gramStart"/>
      <w:r w:rsidRPr="00B05DDB">
        <w:rPr>
          <w:rFonts w:ascii="Arial" w:hAnsi="Arial" w:cs="Arial"/>
          <w:b/>
          <w:bCs/>
          <w:lang w:val="fr-FR"/>
        </w:rPr>
        <w:t>2:</w:t>
      </w:r>
      <w:proofErr w:type="gramEnd"/>
      <w:r w:rsidRPr="00B05DDB">
        <w:rPr>
          <w:rFonts w:ascii="Arial" w:hAnsi="Arial" w:cs="Arial"/>
          <w:lang w:val="fr-FR"/>
        </w:rPr>
        <w:t xml:space="preserve"> Self-reported sexual behaviors among female students (N=109)</w:t>
      </w:r>
    </w:p>
    <w:tbl>
      <w:tblPr>
        <w:tblStyle w:val="TableGrid"/>
        <w:tblW w:w="9005" w:type="dxa"/>
        <w:tblLook w:val="04A0" w:firstRow="1" w:lastRow="0" w:firstColumn="1" w:lastColumn="0" w:noHBand="0" w:noVBand="1"/>
      </w:tblPr>
      <w:tblGrid>
        <w:gridCol w:w="4987"/>
        <w:gridCol w:w="2513"/>
        <w:gridCol w:w="1505"/>
      </w:tblGrid>
      <w:tr w:rsidR="00B05DDB" w:rsidRPr="00B05DDB" w14:paraId="463204B7" w14:textId="77777777" w:rsidTr="009C635E">
        <w:trPr>
          <w:trHeight w:val="275"/>
        </w:trPr>
        <w:tc>
          <w:tcPr>
            <w:tcW w:w="0" w:type="auto"/>
            <w:hideMark/>
          </w:tcPr>
          <w:p w14:paraId="6C2AE5F4" w14:textId="77777777" w:rsidR="00B05DDB" w:rsidRPr="00B05DDB" w:rsidRDefault="00B05DDB" w:rsidP="00D11272">
            <w:pPr>
              <w:pStyle w:val="Body"/>
              <w:spacing w:after="0"/>
              <w:jc w:val="left"/>
              <w:rPr>
                <w:rFonts w:ascii="Arial" w:hAnsi="Arial" w:cs="Arial"/>
                <w:b/>
                <w:bCs/>
                <w:sz w:val="20"/>
                <w:lang w:val="fr-FR"/>
              </w:rPr>
            </w:pPr>
            <w:r w:rsidRPr="00B05DDB">
              <w:rPr>
                <w:rFonts w:ascii="Arial" w:hAnsi="Arial" w:cs="Arial"/>
                <w:b/>
                <w:bCs/>
                <w:sz w:val="20"/>
                <w:lang w:val="fr-FR"/>
              </w:rPr>
              <w:t>Characteristic</w:t>
            </w:r>
          </w:p>
        </w:tc>
        <w:tc>
          <w:tcPr>
            <w:tcW w:w="0" w:type="auto"/>
            <w:hideMark/>
          </w:tcPr>
          <w:p w14:paraId="44C4C3A4" w14:textId="77777777" w:rsidR="00B05DDB" w:rsidRPr="00B05DDB" w:rsidRDefault="00B05DDB" w:rsidP="00D11272">
            <w:pPr>
              <w:pStyle w:val="Body"/>
              <w:spacing w:after="0"/>
              <w:jc w:val="left"/>
              <w:rPr>
                <w:rFonts w:ascii="Arial" w:hAnsi="Arial" w:cs="Arial"/>
                <w:b/>
                <w:bCs/>
                <w:sz w:val="20"/>
                <w:lang w:val="fr-FR"/>
              </w:rPr>
            </w:pPr>
            <w:r w:rsidRPr="00B05DDB">
              <w:rPr>
                <w:rFonts w:ascii="Arial" w:hAnsi="Arial" w:cs="Arial"/>
                <w:b/>
                <w:bCs/>
                <w:sz w:val="20"/>
                <w:lang w:val="fr-FR"/>
              </w:rPr>
              <w:t>Category</w:t>
            </w:r>
          </w:p>
        </w:tc>
        <w:tc>
          <w:tcPr>
            <w:tcW w:w="0" w:type="auto"/>
            <w:hideMark/>
          </w:tcPr>
          <w:p w14:paraId="4B924A1C" w14:textId="77777777" w:rsidR="00B05DDB" w:rsidRPr="00B05DDB" w:rsidRDefault="00B05DDB" w:rsidP="00D11272">
            <w:pPr>
              <w:pStyle w:val="Body"/>
              <w:spacing w:after="0"/>
              <w:jc w:val="left"/>
              <w:rPr>
                <w:rFonts w:ascii="Arial" w:hAnsi="Arial" w:cs="Arial"/>
                <w:b/>
                <w:bCs/>
                <w:sz w:val="20"/>
                <w:lang w:val="fr-FR"/>
              </w:rPr>
            </w:pPr>
            <w:proofErr w:type="gramStart"/>
            <w:r w:rsidRPr="00B05DDB">
              <w:rPr>
                <w:rFonts w:ascii="Arial" w:hAnsi="Arial" w:cs="Arial"/>
                <w:b/>
                <w:bCs/>
                <w:sz w:val="20"/>
                <w:lang w:val="fr-FR"/>
              </w:rPr>
              <w:t>n</w:t>
            </w:r>
            <w:proofErr w:type="gramEnd"/>
            <w:r w:rsidRPr="00B05DDB">
              <w:rPr>
                <w:rFonts w:ascii="Arial" w:hAnsi="Arial" w:cs="Arial"/>
                <w:b/>
                <w:bCs/>
                <w:sz w:val="20"/>
                <w:lang w:val="fr-FR"/>
              </w:rPr>
              <w:t xml:space="preserve"> (%)</w:t>
            </w:r>
          </w:p>
        </w:tc>
      </w:tr>
      <w:tr w:rsidR="00B05DDB" w:rsidRPr="00B05DDB" w14:paraId="6819BD07" w14:textId="77777777" w:rsidTr="009C635E">
        <w:trPr>
          <w:trHeight w:val="265"/>
        </w:trPr>
        <w:tc>
          <w:tcPr>
            <w:tcW w:w="0" w:type="auto"/>
            <w:vMerge w:val="restart"/>
            <w:hideMark/>
          </w:tcPr>
          <w:p w14:paraId="07EBB394"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b/>
                <w:bCs/>
                <w:sz w:val="20"/>
                <w:lang w:val="fr-FR"/>
              </w:rPr>
              <w:t>Sexual activity status</w:t>
            </w:r>
          </w:p>
        </w:tc>
        <w:tc>
          <w:tcPr>
            <w:tcW w:w="0" w:type="auto"/>
            <w:hideMark/>
          </w:tcPr>
          <w:p w14:paraId="7854F919"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Sexually active</w:t>
            </w:r>
          </w:p>
        </w:tc>
        <w:tc>
          <w:tcPr>
            <w:tcW w:w="0" w:type="auto"/>
            <w:hideMark/>
          </w:tcPr>
          <w:p w14:paraId="6EE52718"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104 (95.4)</w:t>
            </w:r>
          </w:p>
        </w:tc>
      </w:tr>
      <w:tr w:rsidR="00B05DDB" w:rsidRPr="00B05DDB" w14:paraId="303020A0" w14:textId="77777777" w:rsidTr="009C635E">
        <w:trPr>
          <w:trHeight w:val="275"/>
        </w:trPr>
        <w:tc>
          <w:tcPr>
            <w:tcW w:w="0" w:type="auto"/>
            <w:vMerge/>
            <w:hideMark/>
          </w:tcPr>
          <w:p w14:paraId="3E759261" w14:textId="77777777" w:rsidR="00B05DDB" w:rsidRPr="00B05DDB" w:rsidRDefault="00B05DDB" w:rsidP="00D11272">
            <w:pPr>
              <w:pStyle w:val="Body"/>
              <w:jc w:val="left"/>
              <w:rPr>
                <w:rFonts w:ascii="Arial" w:hAnsi="Arial" w:cs="Arial"/>
                <w:sz w:val="20"/>
                <w:lang w:val="fr-FR"/>
              </w:rPr>
            </w:pPr>
          </w:p>
        </w:tc>
        <w:tc>
          <w:tcPr>
            <w:tcW w:w="0" w:type="auto"/>
            <w:hideMark/>
          </w:tcPr>
          <w:p w14:paraId="3F7D6F1A"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Not sexually active</w:t>
            </w:r>
          </w:p>
        </w:tc>
        <w:tc>
          <w:tcPr>
            <w:tcW w:w="0" w:type="auto"/>
            <w:hideMark/>
          </w:tcPr>
          <w:p w14:paraId="4A1C0672"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5 (4.6)</w:t>
            </w:r>
          </w:p>
        </w:tc>
      </w:tr>
      <w:tr w:rsidR="00B05DDB" w:rsidRPr="00B05DDB" w14:paraId="6C8A88F8" w14:textId="77777777" w:rsidTr="009C635E">
        <w:trPr>
          <w:trHeight w:val="265"/>
        </w:trPr>
        <w:tc>
          <w:tcPr>
            <w:tcW w:w="0" w:type="auto"/>
            <w:vMerge w:val="restart"/>
            <w:hideMark/>
          </w:tcPr>
          <w:p w14:paraId="41607277" w14:textId="77777777" w:rsidR="00B05DDB" w:rsidRPr="00B05DDB" w:rsidRDefault="00B05DDB" w:rsidP="00D11272">
            <w:pPr>
              <w:pStyle w:val="Body"/>
              <w:spacing w:after="0"/>
              <w:jc w:val="left"/>
              <w:rPr>
                <w:rFonts w:ascii="Arial" w:hAnsi="Arial" w:cs="Arial"/>
                <w:b/>
                <w:bCs/>
                <w:sz w:val="20"/>
                <w:lang w:val="fr-FR"/>
              </w:rPr>
            </w:pPr>
          </w:p>
          <w:p w14:paraId="2C141EFE" w14:textId="77777777" w:rsidR="00B05DDB" w:rsidRPr="00B05DDB" w:rsidRDefault="003F66E9" w:rsidP="00D11272">
            <w:pPr>
              <w:pStyle w:val="Body"/>
              <w:spacing w:after="0"/>
              <w:jc w:val="left"/>
              <w:rPr>
                <w:rFonts w:ascii="Arial" w:hAnsi="Arial" w:cs="Arial"/>
                <w:sz w:val="20"/>
                <w:lang w:val="fr-FR"/>
              </w:rPr>
            </w:pPr>
            <w:r>
              <w:rPr>
                <w:rFonts w:ascii="Arial" w:hAnsi="Arial" w:cs="Arial"/>
                <w:b/>
                <w:bCs/>
                <w:sz w:val="20"/>
                <w:lang w:val="fr-FR"/>
              </w:rPr>
              <w:t>Number of p</w:t>
            </w:r>
            <w:r w:rsidR="00B05DDB" w:rsidRPr="00B05DDB">
              <w:rPr>
                <w:rFonts w:ascii="Arial" w:hAnsi="Arial" w:cs="Arial"/>
                <w:b/>
                <w:bCs/>
                <w:sz w:val="20"/>
                <w:lang w:val="fr-FR"/>
              </w:rPr>
              <w:t xml:space="preserve">artners (last 12 </w:t>
            </w:r>
            <w:proofErr w:type="gramStart"/>
            <w:r w:rsidR="00B05DDB" w:rsidRPr="00B05DDB">
              <w:rPr>
                <w:rFonts w:ascii="Arial" w:hAnsi="Arial" w:cs="Arial"/>
                <w:b/>
                <w:bCs/>
                <w:sz w:val="20"/>
                <w:lang w:val="fr-FR"/>
              </w:rPr>
              <w:t>months)*</w:t>
            </w:r>
            <w:proofErr w:type="gramEnd"/>
          </w:p>
        </w:tc>
        <w:tc>
          <w:tcPr>
            <w:tcW w:w="0" w:type="auto"/>
            <w:hideMark/>
          </w:tcPr>
          <w:p w14:paraId="1AF5AEFF"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0 partners</w:t>
            </w:r>
          </w:p>
        </w:tc>
        <w:tc>
          <w:tcPr>
            <w:tcW w:w="0" w:type="auto"/>
            <w:hideMark/>
          </w:tcPr>
          <w:p w14:paraId="5E47335E"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5 (4.8)</w:t>
            </w:r>
          </w:p>
        </w:tc>
      </w:tr>
      <w:tr w:rsidR="00B05DDB" w:rsidRPr="00B05DDB" w14:paraId="1CB5FA97" w14:textId="77777777" w:rsidTr="009C635E">
        <w:trPr>
          <w:trHeight w:val="275"/>
        </w:trPr>
        <w:tc>
          <w:tcPr>
            <w:tcW w:w="0" w:type="auto"/>
            <w:vMerge/>
            <w:hideMark/>
          </w:tcPr>
          <w:p w14:paraId="19B57A8C" w14:textId="77777777" w:rsidR="00B05DDB" w:rsidRPr="00B05DDB" w:rsidRDefault="00B05DDB" w:rsidP="00D11272">
            <w:pPr>
              <w:pStyle w:val="Body"/>
              <w:jc w:val="left"/>
              <w:rPr>
                <w:rFonts w:ascii="Arial" w:hAnsi="Arial" w:cs="Arial"/>
                <w:sz w:val="20"/>
                <w:lang w:val="fr-FR"/>
              </w:rPr>
            </w:pPr>
          </w:p>
        </w:tc>
        <w:tc>
          <w:tcPr>
            <w:tcW w:w="0" w:type="auto"/>
            <w:hideMark/>
          </w:tcPr>
          <w:p w14:paraId="622B086D"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 partner</w:t>
            </w:r>
          </w:p>
        </w:tc>
        <w:tc>
          <w:tcPr>
            <w:tcW w:w="0" w:type="auto"/>
            <w:hideMark/>
          </w:tcPr>
          <w:p w14:paraId="27EF26F3"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72 (69.2)</w:t>
            </w:r>
          </w:p>
        </w:tc>
      </w:tr>
      <w:tr w:rsidR="00B05DDB" w:rsidRPr="00B05DDB" w14:paraId="53BB0153" w14:textId="77777777" w:rsidTr="009C635E">
        <w:trPr>
          <w:trHeight w:val="275"/>
        </w:trPr>
        <w:tc>
          <w:tcPr>
            <w:tcW w:w="0" w:type="auto"/>
            <w:vMerge/>
            <w:hideMark/>
          </w:tcPr>
          <w:p w14:paraId="0C5B432F" w14:textId="77777777" w:rsidR="00B05DDB" w:rsidRPr="00B05DDB" w:rsidRDefault="00B05DDB" w:rsidP="00D11272">
            <w:pPr>
              <w:pStyle w:val="Body"/>
              <w:jc w:val="left"/>
              <w:rPr>
                <w:rFonts w:ascii="Arial" w:hAnsi="Arial" w:cs="Arial"/>
                <w:sz w:val="20"/>
                <w:lang w:val="fr-FR"/>
              </w:rPr>
            </w:pPr>
          </w:p>
        </w:tc>
        <w:tc>
          <w:tcPr>
            <w:tcW w:w="0" w:type="auto"/>
            <w:hideMark/>
          </w:tcPr>
          <w:p w14:paraId="242D0AC3"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 2 partners</w:t>
            </w:r>
          </w:p>
        </w:tc>
        <w:tc>
          <w:tcPr>
            <w:tcW w:w="0" w:type="auto"/>
            <w:hideMark/>
          </w:tcPr>
          <w:p w14:paraId="6F02A684"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14 (13.5)</w:t>
            </w:r>
          </w:p>
        </w:tc>
      </w:tr>
      <w:tr w:rsidR="00B05DDB" w:rsidRPr="00B05DDB" w14:paraId="2B9DECFA" w14:textId="77777777" w:rsidTr="009C635E">
        <w:trPr>
          <w:trHeight w:val="265"/>
        </w:trPr>
        <w:tc>
          <w:tcPr>
            <w:tcW w:w="0" w:type="auto"/>
            <w:vMerge/>
            <w:hideMark/>
          </w:tcPr>
          <w:p w14:paraId="482EB23B" w14:textId="77777777" w:rsidR="00B05DDB" w:rsidRPr="00B05DDB" w:rsidRDefault="00B05DDB" w:rsidP="00D11272">
            <w:pPr>
              <w:pStyle w:val="Body"/>
              <w:jc w:val="left"/>
              <w:rPr>
                <w:rFonts w:ascii="Arial" w:hAnsi="Arial" w:cs="Arial"/>
                <w:sz w:val="20"/>
                <w:lang w:val="fr-FR"/>
              </w:rPr>
            </w:pPr>
          </w:p>
        </w:tc>
        <w:tc>
          <w:tcPr>
            <w:tcW w:w="0" w:type="auto"/>
            <w:hideMark/>
          </w:tcPr>
          <w:p w14:paraId="42785C8C"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Not specified</w:t>
            </w:r>
          </w:p>
        </w:tc>
        <w:tc>
          <w:tcPr>
            <w:tcW w:w="0" w:type="auto"/>
            <w:hideMark/>
          </w:tcPr>
          <w:p w14:paraId="1E833BE8"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18 (17.3)</w:t>
            </w:r>
          </w:p>
        </w:tc>
      </w:tr>
      <w:tr w:rsidR="00B05DDB" w:rsidRPr="00B05DDB" w14:paraId="537B94B5" w14:textId="77777777" w:rsidTr="009C635E">
        <w:trPr>
          <w:trHeight w:val="275"/>
        </w:trPr>
        <w:tc>
          <w:tcPr>
            <w:tcW w:w="0" w:type="auto"/>
            <w:vMerge w:val="restart"/>
            <w:hideMark/>
          </w:tcPr>
          <w:p w14:paraId="6499076A"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b/>
                <w:bCs/>
                <w:sz w:val="20"/>
                <w:lang w:val="fr-FR"/>
              </w:rPr>
              <w:t>Condom use*</w:t>
            </w:r>
          </w:p>
        </w:tc>
        <w:tc>
          <w:tcPr>
            <w:tcW w:w="0" w:type="auto"/>
            <w:hideMark/>
          </w:tcPr>
          <w:p w14:paraId="5DBE4A1E"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Always</w:t>
            </w:r>
          </w:p>
        </w:tc>
        <w:tc>
          <w:tcPr>
            <w:tcW w:w="0" w:type="auto"/>
            <w:hideMark/>
          </w:tcPr>
          <w:p w14:paraId="682E4E37"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93 (89.4)</w:t>
            </w:r>
          </w:p>
        </w:tc>
      </w:tr>
      <w:tr w:rsidR="00B05DDB" w:rsidRPr="00B05DDB" w14:paraId="349D15A7" w14:textId="77777777" w:rsidTr="009C635E">
        <w:trPr>
          <w:trHeight w:val="265"/>
        </w:trPr>
        <w:tc>
          <w:tcPr>
            <w:tcW w:w="0" w:type="auto"/>
            <w:vMerge/>
            <w:hideMark/>
          </w:tcPr>
          <w:p w14:paraId="4704BFD7" w14:textId="77777777" w:rsidR="00B05DDB" w:rsidRPr="00B05DDB" w:rsidRDefault="00B05DDB" w:rsidP="00D11272">
            <w:pPr>
              <w:pStyle w:val="Body"/>
              <w:jc w:val="left"/>
              <w:rPr>
                <w:rFonts w:ascii="Arial" w:hAnsi="Arial" w:cs="Arial"/>
                <w:sz w:val="20"/>
                <w:lang w:val="fr-FR"/>
              </w:rPr>
            </w:pPr>
          </w:p>
        </w:tc>
        <w:tc>
          <w:tcPr>
            <w:tcW w:w="0" w:type="auto"/>
            <w:hideMark/>
          </w:tcPr>
          <w:p w14:paraId="1C407E03"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Often/Inconsistent</w:t>
            </w:r>
          </w:p>
        </w:tc>
        <w:tc>
          <w:tcPr>
            <w:tcW w:w="0" w:type="auto"/>
            <w:hideMark/>
          </w:tcPr>
          <w:p w14:paraId="712F09EF"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11 (10.6)</w:t>
            </w:r>
          </w:p>
        </w:tc>
      </w:tr>
      <w:tr w:rsidR="00B05DDB" w:rsidRPr="00B05DDB" w14:paraId="1A4486FA" w14:textId="77777777" w:rsidTr="009C635E">
        <w:trPr>
          <w:trHeight w:val="275"/>
        </w:trPr>
        <w:tc>
          <w:tcPr>
            <w:tcW w:w="0" w:type="auto"/>
            <w:vMerge/>
            <w:hideMark/>
          </w:tcPr>
          <w:p w14:paraId="09547D04" w14:textId="77777777" w:rsidR="00B05DDB" w:rsidRPr="00B05DDB" w:rsidRDefault="00B05DDB" w:rsidP="00D11272">
            <w:pPr>
              <w:pStyle w:val="Body"/>
              <w:jc w:val="left"/>
              <w:rPr>
                <w:rFonts w:ascii="Arial" w:hAnsi="Arial" w:cs="Arial"/>
                <w:sz w:val="20"/>
                <w:lang w:val="fr-FR"/>
              </w:rPr>
            </w:pPr>
          </w:p>
        </w:tc>
        <w:tc>
          <w:tcPr>
            <w:tcW w:w="0" w:type="auto"/>
            <w:hideMark/>
          </w:tcPr>
          <w:p w14:paraId="094CB1A9"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Never</w:t>
            </w:r>
          </w:p>
        </w:tc>
        <w:tc>
          <w:tcPr>
            <w:tcW w:w="0" w:type="auto"/>
            <w:hideMark/>
          </w:tcPr>
          <w:p w14:paraId="5E486481"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0 (0.0)</w:t>
            </w:r>
          </w:p>
        </w:tc>
      </w:tr>
    </w:tbl>
    <w:p w14:paraId="51FADDB1" w14:textId="77777777" w:rsidR="00B05DDB" w:rsidRDefault="00B05DDB" w:rsidP="00D11272">
      <w:pPr>
        <w:pStyle w:val="Body"/>
        <w:spacing w:after="0"/>
        <w:jc w:val="left"/>
        <w:rPr>
          <w:rFonts w:ascii="Arial" w:hAnsi="Arial" w:cs="Arial"/>
          <w:i/>
          <w:iCs/>
          <w:lang w:val="fr-FR"/>
        </w:rPr>
      </w:pPr>
      <w:r w:rsidRPr="00B05DDB">
        <w:rPr>
          <w:rFonts w:ascii="Arial" w:hAnsi="Arial" w:cs="Arial"/>
          <w:i/>
          <w:iCs/>
          <w:lang w:val="fr-FR"/>
        </w:rPr>
        <w:t xml:space="preserve">*Percentages are calculated based on the number of </w:t>
      </w:r>
      <w:r w:rsidR="003F66E9">
        <w:rPr>
          <w:rFonts w:ascii="Arial" w:hAnsi="Arial" w:cs="Arial"/>
          <w:i/>
          <w:iCs/>
          <w:lang w:val="fr-FR"/>
        </w:rPr>
        <w:t xml:space="preserve">female </w:t>
      </w:r>
      <w:r w:rsidRPr="00B05DDB">
        <w:rPr>
          <w:rFonts w:ascii="Arial" w:hAnsi="Arial" w:cs="Arial"/>
          <w:i/>
          <w:iCs/>
          <w:lang w:val="fr-FR"/>
        </w:rPr>
        <w:t>sexually active students (n=104).</w:t>
      </w:r>
    </w:p>
    <w:p w14:paraId="2017A3F9" w14:textId="77777777" w:rsidR="00B05DDB" w:rsidRPr="00B05DDB" w:rsidRDefault="00B05DDB" w:rsidP="00D11272">
      <w:pPr>
        <w:pStyle w:val="Body"/>
        <w:spacing w:after="0"/>
        <w:jc w:val="left"/>
        <w:rPr>
          <w:rFonts w:ascii="Arial" w:hAnsi="Arial" w:cs="Arial"/>
          <w:lang w:val="fr-FR"/>
        </w:rPr>
      </w:pPr>
    </w:p>
    <w:p w14:paraId="45FA44AC" w14:textId="77777777" w:rsidR="00B05DDB" w:rsidRPr="00B05DDB" w:rsidRDefault="00B05DDB" w:rsidP="00D11272">
      <w:pPr>
        <w:pStyle w:val="Body"/>
        <w:spacing w:after="0"/>
        <w:jc w:val="left"/>
        <w:rPr>
          <w:rFonts w:ascii="Arial" w:hAnsi="Arial" w:cs="Arial"/>
          <w:lang w:val="fr-FR"/>
        </w:rPr>
      </w:pPr>
      <w:r w:rsidRPr="00B05DDB">
        <w:rPr>
          <w:rFonts w:ascii="Arial" w:hAnsi="Arial" w:cs="Arial"/>
          <w:b/>
          <w:bCs/>
          <w:lang w:val="fr-FR"/>
        </w:rPr>
        <w:t xml:space="preserve">Table </w:t>
      </w:r>
      <w:proofErr w:type="gramStart"/>
      <w:r w:rsidRPr="00B05DDB">
        <w:rPr>
          <w:rFonts w:ascii="Arial" w:hAnsi="Arial" w:cs="Arial"/>
          <w:b/>
          <w:bCs/>
          <w:lang w:val="fr-FR"/>
        </w:rPr>
        <w:t>3:</w:t>
      </w:r>
      <w:proofErr w:type="gramEnd"/>
      <w:r w:rsidRPr="00B05DDB">
        <w:rPr>
          <w:rFonts w:ascii="Arial" w:hAnsi="Arial" w:cs="Arial"/>
          <w:lang w:val="fr-FR"/>
        </w:rPr>
        <w:t xml:space="preserve"> </w:t>
      </w:r>
      <w:r>
        <w:rPr>
          <w:rFonts w:ascii="Arial" w:hAnsi="Arial" w:cs="Arial"/>
          <w:lang w:val="fr-FR"/>
        </w:rPr>
        <w:t>S</w:t>
      </w:r>
      <w:r w:rsidRPr="00B05DDB">
        <w:rPr>
          <w:rFonts w:ascii="Arial" w:hAnsi="Arial" w:cs="Arial"/>
          <w:lang w:val="fr-FR"/>
        </w:rPr>
        <w:t>elf-reported sexual behaviors among male students (N=59)</w:t>
      </w:r>
    </w:p>
    <w:tbl>
      <w:tblPr>
        <w:tblStyle w:val="TableGrid"/>
        <w:tblW w:w="9262" w:type="dxa"/>
        <w:tblLook w:val="04A0" w:firstRow="1" w:lastRow="0" w:firstColumn="1" w:lastColumn="0" w:noHBand="0" w:noVBand="1"/>
      </w:tblPr>
      <w:tblGrid>
        <w:gridCol w:w="5138"/>
        <w:gridCol w:w="2726"/>
        <w:gridCol w:w="1398"/>
      </w:tblGrid>
      <w:tr w:rsidR="00B05DDB" w:rsidRPr="00B05DDB" w14:paraId="0A61F2CB" w14:textId="77777777" w:rsidTr="009C635E">
        <w:trPr>
          <w:trHeight w:val="280"/>
        </w:trPr>
        <w:tc>
          <w:tcPr>
            <w:tcW w:w="0" w:type="auto"/>
            <w:hideMark/>
          </w:tcPr>
          <w:p w14:paraId="2D2963AF" w14:textId="77777777" w:rsidR="00B05DDB" w:rsidRPr="00B05DDB" w:rsidRDefault="00B05DDB" w:rsidP="00D11272">
            <w:pPr>
              <w:pStyle w:val="Body"/>
              <w:spacing w:after="0"/>
              <w:jc w:val="left"/>
              <w:rPr>
                <w:rFonts w:ascii="Arial" w:hAnsi="Arial" w:cs="Arial"/>
                <w:b/>
                <w:bCs/>
                <w:sz w:val="20"/>
                <w:lang w:val="fr-FR"/>
              </w:rPr>
            </w:pPr>
            <w:r w:rsidRPr="00B05DDB">
              <w:rPr>
                <w:rFonts w:ascii="Arial" w:hAnsi="Arial" w:cs="Arial"/>
                <w:b/>
                <w:bCs/>
                <w:sz w:val="20"/>
                <w:lang w:val="fr-FR"/>
              </w:rPr>
              <w:t>Characteristic</w:t>
            </w:r>
          </w:p>
        </w:tc>
        <w:tc>
          <w:tcPr>
            <w:tcW w:w="0" w:type="auto"/>
            <w:hideMark/>
          </w:tcPr>
          <w:p w14:paraId="27E20B50" w14:textId="77777777" w:rsidR="00B05DDB" w:rsidRPr="00B05DDB" w:rsidRDefault="00B05DDB" w:rsidP="00D11272">
            <w:pPr>
              <w:pStyle w:val="Body"/>
              <w:spacing w:after="0"/>
              <w:jc w:val="left"/>
              <w:rPr>
                <w:rFonts w:ascii="Arial" w:hAnsi="Arial" w:cs="Arial"/>
                <w:b/>
                <w:bCs/>
                <w:sz w:val="20"/>
                <w:lang w:val="fr-FR"/>
              </w:rPr>
            </w:pPr>
            <w:r w:rsidRPr="00B05DDB">
              <w:rPr>
                <w:rFonts w:ascii="Arial" w:hAnsi="Arial" w:cs="Arial"/>
                <w:b/>
                <w:bCs/>
                <w:sz w:val="20"/>
                <w:lang w:val="fr-FR"/>
              </w:rPr>
              <w:t>Category</w:t>
            </w:r>
          </w:p>
        </w:tc>
        <w:tc>
          <w:tcPr>
            <w:tcW w:w="0" w:type="auto"/>
            <w:hideMark/>
          </w:tcPr>
          <w:p w14:paraId="25D8D4A1" w14:textId="77777777" w:rsidR="00B05DDB" w:rsidRPr="00B05DDB" w:rsidRDefault="00B05DDB" w:rsidP="00D11272">
            <w:pPr>
              <w:pStyle w:val="Body"/>
              <w:spacing w:after="0"/>
              <w:jc w:val="left"/>
              <w:rPr>
                <w:rFonts w:ascii="Arial" w:hAnsi="Arial" w:cs="Arial"/>
                <w:b/>
                <w:bCs/>
                <w:sz w:val="20"/>
                <w:lang w:val="fr-FR"/>
              </w:rPr>
            </w:pPr>
            <w:proofErr w:type="gramStart"/>
            <w:r w:rsidRPr="00B05DDB">
              <w:rPr>
                <w:rFonts w:ascii="Arial" w:hAnsi="Arial" w:cs="Arial"/>
                <w:b/>
                <w:bCs/>
                <w:sz w:val="20"/>
                <w:lang w:val="fr-FR"/>
              </w:rPr>
              <w:t>n</w:t>
            </w:r>
            <w:proofErr w:type="gramEnd"/>
            <w:r w:rsidRPr="00B05DDB">
              <w:rPr>
                <w:rFonts w:ascii="Arial" w:hAnsi="Arial" w:cs="Arial"/>
                <w:b/>
                <w:bCs/>
                <w:sz w:val="20"/>
                <w:lang w:val="fr-FR"/>
              </w:rPr>
              <w:t xml:space="preserve"> (%)</w:t>
            </w:r>
          </w:p>
        </w:tc>
      </w:tr>
      <w:tr w:rsidR="00B05DDB" w:rsidRPr="00B05DDB" w14:paraId="5F672E73" w14:textId="77777777" w:rsidTr="009C635E">
        <w:trPr>
          <w:trHeight w:val="270"/>
        </w:trPr>
        <w:tc>
          <w:tcPr>
            <w:tcW w:w="0" w:type="auto"/>
            <w:vMerge w:val="restart"/>
            <w:hideMark/>
          </w:tcPr>
          <w:p w14:paraId="6AAC021A"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b/>
                <w:bCs/>
                <w:sz w:val="20"/>
                <w:lang w:val="fr-FR"/>
              </w:rPr>
              <w:t>Sexual ctivity status</w:t>
            </w:r>
          </w:p>
        </w:tc>
        <w:tc>
          <w:tcPr>
            <w:tcW w:w="0" w:type="auto"/>
            <w:hideMark/>
          </w:tcPr>
          <w:p w14:paraId="63D98DAA"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Sexually active</w:t>
            </w:r>
          </w:p>
        </w:tc>
        <w:tc>
          <w:tcPr>
            <w:tcW w:w="0" w:type="auto"/>
            <w:hideMark/>
          </w:tcPr>
          <w:p w14:paraId="2C1C9404"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57 (96.6)</w:t>
            </w:r>
          </w:p>
        </w:tc>
      </w:tr>
      <w:tr w:rsidR="00B05DDB" w:rsidRPr="00B05DDB" w14:paraId="13945A64" w14:textId="77777777" w:rsidTr="009C635E">
        <w:trPr>
          <w:trHeight w:val="280"/>
        </w:trPr>
        <w:tc>
          <w:tcPr>
            <w:tcW w:w="0" w:type="auto"/>
            <w:vMerge/>
            <w:hideMark/>
          </w:tcPr>
          <w:p w14:paraId="146DD92E" w14:textId="77777777" w:rsidR="00B05DDB" w:rsidRPr="00B05DDB" w:rsidRDefault="00B05DDB" w:rsidP="00D11272">
            <w:pPr>
              <w:pStyle w:val="Body"/>
              <w:jc w:val="left"/>
              <w:rPr>
                <w:rFonts w:ascii="Arial" w:hAnsi="Arial" w:cs="Arial"/>
                <w:sz w:val="20"/>
                <w:lang w:val="fr-FR"/>
              </w:rPr>
            </w:pPr>
          </w:p>
        </w:tc>
        <w:tc>
          <w:tcPr>
            <w:tcW w:w="0" w:type="auto"/>
            <w:hideMark/>
          </w:tcPr>
          <w:p w14:paraId="553186A9"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Not sexually active</w:t>
            </w:r>
          </w:p>
        </w:tc>
        <w:tc>
          <w:tcPr>
            <w:tcW w:w="0" w:type="auto"/>
            <w:hideMark/>
          </w:tcPr>
          <w:p w14:paraId="6807F023"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2 (3.4)</w:t>
            </w:r>
          </w:p>
        </w:tc>
      </w:tr>
      <w:tr w:rsidR="00B05DDB" w:rsidRPr="00B05DDB" w14:paraId="17DCE674" w14:textId="77777777" w:rsidTr="009C635E">
        <w:trPr>
          <w:trHeight w:val="270"/>
        </w:trPr>
        <w:tc>
          <w:tcPr>
            <w:tcW w:w="0" w:type="auto"/>
            <w:vMerge w:val="restart"/>
            <w:hideMark/>
          </w:tcPr>
          <w:p w14:paraId="3D5C627B"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b/>
                <w:bCs/>
                <w:sz w:val="20"/>
                <w:lang w:val="fr-FR"/>
              </w:rPr>
              <w:t xml:space="preserve">Number of partners (last 12 </w:t>
            </w:r>
            <w:proofErr w:type="gramStart"/>
            <w:r w:rsidRPr="00B05DDB">
              <w:rPr>
                <w:rFonts w:ascii="Arial" w:hAnsi="Arial" w:cs="Arial"/>
                <w:b/>
                <w:bCs/>
                <w:sz w:val="20"/>
                <w:lang w:val="fr-FR"/>
              </w:rPr>
              <w:t>months)*</w:t>
            </w:r>
            <w:proofErr w:type="gramEnd"/>
          </w:p>
        </w:tc>
        <w:tc>
          <w:tcPr>
            <w:tcW w:w="0" w:type="auto"/>
            <w:hideMark/>
          </w:tcPr>
          <w:p w14:paraId="1C3ACC59"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0-1 partner</w:t>
            </w:r>
          </w:p>
        </w:tc>
        <w:tc>
          <w:tcPr>
            <w:tcW w:w="0" w:type="auto"/>
            <w:hideMark/>
          </w:tcPr>
          <w:p w14:paraId="16BE26A3"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12 (21.1)</w:t>
            </w:r>
          </w:p>
        </w:tc>
      </w:tr>
      <w:tr w:rsidR="00B05DDB" w:rsidRPr="00B05DDB" w14:paraId="6D3FD99C" w14:textId="77777777" w:rsidTr="009C635E">
        <w:trPr>
          <w:trHeight w:val="280"/>
        </w:trPr>
        <w:tc>
          <w:tcPr>
            <w:tcW w:w="0" w:type="auto"/>
            <w:vMerge/>
            <w:hideMark/>
          </w:tcPr>
          <w:p w14:paraId="10819C34" w14:textId="77777777" w:rsidR="00B05DDB" w:rsidRPr="00B05DDB" w:rsidRDefault="00B05DDB" w:rsidP="00D11272">
            <w:pPr>
              <w:pStyle w:val="Body"/>
              <w:jc w:val="left"/>
              <w:rPr>
                <w:rFonts w:ascii="Arial" w:hAnsi="Arial" w:cs="Arial"/>
                <w:sz w:val="20"/>
                <w:lang w:val="fr-FR"/>
              </w:rPr>
            </w:pPr>
          </w:p>
        </w:tc>
        <w:tc>
          <w:tcPr>
            <w:tcW w:w="0" w:type="auto"/>
            <w:hideMark/>
          </w:tcPr>
          <w:p w14:paraId="575222DF"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 2 partners</w:t>
            </w:r>
          </w:p>
        </w:tc>
        <w:tc>
          <w:tcPr>
            <w:tcW w:w="0" w:type="auto"/>
            <w:hideMark/>
          </w:tcPr>
          <w:p w14:paraId="0510B6C2"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35 (61.4)</w:t>
            </w:r>
          </w:p>
        </w:tc>
      </w:tr>
      <w:tr w:rsidR="00B05DDB" w:rsidRPr="00B05DDB" w14:paraId="4C007BFB" w14:textId="77777777" w:rsidTr="009C635E">
        <w:trPr>
          <w:trHeight w:val="280"/>
        </w:trPr>
        <w:tc>
          <w:tcPr>
            <w:tcW w:w="0" w:type="auto"/>
            <w:vMerge/>
            <w:hideMark/>
          </w:tcPr>
          <w:p w14:paraId="458C2B29" w14:textId="77777777" w:rsidR="00B05DDB" w:rsidRPr="00B05DDB" w:rsidRDefault="00B05DDB" w:rsidP="00D11272">
            <w:pPr>
              <w:pStyle w:val="Body"/>
              <w:jc w:val="left"/>
              <w:rPr>
                <w:rFonts w:ascii="Arial" w:hAnsi="Arial" w:cs="Arial"/>
                <w:sz w:val="20"/>
                <w:lang w:val="fr-FR"/>
              </w:rPr>
            </w:pPr>
          </w:p>
        </w:tc>
        <w:tc>
          <w:tcPr>
            <w:tcW w:w="0" w:type="auto"/>
            <w:hideMark/>
          </w:tcPr>
          <w:p w14:paraId="2D60968B"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Not specified</w:t>
            </w:r>
          </w:p>
        </w:tc>
        <w:tc>
          <w:tcPr>
            <w:tcW w:w="0" w:type="auto"/>
            <w:hideMark/>
          </w:tcPr>
          <w:p w14:paraId="6D7C1362"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10 (17.5)</w:t>
            </w:r>
          </w:p>
        </w:tc>
      </w:tr>
      <w:tr w:rsidR="00B05DDB" w:rsidRPr="00B05DDB" w14:paraId="389B70FB" w14:textId="77777777" w:rsidTr="009C635E">
        <w:trPr>
          <w:trHeight w:val="270"/>
        </w:trPr>
        <w:tc>
          <w:tcPr>
            <w:tcW w:w="0" w:type="auto"/>
            <w:vMerge w:val="restart"/>
            <w:hideMark/>
          </w:tcPr>
          <w:p w14:paraId="49A11CE2"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b/>
                <w:bCs/>
                <w:sz w:val="20"/>
                <w:lang w:val="fr-FR"/>
              </w:rPr>
              <w:t>Condom uuse*</w:t>
            </w:r>
          </w:p>
        </w:tc>
        <w:tc>
          <w:tcPr>
            <w:tcW w:w="0" w:type="auto"/>
            <w:hideMark/>
          </w:tcPr>
          <w:p w14:paraId="44DDD5A1"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Always (Consistent)</w:t>
            </w:r>
          </w:p>
        </w:tc>
        <w:tc>
          <w:tcPr>
            <w:tcW w:w="0" w:type="auto"/>
            <w:hideMark/>
          </w:tcPr>
          <w:p w14:paraId="0D595EED"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23 (40.4)</w:t>
            </w:r>
          </w:p>
        </w:tc>
      </w:tr>
      <w:tr w:rsidR="00B05DDB" w:rsidRPr="00B05DDB" w14:paraId="526BBD47" w14:textId="77777777" w:rsidTr="009C635E">
        <w:trPr>
          <w:trHeight w:val="280"/>
        </w:trPr>
        <w:tc>
          <w:tcPr>
            <w:tcW w:w="0" w:type="auto"/>
            <w:vMerge/>
            <w:hideMark/>
          </w:tcPr>
          <w:p w14:paraId="3E4A2094" w14:textId="77777777" w:rsidR="00B05DDB" w:rsidRPr="00B05DDB" w:rsidRDefault="00B05DDB" w:rsidP="00D11272">
            <w:pPr>
              <w:pStyle w:val="Body"/>
              <w:jc w:val="left"/>
              <w:rPr>
                <w:rFonts w:ascii="Arial" w:hAnsi="Arial" w:cs="Arial"/>
                <w:sz w:val="20"/>
                <w:lang w:val="fr-FR"/>
              </w:rPr>
            </w:pPr>
          </w:p>
        </w:tc>
        <w:tc>
          <w:tcPr>
            <w:tcW w:w="0" w:type="auto"/>
            <w:hideMark/>
          </w:tcPr>
          <w:p w14:paraId="3CD0ADF9"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Inconsistent</w:t>
            </w:r>
          </w:p>
        </w:tc>
        <w:tc>
          <w:tcPr>
            <w:tcW w:w="0" w:type="auto"/>
            <w:hideMark/>
          </w:tcPr>
          <w:p w14:paraId="2CAF0BFD"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18 (31.6)</w:t>
            </w:r>
          </w:p>
        </w:tc>
      </w:tr>
      <w:tr w:rsidR="00B05DDB" w:rsidRPr="00B05DDB" w14:paraId="19CC2384" w14:textId="77777777" w:rsidTr="009C635E">
        <w:trPr>
          <w:trHeight w:val="270"/>
        </w:trPr>
        <w:tc>
          <w:tcPr>
            <w:tcW w:w="0" w:type="auto"/>
            <w:vMerge/>
            <w:hideMark/>
          </w:tcPr>
          <w:p w14:paraId="0A493ADE" w14:textId="77777777" w:rsidR="00B05DDB" w:rsidRPr="00B05DDB" w:rsidRDefault="00B05DDB" w:rsidP="00D11272">
            <w:pPr>
              <w:pStyle w:val="Body"/>
              <w:jc w:val="left"/>
              <w:rPr>
                <w:rFonts w:ascii="Arial" w:hAnsi="Arial" w:cs="Arial"/>
                <w:sz w:val="20"/>
                <w:lang w:val="fr-FR"/>
              </w:rPr>
            </w:pPr>
          </w:p>
        </w:tc>
        <w:tc>
          <w:tcPr>
            <w:tcW w:w="0" w:type="auto"/>
            <w:hideMark/>
          </w:tcPr>
          <w:p w14:paraId="3664039B"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Not specified</w:t>
            </w:r>
          </w:p>
        </w:tc>
        <w:tc>
          <w:tcPr>
            <w:tcW w:w="0" w:type="auto"/>
            <w:hideMark/>
          </w:tcPr>
          <w:p w14:paraId="35EB2A8D" w14:textId="77777777" w:rsidR="00B05DDB" w:rsidRPr="00B05DDB" w:rsidRDefault="00B05DDB" w:rsidP="00D11272">
            <w:pPr>
              <w:pStyle w:val="Body"/>
              <w:spacing w:after="0"/>
              <w:jc w:val="left"/>
              <w:rPr>
                <w:rFonts w:ascii="Arial" w:hAnsi="Arial" w:cs="Arial"/>
                <w:sz w:val="20"/>
                <w:lang w:val="fr-FR"/>
              </w:rPr>
            </w:pPr>
            <w:r w:rsidRPr="00B05DDB">
              <w:rPr>
                <w:rFonts w:ascii="Arial" w:hAnsi="Arial" w:cs="Arial"/>
                <w:sz w:val="20"/>
                <w:lang w:val="fr-FR"/>
              </w:rPr>
              <w:t>16 (28.0)</w:t>
            </w:r>
          </w:p>
        </w:tc>
      </w:tr>
    </w:tbl>
    <w:p w14:paraId="477B2C96" w14:textId="77777777" w:rsidR="00B05DDB" w:rsidRPr="00B05DDB" w:rsidRDefault="00B05DDB" w:rsidP="00D11272">
      <w:pPr>
        <w:pStyle w:val="Body"/>
        <w:spacing w:after="0"/>
        <w:jc w:val="left"/>
        <w:rPr>
          <w:rFonts w:ascii="Arial" w:hAnsi="Arial" w:cs="Arial"/>
          <w:lang w:val="fr-FR"/>
        </w:rPr>
      </w:pPr>
      <w:r w:rsidRPr="00B05DDB">
        <w:rPr>
          <w:rFonts w:ascii="Arial" w:hAnsi="Arial" w:cs="Arial"/>
          <w:i/>
          <w:iCs/>
          <w:lang w:val="fr-FR"/>
        </w:rPr>
        <w:t xml:space="preserve">*Percentages are calculated based on the number of </w:t>
      </w:r>
      <w:r w:rsidR="003F66E9">
        <w:rPr>
          <w:rFonts w:ascii="Arial" w:hAnsi="Arial" w:cs="Arial"/>
          <w:i/>
          <w:iCs/>
          <w:lang w:val="fr-FR"/>
        </w:rPr>
        <w:t xml:space="preserve">male </w:t>
      </w:r>
      <w:r w:rsidRPr="00B05DDB">
        <w:rPr>
          <w:rFonts w:ascii="Arial" w:hAnsi="Arial" w:cs="Arial"/>
          <w:i/>
          <w:iCs/>
          <w:lang w:val="fr-FR"/>
        </w:rPr>
        <w:t>sexually active students (n=57</w:t>
      </w:r>
      <w:proofErr w:type="gramStart"/>
      <w:r w:rsidRPr="00B05DDB">
        <w:rPr>
          <w:rFonts w:ascii="Arial" w:hAnsi="Arial" w:cs="Arial"/>
          <w:i/>
          <w:iCs/>
          <w:lang w:val="fr-FR"/>
        </w:rPr>
        <w:t>)..</w:t>
      </w:r>
      <w:proofErr w:type="gramEnd"/>
    </w:p>
    <w:p w14:paraId="5B6A41B8" w14:textId="77777777" w:rsidR="00B05DDB" w:rsidRDefault="00B05DDB" w:rsidP="00D11272">
      <w:pPr>
        <w:pStyle w:val="Body"/>
        <w:spacing w:after="0"/>
        <w:jc w:val="left"/>
        <w:rPr>
          <w:rFonts w:ascii="Arial" w:hAnsi="Arial" w:cs="Arial"/>
          <w:lang w:val="fr-FR"/>
        </w:rPr>
      </w:pPr>
    </w:p>
    <w:p w14:paraId="166817C6"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4. Reported symptomatology</w:t>
      </w:r>
      <w:r w:rsidRPr="00653608">
        <w:rPr>
          <w:rFonts w:ascii="Arial" w:hAnsi="Arial" w:cs="Arial"/>
          <w:lang w:val="fr-FR"/>
        </w:rPr>
        <w:t xml:space="preserve"> </w:t>
      </w:r>
    </w:p>
    <w:p w14:paraId="3264B7EF"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The paucisymptomatic nature of the infection was confirmed in our sample. Among the 11 positive female students, a majority of 72.7% (n=8) reported no urogenital symptoms in the last three months. For the symptomatic cases (n=3), the most frequent manifestations were unusual vaginal discharge and a burning sensation during urination.</w:t>
      </w:r>
    </w:p>
    <w:p w14:paraId="5CF11DB8" w14:textId="77777777" w:rsidR="00653608" w:rsidRDefault="00653608" w:rsidP="00D11272">
      <w:pPr>
        <w:pStyle w:val="Body"/>
        <w:spacing w:after="0"/>
        <w:jc w:val="left"/>
        <w:rPr>
          <w:rFonts w:ascii="Arial" w:hAnsi="Arial" w:cs="Arial"/>
          <w:lang w:val="fr-FR"/>
        </w:rPr>
      </w:pPr>
      <w:r w:rsidRPr="00653608">
        <w:rPr>
          <w:rFonts w:ascii="Arial" w:hAnsi="Arial" w:cs="Arial"/>
          <w:lang w:val="fr-FR"/>
        </w:rPr>
        <w:t>Similarly, among the 5 male students who tested positive, 60.0% (n=3) were asymptomatic. The two symptomatic cases reported a burning sensation during urination and/or testicular pain. No urethral discharge was reported by any participant, whether positive or negative.</w:t>
      </w:r>
    </w:p>
    <w:p w14:paraId="290E0A24" w14:textId="77777777" w:rsidR="00B05DDB" w:rsidRPr="00653608" w:rsidRDefault="00B05DDB" w:rsidP="00D11272">
      <w:pPr>
        <w:pStyle w:val="Body"/>
        <w:spacing w:after="0"/>
        <w:jc w:val="left"/>
        <w:rPr>
          <w:rFonts w:ascii="Arial" w:hAnsi="Arial" w:cs="Arial"/>
          <w:lang w:val="fr-FR"/>
        </w:rPr>
      </w:pPr>
    </w:p>
    <w:p w14:paraId="1AA7C8F1"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5. Descriptive analysis of factors potentially associated with infection</w:t>
      </w:r>
      <w:r w:rsidRPr="00653608">
        <w:rPr>
          <w:rFonts w:ascii="Arial" w:hAnsi="Arial" w:cs="Arial"/>
          <w:lang w:val="fr-FR"/>
        </w:rPr>
        <w:t xml:space="preserve"> </w:t>
      </w:r>
    </w:p>
    <w:p w14:paraId="31D4926E" w14:textId="77777777" w:rsidR="00653608" w:rsidRDefault="00653608" w:rsidP="00D11272">
      <w:pPr>
        <w:pStyle w:val="Body"/>
        <w:spacing w:after="0"/>
        <w:jc w:val="left"/>
        <w:rPr>
          <w:rFonts w:ascii="Arial" w:hAnsi="Arial" w:cs="Arial"/>
          <w:lang w:val="fr-FR"/>
        </w:rPr>
      </w:pPr>
      <w:r w:rsidRPr="00653608">
        <w:rPr>
          <w:rFonts w:ascii="Arial" w:hAnsi="Arial" w:cs="Arial"/>
          <w:lang w:val="fr-FR"/>
        </w:rPr>
        <w:t>The following analysis is descriptive in nature, aiming to compare the profiles of infected and non-infected subgroups based on aggregated data to identify plausible epidemiological trends.</w:t>
      </w:r>
    </w:p>
    <w:p w14:paraId="43024760" w14:textId="77777777" w:rsidR="00B05DDB" w:rsidRPr="00653608" w:rsidRDefault="00B05DDB" w:rsidP="00D11272">
      <w:pPr>
        <w:pStyle w:val="Body"/>
        <w:spacing w:after="0"/>
        <w:jc w:val="left"/>
        <w:rPr>
          <w:rFonts w:ascii="Arial" w:hAnsi="Arial" w:cs="Arial"/>
          <w:lang w:val="fr-FR"/>
        </w:rPr>
      </w:pPr>
    </w:p>
    <w:p w14:paraId="4978F74E"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5.1 Trends observed in the male population</w:t>
      </w:r>
    </w:p>
    <w:p w14:paraId="40B4457A" w14:textId="77777777" w:rsidR="00653608" w:rsidRPr="00653608" w:rsidRDefault="00653608" w:rsidP="00D11272">
      <w:pPr>
        <w:pStyle w:val="Body"/>
        <w:spacing w:after="0"/>
        <w:jc w:val="left"/>
        <w:rPr>
          <w:rFonts w:ascii="Arial" w:hAnsi="Arial" w:cs="Arial"/>
          <w:lang w:val="fr-FR"/>
        </w:rPr>
      </w:pPr>
      <w:proofErr w:type="gramStart"/>
      <w:r w:rsidRPr="00653608">
        <w:rPr>
          <w:rFonts w:ascii="Arial" w:hAnsi="Arial" w:cs="Arial"/>
          <w:b/>
          <w:bCs/>
          <w:lang w:val="fr-FR"/>
        </w:rPr>
        <w:t>Multiple partnerships</w:t>
      </w:r>
      <w:proofErr w:type="gramEnd"/>
      <w:r w:rsidRPr="00653608">
        <w:rPr>
          <w:rFonts w:ascii="Arial" w:hAnsi="Arial" w:cs="Arial"/>
          <w:b/>
          <w:bCs/>
          <w:lang w:val="fr-FR"/>
        </w:rPr>
        <w:t xml:space="preserve"> :</w:t>
      </w:r>
      <w:r w:rsidRPr="00653608">
        <w:rPr>
          <w:rFonts w:ascii="Arial" w:hAnsi="Arial" w:cs="Arial"/>
          <w:lang w:val="fr-FR"/>
        </w:rPr>
        <w:t xml:space="preserve"> Multiple partnerships (≥ 2 partners in the last 12 months) were reported by 57.9% of sexually active male students. A descriptive analysis indicated that infection prevalence was markedly higher within this group compared to those reporting one or no partners.</w:t>
      </w:r>
    </w:p>
    <w:p w14:paraId="5EDA2080" w14:textId="77777777" w:rsidR="00653608" w:rsidRDefault="00653608" w:rsidP="00D11272">
      <w:pPr>
        <w:pStyle w:val="Body"/>
        <w:spacing w:after="0"/>
        <w:jc w:val="left"/>
        <w:rPr>
          <w:rFonts w:ascii="Arial" w:hAnsi="Arial" w:cs="Arial"/>
          <w:lang w:val="fr-FR"/>
        </w:rPr>
      </w:pPr>
      <w:r w:rsidRPr="00653608">
        <w:rPr>
          <w:rFonts w:ascii="Arial" w:hAnsi="Arial" w:cs="Arial"/>
          <w:b/>
          <w:bCs/>
          <w:lang w:val="fr-FR"/>
        </w:rPr>
        <w:t>Inconsistent condom use :</w:t>
      </w:r>
      <w:r w:rsidRPr="00653608">
        <w:rPr>
          <w:rFonts w:ascii="Arial" w:hAnsi="Arial" w:cs="Arial"/>
          <w:lang w:val="fr-FR"/>
        </w:rPr>
        <w:t xml:space="preserve"> Non-systematic condom use was reported by a significant portion of male students (nearly 32% reporting "inconsistent" use). The profile of infected participants indicates that </w:t>
      </w:r>
      <w:r w:rsidRPr="00653608">
        <w:rPr>
          <w:rFonts w:ascii="Arial" w:hAnsi="Arial" w:cs="Arial"/>
          <w:i/>
          <w:iCs/>
          <w:lang w:val="fr-FR"/>
        </w:rPr>
        <w:t>C. trachomatis</w:t>
      </w:r>
      <w:r w:rsidRPr="00653608">
        <w:rPr>
          <w:rFonts w:ascii="Arial" w:hAnsi="Arial" w:cs="Arial"/>
          <w:lang w:val="fr-FR"/>
        </w:rPr>
        <w:t xml:space="preserve"> infection was predominantly concentrated among individuals who did not use condoms consistently. This observation corroborates the fundamental protective role of correct and regular condom use.</w:t>
      </w:r>
    </w:p>
    <w:p w14:paraId="711DBDC4" w14:textId="77777777" w:rsidR="00B05DDB" w:rsidRPr="00653608" w:rsidRDefault="00B05DDB" w:rsidP="00D11272">
      <w:pPr>
        <w:pStyle w:val="Body"/>
        <w:spacing w:after="0"/>
        <w:jc w:val="left"/>
        <w:rPr>
          <w:rFonts w:ascii="Arial" w:hAnsi="Arial" w:cs="Arial"/>
          <w:lang w:val="fr-FR"/>
        </w:rPr>
      </w:pPr>
    </w:p>
    <w:p w14:paraId="1D05FE4B"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5.2 Trends observed in the female population</w:t>
      </w:r>
    </w:p>
    <w:p w14:paraId="09F940EA"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Among female students (n=109), where 11 positive cases were detected, the correlation between infection status and reported behaviors is less evident, even paradoxical.</w:t>
      </w:r>
    </w:p>
    <w:p w14:paraId="3A3C174B"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lastRenderedPageBreak/>
        <w:t>Reported preventive behaviors :</w:t>
      </w:r>
      <w:r w:rsidRPr="00653608">
        <w:rPr>
          <w:rFonts w:ascii="Arial" w:hAnsi="Arial" w:cs="Arial"/>
          <w:lang w:val="fr-FR"/>
        </w:rPr>
        <w:t xml:space="preserve"> Unlike male students, no clear trend could be established between infection status and the reported number of partners or condom use. Cases of infection were distributed among female students, including those reporting a single partner and consistent condom use. This finding, far from invalidating the role of these factors, strongly suggests the influence of a social desirability bias in the responses, where actual behaviors may differ from reported practices. The 10.1% prevalence in </w:t>
      </w:r>
      <w:proofErr w:type="gramStart"/>
      <w:r w:rsidRPr="00653608">
        <w:rPr>
          <w:rFonts w:ascii="Arial" w:hAnsi="Arial" w:cs="Arial"/>
          <w:lang w:val="fr-FR"/>
        </w:rPr>
        <w:t>a</w:t>
      </w:r>
      <w:proofErr w:type="gramEnd"/>
      <w:r w:rsidRPr="00653608">
        <w:rPr>
          <w:rFonts w:ascii="Arial" w:hAnsi="Arial" w:cs="Arial"/>
          <w:lang w:val="fr-FR"/>
        </w:rPr>
        <w:t xml:space="preserve"> group predominantly reporting low-risk behaviors is a significant finding in itself.</w:t>
      </w:r>
    </w:p>
    <w:p w14:paraId="2E565A42" w14:textId="77777777" w:rsidR="00C30A0F" w:rsidRDefault="00653608" w:rsidP="00D11272">
      <w:pPr>
        <w:pStyle w:val="Body"/>
        <w:spacing w:after="0"/>
        <w:jc w:val="left"/>
        <w:rPr>
          <w:rFonts w:ascii="Arial" w:hAnsi="Arial" w:cs="Arial"/>
        </w:rPr>
      </w:pPr>
      <w:r w:rsidRPr="00653608">
        <w:rPr>
          <w:rFonts w:ascii="Arial" w:hAnsi="Arial" w:cs="Arial"/>
          <w:b/>
          <w:bCs/>
          <w:lang w:val="fr-FR"/>
        </w:rPr>
        <w:t>Urogenital symptomatology :</w:t>
      </w:r>
      <w:r w:rsidRPr="00653608">
        <w:rPr>
          <w:rFonts w:ascii="Arial" w:hAnsi="Arial" w:cs="Arial"/>
          <w:lang w:val="fr-FR"/>
        </w:rPr>
        <w:t xml:space="preserve"> The only factor showing a notable descriptive association among female participants was the presence of symptoms. While the infection remained largely asymptomatic, the proportion of women reporting at least one symptom (vaginal discharge, burning urination) was higher in the infected group than in the non-infected group. Symptomatology, despite being a poor predictor of infection (due to the high number of asymptomatic cases), nevertheless appears to be a relevant warning sign when present</w:t>
      </w:r>
      <w:r w:rsidR="00C30A0F">
        <w:rPr>
          <w:rFonts w:ascii="Arial" w:hAnsi="Arial" w:cs="Arial"/>
        </w:rPr>
        <w:t>]</w:t>
      </w:r>
      <w:r w:rsidR="00C30A0F" w:rsidRPr="00FB3A86">
        <w:rPr>
          <w:rFonts w:ascii="Arial" w:hAnsi="Arial" w:cs="Arial"/>
        </w:rPr>
        <w:t xml:space="preserve">  </w:t>
      </w:r>
    </w:p>
    <w:p w14:paraId="41D170CA" w14:textId="77777777" w:rsidR="00E053D0" w:rsidRDefault="00E053D0" w:rsidP="00D11272">
      <w:pPr>
        <w:pStyle w:val="Body"/>
        <w:spacing w:after="0"/>
        <w:jc w:val="left"/>
        <w:rPr>
          <w:rFonts w:ascii="Arial" w:hAnsi="Arial" w:cs="Arial"/>
        </w:rPr>
      </w:pPr>
    </w:p>
    <w:p w14:paraId="1AE0D4EB" w14:textId="77777777" w:rsidR="00653608" w:rsidRPr="00653608" w:rsidRDefault="00D640C0" w:rsidP="00D11272">
      <w:pPr>
        <w:pStyle w:val="Body"/>
        <w:spacing w:after="0"/>
        <w:jc w:val="left"/>
        <w:rPr>
          <w:rFonts w:ascii="Arial" w:hAnsi="Arial" w:cs="Arial"/>
          <w:b/>
          <w:bCs/>
          <w:lang w:val="fr-FR"/>
        </w:rPr>
      </w:pPr>
      <w:r w:rsidRPr="00653608">
        <w:rPr>
          <w:rFonts w:ascii="Arial" w:hAnsi="Arial" w:cs="Arial"/>
          <w:b/>
          <w:bCs/>
          <w:lang w:val="fr-FR"/>
        </w:rPr>
        <w:t>DISCUSSION</w:t>
      </w:r>
    </w:p>
    <w:p w14:paraId="3E55058D"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 xml:space="preserve">This pioneering study provides the first insight into the prevalence and associated factor risk of </w:t>
      </w:r>
      <w:r w:rsidRPr="00653608">
        <w:rPr>
          <w:rFonts w:ascii="Arial" w:hAnsi="Arial" w:cs="Arial"/>
          <w:i/>
          <w:iCs/>
          <w:lang w:val="fr-FR"/>
        </w:rPr>
        <w:t>Chlamydia trachomatis</w:t>
      </w:r>
      <w:r w:rsidRPr="00653608">
        <w:rPr>
          <w:rFonts w:ascii="Arial" w:hAnsi="Arial" w:cs="Arial"/>
          <w:lang w:val="fr-FR"/>
        </w:rPr>
        <w:t xml:space="preserve"> infection within a Togolese student population. The findings reveal a concerning epidemiological situation and provide a basis for public health action. The principal finding of our investigation is an overall </w:t>
      </w:r>
      <w:r w:rsidRPr="00653608">
        <w:rPr>
          <w:rFonts w:ascii="Arial" w:hAnsi="Arial" w:cs="Arial"/>
          <w:i/>
          <w:iCs/>
          <w:lang w:val="fr-FR"/>
        </w:rPr>
        <w:t>C. trachomatis</w:t>
      </w:r>
      <w:r w:rsidRPr="00653608">
        <w:rPr>
          <w:rFonts w:ascii="Arial" w:hAnsi="Arial" w:cs="Arial"/>
          <w:lang w:val="fr-FR"/>
        </w:rPr>
        <w:t xml:space="preserve"> prevalence of 9.5%.</w:t>
      </w:r>
    </w:p>
    <w:p w14:paraId="5EC2C551"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 xml:space="preserve">The most striking finding of our investigation is an overall </w:t>
      </w:r>
      <w:r w:rsidRPr="00653608">
        <w:rPr>
          <w:rFonts w:ascii="Arial" w:hAnsi="Arial" w:cs="Arial"/>
          <w:i/>
          <w:iCs/>
          <w:lang w:val="fr-FR"/>
        </w:rPr>
        <w:t>C. trachomatis</w:t>
      </w:r>
      <w:r w:rsidRPr="00653608">
        <w:rPr>
          <w:rFonts w:ascii="Arial" w:hAnsi="Arial" w:cs="Arial"/>
          <w:lang w:val="fr-FR"/>
        </w:rPr>
        <w:t xml:space="preserve"> infection prevalence of 9.5%. This particularly high rate is in stark contrast to the 4.3% reported in the general female population in the Kara region of Togo [Gnatou et al., 2024]. Such a disparity suggests that the capital's university setting may constitute a higher-transmission ecosystem, confirming that young adults and students are a key demographic in the dynamics of STI transmission in sub-Saharan Africa [Kassa et al., 2020 ; Azeze et al., </w:t>
      </w:r>
      <w:proofErr w:type="gramStart"/>
      <w:r w:rsidRPr="00653608">
        <w:rPr>
          <w:rFonts w:ascii="Arial" w:hAnsi="Arial" w:cs="Arial"/>
          <w:lang w:val="fr-FR"/>
        </w:rPr>
        <w:t>2021;</w:t>
      </w:r>
      <w:proofErr w:type="gramEnd"/>
      <w:r w:rsidRPr="00653608">
        <w:rPr>
          <w:rFonts w:ascii="Arial" w:hAnsi="Arial" w:cs="Arial"/>
          <w:lang w:val="fr-FR"/>
        </w:rPr>
        <w:t xml:space="preserve"> Bogale et al., 2024]. Our data corroborate findings from studies conducted in similar regional university contexts, such as in Ghana or Nigeria, where high prevalences have also been documented, underscoring a shared public health challenge in West Africa [Ardua et al., </w:t>
      </w:r>
      <w:proofErr w:type="gramStart"/>
      <w:r w:rsidRPr="00653608">
        <w:rPr>
          <w:rFonts w:ascii="Arial" w:hAnsi="Arial" w:cs="Arial"/>
          <w:lang w:val="fr-FR"/>
        </w:rPr>
        <w:t>2018;</w:t>
      </w:r>
      <w:proofErr w:type="gramEnd"/>
      <w:r w:rsidRPr="00653608">
        <w:rPr>
          <w:rFonts w:ascii="Arial" w:hAnsi="Arial" w:cs="Arial"/>
          <w:lang w:val="fr-FR"/>
        </w:rPr>
        <w:t xml:space="preserve"> Ajayi et al., 2019].</w:t>
      </w:r>
    </w:p>
    <w:p w14:paraId="71189F1F"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 xml:space="preserve">The analysis of self-reported behaviors reveals a striking dissonance, particularly among female participants. Indeed, the vast majority of sexually active female students reported optimal preventive practices (e.g., consistent condom use, a single partner), which is inconsistent with their observed infection prevalence of 10.1%. This inconsistency is very likely the expression of a powerful social desirability bias, a well-documented phenomenon where respondents tend to provide socially valued answers, especially on sensitive topics like sexuality [Miners et al., </w:t>
      </w:r>
      <w:proofErr w:type="gramStart"/>
      <w:r w:rsidRPr="00653608">
        <w:rPr>
          <w:rFonts w:ascii="Arial" w:hAnsi="Arial" w:cs="Arial"/>
          <w:lang w:val="fr-FR"/>
        </w:rPr>
        <w:t>2012;</w:t>
      </w:r>
      <w:proofErr w:type="gramEnd"/>
      <w:r w:rsidRPr="00653608">
        <w:rPr>
          <w:rFonts w:ascii="Arial" w:hAnsi="Arial" w:cs="Arial"/>
          <w:lang w:val="fr-FR"/>
        </w:rPr>
        <w:t xml:space="preserve"> Hodgins et al., 2022]. In the Togolese sociocultural context, where social norms can restrict the open expression of female sexuality, this bias is likely exacerbated. This finding has a critical methodological implication : it underscores that self-reported behaviors may not be a reliable proxy for infection risk in this population. Therefore, objective biological screening is essential for accurately assessing prevalence and guiding public health interventions, as it provides data that can correct for social desirability bias.</w:t>
      </w:r>
    </w:p>
    <w:p w14:paraId="589D5B47"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Conversely, the behavioral profile of male students (more frequent multiple partnerships, less systematic condom use) appears more congruent with their infection status. The descriptive analysis suggests that these two behaviors are the primary determinants of infection in this group. These results, which are classic in STI epidemiology [Azeze et al., 2021], provide clear targets for intervention for targeted prevention campaigns.</w:t>
      </w:r>
    </w:p>
    <w:p w14:paraId="27C385BE" w14:textId="77777777" w:rsidR="00653608" w:rsidRDefault="00653608" w:rsidP="00D11272">
      <w:pPr>
        <w:pStyle w:val="Body"/>
        <w:spacing w:after="0"/>
        <w:jc w:val="left"/>
        <w:rPr>
          <w:rFonts w:ascii="Arial" w:hAnsi="Arial" w:cs="Arial"/>
          <w:lang w:val="fr-FR"/>
        </w:rPr>
      </w:pPr>
      <w:r w:rsidRPr="00653608">
        <w:rPr>
          <w:rFonts w:ascii="Arial" w:hAnsi="Arial" w:cs="Arial"/>
          <w:lang w:val="fr-FR"/>
        </w:rPr>
        <w:t xml:space="preserve">Our study highlights a central </w:t>
      </w:r>
      <w:proofErr w:type="gramStart"/>
      <w:r w:rsidRPr="00653608">
        <w:rPr>
          <w:rFonts w:ascii="Arial" w:hAnsi="Arial" w:cs="Arial"/>
          <w:lang w:val="fr-FR"/>
        </w:rPr>
        <w:t>paradox:</w:t>
      </w:r>
      <w:proofErr w:type="gramEnd"/>
      <w:r w:rsidRPr="00653608">
        <w:rPr>
          <w:rFonts w:ascii="Arial" w:hAnsi="Arial" w:cs="Arial"/>
          <w:lang w:val="fr-FR"/>
        </w:rPr>
        <w:t xml:space="preserve"> despite a satisfactory level of theoretical knowledge about STI transmission modes and prevention methods, more than half of the students of both sexes perceive their personal risk as "low" or "very low." This denial of personal risk constitutes a major cognitive barrier to the adoption of consistent preventive behaviors and the seeking of voluntary screening [Ouédraogo et al., 2022]. This low-risk perception is undoubtedly reinforced by two factors. Firstly, the predominantly asymptomatic nature of the </w:t>
      </w:r>
      <w:r w:rsidRPr="00653608">
        <w:rPr>
          <w:rFonts w:ascii="Arial" w:hAnsi="Arial" w:cs="Arial"/>
          <w:lang w:val="fr-FR"/>
        </w:rPr>
        <w:lastRenderedPageBreak/>
        <w:t xml:space="preserve">infection, which our study confirms, generates no clinical warning signs for the individual. Secondly, a lack of awareness of the specific sequelae of chlamydia infection (infertility, ectopic pregnancy), correctly identified by less than </w:t>
      </w:r>
      <w:proofErr w:type="gramStart"/>
      <w:r w:rsidRPr="00653608">
        <w:rPr>
          <w:rFonts w:ascii="Arial" w:hAnsi="Arial" w:cs="Arial"/>
          <w:lang w:val="fr-FR"/>
        </w:rPr>
        <w:t>a</w:t>
      </w:r>
      <w:proofErr w:type="gramEnd"/>
      <w:r w:rsidRPr="00653608">
        <w:rPr>
          <w:rFonts w:ascii="Arial" w:hAnsi="Arial" w:cs="Arial"/>
          <w:lang w:val="fr-FR"/>
        </w:rPr>
        <w:t xml:space="preserve"> quarter of participants, minimizes the perceived severity of the infection beyond the risk of HIV transmission.</w:t>
      </w:r>
    </w:p>
    <w:p w14:paraId="12EE806D" w14:textId="77777777" w:rsidR="00B05DDB" w:rsidRPr="00653608" w:rsidRDefault="00B05DDB" w:rsidP="00D11272">
      <w:pPr>
        <w:pStyle w:val="Body"/>
        <w:spacing w:after="0"/>
        <w:jc w:val="left"/>
        <w:rPr>
          <w:rFonts w:ascii="Arial" w:hAnsi="Arial" w:cs="Arial"/>
          <w:lang w:val="fr-FR"/>
        </w:rPr>
      </w:pPr>
    </w:p>
    <w:p w14:paraId="62C18420" w14:textId="77777777" w:rsidR="00653608" w:rsidRPr="00653608" w:rsidRDefault="00653608" w:rsidP="00D11272">
      <w:pPr>
        <w:pStyle w:val="Body"/>
        <w:spacing w:after="0"/>
        <w:jc w:val="left"/>
        <w:rPr>
          <w:rFonts w:ascii="Arial" w:hAnsi="Arial" w:cs="Arial"/>
          <w:lang w:val="fr-FR"/>
        </w:rPr>
      </w:pPr>
      <w:r w:rsidRPr="00653608">
        <w:rPr>
          <w:rFonts w:ascii="Arial" w:hAnsi="Arial" w:cs="Arial"/>
          <w:b/>
          <w:bCs/>
          <w:lang w:val="fr-FR"/>
        </w:rPr>
        <w:t>Strengths and limitations of the study</w:t>
      </w:r>
    </w:p>
    <w:p w14:paraId="34F6B81C"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 xml:space="preserve">The main strength of this study is that it provides the first quantified data on </w:t>
      </w:r>
      <w:r w:rsidRPr="00653608">
        <w:rPr>
          <w:rFonts w:ascii="Arial" w:hAnsi="Arial" w:cs="Arial"/>
          <w:i/>
          <w:iCs/>
          <w:lang w:val="fr-FR"/>
        </w:rPr>
        <w:t>C. trachomatis</w:t>
      </w:r>
      <w:r w:rsidRPr="00653608">
        <w:rPr>
          <w:rFonts w:ascii="Arial" w:hAnsi="Arial" w:cs="Arial"/>
          <w:lang w:val="fr-FR"/>
        </w:rPr>
        <w:t xml:space="preserve"> infection in the university setting in Lomé, by coupling a behavioral approach with biological diagnosis. However, several limitations must be acknowledged and call for caution in the interpretation of the results.</w:t>
      </w:r>
    </w:p>
    <w:p w14:paraId="7801E701"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 xml:space="preserve">The most significant limitation is the non-probabilistic convenience sampling and the modest participation rate (36.5%), which means our cohort is not representative of all students at the University of Lomé. Consequently, the 9.5% prevalence should be interpreted as a sentinel indicator of infection circulation on campus rather than an extrapolation to the entire student body. A potential selection bias may have </w:t>
      </w:r>
      <w:proofErr w:type="gramStart"/>
      <w:r w:rsidRPr="00653608">
        <w:rPr>
          <w:rFonts w:ascii="Arial" w:hAnsi="Arial" w:cs="Arial"/>
          <w:lang w:val="fr-FR"/>
        </w:rPr>
        <w:t>occurred;</w:t>
      </w:r>
      <w:proofErr w:type="gramEnd"/>
      <w:r w:rsidRPr="00653608">
        <w:rPr>
          <w:rFonts w:ascii="Arial" w:hAnsi="Arial" w:cs="Arial"/>
          <w:lang w:val="fr-FR"/>
        </w:rPr>
        <w:t xml:space="preserve"> students who perceived themselves to be at higher risk might have been more motivated to participate, potentially inflating the observed prevalence. Conversely, fear of a positive result may have deterred others, potentially leading to an underestimation.</w:t>
      </w:r>
    </w:p>
    <w:p w14:paraId="7C081396"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Secondly, the use of rapid diagnostic tests (RDTs), justified by logistical and financial constraints, has lower sensitivity and specificity than nucleic acid amplification techniques (NAATs), which are the gold standard [Lanjouw et al., 2016]. It is therefore plausible that we have underestimated the number of cases, and that the true prevalence is even higher than what we report.</w:t>
      </w:r>
    </w:p>
    <w:p w14:paraId="5CE45601" w14:textId="77777777" w:rsidR="00653608" w:rsidRPr="00653608" w:rsidRDefault="00653608" w:rsidP="00D11272">
      <w:pPr>
        <w:pStyle w:val="Body"/>
        <w:spacing w:after="0"/>
        <w:jc w:val="left"/>
        <w:rPr>
          <w:rFonts w:ascii="Arial" w:hAnsi="Arial" w:cs="Arial"/>
          <w:lang w:val="fr-FR"/>
        </w:rPr>
      </w:pPr>
      <w:r w:rsidRPr="00653608">
        <w:rPr>
          <w:rFonts w:ascii="Arial" w:hAnsi="Arial" w:cs="Arial"/>
          <w:lang w:val="fr-FR"/>
        </w:rPr>
        <w:t>Finally, the cross-sectional design of the study establishes associations but does not allow for the establishment of causal links. The social desirability bias, already discussed, and the absence of data on certain practices (sexual orientation, transactional sex) also limit the scope of our behavioral analysis.</w:t>
      </w:r>
    </w:p>
    <w:p w14:paraId="3EC44F96" w14:textId="77777777" w:rsidR="00790ADA" w:rsidRDefault="00653608" w:rsidP="00D11272">
      <w:pPr>
        <w:pStyle w:val="Body"/>
        <w:spacing w:after="0"/>
        <w:jc w:val="left"/>
        <w:rPr>
          <w:rFonts w:ascii="Arial" w:hAnsi="Arial" w:cs="Arial"/>
        </w:rPr>
      </w:pPr>
      <w:r w:rsidRPr="00653608">
        <w:rPr>
          <w:rFonts w:ascii="Arial" w:hAnsi="Arial" w:cs="Arial"/>
          <w:lang w:val="fr-FR"/>
        </w:rPr>
        <w:t xml:space="preserve">Despite its limitations, the 9.5% prevalence observed within our student group, although a point prevalence, fits into the broader and concerning context of the </w:t>
      </w:r>
      <w:r w:rsidRPr="00653608">
        <w:rPr>
          <w:rFonts w:ascii="Arial" w:hAnsi="Arial" w:cs="Arial"/>
          <w:i/>
          <w:iCs/>
          <w:lang w:val="fr-FR"/>
        </w:rPr>
        <w:t>Chlamydia trachomatis</w:t>
      </w:r>
      <w:r w:rsidRPr="00653608">
        <w:rPr>
          <w:rFonts w:ascii="Arial" w:hAnsi="Arial" w:cs="Arial"/>
          <w:lang w:val="fr-FR"/>
        </w:rPr>
        <w:t xml:space="preserve"> (Ct) endemic in Sub-Saharan Africa (SSA) and highlights the relevance of such targeted screening. Indeed, while this prevalence exceeds the 4.3% reported in the general population in another region of Togo, it must also be put into perspective with regional aggregate data. Our result surpasses the estimated average prevalence of 6.1% (95% CI [4.0 - 8.3%]) among women of reproductive age in West and Central Africa and approaches, or even exceeds, the 8.9% rate estimated for East Africa [Ardua et al., </w:t>
      </w:r>
      <w:proofErr w:type="gramStart"/>
      <w:r w:rsidRPr="00653608">
        <w:rPr>
          <w:rFonts w:ascii="Arial" w:hAnsi="Arial" w:cs="Arial"/>
          <w:lang w:val="fr-FR"/>
        </w:rPr>
        <w:t>2018;</w:t>
      </w:r>
      <w:proofErr w:type="gramEnd"/>
      <w:r w:rsidRPr="00653608">
        <w:rPr>
          <w:rFonts w:ascii="Arial" w:hAnsi="Arial" w:cs="Arial"/>
          <w:lang w:val="fr-FR"/>
        </w:rPr>
        <w:t xml:space="preserve"> Azeze et al., 2021]. This observation is in perfect alignment with the identification of student and youth populations as a priority group, whose vulnerability is increased by a convergence of behavioral and structural factors such as migration to urban university centers and exposure to new sexual networks. The university environment, described as a potential "transmission amplifier," thus creates conditions for potentially higher circulation than in the general population. The predominantly asymptomatic nature of the infection that we confirm only reinforces the warning about the risk of a vast, uncontrolled reservoir of transmission, which insidiously fuels irreversible reproductive sequelae, such as tubal factor infertility, for which Ct is a recognized major cause in the region. Thus, our local results empirically validate the urgent need, emphasized at the continental level, to integrate systematic screening into youth-dedicated health services to interrupt this cycle of silent progression towards chronic morbidity.</w:t>
      </w:r>
    </w:p>
    <w:p w14:paraId="0C2E0490" w14:textId="77777777" w:rsidR="00653608" w:rsidRDefault="00653608" w:rsidP="00D11272">
      <w:pPr>
        <w:pStyle w:val="Body"/>
        <w:spacing w:after="0"/>
        <w:jc w:val="left"/>
        <w:rPr>
          <w:rFonts w:ascii="Arial" w:hAnsi="Arial" w:cs="Arial"/>
        </w:rPr>
      </w:pPr>
    </w:p>
    <w:p w14:paraId="5C71BE56" w14:textId="77777777" w:rsidR="00653608" w:rsidRPr="00FB3A86" w:rsidRDefault="00653608" w:rsidP="00D11272">
      <w:pPr>
        <w:pStyle w:val="Body"/>
        <w:spacing w:after="0"/>
        <w:jc w:val="left"/>
        <w:rPr>
          <w:rFonts w:ascii="Arial" w:hAnsi="Arial" w:cs="Arial"/>
        </w:rPr>
      </w:pPr>
    </w:p>
    <w:p w14:paraId="129FC1A9" w14:textId="77777777" w:rsidR="00B01FCD" w:rsidRDefault="00000F8F" w:rsidP="00D11272">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15D530C3" w14:textId="77777777" w:rsidR="00B01FCD" w:rsidRDefault="00F048DF" w:rsidP="00D11272">
      <w:pPr>
        <w:pStyle w:val="Body"/>
        <w:spacing w:after="0"/>
        <w:jc w:val="left"/>
        <w:rPr>
          <w:rFonts w:ascii="Arial" w:hAnsi="Arial" w:cs="Arial"/>
        </w:rPr>
      </w:pPr>
      <w:r w:rsidRPr="00F048DF">
        <w:rPr>
          <w:rFonts w:ascii="Arial" w:hAnsi="Arial" w:cs="Arial"/>
        </w:rPr>
        <w:t xml:space="preserve">This study, the first to quantify the burden of C. trachomatis infection at the University of Lomé, concludes that there is a high prevalence (9.5%) of this infection, which is predominantly asymptomatic. Our findings highlight a critical dissonance between students' </w:t>
      </w:r>
      <w:r w:rsidRPr="00F048DF">
        <w:rPr>
          <w:rFonts w:ascii="Arial" w:hAnsi="Arial" w:cs="Arial"/>
        </w:rPr>
        <w:lastRenderedPageBreak/>
        <w:t>theoretical knowledge and their personal risk perception, and a notable discrepancy between the high prevalence in females and their self-reported low-risk behaviors. These results indicate that strategies based solely on symptoms or self-reported behavior will be ineffective. The implementation of a systematic, confidential, and accessible on-campus screening program is therefore recommended as a key strategy to curb transmission. This should be complemented by targeted awareness campaigns designed to translate knowledge into genuine risk awareness and behavioral change</w:t>
      </w:r>
    </w:p>
    <w:p w14:paraId="2EBC5D71" w14:textId="77777777" w:rsidR="00790ADA" w:rsidRPr="00FB3A86" w:rsidRDefault="00790ADA" w:rsidP="00D11272">
      <w:pPr>
        <w:pStyle w:val="Body"/>
        <w:spacing w:after="0"/>
        <w:jc w:val="left"/>
        <w:rPr>
          <w:rFonts w:ascii="Arial" w:hAnsi="Arial" w:cs="Arial"/>
        </w:rPr>
      </w:pPr>
    </w:p>
    <w:p w14:paraId="6CD4E1D0" w14:textId="77777777" w:rsidR="002B685A" w:rsidRDefault="002B685A" w:rsidP="00D11272">
      <w:pPr>
        <w:pStyle w:val="ReferHead"/>
        <w:spacing w:after="0"/>
        <w:rPr>
          <w:rFonts w:ascii="Arial" w:hAnsi="Arial" w:cs="Arial"/>
          <w:b w:val="0"/>
          <w:caps w:val="0"/>
          <w:sz w:val="20"/>
        </w:rPr>
      </w:pPr>
    </w:p>
    <w:p w14:paraId="3DE7E52B" w14:textId="77777777" w:rsidR="005C784C" w:rsidRDefault="005C784C" w:rsidP="00D11272">
      <w:pPr>
        <w:pStyle w:val="ReferHead"/>
        <w:spacing w:after="0"/>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44F7F29" w14:textId="77777777" w:rsidR="0041027F" w:rsidRPr="00F469F0" w:rsidRDefault="008B4C23" w:rsidP="00D11272">
      <w:pPr>
        <w:pStyle w:val="ReferHead"/>
        <w:spacing w:after="0"/>
        <w:rPr>
          <w:rFonts w:ascii="Arial" w:hAnsi="Arial" w:cs="Arial"/>
          <w:b w:val="0"/>
          <w:caps w:val="0"/>
          <w:sz w:val="20"/>
          <w:u w:val="single"/>
        </w:rPr>
      </w:pPr>
      <w:r w:rsidRPr="008671C6">
        <w:rPr>
          <w:rFonts w:ascii="Arial" w:hAnsi="Arial" w:cs="Arial"/>
          <w:b w:val="0"/>
          <w:caps w:val="0"/>
          <w:sz w:val="20"/>
        </w:rPr>
        <w:t>:</w:t>
      </w:r>
      <w:r w:rsidRPr="00DA4EAA">
        <w:rPr>
          <w:rFonts w:ascii="Arial" w:hAnsi="Arial" w:cs="Arial"/>
          <w:b w:val="0"/>
          <w:caps w:val="0"/>
          <w:sz w:val="20"/>
        </w:rPr>
        <w:t xml:space="preserve"> All</w:t>
      </w:r>
      <w:r w:rsidR="001A29D8" w:rsidRPr="00DA4EAA">
        <w:rPr>
          <w:rFonts w:ascii="Arial" w:hAnsi="Arial" w:cs="Arial"/>
          <w:b w:val="0"/>
          <w:caps w:val="0"/>
          <w:sz w:val="20"/>
        </w:rPr>
        <w:t xml:space="preserve"> authors hereby declare that a</w:t>
      </w:r>
      <w:r w:rsidR="0041027F" w:rsidRPr="00DA4EAA">
        <w:rPr>
          <w:rFonts w:ascii="Arial" w:hAnsi="Arial" w:cs="Arial"/>
          <w:b w:val="0"/>
          <w:caps w:val="0"/>
          <w:sz w:val="20"/>
        </w:rPr>
        <w:t xml:space="preserve">ll </w:t>
      </w:r>
      <w:r w:rsidR="00F469F0" w:rsidRPr="00DA4EAA">
        <w:rPr>
          <w:rFonts w:ascii="Arial" w:hAnsi="Arial" w:cs="Arial"/>
          <w:b w:val="0"/>
          <w:caps w:val="0"/>
          <w:sz w:val="20"/>
        </w:rPr>
        <w:t>experiments</w:t>
      </w:r>
      <w:r w:rsidR="0041027F" w:rsidRPr="00DA4EAA">
        <w:rPr>
          <w:rFonts w:ascii="Arial" w:hAnsi="Arial" w:cs="Arial"/>
          <w:b w:val="0"/>
          <w:caps w:val="0"/>
          <w:sz w:val="20"/>
        </w:rPr>
        <w:t xml:space="preserve"> have been examined</w:t>
      </w:r>
      <w:r w:rsidR="001A29D8" w:rsidRPr="00DA4EAA">
        <w:rPr>
          <w:rFonts w:ascii="Arial" w:hAnsi="Arial" w:cs="Arial"/>
          <w:b w:val="0"/>
          <w:caps w:val="0"/>
          <w:sz w:val="20"/>
        </w:rPr>
        <w:t xml:space="preserve"> and approved</w:t>
      </w:r>
      <w:r w:rsidR="0041027F" w:rsidRPr="00DA4EAA">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78CE07E1" w14:textId="77777777" w:rsidR="00B01FCD" w:rsidRDefault="00B01FCD" w:rsidP="00D11272">
      <w:pPr>
        <w:pStyle w:val="ReferHead"/>
        <w:spacing w:after="0"/>
        <w:rPr>
          <w:rFonts w:ascii="Arial" w:hAnsi="Arial" w:cs="Arial"/>
        </w:rPr>
      </w:pPr>
      <w:r w:rsidRPr="00FB3A86">
        <w:rPr>
          <w:rFonts w:ascii="Arial" w:hAnsi="Arial" w:cs="Arial"/>
        </w:rPr>
        <w:t>References</w:t>
      </w:r>
    </w:p>
    <w:p w14:paraId="13114797"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Ajani TA, Elikwu CJ, Anaedobe CG, Oluwasola TAO, Ajani MA. Prevalence and Associated Risk Factors of Chlamydia trachomatis among Gynecology Clinic Attendees in a Tertiary Institution in Ogun State, Nigeria. Ann Trop Pathol. 2019;10(2):136-40.</w:t>
      </w:r>
    </w:p>
    <w:p w14:paraId="18F42148"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Ajayi AI, Ismail KO, Akpan W. Factors associated with consistent condom use: a cross-sectional survey of two Nigerian universities. BMC Public Health. 2019;19(1):1207.</w:t>
      </w:r>
    </w:p>
    <w:p w14:paraId="68AD8E30"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 xml:space="preserve">Ardua AGN. Factors Affecting Health Seeking Behaviours for Sexually Transmitted Infections among Clients Attending the STI Clinic of the University </w:t>
      </w:r>
      <w:proofErr w:type="gramStart"/>
      <w:r w:rsidRPr="00DA4EAA">
        <w:rPr>
          <w:rFonts w:ascii="Arial" w:hAnsi="Arial" w:cs="Arial"/>
          <w:lang w:eastAsia="fr-FR"/>
        </w:rPr>
        <w:t>Of</w:t>
      </w:r>
      <w:proofErr w:type="gramEnd"/>
      <w:r w:rsidRPr="00DA4EAA">
        <w:rPr>
          <w:rFonts w:ascii="Arial" w:hAnsi="Arial" w:cs="Arial"/>
          <w:lang w:eastAsia="fr-FR"/>
        </w:rPr>
        <w:t xml:space="preserve"> Ghana Hospital, Legon [dissertation]. Legon: University of Ghana; 2018.</w:t>
      </w:r>
    </w:p>
    <w:p w14:paraId="6534A8C4"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Avuvika E, Masese LN, Wanje G, Wanyonyi J, Nyaribo B, Omoni G, et al. Barriers and facilitators of screening for sexually transmitted infections in adolescent girls and young women in Mombasa, Kenya: a qualitative study. PLoS One. 2017;12(1</w:t>
      </w:r>
      <w:proofErr w:type="gramStart"/>
      <w:r w:rsidRPr="00DA4EAA">
        <w:rPr>
          <w:rFonts w:ascii="Arial" w:hAnsi="Arial" w:cs="Arial"/>
          <w:lang w:eastAsia="fr-FR"/>
        </w:rPr>
        <w:t>):e</w:t>
      </w:r>
      <w:proofErr w:type="gramEnd"/>
      <w:r w:rsidRPr="00DA4EAA">
        <w:rPr>
          <w:rFonts w:ascii="Arial" w:hAnsi="Arial" w:cs="Arial"/>
          <w:lang w:eastAsia="fr-FR"/>
        </w:rPr>
        <w:t>0169388.</w:t>
      </w:r>
    </w:p>
    <w:p w14:paraId="303B6589"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Azeze GA, Gebeyehu NA, Wassie AY, Mokonnon TM. Factors associated with risky sexual behaviour among secondary and preparatory students in Wolaita Sodo town, Southern Ethiopia; Institution based cross-sectional study. Afr Health Sci. 2021;21(4):1830-41.</w:t>
      </w:r>
    </w:p>
    <w:p w14:paraId="71B2F5AF"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Bogale EK, Anagaw TF, Tiruneh MG, Fenta ET, Endeshaw D, Delie AM, et al. Prevalence of sexually transmitted infections, and its associated factors among students in Ethiopia: a systematic review and meta-analysis study. BMC Public Health. 2024;24(1):1976.</w:t>
      </w:r>
    </w:p>
    <w:p w14:paraId="79882E43"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Davidson KW, Barry MJ, Mangione CM, Cabana M, Caughey AB, Davis EM, et al.; US Preventive Services Task Force. Screening for chlamydia and gonorrhea: US Preventive Services Task Force recommendation statement. JAMA. 2021;326(10):949-56.</w:t>
      </w:r>
    </w:p>
    <w:p w14:paraId="7863AB8F"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Gnatou GYS, Gbeasor-Komlanvi FA, Afanvi KA, Agoro S, Sadio AJ, Adoli LK, et al. Prévalence de Chlamydia trachomatis, Neisseria gonorrhoeae, Treponema pallidum et du VIH chez les femmes à Kara, en 2022. Santé Publique. 2024;36(3):137-46.</w:t>
      </w:r>
    </w:p>
    <w:p w14:paraId="22B98A75"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Haggerty CL, Ness RB. Newest approaches to treatment of pelvic inflammatory disease: a review of recent randomized clinical trials. Clin Infect Dis. 2007;44(7):953-60.</w:t>
      </w:r>
    </w:p>
    <w:p w14:paraId="43016792"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lastRenderedPageBreak/>
        <w:t>Hodgins C, Stannah J, Kuchukhidze S, Zembe L, Eaton JW, Boily MC, et al. Population sizes, HIV prevalence, and HIV prevention among men who paid for sex in sub-Saharan Africa (2000–2020): a meta-analysis of 87 population-based surveys. PLoS Med. 2022;19(1</w:t>
      </w:r>
      <w:proofErr w:type="gramStart"/>
      <w:r w:rsidRPr="00DA4EAA">
        <w:rPr>
          <w:rFonts w:ascii="Arial" w:hAnsi="Arial" w:cs="Arial"/>
          <w:lang w:eastAsia="fr-FR"/>
        </w:rPr>
        <w:t>):e</w:t>
      </w:r>
      <w:proofErr w:type="gramEnd"/>
      <w:r w:rsidRPr="00DA4EAA">
        <w:rPr>
          <w:rFonts w:ascii="Arial" w:hAnsi="Arial" w:cs="Arial"/>
          <w:lang w:eastAsia="fr-FR"/>
        </w:rPr>
        <w:t>1003861.</w:t>
      </w:r>
    </w:p>
    <w:p w14:paraId="27EF274E"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Hussen S, Wachamo D, Yohannes Z, Tadesse E. Prevalence of chlamydia trachomatis infection among reproductive age women in sub Saharan Africa: a systematic review and meta-analysis. BMC Infect Dis. 2018;18(1):596.</w:t>
      </w:r>
    </w:p>
    <w:p w14:paraId="1CC397F5"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Kassa ZY, Hussen S, Hadra N, Moges Y, Bonja F. Prevalence of Neisseria gonorrhoeae infection among women of reproductive age in sub-Saharan Africa: a systematic review and meta-analysis. Eur J Contracept Reprod Health Care. 2020;25(5):365-71.</w:t>
      </w:r>
    </w:p>
    <w:p w14:paraId="16A94376"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Lanjouw E, Ouburg S, De Vries HJ, Stary A, Radcliffe K, Unemo M. 2015 European guideline on the management of Chlamydia trachomatis infections. Int J STD AIDS. 2016;27(5):333-48.</w:t>
      </w:r>
    </w:p>
    <w:p w14:paraId="768DB4D8"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Miners A, Llewellyn C, Pollard A, Lagarde M, Richardson D, Cairns J, et al. Assessing user preferences for sexually transmitted infection testing services: a discrete choice experiment. Sex Transm Infect. 2012;88(7):510-6.</w:t>
      </w:r>
    </w:p>
    <w:p w14:paraId="355FBE67"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Mishori R. Chlamydia trachomatis infections: screening, diagnosis, and management. Am Fam Physician. 2012;85(5):475-82. PMID:22335339.</w:t>
      </w:r>
    </w:p>
    <w:p w14:paraId="351839AE"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Morré SA, Van Den Brule AJ, Rozendaal L, Boeke AJP, Voorhorst FJ, De Blok S, et al. The natural course of asymptomatic Chlamydia trachomatis infections: 45% clearance and no development of clinical PID after one-year follow-up. Int J STD AIDS. 2002;13(1 Suppl):12-8.</w:t>
      </w:r>
    </w:p>
    <w:p w14:paraId="7D698DE4"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Ouédraogo S, Diallo I, Sarigda M, Kouraogo I, Ouattara A, Ouédraogo L, et al. Connaissances des infections sexuellement transmissibles et pratiques sexuelles des scolaires de la ville de Ouagadougou au Burkina Faso. Rev Maroc Santé Publique. 2022;9(15).</w:t>
      </w:r>
    </w:p>
    <w:p w14:paraId="5575612F"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Rowley J, Vander Hoorn S, Korenromp E, Low N, Unemo M, Abu-Raddad LJ, et al. Chlamydia, gonorrhoea, trichomoniasis and syphilis: global prevalence and incidence estimates, 2016. Bull World Health Organ. 2019;97(8):548.</w:t>
      </w:r>
    </w:p>
    <w:p w14:paraId="131E1D92"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Van Den Broek IV, Sfetcu O, Van Der Sande MA, Andersen B, Herrmann B, Ward H, et al. Changes in chlamydia control activities in Europe between 2007 and 2012: a cross-national survey. Eur J Public Health. 2016;26(3):382-8.</w:t>
      </w:r>
    </w:p>
    <w:p w14:paraId="0561272F" w14:textId="77777777" w:rsidR="00DA4EAA" w:rsidRPr="00DA4EAA" w:rsidRDefault="00DA4EAA" w:rsidP="00D11272">
      <w:pPr>
        <w:spacing w:before="100" w:beforeAutospacing="1" w:after="100" w:afterAutospacing="1"/>
        <w:ind w:left="567" w:hanging="567"/>
        <w:rPr>
          <w:rFonts w:ascii="Arial" w:hAnsi="Arial" w:cs="Arial"/>
          <w:lang w:eastAsia="fr-FR"/>
        </w:rPr>
      </w:pPr>
      <w:r w:rsidRPr="00DA4EAA">
        <w:rPr>
          <w:rFonts w:ascii="Arial" w:hAnsi="Arial" w:cs="Arial"/>
          <w:lang w:eastAsia="fr-FR"/>
        </w:rPr>
        <w:t>World Health Organization. Global progress report on HIV, viral hepatitis and sexually transmitted infections, 2021: accountability for the global health sector strategies 2016–2021: actions for impact: web annex 1: key data at a glance. Geneva: WHO; 2021.</w:t>
      </w:r>
    </w:p>
    <w:p w14:paraId="7B28F1F0" w14:textId="77777777" w:rsidR="00B01FCD" w:rsidRPr="00FB3A86" w:rsidRDefault="00B01FCD" w:rsidP="00D11272">
      <w:pPr>
        <w:pStyle w:val="Reference"/>
        <w:numPr>
          <w:ilvl w:val="0"/>
          <w:numId w:val="0"/>
        </w:numPr>
        <w:spacing w:line="240" w:lineRule="auto"/>
        <w:jc w:val="left"/>
        <w:rPr>
          <w:rFonts w:ascii="Arial" w:hAnsi="Arial" w:cs="Arial"/>
        </w:rPr>
      </w:pPr>
    </w:p>
    <w:p w14:paraId="15C0A2DE" w14:textId="77777777" w:rsidR="00790ADA" w:rsidRPr="00FB3A86" w:rsidRDefault="00790ADA" w:rsidP="00D11272">
      <w:pPr>
        <w:pStyle w:val="Body"/>
        <w:spacing w:after="0"/>
        <w:jc w:val="left"/>
        <w:rPr>
          <w:rFonts w:ascii="Arial" w:hAnsi="Arial" w:cs="Arial"/>
        </w:rPr>
      </w:pPr>
    </w:p>
    <w:p w14:paraId="1A34E83B" w14:textId="689D56DA" w:rsidR="004D4277" w:rsidRPr="00FB3A86" w:rsidRDefault="004D4277" w:rsidP="00D11272">
      <w:pPr>
        <w:pStyle w:val="Appendix"/>
        <w:spacing w:after="0"/>
        <w:rPr>
          <w:rFonts w:ascii="Arial" w:hAnsi="Arial" w:cs="Arial"/>
          <w:b w:val="0"/>
        </w:rPr>
        <w:sectPr w:rsidR="004D4277" w:rsidRPr="00FB3A86" w:rsidSect="00462FE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ABDE124" w14:textId="77777777" w:rsidR="00B01FCD" w:rsidRPr="00FB3A86" w:rsidRDefault="00B01FCD" w:rsidP="00D11272">
      <w:pPr>
        <w:pStyle w:val="Appendix"/>
        <w:spacing w:after="0"/>
        <w:rPr>
          <w:rFonts w:ascii="Arial" w:hAnsi="Arial" w:cs="Arial"/>
          <w:b w:val="0"/>
        </w:rPr>
      </w:pPr>
    </w:p>
    <w:sectPr w:rsidR="00B01FCD" w:rsidRPr="00FB3A86" w:rsidSect="00462F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1775" w14:textId="77777777" w:rsidR="00C4527B" w:rsidRDefault="00C4527B" w:rsidP="00C37E61">
      <w:r>
        <w:separator/>
      </w:r>
    </w:p>
  </w:endnote>
  <w:endnote w:type="continuationSeparator" w:id="0">
    <w:p w14:paraId="6C0C518D" w14:textId="77777777" w:rsidR="00C4527B" w:rsidRDefault="00C452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8C63" w14:textId="77777777" w:rsidR="00462FE5" w:rsidRDefault="00462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8DD3" w14:textId="77777777" w:rsidR="00462FE5" w:rsidRDefault="0046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0B40" w14:textId="49FEA091" w:rsidR="00754C9A" w:rsidRPr="00AE29B5" w:rsidRDefault="00754C9A" w:rsidP="00AE29B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62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5123" w14:textId="77777777" w:rsidR="00C4527B" w:rsidRDefault="00C4527B" w:rsidP="00C37E61">
      <w:r>
        <w:separator/>
      </w:r>
    </w:p>
  </w:footnote>
  <w:footnote w:type="continuationSeparator" w:id="0">
    <w:p w14:paraId="204E2928" w14:textId="77777777" w:rsidR="00C4527B" w:rsidRDefault="00C452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EC716" w14:textId="31276285" w:rsidR="00462FE5" w:rsidRDefault="00462FE5">
    <w:pPr>
      <w:pStyle w:val="Header"/>
    </w:pPr>
    <w:r>
      <w:rPr>
        <w:noProof/>
      </w:rPr>
      <w:pict w14:anchorId="690CF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86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5E83" w14:textId="31519661" w:rsidR="00462FE5" w:rsidRDefault="00462FE5">
    <w:pPr>
      <w:pStyle w:val="Header"/>
    </w:pPr>
    <w:r>
      <w:rPr>
        <w:noProof/>
      </w:rPr>
      <w:pict w14:anchorId="6CE89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86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BE08" w14:textId="0B8084D9" w:rsidR="00296529" w:rsidRPr="00296529" w:rsidRDefault="00462FE5" w:rsidP="00296529">
    <w:pPr>
      <w:ind w:left="2160"/>
      <w:jc w:val="center"/>
      <w:rPr>
        <w:rFonts w:ascii="Times New Roman" w:eastAsia="Calibri" w:hAnsi="Times New Roman"/>
        <w:i/>
        <w:sz w:val="18"/>
        <w:szCs w:val="22"/>
      </w:rPr>
    </w:pPr>
    <w:r>
      <w:rPr>
        <w:noProof/>
      </w:rPr>
      <w:pict w14:anchorId="044FF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86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B610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9B1F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0DA17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F77AA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28B2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530A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0438" w14:textId="5063EEEE" w:rsidR="00462FE5" w:rsidRDefault="00462FE5">
    <w:pPr>
      <w:pStyle w:val="Header"/>
    </w:pPr>
    <w:r>
      <w:rPr>
        <w:noProof/>
      </w:rPr>
      <w:pict w14:anchorId="6B770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86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0FA5" w14:textId="49AC555F" w:rsidR="00462FE5" w:rsidRDefault="00462FE5">
    <w:pPr>
      <w:pStyle w:val="Header"/>
    </w:pPr>
    <w:r>
      <w:rPr>
        <w:noProof/>
      </w:rPr>
      <w:pict w14:anchorId="155A7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86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A6C4" w14:textId="092CC03E" w:rsidR="00462FE5" w:rsidRDefault="00462FE5">
    <w:pPr>
      <w:pStyle w:val="Header"/>
    </w:pPr>
    <w:r>
      <w:rPr>
        <w:noProof/>
      </w:rPr>
      <w:pict w14:anchorId="260AD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86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C0E9D"/>
    <w:multiLevelType w:val="multilevel"/>
    <w:tmpl w:val="94945B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25A1A"/>
    <w:multiLevelType w:val="multilevel"/>
    <w:tmpl w:val="CB54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CA42AFD"/>
    <w:multiLevelType w:val="multilevel"/>
    <w:tmpl w:val="B1106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7"/>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5DC"/>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1B75"/>
    <w:rsid w:val="00231920"/>
    <w:rsid w:val="0023195C"/>
    <w:rsid w:val="0024282C"/>
    <w:rsid w:val="002460DC"/>
    <w:rsid w:val="00250985"/>
    <w:rsid w:val="002556F6"/>
    <w:rsid w:val="00256EBB"/>
    <w:rsid w:val="00275DA4"/>
    <w:rsid w:val="00283105"/>
    <w:rsid w:val="00284C4C"/>
    <w:rsid w:val="00287E68"/>
    <w:rsid w:val="00296529"/>
    <w:rsid w:val="002B27FB"/>
    <w:rsid w:val="002B5269"/>
    <w:rsid w:val="002B685A"/>
    <w:rsid w:val="002C57D2"/>
    <w:rsid w:val="002E0D56"/>
    <w:rsid w:val="002E5421"/>
    <w:rsid w:val="00315186"/>
    <w:rsid w:val="0033343E"/>
    <w:rsid w:val="003512C2"/>
    <w:rsid w:val="00371FB6"/>
    <w:rsid w:val="003763C1"/>
    <w:rsid w:val="00376BBE"/>
    <w:rsid w:val="0039224F"/>
    <w:rsid w:val="003A43A4"/>
    <w:rsid w:val="003A7E18"/>
    <w:rsid w:val="003C4C86"/>
    <w:rsid w:val="003C6258"/>
    <w:rsid w:val="003E2904"/>
    <w:rsid w:val="003F66E9"/>
    <w:rsid w:val="00401927"/>
    <w:rsid w:val="0041027F"/>
    <w:rsid w:val="00412475"/>
    <w:rsid w:val="00423789"/>
    <w:rsid w:val="00440F43"/>
    <w:rsid w:val="00441B6F"/>
    <w:rsid w:val="00446221"/>
    <w:rsid w:val="00450E62"/>
    <w:rsid w:val="004539DB"/>
    <w:rsid w:val="00462FE5"/>
    <w:rsid w:val="00471A80"/>
    <w:rsid w:val="004D305E"/>
    <w:rsid w:val="004D4277"/>
    <w:rsid w:val="004F711B"/>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3608"/>
    <w:rsid w:val="0066510A"/>
    <w:rsid w:val="00673F9F"/>
    <w:rsid w:val="00686953"/>
    <w:rsid w:val="00687DEA"/>
    <w:rsid w:val="00687E67"/>
    <w:rsid w:val="006967F7"/>
    <w:rsid w:val="006A250C"/>
    <w:rsid w:val="006B21D3"/>
    <w:rsid w:val="006B57D0"/>
    <w:rsid w:val="006D30FF"/>
    <w:rsid w:val="006D6940"/>
    <w:rsid w:val="006D73D3"/>
    <w:rsid w:val="006F11EC"/>
    <w:rsid w:val="0070082C"/>
    <w:rsid w:val="007369E6"/>
    <w:rsid w:val="00746E59"/>
    <w:rsid w:val="00754C9A"/>
    <w:rsid w:val="0075599A"/>
    <w:rsid w:val="00761D52"/>
    <w:rsid w:val="0077749E"/>
    <w:rsid w:val="00790ADA"/>
    <w:rsid w:val="007D2288"/>
    <w:rsid w:val="007D46E8"/>
    <w:rsid w:val="007E088F"/>
    <w:rsid w:val="007F7B32"/>
    <w:rsid w:val="00804BC2"/>
    <w:rsid w:val="00806BAD"/>
    <w:rsid w:val="0081431A"/>
    <w:rsid w:val="0083216F"/>
    <w:rsid w:val="00860000"/>
    <w:rsid w:val="00863BD3"/>
    <w:rsid w:val="008641ED"/>
    <w:rsid w:val="00866D66"/>
    <w:rsid w:val="008671C6"/>
    <w:rsid w:val="00875803"/>
    <w:rsid w:val="008B459E"/>
    <w:rsid w:val="008B4C23"/>
    <w:rsid w:val="008E13AE"/>
    <w:rsid w:val="008E1506"/>
    <w:rsid w:val="008E25A9"/>
    <w:rsid w:val="008E710C"/>
    <w:rsid w:val="008F69D6"/>
    <w:rsid w:val="00902823"/>
    <w:rsid w:val="00915CA6"/>
    <w:rsid w:val="00916A43"/>
    <w:rsid w:val="00927834"/>
    <w:rsid w:val="00937CB2"/>
    <w:rsid w:val="009500A6"/>
    <w:rsid w:val="00957C18"/>
    <w:rsid w:val="0096578E"/>
    <w:rsid w:val="009659BA"/>
    <w:rsid w:val="00970041"/>
    <w:rsid w:val="00983040"/>
    <w:rsid w:val="0098455A"/>
    <w:rsid w:val="009B3FB9"/>
    <w:rsid w:val="009C2465"/>
    <w:rsid w:val="009D35A0"/>
    <w:rsid w:val="009D7EB7"/>
    <w:rsid w:val="009E048A"/>
    <w:rsid w:val="009E08E9"/>
    <w:rsid w:val="009E3DB9"/>
    <w:rsid w:val="009E6E35"/>
    <w:rsid w:val="009F0EDA"/>
    <w:rsid w:val="00A03B96"/>
    <w:rsid w:val="00A05B19"/>
    <w:rsid w:val="00A1134E"/>
    <w:rsid w:val="00A24E7E"/>
    <w:rsid w:val="00A25792"/>
    <w:rsid w:val="00A258C3"/>
    <w:rsid w:val="00A347C0"/>
    <w:rsid w:val="00A51431"/>
    <w:rsid w:val="00A539AD"/>
    <w:rsid w:val="00A94063"/>
    <w:rsid w:val="00AA6219"/>
    <w:rsid w:val="00AA6438"/>
    <w:rsid w:val="00AA74E0"/>
    <w:rsid w:val="00AB703F"/>
    <w:rsid w:val="00AC6BB8"/>
    <w:rsid w:val="00AE008F"/>
    <w:rsid w:val="00AE29B5"/>
    <w:rsid w:val="00B01FCD"/>
    <w:rsid w:val="00B05DDB"/>
    <w:rsid w:val="00B1776C"/>
    <w:rsid w:val="00B52583"/>
    <w:rsid w:val="00B52896"/>
    <w:rsid w:val="00B94AF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27B"/>
    <w:rsid w:val="00C70F1B"/>
    <w:rsid w:val="00C71A47"/>
    <w:rsid w:val="00C7464C"/>
    <w:rsid w:val="00C85588"/>
    <w:rsid w:val="00CD6755"/>
    <w:rsid w:val="00CD6856"/>
    <w:rsid w:val="00CE0089"/>
    <w:rsid w:val="00CE05F1"/>
    <w:rsid w:val="00CE793C"/>
    <w:rsid w:val="00CF193C"/>
    <w:rsid w:val="00D11272"/>
    <w:rsid w:val="00D173F1"/>
    <w:rsid w:val="00D640C0"/>
    <w:rsid w:val="00D74CB0"/>
    <w:rsid w:val="00D8295D"/>
    <w:rsid w:val="00DA4EA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662"/>
    <w:rsid w:val="00EC6A55"/>
    <w:rsid w:val="00ED0288"/>
    <w:rsid w:val="00EE52CB"/>
    <w:rsid w:val="00EF581D"/>
    <w:rsid w:val="00EF7FD8"/>
    <w:rsid w:val="00F048DF"/>
    <w:rsid w:val="00F06F59"/>
    <w:rsid w:val="00F17988"/>
    <w:rsid w:val="00F469F0"/>
    <w:rsid w:val="00F53273"/>
    <w:rsid w:val="00F755E4"/>
    <w:rsid w:val="00F77D02"/>
    <w:rsid w:val="00FA54F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C51D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45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53608"/>
    <w:rPr>
      <w:rFonts w:ascii="Times New Roman" w:hAnsi="Times New Roman"/>
      <w:sz w:val="24"/>
      <w:szCs w:val="24"/>
    </w:rPr>
  </w:style>
  <w:style w:type="character" w:styleId="UnresolvedMention">
    <w:name w:val="Unresolved Mention"/>
    <w:basedOn w:val="DefaultParagraphFont"/>
    <w:uiPriority w:val="99"/>
    <w:semiHidden/>
    <w:unhideWhenUsed/>
    <w:rsid w:val="0098455A"/>
    <w:rPr>
      <w:color w:val="605E5C"/>
      <w:shd w:val="clear" w:color="auto" w:fill="E1DFDD"/>
    </w:rPr>
  </w:style>
  <w:style w:type="character" w:customStyle="1" w:styleId="Heading3Char">
    <w:name w:val="Heading 3 Char"/>
    <w:basedOn w:val="DefaultParagraphFont"/>
    <w:link w:val="Heading3"/>
    <w:semiHidden/>
    <w:rsid w:val="0098455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6CA14-27F2-4EBF-AAD4-EB24132B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9</Pages>
  <Words>4497</Words>
  <Characters>25633</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2025-11-12T16:12:00Z</dcterms:created>
  <dcterms:modified xsi:type="dcterms:W3CDTF">2025-11-13T12:04:00Z</dcterms:modified>
</cp:coreProperties>
</file>