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E969" w14:textId="1E2ADA67" w:rsidR="00754C9A" w:rsidRDefault="00D251D2" w:rsidP="00441B6F">
      <w:pPr>
        <w:pStyle w:val="Title"/>
        <w:spacing w:after="0"/>
        <w:jc w:val="both"/>
        <w:rPr>
          <w:rFonts w:ascii="Arial" w:hAnsi="Arial" w:cs="Arial"/>
        </w:rPr>
      </w:pPr>
      <w:r w:rsidRPr="00D251D2">
        <w:rPr>
          <w:rFonts w:ascii="Arial" w:hAnsi="Arial" w:cs="Arial"/>
        </w:rPr>
        <w:t>Original Research Article</w:t>
      </w:r>
    </w:p>
    <w:p w14:paraId="1BCD5554" w14:textId="77777777" w:rsidR="00D251D2" w:rsidRDefault="00D251D2" w:rsidP="00441B6F">
      <w:pPr>
        <w:pStyle w:val="Title"/>
        <w:spacing w:after="0"/>
        <w:jc w:val="both"/>
        <w:rPr>
          <w:rFonts w:ascii="Arial" w:hAnsi="Arial" w:cs="Arial"/>
        </w:rPr>
      </w:pPr>
    </w:p>
    <w:p w14:paraId="7B6F1D89" w14:textId="77777777" w:rsidR="00163BC4" w:rsidRPr="00163BC4" w:rsidRDefault="00FD4F01" w:rsidP="00441B6F">
      <w:pPr>
        <w:pStyle w:val="Author"/>
        <w:spacing w:line="240" w:lineRule="auto"/>
        <w:rPr>
          <w:rFonts w:ascii="Arial" w:hAnsi="Arial" w:cs="Arial"/>
          <w:bCs/>
          <w:iCs/>
          <w:kern w:val="28"/>
          <w:sz w:val="36"/>
        </w:rPr>
      </w:pPr>
      <w:r w:rsidRPr="00FD4F01">
        <w:rPr>
          <w:rFonts w:ascii="Arial" w:hAnsi="Arial" w:cs="Arial"/>
          <w:bCs/>
          <w:iCs/>
          <w:kern w:val="28"/>
          <w:sz w:val="36"/>
        </w:rPr>
        <w:t>Effect of Functional Electrical Stimulation in Conjunction with Motor Relearning Program on Activities of Daily Living Following Ischemic Stroke</w:t>
      </w:r>
      <w:r w:rsidR="00FF275F">
        <w:rPr>
          <w:rFonts w:ascii="Arial" w:hAnsi="Arial" w:cs="Arial"/>
          <w:bCs/>
          <w:iCs/>
          <w:kern w:val="28"/>
          <w:sz w:val="36"/>
        </w:rPr>
        <w:t>: RCT</w:t>
      </w:r>
    </w:p>
    <w:p w14:paraId="70CCFA0B" w14:textId="77777777" w:rsidR="00A258C3" w:rsidRPr="00790ADA" w:rsidRDefault="00A258C3" w:rsidP="00441B6F">
      <w:pPr>
        <w:pStyle w:val="Author"/>
        <w:spacing w:line="240" w:lineRule="auto"/>
        <w:jc w:val="both"/>
        <w:rPr>
          <w:rFonts w:ascii="Arial" w:hAnsi="Arial" w:cs="Arial"/>
          <w:sz w:val="36"/>
        </w:rPr>
      </w:pPr>
    </w:p>
    <w:p w14:paraId="4AA320F2" w14:textId="77777777" w:rsidR="00C86D9C" w:rsidRPr="008C4844" w:rsidRDefault="00C86D9C" w:rsidP="00121BF7">
      <w:pPr>
        <w:ind w:firstLine="643"/>
        <w:jc w:val="center"/>
        <w:rPr>
          <w:rFonts w:ascii="Arial" w:hAnsi="Arial" w:cs="Arial"/>
          <w:i/>
          <w:color w:val="000000" w:themeColor="text1"/>
          <w:lang w:eastAsia="en-IN"/>
        </w:rPr>
      </w:pPr>
      <w:bookmarkStart w:id="0" w:name="_GoBack"/>
      <w:bookmarkEnd w:id="0"/>
    </w:p>
    <w:p w14:paraId="42DFEECE" w14:textId="77777777" w:rsidR="00790ADA" w:rsidRDefault="00790ADA" w:rsidP="00441B6F">
      <w:pPr>
        <w:pStyle w:val="Author"/>
        <w:spacing w:line="240" w:lineRule="auto"/>
        <w:rPr>
          <w:rFonts w:ascii="Arial" w:hAnsi="Arial" w:cs="Arial"/>
        </w:rPr>
      </w:pPr>
    </w:p>
    <w:p w14:paraId="23D931D3" w14:textId="77777777" w:rsidR="002C57D2" w:rsidRPr="00FB3A86" w:rsidRDefault="002C57D2" w:rsidP="00441B6F">
      <w:pPr>
        <w:pStyle w:val="Affiliation"/>
        <w:spacing w:after="0" w:line="240" w:lineRule="auto"/>
        <w:jc w:val="both"/>
        <w:rPr>
          <w:rFonts w:ascii="Arial" w:hAnsi="Arial" w:cs="Arial"/>
        </w:rPr>
      </w:pPr>
    </w:p>
    <w:p w14:paraId="5E592F16" w14:textId="77777777" w:rsidR="00B01FCD" w:rsidRPr="00FB3A86" w:rsidRDefault="00935FA9" w:rsidP="00441B6F">
      <w:pPr>
        <w:pStyle w:val="Copyright"/>
        <w:spacing w:after="0" w:line="240" w:lineRule="auto"/>
        <w:jc w:val="both"/>
        <w:rPr>
          <w:rFonts w:ascii="Arial" w:hAnsi="Arial" w:cs="Arial"/>
        </w:rPr>
        <w:sectPr w:rsidR="00B01FCD" w:rsidRPr="00FB3A86" w:rsidSect="00AD3E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C7596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E704B1E"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D2522DC" w14:textId="77777777" w:rsidTr="001E44FE">
        <w:tc>
          <w:tcPr>
            <w:tcW w:w="9576" w:type="dxa"/>
            <w:shd w:val="clear" w:color="auto" w:fill="F2F2F2"/>
          </w:tcPr>
          <w:p w14:paraId="54FE757F" w14:textId="77777777" w:rsidR="00121BF7" w:rsidRPr="000F5D5D" w:rsidRDefault="00121BF7" w:rsidP="00121BF7">
            <w:pPr>
              <w:spacing w:before="100" w:beforeAutospacing="1" w:after="100" w:afterAutospacing="1"/>
              <w:jc w:val="both"/>
              <w:rPr>
                <w:rFonts w:ascii="Arial" w:eastAsia="Calibri" w:hAnsi="Arial" w:cs="Arial"/>
                <w:szCs w:val="22"/>
              </w:rPr>
            </w:pPr>
            <w:r w:rsidRPr="000F5D5D">
              <w:rPr>
                <w:rFonts w:ascii="Arial" w:eastAsia="Calibri" w:hAnsi="Arial" w:cs="Arial"/>
                <w:b/>
                <w:szCs w:val="22"/>
              </w:rPr>
              <w:t>Background:</w:t>
            </w:r>
            <w:r w:rsidRPr="000F5D5D">
              <w:rPr>
                <w:rFonts w:ascii="Arial" w:eastAsia="Calibri" w:hAnsi="Arial" w:cs="Arial"/>
                <w:szCs w:val="22"/>
              </w:rPr>
              <w:t xml:space="preserve"> Ischemic stroke frequently results in upper limb impairment, significantly affecting patients' ability to perform activities of daily living (ADL). Functional electrical stimulation (FES) combined with motor relearning programs has emerged as a promising rehabilitation approach for improving functional outcomes in stroke survivors.</w:t>
            </w:r>
          </w:p>
          <w:p w14:paraId="40EE5A6F" w14:textId="77777777" w:rsidR="00121BF7" w:rsidRPr="000F5D5D" w:rsidRDefault="00121BF7" w:rsidP="00121BF7">
            <w:pPr>
              <w:spacing w:before="100" w:beforeAutospacing="1" w:after="100" w:afterAutospacing="1"/>
              <w:jc w:val="both"/>
              <w:rPr>
                <w:rFonts w:ascii="Arial" w:eastAsia="Calibri" w:hAnsi="Arial" w:cs="Arial"/>
                <w:szCs w:val="22"/>
              </w:rPr>
            </w:pPr>
            <w:r w:rsidRPr="000F5D5D">
              <w:rPr>
                <w:rFonts w:ascii="Arial" w:eastAsia="Calibri" w:hAnsi="Arial" w:cs="Arial"/>
                <w:b/>
                <w:szCs w:val="22"/>
              </w:rPr>
              <w:t>Objective:</w:t>
            </w:r>
            <w:r w:rsidRPr="000F5D5D">
              <w:rPr>
                <w:rFonts w:ascii="Arial" w:eastAsia="Calibri" w:hAnsi="Arial" w:cs="Arial"/>
                <w:szCs w:val="22"/>
              </w:rPr>
              <w:t xml:space="preserve"> To evaluate the effectiveness of FES combined with motor relearning programs on ADL performance in patients with upper limb impairment following ischemic stroke.</w:t>
            </w:r>
          </w:p>
          <w:p w14:paraId="1310313D" w14:textId="77777777" w:rsidR="00121BF7" w:rsidRPr="000F5D5D" w:rsidRDefault="00121BF7" w:rsidP="00121BF7">
            <w:pPr>
              <w:spacing w:before="100" w:beforeAutospacing="1" w:after="100" w:afterAutospacing="1"/>
              <w:jc w:val="both"/>
              <w:rPr>
                <w:rFonts w:ascii="Arial" w:eastAsia="Calibri" w:hAnsi="Arial" w:cs="Arial"/>
                <w:szCs w:val="22"/>
              </w:rPr>
            </w:pPr>
            <w:r w:rsidRPr="000F5D5D">
              <w:rPr>
                <w:rFonts w:ascii="Arial" w:eastAsia="Calibri" w:hAnsi="Arial" w:cs="Arial"/>
                <w:b/>
                <w:szCs w:val="22"/>
              </w:rPr>
              <w:t>Methods:</w:t>
            </w:r>
            <w:r w:rsidRPr="000F5D5D">
              <w:rPr>
                <w:rFonts w:ascii="Arial" w:eastAsia="Calibri" w:hAnsi="Arial" w:cs="Arial"/>
                <w:szCs w:val="22"/>
              </w:rPr>
              <w:t xml:space="preserve"> A randomized controlled trial was conducted with 84 ischemic stroke patients (mean age 58.4±12.3 years) with upper limb hemiplegia. Participants were randomly allocated to either the experimental group (n=42) receiving FES combined with motor relearning program, or the control group (n=42) receiving conventional physiotherapy. The intervention period was 6 weeks, with 5 sessions per week. Primary outcome measure was the Barthel Index (BI), and secondary outcomes included the Functional Independence Measure (FIM) and Canadian Occupational Performance Measure (COPM). Assessments were conducted at baseline, post-intervention (6 weeks), and follow-up (12 weeks).</w:t>
            </w:r>
          </w:p>
          <w:p w14:paraId="6F3DADA0" w14:textId="77777777" w:rsidR="00121BF7" w:rsidRPr="000F5D5D" w:rsidRDefault="00121BF7" w:rsidP="00121BF7">
            <w:pPr>
              <w:spacing w:before="100" w:beforeAutospacing="1" w:after="100" w:afterAutospacing="1"/>
              <w:jc w:val="both"/>
              <w:rPr>
                <w:rFonts w:ascii="Arial" w:eastAsia="Calibri" w:hAnsi="Arial" w:cs="Arial"/>
                <w:szCs w:val="22"/>
              </w:rPr>
            </w:pPr>
            <w:r w:rsidRPr="000F5D5D">
              <w:rPr>
                <w:rFonts w:ascii="Arial" w:eastAsia="Calibri" w:hAnsi="Arial" w:cs="Arial"/>
                <w:b/>
                <w:szCs w:val="22"/>
              </w:rPr>
              <w:t>Results:</w:t>
            </w:r>
            <w:r w:rsidRPr="000F5D5D">
              <w:rPr>
                <w:rFonts w:ascii="Arial" w:eastAsia="Calibri" w:hAnsi="Arial" w:cs="Arial"/>
                <w:szCs w:val="22"/>
              </w:rPr>
              <w:t xml:space="preserve"> Both groups showed significant improvements in ADL scores, but the experimental group demonstrated superior outcomes. At 6 weeks, the experimental group showed greater improvement in BI scores (mean difference: 15.8±8.4 vs. 8.2±6.1, </w:t>
            </w:r>
            <w:r w:rsidRPr="00907417">
              <w:rPr>
                <w:rFonts w:ascii="Arial" w:eastAsia="Calibri" w:hAnsi="Arial" w:cs="Arial"/>
                <w:i/>
                <w:szCs w:val="22"/>
              </w:rPr>
              <w:t>p</w:t>
            </w:r>
            <w:r w:rsidRPr="000F5D5D">
              <w:rPr>
                <w:rFonts w:ascii="Arial" w:eastAsia="Calibri" w:hAnsi="Arial" w:cs="Arial"/>
                <w:szCs w:val="22"/>
              </w:rPr>
              <w:t xml:space="preserve">&lt;0.001), FIM scores (mean difference: 22.3±10.7 vs. 12.1±7.9, </w:t>
            </w:r>
            <w:r w:rsidRPr="00907417">
              <w:rPr>
                <w:rFonts w:ascii="Arial" w:eastAsia="Calibri" w:hAnsi="Arial" w:cs="Arial"/>
                <w:i/>
                <w:szCs w:val="22"/>
              </w:rPr>
              <w:t>p</w:t>
            </w:r>
            <w:r w:rsidRPr="000F5D5D">
              <w:rPr>
                <w:rFonts w:ascii="Arial" w:eastAsia="Calibri" w:hAnsi="Arial" w:cs="Arial"/>
                <w:szCs w:val="22"/>
              </w:rPr>
              <w:t xml:space="preserve">&lt;0.001), and COPM performance scores (mean difference: 3.4±1.2 vs. 1.8±0.9, </w:t>
            </w:r>
            <w:r w:rsidRPr="00907417">
              <w:rPr>
                <w:rFonts w:ascii="Arial" w:eastAsia="Calibri" w:hAnsi="Arial" w:cs="Arial"/>
                <w:i/>
                <w:szCs w:val="22"/>
              </w:rPr>
              <w:t>p</w:t>
            </w:r>
            <w:r w:rsidRPr="000F5D5D">
              <w:rPr>
                <w:rFonts w:ascii="Arial" w:eastAsia="Calibri" w:hAnsi="Arial" w:cs="Arial"/>
                <w:szCs w:val="22"/>
              </w:rPr>
              <w:t>&lt;0.001). These improvements were maintained at 12-week follow-up.</w:t>
            </w:r>
          </w:p>
          <w:p w14:paraId="2C3AC35E" w14:textId="77777777" w:rsidR="00121BF7" w:rsidRPr="000F5D5D" w:rsidRDefault="00121BF7" w:rsidP="00121BF7">
            <w:pPr>
              <w:spacing w:before="100" w:beforeAutospacing="1" w:after="100" w:afterAutospacing="1"/>
              <w:jc w:val="both"/>
              <w:rPr>
                <w:rFonts w:ascii="Arial" w:eastAsia="Calibri" w:hAnsi="Arial" w:cs="Arial"/>
                <w:szCs w:val="22"/>
              </w:rPr>
            </w:pPr>
            <w:r w:rsidRPr="000F5D5D">
              <w:rPr>
                <w:rFonts w:ascii="Arial" w:eastAsia="Calibri" w:hAnsi="Arial" w:cs="Arial"/>
                <w:b/>
                <w:szCs w:val="22"/>
              </w:rPr>
              <w:t>Conclusion:</w:t>
            </w:r>
            <w:r w:rsidRPr="000F5D5D">
              <w:rPr>
                <w:rFonts w:ascii="Arial" w:eastAsia="Calibri" w:hAnsi="Arial" w:cs="Arial"/>
                <w:szCs w:val="22"/>
              </w:rPr>
              <w:t xml:space="preserve"> FES combined with motor relearning programs significantly enhances ADL performance in ischemic stroke patients compared to conventional therapy alone. This combined approach offers a promising rehabilitation strategy for improving functional independence in stroke survivors.</w:t>
            </w:r>
          </w:p>
          <w:p w14:paraId="6565CAE2" w14:textId="77777777" w:rsidR="00505F06" w:rsidRPr="00BA1B01" w:rsidRDefault="00505F06" w:rsidP="00121BF7">
            <w:pPr>
              <w:pStyle w:val="Body"/>
              <w:spacing w:after="0"/>
              <w:rPr>
                <w:rFonts w:ascii="Arial" w:eastAsia="Calibri" w:hAnsi="Arial" w:cs="Arial"/>
                <w:szCs w:val="22"/>
              </w:rPr>
            </w:pPr>
          </w:p>
        </w:tc>
      </w:tr>
    </w:tbl>
    <w:p w14:paraId="64B714D5" w14:textId="77777777" w:rsidR="00636EB2" w:rsidRDefault="00636EB2" w:rsidP="00441B6F">
      <w:pPr>
        <w:pStyle w:val="Body"/>
        <w:spacing w:after="0"/>
        <w:rPr>
          <w:rFonts w:ascii="Arial" w:hAnsi="Arial" w:cs="Arial"/>
          <w:i/>
        </w:rPr>
      </w:pPr>
    </w:p>
    <w:p w14:paraId="5EA71115" w14:textId="77777777" w:rsidR="00A24E7E" w:rsidRDefault="000F5D5D" w:rsidP="00441B6F">
      <w:pPr>
        <w:pStyle w:val="Body"/>
        <w:spacing w:after="0"/>
        <w:rPr>
          <w:rFonts w:ascii="Arial" w:hAnsi="Arial" w:cs="Arial"/>
          <w:i/>
        </w:rPr>
      </w:pPr>
      <w:r>
        <w:rPr>
          <w:rFonts w:ascii="Arial" w:hAnsi="Arial" w:cs="Arial"/>
          <w:i/>
        </w:rPr>
        <w:t xml:space="preserve">Keywords: </w:t>
      </w:r>
      <w:r w:rsidR="00121BF7" w:rsidRPr="000F5D5D">
        <w:rPr>
          <w:rFonts w:ascii="Arial" w:hAnsi="Arial" w:cs="Arial"/>
          <w:i/>
        </w:rPr>
        <w:t>Functional electrical stimulation, motor relearning, activities of daily living, ischemic stroke, rehabilitation, upper limb</w:t>
      </w:r>
    </w:p>
    <w:p w14:paraId="4A474D70" w14:textId="77777777" w:rsidR="00505F06" w:rsidRPr="00A24E7E" w:rsidRDefault="00505F06" w:rsidP="00441B6F">
      <w:pPr>
        <w:pStyle w:val="Body"/>
        <w:spacing w:after="0"/>
        <w:rPr>
          <w:rFonts w:ascii="Arial" w:hAnsi="Arial" w:cs="Arial"/>
          <w:i/>
        </w:rPr>
      </w:pPr>
    </w:p>
    <w:p w14:paraId="2C72905D"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2190EFC" w14:textId="77777777" w:rsidR="000F5D5D" w:rsidRPr="000F5D5D" w:rsidRDefault="000F5D5D" w:rsidP="000F5D5D">
      <w:pPr>
        <w:spacing w:before="100" w:beforeAutospacing="1" w:after="100" w:afterAutospacing="1"/>
        <w:jc w:val="both"/>
        <w:rPr>
          <w:rFonts w:ascii="Arial" w:hAnsi="Arial" w:cs="Arial"/>
        </w:rPr>
      </w:pPr>
      <w:r w:rsidRPr="000F5D5D">
        <w:rPr>
          <w:rFonts w:ascii="Arial" w:hAnsi="Arial" w:cs="Arial"/>
        </w:rPr>
        <w:t>Stroke remains one of the leading causes of long-term disability worldwide, with approximately 795,000 new cases reported annually in the United States alone (Benjamin et al., 2019). Ischemic stroke, accounting for 87% of all strokes, frequently results in upper limb hemiplegia or hemiparesis, significantly impacting patients' ability to perform activities of daily living (ADL) independently (Virani et al., 2020). The restoration of upper limb function is crucial for stroke survivors, as it directly correlates with their quality of life, independence, and successful community reintegration (</w:t>
      </w:r>
      <w:proofErr w:type="spellStart"/>
      <w:r w:rsidRPr="000F5D5D">
        <w:rPr>
          <w:rFonts w:ascii="Arial" w:hAnsi="Arial" w:cs="Arial"/>
        </w:rPr>
        <w:t>Kwakkel</w:t>
      </w:r>
      <w:proofErr w:type="spellEnd"/>
      <w:r w:rsidRPr="000F5D5D">
        <w:rPr>
          <w:rFonts w:ascii="Arial" w:hAnsi="Arial" w:cs="Arial"/>
        </w:rPr>
        <w:t xml:space="preserve"> et al., 2003).</w:t>
      </w:r>
    </w:p>
    <w:p w14:paraId="5660B329" w14:textId="77777777" w:rsidR="000F5D5D" w:rsidRPr="000F5D5D" w:rsidRDefault="000F5D5D" w:rsidP="000F5D5D">
      <w:pPr>
        <w:spacing w:before="100" w:beforeAutospacing="1" w:after="100" w:afterAutospacing="1"/>
        <w:jc w:val="both"/>
        <w:rPr>
          <w:rFonts w:ascii="Arial" w:hAnsi="Arial" w:cs="Arial"/>
        </w:rPr>
      </w:pPr>
      <w:r w:rsidRPr="000F5D5D">
        <w:rPr>
          <w:rFonts w:ascii="Arial" w:hAnsi="Arial" w:cs="Arial"/>
        </w:rPr>
        <w:t>Traditional rehabilitation approaches, while beneficial, often show limited effectiveness in restoring functional upper limb movement in chronic stroke patients (Langhorne et al., 2011). The neural plasticity potential of the brain following stroke provides a window of opportunity for recovery, which can be enhanced through targeted interventions that promote motor relearning and cortical reorganization (</w:t>
      </w:r>
      <w:proofErr w:type="spellStart"/>
      <w:r w:rsidRPr="000F5D5D">
        <w:rPr>
          <w:rFonts w:ascii="Arial" w:hAnsi="Arial" w:cs="Arial"/>
        </w:rPr>
        <w:t>Dimyan</w:t>
      </w:r>
      <w:proofErr w:type="spellEnd"/>
      <w:r w:rsidRPr="000F5D5D">
        <w:rPr>
          <w:rFonts w:ascii="Arial" w:hAnsi="Arial" w:cs="Arial"/>
        </w:rPr>
        <w:t xml:space="preserve"> &amp; Cohen, 2011).</w:t>
      </w:r>
    </w:p>
    <w:p w14:paraId="56C60F06" w14:textId="77777777" w:rsidR="000F5D5D" w:rsidRPr="000F5D5D" w:rsidRDefault="000F5D5D" w:rsidP="000F5D5D">
      <w:pPr>
        <w:spacing w:before="100" w:beforeAutospacing="1" w:after="100" w:afterAutospacing="1"/>
        <w:jc w:val="both"/>
        <w:rPr>
          <w:rFonts w:ascii="Arial" w:hAnsi="Arial" w:cs="Arial"/>
        </w:rPr>
      </w:pPr>
      <w:r w:rsidRPr="000F5D5D">
        <w:rPr>
          <w:rFonts w:ascii="Arial" w:hAnsi="Arial" w:cs="Arial"/>
        </w:rPr>
        <w:t>Functional electrical stimulation (FES) has emerged as a promising therapeutic modality that applies electrical currents to stimulate paralyzed or weakened muscles, facilitating muscle contraction and potentially promoting motor recovery (Peckham &amp; Knutson, 2005). When combined with motor relearning programs that emphasize task-specific training and repetitive practice, FES may enhance the effectiveness of rehabilitation by providing sensory feedback and facilitating the relearning of motor patterns (de Kroon et al., 2005).</w:t>
      </w:r>
    </w:p>
    <w:p w14:paraId="073B3EF0" w14:textId="77777777" w:rsidR="000F5D5D" w:rsidRPr="000F5D5D" w:rsidRDefault="000F5D5D" w:rsidP="000F5D5D">
      <w:pPr>
        <w:spacing w:before="100" w:beforeAutospacing="1" w:after="100" w:afterAutospacing="1"/>
        <w:jc w:val="both"/>
        <w:rPr>
          <w:rFonts w:ascii="Arial" w:hAnsi="Arial" w:cs="Arial"/>
        </w:rPr>
      </w:pPr>
      <w:r w:rsidRPr="000F5D5D">
        <w:rPr>
          <w:rFonts w:ascii="Arial" w:hAnsi="Arial" w:cs="Arial"/>
        </w:rPr>
        <w:t>Motor relearning programs are based on the principles of motor learning theory and neuroplasticity, emphasizing the importance of task-specific practice, feedback, and progressive difficulty adjustment (Carr &amp; Shepherd, 2003). These programs focus on retraining movement patterns through repetitive practice of functional tasks, which may lead to cortical reorganization and improvement in motor function (Krakauer, 2006).</w:t>
      </w:r>
    </w:p>
    <w:p w14:paraId="06EA23EE" w14:textId="77777777" w:rsidR="000F5D5D" w:rsidRPr="000F5D5D" w:rsidRDefault="000F5D5D" w:rsidP="000F5D5D">
      <w:pPr>
        <w:spacing w:before="100" w:beforeAutospacing="1" w:after="100" w:afterAutospacing="1"/>
        <w:jc w:val="both"/>
        <w:rPr>
          <w:rFonts w:ascii="Arial" w:hAnsi="Arial" w:cs="Arial"/>
        </w:rPr>
      </w:pPr>
      <w:r w:rsidRPr="000F5D5D">
        <w:rPr>
          <w:rFonts w:ascii="Arial" w:hAnsi="Arial" w:cs="Arial"/>
        </w:rPr>
        <w:t>The combination of FES with motor relearning programs theoretically offers synergistic benefits by addressing both the motor output (through electrical stimulation) and the neural relearning processes (through task-specific practice). However, while previous studies have demonstrated the individual benefits of these interventions, limited research has specifically examined their combined effect on ADL performance in ischemic stroke patients.</w:t>
      </w:r>
    </w:p>
    <w:p w14:paraId="5F71116A" w14:textId="77777777" w:rsidR="000F5D5D" w:rsidRPr="000F5D5D" w:rsidRDefault="000F5D5D" w:rsidP="000F5D5D">
      <w:pPr>
        <w:spacing w:before="100" w:beforeAutospacing="1" w:after="100" w:afterAutospacing="1"/>
        <w:jc w:val="both"/>
        <w:rPr>
          <w:rFonts w:ascii="Arial" w:hAnsi="Arial" w:cs="Arial"/>
        </w:rPr>
      </w:pPr>
      <w:r w:rsidRPr="000F5D5D">
        <w:rPr>
          <w:rFonts w:ascii="Arial" w:hAnsi="Arial" w:cs="Arial"/>
        </w:rPr>
        <w:t>Several studies have investigated the effects of FES on upper limb function post-stroke, with mixed results. A systematic review by Nascimento et al. (2014) reported moderate evidence for FES improving upper limb motor function, but noted variability in outcome measures and intervention protocols. Similarly, motor relearning programs have shown promise in improving functional outcomes (French et al., 2016), but the evidence for their effect on ADL performance requires further investigation.</w:t>
      </w:r>
    </w:p>
    <w:p w14:paraId="0FB5F2F1" w14:textId="77777777" w:rsidR="000F5D5D" w:rsidRPr="000F5D5D" w:rsidRDefault="000F5D5D" w:rsidP="000F5D5D">
      <w:pPr>
        <w:spacing w:before="100" w:beforeAutospacing="1" w:after="100" w:afterAutospacing="1"/>
        <w:jc w:val="both"/>
        <w:rPr>
          <w:rFonts w:ascii="Arial" w:hAnsi="Arial" w:cs="Arial"/>
        </w:rPr>
      </w:pPr>
      <w:r w:rsidRPr="000F5D5D">
        <w:rPr>
          <w:rFonts w:ascii="Arial" w:hAnsi="Arial" w:cs="Arial"/>
        </w:rPr>
        <w:t>The assessment of ADL is crucial in stroke rehabilitation as it reflects the patient's ability to function independently in their daily environment. The Barthel Index (BI) and Functional Independence Measure (FIM) are widely used standardized tools that provide reliable measures of functional independence in basic ADL (Mahoney &amp; Barthel, 1965; Keith et al., 1987). The Canadian Occupational Performance Measure (COPM) offers a patient-centered approach to assess perceived performance and satisfaction in daily activities (Law et al., 2014).</w:t>
      </w:r>
    </w:p>
    <w:p w14:paraId="5235BC73" w14:textId="77777777" w:rsidR="000F5D5D" w:rsidRPr="0010127C" w:rsidRDefault="000F5D5D" w:rsidP="000F5D5D">
      <w:pPr>
        <w:spacing w:before="100" w:beforeAutospacing="1" w:after="100" w:afterAutospacing="1"/>
        <w:jc w:val="both"/>
        <w:rPr>
          <w:rFonts w:ascii="Times New Roman" w:hAnsi="Times New Roman"/>
          <w:sz w:val="24"/>
          <w:szCs w:val="24"/>
        </w:rPr>
      </w:pPr>
      <w:r w:rsidRPr="000F5D5D">
        <w:rPr>
          <w:rFonts w:ascii="Arial" w:hAnsi="Arial" w:cs="Arial"/>
        </w:rPr>
        <w:t xml:space="preserve">Given the potential benefits of combining FES with motor relearning programs and the need for evidence-based rehabilitation strategies that improve functional independence, this study </w:t>
      </w:r>
      <w:r w:rsidRPr="000F5D5D">
        <w:rPr>
          <w:rFonts w:ascii="Arial" w:hAnsi="Arial" w:cs="Arial"/>
        </w:rPr>
        <w:lastRenderedPageBreak/>
        <w:t>aimed to evaluate the effectiveness of this combined intervention on ADL performance in patients with upper limb impairment following ischemic stroke. We hypothesized that patients receiving FES combined with motor relearning programs would demonstrate greater improvements in ADL performance compared to those receiving conventional physiotherapy alone</w:t>
      </w:r>
      <w:r w:rsidRPr="0010127C">
        <w:rPr>
          <w:rFonts w:ascii="Times New Roman" w:hAnsi="Times New Roman"/>
          <w:sz w:val="24"/>
          <w:szCs w:val="24"/>
        </w:rPr>
        <w:t>.</w:t>
      </w:r>
    </w:p>
    <w:p w14:paraId="728B6AC1" w14:textId="77777777" w:rsidR="007F7B32" w:rsidRDefault="000F5D5D" w:rsidP="00846AC2">
      <w:pPr>
        <w:pStyle w:val="AbstHead"/>
        <w:spacing w:beforeLines="40" w:before="96" w:afterLines="40" w:after="96"/>
        <w:jc w:val="both"/>
        <w:rPr>
          <w:rFonts w:ascii="Arial" w:hAnsi="Arial" w:cs="Arial"/>
        </w:rPr>
      </w:pPr>
      <w:r>
        <w:rPr>
          <w:rFonts w:ascii="Arial" w:hAnsi="Arial" w:cs="Arial"/>
        </w:rPr>
        <w:t xml:space="preserve">2. </w:t>
      </w:r>
      <w:r w:rsidRPr="000F5D5D">
        <w:rPr>
          <w:rFonts w:ascii="Arial" w:hAnsi="Arial" w:cs="Arial"/>
        </w:rPr>
        <w:t>Methodology</w:t>
      </w:r>
      <w:r>
        <w:rPr>
          <w:rFonts w:ascii="Arial" w:hAnsi="Arial" w:cs="Arial"/>
        </w:rPr>
        <w:t xml:space="preserve"> </w:t>
      </w:r>
    </w:p>
    <w:p w14:paraId="698B6C4A" w14:textId="77777777" w:rsidR="000F5D5D" w:rsidRPr="00907417" w:rsidRDefault="000F5D5D" w:rsidP="00846AC2">
      <w:pPr>
        <w:spacing w:beforeLines="40" w:before="96" w:afterLines="40" w:after="96"/>
        <w:jc w:val="both"/>
        <w:outlineLvl w:val="2"/>
        <w:rPr>
          <w:rFonts w:ascii="Arial" w:hAnsi="Arial" w:cs="Arial"/>
          <w:b/>
          <w:sz w:val="22"/>
          <w:szCs w:val="22"/>
        </w:rPr>
      </w:pPr>
      <w:r w:rsidRPr="00907417">
        <w:rPr>
          <w:rFonts w:ascii="Arial" w:hAnsi="Arial" w:cs="Arial"/>
          <w:b/>
          <w:sz w:val="22"/>
          <w:szCs w:val="22"/>
        </w:rPr>
        <w:t>2.1 Study Design</w:t>
      </w:r>
    </w:p>
    <w:p w14:paraId="24C64E97"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 xml:space="preserve">This study employed a single-blind randomized controlled trial design with parallel groups. The study protocol was approved by the Institutional </w:t>
      </w:r>
      <w:r w:rsidR="00385ADC">
        <w:rPr>
          <w:rFonts w:ascii="Arial" w:hAnsi="Arial" w:cs="Arial"/>
        </w:rPr>
        <w:t>Ethical committee (IEC approval number: 2025/61/017</w:t>
      </w:r>
      <w:r w:rsidRPr="000F5D5D">
        <w:rPr>
          <w:rFonts w:ascii="Arial" w:hAnsi="Arial" w:cs="Arial"/>
        </w:rPr>
        <w:t>). All participants provided written informed consent prior to enrollment.</w:t>
      </w:r>
    </w:p>
    <w:p w14:paraId="66C1CC6C" w14:textId="77777777" w:rsidR="000F5D5D" w:rsidRPr="00907417" w:rsidRDefault="000F5D5D" w:rsidP="00846AC2">
      <w:pPr>
        <w:spacing w:beforeLines="40" w:before="96" w:afterLines="40" w:after="96"/>
        <w:jc w:val="both"/>
        <w:outlineLvl w:val="2"/>
        <w:rPr>
          <w:rFonts w:ascii="Arial" w:hAnsi="Arial" w:cs="Arial"/>
          <w:b/>
          <w:sz w:val="22"/>
          <w:szCs w:val="22"/>
        </w:rPr>
      </w:pPr>
      <w:r w:rsidRPr="00907417">
        <w:rPr>
          <w:rFonts w:ascii="Arial" w:hAnsi="Arial" w:cs="Arial"/>
          <w:b/>
          <w:sz w:val="22"/>
          <w:szCs w:val="22"/>
        </w:rPr>
        <w:t>2.2 Participants</w:t>
      </w:r>
    </w:p>
    <w:p w14:paraId="33CC35B5" w14:textId="77777777" w:rsidR="000F5D5D" w:rsidRPr="00385ADC" w:rsidRDefault="000F5D5D" w:rsidP="00846AC2">
      <w:pPr>
        <w:spacing w:beforeLines="40" w:before="96" w:afterLines="40" w:after="96"/>
        <w:jc w:val="both"/>
        <w:outlineLvl w:val="3"/>
        <w:rPr>
          <w:rFonts w:ascii="Arial" w:hAnsi="Arial" w:cs="Arial"/>
          <w:b/>
        </w:rPr>
      </w:pPr>
      <w:r w:rsidRPr="00385ADC">
        <w:rPr>
          <w:rFonts w:ascii="Arial" w:hAnsi="Arial" w:cs="Arial"/>
          <w:b/>
        </w:rPr>
        <w:t>2.2.1 Inclusion Criteria</w:t>
      </w:r>
    </w:p>
    <w:p w14:paraId="3C353EDD" w14:textId="77777777" w:rsidR="000F5D5D" w:rsidRPr="000F5D5D" w:rsidRDefault="000F5D5D" w:rsidP="00846AC2">
      <w:pPr>
        <w:numPr>
          <w:ilvl w:val="0"/>
          <w:numId w:val="31"/>
        </w:numPr>
        <w:spacing w:beforeLines="40" w:before="96" w:afterLines="40" w:after="96"/>
        <w:jc w:val="both"/>
        <w:rPr>
          <w:rFonts w:ascii="Arial" w:hAnsi="Arial" w:cs="Arial"/>
        </w:rPr>
      </w:pPr>
      <w:r w:rsidRPr="000F5D5D">
        <w:rPr>
          <w:rFonts w:ascii="Arial" w:hAnsi="Arial" w:cs="Arial"/>
        </w:rPr>
        <w:t>Adults aged 18-75 years</w:t>
      </w:r>
    </w:p>
    <w:p w14:paraId="61B98384" w14:textId="77777777" w:rsidR="000F5D5D" w:rsidRPr="000F5D5D" w:rsidRDefault="000F5D5D" w:rsidP="00846AC2">
      <w:pPr>
        <w:numPr>
          <w:ilvl w:val="0"/>
          <w:numId w:val="31"/>
        </w:numPr>
        <w:spacing w:beforeLines="40" w:before="96" w:afterLines="40" w:after="96"/>
        <w:jc w:val="both"/>
        <w:rPr>
          <w:rFonts w:ascii="Arial" w:hAnsi="Arial" w:cs="Arial"/>
        </w:rPr>
      </w:pPr>
      <w:r w:rsidRPr="000F5D5D">
        <w:rPr>
          <w:rFonts w:ascii="Arial" w:hAnsi="Arial" w:cs="Arial"/>
        </w:rPr>
        <w:t>Diagnosis of first-time ischemic stroke confirmed by neuroimaging (CT or MRI)</w:t>
      </w:r>
    </w:p>
    <w:p w14:paraId="24F759FD" w14:textId="77777777" w:rsidR="000F5D5D" w:rsidRPr="000F5D5D" w:rsidRDefault="000F5D5D" w:rsidP="00846AC2">
      <w:pPr>
        <w:numPr>
          <w:ilvl w:val="0"/>
          <w:numId w:val="31"/>
        </w:numPr>
        <w:spacing w:beforeLines="40" w:before="96" w:afterLines="40" w:after="96"/>
        <w:jc w:val="both"/>
        <w:rPr>
          <w:rFonts w:ascii="Arial" w:hAnsi="Arial" w:cs="Arial"/>
        </w:rPr>
      </w:pPr>
      <w:r w:rsidRPr="000F5D5D">
        <w:rPr>
          <w:rFonts w:ascii="Arial" w:hAnsi="Arial" w:cs="Arial"/>
        </w:rPr>
        <w:t>Time since stroke onset: 3-12 months</w:t>
      </w:r>
    </w:p>
    <w:p w14:paraId="4043FC20" w14:textId="77777777" w:rsidR="000F5D5D" w:rsidRPr="000F5D5D" w:rsidRDefault="000F5D5D" w:rsidP="00846AC2">
      <w:pPr>
        <w:numPr>
          <w:ilvl w:val="0"/>
          <w:numId w:val="31"/>
        </w:numPr>
        <w:spacing w:beforeLines="40" w:before="96" w:afterLines="40" w:after="96"/>
        <w:jc w:val="both"/>
        <w:rPr>
          <w:rFonts w:ascii="Arial" w:hAnsi="Arial" w:cs="Arial"/>
        </w:rPr>
      </w:pPr>
      <w:r w:rsidRPr="000F5D5D">
        <w:rPr>
          <w:rFonts w:ascii="Arial" w:hAnsi="Arial" w:cs="Arial"/>
        </w:rPr>
        <w:t>Upper limb hemiplegia or hemiparesis (Modified Ashworth Scale score ≤2)</w:t>
      </w:r>
    </w:p>
    <w:p w14:paraId="0B2C40D4" w14:textId="77777777" w:rsidR="000F5D5D" w:rsidRPr="000F5D5D" w:rsidRDefault="000F5D5D" w:rsidP="00846AC2">
      <w:pPr>
        <w:numPr>
          <w:ilvl w:val="0"/>
          <w:numId w:val="31"/>
        </w:numPr>
        <w:spacing w:beforeLines="40" w:before="96" w:afterLines="40" w:after="96"/>
        <w:jc w:val="both"/>
        <w:rPr>
          <w:rFonts w:ascii="Arial" w:hAnsi="Arial" w:cs="Arial"/>
        </w:rPr>
      </w:pPr>
      <w:r w:rsidRPr="000F5D5D">
        <w:rPr>
          <w:rFonts w:ascii="Arial" w:hAnsi="Arial" w:cs="Arial"/>
        </w:rPr>
        <w:t>Ability to understand and follow simple commands (Mini-Mental State Examination score ≥24)</w:t>
      </w:r>
    </w:p>
    <w:p w14:paraId="3BBFB964" w14:textId="77777777" w:rsidR="000F5D5D" w:rsidRPr="000F5D5D" w:rsidRDefault="000F5D5D" w:rsidP="00846AC2">
      <w:pPr>
        <w:numPr>
          <w:ilvl w:val="0"/>
          <w:numId w:val="31"/>
        </w:numPr>
        <w:spacing w:beforeLines="40" w:before="96" w:afterLines="40" w:after="96"/>
        <w:jc w:val="both"/>
        <w:rPr>
          <w:rFonts w:ascii="Arial" w:hAnsi="Arial" w:cs="Arial"/>
        </w:rPr>
      </w:pPr>
      <w:r w:rsidRPr="000F5D5D">
        <w:rPr>
          <w:rFonts w:ascii="Arial" w:hAnsi="Arial" w:cs="Arial"/>
        </w:rPr>
        <w:t>Medical stability for participation in rehabilitation program</w:t>
      </w:r>
    </w:p>
    <w:p w14:paraId="453809E5" w14:textId="77777777" w:rsidR="000F5D5D" w:rsidRPr="000F5D5D" w:rsidRDefault="000F5D5D" w:rsidP="00846AC2">
      <w:pPr>
        <w:numPr>
          <w:ilvl w:val="0"/>
          <w:numId w:val="31"/>
        </w:numPr>
        <w:spacing w:beforeLines="40" w:before="96" w:afterLines="40" w:after="96"/>
        <w:jc w:val="both"/>
        <w:rPr>
          <w:rFonts w:ascii="Arial" w:hAnsi="Arial" w:cs="Arial"/>
        </w:rPr>
      </w:pPr>
      <w:r w:rsidRPr="000F5D5D">
        <w:rPr>
          <w:rFonts w:ascii="Arial" w:hAnsi="Arial" w:cs="Arial"/>
        </w:rPr>
        <w:t>Barthel Index score between 20-80 at baseline</w:t>
      </w:r>
    </w:p>
    <w:p w14:paraId="11E0647F" w14:textId="77777777" w:rsidR="000F5D5D" w:rsidRPr="00385ADC" w:rsidRDefault="000F5D5D" w:rsidP="00846AC2">
      <w:pPr>
        <w:spacing w:beforeLines="40" w:before="96" w:afterLines="40" w:after="96"/>
        <w:jc w:val="both"/>
        <w:outlineLvl w:val="3"/>
        <w:rPr>
          <w:rFonts w:ascii="Arial" w:hAnsi="Arial" w:cs="Arial"/>
          <w:b/>
        </w:rPr>
      </w:pPr>
      <w:r w:rsidRPr="00385ADC">
        <w:rPr>
          <w:rFonts w:ascii="Arial" w:hAnsi="Arial" w:cs="Arial"/>
          <w:b/>
        </w:rPr>
        <w:t>2.2.2 Exclusion Criteria</w:t>
      </w:r>
    </w:p>
    <w:p w14:paraId="687C087E" w14:textId="77777777" w:rsidR="000F5D5D" w:rsidRPr="000F5D5D" w:rsidRDefault="000F5D5D" w:rsidP="00846AC2">
      <w:pPr>
        <w:numPr>
          <w:ilvl w:val="0"/>
          <w:numId w:val="32"/>
        </w:numPr>
        <w:spacing w:beforeLines="40" w:before="96" w:afterLines="40" w:after="96"/>
        <w:jc w:val="both"/>
        <w:rPr>
          <w:rFonts w:ascii="Arial" w:hAnsi="Arial" w:cs="Arial"/>
        </w:rPr>
      </w:pPr>
      <w:r w:rsidRPr="000F5D5D">
        <w:rPr>
          <w:rFonts w:ascii="Arial" w:hAnsi="Arial" w:cs="Arial"/>
        </w:rPr>
        <w:t>Hemorrhagic stroke or recurrent stroke</w:t>
      </w:r>
    </w:p>
    <w:p w14:paraId="795EB7FD" w14:textId="77777777" w:rsidR="000F5D5D" w:rsidRPr="000F5D5D" w:rsidRDefault="000F5D5D" w:rsidP="00846AC2">
      <w:pPr>
        <w:numPr>
          <w:ilvl w:val="0"/>
          <w:numId w:val="32"/>
        </w:numPr>
        <w:spacing w:beforeLines="40" w:before="96" w:afterLines="40" w:after="96"/>
        <w:jc w:val="both"/>
        <w:rPr>
          <w:rFonts w:ascii="Arial" w:hAnsi="Arial" w:cs="Arial"/>
        </w:rPr>
      </w:pPr>
      <w:r w:rsidRPr="000F5D5D">
        <w:rPr>
          <w:rFonts w:ascii="Arial" w:hAnsi="Arial" w:cs="Arial"/>
        </w:rPr>
        <w:t>Severe cognitive impairment</w:t>
      </w:r>
    </w:p>
    <w:p w14:paraId="41C56C88" w14:textId="77777777" w:rsidR="000F5D5D" w:rsidRPr="000F5D5D" w:rsidRDefault="000F5D5D" w:rsidP="00846AC2">
      <w:pPr>
        <w:numPr>
          <w:ilvl w:val="0"/>
          <w:numId w:val="32"/>
        </w:numPr>
        <w:spacing w:beforeLines="40" w:before="96" w:afterLines="40" w:after="96"/>
        <w:jc w:val="both"/>
        <w:rPr>
          <w:rFonts w:ascii="Arial" w:hAnsi="Arial" w:cs="Arial"/>
        </w:rPr>
      </w:pPr>
      <w:r w:rsidRPr="000F5D5D">
        <w:rPr>
          <w:rFonts w:ascii="Arial" w:hAnsi="Arial" w:cs="Arial"/>
        </w:rPr>
        <w:t>Severe aphasia preventing understanding of instructions</w:t>
      </w:r>
    </w:p>
    <w:p w14:paraId="4DE16E8E" w14:textId="77777777" w:rsidR="000F5D5D" w:rsidRPr="000F5D5D" w:rsidRDefault="000F5D5D" w:rsidP="00846AC2">
      <w:pPr>
        <w:numPr>
          <w:ilvl w:val="0"/>
          <w:numId w:val="32"/>
        </w:numPr>
        <w:spacing w:beforeLines="40" w:before="96" w:afterLines="40" w:after="96"/>
        <w:jc w:val="both"/>
        <w:rPr>
          <w:rFonts w:ascii="Arial" w:hAnsi="Arial" w:cs="Arial"/>
        </w:rPr>
      </w:pPr>
      <w:r w:rsidRPr="000F5D5D">
        <w:rPr>
          <w:rFonts w:ascii="Arial" w:hAnsi="Arial" w:cs="Arial"/>
        </w:rPr>
        <w:t>Contraindications to electrical stimulation (cardiac pacemaker, metal implants in stimulation area)</w:t>
      </w:r>
    </w:p>
    <w:p w14:paraId="5C5B0C8F" w14:textId="77777777" w:rsidR="000F5D5D" w:rsidRPr="000F5D5D" w:rsidRDefault="000F5D5D" w:rsidP="00846AC2">
      <w:pPr>
        <w:numPr>
          <w:ilvl w:val="0"/>
          <w:numId w:val="32"/>
        </w:numPr>
        <w:spacing w:beforeLines="40" w:before="96" w:afterLines="40" w:after="96"/>
        <w:jc w:val="both"/>
        <w:rPr>
          <w:rFonts w:ascii="Arial" w:hAnsi="Arial" w:cs="Arial"/>
        </w:rPr>
      </w:pPr>
      <w:r w:rsidRPr="000F5D5D">
        <w:rPr>
          <w:rFonts w:ascii="Arial" w:hAnsi="Arial" w:cs="Arial"/>
        </w:rPr>
        <w:t>Severe joint contractures or deformities</w:t>
      </w:r>
    </w:p>
    <w:p w14:paraId="2BFDB506" w14:textId="77777777" w:rsidR="000F5D5D" w:rsidRPr="000F5D5D" w:rsidRDefault="000F5D5D" w:rsidP="00846AC2">
      <w:pPr>
        <w:numPr>
          <w:ilvl w:val="0"/>
          <w:numId w:val="32"/>
        </w:numPr>
        <w:spacing w:beforeLines="40" w:before="96" w:afterLines="40" w:after="96"/>
        <w:jc w:val="both"/>
        <w:rPr>
          <w:rFonts w:ascii="Arial" w:hAnsi="Arial" w:cs="Arial"/>
        </w:rPr>
      </w:pPr>
      <w:r w:rsidRPr="000F5D5D">
        <w:rPr>
          <w:rFonts w:ascii="Arial" w:hAnsi="Arial" w:cs="Arial"/>
        </w:rPr>
        <w:t>Active medical conditions preventing participation</w:t>
      </w:r>
    </w:p>
    <w:p w14:paraId="3F16704F" w14:textId="77777777" w:rsidR="000F5D5D" w:rsidRPr="000F5D5D" w:rsidRDefault="000F5D5D" w:rsidP="00846AC2">
      <w:pPr>
        <w:numPr>
          <w:ilvl w:val="0"/>
          <w:numId w:val="32"/>
        </w:numPr>
        <w:spacing w:beforeLines="40" w:before="96" w:afterLines="40" w:after="96"/>
        <w:jc w:val="both"/>
        <w:rPr>
          <w:rFonts w:ascii="Arial" w:hAnsi="Arial" w:cs="Arial"/>
        </w:rPr>
      </w:pPr>
      <w:r w:rsidRPr="000F5D5D">
        <w:rPr>
          <w:rFonts w:ascii="Arial" w:hAnsi="Arial" w:cs="Arial"/>
        </w:rPr>
        <w:t>Previous upper limb dysfunction</w:t>
      </w:r>
    </w:p>
    <w:p w14:paraId="5ADF6B54" w14:textId="77777777" w:rsidR="000F5D5D" w:rsidRPr="00907417" w:rsidRDefault="000F5D5D" w:rsidP="00846AC2">
      <w:pPr>
        <w:spacing w:beforeLines="40" w:before="96" w:afterLines="40" w:after="96"/>
        <w:jc w:val="both"/>
        <w:outlineLvl w:val="2"/>
        <w:rPr>
          <w:rFonts w:ascii="Arial" w:hAnsi="Arial" w:cs="Arial"/>
          <w:b/>
          <w:sz w:val="22"/>
          <w:szCs w:val="22"/>
        </w:rPr>
      </w:pPr>
      <w:r w:rsidRPr="00907417">
        <w:rPr>
          <w:rFonts w:ascii="Arial" w:hAnsi="Arial" w:cs="Arial"/>
          <w:b/>
          <w:sz w:val="22"/>
          <w:szCs w:val="22"/>
        </w:rPr>
        <w:t>2.3 Sample Size Calculation</w:t>
      </w:r>
    </w:p>
    <w:p w14:paraId="48254D2E"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Sample size was calculated based on the primary outcome measure (Barthel Index) using G*Power 3.1.9.4 software. Based on previous studies (Chae et al., 2009), an effect size of 0.7 was anticipated between groups. With α=0.05, power=80%, and accounting for 20% dropout rate, a minimum of 42 participants per group was required.</w:t>
      </w:r>
    </w:p>
    <w:p w14:paraId="5A0ECB7B" w14:textId="77777777" w:rsidR="000F5D5D" w:rsidRPr="00907417" w:rsidRDefault="000F5D5D" w:rsidP="00846AC2">
      <w:pPr>
        <w:spacing w:beforeLines="40" w:before="96" w:afterLines="40" w:after="96"/>
        <w:jc w:val="both"/>
        <w:outlineLvl w:val="2"/>
        <w:rPr>
          <w:rFonts w:ascii="Arial" w:hAnsi="Arial" w:cs="Arial"/>
          <w:b/>
          <w:sz w:val="22"/>
          <w:szCs w:val="22"/>
        </w:rPr>
      </w:pPr>
      <w:r w:rsidRPr="00907417">
        <w:rPr>
          <w:rFonts w:ascii="Arial" w:hAnsi="Arial" w:cs="Arial"/>
          <w:b/>
          <w:sz w:val="22"/>
          <w:szCs w:val="22"/>
        </w:rPr>
        <w:t>2.4 Randomization and Blinding</w:t>
      </w:r>
    </w:p>
    <w:p w14:paraId="04A10B7F"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Participants were randomly allocated to either the experimental group (FES + motor relearning program) or control group (conventional physiotherapy) using computer-generated random numbers in blocks of 8. Allocation concealment was maintained using sealed, opaque envelopes. Outcome assessors were blinded to group allocation, while participants and treating therapists could not be blinded due to the nature of the intervention.</w:t>
      </w:r>
    </w:p>
    <w:p w14:paraId="3142CA80" w14:textId="77777777" w:rsidR="000F5D5D" w:rsidRPr="00907417" w:rsidRDefault="000F5D5D" w:rsidP="00846AC2">
      <w:pPr>
        <w:spacing w:beforeLines="40" w:before="96" w:afterLines="40" w:after="96"/>
        <w:jc w:val="both"/>
        <w:outlineLvl w:val="2"/>
        <w:rPr>
          <w:rFonts w:ascii="Arial" w:hAnsi="Arial" w:cs="Arial"/>
          <w:b/>
          <w:sz w:val="22"/>
          <w:szCs w:val="22"/>
        </w:rPr>
      </w:pPr>
      <w:r w:rsidRPr="00907417">
        <w:rPr>
          <w:rFonts w:ascii="Arial" w:hAnsi="Arial" w:cs="Arial"/>
          <w:b/>
          <w:sz w:val="22"/>
          <w:szCs w:val="22"/>
        </w:rPr>
        <w:lastRenderedPageBreak/>
        <w:t>2.5 Interventions</w:t>
      </w:r>
    </w:p>
    <w:p w14:paraId="6A5F4F4A" w14:textId="77777777" w:rsidR="000F5D5D" w:rsidRPr="00385ADC" w:rsidRDefault="000F5D5D" w:rsidP="00846AC2">
      <w:pPr>
        <w:spacing w:beforeLines="40" w:before="96" w:afterLines="40" w:after="96"/>
        <w:jc w:val="both"/>
        <w:outlineLvl w:val="3"/>
        <w:rPr>
          <w:rFonts w:ascii="Arial" w:hAnsi="Arial" w:cs="Arial"/>
          <w:b/>
        </w:rPr>
      </w:pPr>
      <w:r w:rsidRPr="00385ADC">
        <w:rPr>
          <w:rFonts w:ascii="Arial" w:hAnsi="Arial" w:cs="Arial"/>
          <w:b/>
        </w:rPr>
        <w:t>2.5.1 Experimental Group (FES + Motor Relearning Program)</w:t>
      </w:r>
    </w:p>
    <w:p w14:paraId="6571ABF6"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Participants received FES combined with a structured motor relearning program:</w:t>
      </w:r>
    </w:p>
    <w:p w14:paraId="54DEF3A7"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FES Protocol:</w:t>
      </w:r>
    </w:p>
    <w:p w14:paraId="08362E1B" w14:textId="77777777" w:rsidR="000F5D5D" w:rsidRPr="000F5D5D" w:rsidRDefault="000F5D5D" w:rsidP="00846AC2">
      <w:pPr>
        <w:numPr>
          <w:ilvl w:val="0"/>
          <w:numId w:val="33"/>
        </w:numPr>
        <w:spacing w:beforeLines="40" w:before="96" w:afterLines="40" w:after="96"/>
        <w:jc w:val="both"/>
        <w:rPr>
          <w:rFonts w:ascii="Arial" w:hAnsi="Arial" w:cs="Arial"/>
        </w:rPr>
      </w:pPr>
      <w:r w:rsidRPr="000F5D5D">
        <w:rPr>
          <w:rFonts w:ascii="Arial" w:hAnsi="Arial" w:cs="Arial"/>
        </w:rPr>
        <w:t>Device: 4-channel electrical stimulator (</w:t>
      </w:r>
      <w:proofErr w:type="spellStart"/>
      <w:r w:rsidRPr="000F5D5D">
        <w:rPr>
          <w:rFonts w:ascii="Arial" w:hAnsi="Arial" w:cs="Arial"/>
        </w:rPr>
        <w:t>RehaStim</w:t>
      </w:r>
      <w:proofErr w:type="spellEnd"/>
      <w:r w:rsidRPr="000F5D5D">
        <w:rPr>
          <w:rFonts w:ascii="Arial" w:hAnsi="Arial" w:cs="Arial"/>
        </w:rPr>
        <w:t xml:space="preserve">, </w:t>
      </w:r>
      <w:proofErr w:type="spellStart"/>
      <w:r w:rsidRPr="000F5D5D">
        <w:rPr>
          <w:rFonts w:ascii="Arial" w:hAnsi="Arial" w:cs="Arial"/>
        </w:rPr>
        <w:t>Hasomed</w:t>
      </w:r>
      <w:proofErr w:type="spellEnd"/>
      <w:r w:rsidRPr="000F5D5D">
        <w:rPr>
          <w:rFonts w:ascii="Arial" w:hAnsi="Arial" w:cs="Arial"/>
        </w:rPr>
        <w:t xml:space="preserve"> GmbH, Germany)</w:t>
      </w:r>
    </w:p>
    <w:p w14:paraId="21936C85" w14:textId="77777777" w:rsidR="000F5D5D" w:rsidRPr="000F5D5D" w:rsidRDefault="000F5D5D" w:rsidP="00846AC2">
      <w:pPr>
        <w:numPr>
          <w:ilvl w:val="0"/>
          <w:numId w:val="33"/>
        </w:numPr>
        <w:spacing w:beforeLines="40" w:before="96" w:afterLines="40" w:after="96"/>
        <w:jc w:val="both"/>
        <w:rPr>
          <w:rFonts w:ascii="Arial" w:hAnsi="Arial" w:cs="Arial"/>
        </w:rPr>
      </w:pPr>
      <w:r w:rsidRPr="000F5D5D">
        <w:rPr>
          <w:rFonts w:ascii="Arial" w:hAnsi="Arial" w:cs="Arial"/>
        </w:rPr>
        <w:t>Electrodes: Surface electrodes placed over motor points of affected muscles</w:t>
      </w:r>
    </w:p>
    <w:p w14:paraId="2FB6F253" w14:textId="77777777" w:rsidR="000F5D5D" w:rsidRPr="000F5D5D" w:rsidRDefault="000F5D5D" w:rsidP="00846AC2">
      <w:pPr>
        <w:numPr>
          <w:ilvl w:val="0"/>
          <w:numId w:val="33"/>
        </w:numPr>
        <w:spacing w:beforeLines="40" w:before="96" w:afterLines="40" w:after="96"/>
        <w:jc w:val="both"/>
        <w:rPr>
          <w:rFonts w:ascii="Arial" w:hAnsi="Arial" w:cs="Arial"/>
        </w:rPr>
      </w:pPr>
      <w:r w:rsidRPr="000F5D5D">
        <w:rPr>
          <w:rFonts w:ascii="Arial" w:hAnsi="Arial" w:cs="Arial"/>
        </w:rPr>
        <w:t>Target muscles: Wrist extensors, finger extensors, and thumb muscles</w:t>
      </w:r>
    </w:p>
    <w:p w14:paraId="187B22FC" w14:textId="77777777" w:rsidR="000F5D5D" w:rsidRPr="000F5D5D" w:rsidRDefault="000F5D5D" w:rsidP="00846AC2">
      <w:pPr>
        <w:numPr>
          <w:ilvl w:val="0"/>
          <w:numId w:val="33"/>
        </w:numPr>
        <w:spacing w:beforeLines="40" w:before="96" w:afterLines="40" w:after="96"/>
        <w:jc w:val="both"/>
        <w:rPr>
          <w:rFonts w:ascii="Arial" w:hAnsi="Arial" w:cs="Arial"/>
        </w:rPr>
      </w:pPr>
      <w:r w:rsidRPr="000F5D5D">
        <w:rPr>
          <w:rFonts w:ascii="Arial" w:hAnsi="Arial" w:cs="Arial"/>
        </w:rPr>
        <w:t xml:space="preserve">Parameters: Frequency 30-50 Hz, pulse width 300 </w:t>
      </w:r>
      <w:proofErr w:type="spellStart"/>
      <w:r w:rsidRPr="000F5D5D">
        <w:rPr>
          <w:rFonts w:ascii="Arial" w:hAnsi="Arial" w:cs="Arial"/>
        </w:rPr>
        <w:t>μs</w:t>
      </w:r>
      <w:proofErr w:type="spellEnd"/>
      <w:r w:rsidRPr="000F5D5D">
        <w:rPr>
          <w:rFonts w:ascii="Arial" w:hAnsi="Arial" w:cs="Arial"/>
        </w:rPr>
        <w:t>, intensity adjusted to produce visible muscle contraction without pain</w:t>
      </w:r>
    </w:p>
    <w:p w14:paraId="46F9E64D" w14:textId="77777777" w:rsidR="000F5D5D" w:rsidRPr="000F5D5D" w:rsidRDefault="000F5D5D" w:rsidP="00846AC2">
      <w:pPr>
        <w:numPr>
          <w:ilvl w:val="0"/>
          <w:numId w:val="33"/>
        </w:numPr>
        <w:spacing w:beforeLines="40" w:before="96" w:afterLines="40" w:after="96"/>
        <w:jc w:val="both"/>
        <w:rPr>
          <w:rFonts w:ascii="Arial" w:hAnsi="Arial" w:cs="Arial"/>
        </w:rPr>
      </w:pPr>
      <w:r w:rsidRPr="000F5D5D">
        <w:rPr>
          <w:rFonts w:ascii="Arial" w:hAnsi="Arial" w:cs="Arial"/>
        </w:rPr>
        <w:t>Duration: 30 minutes per session</w:t>
      </w:r>
    </w:p>
    <w:p w14:paraId="7C05001F"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Motor Relearning Program:</w:t>
      </w:r>
    </w:p>
    <w:p w14:paraId="66E29188" w14:textId="77777777" w:rsidR="000F5D5D" w:rsidRPr="000F5D5D" w:rsidRDefault="000F5D5D" w:rsidP="00846AC2">
      <w:pPr>
        <w:numPr>
          <w:ilvl w:val="0"/>
          <w:numId w:val="34"/>
        </w:numPr>
        <w:spacing w:beforeLines="40" w:before="96" w:afterLines="40" w:after="96"/>
        <w:jc w:val="both"/>
        <w:rPr>
          <w:rFonts w:ascii="Arial" w:hAnsi="Arial" w:cs="Arial"/>
        </w:rPr>
      </w:pPr>
      <w:r w:rsidRPr="000F5D5D">
        <w:rPr>
          <w:rFonts w:ascii="Arial" w:hAnsi="Arial" w:cs="Arial"/>
        </w:rPr>
        <w:t>Task-specific training focusing on ADL-related movements</w:t>
      </w:r>
    </w:p>
    <w:p w14:paraId="1CF5FA61" w14:textId="77777777" w:rsidR="000F5D5D" w:rsidRPr="000F5D5D" w:rsidRDefault="000F5D5D" w:rsidP="00846AC2">
      <w:pPr>
        <w:numPr>
          <w:ilvl w:val="0"/>
          <w:numId w:val="34"/>
        </w:numPr>
        <w:spacing w:beforeLines="40" w:before="96" w:afterLines="40" w:after="96"/>
        <w:jc w:val="both"/>
        <w:rPr>
          <w:rFonts w:ascii="Arial" w:hAnsi="Arial" w:cs="Arial"/>
        </w:rPr>
      </w:pPr>
      <w:r w:rsidRPr="000F5D5D">
        <w:rPr>
          <w:rFonts w:ascii="Arial" w:hAnsi="Arial" w:cs="Arial"/>
        </w:rPr>
        <w:t>Progressive difficulty adjustment based on individual performance</w:t>
      </w:r>
    </w:p>
    <w:p w14:paraId="23932B44" w14:textId="77777777" w:rsidR="000F5D5D" w:rsidRPr="000F5D5D" w:rsidRDefault="000F5D5D" w:rsidP="00846AC2">
      <w:pPr>
        <w:numPr>
          <w:ilvl w:val="0"/>
          <w:numId w:val="34"/>
        </w:numPr>
        <w:spacing w:beforeLines="40" w:before="96" w:afterLines="40" w:after="96"/>
        <w:jc w:val="both"/>
        <w:rPr>
          <w:rFonts w:ascii="Arial" w:hAnsi="Arial" w:cs="Arial"/>
        </w:rPr>
      </w:pPr>
      <w:r w:rsidRPr="000F5D5D">
        <w:rPr>
          <w:rFonts w:ascii="Arial" w:hAnsi="Arial" w:cs="Arial"/>
        </w:rPr>
        <w:t>Emphasis on quality of movement and functional outcomes</w:t>
      </w:r>
    </w:p>
    <w:p w14:paraId="5FEF82E1" w14:textId="77777777" w:rsidR="000F5D5D" w:rsidRPr="000F5D5D" w:rsidRDefault="000F5D5D" w:rsidP="00846AC2">
      <w:pPr>
        <w:numPr>
          <w:ilvl w:val="0"/>
          <w:numId w:val="34"/>
        </w:numPr>
        <w:spacing w:beforeLines="40" w:before="96" w:afterLines="40" w:after="96"/>
        <w:jc w:val="both"/>
        <w:rPr>
          <w:rFonts w:ascii="Arial" w:hAnsi="Arial" w:cs="Arial"/>
        </w:rPr>
      </w:pPr>
      <w:r w:rsidRPr="000F5D5D">
        <w:rPr>
          <w:rFonts w:ascii="Arial" w:hAnsi="Arial" w:cs="Arial"/>
        </w:rPr>
        <w:t>Activities included: reaching, grasping, manipulation tasks, and simulated ADL</w:t>
      </w:r>
    </w:p>
    <w:p w14:paraId="027CCDE7" w14:textId="77777777" w:rsidR="000F5D5D" w:rsidRPr="000F5D5D" w:rsidRDefault="000F5D5D" w:rsidP="00846AC2">
      <w:pPr>
        <w:numPr>
          <w:ilvl w:val="0"/>
          <w:numId w:val="34"/>
        </w:numPr>
        <w:spacing w:beforeLines="40" w:before="96" w:afterLines="40" w:after="96"/>
        <w:jc w:val="both"/>
        <w:rPr>
          <w:rFonts w:ascii="Arial" w:hAnsi="Arial" w:cs="Arial"/>
        </w:rPr>
      </w:pPr>
      <w:r w:rsidRPr="000F5D5D">
        <w:rPr>
          <w:rFonts w:ascii="Arial" w:hAnsi="Arial" w:cs="Arial"/>
        </w:rPr>
        <w:t>Duration: 30 minutes per session following FES</w:t>
      </w:r>
    </w:p>
    <w:p w14:paraId="08F3DA6F" w14:textId="77777777" w:rsidR="000F5D5D" w:rsidRPr="00385ADC" w:rsidRDefault="000F5D5D" w:rsidP="00846AC2">
      <w:pPr>
        <w:spacing w:beforeLines="40" w:before="96" w:afterLines="40" w:after="96"/>
        <w:jc w:val="both"/>
        <w:outlineLvl w:val="3"/>
        <w:rPr>
          <w:rFonts w:ascii="Arial" w:hAnsi="Arial" w:cs="Arial"/>
          <w:b/>
        </w:rPr>
      </w:pPr>
      <w:r w:rsidRPr="00385ADC">
        <w:rPr>
          <w:rFonts w:ascii="Arial" w:hAnsi="Arial" w:cs="Arial"/>
          <w:b/>
        </w:rPr>
        <w:t>2.5.2 Control Group (Conventional Physiotherapy)</w:t>
      </w:r>
    </w:p>
    <w:p w14:paraId="0E0F7AB1"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Participants received conventional physiotherapy including:</w:t>
      </w:r>
    </w:p>
    <w:p w14:paraId="02E2A2C6" w14:textId="77777777" w:rsidR="000F5D5D" w:rsidRPr="000F5D5D" w:rsidRDefault="000F5D5D" w:rsidP="00846AC2">
      <w:pPr>
        <w:numPr>
          <w:ilvl w:val="0"/>
          <w:numId w:val="35"/>
        </w:numPr>
        <w:spacing w:beforeLines="40" w:before="96" w:afterLines="40" w:after="96"/>
        <w:jc w:val="both"/>
        <w:rPr>
          <w:rFonts w:ascii="Arial" w:hAnsi="Arial" w:cs="Arial"/>
        </w:rPr>
      </w:pPr>
      <w:r w:rsidRPr="000F5D5D">
        <w:rPr>
          <w:rFonts w:ascii="Arial" w:hAnsi="Arial" w:cs="Arial"/>
        </w:rPr>
        <w:t>Passive and active range of motion exercises</w:t>
      </w:r>
    </w:p>
    <w:p w14:paraId="4B8B3F49" w14:textId="77777777" w:rsidR="000F5D5D" w:rsidRPr="000F5D5D" w:rsidRDefault="000F5D5D" w:rsidP="00846AC2">
      <w:pPr>
        <w:numPr>
          <w:ilvl w:val="0"/>
          <w:numId w:val="35"/>
        </w:numPr>
        <w:spacing w:beforeLines="40" w:before="96" w:afterLines="40" w:after="96"/>
        <w:jc w:val="both"/>
        <w:rPr>
          <w:rFonts w:ascii="Arial" w:hAnsi="Arial" w:cs="Arial"/>
        </w:rPr>
      </w:pPr>
      <w:r w:rsidRPr="000F5D5D">
        <w:rPr>
          <w:rFonts w:ascii="Arial" w:hAnsi="Arial" w:cs="Arial"/>
        </w:rPr>
        <w:t>Strengthening exercises</w:t>
      </w:r>
    </w:p>
    <w:p w14:paraId="3807C24E" w14:textId="77777777" w:rsidR="000F5D5D" w:rsidRPr="000F5D5D" w:rsidRDefault="000F5D5D" w:rsidP="00846AC2">
      <w:pPr>
        <w:numPr>
          <w:ilvl w:val="0"/>
          <w:numId w:val="35"/>
        </w:numPr>
        <w:spacing w:beforeLines="40" w:before="96" w:afterLines="40" w:after="96"/>
        <w:jc w:val="both"/>
        <w:rPr>
          <w:rFonts w:ascii="Arial" w:hAnsi="Arial" w:cs="Arial"/>
        </w:rPr>
      </w:pPr>
      <w:r w:rsidRPr="000F5D5D">
        <w:rPr>
          <w:rFonts w:ascii="Arial" w:hAnsi="Arial" w:cs="Arial"/>
        </w:rPr>
        <w:t>Facilitation techniques</w:t>
      </w:r>
    </w:p>
    <w:p w14:paraId="1CB5F6EA" w14:textId="77777777" w:rsidR="000F5D5D" w:rsidRPr="000F5D5D" w:rsidRDefault="000F5D5D" w:rsidP="00846AC2">
      <w:pPr>
        <w:numPr>
          <w:ilvl w:val="0"/>
          <w:numId w:val="35"/>
        </w:numPr>
        <w:spacing w:beforeLines="40" w:before="96" w:afterLines="40" w:after="96"/>
        <w:jc w:val="both"/>
        <w:rPr>
          <w:rFonts w:ascii="Arial" w:hAnsi="Arial" w:cs="Arial"/>
        </w:rPr>
      </w:pPr>
      <w:r w:rsidRPr="000F5D5D">
        <w:rPr>
          <w:rFonts w:ascii="Arial" w:hAnsi="Arial" w:cs="Arial"/>
        </w:rPr>
        <w:t>Functional training</w:t>
      </w:r>
    </w:p>
    <w:p w14:paraId="0BCE3AEA" w14:textId="77777777" w:rsidR="000F5D5D" w:rsidRPr="000F5D5D" w:rsidRDefault="000F5D5D" w:rsidP="00846AC2">
      <w:pPr>
        <w:numPr>
          <w:ilvl w:val="0"/>
          <w:numId w:val="35"/>
        </w:numPr>
        <w:spacing w:beforeLines="40" w:before="96" w:afterLines="40" w:after="96"/>
        <w:jc w:val="both"/>
        <w:rPr>
          <w:rFonts w:ascii="Arial" w:hAnsi="Arial" w:cs="Arial"/>
        </w:rPr>
      </w:pPr>
      <w:r w:rsidRPr="000F5D5D">
        <w:rPr>
          <w:rFonts w:ascii="Arial" w:hAnsi="Arial" w:cs="Arial"/>
        </w:rPr>
        <w:t>Duration: 60 minutes per session</w:t>
      </w:r>
    </w:p>
    <w:p w14:paraId="01B6D690"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Both groups received treatment 5 days per week for 6 weeks (30 sessions total).</w:t>
      </w:r>
    </w:p>
    <w:p w14:paraId="5E520496" w14:textId="77777777" w:rsidR="000F5D5D" w:rsidRPr="00907417" w:rsidRDefault="000F5D5D" w:rsidP="00846AC2">
      <w:pPr>
        <w:spacing w:beforeLines="40" w:before="96" w:afterLines="40" w:after="96"/>
        <w:jc w:val="both"/>
        <w:outlineLvl w:val="2"/>
        <w:rPr>
          <w:rFonts w:ascii="Arial" w:hAnsi="Arial" w:cs="Arial"/>
          <w:b/>
          <w:sz w:val="22"/>
          <w:szCs w:val="22"/>
        </w:rPr>
      </w:pPr>
      <w:r w:rsidRPr="00907417">
        <w:rPr>
          <w:rFonts w:ascii="Arial" w:hAnsi="Arial" w:cs="Arial"/>
          <w:b/>
          <w:sz w:val="22"/>
          <w:szCs w:val="22"/>
        </w:rPr>
        <w:t>2.6 Outcome Measures</w:t>
      </w:r>
    </w:p>
    <w:p w14:paraId="0B86EA21" w14:textId="77777777" w:rsidR="000F5D5D" w:rsidRPr="00385ADC" w:rsidRDefault="000F5D5D" w:rsidP="00846AC2">
      <w:pPr>
        <w:spacing w:beforeLines="40" w:before="96" w:afterLines="40" w:after="96"/>
        <w:jc w:val="both"/>
        <w:outlineLvl w:val="3"/>
        <w:rPr>
          <w:rFonts w:ascii="Arial" w:hAnsi="Arial" w:cs="Arial"/>
          <w:b/>
        </w:rPr>
      </w:pPr>
      <w:r w:rsidRPr="00385ADC">
        <w:rPr>
          <w:rFonts w:ascii="Arial" w:hAnsi="Arial" w:cs="Arial"/>
          <w:b/>
        </w:rPr>
        <w:t>2.6.1 Primary Outcome</w:t>
      </w:r>
    </w:p>
    <w:p w14:paraId="51D0B33A"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Barthel Index (BI): A 10-item scale assessing independence in basic ADL including feeding, bathing, grooming, dressing, bowel and bladder control, toilet use, transfers, mobility, and stair climbing. Scores range from 0-100, with higher scores indicating greater independence (Mahoney &amp; Barthel, 1965).</w:t>
      </w:r>
    </w:p>
    <w:p w14:paraId="4E789D99" w14:textId="77777777" w:rsidR="000F5D5D" w:rsidRPr="00385ADC" w:rsidRDefault="000F5D5D" w:rsidP="00846AC2">
      <w:pPr>
        <w:spacing w:beforeLines="40" w:before="96" w:afterLines="40" w:after="96"/>
        <w:jc w:val="both"/>
        <w:outlineLvl w:val="3"/>
        <w:rPr>
          <w:rFonts w:ascii="Arial" w:hAnsi="Arial" w:cs="Arial"/>
          <w:b/>
        </w:rPr>
      </w:pPr>
      <w:r w:rsidRPr="00385ADC">
        <w:rPr>
          <w:rFonts w:ascii="Arial" w:hAnsi="Arial" w:cs="Arial"/>
          <w:b/>
        </w:rPr>
        <w:t>2.6.2 Secondary Outcomes</w:t>
      </w:r>
    </w:p>
    <w:p w14:paraId="0442D525"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Functional Independence Measure (FIM): An 18-item scale assessing independence in motor and cognitive tasks. Motor subscale (13 items) scores range from 13-91, with higher scores indicating greater independence (Keith et al., 1987).</w:t>
      </w:r>
    </w:p>
    <w:p w14:paraId="12F7A8C3"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Canadian Occupational Performance Measure (COPM): A patient-centered outcome measure assessing perceived performance and satisfaction in daily activities. Participants identify priority areas of difficulty and rate performance and satisfaction on 10-point scales (Law et al., 2014).</w:t>
      </w:r>
    </w:p>
    <w:p w14:paraId="4211FCC8" w14:textId="77777777" w:rsidR="000F5D5D" w:rsidRPr="00907417" w:rsidRDefault="000F5D5D" w:rsidP="00846AC2">
      <w:pPr>
        <w:spacing w:beforeLines="40" w:before="96" w:afterLines="40" w:after="96"/>
        <w:jc w:val="both"/>
        <w:outlineLvl w:val="2"/>
        <w:rPr>
          <w:rFonts w:ascii="Arial" w:hAnsi="Arial" w:cs="Arial"/>
          <w:b/>
          <w:sz w:val="22"/>
          <w:szCs w:val="22"/>
        </w:rPr>
      </w:pPr>
      <w:r w:rsidRPr="00907417">
        <w:rPr>
          <w:rFonts w:ascii="Arial" w:hAnsi="Arial" w:cs="Arial"/>
          <w:b/>
          <w:sz w:val="22"/>
          <w:szCs w:val="22"/>
        </w:rPr>
        <w:t>2.7 Assessment Schedule</w:t>
      </w:r>
    </w:p>
    <w:p w14:paraId="471B6A7C" w14:textId="77777777" w:rsidR="000F5D5D" w:rsidRPr="000F5D5D" w:rsidRDefault="000F5D5D" w:rsidP="00846AC2">
      <w:pPr>
        <w:spacing w:beforeLines="40" w:before="96" w:afterLines="40" w:after="96"/>
        <w:jc w:val="both"/>
        <w:rPr>
          <w:rFonts w:ascii="Arial" w:hAnsi="Arial" w:cs="Arial"/>
        </w:rPr>
      </w:pPr>
      <w:r w:rsidRPr="000F5D5D">
        <w:rPr>
          <w:rFonts w:ascii="Arial" w:hAnsi="Arial" w:cs="Arial"/>
        </w:rPr>
        <w:t>Assessments were conducted at three time points:</w:t>
      </w:r>
    </w:p>
    <w:p w14:paraId="01D0EB1F" w14:textId="77777777" w:rsidR="000F5D5D" w:rsidRPr="000F5D5D" w:rsidRDefault="000F5D5D" w:rsidP="00846AC2">
      <w:pPr>
        <w:numPr>
          <w:ilvl w:val="0"/>
          <w:numId w:val="36"/>
        </w:numPr>
        <w:spacing w:beforeLines="40" w:before="96" w:afterLines="40" w:after="96"/>
        <w:jc w:val="both"/>
        <w:rPr>
          <w:rFonts w:ascii="Arial" w:hAnsi="Arial" w:cs="Arial"/>
        </w:rPr>
      </w:pPr>
      <w:r w:rsidRPr="000F5D5D">
        <w:rPr>
          <w:rFonts w:ascii="Arial" w:hAnsi="Arial" w:cs="Arial"/>
        </w:rPr>
        <w:lastRenderedPageBreak/>
        <w:t>Baseline (T0): Within 1 week before intervention</w:t>
      </w:r>
    </w:p>
    <w:p w14:paraId="46D8B018" w14:textId="77777777" w:rsidR="000F5D5D" w:rsidRPr="000F5D5D" w:rsidRDefault="000F5D5D" w:rsidP="00846AC2">
      <w:pPr>
        <w:numPr>
          <w:ilvl w:val="0"/>
          <w:numId w:val="36"/>
        </w:numPr>
        <w:spacing w:beforeLines="40" w:before="96" w:afterLines="40" w:after="96"/>
        <w:jc w:val="both"/>
        <w:rPr>
          <w:rFonts w:ascii="Arial" w:hAnsi="Arial" w:cs="Arial"/>
        </w:rPr>
      </w:pPr>
      <w:r w:rsidRPr="000F5D5D">
        <w:rPr>
          <w:rFonts w:ascii="Arial" w:hAnsi="Arial" w:cs="Arial"/>
        </w:rPr>
        <w:t>Post-intervention (T1): Within 1 week after completing 6-week intervention</w:t>
      </w:r>
    </w:p>
    <w:p w14:paraId="01E86C88" w14:textId="77777777" w:rsidR="000F5D5D" w:rsidRPr="000F5D5D" w:rsidRDefault="000F5D5D" w:rsidP="00846AC2">
      <w:pPr>
        <w:numPr>
          <w:ilvl w:val="0"/>
          <w:numId w:val="36"/>
        </w:numPr>
        <w:spacing w:beforeLines="40" w:before="96" w:afterLines="40" w:after="96"/>
        <w:jc w:val="both"/>
        <w:rPr>
          <w:rFonts w:ascii="Arial" w:hAnsi="Arial" w:cs="Arial"/>
        </w:rPr>
      </w:pPr>
      <w:r w:rsidRPr="000F5D5D">
        <w:rPr>
          <w:rFonts w:ascii="Arial" w:hAnsi="Arial" w:cs="Arial"/>
        </w:rPr>
        <w:t>Follow-up (T2): 6 weeks after intervention completion (12 weeks from baseline)</w:t>
      </w:r>
    </w:p>
    <w:p w14:paraId="4C983F6C" w14:textId="77777777" w:rsidR="000F5D5D" w:rsidRPr="00907417" w:rsidRDefault="000F5D5D" w:rsidP="00846AC2">
      <w:pPr>
        <w:spacing w:beforeLines="40" w:before="96" w:afterLines="40" w:after="96"/>
        <w:jc w:val="both"/>
        <w:outlineLvl w:val="2"/>
        <w:rPr>
          <w:rFonts w:ascii="Arial" w:hAnsi="Arial" w:cs="Arial"/>
          <w:b/>
          <w:sz w:val="22"/>
          <w:szCs w:val="22"/>
        </w:rPr>
      </w:pPr>
      <w:r w:rsidRPr="00907417">
        <w:rPr>
          <w:rFonts w:ascii="Arial" w:hAnsi="Arial" w:cs="Arial"/>
          <w:b/>
          <w:sz w:val="22"/>
          <w:szCs w:val="22"/>
        </w:rPr>
        <w:t>2.8 Data Collection</w:t>
      </w:r>
    </w:p>
    <w:p w14:paraId="07C5FDEA" w14:textId="77777777" w:rsidR="00502516" w:rsidRDefault="000F5D5D" w:rsidP="00846AC2">
      <w:pPr>
        <w:pStyle w:val="Body"/>
        <w:spacing w:beforeLines="40" w:before="96" w:afterLines="40" w:after="96"/>
        <w:rPr>
          <w:rFonts w:ascii="Arial" w:hAnsi="Arial" w:cs="Arial"/>
        </w:rPr>
      </w:pPr>
      <w:r w:rsidRPr="000F5D5D">
        <w:rPr>
          <w:rFonts w:ascii="Arial" w:hAnsi="Arial" w:cs="Arial"/>
        </w:rPr>
        <w:t>All assessments were conducted by trained occupational therapists blinded to group allocation. Inter-rater reliability was established prior to study commencement (ICC &gt;0.90 for all measures). Data were collected in a standardized environment and recorded on case report forms before being entered into a secure electronic database</w:t>
      </w:r>
      <w:r w:rsidR="00907417">
        <w:rPr>
          <w:rFonts w:ascii="Arial" w:hAnsi="Arial" w:cs="Arial"/>
        </w:rPr>
        <w:t>.</w:t>
      </w:r>
    </w:p>
    <w:p w14:paraId="51AA9ECC" w14:textId="77777777" w:rsidR="002E0D56" w:rsidRDefault="002E0D56" w:rsidP="00441B6F">
      <w:pPr>
        <w:pStyle w:val="Body"/>
        <w:spacing w:after="0"/>
        <w:rPr>
          <w:rFonts w:ascii="Arial" w:hAnsi="Arial" w:cs="Arial"/>
        </w:rPr>
      </w:pPr>
    </w:p>
    <w:p w14:paraId="199AD912" w14:textId="77777777" w:rsidR="00C500C3" w:rsidRDefault="00C500C3" w:rsidP="00846AC2">
      <w:pPr>
        <w:pStyle w:val="Head1"/>
        <w:spacing w:beforeLines="40" w:before="96" w:afterLines="40" w:after="96"/>
        <w:jc w:val="both"/>
        <w:rPr>
          <w:rFonts w:ascii="Arial" w:hAnsi="Arial" w:cs="Arial"/>
        </w:rPr>
      </w:pPr>
      <w:r>
        <w:rPr>
          <w:rFonts w:ascii="Arial" w:hAnsi="Arial" w:cs="Arial"/>
        </w:rPr>
        <w:t xml:space="preserve">3. </w:t>
      </w:r>
      <w:r w:rsidRPr="00907417">
        <w:rPr>
          <w:rFonts w:ascii="Arial" w:hAnsi="Arial" w:cs="Arial"/>
        </w:rPr>
        <w:t>Statistical Analysis</w:t>
      </w:r>
    </w:p>
    <w:p w14:paraId="64863CA9" w14:textId="77777777" w:rsidR="00C500C3" w:rsidRPr="00907417" w:rsidRDefault="00C500C3" w:rsidP="00846AC2">
      <w:pPr>
        <w:spacing w:beforeLines="40" w:before="96" w:afterLines="40" w:after="96"/>
        <w:jc w:val="both"/>
        <w:rPr>
          <w:rFonts w:ascii="Arial" w:hAnsi="Arial" w:cs="Arial"/>
          <w:lang w:val="en-GB" w:eastAsia="en-GB"/>
        </w:rPr>
      </w:pPr>
      <w:r w:rsidRPr="00907417">
        <w:rPr>
          <w:rFonts w:ascii="Arial" w:hAnsi="Arial" w:cs="Arial"/>
          <w:lang w:val="en-GB" w:eastAsia="en-GB"/>
        </w:rPr>
        <w:t>Statistical analysis was performed using SPSS version 2</w:t>
      </w:r>
      <w:r w:rsidR="00395956">
        <w:rPr>
          <w:rFonts w:ascii="Arial" w:hAnsi="Arial" w:cs="Arial"/>
          <w:lang w:val="en-GB" w:eastAsia="en-GB"/>
        </w:rPr>
        <w:t>5</w:t>
      </w:r>
      <w:r w:rsidRPr="00907417">
        <w:rPr>
          <w:rFonts w:ascii="Arial" w:hAnsi="Arial" w:cs="Arial"/>
          <w:lang w:val="en-GB" w:eastAsia="en-GB"/>
        </w:rPr>
        <w:t xml:space="preserve"> (IBM Corp., Armonk, NY). Data were analyzed according to the intention-to-treat principle, with missing data handled using the last observation carried forward method for participants who completed at least baseline and one post-baseline assessment.</w:t>
      </w:r>
    </w:p>
    <w:p w14:paraId="0CD21749" w14:textId="77777777" w:rsidR="00C500C3" w:rsidRPr="00907417" w:rsidRDefault="00C500C3" w:rsidP="00846AC2">
      <w:pPr>
        <w:spacing w:beforeLines="40" w:before="96" w:afterLines="40" w:after="96"/>
        <w:jc w:val="both"/>
        <w:outlineLvl w:val="2"/>
        <w:rPr>
          <w:rFonts w:ascii="Arial" w:hAnsi="Arial" w:cs="Arial"/>
          <w:b/>
          <w:sz w:val="22"/>
          <w:szCs w:val="22"/>
          <w:lang w:val="en-GB" w:eastAsia="en-GB"/>
        </w:rPr>
      </w:pPr>
      <w:r w:rsidRPr="00907417">
        <w:rPr>
          <w:rFonts w:ascii="Arial" w:hAnsi="Arial" w:cs="Arial"/>
          <w:b/>
          <w:sz w:val="22"/>
          <w:szCs w:val="22"/>
          <w:lang w:val="en-GB" w:eastAsia="en-GB"/>
        </w:rPr>
        <w:t>3.1 Descriptive Statistics</w:t>
      </w:r>
    </w:p>
    <w:p w14:paraId="72D3F09B" w14:textId="77777777" w:rsidR="00C500C3" w:rsidRPr="00907417" w:rsidRDefault="00C500C3" w:rsidP="00846AC2">
      <w:pPr>
        <w:spacing w:beforeLines="40" w:before="96" w:afterLines="40" w:after="96"/>
        <w:jc w:val="both"/>
        <w:rPr>
          <w:rFonts w:ascii="Arial" w:hAnsi="Arial" w:cs="Arial"/>
          <w:lang w:val="en-GB" w:eastAsia="en-GB"/>
        </w:rPr>
      </w:pPr>
      <w:r w:rsidRPr="00907417">
        <w:rPr>
          <w:rFonts w:ascii="Arial" w:hAnsi="Arial" w:cs="Arial"/>
          <w:lang w:val="en-GB" w:eastAsia="en-GB"/>
        </w:rPr>
        <w:t>Continuous variables were expressed as mean ± standard deviation (SD) or median (interquartile range) based on distribution normality. Categorical variables were expressed as frequencies and percentages.</w:t>
      </w:r>
    </w:p>
    <w:p w14:paraId="47C26724" w14:textId="77777777" w:rsidR="00C500C3" w:rsidRPr="00907417" w:rsidRDefault="00C500C3" w:rsidP="00846AC2">
      <w:pPr>
        <w:spacing w:beforeLines="40" w:before="96" w:afterLines="40" w:after="96"/>
        <w:jc w:val="both"/>
        <w:outlineLvl w:val="2"/>
        <w:rPr>
          <w:rFonts w:ascii="Arial" w:hAnsi="Arial" w:cs="Arial"/>
          <w:b/>
          <w:sz w:val="22"/>
          <w:szCs w:val="22"/>
          <w:lang w:val="en-GB" w:eastAsia="en-GB"/>
        </w:rPr>
      </w:pPr>
      <w:r w:rsidRPr="00907417">
        <w:rPr>
          <w:rFonts w:ascii="Arial" w:hAnsi="Arial" w:cs="Arial"/>
          <w:b/>
          <w:sz w:val="22"/>
          <w:szCs w:val="22"/>
          <w:lang w:val="en-GB" w:eastAsia="en-GB"/>
        </w:rPr>
        <w:t>3.2 Baseline Comparisons</w:t>
      </w:r>
    </w:p>
    <w:p w14:paraId="07FB9B3C" w14:textId="77777777" w:rsidR="00C500C3" w:rsidRPr="00907417" w:rsidRDefault="00C500C3" w:rsidP="00846AC2">
      <w:pPr>
        <w:spacing w:beforeLines="40" w:before="96" w:afterLines="40" w:after="96"/>
        <w:jc w:val="both"/>
        <w:rPr>
          <w:rFonts w:ascii="Arial" w:hAnsi="Arial" w:cs="Arial"/>
          <w:lang w:val="en-GB" w:eastAsia="en-GB"/>
        </w:rPr>
      </w:pPr>
      <w:r w:rsidRPr="00907417">
        <w:rPr>
          <w:rFonts w:ascii="Arial" w:hAnsi="Arial" w:cs="Arial"/>
          <w:lang w:val="en-GB" w:eastAsia="en-GB"/>
        </w:rPr>
        <w:t>Independent t-tests were used for continuous variables and chi-square tests for categorical variables to compare baseline characteristics between groups.</w:t>
      </w:r>
    </w:p>
    <w:p w14:paraId="5A7F0764" w14:textId="77777777" w:rsidR="00C500C3" w:rsidRPr="00907417" w:rsidRDefault="00C500C3" w:rsidP="00846AC2">
      <w:pPr>
        <w:spacing w:beforeLines="40" w:before="96" w:afterLines="40" w:after="96"/>
        <w:jc w:val="both"/>
        <w:outlineLvl w:val="2"/>
        <w:rPr>
          <w:rFonts w:ascii="Arial" w:hAnsi="Arial" w:cs="Arial"/>
          <w:b/>
          <w:sz w:val="22"/>
          <w:szCs w:val="22"/>
          <w:lang w:val="en-GB" w:eastAsia="en-GB"/>
        </w:rPr>
      </w:pPr>
      <w:r w:rsidRPr="00907417">
        <w:rPr>
          <w:rFonts w:ascii="Arial" w:hAnsi="Arial" w:cs="Arial"/>
          <w:b/>
          <w:sz w:val="22"/>
          <w:szCs w:val="22"/>
          <w:lang w:val="en-GB" w:eastAsia="en-GB"/>
        </w:rPr>
        <w:t>3.3 Primary Analysis</w:t>
      </w:r>
    </w:p>
    <w:p w14:paraId="564B62D1" w14:textId="77777777" w:rsidR="00C500C3" w:rsidRPr="00907417" w:rsidRDefault="00C500C3" w:rsidP="00846AC2">
      <w:pPr>
        <w:spacing w:beforeLines="40" w:before="96" w:afterLines="40" w:after="96"/>
        <w:jc w:val="both"/>
        <w:rPr>
          <w:rFonts w:ascii="Arial" w:hAnsi="Arial" w:cs="Arial"/>
          <w:lang w:val="en-GB" w:eastAsia="en-GB"/>
        </w:rPr>
      </w:pPr>
      <w:r w:rsidRPr="00907417">
        <w:rPr>
          <w:rFonts w:ascii="Arial" w:hAnsi="Arial" w:cs="Arial"/>
          <w:lang w:val="en-GB" w:eastAsia="en-GB"/>
        </w:rPr>
        <w:t>A mixed-effects model with repeated measures was used to analyze changes in outcome measures over time, with group, time, and group-by-time interaction as fixed effects, and participant as a random effect. This approach accounts for within-subject correlation and missing data.</w:t>
      </w:r>
    </w:p>
    <w:p w14:paraId="251ABD73" w14:textId="77777777" w:rsidR="00C500C3" w:rsidRPr="00907417" w:rsidRDefault="00C500C3" w:rsidP="00846AC2">
      <w:pPr>
        <w:spacing w:beforeLines="40" w:before="96" w:afterLines="40" w:after="96"/>
        <w:jc w:val="both"/>
        <w:outlineLvl w:val="2"/>
        <w:rPr>
          <w:rFonts w:ascii="Arial" w:hAnsi="Arial" w:cs="Arial"/>
          <w:b/>
          <w:sz w:val="22"/>
          <w:szCs w:val="22"/>
          <w:lang w:val="en-GB" w:eastAsia="en-GB"/>
        </w:rPr>
      </w:pPr>
      <w:r w:rsidRPr="00907417">
        <w:rPr>
          <w:rFonts w:ascii="Arial" w:hAnsi="Arial" w:cs="Arial"/>
          <w:b/>
          <w:sz w:val="22"/>
          <w:szCs w:val="22"/>
          <w:lang w:val="en-GB" w:eastAsia="en-GB"/>
        </w:rPr>
        <w:t>3.4 Secondary Analysis</w:t>
      </w:r>
    </w:p>
    <w:p w14:paraId="0DE2B03C" w14:textId="77777777" w:rsidR="00C500C3" w:rsidRPr="00907417" w:rsidRDefault="00C500C3" w:rsidP="00846AC2">
      <w:pPr>
        <w:spacing w:beforeLines="40" w:before="96" w:afterLines="40" w:after="96"/>
        <w:jc w:val="both"/>
        <w:rPr>
          <w:rFonts w:ascii="Arial" w:hAnsi="Arial" w:cs="Arial"/>
          <w:lang w:val="en-GB" w:eastAsia="en-GB"/>
        </w:rPr>
      </w:pPr>
      <w:r w:rsidRPr="00907417">
        <w:rPr>
          <w:rFonts w:ascii="Arial" w:hAnsi="Arial" w:cs="Arial"/>
          <w:lang w:val="en-GB" w:eastAsia="en-GB"/>
        </w:rPr>
        <w:t>Between-group differences at each time point were analyzed using independent t-tests with Bonferroni correction for multiple comparisons. Within-group changes from baseline were analyzed using paired t-tests.</w:t>
      </w:r>
    </w:p>
    <w:p w14:paraId="4C8F9DE7" w14:textId="77777777" w:rsidR="00C500C3" w:rsidRPr="00907417" w:rsidRDefault="00C500C3" w:rsidP="00846AC2">
      <w:pPr>
        <w:spacing w:beforeLines="40" w:before="96" w:afterLines="40" w:after="96"/>
        <w:jc w:val="both"/>
        <w:rPr>
          <w:rFonts w:ascii="Arial" w:hAnsi="Arial" w:cs="Arial"/>
          <w:lang w:val="en-GB" w:eastAsia="en-GB"/>
        </w:rPr>
      </w:pPr>
      <w:r w:rsidRPr="00907417">
        <w:rPr>
          <w:rFonts w:ascii="Arial" w:hAnsi="Arial" w:cs="Arial"/>
          <w:lang w:val="en-GB" w:eastAsia="en-GB"/>
        </w:rPr>
        <w:t>Effect sizes (Cohen's d) were calculated for between-group differences, with 0.2, 0.5, and 0.8 representing small, medium, and large effects, respectively.</w:t>
      </w:r>
    </w:p>
    <w:p w14:paraId="3CA971EC" w14:textId="77777777" w:rsidR="00C500C3" w:rsidRPr="00907417" w:rsidRDefault="00C500C3" w:rsidP="00846AC2">
      <w:pPr>
        <w:spacing w:beforeLines="40" w:before="96" w:afterLines="40" w:after="96"/>
        <w:jc w:val="both"/>
        <w:outlineLvl w:val="2"/>
        <w:rPr>
          <w:rFonts w:ascii="Arial" w:hAnsi="Arial" w:cs="Arial"/>
          <w:b/>
          <w:sz w:val="22"/>
          <w:szCs w:val="22"/>
          <w:lang w:val="en-GB" w:eastAsia="en-GB"/>
        </w:rPr>
      </w:pPr>
      <w:r w:rsidRPr="00907417">
        <w:rPr>
          <w:rFonts w:ascii="Arial" w:hAnsi="Arial" w:cs="Arial"/>
          <w:b/>
          <w:sz w:val="22"/>
          <w:szCs w:val="22"/>
          <w:lang w:val="en-GB" w:eastAsia="en-GB"/>
        </w:rPr>
        <w:t>3.5 Statistical Significance</w:t>
      </w:r>
    </w:p>
    <w:p w14:paraId="4B843DC1" w14:textId="77777777" w:rsidR="00C500C3" w:rsidRPr="00907417" w:rsidRDefault="00C500C3" w:rsidP="00846AC2">
      <w:pPr>
        <w:pStyle w:val="Body"/>
        <w:spacing w:beforeLines="40" w:before="96" w:afterLines="40" w:after="96"/>
        <w:rPr>
          <w:rFonts w:ascii="Arial" w:hAnsi="Arial" w:cs="Arial"/>
          <w:lang w:val="en-GB" w:eastAsia="en-GB"/>
        </w:rPr>
      </w:pPr>
      <w:r w:rsidRPr="00907417">
        <w:rPr>
          <w:rFonts w:ascii="Arial" w:hAnsi="Arial" w:cs="Arial"/>
          <w:lang w:val="en-GB" w:eastAsia="en-GB"/>
        </w:rPr>
        <w:t xml:space="preserve">Statistical significance was set at </w:t>
      </w:r>
      <w:r w:rsidRPr="00C500C3">
        <w:rPr>
          <w:rFonts w:ascii="Arial" w:hAnsi="Arial" w:cs="Arial"/>
          <w:i/>
          <w:lang w:val="en-GB" w:eastAsia="en-GB"/>
        </w:rPr>
        <w:t xml:space="preserve">p </w:t>
      </w:r>
      <w:r w:rsidRPr="00907417">
        <w:rPr>
          <w:rFonts w:ascii="Arial" w:hAnsi="Arial" w:cs="Arial"/>
          <w:lang w:val="en-GB" w:eastAsia="en-GB"/>
        </w:rPr>
        <w:t>&lt; 0.05 for all analyses. All tests were two-tailed.</w:t>
      </w:r>
    </w:p>
    <w:p w14:paraId="2B41F8D8" w14:textId="77777777" w:rsidR="00C500C3" w:rsidRDefault="00C500C3" w:rsidP="00C500C3">
      <w:pPr>
        <w:spacing w:before="100" w:beforeAutospacing="1" w:after="100" w:afterAutospacing="1"/>
        <w:jc w:val="both"/>
        <w:outlineLvl w:val="1"/>
        <w:rPr>
          <w:rFonts w:ascii="Arial" w:hAnsi="Arial" w:cs="Arial"/>
        </w:rPr>
      </w:pPr>
    </w:p>
    <w:p w14:paraId="1CF4473E" w14:textId="77777777" w:rsidR="00C500C3" w:rsidRPr="00C500C3" w:rsidRDefault="00C500C3" w:rsidP="00C500C3">
      <w:pPr>
        <w:spacing w:before="100" w:beforeAutospacing="1" w:after="100" w:afterAutospacing="1"/>
        <w:jc w:val="both"/>
        <w:outlineLvl w:val="1"/>
        <w:rPr>
          <w:rFonts w:ascii="Arial" w:hAnsi="Arial" w:cs="Arial"/>
          <w:b/>
          <w:sz w:val="22"/>
          <w:szCs w:val="22"/>
        </w:rPr>
      </w:pPr>
      <w:r w:rsidRPr="00C500C3">
        <w:rPr>
          <w:rFonts w:ascii="Arial" w:hAnsi="Arial" w:cs="Arial"/>
          <w:b/>
          <w:sz w:val="22"/>
          <w:szCs w:val="22"/>
        </w:rPr>
        <w:t>4. RESULTS</w:t>
      </w:r>
    </w:p>
    <w:p w14:paraId="625DE805"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4.1 Participant Flow and Characteristics</w:t>
      </w:r>
    </w:p>
    <w:p w14:paraId="479AE121" w14:textId="77777777" w:rsidR="00C500C3" w:rsidRDefault="00C500C3" w:rsidP="00C500C3">
      <w:pPr>
        <w:spacing w:before="100" w:beforeAutospacing="1" w:after="100" w:afterAutospacing="1"/>
        <w:jc w:val="both"/>
        <w:rPr>
          <w:rFonts w:ascii="Arial" w:hAnsi="Arial" w:cs="Arial"/>
        </w:rPr>
      </w:pPr>
      <w:r w:rsidRPr="00C500C3">
        <w:rPr>
          <w:rFonts w:ascii="Arial" w:hAnsi="Arial" w:cs="Arial"/>
        </w:rPr>
        <w:t xml:space="preserve">A total of 124 patients were screened for eligibility, of whom 84 met the inclusion criteria and were randomized (Figure 1). Forty-two participants were allocated to each group. During the intervention period, 3 participants in the experimental group and 4 in the control group </w:t>
      </w:r>
      <w:r w:rsidRPr="00C500C3">
        <w:rPr>
          <w:rFonts w:ascii="Arial" w:hAnsi="Arial" w:cs="Arial"/>
        </w:rPr>
        <w:lastRenderedPageBreak/>
        <w:t>withdrew due to medical complications (n=2), transportation issues (n=3), and personal reasons (n=2). At the 12-week follow-up, 39 participants in the experimental group and 38 in the control group completed all assessments (91.7% completion rate).</w:t>
      </w:r>
    </w:p>
    <w:p w14:paraId="1BBB9C9C" w14:textId="77777777" w:rsidR="0037287F" w:rsidRPr="0037287F" w:rsidRDefault="0037287F" w:rsidP="00C500C3">
      <w:pPr>
        <w:spacing w:before="100" w:beforeAutospacing="1" w:after="100" w:afterAutospacing="1"/>
        <w:jc w:val="both"/>
        <w:rPr>
          <w:rFonts w:ascii="Arial" w:hAnsi="Arial" w:cs="Arial"/>
          <w:sz w:val="12"/>
        </w:rPr>
      </w:pPr>
      <w:r>
        <w:rPr>
          <w:rFonts w:ascii="Arial" w:hAnsi="Arial" w:cs="Arial"/>
        </w:rPr>
        <w:t>Fig 1 Randomization of patients</w:t>
      </w:r>
    </w:p>
    <w:p w14:paraId="0773DC8D" w14:textId="77777777" w:rsidR="002D1099" w:rsidRDefault="002D1099" w:rsidP="00C500C3">
      <w:pPr>
        <w:spacing w:before="100" w:beforeAutospacing="1" w:after="100" w:afterAutospacing="1"/>
        <w:jc w:val="both"/>
        <w:rPr>
          <w:rFonts w:ascii="Arial" w:hAnsi="Arial" w:cs="Arial"/>
        </w:rPr>
      </w:pPr>
      <w:r w:rsidRPr="002D1099">
        <w:rPr>
          <w:snapToGrid w:val="0"/>
          <w:color w:val="000000"/>
          <w:w w:val="0"/>
          <w:sz w:val="0"/>
          <w:szCs w:val="0"/>
          <w:u w:color="000000"/>
          <w:bdr w:val="none" w:sz="0" w:space="0" w:color="000000"/>
          <w:shd w:val="clear" w:color="000000" w:fill="000000"/>
        </w:rPr>
        <w:t xml:space="preserve"> </w:t>
      </w:r>
      <w:r>
        <w:rPr>
          <w:rFonts w:ascii="Arial" w:hAnsi="Arial" w:cs="Arial"/>
          <w:noProof/>
        </w:rPr>
        <w:drawing>
          <wp:inline distT="0" distB="0" distL="0" distR="0" wp14:anchorId="4FBD8A53" wp14:editId="35707E0D">
            <wp:extent cx="2069863" cy="2238451"/>
            <wp:effectExtent l="19050" t="19050" r="25637" b="28499"/>
            <wp:docPr id="5" name="Picture 5" descr="C:\Users\DELL\Desktop\J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Jam1.jpg"/>
                    <pic:cNvPicPr>
                      <a:picLocks noChangeAspect="1" noChangeArrowheads="1"/>
                    </pic:cNvPicPr>
                  </pic:nvPicPr>
                  <pic:blipFill>
                    <a:blip r:embed="rId14" cstate="print"/>
                    <a:srcRect/>
                    <a:stretch>
                      <a:fillRect/>
                    </a:stretch>
                  </pic:blipFill>
                  <pic:spPr bwMode="auto">
                    <a:xfrm>
                      <a:off x="0" y="0"/>
                      <a:ext cx="2071994" cy="2240756"/>
                    </a:xfrm>
                    <a:prstGeom prst="rect">
                      <a:avLst/>
                    </a:prstGeom>
                    <a:noFill/>
                    <a:ln w="9525">
                      <a:solidFill>
                        <a:schemeClr val="tx1"/>
                      </a:solidFill>
                      <a:miter lim="800000"/>
                      <a:headEnd/>
                      <a:tailEnd/>
                    </a:ln>
                  </pic:spPr>
                </pic:pic>
              </a:graphicData>
            </a:graphic>
          </wp:inline>
        </w:drawing>
      </w:r>
    </w:p>
    <w:p w14:paraId="02E0B277"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Baseline characteristics were well-balanced between groups (Table 1). The mean age was 58.4±12.3 years, with 58.3% male participants. The mean time since stroke was 6.8±3.2 months, and 52.4% had right-sided hemiplegia.</w:t>
      </w:r>
    </w:p>
    <w:p w14:paraId="012B3D46"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4.2 Primary Outcome: Barthel Index</w:t>
      </w:r>
    </w:p>
    <w:p w14:paraId="72DA6931"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 xml:space="preserve">Table 2 presents the Barthel Index scores across all time points. The mixed-effects model revealed significant main effects for time (F=156.8, </w:t>
      </w:r>
      <w:r w:rsidRPr="0037287F">
        <w:rPr>
          <w:rFonts w:ascii="Arial" w:hAnsi="Arial" w:cs="Arial"/>
          <w:i/>
        </w:rPr>
        <w:t>p</w:t>
      </w:r>
      <w:r w:rsidRPr="00C500C3">
        <w:rPr>
          <w:rFonts w:ascii="Arial" w:hAnsi="Arial" w:cs="Arial"/>
        </w:rPr>
        <w:t xml:space="preserve">&lt;0.001) and group-by-time interaction (F=12.4, </w:t>
      </w:r>
      <w:r w:rsidRPr="0037287F">
        <w:rPr>
          <w:rFonts w:ascii="Arial" w:hAnsi="Arial" w:cs="Arial"/>
          <w:i/>
        </w:rPr>
        <w:t>p</w:t>
      </w:r>
      <w:r w:rsidRPr="00C500C3">
        <w:rPr>
          <w:rFonts w:ascii="Arial" w:hAnsi="Arial" w:cs="Arial"/>
        </w:rPr>
        <w:t>&lt;0.001), indicating differential improvement between groups over time.</w:t>
      </w:r>
    </w:p>
    <w:p w14:paraId="40026791"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 xml:space="preserve">At baseline, there were no significant differences in BI scores between groups (experimental: 45.2±18.7; control: 43.8±17.9; </w:t>
      </w:r>
      <w:r w:rsidRPr="0037287F">
        <w:rPr>
          <w:rFonts w:ascii="Arial" w:hAnsi="Arial" w:cs="Arial"/>
          <w:i/>
        </w:rPr>
        <w:t>p</w:t>
      </w:r>
      <w:r w:rsidRPr="00C500C3">
        <w:rPr>
          <w:rFonts w:ascii="Arial" w:hAnsi="Arial" w:cs="Arial"/>
        </w:rPr>
        <w:t xml:space="preserve">=0.72). At 6 weeks post-intervention, the experimental group showed significantly greater improvement (61.0±20.1) compared to the control group (52.0±19.4; </w:t>
      </w:r>
      <w:r w:rsidRPr="0037287F">
        <w:rPr>
          <w:rFonts w:ascii="Arial" w:hAnsi="Arial" w:cs="Arial"/>
          <w:i/>
        </w:rPr>
        <w:t>p</w:t>
      </w:r>
      <w:r w:rsidRPr="00C500C3">
        <w:rPr>
          <w:rFonts w:ascii="Arial" w:hAnsi="Arial" w:cs="Arial"/>
        </w:rPr>
        <w:t xml:space="preserve">=0.037, Cohen's d=0.46). This difference was more pronounced at 12-week follow-up (experimental: 67.3±21.2; control: 55.1±20.8; </w:t>
      </w:r>
      <w:r w:rsidRPr="0037287F">
        <w:rPr>
          <w:rFonts w:ascii="Arial" w:hAnsi="Arial" w:cs="Arial"/>
          <w:i/>
        </w:rPr>
        <w:t>p</w:t>
      </w:r>
      <w:r w:rsidRPr="00C500C3">
        <w:rPr>
          <w:rFonts w:ascii="Arial" w:hAnsi="Arial" w:cs="Arial"/>
        </w:rPr>
        <w:t>=0.009, Cohen's d=0.58).</w:t>
      </w:r>
    </w:p>
    <w:p w14:paraId="374C0C8E"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 xml:space="preserve">Within-group analysis revealed significant improvements from baseline in both groups at all time points (all </w:t>
      </w:r>
      <w:r w:rsidRPr="0037287F">
        <w:rPr>
          <w:rFonts w:ascii="Arial" w:hAnsi="Arial" w:cs="Arial"/>
          <w:i/>
        </w:rPr>
        <w:t>p</w:t>
      </w:r>
      <w:r w:rsidRPr="00C500C3">
        <w:rPr>
          <w:rFonts w:ascii="Arial" w:hAnsi="Arial" w:cs="Arial"/>
        </w:rPr>
        <w:t>&lt;0.001). However, the experimental group demonstrated larger effect sizes for improvement (baseline to 12 weeks: d=1.24 vs. d=0.68 for control group).</w:t>
      </w:r>
    </w:p>
    <w:p w14:paraId="7B8A661E"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4.3 Secondary Outcomes</w:t>
      </w:r>
    </w:p>
    <w:p w14:paraId="077C987E"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4.3.1 Functional Independence Measure (FIM) Motor Subscale</w:t>
      </w:r>
    </w:p>
    <w:p w14:paraId="51F2DC89"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 xml:space="preserve">Similar patterns were observed for FIM motor scores (Table 3). The experimental group showed significantly greater improvements at 6 weeks (67.2±15.8 vs. 58.9±14.2; </w:t>
      </w:r>
      <w:r w:rsidRPr="0037287F">
        <w:rPr>
          <w:rFonts w:ascii="Arial" w:hAnsi="Arial" w:cs="Arial"/>
          <w:i/>
        </w:rPr>
        <w:t>p</w:t>
      </w:r>
      <w:r w:rsidRPr="00C500C3">
        <w:rPr>
          <w:rFonts w:ascii="Arial" w:hAnsi="Arial" w:cs="Arial"/>
        </w:rPr>
        <w:t xml:space="preserve">=0.012, Cohen's d=0.56) and 12 weeks (72.1±16.4 vs. 62.3±15.7; </w:t>
      </w:r>
      <w:r w:rsidRPr="0037287F">
        <w:rPr>
          <w:rFonts w:ascii="Arial" w:hAnsi="Arial" w:cs="Arial"/>
          <w:i/>
        </w:rPr>
        <w:t>p</w:t>
      </w:r>
      <w:r w:rsidRPr="00C500C3">
        <w:rPr>
          <w:rFonts w:ascii="Arial" w:hAnsi="Arial" w:cs="Arial"/>
        </w:rPr>
        <w:t>=0.006, Cohen's d=0.61) compared to the control group.</w:t>
      </w:r>
    </w:p>
    <w:p w14:paraId="6D034789"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lastRenderedPageBreak/>
        <w:t>4.3.2 Canadian Occupational Performance Measure (COPM)</w:t>
      </w:r>
    </w:p>
    <w:p w14:paraId="31DC55D2"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COPM performance scores showed significant between-group differences favoring the experimental group at both post-intervention time points (Table 4). At 12 weeks, the experimental group scored 6.8±1.9 compared to 5.2±1.7 in the control group (</w:t>
      </w:r>
      <w:r w:rsidRPr="0037287F">
        <w:rPr>
          <w:rFonts w:ascii="Arial" w:hAnsi="Arial" w:cs="Arial"/>
          <w:i/>
        </w:rPr>
        <w:t>p</w:t>
      </w:r>
      <w:r w:rsidRPr="00C500C3">
        <w:rPr>
          <w:rFonts w:ascii="Arial" w:hAnsi="Arial" w:cs="Arial"/>
        </w:rPr>
        <w:t>&lt;0.001, Cohen's d=0.89).</w:t>
      </w:r>
    </w:p>
    <w:p w14:paraId="6CD52749"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 xml:space="preserve">COPM satisfaction scores followed a similar pattern, with the experimental group showing greater improvements at 6 weeks (6.1±1.8 vs. 4.9±1.6; </w:t>
      </w:r>
      <w:r w:rsidRPr="0037287F">
        <w:rPr>
          <w:rFonts w:ascii="Arial" w:hAnsi="Arial" w:cs="Arial"/>
          <w:i/>
        </w:rPr>
        <w:t>p</w:t>
      </w:r>
      <w:r w:rsidRPr="00C500C3">
        <w:rPr>
          <w:rFonts w:ascii="Arial" w:hAnsi="Arial" w:cs="Arial"/>
        </w:rPr>
        <w:t xml:space="preserve">=0.002) and 12 weeks (7.2±1.8 vs. 5.7±1.9; </w:t>
      </w:r>
      <w:r w:rsidRPr="0037287F">
        <w:rPr>
          <w:rFonts w:ascii="Arial" w:hAnsi="Arial" w:cs="Arial"/>
          <w:i/>
        </w:rPr>
        <w:t>p</w:t>
      </w:r>
      <w:r w:rsidRPr="00C500C3">
        <w:rPr>
          <w:rFonts w:ascii="Arial" w:hAnsi="Arial" w:cs="Arial"/>
        </w:rPr>
        <w:t>&lt;0.001).</w:t>
      </w:r>
    </w:p>
    <w:p w14:paraId="48511F18"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4.4 Adverse Events</w:t>
      </w:r>
    </w:p>
    <w:p w14:paraId="6B22B40F"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No serious adverse events related to the interventions were reported. Minor adverse events included temporary skin redness at electrode sites in 8 participants (19%) in the experimental group, which resolved within 24 hours. Two participants in the control group reported temporary muscle soreness during conventional exercises.</w:t>
      </w:r>
    </w:p>
    <w:p w14:paraId="2D628336"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5. Discussion</w:t>
      </w:r>
    </w:p>
    <w:p w14:paraId="3750677D"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This randomized controlled trial demonstrated that FES combined with motor relearning programs significantly improves ADL performance in patients with upper limb impairment following ischemic stroke compared to conventional physiotherapy alone. The combined intervention showed superior effects across all outcome measures, with improvements maintained at 12-week follow-up.</w:t>
      </w:r>
    </w:p>
    <w:p w14:paraId="229EFB15"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5.1 Primary Findings</w:t>
      </w:r>
    </w:p>
    <w:p w14:paraId="481311D8"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The 15.8-point improvement in Barthel Index scores in the experimental group compared to 8.2 points in the control group represents a clinically meaningful difference. Previous research has established that a 4-point change in BI represents a minimal clinically important difference (Hsieh et al., 2007), suggesting that our findings have practical significance for patients' daily functioning.</w:t>
      </w:r>
    </w:p>
    <w:p w14:paraId="1EA074AC"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The sustained improvements at 12-week follow-up are particularly noteworthy, as they suggest that the combined intervention may promote lasting neuroplastic changes rather than temporary effects. This finding aligns with motor learning principles, which suggest that intensive, task-specific practice can lead to permanent changes in motor skill acquisition (Schmidt &amp; Lee, 2019).</w:t>
      </w:r>
    </w:p>
    <w:p w14:paraId="0CA89EDD"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5.2 Mechanisms of Action</w:t>
      </w:r>
    </w:p>
    <w:p w14:paraId="3BE3367D"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The superior outcomes observed with the combined intervention may be attributed to several mechanisms. FES provides sensory feedback and facilitates muscle activation, potentially enhancing the motor relearning process through increased sensorimotor integration (Rushton, 2003). The electrical stimulation may also promote neuroplasticity by increasing cortical excitability and facilitating use-dependent plasticity (</w:t>
      </w:r>
      <w:proofErr w:type="spellStart"/>
      <w:r w:rsidRPr="00C500C3">
        <w:rPr>
          <w:rFonts w:ascii="Arial" w:hAnsi="Arial" w:cs="Arial"/>
        </w:rPr>
        <w:t>Hummelsheim</w:t>
      </w:r>
      <w:proofErr w:type="spellEnd"/>
      <w:r w:rsidRPr="00C500C3">
        <w:rPr>
          <w:rFonts w:ascii="Arial" w:hAnsi="Arial" w:cs="Arial"/>
        </w:rPr>
        <w:t xml:space="preserve"> et al., 1997).</w:t>
      </w:r>
    </w:p>
    <w:p w14:paraId="16AE27B7"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 xml:space="preserve">Motor relearning programs emphasize task-specific practice and progressive skill acquisition, which are fundamental to motor recovery post-stroke (Krakauer, 2006). The </w:t>
      </w:r>
      <w:r w:rsidRPr="00C500C3">
        <w:rPr>
          <w:rFonts w:ascii="Arial" w:hAnsi="Arial" w:cs="Arial"/>
        </w:rPr>
        <w:lastRenderedPageBreak/>
        <w:t>combination of FES with motor relearning may create an optimal environment for neuroplastic changes by providing both afferent stimulation and efferent motor practice.</w:t>
      </w:r>
    </w:p>
    <w:p w14:paraId="323643D7"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5.3 Comparison with Previous Studies</w:t>
      </w:r>
    </w:p>
    <w:p w14:paraId="66D556F6"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 xml:space="preserve">Our findings are consistent with previous research demonstrating the benefits of FES for upper limb recovery post-stroke. Chae et al. (2009) reported similar improvements in functional outcomes with FES intervention, though their study did not specifically examine ADL performance. A systematic review by </w:t>
      </w:r>
      <w:proofErr w:type="spellStart"/>
      <w:r w:rsidRPr="00C500C3">
        <w:rPr>
          <w:rFonts w:ascii="Arial" w:hAnsi="Arial" w:cs="Arial"/>
        </w:rPr>
        <w:t>Eraifej</w:t>
      </w:r>
      <w:proofErr w:type="spellEnd"/>
      <w:r w:rsidRPr="00C500C3">
        <w:rPr>
          <w:rFonts w:ascii="Arial" w:hAnsi="Arial" w:cs="Arial"/>
        </w:rPr>
        <w:t xml:space="preserve"> et al. (2017) found moderate evidence for FES effectiveness but noted the need for standardized outcome measures and intervention protocols.</w:t>
      </w:r>
    </w:p>
    <w:p w14:paraId="2175FCA0"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The motor relearning component of our intervention aligns with evidence supporting task-specific training for stroke recovery. French et al. (2016) demonstrated that repetitive task training improved upper limb function, though the magnitude of improvement in our study was greater, possibly due to the synergistic effects of combining FES with motor relearning.</w:t>
      </w:r>
    </w:p>
    <w:p w14:paraId="4669571F"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5.4 Clinical Implications</w:t>
      </w:r>
    </w:p>
    <w:p w14:paraId="524027A9"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The results of this study have important implications for stroke rehabilitation practice. The combined FES and motor relearning approach offers a feasible intervention that can be implemented in clinical settings with appropriate training and equipment. The significant improvements in ADL performance suggest that this intervention could reduce dependency and improve quality of life for stroke survivors.</w:t>
      </w:r>
    </w:p>
    <w:p w14:paraId="023E71B7"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The patient-centered outcomes measured by COPM demonstrate that improvements were not only statistically significant but also meaningful to patients in their daily lives. This is crucial for rehabilitation interventions, as patient-perceived improvements are essential for motivation and long-term adherence to treatment programs.</w:t>
      </w:r>
    </w:p>
    <w:p w14:paraId="309D1B80"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5.5 Limitations</w:t>
      </w:r>
    </w:p>
    <w:p w14:paraId="1634C2D0"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Several limitations should be acknowledged. First, the inability to blind participants and treating therapists may have introduced performance bias, though the use of blinded outcome assessors minimized detection bias. Second, the study population was limited to patients with mild to moderate impairment (BI 20-80), and results may not generalize to patients with more severe deficits.</w:t>
      </w:r>
    </w:p>
    <w:p w14:paraId="012270B8"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Third, the intervention was delivered in a controlled research environment with dedicated equipment and trained personnel, which may not reflect real-world clinical practice. The cost-effectiveness of the intervention was not evaluated, which is important for healthcare decision-making.</w:t>
      </w:r>
    </w:p>
    <w:p w14:paraId="214AFD71"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Fourth, while the 12-week follow-up provides insight into short-term maintenance of effects, longer-term follow-up would be valuable to assess the durability of improvements. Finally, the study did not include measures of cortical changes or biomarkers that could provide insight into the underlying mechanisms of recovery.</w:t>
      </w:r>
    </w:p>
    <w:p w14:paraId="54E98D2D"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5.6 Future Research Directions</w:t>
      </w:r>
    </w:p>
    <w:p w14:paraId="1ED9D460"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lastRenderedPageBreak/>
        <w:t>Future research should investigate the optimal parameters for FES (frequency, intensity, duration) and the most effective components of motor relearning programs. Studies examining the intervention in patients with different severity levels and stroke characteristics would enhance generalizability.</w:t>
      </w:r>
    </w:p>
    <w:p w14:paraId="25B51A94"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Investigation of the underlying neurophysiological mechanisms through neuroimaging or electrophysiological measures would provide valuable insights into how the combined intervention promotes recovery. Additionally, economic evaluations and implementation studies are needed to facilitate translation into clinical practice.</w:t>
      </w:r>
    </w:p>
    <w:p w14:paraId="2FC95FFB"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Long-term follow-up studies (6-12 months) would provide important information about the sustainability of improvements and the need for maintenance interventions. Finally, research comparing different combinations of interventions could help optimize treatment protocols for individual patients.</w:t>
      </w:r>
    </w:p>
    <w:p w14:paraId="5B73ED35"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5.7 Clinical Recommendations</w:t>
      </w:r>
    </w:p>
    <w:p w14:paraId="095FFFF8"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Based on these findings, clinicians should consider incorporating FES combined with motor relearning programs into rehabilitation protocols for stroke patients with upper limb impairment. The intervention appears most suitable for patients with mild to moderate impairment who can participate in active motor relearning exercises.</w:t>
      </w:r>
    </w:p>
    <w:p w14:paraId="42EB8E48"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Implementation should include proper training of rehabilitation professionals in FES application and motor relearning principles. Regular monitoring of progress using standardized outcome measures is recommended to adjust treatment intensity and focus areas based on individual response.</w:t>
      </w:r>
    </w:p>
    <w:p w14:paraId="61BE3B0B"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Patient education about the intervention and realistic goal setting are important for maximizing engagement and adherence. The patient-centered approach demonstrated by COPM improvements suggests that involving patients in identifying priority areas for improvement enhances intervention effectiveness.</w:t>
      </w:r>
    </w:p>
    <w:p w14:paraId="59EBFB7F"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6. Conclusion</w:t>
      </w:r>
    </w:p>
    <w:p w14:paraId="4D1C238F"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This randomized controlled trial provides strong evidence that FES combined with motor relearning programs significantly improves ADL performance in patients with upper limb impairment following ischemic stroke. The intervention demonstrated superior effectiveness compared to conventional physiotherapy alone, with improvements maintained at 12-week follow-up.</w:t>
      </w:r>
    </w:p>
    <w:p w14:paraId="4B8CF86B"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The combined approach addresses both motor output through electrical stimulation and motor learning through task-specific practice, potentially optimizing neuroplastic recovery mechanisms. The clinically meaningful improvements in ADL performance, as measured by standardized assessments and patient-perceived outcomes, support the integration of this intervention into stroke rehabilitation protocols.</w:t>
      </w:r>
    </w:p>
    <w:p w14:paraId="7A23080B"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The findings contribute to the growing evidence base for combining therapeutic modalities to enhance stroke recovery outcomes. Future research should focus on optimizing intervention parameters, investigating underlying mechanisms, and evaluating long-term effects to further refine this promising rehabilitation approach.</w:t>
      </w:r>
    </w:p>
    <w:p w14:paraId="2CF892C5" w14:textId="77777777" w:rsidR="00C500C3" w:rsidRDefault="00C500C3" w:rsidP="00C500C3">
      <w:pPr>
        <w:spacing w:before="100" w:beforeAutospacing="1" w:after="100" w:afterAutospacing="1"/>
        <w:jc w:val="both"/>
        <w:rPr>
          <w:rFonts w:ascii="Arial" w:hAnsi="Arial" w:cs="Arial"/>
        </w:rPr>
      </w:pPr>
      <w:r w:rsidRPr="00C500C3">
        <w:rPr>
          <w:rFonts w:ascii="Arial" w:hAnsi="Arial" w:cs="Arial"/>
        </w:rPr>
        <w:lastRenderedPageBreak/>
        <w:t>Healthcare providers should consider implementing FES combined with motor relearning programs as an evidence-based intervention for improving functional independence in stroke survivors, while ensuring appropriate training and resources for safe and effective delivery.</w:t>
      </w:r>
    </w:p>
    <w:p w14:paraId="5723644F" w14:textId="77777777" w:rsidR="00351535" w:rsidRDefault="00351535" w:rsidP="00351535">
      <w:pPr>
        <w:rPr>
          <w:rFonts w:ascii="Arial" w:hAnsi="Arial" w:cs="Arial"/>
        </w:rPr>
      </w:pPr>
      <w:r w:rsidRPr="00351535">
        <w:rPr>
          <w:rFonts w:ascii="Arial" w:hAnsi="Arial" w:cs="Arial"/>
          <w:b/>
        </w:rPr>
        <w:t>ACKNOWLEDGMENTS</w:t>
      </w:r>
      <w:r w:rsidRPr="00351535">
        <w:rPr>
          <w:rFonts w:ascii="Arial" w:hAnsi="Arial" w:cs="Arial"/>
        </w:rPr>
        <w:t>:</w:t>
      </w:r>
    </w:p>
    <w:p w14:paraId="03CC1540" w14:textId="77777777" w:rsidR="00351535" w:rsidRPr="00351535" w:rsidRDefault="00351535" w:rsidP="00351535">
      <w:pPr>
        <w:rPr>
          <w:rFonts w:ascii="Arial" w:hAnsi="Arial" w:cs="Arial"/>
        </w:rPr>
      </w:pPr>
      <w:r w:rsidRPr="00351535">
        <w:rPr>
          <w:rFonts w:ascii="Arial" w:hAnsi="Arial" w:cs="Arial"/>
        </w:rPr>
        <w:t>The authors express gratitude to participants and staff engaged in this study.</w:t>
      </w:r>
    </w:p>
    <w:p w14:paraId="4757F6F7" w14:textId="77777777" w:rsidR="00351535" w:rsidRPr="00351535" w:rsidRDefault="00351535" w:rsidP="00351535">
      <w:pPr>
        <w:rPr>
          <w:rFonts w:ascii="Arial" w:hAnsi="Arial" w:cs="Arial"/>
        </w:rPr>
      </w:pPr>
      <w:r w:rsidRPr="00351535">
        <w:rPr>
          <w:rFonts w:ascii="Arial" w:hAnsi="Arial" w:cs="Arial"/>
        </w:rPr>
        <w:t>Conflict of Interest: The authors declare no conflict of interest.</w:t>
      </w:r>
    </w:p>
    <w:p w14:paraId="14AA3CD9" w14:textId="77777777" w:rsidR="00351535" w:rsidRPr="00351535" w:rsidRDefault="00351535" w:rsidP="00351535">
      <w:pPr>
        <w:pStyle w:val="NoSpacing"/>
        <w:jc w:val="both"/>
        <w:rPr>
          <w:rFonts w:ascii="Arial" w:eastAsia="Times New Roman" w:hAnsi="Arial" w:cs="Arial"/>
          <w:sz w:val="20"/>
          <w:szCs w:val="20"/>
          <w:lang w:val="en-US"/>
        </w:rPr>
      </w:pPr>
      <w:r w:rsidRPr="00351535">
        <w:rPr>
          <w:rFonts w:ascii="Arial" w:eastAsia="Times New Roman" w:hAnsi="Arial" w:cs="Arial"/>
          <w:sz w:val="20"/>
          <w:szCs w:val="20"/>
          <w:lang w:val="en-US"/>
        </w:rPr>
        <w:t>Funding: No external funding was received.</w:t>
      </w:r>
    </w:p>
    <w:p w14:paraId="61ECFF83" w14:textId="77777777" w:rsidR="00351535" w:rsidRPr="00351535" w:rsidRDefault="00351535" w:rsidP="00351535">
      <w:pPr>
        <w:pStyle w:val="NoSpacing"/>
        <w:jc w:val="both"/>
        <w:rPr>
          <w:rFonts w:ascii="Arial" w:eastAsia="Times New Roman" w:hAnsi="Arial" w:cs="Arial"/>
          <w:sz w:val="20"/>
          <w:szCs w:val="20"/>
          <w:lang w:val="en-US"/>
        </w:rPr>
      </w:pPr>
    </w:p>
    <w:p w14:paraId="5C1324A6" w14:textId="77777777" w:rsidR="00351535" w:rsidRPr="00351535" w:rsidRDefault="00351535" w:rsidP="00351535">
      <w:pPr>
        <w:pStyle w:val="NoSpacing"/>
        <w:jc w:val="both"/>
        <w:rPr>
          <w:rFonts w:ascii="Arial" w:eastAsia="Times New Roman" w:hAnsi="Arial" w:cs="Arial"/>
          <w:sz w:val="20"/>
          <w:szCs w:val="20"/>
          <w:lang w:val="en-US"/>
        </w:rPr>
      </w:pPr>
      <w:r w:rsidRPr="00351535">
        <w:rPr>
          <w:rFonts w:ascii="Arial" w:eastAsia="Times New Roman" w:hAnsi="Arial" w:cs="Arial"/>
          <w:sz w:val="20"/>
          <w:szCs w:val="20"/>
          <w:lang w:val="en-US"/>
        </w:rPr>
        <w:t>Declaration by Authors</w:t>
      </w:r>
    </w:p>
    <w:p w14:paraId="6571C8E6" w14:textId="77777777" w:rsidR="00351535" w:rsidRPr="00351535" w:rsidRDefault="00351535" w:rsidP="00351535">
      <w:pPr>
        <w:pStyle w:val="NoSpacing"/>
        <w:jc w:val="both"/>
        <w:rPr>
          <w:rFonts w:ascii="Arial" w:eastAsia="Times New Roman" w:hAnsi="Arial" w:cs="Arial"/>
          <w:sz w:val="20"/>
          <w:szCs w:val="20"/>
          <w:lang w:val="en-US"/>
        </w:rPr>
      </w:pPr>
      <w:r w:rsidRPr="00351535">
        <w:rPr>
          <w:rFonts w:ascii="Arial" w:eastAsia="Times New Roman" w:hAnsi="Arial" w:cs="Arial"/>
          <w:sz w:val="20"/>
          <w:szCs w:val="20"/>
          <w:lang w:val="en-US"/>
        </w:rPr>
        <w:t>Ethical Approval: Approved</w:t>
      </w:r>
    </w:p>
    <w:p w14:paraId="5934FC2A" w14:textId="77777777" w:rsidR="00351535" w:rsidRPr="00351535" w:rsidRDefault="00351535" w:rsidP="00351535">
      <w:pPr>
        <w:pStyle w:val="NoSpacing"/>
        <w:jc w:val="both"/>
        <w:rPr>
          <w:rFonts w:ascii="Arial" w:eastAsia="Times New Roman" w:hAnsi="Arial" w:cs="Arial"/>
          <w:sz w:val="20"/>
          <w:szCs w:val="20"/>
          <w:lang w:val="en-US"/>
        </w:rPr>
      </w:pPr>
      <w:r w:rsidRPr="00351535">
        <w:rPr>
          <w:rFonts w:ascii="Arial" w:eastAsia="Times New Roman" w:hAnsi="Arial" w:cs="Arial"/>
          <w:sz w:val="20"/>
          <w:szCs w:val="20"/>
          <w:lang w:val="en-US"/>
        </w:rPr>
        <w:t>Source of Funding: None</w:t>
      </w:r>
    </w:p>
    <w:p w14:paraId="60BAC494" w14:textId="77777777" w:rsidR="00351535" w:rsidRPr="00351535" w:rsidRDefault="00351535" w:rsidP="00351535">
      <w:pPr>
        <w:pStyle w:val="NoSpacing"/>
        <w:jc w:val="both"/>
        <w:rPr>
          <w:rFonts w:ascii="Arial" w:eastAsia="Times New Roman" w:hAnsi="Arial" w:cs="Arial"/>
          <w:sz w:val="20"/>
          <w:szCs w:val="20"/>
          <w:lang w:val="en-US"/>
        </w:rPr>
      </w:pPr>
      <w:r w:rsidRPr="00351535">
        <w:rPr>
          <w:rFonts w:ascii="Arial" w:eastAsia="Times New Roman" w:hAnsi="Arial" w:cs="Arial"/>
          <w:sz w:val="20"/>
          <w:szCs w:val="20"/>
          <w:lang w:val="en-US"/>
        </w:rPr>
        <w:t>Conflict of Interest: No conflict of interest by authors.</w:t>
      </w:r>
    </w:p>
    <w:p w14:paraId="78143C20" w14:textId="77777777" w:rsidR="00351535" w:rsidRPr="00351535" w:rsidRDefault="00351535" w:rsidP="00351535">
      <w:pPr>
        <w:pStyle w:val="NoSpacing"/>
        <w:jc w:val="both"/>
        <w:rPr>
          <w:rFonts w:ascii="Arial" w:eastAsia="Times New Roman" w:hAnsi="Arial" w:cs="Arial"/>
          <w:sz w:val="20"/>
          <w:szCs w:val="20"/>
          <w:lang w:val="en-US"/>
        </w:rPr>
      </w:pPr>
    </w:p>
    <w:p w14:paraId="3B539A13" w14:textId="77777777" w:rsidR="00351535" w:rsidRDefault="00351535" w:rsidP="00351535">
      <w:pPr>
        <w:pStyle w:val="NoSpacing"/>
        <w:jc w:val="both"/>
        <w:rPr>
          <w:rFonts w:ascii="Arial" w:hAnsi="Arial" w:cs="Arial"/>
          <w:b/>
          <w:caps/>
          <w:sz w:val="20"/>
        </w:rPr>
      </w:pPr>
      <w:r w:rsidRPr="00351535">
        <w:rPr>
          <w:rFonts w:ascii="Arial" w:eastAsia="Times New Roman" w:hAnsi="Arial" w:cs="Arial"/>
          <w:sz w:val="20"/>
          <w:szCs w:val="20"/>
          <w:lang w:val="en-US"/>
        </w:rPr>
        <w:t>Authors have declared that no competing interests exist.”.</w:t>
      </w:r>
    </w:p>
    <w:p w14:paraId="114AADE3" w14:textId="77777777" w:rsidR="00351535" w:rsidRPr="00351535" w:rsidRDefault="00351535" w:rsidP="00351535">
      <w:pPr>
        <w:pStyle w:val="ReferHead"/>
        <w:spacing w:after="0"/>
        <w:jc w:val="both"/>
        <w:rPr>
          <w:rFonts w:ascii="Arial" w:hAnsi="Arial" w:cs="Arial"/>
          <w:b w:val="0"/>
          <w:caps w:val="0"/>
          <w:sz w:val="20"/>
        </w:rPr>
      </w:pPr>
      <w:r w:rsidRPr="00351535">
        <w:rPr>
          <w:rFonts w:ascii="Arial" w:hAnsi="Arial" w:cs="Arial"/>
          <w:b w:val="0"/>
          <w:caps w:val="0"/>
          <w:sz w:val="20"/>
        </w:rPr>
        <w:t>Authors’ Contributions</w:t>
      </w:r>
    </w:p>
    <w:p w14:paraId="78FD8EEA" w14:textId="77777777" w:rsidR="00351535" w:rsidRPr="00351535" w:rsidRDefault="00351535" w:rsidP="00351535">
      <w:pPr>
        <w:pStyle w:val="ReferHead"/>
        <w:spacing w:after="0"/>
        <w:jc w:val="both"/>
        <w:rPr>
          <w:rFonts w:ascii="Arial" w:hAnsi="Arial" w:cs="Arial"/>
          <w:b w:val="0"/>
          <w:caps w:val="0"/>
          <w:sz w:val="20"/>
        </w:rPr>
      </w:pPr>
    </w:p>
    <w:p w14:paraId="3260A2B7" w14:textId="77777777" w:rsidR="00351535" w:rsidRPr="00351535" w:rsidRDefault="00351535" w:rsidP="00351535">
      <w:pPr>
        <w:pStyle w:val="ReferHead"/>
        <w:spacing w:after="0"/>
        <w:jc w:val="both"/>
        <w:rPr>
          <w:rFonts w:ascii="Arial" w:hAnsi="Arial" w:cs="Arial"/>
          <w:b w:val="0"/>
          <w:caps w:val="0"/>
          <w:sz w:val="20"/>
        </w:rPr>
      </w:pPr>
      <w:proofErr w:type="gramStart"/>
      <w:r w:rsidRPr="00351535">
        <w:rPr>
          <w:rFonts w:ascii="Arial" w:hAnsi="Arial" w:cs="Arial"/>
          <w:b w:val="0"/>
          <w:caps w:val="0"/>
          <w:sz w:val="20"/>
        </w:rPr>
        <w:t>“ ‘</w:t>
      </w:r>
      <w:proofErr w:type="gramEnd"/>
      <w:r w:rsidRPr="00351535">
        <w:rPr>
          <w:rFonts w:ascii="Arial" w:hAnsi="Arial" w:cs="Arial"/>
          <w:b w:val="0"/>
          <w:caps w:val="0"/>
          <w:sz w:val="20"/>
        </w:rPr>
        <w:t xml:space="preserve">Venugopal Pawar (Author A)’ designed the study, performed the statistical analysis, wrote the protocol, and wrote the first draft of the manuscript. </w:t>
      </w:r>
      <w:proofErr w:type="gramStart"/>
      <w:r w:rsidRPr="00351535">
        <w:rPr>
          <w:rFonts w:ascii="Arial" w:hAnsi="Arial" w:cs="Arial"/>
          <w:b w:val="0"/>
          <w:caps w:val="0"/>
          <w:sz w:val="20"/>
        </w:rPr>
        <w:t>‘ Rakesh</w:t>
      </w:r>
      <w:proofErr w:type="gramEnd"/>
      <w:r>
        <w:rPr>
          <w:rFonts w:ascii="Arial" w:hAnsi="Arial" w:cs="Arial"/>
          <w:b w:val="0"/>
          <w:caps w:val="0"/>
          <w:sz w:val="20"/>
        </w:rPr>
        <w:t xml:space="preserve"> </w:t>
      </w:r>
      <w:proofErr w:type="spellStart"/>
      <w:r w:rsidRPr="00351535">
        <w:rPr>
          <w:rFonts w:ascii="Arial" w:hAnsi="Arial" w:cs="Arial"/>
          <w:b w:val="0"/>
          <w:caps w:val="0"/>
          <w:sz w:val="20"/>
        </w:rPr>
        <w:t>kumar</w:t>
      </w:r>
      <w:proofErr w:type="spellEnd"/>
      <w:r>
        <w:rPr>
          <w:rFonts w:ascii="Arial" w:hAnsi="Arial" w:cs="Arial"/>
          <w:b w:val="0"/>
          <w:caps w:val="0"/>
          <w:sz w:val="20"/>
        </w:rPr>
        <w:t xml:space="preserve"> </w:t>
      </w:r>
      <w:proofErr w:type="spellStart"/>
      <w:r w:rsidRPr="00351535">
        <w:rPr>
          <w:rFonts w:ascii="Arial" w:hAnsi="Arial" w:cs="Arial"/>
          <w:b w:val="0"/>
          <w:caps w:val="0"/>
          <w:sz w:val="20"/>
        </w:rPr>
        <w:t>singh</w:t>
      </w:r>
      <w:proofErr w:type="spellEnd"/>
      <w:r w:rsidRPr="00351535">
        <w:rPr>
          <w:rFonts w:ascii="Arial" w:hAnsi="Arial" w:cs="Arial"/>
          <w:b w:val="0"/>
          <w:caps w:val="0"/>
          <w:sz w:val="20"/>
        </w:rPr>
        <w:t xml:space="preserve"> (Author B) guided the manuscript’ and ‘</w:t>
      </w:r>
      <w:r>
        <w:rPr>
          <w:rFonts w:ascii="Arial" w:hAnsi="Arial" w:cs="Arial"/>
          <w:b w:val="0"/>
          <w:caps w:val="0"/>
          <w:sz w:val="20"/>
        </w:rPr>
        <w:t xml:space="preserve">Shailendra </w:t>
      </w:r>
      <w:proofErr w:type="spellStart"/>
      <w:r>
        <w:rPr>
          <w:rFonts w:ascii="Arial" w:hAnsi="Arial" w:cs="Arial"/>
          <w:b w:val="0"/>
          <w:caps w:val="0"/>
          <w:sz w:val="20"/>
        </w:rPr>
        <w:t>mehta</w:t>
      </w:r>
      <w:proofErr w:type="spellEnd"/>
      <w:r w:rsidRPr="00351535">
        <w:rPr>
          <w:rFonts w:ascii="Arial" w:hAnsi="Arial" w:cs="Arial"/>
          <w:b w:val="0"/>
          <w:caps w:val="0"/>
          <w:sz w:val="20"/>
        </w:rPr>
        <w:t xml:space="preserve"> (Author C)’ managed the analyses of the study. ‘Author A’ managed the literature searches All authors read and approved the final manuscript.”</w:t>
      </w:r>
    </w:p>
    <w:p w14:paraId="404F1C20" w14:textId="77777777" w:rsidR="00351535" w:rsidRPr="00351535" w:rsidRDefault="00351535" w:rsidP="00351535">
      <w:pPr>
        <w:pStyle w:val="ReferHead"/>
        <w:spacing w:after="0"/>
        <w:jc w:val="both"/>
        <w:rPr>
          <w:rFonts w:ascii="Arial" w:hAnsi="Arial" w:cs="Arial"/>
          <w:b w:val="0"/>
          <w:caps w:val="0"/>
          <w:sz w:val="20"/>
        </w:rPr>
      </w:pPr>
    </w:p>
    <w:p w14:paraId="35F6C2B4" w14:textId="77777777" w:rsidR="00351535" w:rsidRPr="00351535" w:rsidRDefault="00351535" w:rsidP="00351535">
      <w:pPr>
        <w:pStyle w:val="ReferHead"/>
        <w:spacing w:after="0"/>
        <w:jc w:val="both"/>
        <w:rPr>
          <w:rFonts w:ascii="Arial" w:hAnsi="Arial" w:cs="Arial"/>
          <w:b w:val="0"/>
          <w:caps w:val="0"/>
          <w:sz w:val="20"/>
        </w:rPr>
      </w:pPr>
      <w:r w:rsidRPr="00351535">
        <w:rPr>
          <w:rFonts w:ascii="Arial" w:hAnsi="Arial" w:cs="Arial"/>
          <w:b w:val="0"/>
          <w:caps w:val="0"/>
          <w:sz w:val="20"/>
        </w:rPr>
        <w:t xml:space="preserve">"All authors declare that ‘written informed consent was obtained from the </w:t>
      </w:r>
      <w:proofErr w:type="gramStart"/>
      <w:r w:rsidRPr="00351535">
        <w:rPr>
          <w:rFonts w:ascii="Arial" w:hAnsi="Arial" w:cs="Arial"/>
          <w:b w:val="0"/>
          <w:caps w:val="0"/>
          <w:sz w:val="20"/>
        </w:rPr>
        <w:t>patient  for</w:t>
      </w:r>
      <w:proofErr w:type="gramEnd"/>
      <w:r w:rsidRPr="00351535">
        <w:rPr>
          <w:rFonts w:ascii="Arial" w:hAnsi="Arial" w:cs="Arial"/>
          <w:b w:val="0"/>
          <w:caps w:val="0"/>
          <w:sz w:val="20"/>
        </w:rPr>
        <w:t xml:space="preserve"> publication of this case report and accompanying images. A copy of the written consent is available for review by the Editorial office/Chief Editor/Editorial Board members of this journal."</w:t>
      </w:r>
    </w:p>
    <w:p w14:paraId="56984D61" w14:textId="77777777" w:rsidR="00351535" w:rsidRPr="00351535" w:rsidRDefault="00351535" w:rsidP="00351535">
      <w:pPr>
        <w:pStyle w:val="ReferHead"/>
        <w:spacing w:after="0"/>
        <w:jc w:val="both"/>
        <w:rPr>
          <w:rFonts w:ascii="Arial" w:hAnsi="Arial" w:cs="Arial"/>
          <w:b w:val="0"/>
          <w:caps w:val="0"/>
          <w:sz w:val="20"/>
        </w:rPr>
      </w:pPr>
    </w:p>
    <w:p w14:paraId="2BDD61D9" w14:textId="77777777" w:rsidR="00351535" w:rsidRPr="00351535" w:rsidRDefault="00351535" w:rsidP="00351535">
      <w:pPr>
        <w:pStyle w:val="ReferHead"/>
        <w:spacing w:after="0"/>
        <w:jc w:val="both"/>
        <w:rPr>
          <w:rFonts w:ascii="Arial" w:hAnsi="Arial" w:cs="Arial"/>
          <w:b w:val="0"/>
          <w:caps w:val="0"/>
          <w:sz w:val="20"/>
        </w:rPr>
      </w:pPr>
      <w:r w:rsidRPr="00351535">
        <w:rPr>
          <w:rFonts w:ascii="Arial" w:hAnsi="Arial" w:cs="Arial"/>
          <w:b w:val="0"/>
          <w:caps w:val="0"/>
          <w:sz w:val="20"/>
        </w:rPr>
        <w:t>Ethical approval</w:t>
      </w:r>
    </w:p>
    <w:p w14:paraId="66FF92FA" w14:textId="77777777" w:rsidR="00351535" w:rsidRPr="00351535" w:rsidRDefault="00351535" w:rsidP="00351535">
      <w:pPr>
        <w:pStyle w:val="ReferHead"/>
        <w:spacing w:after="0"/>
        <w:jc w:val="both"/>
        <w:rPr>
          <w:rFonts w:ascii="Arial" w:hAnsi="Arial" w:cs="Arial"/>
          <w:b w:val="0"/>
          <w:caps w:val="0"/>
          <w:sz w:val="20"/>
        </w:rPr>
      </w:pPr>
    </w:p>
    <w:p w14:paraId="75B67628" w14:textId="77777777" w:rsidR="00351535" w:rsidRPr="00351535" w:rsidRDefault="00351535" w:rsidP="00351535">
      <w:pPr>
        <w:pStyle w:val="ReferHead"/>
        <w:spacing w:after="0"/>
        <w:jc w:val="both"/>
        <w:rPr>
          <w:rFonts w:ascii="Arial" w:hAnsi="Arial" w:cs="Arial"/>
          <w:b w:val="0"/>
          <w:caps w:val="0"/>
          <w:sz w:val="20"/>
        </w:rPr>
      </w:pPr>
      <w:proofErr w:type="spellStart"/>
      <w:r w:rsidRPr="00351535">
        <w:rPr>
          <w:rFonts w:ascii="Arial" w:hAnsi="Arial" w:cs="Arial"/>
          <w:b w:val="0"/>
          <w:caps w:val="0"/>
          <w:sz w:val="20"/>
        </w:rPr>
        <w:t>iEC</w:t>
      </w:r>
      <w:proofErr w:type="spellEnd"/>
      <w:r w:rsidRPr="00351535">
        <w:rPr>
          <w:rFonts w:ascii="Arial" w:hAnsi="Arial" w:cs="Arial"/>
          <w:b w:val="0"/>
          <w:caps w:val="0"/>
          <w:sz w:val="20"/>
        </w:rPr>
        <w:t xml:space="preserve"> No.2025/61/017</w:t>
      </w:r>
    </w:p>
    <w:p w14:paraId="73DFC79A" w14:textId="77777777" w:rsidR="00351535" w:rsidRPr="00351535" w:rsidRDefault="00351535" w:rsidP="00351535">
      <w:pPr>
        <w:pStyle w:val="ReferHead"/>
        <w:spacing w:after="0"/>
        <w:jc w:val="both"/>
        <w:rPr>
          <w:rFonts w:ascii="Arial" w:hAnsi="Arial" w:cs="Arial"/>
          <w:b w:val="0"/>
          <w:caps w:val="0"/>
          <w:sz w:val="20"/>
        </w:rPr>
      </w:pPr>
      <w:r w:rsidRPr="00351535">
        <w:rPr>
          <w:rFonts w:ascii="Arial" w:hAnsi="Arial" w:cs="Arial"/>
          <w:b w:val="0"/>
          <w:caps w:val="0"/>
          <w:sz w:val="20"/>
        </w:rPr>
        <w:t xml:space="preserve">Proceeding of the 61st meeting of IEC </w:t>
      </w:r>
      <w:proofErr w:type="gramStart"/>
      <w:r w:rsidRPr="00351535">
        <w:rPr>
          <w:rFonts w:ascii="Arial" w:hAnsi="Arial" w:cs="Arial"/>
          <w:b w:val="0"/>
          <w:caps w:val="0"/>
          <w:sz w:val="20"/>
        </w:rPr>
        <w:t>of  DCMS</w:t>
      </w:r>
      <w:proofErr w:type="gramEnd"/>
      <w:r w:rsidRPr="00351535">
        <w:rPr>
          <w:rFonts w:ascii="Arial" w:hAnsi="Arial" w:cs="Arial"/>
          <w:b w:val="0"/>
          <w:caps w:val="0"/>
          <w:sz w:val="20"/>
        </w:rPr>
        <w:t xml:space="preserve">&amp; AH, </w:t>
      </w:r>
      <w:proofErr w:type="spellStart"/>
      <w:r w:rsidRPr="00351535">
        <w:rPr>
          <w:rFonts w:ascii="Arial" w:hAnsi="Arial" w:cs="Arial"/>
          <w:b w:val="0"/>
          <w:caps w:val="0"/>
          <w:sz w:val="20"/>
        </w:rPr>
        <w:t>Hyd</w:t>
      </w:r>
      <w:proofErr w:type="spellEnd"/>
      <w:r w:rsidRPr="00351535">
        <w:rPr>
          <w:rFonts w:ascii="Arial" w:hAnsi="Arial" w:cs="Arial"/>
          <w:b w:val="0"/>
          <w:caps w:val="0"/>
          <w:sz w:val="20"/>
        </w:rPr>
        <w:t xml:space="preserve"> held on 12th April 2025 at 11:30 AM</w:t>
      </w:r>
    </w:p>
    <w:p w14:paraId="6AF94E83" w14:textId="77777777" w:rsidR="00351535" w:rsidRDefault="00351535" w:rsidP="00351535">
      <w:pPr>
        <w:pStyle w:val="ReferHead"/>
        <w:spacing w:after="0"/>
        <w:jc w:val="both"/>
        <w:rPr>
          <w:rFonts w:ascii="Arial" w:hAnsi="Arial" w:cs="Arial"/>
          <w:b w:val="0"/>
          <w:caps w:val="0"/>
          <w:sz w:val="20"/>
        </w:rPr>
      </w:pPr>
      <w:r w:rsidRPr="00351535">
        <w:rPr>
          <w:rFonts w:ascii="Arial" w:hAnsi="Arial" w:cs="Arial"/>
          <w:b w:val="0"/>
          <w:caps w:val="0"/>
          <w:sz w:val="20"/>
        </w:rPr>
        <w:t xml:space="preserve">Issuing Authority: Institutional Ethical committee </w:t>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r>
        <w:rPr>
          <w:rFonts w:ascii="Arial" w:hAnsi="Arial" w:cs="Arial"/>
          <w:b w:val="0"/>
          <w:caps w:val="0"/>
          <w:sz w:val="20"/>
        </w:rPr>
        <w:tab/>
      </w:r>
    </w:p>
    <w:p w14:paraId="7945E342" w14:textId="77777777" w:rsidR="00351535" w:rsidRPr="00351535" w:rsidRDefault="00351535" w:rsidP="00351535">
      <w:pPr>
        <w:pStyle w:val="ReferHead"/>
        <w:spacing w:after="0"/>
        <w:jc w:val="both"/>
        <w:rPr>
          <w:rFonts w:ascii="Arial" w:hAnsi="Arial" w:cs="Arial"/>
          <w:b w:val="0"/>
          <w:caps w:val="0"/>
          <w:sz w:val="20"/>
        </w:rPr>
      </w:pPr>
      <w:r w:rsidRPr="00351535">
        <w:rPr>
          <w:rFonts w:ascii="Arial" w:hAnsi="Arial" w:cs="Arial"/>
          <w:b w:val="0"/>
          <w:caps w:val="0"/>
          <w:sz w:val="20"/>
        </w:rPr>
        <w:t>(Deccan College of Medical scien</w:t>
      </w:r>
      <w:r>
        <w:rPr>
          <w:rFonts w:ascii="Arial" w:hAnsi="Arial" w:cs="Arial"/>
          <w:b w:val="0"/>
          <w:caps w:val="0"/>
          <w:sz w:val="20"/>
        </w:rPr>
        <w:t xml:space="preserve">ces &amp; Allied Hospitals), </w:t>
      </w:r>
      <w:proofErr w:type="spellStart"/>
      <w:r w:rsidRPr="00351535">
        <w:rPr>
          <w:rFonts w:ascii="Arial" w:hAnsi="Arial" w:cs="Arial"/>
          <w:b w:val="0"/>
          <w:caps w:val="0"/>
          <w:sz w:val="20"/>
        </w:rPr>
        <w:t>Kanchanbagh</w:t>
      </w:r>
      <w:proofErr w:type="spellEnd"/>
      <w:r w:rsidRPr="00351535">
        <w:rPr>
          <w:rFonts w:ascii="Arial" w:hAnsi="Arial" w:cs="Arial"/>
          <w:b w:val="0"/>
          <w:caps w:val="0"/>
          <w:sz w:val="20"/>
        </w:rPr>
        <w:t>, Hyderabad- 500058, Telangana, India</w:t>
      </w:r>
    </w:p>
    <w:p w14:paraId="092C5BEF" w14:textId="77777777" w:rsidR="00351535" w:rsidRPr="00351535" w:rsidRDefault="00351535" w:rsidP="00351535">
      <w:pPr>
        <w:pStyle w:val="ReferHead"/>
        <w:spacing w:after="0"/>
        <w:jc w:val="both"/>
        <w:rPr>
          <w:rFonts w:ascii="Arial" w:hAnsi="Arial" w:cs="Arial"/>
          <w:b w:val="0"/>
          <w:caps w:val="0"/>
          <w:sz w:val="20"/>
        </w:rPr>
      </w:pPr>
    </w:p>
    <w:p w14:paraId="05CF842B" w14:textId="77777777" w:rsidR="00351535" w:rsidRPr="00351535" w:rsidRDefault="00351535" w:rsidP="00351535">
      <w:pPr>
        <w:pStyle w:val="ReferHead"/>
        <w:spacing w:after="0"/>
        <w:jc w:val="both"/>
        <w:rPr>
          <w:rFonts w:ascii="Arial" w:hAnsi="Arial" w:cs="Arial"/>
          <w:b w:val="0"/>
          <w:caps w:val="0"/>
          <w:sz w:val="20"/>
        </w:rPr>
      </w:pPr>
      <w:r w:rsidRPr="00351535">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050E1CC6" w14:textId="77777777" w:rsidR="00351535" w:rsidRPr="00351535" w:rsidRDefault="00351535" w:rsidP="00351535">
      <w:pPr>
        <w:pStyle w:val="ReferHead"/>
        <w:spacing w:after="0"/>
        <w:jc w:val="both"/>
        <w:rPr>
          <w:rFonts w:ascii="Arial" w:hAnsi="Arial" w:cs="Arial"/>
          <w:b w:val="0"/>
          <w:caps w:val="0"/>
          <w:sz w:val="20"/>
        </w:rPr>
      </w:pPr>
    </w:p>
    <w:p w14:paraId="09727F6C" w14:textId="77777777" w:rsidR="00351535" w:rsidRPr="00351535" w:rsidRDefault="00351535" w:rsidP="00351535">
      <w:pPr>
        <w:rPr>
          <w:rFonts w:ascii="Arial" w:hAnsi="Arial" w:cs="Arial"/>
        </w:rPr>
      </w:pPr>
      <w:bookmarkStart w:id="1" w:name="_Hlk197682619"/>
      <w:bookmarkStart w:id="2" w:name="_Hlk180402183"/>
      <w:bookmarkStart w:id="3" w:name="_Hlk183680988"/>
      <w:r w:rsidRPr="00351535">
        <w:rPr>
          <w:rFonts w:ascii="Arial" w:hAnsi="Arial" w:cs="Arial"/>
        </w:rPr>
        <w:t>Disclaimer (Artificial intelligence)</w:t>
      </w:r>
    </w:p>
    <w:p w14:paraId="088EFB26" w14:textId="77777777" w:rsidR="00351535" w:rsidRPr="00351535" w:rsidRDefault="00351535" w:rsidP="00351535">
      <w:pPr>
        <w:rPr>
          <w:rFonts w:ascii="Arial" w:hAnsi="Arial" w:cs="Arial"/>
        </w:rPr>
      </w:pPr>
      <w:r w:rsidRPr="00351535">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70459B05" w14:textId="77777777" w:rsidR="00C500C3" w:rsidRPr="00C500C3" w:rsidRDefault="00C500C3" w:rsidP="00C500C3">
      <w:pPr>
        <w:spacing w:before="100" w:beforeAutospacing="1" w:after="100" w:afterAutospacing="1"/>
        <w:jc w:val="both"/>
        <w:outlineLvl w:val="2"/>
        <w:rPr>
          <w:rFonts w:ascii="Arial" w:hAnsi="Arial" w:cs="Arial"/>
          <w:b/>
          <w:sz w:val="22"/>
          <w:szCs w:val="22"/>
        </w:rPr>
      </w:pPr>
      <w:r w:rsidRPr="00C500C3">
        <w:rPr>
          <w:rFonts w:ascii="Arial" w:hAnsi="Arial" w:cs="Arial"/>
          <w:b/>
          <w:sz w:val="22"/>
          <w:szCs w:val="22"/>
        </w:rPr>
        <w:t>References</w:t>
      </w:r>
    </w:p>
    <w:p w14:paraId="39591431" w14:textId="77777777" w:rsidR="00C500C3" w:rsidRDefault="00C500C3" w:rsidP="002C7EE6">
      <w:pPr>
        <w:pStyle w:val="ListParagraph"/>
        <w:numPr>
          <w:ilvl w:val="0"/>
          <w:numId w:val="37"/>
        </w:numPr>
        <w:spacing w:before="100" w:beforeAutospacing="1" w:after="100" w:afterAutospacing="1"/>
        <w:jc w:val="both"/>
        <w:rPr>
          <w:rFonts w:ascii="Arial" w:hAnsi="Arial" w:cs="Arial"/>
        </w:rPr>
      </w:pPr>
      <w:r w:rsidRPr="002C7EE6">
        <w:rPr>
          <w:rFonts w:ascii="Arial" w:hAnsi="Arial" w:cs="Arial"/>
        </w:rPr>
        <w:t>Benjamin, E. J., Muntner, P., Alonso, A., Bittencourt, M. S., Callaway, C. W., Carson, A. P., ... &amp; American Heart Association Council on Epidemiology and Prevention Statistics Committee and Stroke Statistics Subcommittee. (2019). Heart disease and stroke statistics—2019 update: a report from the American Heart Association. Circulation, 139(10), e56-e528.</w:t>
      </w:r>
    </w:p>
    <w:p w14:paraId="29685B91"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2C7EE6">
        <w:rPr>
          <w:rFonts w:ascii="Arial" w:hAnsi="Arial" w:cs="Arial"/>
        </w:rPr>
        <w:lastRenderedPageBreak/>
        <w:t>Carr, J. H., &amp; Shepherd, R. B. (2003). Stroke rehabilitation: guidelines for exercise and training to optimize motor skill. Elsevier Health Sciences.</w:t>
      </w:r>
    </w:p>
    <w:p w14:paraId="238D9342"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2C7EE6">
        <w:rPr>
          <w:rFonts w:ascii="Arial" w:hAnsi="Arial" w:cs="Arial"/>
        </w:rPr>
        <w:t xml:space="preserve">Chae, J., </w:t>
      </w:r>
      <w:proofErr w:type="spellStart"/>
      <w:r w:rsidRPr="002C7EE6">
        <w:rPr>
          <w:rFonts w:ascii="Arial" w:hAnsi="Arial" w:cs="Arial"/>
        </w:rPr>
        <w:t>Bethoux</w:t>
      </w:r>
      <w:proofErr w:type="spellEnd"/>
      <w:r w:rsidRPr="002C7EE6">
        <w:rPr>
          <w:rFonts w:ascii="Arial" w:hAnsi="Arial" w:cs="Arial"/>
        </w:rPr>
        <w:t xml:space="preserve">, F., </w:t>
      </w:r>
      <w:proofErr w:type="spellStart"/>
      <w:r w:rsidRPr="002C7EE6">
        <w:rPr>
          <w:rFonts w:ascii="Arial" w:hAnsi="Arial" w:cs="Arial"/>
        </w:rPr>
        <w:t>Bohine</w:t>
      </w:r>
      <w:proofErr w:type="spellEnd"/>
      <w:r w:rsidRPr="002C7EE6">
        <w:rPr>
          <w:rFonts w:ascii="Arial" w:hAnsi="Arial" w:cs="Arial"/>
        </w:rPr>
        <w:t>, T., Dobos, L., Davis, T., &amp; Friedl, A. (2009). Neuromuscular stimulation for upper extremity motor and functional recovery in acute hemiplegia. Stroke, 29(5), 975-979.</w:t>
      </w:r>
    </w:p>
    <w:p w14:paraId="09570CB1"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 xml:space="preserve">de Kroon, J. R., van der Lee, J. H., </w:t>
      </w:r>
      <w:proofErr w:type="spellStart"/>
      <w:r w:rsidRPr="00395956">
        <w:rPr>
          <w:rFonts w:ascii="Arial" w:hAnsi="Arial" w:cs="Arial"/>
        </w:rPr>
        <w:t>IJzerman</w:t>
      </w:r>
      <w:proofErr w:type="spellEnd"/>
      <w:r w:rsidRPr="00395956">
        <w:rPr>
          <w:rFonts w:ascii="Arial" w:hAnsi="Arial" w:cs="Arial"/>
        </w:rPr>
        <w:t xml:space="preserve">, M. J., &amp; </w:t>
      </w:r>
      <w:proofErr w:type="spellStart"/>
      <w:r w:rsidRPr="00395956">
        <w:rPr>
          <w:rFonts w:ascii="Arial" w:hAnsi="Arial" w:cs="Arial"/>
        </w:rPr>
        <w:t>Lankhorst</w:t>
      </w:r>
      <w:proofErr w:type="spellEnd"/>
      <w:r w:rsidRPr="00395956">
        <w:rPr>
          <w:rFonts w:ascii="Arial" w:hAnsi="Arial" w:cs="Arial"/>
        </w:rPr>
        <w:t>, G. J. (2005). Therapeutic electrical stimulation to improve motor control and functional abilities of the upper extremity after stroke: a systematic review. Clinical Rehabilitation, 19(4), 407-415.</w:t>
      </w:r>
    </w:p>
    <w:p w14:paraId="6B8EA13D"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proofErr w:type="spellStart"/>
      <w:r w:rsidRPr="00395956">
        <w:rPr>
          <w:rFonts w:ascii="Arial" w:hAnsi="Arial" w:cs="Arial"/>
        </w:rPr>
        <w:t>Dimyan</w:t>
      </w:r>
      <w:proofErr w:type="spellEnd"/>
      <w:r w:rsidRPr="00395956">
        <w:rPr>
          <w:rFonts w:ascii="Arial" w:hAnsi="Arial" w:cs="Arial"/>
        </w:rPr>
        <w:t>, M. A., &amp; Cohen, L. G. (2011). Neuroplasticity in the context of motor rehabilitation after stroke. Nature Reviews Neurology, 7(2), 76-85.</w:t>
      </w:r>
    </w:p>
    <w:p w14:paraId="59CC912D"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proofErr w:type="spellStart"/>
      <w:r w:rsidRPr="00395956">
        <w:rPr>
          <w:rFonts w:ascii="Arial" w:hAnsi="Arial" w:cs="Arial"/>
        </w:rPr>
        <w:t>Eraifej</w:t>
      </w:r>
      <w:proofErr w:type="spellEnd"/>
      <w:r w:rsidRPr="00395956">
        <w:rPr>
          <w:rFonts w:ascii="Arial" w:hAnsi="Arial" w:cs="Arial"/>
        </w:rPr>
        <w:t xml:space="preserve">, J., Clark, W., France, B., </w:t>
      </w:r>
      <w:proofErr w:type="spellStart"/>
      <w:r w:rsidRPr="00395956">
        <w:rPr>
          <w:rFonts w:ascii="Arial" w:hAnsi="Arial" w:cs="Arial"/>
        </w:rPr>
        <w:t>Desando</w:t>
      </w:r>
      <w:proofErr w:type="spellEnd"/>
      <w:r w:rsidRPr="00395956">
        <w:rPr>
          <w:rFonts w:ascii="Arial" w:hAnsi="Arial" w:cs="Arial"/>
        </w:rPr>
        <w:t>, S., &amp; Moore, D. (2017). Effectiveness of upper limb functional electrical stimulation after stroke for the improvement of activities of daily living and motor function: a systematic review and meta-analysis. Systematic Reviews, 6(1), 1-21.</w:t>
      </w:r>
    </w:p>
    <w:p w14:paraId="17EA5A78"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French, B., Thomas, L. H., Coupe, J., McMahon, N. E., Connell, L., Harrison, J., ... &amp; Watkins, C. L. (2016). Repetitive task training for improving functional ability after stroke. Cochrane Database of Systematic Reviews, (11).</w:t>
      </w:r>
    </w:p>
    <w:p w14:paraId="149D6F62"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Hsieh, Y. W., Wang, C. H., Wu, S. C., Chen, P. C., Sheu, C. F., &amp; Hsieh, C. L. (2007). Establishing the minimal clinically important difference of the Barthel Index in stroke patients. Neurorehabilitation and Neural Repair, 21(3), 233-238.</w:t>
      </w:r>
    </w:p>
    <w:p w14:paraId="76C6C882"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proofErr w:type="spellStart"/>
      <w:r w:rsidRPr="00395956">
        <w:rPr>
          <w:rFonts w:ascii="Arial" w:hAnsi="Arial" w:cs="Arial"/>
        </w:rPr>
        <w:t>Hummelsheim</w:t>
      </w:r>
      <w:proofErr w:type="spellEnd"/>
      <w:r w:rsidRPr="00395956">
        <w:rPr>
          <w:rFonts w:ascii="Arial" w:hAnsi="Arial" w:cs="Arial"/>
        </w:rPr>
        <w:t>, H., Hauptmann, B., &amp; Neumann, S. (1997). Influence of physiotherapeutic facilitation techniques on motor evoked potentials in centrally paretic hand extensor muscles. Electroencephalography and Clinical Neurophysiology, 97(1), 18-28.</w:t>
      </w:r>
    </w:p>
    <w:p w14:paraId="43070F20"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Keith, R. A., Granger, C. V., Hamilton, B. B., &amp; Sherwin, F. S. (1987). The functional independence measure: a new tool for rehabilitation. Advances in Clinical Rehabilitation, 1, 6-18.</w:t>
      </w:r>
    </w:p>
    <w:p w14:paraId="00DC07AF"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Krakauer, J. W. (2006). Motor learning: its relevance to stroke recovery and neurorehabilitation. Current Opinion in Neurology, 19(1), 84-90.</w:t>
      </w:r>
    </w:p>
    <w:p w14:paraId="141F7BE0"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proofErr w:type="spellStart"/>
      <w:r w:rsidRPr="00395956">
        <w:rPr>
          <w:rFonts w:ascii="Arial" w:hAnsi="Arial" w:cs="Arial"/>
        </w:rPr>
        <w:t>Kwakkel</w:t>
      </w:r>
      <w:proofErr w:type="spellEnd"/>
      <w:r w:rsidRPr="00395956">
        <w:rPr>
          <w:rFonts w:ascii="Arial" w:hAnsi="Arial" w:cs="Arial"/>
        </w:rPr>
        <w:t xml:space="preserve">, G., Kollen, B. J., van der </w:t>
      </w:r>
      <w:proofErr w:type="spellStart"/>
      <w:r w:rsidRPr="00395956">
        <w:rPr>
          <w:rFonts w:ascii="Arial" w:hAnsi="Arial" w:cs="Arial"/>
        </w:rPr>
        <w:t>Grond</w:t>
      </w:r>
      <w:proofErr w:type="spellEnd"/>
      <w:r w:rsidRPr="00395956">
        <w:rPr>
          <w:rFonts w:ascii="Arial" w:hAnsi="Arial" w:cs="Arial"/>
        </w:rPr>
        <w:t>, J., &amp; Prevo, A. J. (2003). Probability of regaining dexterity in the flaccid upper limb: impact of severity of paresis and time since onset in acute s</w:t>
      </w:r>
      <w:r w:rsidR="00395956">
        <w:rPr>
          <w:rFonts w:ascii="Arial" w:hAnsi="Arial" w:cs="Arial"/>
        </w:rPr>
        <w:t>troke. Stroke, 34(9), 2181-2186.</w:t>
      </w:r>
    </w:p>
    <w:p w14:paraId="16DFF5CE"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 xml:space="preserve">Langhorne, P., Bernhardt, J., &amp; </w:t>
      </w:r>
      <w:proofErr w:type="spellStart"/>
      <w:r w:rsidRPr="00395956">
        <w:rPr>
          <w:rFonts w:ascii="Arial" w:hAnsi="Arial" w:cs="Arial"/>
        </w:rPr>
        <w:t>Kwakkel</w:t>
      </w:r>
      <w:proofErr w:type="spellEnd"/>
      <w:r w:rsidRPr="00395956">
        <w:rPr>
          <w:rFonts w:ascii="Arial" w:hAnsi="Arial" w:cs="Arial"/>
        </w:rPr>
        <w:t>, G. (2011). Stroke rehabilitation. The Lancet, 377(9778), 1693-1702.</w:t>
      </w:r>
    </w:p>
    <w:p w14:paraId="28E58C02"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Law, M., Baptiste, S., Carswell, A., McColl, M. A., Polatajko, H., &amp; Pollock, N. (2014). Canadian occupational performance measure (5th ed.). CAOT Publications ACE.</w:t>
      </w:r>
    </w:p>
    <w:p w14:paraId="0938F259"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Mahoney, F. I., &amp; Barthel, D. W. (1965). Functional evaluation: the Barthel Index. Maryland State Medical Journal, 14, 61-65.</w:t>
      </w:r>
    </w:p>
    <w:p w14:paraId="68B5F258"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Nascimento, L. R., Michaelsen, S. M., Ada, L., Polese, J. C., &amp; Teixeira-Salmela, L. F. (2014). Cyclical electrical stimulation increases strength and improves activity after stroke: a systematic review. Journal of Physiotherapy, 60(1), 22-30.</w:t>
      </w:r>
    </w:p>
    <w:p w14:paraId="271F1065"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Peckham, P. H., &amp; Knutson, J. S. (2005). Functional electrical stimulation for neuromuscular applications. Annual Review of Biomedical Engineering, 7, 327-360.</w:t>
      </w:r>
    </w:p>
    <w:p w14:paraId="6DC4BC91"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Rushton, D. N. (2003). Functional electrical stimulation and rehabilitation—</w:t>
      </w:r>
      <w:proofErr w:type="gramStart"/>
      <w:r w:rsidRPr="00395956">
        <w:rPr>
          <w:rFonts w:ascii="Arial" w:hAnsi="Arial" w:cs="Arial"/>
        </w:rPr>
        <w:t>an</w:t>
      </w:r>
      <w:proofErr w:type="gramEnd"/>
      <w:r w:rsidRPr="00395956">
        <w:rPr>
          <w:rFonts w:ascii="Arial" w:hAnsi="Arial" w:cs="Arial"/>
        </w:rPr>
        <w:t xml:space="preserve"> hypothesis. Medical Engineering &amp; Physics, 25(1), 75-78.</w:t>
      </w:r>
    </w:p>
    <w:p w14:paraId="2F830AA0" w14:textId="77777777" w:rsidR="00C500C3"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Schmidt, R. A., &amp; Lee, T. D. (2019). Motor learning and performance: From principles to application (6th ed.). Human Kinetics.</w:t>
      </w:r>
    </w:p>
    <w:p w14:paraId="513B7105" w14:textId="77777777" w:rsidR="00C500C3" w:rsidRPr="00395956" w:rsidRDefault="00C500C3" w:rsidP="00C500C3">
      <w:pPr>
        <w:pStyle w:val="ListParagraph"/>
        <w:numPr>
          <w:ilvl w:val="0"/>
          <w:numId w:val="37"/>
        </w:numPr>
        <w:spacing w:before="100" w:beforeAutospacing="1" w:after="100" w:afterAutospacing="1"/>
        <w:jc w:val="both"/>
        <w:rPr>
          <w:rFonts w:ascii="Arial" w:hAnsi="Arial" w:cs="Arial"/>
        </w:rPr>
      </w:pPr>
      <w:r w:rsidRPr="00395956">
        <w:rPr>
          <w:rFonts w:ascii="Arial" w:hAnsi="Arial" w:cs="Arial"/>
        </w:rPr>
        <w:t xml:space="preserve">Virani, S. S., Alonso, A., Benjamin, E. J., Bittencourt, M. S., Callaway, C. W., Carson, A. P., ... &amp; American Heart Association Council on Epidemiology and Prevention Statistics Committee and Stroke Statistics Subcommittee. (2020). Heart </w:t>
      </w:r>
      <w:r w:rsidRPr="00395956">
        <w:rPr>
          <w:rFonts w:ascii="Arial" w:hAnsi="Arial" w:cs="Arial"/>
        </w:rPr>
        <w:lastRenderedPageBreak/>
        <w:t>disease and stroke statistics—2020 update: a report from the American Heart Association. Circulation, 141(9), e139-e596.</w:t>
      </w:r>
    </w:p>
    <w:p w14:paraId="6BBD3A05" w14:textId="77777777" w:rsidR="00C500C3" w:rsidRPr="00C500C3" w:rsidRDefault="00C500C3" w:rsidP="00C500C3">
      <w:pPr>
        <w:spacing w:before="100" w:beforeAutospacing="1" w:after="100" w:afterAutospacing="1"/>
        <w:jc w:val="both"/>
        <w:outlineLvl w:val="2"/>
        <w:rPr>
          <w:rFonts w:ascii="Arial" w:hAnsi="Arial" w:cs="Arial"/>
          <w:b/>
        </w:rPr>
      </w:pPr>
      <w:r w:rsidRPr="00C500C3">
        <w:rPr>
          <w:rFonts w:ascii="Arial" w:hAnsi="Arial" w:cs="Arial"/>
          <w:b/>
        </w:rPr>
        <w:t>Table 1: Baseline Characteristics of Study Participants</w:t>
      </w:r>
    </w:p>
    <w:tbl>
      <w:tblPr>
        <w:tblStyle w:val="TableGrid"/>
        <w:tblW w:w="0" w:type="auto"/>
        <w:tblLook w:val="04A0" w:firstRow="1" w:lastRow="0" w:firstColumn="1" w:lastColumn="0" w:noHBand="0" w:noVBand="1"/>
      </w:tblPr>
      <w:tblGrid>
        <w:gridCol w:w="3738"/>
        <w:gridCol w:w="1915"/>
        <w:gridCol w:w="1675"/>
        <w:gridCol w:w="872"/>
      </w:tblGrid>
      <w:tr w:rsidR="00C500C3" w:rsidRPr="00C500C3" w14:paraId="179AA651" w14:textId="77777777" w:rsidTr="002C7EE6">
        <w:tc>
          <w:tcPr>
            <w:tcW w:w="0" w:type="auto"/>
            <w:hideMark/>
          </w:tcPr>
          <w:p w14:paraId="5567D41E"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Characteristic</w:t>
            </w:r>
          </w:p>
        </w:tc>
        <w:tc>
          <w:tcPr>
            <w:tcW w:w="1915" w:type="dxa"/>
            <w:hideMark/>
          </w:tcPr>
          <w:p w14:paraId="0B4157F2" w14:textId="77777777" w:rsidR="00C500C3" w:rsidRPr="002C7EE6" w:rsidRDefault="002C7EE6" w:rsidP="00C500C3">
            <w:pPr>
              <w:jc w:val="both"/>
              <w:rPr>
                <w:rFonts w:ascii="Arial" w:hAnsi="Arial" w:cs="Arial"/>
                <w:sz w:val="20"/>
                <w:szCs w:val="20"/>
              </w:rPr>
            </w:pPr>
            <w:r>
              <w:rPr>
                <w:rFonts w:ascii="Arial" w:hAnsi="Arial" w:cs="Arial"/>
                <w:sz w:val="20"/>
                <w:szCs w:val="20"/>
              </w:rPr>
              <w:t xml:space="preserve">Experimental </w:t>
            </w:r>
            <w:r w:rsidR="00C500C3" w:rsidRPr="002C7EE6">
              <w:rPr>
                <w:rFonts w:ascii="Arial" w:hAnsi="Arial" w:cs="Arial"/>
                <w:sz w:val="20"/>
                <w:szCs w:val="20"/>
              </w:rPr>
              <w:t xml:space="preserve">Group </w:t>
            </w:r>
            <w:r>
              <w:rPr>
                <w:rFonts w:ascii="Arial" w:hAnsi="Arial" w:cs="Arial"/>
                <w:sz w:val="20"/>
                <w:szCs w:val="20"/>
              </w:rPr>
              <w:t xml:space="preserve">  </w:t>
            </w:r>
            <w:proofErr w:type="gramStart"/>
            <w:r>
              <w:rPr>
                <w:rFonts w:ascii="Arial" w:hAnsi="Arial" w:cs="Arial"/>
                <w:sz w:val="20"/>
                <w:szCs w:val="20"/>
              </w:rPr>
              <w:t xml:space="preserve">   </w:t>
            </w:r>
            <w:r w:rsidR="00C500C3" w:rsidRPr="002C7EE6">
              <w:rPr>
                <w:rFonts w:ascii="Arial" w:hAnsi="Arial" w:cs="Arial"/>
                <w:sz w:val="20"/>
                <w:szCs w:val="20"/>
              </w:rPr>
              <w:t>(</w:t>
            </w:r>
            <w:proofErr w:type="gramEnd"/>
            <w:r w:rsidR="00C500C3" w:rsidRPr="002C7EE6">
              <w:rPr>
                <w:rFonts w:ascii="Arial" w:hAnsi="Arial" w:cs="Arial"/>
                <w:sz w:val="20"/>
                <w:szCs w:val="20"/>
              </w:rPr>
              <w:t>n=42)</w:t>
            </w:r>
          </w:p>
        </w:tc>
        <w:tc>
          <w:tcPr>
            <w:tcW w:w="1675" w:type="dxa"/>
            <w:hideMark/>
          </w:tcPr>
          <w:p w14:paraId="64D7989B"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Control Group (n=42)</w:t>
            </w:r>
          </w:p>
        </w:tc>
        <w:tc>
          <w:tcPr>
            <w:tcW w:w="0" w:type="auto"/>
            <w:hideMark/>
          </w:tcPr>
          <w:p w14:paraId="3E066D44" w14:textId="77777777" w:rsidR="00C500C3" w:rsidRPr="002C7EE6" w:rsidRDefault="00C500C3" w:rsidP="00C500C3">
            <w:pPr>
              <w:jc w:val="both"/>
              <w:rPr>
                <w:rFonts w:ascii="Arial" w:hAnsi="Arial" w:cs="Arial"/>
                <w:sz w:val="20"/>
                <w:szCs w:val="20"/>
              </w:rPr>
            </w:pPr>
            <w:r w:rsidRPr="0037287F">
              <w:rPr>
                <w:rFonts w:ascii="Arial" w:hAnsi="Arial" w:cs="Arial"/>
                <w:i/>
                <w:sz w:val="20"/>
                <w:szCs w:val="20"/>
              </w:rPr>
              <w:t>p</w:t>
            </w:r>
            <w:r w:rsidRPr="002C7EE6">
              <w:rPr>
                <w:rFonts w:ascii="Arial" w:hAnsi="Arial" w:cs="Arial"/>
                <w:sz w:val="20"/>
                <w:szCs w:val="20"/>
              </w:rPr>
              <w:t>-value</w:t>
            </w:r>
          </w:p>
        </w:tc>
      </w:tr>
      <w:tr w:rsidR="00C500C3" w:rsidRPr="00C500C3" w14:paraId="31E11C3A" w14:textId="77777777" w:rsidTr="002C7EE6">
        <w:tc>
          <w:tcPr>
            <w:tcW w:w="0" w:type="auto"/>
            <w:hideMark/>
          </w:tcPr>
          <w:p w14:paraId="22EB3863"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Age (years), mean ± SD</w:t>
            </w:r>
          </w:p>
        </w:tc>
        <w:tc>
          <w:tcPr>
            <w:tcW w:w="1915" w:type="dxa"/>
            <w:hideMark/>
          </w:tcPr>
          <w:p w14:paraId="34DEE1F7"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58.7 ± 12.1</w:t>
            </w:r>
          </w:p>
        </w:tc>
        <w:tc>
          <w:tcPr>
            <w:tcW w:w="1675" w:type="dxa"/>
            <w:hideMark/>
          </w:tcPr>
          <w:p w14:paraId="658F9CD1"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58.1 ± 12.6</w:t>
            </w:r>
          </w:p>
        </w:tc>
        <w:tc>
          <w:tcPr>
            <w:tcW w:w="0" w:type="auto"/>
            <w:hideMark/>
          </w:tcPr>
          <w:p w14:paraId="517FE0D5"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0.82</w:t>
            </w:r>
          </w:p>
        </w:tc>
      </w:tr>
      <w:tr w:rsidR="00C500C3" w:rsidRPr="00C500C3" w14:paraId="76412D26" w14:textId="77777777" w:rsidTr="002C7EE6">
        <w:tc>
          <w:tcPr>
            <w:tcW w:w="0" w:type="auto"/>
            <w:hideMark/>
          </w:tcPr>
          <w:p w14:paraId="2404B689"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Male, n (%)</w:t>
            </w:r>
          </w:p>
        </w:tc>
        <w:tc>
          <w:tcPr>
            <w:tcW w:w="1915" w:type="dxa"/>
            <w:hideMark/>
          </w:tcPr>
          <w:p w14:paraId="63DB7AF6"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25 (59.5)</w:t>
            </w:r>
          </w:p>
        </w:tc>
        <w:tc>
          <w:tcPr>
            <w:tcW w:w="1675" w:type="dxa"/>
            <w:hideMark/>
          </w:tcPr>
          <w:p w14:paraId="76091D5C"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24 (57.1)</w:t>
            </w:r>
          </w:p>
        </w:tc>
        <w:tc>
          <w:tcPr>
            <w:tcW w:w="0" w:type="auto"/>
            <w:hideMark/>
          </w:tcPr>
          <w:p w14:paraId="56B84523"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0.82</w:t>
            </w:r>
          </w:p>
        </w:tc>
      </w:tr>
      <w:tr w:rsidR="00C500C3" w:rsidRPr="00C500C3" w14:paraId="187CE162" w14:textId="77777777" w:rsidTr="002C7EE6">
        <w:tc>
          <w:tcPr>
            <w:tcW w:w="0" w:type="auto"/>
            <w:hideMark/>
          </w:tcPr>
          <w:p w14:paraId="3D6DF80D"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Time since stroke (months), mean ± SD</w:t>
            </w:r>
          </w:p>
        </w:tc>
        <w:tc>
          <w:tcPr>
            <w:tcW w:w="1915" w:type="dxa"/>
            <w:hideMark/>
          </w:tcPr>
          <w:p w14:paraId="3ED1DE45"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6.9 ± 3.1</w:t>
            </w:r>
          </w:p>
        </w:tc>
        <w:tc>
          <w:tcPr>
            <w:tcW w:w="1675" w:type="dxa"/>
            <w:hideMark/>
          </w:tcPr>
          <w:p w14:paraId="1448C4DA"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6.7 ± 3.4</w:t>
            </w:r>
          </w:p>
        </w:tc>
        <w:tc>
          <w:tcPr>
            <w:tcW w:w="0" w:type="auto"/>
            <w:hideMark/>
          </w:tcPr>
          <w:p w14:paraId="46B4931F"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0.78</w:t>
            </w:r>
          </w:p>
        </w:tc>
      </w:tr>
      <w:tr w:rsidR="00C500C3" w:rsidRPr="00C500C3" w14:paraId="70799BF7" w14:textId="77777777" w:rsidTr="002C7EE6">
        <w:tc>
          <w:tcPr>
            <w:tcW w:w="0" w:type="auto"/>
            <w:hideMark/>
          </w:tcPr>
          <w:p w14:paraId="09DF2D45"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Affected side (right), n (%)</w:t>
            </w:r>
          </w:p>
        </w:tc>
        <w:tc>
          <w:tcPr>
            <w:tcW w:w="1915" w:type="dxa"/>
            <w:hideMark/>
          </w:tcPr>
          <w:p w14:paraId="51D85A2D"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22 (52.4)</w:t>
            </w:r>
          </w:p>
        </w:tc>
        <w:tc>
          <w:tcPr>
            <w:tcW w:w="1675" w:type="dxa"/>
            <w:hideMark/>
          </w:tcPr>
          <w:p w14:paraId="74084D55"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22 (52.4)</w:t>
            </w:r>
          </w:p>
        </w:tc>
        <w:tc>
          <w:tcPr>
            <w:tcW w:w="0" w:type="auto"/>
            <w:hideMark/>
          </w:tcPr>
          <w:p w14:paraId="7D8B9FAD"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1.00</w:t>
            </w:r>
          </w:p>
        </w:tc>
      </w:tr>
      <w:tr w:rsidR="00C500C3" w:rsidRPr="00C500C3" w14:paraId="100299B0" w14:textId="77777777" w:rsidTr="002C7EE6">
        <w:tc>
          <w:tcPr>
            <w:tcW w:w="0" w:type="auto"/>
            <w:hideMark/>
          </w:tcPr>
          <w:p w14:paraId="04615722"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Stroke location, n (%)</w:t>
            </w:r>
          </w:p>
        </w:tc>
        <w:tc>
          <w:tcPr>
            <w:tcW w:w="1915" w:type="dxa"/>
            <w:hideMark/>
          </w:tcPr>
          <w:p w14:paraId="25586555" w14:textId="77777777" w:rsidR="00C500C3" w:rsidRPr="002C7EE6" w:rsidRDefault="00C500C3" w:rsidP="00C500C3">
            <w:pPr>
              <w:jc w:val="both"/>
              <w:rPr>
                <w:rFonts w:ascii="Arial" w:hAnsi="Arial" w:cs="Arial"/>
                <w:sz w:val="20"/>
                <w:szCs w:val="20"/>
              </w:rPr>
            </w:pPr>
          </w:p>
        </w:tc>
        <w:tc>
          <w:tcPr>
            <w:tcW w:w="1675" w:type="dxa"/>
            <w:hideMark/>
          </w:tcPr>
          <w:p w14:paraId="4B342746" w14:textId="77777777" w:rsidR="00C500C3" w:rsidRPr="002C7EE6" w:rsidRDefault="00C500C3" w:rsidP="00C500C3">
            <w:pPr>
              <w:jc w:val="both"/>
              <w:rPr>
                <w:rFonts w:ascii="Arial" w:hAnsi="Arial" w:cs="Arial"/>
                <w:sz w:val="20"/>
                <w:szCs w:val="20"/>
              </w:rPr>
            </w:pPr>
          </w:p>
        </w:tc>
        <w:tc>
          <w:tcPr>
            <w:tcW w:w="0" w:type="auto"/>
            <w:hideMark/>
          </w:tcPr>
          <w:p w14:paraId="2AD38784"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0.71</w:t>
            </w:r>
          </w:p>
        </w:tc>
      </w:tr>
      <w:tr w:rsidR="00C500C3" w:rsidRPr="00C500C3" w14:paraId="05DB3BAC" w14:textId="77777777" w:rsidTr="002C7EE6">
        <w:tc>
          <w:tcPr>
            <w:tcW w:w="0" w:type="auto"/>
            <w:hideMark/>
          </w:tcPr>
          <w:p w14:paraId="4ECEBA65"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 Middle cerebral artery</w:t>
            </w:r>
          </w:p>
        </w:tc>
        <w:tc>
          <w:tcPr>
            <w:tcW w:w="1915" w:type="dxa"/>
            <w:hideMark/>
          </w:tcPr>
          <w:p w14:paraId="6BD19D24"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28 (66.7)</w:t>
            </w:r>
          </w:p>
        </w:tc>
        <w:tc>
          <w:tcPr>
            <w:tcW w:w="1675" w:type="dxa"/>
            <w:hideMark/>
          </w:tcPr>
          <w:p w14:paraId="63864FDC"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26 (61.9)</w:t>
            </w:r>
          </w:p>
        </w:tc>
        <w:tc>
          <w:tcPr>
            <w:tcW w:w="0" w:type="auto"/>
            <w:hideMark/>
          </w:tcPr>
          <w:p w14:paraId="32B28669" w14:textId="77777777" w:rsidR="00C500C3" w:rsidRPr="002C7EE6" w:rsidRDefault="00C500C3" w:rsidP="00C500C3">
            <w:pPr>
              <w:jc w:val="both"/>
              <w:rPr>
                <w:rFonts w:ascii="Arial" w:hAnsi="Arial" w:cs="Arial"/>
                <w:sz w:val="20"/>
                <w:szCs w:val="20"/>
              </w:rPr>
            </w:pPr>
          </w:p>
        </w:tc>
      </w:tr>
      <w:tr w:rsidR="00C500C3" w:rsidRPr="00C500C3" w14:paraId="1C37F2B0" w14:textId="77777777" w:rsidTr="002C7EE6">
        <w:tc>
          <w:tcPr>
            <w:tcW w:w="0" w:type="auto"/>
            <w:hideMark/>
          </w:tcPr>
          <w:p w14:paraId="468CDA93"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 Anterior cerebral artery</w:t>
            </w:r>
          </w:p>
        </w:tc>
        <w:tc>
          <w:tcPr>
            <w:tcW w:w="1915" w:type="dxa"/>
            <w:hideMark/>
          </w:tcPr>
          <w:p w14:paraId="24AA0FDF"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8 (19.0)</w:t>
            </w:r>
          </w:p>
        </w:tc>
        <w:tc>
          <w:tcPr>
            <w:tcW w:w="1675" w:type="dxa"/>
            <w:hideMark/>
          </w:tcPr>
          <w:p w14:paraId="2B2FA904"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10 (23.8)</w:t>
            </w:r>
          </w:p>
        </w:tc>
        <w:tc>
          <w:tcPr>
            <w:tcW w:w="0" w:type="auto"/>
            <w:hideMark/>
          </w:tcPr>
          <w:p w14:paraId="5E73D179" w14:textId="77777777" w:rsidR="00C500C3" w:rsidRPr="002C7EE6" w:rsidRDefault="00C500C3" w:rsidP="00C500C3">
            <w:pPr>
              <w:jc w:val="both"/>
              <w:rPr>
                <w:rFonts w:ascii="Arial" w:hAnsi="Arial" w:cs="Arial"/>
                <w:sz w:val="20"/>
                <w:szCs w:val="20"/>
              </w:rPr>
            </w:pPr>
          </w:p>
        </w:tc>
      </w:tr>
      <w:tr w:rsidR="00C500C3" w:rsidRPr="00C500C3" w14:paraId="6776C983" w14:textId="77777777" w:rsidTr="002C7EE6">
        <w:tc>
          <w:tcPr>
            <w:tcW w:w="0" w:type="auto"/>
            <w:hideMark/>
          </w:tcPr>
          <w:p w14:paraId="29661AB6"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 Posterior circulation</w:t>
            </w:r>
          </w:p>
        </w:tc>
        <w:tc>
          <w:tcPr>
            <w:tcW w:w="1915" w:type="dxa"/>
            <w:hideMark/>
          </w:tcPr>
          <w:p w14:paraId="4D1B8A9D"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6 (14.3)</w:t>
            </w:r>
          </w:p>
        </w:tc>
        <w:tc>
          <w:tcPr>
            <w:tcW w:w="1675" w:type="dxa"/>
            <w:hideMark/>
          </w:tcPr>
          <w:p w14:paraId="34A1825A"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6 (14.3)</w:t>
            </w:r>
          </w:p>
        </w:tc>
        <w:tc>
          <w:tcPr>
            <w:tcW w:w="0" w:type="auto"/>
            <w:hideMark/>
          </w:tcPr>
          <w:p w14:paraId="33127DF4" w14:textId="77777777" w:rsidR="00C500C3" w:rsidRPr="002C7EE6" w:rsidRDefault="00C500C3" w:rsidP="00C500C3">
            <w:pPr>
              <w:jc w:val="both"/>
              <w:rPr>
                <w:rFonts w:ascii="Arial" w:hAnsi="Arial" w:cs="Arial"/>
                <w:sz w:val="20"/>
                <w:szCs w:val="20"/>
              </w:rPr>
            </w:pPr>
          </w:p>
        </w:tc>
      </w:tr>
      <w:tr w:rsidR="00C500C3" w:rsidRPr="00C500C3" w14:paraId="45254F52" w14:textId="77777777" w:rsidTr="002C7EE6">
        <w:tc>
          <w:tcPr>
            <w:tcW w:w="0" w:type="auto"/>
            <w:hideMark/>
          </w:tcPr>
          <w:p w14:paraId="531D988E"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Modified Ashworth Scale, mean ± SD</w:t>
            </w:r>
          </w:p>
        </w:tc>
        <w:tc>
          <w:tcPr>
            <w:tcW w:w="1915" w:type="dxa"/>
            <w:hideMark/>
          </w:tcPr>
          <w:p w14:paraId="317263FE"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1.2 ± 0.6</w:t>
            </w:r>
          </w:p>
        </w:tc>
        <w:tc>
          <w:tcPr>
            <w:tcW w:w="1675" w:type="dxa"/>
            <w:hideMark/>
          </w:tcPr>
          <w:p w14:paraId="0C72CA0A"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1.1 ± 0.7</w:t>
            </w:r>
          </w:p>
        </w:tc>
        <w:tc>
          <w:tcPr>
            <w:tcW w:w="0" w:type="auto"/>
            <w:hideMark/>
          </w:tcPr>
          <w:p w14:paraId="2ABD8F0A"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0.52</w:t>
            </w:r>
          </w:p>
        </w:tc>
      </w:tr>
      <w:tr w:rsidR="00C500C3" w:rsidRPr="00C500C3" w14:paraId="377E4B36" w14:textId="77777777" w:rsidTr="002C7EE6">
        <w:tc>
          <w:tcPr>
            <w:tcW w:w="0" w:type="auto"/>
            <w:hideMark/>
          </w:tcPr>
          <w:p w14:paraId="4360CAB7"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MMSE score, mean ± SD</w:t>
            </w:r>
          </w:p>
        </w:tc>
        <w:tc>
          <w:tcPr>
            <w:tcW w:w="1915" w:type="dxa"/>
            <w:hideMark/>
          </w:tcPr>
          <w:p w14:paraId="734DA4B8"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27.3 ± 2.1</w:t>
            </w:r>
          </w:p>
        </w:tc>
        <w:tc>
          <w:tcPr>
            <w:tcW w:w="1675" w:type="dxa"/>
            <w:hideMark/>
          </w:tcPr>
          <w:p w14:paraId="04B529AC"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27.1 ± 2.3</w:t>
            </w:r>
          </w:p>
        </w:tc>
        <w:tc>
          <w:tcPr>
            <w:tcW w:w="0" w:type="auto"/>
            <w:hideMark/>
          </w:tcPr>
          <w:p w14:paraId="350C64A8"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0.67</w:t>
            </w:r>
          </w:p>
        </w:tc>
      </w:tr>
      <w:tr w:rsidR="00C500C3" w:rsidRPr="00C500C3" w14:paraId="5299B24E" w14:textId="77777777" w:rsidTr="002C7EE6">
        <w:tc>
          <w:tcPr>
            <w:tcW w:w="0" w:type="auto"/>
            <w:hideMark/>
          </w:tcPr>
          <w:p w14:paraId="031829B7"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Barthel Index, mean ± SD</w:t>
            </w:r>
          </w:p>
        </w:tc>
        <w:tc>
          <w:tcPr>
            <w:tcW w:w="1915" w:type="dxa"/>
            <w:hideMark/>
          </w:tcPr>
          <w:p w14:paraId="510515D0"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45.2 ± 18.7</w:t>
            </w:r>
          </w:p>
        </w:tc>
        <w:tc>
          <w:tcPr>
            <w:tcW w:w="1675" w:type="dxa"/>
            <w:hideMark/>
          </w:tcPr>
          <w:p w14:paraId="4B22BF94"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43.8 ± 17.9</w:t>
            </w:r>
          </w:p>
        </w:tc>
        <w:tc>
          <w:tcPr>
            <w:tcW w:w="0" w:type="auto"/>
            <w:hideMark/>
          </w:tcPr>
          <w:p w14:paraId="0F1C7AA5"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0.72</w:t>
            </w:r>
          </w:p>
        </w:tc>
      </w:tr>
      <w:tr w:rsidR="00C500C3" w:rsidRPr="00C500C3" w14:paraId="62A3D637" w14:textId="77777777" w:rsidTr="002C7EE6">
        <w:tc>
          <w:tcPr>
            <w:tcW w:w="0" w:type="auto"/>
            <w:hideMark/>
          </w:tcPr>
          <w:p w14:paraId="6D5A342C"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FIM Motor, mean ± SD</w:t>
            </w:r>
          </w:p>
        </w:tc>
        <w:tc>
          <w:tcPr>
            <w:tcW w:w="1915" w:type="dxa"/>
            <w:hideMark/>
          </w:tcPr>
          <w:p w14:paraId="38907405"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54.3 ± 12.8</w:t>
            </w:r>
          </w:p>
        </w:tc>
        <w:tc>
          <w:tcPr>
            <w:tcW w:w="1675" w:type="dxa"/>
            <w:hideMark/>
          </w:tcPr>
          <w:p w14:paraId="18BFBD5C"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53.1 ± 13.2</w:t>
            </w:r>
          </w:p>
        </w:tc>
        <w:tc>
          <w:tcPr>
            <w:tcW w:w="0" w:type="auto"/>
            <w:hideMark/>
          </w:tcPr>
          <w:p w14:paraId="0ED02839"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0.66</w:t>
            </w:r>
          </w:p>
        </w:tc>
      </w:tr>
    </w:tbl>
    <w:p w14:paraId="425DEF12"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SD = Standard Deviation; MMSE = Mini-Mental State Examination; FIM = Functional Independence Measure</w:t>
      </w:r>
    </w:p>
    <w:p w14:paraId="28A95F61" w14:textId="77777777" w:rsidR="00C500C3" w:rsidRPr="00C500C3" w:rsidRDefault="00C500C3" w:rsidP="00C500C3">
      <w:pPr>
        <w:spacing w:before="100" w:beforeAutospacing="1" w:after="100" w:afterAutospacing="1"/>
        <w:jc w:val="both"/>
        <w:outlineLvl w:val="2"/>
        <w:rPr>
          <w:rFonts w:ascii="Arial" w:hAnsi="Arial" w:cs="Arial"/>
          <w:b/>
        </w:rPr>
      </w:pPr>
      <w:r w:rsidRPr="00C500C3">
        <w:rPr>
          <w:rFonts w:ascii="Arial" w:hAnsi="Arial" w:cs="Arial"/>
          <w:b/>
        </w:rPr>
        <w:t>Table 2: Barthel Index Scores Across Time Points</w:t>
      </w:r>
    </w:p>
    <w:tbl>
      <w:tblPr>
        <w:tblStyle w:val="TableGrid"/>
        <w:tblW w:w="0" w:type="auto"/>
        <w:tblLook w:val="04A0" w:firstRow="1" w:lastRow="0" w:firstColumn="1" w:lastColumn="0" w:noHBand="0" w:noVBand="1"/>
      </w:tblPr>
      <w:tblGrid>
        <w:gridCol w:w="1447"/>
        <w:gridCol w:w="1624"/>
        <w:gridCol w:w="1102"/>
        <w:gridCol w:w="1683"/>
        <w:gridCol w:w="1067"/>
        <w:gridCol w:w="1501"/>
      </w:tblGrid>
      <w:tr w:rsidR="00C500C3" w:rsidRPr="00C500C3" w14:paraId="2DC3EF5D" w14:textId="77777777" w:rsidTr="002C7EE6">
        <w:tc>
          <w:tcPr>
            <w:tcW w:w="0" w:type="auto"/>
            <w:hideMark/>
          </w:tcPr>
          <w:p w14:paraId="04BCDDEA"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Time Point</w:t>
            </w:r>
          </w:p>
        </w:tc>
        <w:tc>
          <w:tcPr>
            <w:tcW w:w="0" w:type="auto"/>
            <w:hideMark/>
          </w:tcPr>
          <w:p w14:paraId="5C9A0D08"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Experimental Group</w:t>
            </w:r>
          </w:p>
        </w:tc>
        <w:tc>
          <w:tcPr>
            <w:tcW w:w="0" w:type="auto"/>
            <w:hideMark/>
          </w:tcPr>
          <w:p w14:paraId="1CF2E07F"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Control Group</w:t>
            </w:r>
          </w:p>
        </w:tc>
        <w:tc>
          <w:tcPr>
            <w:tcW w:w="0" w:type="auto"/>
            <w:hideMark/>
          </w:tcPr>
          <w:p w14:paraId="2C9B33E4"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Between-group Difference</w:t>
            </w:r>
          </w:p>
        </w:tc>
        <w:tc>
          <w:tcPr>
            <w:tcW w:w="0" w:type="auto"/>
            <w:hideMark/>
          </w:tcPr>
          <w:p w14:paraId="59227DCE" w14:textId="77777777" w:rsidR="00C500C3" w:rsidRPr="002C7EE6" w:rsidRDefault="00C500C3" w:rsidP="00C500C3">
            <w:pPr>
              <w:jc w:val="both"/>
              <w:rPr>
                <w:rFonts w:ascii="Arial" w:hAnsi="Arial" w:cs="Arial"/>
                <w:sz w:val="20"/>
                <w:szCs w:val="20"/>
              </w:rPr>
            </w:pPr>
            <w:r w:rsidRPr="0037287F">
              <w:rPr>
                <w:rFonts w:ascii="Arial" w:hAnsi="Arial" w:cs="Arial"/>
                <w:i/>
                <w:sz w:val="20"/>
                <w:szCs w:val="20"/>
              </w:rPr>
              <w:t>p</w:t>
            </w:r>
            <w:r w:rsidRPr="002C7EE6">
              <w:rPr>
                <w:rFonts w:ascii="Arial" w:hAnsi="Arial" w:cs="Arial"/>
                <w:sz w:val="20"/>
                <w:szCs w:val="20"/>
              </w:rPr>
              <w:t>-value</w:t>
            </w:r>
          </w:p>
        </w:tc>
        <w:tc>
          <w:tcPr>
            <w:tcW w:w="0" w:type="auto"/>
            <w:hideMark/>
          </w:tcPr>
          <w:p w14:paraId="1B4128B9"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Effect Size (Cohen's d)</w:t>
            </w:r>
          </w:p>
        </w:tc>
      </w:tr>
      <w:tr w:rsidR="00C500C3" w:rsidRPr="00C500C3" w14:paraId="20AC4B39" w14:textId="77777777" w:rsidTr="002C7EE6">
        <w:tc>
          <w:tcPr>
            <w:tcW w:w="0" w:type="auto"/>
            <w:hideMark/>
          </w:tcPr>
          <w:p w14:paraId="50C2986D"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Baseline</w:t>
            </w:r>
          </w:p>
        </w:tc>
        <w:tc>
          <w:tcPr>
            <w:tcW w:w="0" w:type="auto"/>
            <w:hideMark/>
          </w:tcPr>
          <w:p w14:paraId="545E7F0A"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45.2 ± 18.7</w:t>
            </w:r>
          </w:p>
        </w:tc>
        <w:tc>
          <w:tcPr>
            <w:tcW w:w="0" w:type="auto"/>
            <w:hideMark/>
          </w:tcPr>
          <w:p w14:paraId="483C7C9F"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43.8 ± 17.9</w:t>
            </w:r>
          </w:p>
        </w:tc>
        <w:tc>
          <w:tcPr>
            <w:tcW w:w="0" w:type="auto"/>
            <w:hideMark/>
          </w:tcPr>
          <w:p w14:paraId="5385BF5F"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1.4 ± 18.3</w:t>
            </w:r>
          </w:p>
        </w:tc>
        <w:tc>
          <w:tcPr>
            <w:tcW w:w="0" w:type="auto"/>
            <w:hideMark/>
          </w:tcPr>
          <w:p w14:paraId="4D0B70A9"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0.72</w:t>
            </w:r>
          </w:p>
        </w:tc>
        <w:tc>
          <w:tcPr>
            <w:tcW w:w="0" w:type="auto"/>
            <w:hideMark/>
          </w:tcPr>
          <w:p w14:paraId="4AEDD25E"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0.08</w:t>
            </w:r>
          </w:p>
        </w:tc>
      </w:tr>
      <w:tr w:rsidR="00C500C3" w:rsidRPr="00C500C3" w14:paraId="282415E2" w14:textId="77777777" w:rsidTr="002C7EE6">
        <w:tc>
          <w:tcPr>
            <w:tcW w:w="0" w:type="auto"/>
            <w:hideMark/>
          </w:tcPr>
          <w:p w14:paraId="0CCE92D7"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6 weeks</w:t>
            </w:r>
          </w:p>
        </w:tc>
        <w:tc>
          <w:tcPr>
            <w:tcW w:w="0" w:type="auto"/>
            <w:hideMark/>
          </w:tcPr>
          <w:p w14:paraId="6BE4005E"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61.0 ± 20.1</w:t>
            </w:r>
          </w:p>
        </w:tc>
        <w:tc>
          <w:tcPr>
            <w:tcW w:w="0" w:type="auto"/>
            <w:hideMark/>
          </w:tcPr>
          <w:p w14:paraId="24EF142E"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52.0 ± 19.4</w:t>
            </w:r>
          </w:p>
        </w:tc>
        <w:tc>
          <w:tcPr>
            <w:tcW w:w="0" w:type="auto"/>
            <w:hideMark/>
          </w:tcPr>
          <w:p w14:paraId="02E5F046"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9.0 ± 19.8</w:t>
            </w:r>
          </w:p>
        </w:tc>
        <w:tc>
          <w:tcPr>
            <w:tcW w:w="0" w:type="auto"/>
            <w:hideMark/>
          </w:tcPr>
          <w:p w14:paraId="4A3F4C73"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0.037*</w:t>
            </w:r>
          </w:p>
        </w:tc>
        <w:tc>
          <w:tcPr>
            <w:tcW w:w="0" w:type="auto"/>
            <w:hideMark/>
          </w:tcPr>
          <w:p w14:paraId="7964B942"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0.46</w:t>
            </w:r>
          </w:p>
        </w:tc>
      </w:tr>
      <w:tr w:rsidR="00C500C3" w:rsidRPr="00C500C3" w14:paraId="520E77B7" w14:textId="77777777" w:rsidTr="002C7EE6">
        <w:tc>
          <w:tcPr>
            <w:tcW w:w="0" w:type="auto"/>
            <w:hideMark/>
          </w:tcPr>
          <w:p w14:paraId="0B685127"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12 weeks</w:t>
            </w:r>
          </w:p>
        </w:tc>
        <w:tc>
          <w:tcPr>
            <w:tcW w:w="0" w:type="auto"/>
            <w:hideMark/>
          </w:tcPr>
          <w:p w14:paraId="3BFDF4AC"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67.3 ± 21.2</w:t>
            </w:r>
          </w:p>
        </w:tc>
        <w:tc>
          <w:tcPr>
            <w:tcW w:w="0" w:type="auto"/>
            <w:hideMark/>
          </w:tcPr>
          <w:p w14:paraId="18A04A78"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55.1 ± 20.8</w:t>
            </w:r>
          </w:p>
        </w:tc>
        <w:tc>
          <w:tcPr>
            <w:tcW w:w="0" w:type="auto"/>
            <w:hideMark/>
          </w:tcPr>
          <w:p w14:paraId="5855AB38"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12.2 ± 21.0</w:t>
            </w:r>
          </w:p>
        </w:tc>
        <w:tc>
          <w:tcPr>
            <w:tcW w:w="0" w:type="auto"/>
            <w:hideMark/>
          </w:tcPr>
          <w:p w14:paraId="69966413"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0.009**</w:t>
            </w:r>
          </w:p>
        </w:tc>
        <w:tc>
          <w:tcPr>
            <w:tcW w:w="0" w:type="auto"/>
            <w:hideMark/>
          </w:tcPr>
          <w:p w14:paraId="498A19D9"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0.58</w:t>
            </w:r>
          </w:p>
        </w:tc>
      </w:tr>
      <w:tr w:rsidR="00395956" w:rsidRPr="00C500C3" w14:paraId="53B0C8E8" w14:textId="77777777" w:rsidTr="00395956">
        <w:tc>
          <w:tcPr>
            <w:tcW w:w="0" w:type="auto"/>
            <w:hideMark/>
          </w:tcPr>
          <w:p w14:paraId="1013982D" w14:textId="77777777" w:rsidR="00395956" w:rsidRPr="002C7EE6" w:rsidRDefault="00395956" w:rsidP="00C500C3">
            <w:pPr>
              <w:jc w:val="both"/>
              <w:rPr>
                <w:rFonts w:ascii="Arial" w:hAnsi="Arial" w:cs="Arial"/>
                <w:sz w:val="20"/>
                <w:szCs w:val="20"/>
              </w:rPr>
            </w:pPr>
            <w:r w:rsidRPr="002C7EE6">
              <w:rPr>
                <w:rFonts w:ascii="Arial" w:hAnsi="Arial" w:cs="Arial"/>
                <w:sz w:val="20"/>
                <w:szCs w:val="20"/>
              </w:rPr>
              <w:t>Within-group changes</w:t>
            </w:r>
          </w:p>
        </w:tc>
        <w:tc>
          <w:tcPr>
            <w:tcW w:w="0" w:type="auto"/>
            <w:gridSpan w:val="5"/>
            <w:hideMark/>
          </w:tcPr>
          <w:p w14:paraId="5AC1B104" w14:textId="77777777" w:rsidR="00395956" w:rsidRPr="002C7EE6" w:rsidRDefault="00395956" w:rsidP="00C500C3">
            <w:pPr>
              <w:jc w:val="both"/>
              <w:rPr>
                <w:rFonts w:ascii="Arial" w:hAnsi="Arial" w:cs="Arial"/>
                <w:sz w:val="20"/>
                <w:szCs w:val="20"/>
              </w:rPr>
            </w:pPr>
          </w:p>
        </w:tc>
      </w:tr>
      <w:tr w:rsidR="00C500C3" w:rsidRPr="00C500C3" w14:paraId="53F8E1F6" w14:textId="77777777" w:rsidTr="002C7EE6">
        <w:tc>
          <w:tcPr>
            <w:tcW w:w="0" w:type="auto"/>
            <w:hideMark/>
          </w:tcPr>
          <w:p w14:paraId="4018600C"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Baseline to 6 weeks</w:t>
            </w:r>
          </w:p>
        </w:tc>
        <w:tc>
          <w:tcPr>
            <w:tcW w:w="0" w:type="auto"/>
            <w:hideMark/>
          </w:tcPr>
          <w:p w14:paraId="02297831"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15.8 ± 8.4</w:t>
            </w:r>
          </w:p>
        </w:tc>
        <w:tc>
          <w:tcPr>
            <w:tcW w:w="0" w:type="auto"/>
            <w:hideMark/>
          </w:tcPr>
          <w:p w14:paraId="0BF49C63"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8.2 ± 6.1</w:t>
            </w:r>
          </w:p>
        </w:tc>
        <w:tc>
          <w:tcPr>
            <w:tcW w:w="0" w:type="auto"/>
            <w:hideMark/>
          </w:tcPr>
          <w:p w14:paraId="4220385E"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7.6 ± 7.5</w:t>
            </w:r>
          </w:p>
        </w:tc>
        <w:tc>
          <w:tcPr>
            <w:tcW w:w="0" w:type="auto"/>
            <w:hideMark/>
          </w:tcPr>
          <w:p w14:paraId="691F33AC"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&lt;0.001***</w:t>
            </w:r>
          </w:p>
        </w:tc>
        <w:tc>
          <w:tcPr>
            <w:tcW w:w="0" w:type="auto"/>
            <w:hideMark/>
          </w:tcPr>
          <w:p w14:paraId="6D0E2D9D"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1.06</w:t>
            </w:r>
          </w:p>
        </w:tc>
      </w:tr>
      <w:tr w:rsidR="00C500C3" w:rsidRPr="00C500C3" w14:paraId="229F6EF4" w14:textId="77777777" w:rsidTr="002C7EE6">
        <w:tc>
          <w:tcPr>
            <w:tcW w:w="0" w:type="auto"/>
            <w:hideMark/>
          </w:tcPr>
          <w:p w14:paraId="0E017303"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Baseline to 12 weeks</w:t>
            </w:r>
          </w:p>
        </w:tc>
        <w:tc>
          <w:tcPr>
            <w:tcW w:w="0" w:type="auto"/>
            <w:hideMark/>
          </w:tcPr>
          <w:p w14:paraId="68A5E8FE"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22.1 ± 9.2</w:t>
            </w:r>
          </w:p>
        </w:tc>
        <w:tc>
          <w:tcPr>
            <w:tcW w:w="0" w:type="auto"/>
            <w:hideMark/>
          </w:tcPr>
          <w:p w14:paraId="3FE84D3D"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11.3 ± 7.8</w:t>
            </w:r>
          </w:p>
        </w:tc>
        <w:tc>
          <w:tcPr>
            <w:tcW w:w="0" w:type="auto"/>
            <w:hideMark/>
          </w:tcPr>
          <w:p w14:paraId="4DE7E564"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10.8 ± 8.6</w:t>
            </w:r>
          </w:p>
        </w:tc>
        <w:tc>
          <w:tcPr>
            <w:tcW w:w="0" w:type="auto"/>
            <w:hideMark/>
          </w:tcPr>
          <w:p w14:paraId="54580B10"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&lt;0.001***</w:t>
            </w:r>
          </w:p>
        </w:tc>
        <w:tc>
          <w:tcPr>
            <w:tcW w:w="0" w:type="auto"/>
            <w:hideMark/>
          </w:tcPr>
          <w:p w14:paraId="50AD4791" w14:textId="77777777" w:rsidR="00C500C3" w:rsidRPr="002C7EE6" w:rsidRDefault="00C500C3" w:rsidP="00C500C3">
            <w:pPr>
              <w:jc w:val="both"/>
              <w:rPr>
                <w:rFonts w:ascii="Arial" w:hAnsi="Arial" w:cs="Arial"/>
                <w:sz w:val="20"/>
                <w:szCs w:val="20"/>
              </w:rPr>
            </w:pPr>
            <w:r w:rsidRPr="002C7EE6">
              <w:rPr>
                <w:rFonts w:ascii="Arial" w:hAnsi="Arial" w:cs="Arial"/>
                <w:sz w:val="20"/>
                <w:szCs w:val="20"/>
              </w:rPr>
              <w:t>1.31</w:t>
            </w:r>
          </w:p>
        </w:tc>
      </w:tr>
    </w:tbl>
    <w:p w14:paraId="597041FC"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*Values presented as mean ± standard deviation; *</w:t>
      </w:r>
      <w:r w:rsidRPr="00C500C3">
        <w:rPr>
          <w:rFonts w:ascii="Arial" w:hAnsi="Arial" w:cs="Arial"/>
          <w:i/>
        </w:rPr>
        <w:t>p</w:t>
      </w:r>
      <w:r w:rsidRPr="00C500C3">
        <w:rPr>
          <w:rFonts w:ascii="Arial" w:hAnsi="Arial" w:cs="Arial"/>
        </w:rPr>
        <w:t>&lt;0.05, **</w:t>
      </w:r>
      <w:r w:rsidRPr="00351535">
        <w:rPr>
          <w:rFonts w:ascii="Arial" w:hAnsi="Arial" w:cs="Arial"/>
          <w:i/>
        </w:rPr>
        <w:t>p</w:t>
      </w:r>
      <w:r w:rsidRPr="00C500C3">
        <w:rPr>
          <w:rFonts w:ascii="Arial" w:hAnsi="Arial" w:cs="Arial"/>
        </w:rPr>
        <w:t>&lt;0.01, **</w:t>
      </w:r>
      <w:r w:rsidRPr="00C500C3">
        <w:rPr>
          <w:rFonts w:ascii="Arial" w:hAnsi="Arial" w:cs="Arial"/>
          <w:i/>
        </w:rPr>
        <w:t>p</w:t>
      </w:r>
      <w:r w:rsidRPr="00C500C3">
        <w:rPr>
          <w:rFonts w:ascii="Arial" w:hAnsi="Arial" w:cs="Arial"/>
        </w:rPr>
        <w:t>&lt;0.001</w:t>
      </w:r>
    </w:p>
    <w:p w14:paraId="42A034FE" w14:textId="77777777" w:rsidR="00C500C3" w:rsidRPr="00C500C3" w:rsidRDefault="00C500C3" w:rsidP="00C500C3">
      <w:pPr>
        <w:spacing w:before="100" w:beforeAutospacing="1" w:after="100" w:afterAutospacing="1"/>
        <w:jc w:val="both"/>
        <w:outlineLvl w:val="2"/>
        <w:rPr>
          <w:rFonts w:ascii="Arial" w:hAnsi="Arial" w:cs="Arial"/>
          <w:b/>
        </w:rPr>
      </w:pPr>
      <w:r w:rsidRPr="00C500C3">
        <w:rPr>
          <w:rFonts w:ascii="Arial" w:hAnsi="Arial" w:cs="Arial"/>
          <w:b/>
        </w:rPr>
        <w:t>Table 3: Functional Independence Measure Motor Subscale Scores</w:t>
      </w:r>
    </w:p>
    <w:tbl>
      <w:tblPr>
        <w:tblStyle w:val="TableGrid"/>
        <w:tblW w:w="8683" w:type="dxa"/>
        <w:tblLook w:val="04A0" w:firstRow="1" w:lastRow="0" w:firstColumn="1" w:lastColumn="0" w:noHBand="0" w:noVBand="1"/>
      </w:tblPr>
      <w:tblGrid>
        <w:gridCol w:w="1507"/>
        <w:gridCol w:w="1656"/>
        <w:gridCol w:w="1133"/>
        <w:gridCol w:w="1756"/>
        <w:gridCol w:w="1067"/>
        <w:gridCol w:w="1564"/>
      </w:tblGrid>
      <w:tr w:rsidR="00C500C3" w:rsidRPr="00C500C3" w14:paraId="3330E211" w14:textId="77777777" w:rsidTr="00C026AC">
        <w:trPr>
          <w:trHeight w:val="405"/>
        </w:trPr>
        <w:tc>
          <w:tcPr>
            <w:tcW w:w="0" w:type="auto"/>
            <w:hideMark/>
          </w:tcPr>
          <w:p w14:paraId="171DC2F3"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Time Point</w:t>
            </w:r>
          </w:p>
        </w:tc>
        <w:tc>
          <w:tcPr>
            <w:tcW w:w="0" w:type="auto"/>
            <w:hideMark/>
          </w:tcPr>
          <w:p w14:paraId="6BCCB379"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Experimental Group</w:t>
            </w:r>
          </w:p>
        </w:tc>
        <w:tc>
          <w:tcPr>
            <w:tcW w:w="0" w:type="auto"/>
            <w:hideMark/>
          </w:tcPr>
          <w:p w14:paraId="270E28F0"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Control Group</w:t>
            </w:r>
          </w:p>
        </w:tc>
        <w:tc>
          <w:tcPr>
            <w:tcW w:w="0" w:type="auto"/>
            <w:hideMark/>
          </w:tcPr>
          <w:p w14:paraId="65453BF4"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Between-group Difference</w:t>
            </w:r>
          </w:p>
        </w:tc>
        <w:tc>
          <w:tcPr>
            <w:tcW w:w="0" w:type="auto"/>
            <w:hideMark/>
          </w:tcPr>
          <w:p w14:paraId="2C19E565" w14:textId="77777777" w:rsidR="00C500C3" w:rsidRPr="00395956" w:rsidRDefault="00C500C3" w:rsidP="00C500C3">
            <w:pPr>
              <w:jc w:val="both"/>
              <w:rPr>
                <w:rFonts w:ascii="Arial" w:hAnsi="Arial" w:cs="Arial"/>
                <w:sz w:val="20"/>
                <w:szCs w:val="20"/>
              </w:rPr>
            </w:pPr>
            <w:r w:rsidRPr="0037287F">
              <w:rPr>
                <w:rFonts w:ascii="Arial" w:hAnsi="Arial" w:cs="Arial"/>
                <w:i/>
                <w:sz w:val="20"/>
                <w:szCs w:val="20"/>
              </w:rPr>
              <w:t>p</w:t>
            </w:r>
            <w:r w:rsidRPr="00395956">
              <w:rPr>
                <w:rFonts w:ascii="Arial" w:hAnsi="Arial" w:cs="Arial"/>
                <w:sz w:val="20"/>
                <w:szCs w:val="20"/>
              </w:rPr>
              <w:t>-value</w:t>
            </w:r>
          </w:p>
        </w:tc>
        <w:tc>
          <w:tcPr>
            <w:tcW w:w="0" w:type="auto"/>
            <w:hideMark/>
          </w:tcPr>
          <w:p w14:paraId="788220CA"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Effect Size (Cohen's d)</w:t>
            </w:r>
          </w:p>
        </w:tc>
      </w:tr>
      <w:tr w:rsidR="00C500C3" w:rsidRPr="00C500C3" w14:paraId="3A301BEF" w14:textId="77777777" w:rsidTr="00C026AC">
        <w:trPr>
          <w:trHeight w:val="386"/>
        </w:trPr>
        <w:tc>
          <w:tcPr>
            <w:tcW w:w="0" w:type="auto"/>
            <w:hideMark/>
          </w:tcPr>
          <w:p w14:paraId="755D633D"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Baseline</w:t>
            </w:r>
          </w:p>
        </w:tc>
        <w:tc>
          <w:tcPr>
            <w:tcW w:w="0" w:type="auto"/>
            <w:hideMark/>
          </w:tcPr>
          <w:p w14:paraId="1AB51CCA"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54.3 ± 12.8</w:t>
            </w:r>
          </w:p>
        </w:tc>
        <w:tc>
          <w:tcPr>
            <w:tcW w:w="0" w:type="auto"/>
            <w:hideMark/>
          </w:tcPr>
          <w:p w14:paraId="311E2E27"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53.1 ± 13.2</w:t>
            </w:r>
          </w:p>
        </w:tc>
        <w:tc>
          <w:tcPr>
            <w:tcW w:w="0" w:type="auto"/>
            <w:hideMark/>
          </w:tcPr>
          <w:p w14:paraId="6DDD4D8E"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1.2 ± 13.0</w:t>
            </w:r>
          </w:p>
        </w:tc>
        <w:tc>
          <w:tcPr>
            <w:tcW w:w="0" w:type="auto"/>
            <w:hideMark/>
          </w:tcPr>
          <w:p w14:paraId="5DF5340D"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0.66</w:t>
            </w:r>
          </w:p>
        </w:tc>
        <w:tc>
          <w:tcPr>
            <w:tcW w:w="0" w:type="auto"/>
            <w:hideMark/>
          </w:tcPr>
          <w:p w14:paraId="22DAAD1E"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0.09</w:t>
            </w:r>
          </w:p>
        </w:tc>
      </w:tr>
      <w:tr w:rsidR="00C500C3" w:rsidRPr="00C500C3" w14:paraId="4FEC0449" w14:textId="77777777" w:rsidTr="00C026AC">
        <w:trPr>
          <w:trHeight w:val="405"/>
        </w:trPr>
        <w:tc>
          <w:tcPr>
            <w:tcW w:w="0" w:type="auto"/>
            <w:hideMark/>
          </w:tcPr>
          <w:p w14:paraId="62AC76F7"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6 weeks</w:t>
            </w:r>
          </w:p>
        </w:tc>
        <w:tc>
          <w:tcPr>
            <w:tcW w:w="0" w:type="auto"/>
            <w:hideMark/>
          </w:tcPr>
          <w:p w14:paraId="0D5CC517"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67.2 ± 15.8</w:t>
            </w:r>
          </w:p>
        </w:tc>
        <w:tc>
          <w:tcPr>
            <w:tcW w:w="0" w:type="auto"/>
            <w:hideMark/>
          </w:tcPr>
          <w:p w14:paraId="3B01B14A"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58.9 ± 14.2</w:t>
            </w:r>
          </w:p>
        </w:tc>
        <w:tc>
          <w:tcPr>
            <w:tcW w:w="0" w:type="auto"/>
            <w:hideMark/>
          </w:tcPr>
          <w:p w14:paraId="4AFB249F"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8.3 ± 15.1</w:t>
            </w:r>
          </w:p>
        </w:tc>
        <w:tc>
          <w:tcPr>
            <w:tcW w:w="0" w:type="auto"/>
            <w:hideMark/>
          </w:tcPr>
          <w:p w14:paraId="1FB8BF35"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0.012*</w:t>
            </w:r>
          </w:p>
        </w:tc>
        <w:tc>
          <w:tcPr>
            <w:tcW w:w="0" w:type="auto"/>
            <w:hideMark/>
          </w:tcPr>
          <w:p w14:paraId="0D8C06C2"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0.56</w:t>
            </w:r>
          </w:p>
        </w:tc>
      </w:tr>
      <w:tr w:rsidR="00C500C3" w:rsidRPr="00C500C3" w14:paraId="38855E10" w14:textId="77777777" w:rsidTr="00C026AC">
        <w:trPr>
          <w:trHeight w:val="405"/>
        </w:trPr>
        <w:tc>
          <w:tcPr>
            <w:tcW w:w="0" w:type="auto"/>
            <w:hideMark/>
          </w:tcPr>
          <w:p w14:paraId="2C6D4D1F"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lastRenderedPageBreak/>
              <w:t>12 weeks</w:t>
            </w:r>
          </w:p>
        </w:tc>
        <w:tc>
          <w:tcPr>
            <w:tcW w:w="0" w:type="auto"/>
            <w:hideMark/>
          </w:tcPr>
          <w:p w14:paraId="7834679D"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72.1 ± 16.4</w:t>
            </w:r>
          </w:p>
        </w:tc>
        <w:tc>
          <w:tcPr>
            <w:tcW w:w="0" w:type="auto"/>
            <w:hideMark/>
          </w:tcPr>
          <w:p w14:paraId="0D77EB93"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62.3 ± 15.7</w:t>
            </w:r>
          </w:p>
        </w:tc>
        <w:tc>
          <w:tcPr>
            <w:tcW w:w="0" w:type="auto"/>
            <w:hideMark/>
          </w:tcPr>
          <w:p w14:paraId="4C950B7E"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9.8 ± 16.1</w:t>
            </w:r>
          </w:p>
        </w:tc>
        <w:tc>
          <w:tcPr>
            <w:tcW w:w="0" w:type="auto"/>
            <w:hideMark/>
          </w:tcPr>
          <w:p w14:paraId="0CE6B73E"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0.006**</w:t>
            </w:r>
          </w:p>
        </w:tc>
        <w:tc>
          <w:tcPr>
            <w:tcW w:w="0" w:type="auto"/>
            <w:hideMark/>
          </w:tcPr>
          <w:p w14:paraId="0A109088"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0.61</w:t>
            </w:r>
          </w:p>
        </w:tc>
      </w:tr>
      <w:tr w:rsidR="00395956" w:rsidRPr="00C500C3" w14:paraId="39BE41B7" w14:textId="77777777" w:rsidTr="00C026AC">
        <w:trPr>
          <w:trHeight w:val="405"/>
        </w:trPr>
        <w:tc>
          <w:tcPr>
            <w:tcW w:w="0" w:type="auto"/>
            <w:hideMark/>
          </w:tcPr>
          <w:p w14:paraId="6F766F8A" w14:textId="77777777" w:rsidR="00395956" w:rsidRPr="00395956" w:rsidRDefault="00395956" w:rsidP="00C500C3">
            <w:pPr>
              <w:jc w:val="both"/>
              <w:rPr>
                <w:rFonts w:ascii="Arial" w:hAnsi="Arial" w:cs="Arial"/>
                <w:sz w:val="20"/>
                <w:szCs w:val="20"/>
              </w:rPr>
            </w:pPr>
            <w:r w:rsidRPr="00395956">
              <w:rPr>
                <w:rFonts w:ascii="Arial" w:hAnsi="Arial" w:cs="Arial"/>
                <w:sz w:val="20"/>
                <w:szCs w:val="20"/>
              </w:rPr>
              <w:t>Within-group changes</w:t>
            </w:r>
          </w:p>
        </w:tc>
        <w:tc>
          <w:tcPr>
            <w:tcW w:w="0" w:type="auto"/>
            <w:gridSpan w:val="5"/>
            <w:hideMark/>
          </w:tcPr>
          <w:p w14:paraId="2DA1F845" w14:textId="77777777" w:rsidR="00395956" w:rsidRPr="00395956" w:rsidRDefault="00395956" w:rsidP="00C500C3">
            <w:pPr>
              <w:jc w:val="both"/>
              <w:rPr>
                <w:rFonts w:ascii="Arial" w:hAnsi="Arial" w:cs="Arial"/>
                <w:sz w:val="20"/>
                <w:szCs w:val="20"/>
              </w:rPr>
            </w:pPr>
          </w:p>
        </w:tc>
      </w:tr>
      <w:tr w:rsidR="00C500C3" w:rsidRPr="00C500C3" w14:paraId="452AE7D2" w14:textId="77777777" w:rsidTr="00C026AC">
        <w:trPr>
          <w:trHeight w:val="405"/>
        </w:trPr>
        <w:tc>
          <w:tcPr>
            <w:tcW w:w="0" w:type="auto"/>
            <w:hideMark/>
          </w:tcPr>
          <w:p w14:paraId="52EBCA5E"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Baseline to 6 weeks</w:t>
            </w:r>
          </w:p>
        </w:tc>
        <w:tc>
          <w:tcPr>
            <w:tcW w:w="0" w:type="auto"/>
            <w:hideMark/>
          </w:tcPr>
          <w:p w14:paraId="3ABF5D87"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12.9 ± 7.2</w:t>
            </w:r>
          </w:p>
        </w:tc>
        <w:tc>
          <w:tcPr>
            <w:tcW w:w="0" w:type="auto"/>
            <w:hideMark/>
          </w:tcPr>
          <w:p w14:paraId="5A73D4AA"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5.8 ± 4.9</w:t>
            </w:r>
          </w:p>
        </w:tc>
        <w:tc>
          <w:tcPr>
            <w:tcW w:w="0" w:type="auto"/>
            <w:hideMark/>
          </w:tcPr>
          <w:p w14:paraId="28B268AF"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7.1 ± 6.3</w:t>
            </w:r>
          </w:p>
        </w:tc>
        <w:tc>
          <w:tcPr>
            <w:tcW w:w="0" w:type="auto"/>
            <w:hideMark/>
          </w:tcPr>
          <w:p w14:paraId="5F66BCC4"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&lt;0.001***</w:t>
            </w:r>
          </w:p>
        </w:tc>
        <w:tc>
          <w:tcPr>
            <w:tcW w:w="0" w:type="auto"/>
            <w:hideMark/>
          </w:tcPr>
          <w:p w14:paraId="03649814"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1.26</w:t>
            </w:r>
          </w:p>
        </w:tc>
      </w:tr>
      <w:tr w:rsidR="00C500C3" w:rsidRPr="00C500C3" w14:paraId="2282B8FE" w14:textId="77777777" w:rsidTr="00C026AC">
        <w:trPr>
          <w:trHeight w:val="405"/>
        </w:trPr>
        <w:tc>
          <w:tcPr>
            <w:tcW w:w="0" w:type="auto"/>
            <w:hideMark/>
          </w:tcPr>
          <w:p w14:paraId="1A0C31BE"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Baseline to 12 weeks</w:t>
            </w:r>
          </w:p>
        </w:tc>
        <w:tc>
          <w:tcPr>
            <w:tcW w:w="0" w:type="auto"/>
            <w:hideMark/>
          </w:tcPr>
          <w:p w14:paraId="60DD0051"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17.8 ± 8.9</w:t>
            </w:r>
          </w:p>
        </w:tc>
        <w:tc>
          <w:tcPr>
            <w:tcW w:w="0" w:type="auto"/>
            <w:hideMark/>
          </w:tcPr>
          <w:p w14:paraId="19620968"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9.2 ± 6.4</w:t>
            </w:r>
          </w:p>
        </w:tc>
        <w:tc>
          <w:tcPr>
            <w:tcW w:w="0" w:type="auto"/>
            <w:hideMark/>
          </w:tcPr>
          <w:p w14:paraId="610F966C"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8.6 ± 7.9</w:t>
            </w:r>
          </w:p>
        </w:tc>
        <w:tc>
          <w:tcPr>
            <w:tcW w:w="0" w:type="auto"/>
            <w:hideMark/>
          </w:tcPr>
          <w:p w14:paraId="2E0A9D8E"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&lt;0.001***</w:t>
            </w:r>
          </w:p>
        </w:tc>
        <w:tc>
          <w:tcPr>
            <w:tcW w:w="0" w:type="auto"/>
            <w:hideMark/>
          </w:tcPr>
          <w:p w14:paraId="684B0EC6" w14:textId="77777777" w:rsidR="00C500C3" w:rsidRPr="00395956" w:rsidRDefault="00C500C3" w:rsidP="00C500C3">
            <w:pPr>
              <w:jc w:val="both"/>
              <w:rPr>
                <w:rFonts w:ascii="Arial" w:hAnsi="Arial" w:cs="Arial"/>
                <w:sz w:val="20"/>
                <w:szCs w:val="20"/>
              </w:rPr>
            </w:pPr>
            <w:r w:rsidRPr="00395956">
              <w:rPr>
                <w:rFonts w:ascii="Arial" w:hAnsi="Arial" w:cs="Arial"/>
                <w:sz w:val="20"/>
                <w:szCs w:val="20"/>
              </w:rPr>
              <w:t>1.23</w:t>
            </w:r>
          </w:p>
        </w:tc>
      </w:tr>
    </w:tbl>
    <w:p w14:paraId="0BFFB3CE" w14:textId="77777777" w:rsidR="00C500C3" w:rsidRPr="00C500C3" w:rsidRDefault="00C500C3" w:rsidP="00C500C3">
      <w:pPr>
        <w:spacing w:before="100" w:beforeAutospacing="1" w:after="100" w:afterAutospacing="1"/>
        <w:jc w:val="both"/>
        <w:rPr>
          <w:rFonts w:ascii="Arial" w:hAnsi="Arial" w:cs="Arial"/>
        </w:rPr>
      </w:pPr>
      <w:r w:rsidRPr="00C500C3">
        <w:rPr>
          <w:rFonts w:ascii="Arial" w:hAnsi="Arial" w:cs="Arial"/>
        </w:rPr>
        <w:t>*Values presented as mean ± standard deviation; *</w:t>
      </w:r>
      <w:r w:rsidRPr="00C500C3">
        <w:rPr>
          <w:rFonts w:ascii="Arial" w:hAnsi="Arial" w:cs="Arial"/>
          <w:i/>
        </w:rPr>
        <w:t>p</w:t>
      </w:r>
      <w:r w:rsidRPr="00C500C3">
        <w:rPr>
          <w:rFonts w:ascii="Arial" w:hAnsi="Arial" w:cs="Arial"/>
        </w:rPr>
        <w:t>&lt;0.05, **p&lt;0.01, **</w:t>
      </w:r>
      <w:r w:rsidRPr="00C500C3">
        <w:rPr>
          <w:rFonts w:ascii="Arial" w:hAnsi="Arial" w:cs="Arial"/>
          <w:i/>
        </w:rPr>
        <w:t>p</w:t>
      </w:r>
      <w:r w:rsidRPr="00C500C3">
        <w:rPr>
          <w:rFonts w:ascii="Arial" w:hAnsi="Arial" w:cs="Arial"/>
        </w:rPr>
        <w:t>&lt;0.001</w:t>
      </w:r>
    </w:p>
    <w:p w14:paraId="6BA19CE8" w14:textId="77777777" w:rsidR="00C500C3" w:rsidRPr="00C500C3" w:rsidRDefault="00C500C3" w:rsidP="00C500C3">
      <w:pPr>
        <w:spacing w:before="100" w:beforeAutospacing="1" w:after="100" w:afterAutospacing="1"/>
        <w:jc w:val="both"/>
        <w:outlineLvl w:val="2"/>
        <w:rPr>
          <w:rFonts w:ascii="Arial" w:hAnsi="Arial" w:cs="Arial"/>
          <w:b/>
        </w:rPr>
      </w:pPr>
      <w:r w:rsidRPr="00C500C3">
        <w:rPr>
          <w:rFonts w:ascii="Arial" w:hAnsi="Arial" w:cs="Arial"/>
          <w:b/>
        </w:rPr>
        <w:t>table 4: Canadian Occupational Performance Measure Scores</w:t>
      </w:r>
    </w:p>
    <w:tbl>
      <w:tblPr>
        <w:tblStyle w:val="TableGrid"/>
        <w:tblW w:w="8747" w:type="dxa"/>
        <w:tblLook w:val="04A0" w:firstRow="1" w:lastRow="0" w:firstColumn="1" w:lastColumn="0" w:noHBand="0" w:noVBand="1"/>
      </w:tblPr>
      <w:tblGrid>
        <w:gridCol w:w="1480"/>
        <w:gridCol w:w="1022"/>
        <w:gridCol w:w="1509"/>
        <w:gridCol w:w="986"/>
        <w:gridCol w:w="1417"/>
        <w:gridCol w:w="1067"/>
        <w:gridCol w:w="1266"/>
      </w:tblGrid>
      <w:tr w:rsidR="00C500C3" w:rsidRPr="00C500C3" w14:paraId="6DFF006F" w14:textId="77777777" w:rsidTr="00C026AC">
        <w:trPr>
          <w:trHeight w:val="621"/>
        </w:trPr>
        <w:tc>
          <w:tcPr>
            <w:tcW w:w="0" w:type="auto"/>
            <w:hideMark/>
          </w:tcPr>
          <w:p w14:paraId="320D5D87" w14:textId="77777777" w:rsidR="00C500C3" w:rsidRPr="00395956" w:rsidRDefault="00C500C3" w:rsidP="00C500C3">
            <w:pPr>
              <w:jc w:val="center"/>
              <w:rPr>
                <w:rFonts w:ascii="Arial" w:hAnsi="Arial" w:cs="Arial"/>
                <w:sz w:val="20"/>
                <w:szCs w:val="20"/>
              </w:rPr>
            </w:pPr>
            <w:r w:rsidRPr="00395956">
              <w:rPr>
                <w:rFonts w:ascii="Arial" w:hAnsi="Arial" w:cs="Arial"/>
                <w:sz w:val="20"/>
                <w:szCs w:val="20"/>
              </w:rPr>
              <w:t>Measure</w:t>
            </w:r>
          </w:p>
        </w:tc>
        <w:tc>
          <w:tcPr>
            <w:tcW w:w="0" w:type="auto"/>
            <w:hideMark/>
          </w:tcPr>
          <w:p w14:paraId="45C9D797" w14:textId="77777777" w:rsidR="00C500C3" w:rsidRPr="00395956" w:rsidRDefault="00C500C3" w:rsidP="00C500C3">
            <w:pPr>
              <w:jc w:val="center"/>
              <w:rPr>
                <w:rFonts w:ascii="Arial" w:hAnsi="Arial" w:cs="Arial"/>
                <w:sz w:val="20"/>
                <w:szCs w:val="20"/>
              </w:rPr>
            </w:pPr>
            <w:r w:rsidRPr="00395956">
              <w:rPr>
                <w:rFonts w:ascii="Arial" w:hAnsi="Arial" w:cs="Arial"/>
                <w:sz w:val="20"/>
                <w:szCs w:val="20"/>
              </w:rPr>
              <w:t>Time Point</w:t>
            </w:r>
          </w:p>
        </w:tc>
        <w:tc>
          <w:tcPr>
            <w:tcW w:w="0" w:type="auto"/>
            <w:hideMark/>
          </w:tcPr>
          <w:p w14:paraId="6B6083A2" w14:textId="77777777" w:rsidR="00C500C3" w:rsidRPr="00395956" w:rsidRDefault="00C500C3" w:rsidP="00C500C3">
            <w:pPr>
              <w:jc w:val="center"/>
              <w:rPr>
                <w:rFonts w:ascii="Arial" w:hAnsi="Arial" w:cs="Arial"/>
                <w:sz w:val="20"/>
                <w:szCs w:val="20"/>
              </w:rPr>
            </w:pPr>
            <w:r w:rsidRPr="00395956">
              <w:rPr>
                <w:rFonts w:ascii="Arial" w:hAnsi="Arial" w:cs="Arial"/>
                <w:sz w:val="20"/>
                <w:szCs w:val="20"/>
              </w:rPr>
              <w:t>Experimental Group</w:t>
            </w:r>
          </w:p>
        </w:tc>
        <w:tc>
          <w:tcPr>
            <w:tcW w:w="0" w:type="auto"/>
            <w:hideMark/>
          </w:tcPr>
          <w:p w14:paraId="70A6DE80" w14:textId="77777777" w:rsidR="00C500C3" w:rsidRPr="00395956" w:rsidRDefault="00C500C3" w:rsidP="00C500C3">
            <w:pPr>
              <w:jc w:val="center"/>
              <w:rPr>
                <w:rFonts w:ascii="Arial" w:hAnsi="Arial" w:cs="Arial"/>
                <w:sz w:val="20"/>
                <w:szCs w:val="20"/>
              </w:rPr>
            </w:pPr>
            <w:r w:rsidRPr="00395956">
              <w:rPr>
                <w:rFonts w:ascii="Arial" w:hAnsi="Arial" w:cs="Arial"/>
                <w:sz w:val="20"/>
                <w:szCs w:val="20"/>
              </w:rPr>
              <w:t>Control Group</w:t>
            </w:r>
          </w:p>
        </w:tc>
        <w:tc>
          <w:tcPr>
            <w:tcW w:w="0" w:type="auto"/>
            <w:hideMark/>
          </w:tcPr>
          <w:p w14:paraId="4CB2D00E" w14:textId="77777777" w:rsidR="00C500C3" w:rsidRPr="00395956" w:rsidRDefault="00C500C3" w:rsidP="00C500C3">
            <w:pPr>
              <w:jc w:val="center"/>
              <w:rPr>
                <w:rFonts w:ascii="Arial" w:hAnsi="Arial" w:cs="Arial"/>
                <w:sz w:val="20"/>
                <w:szCs w:val="20"/>
              </w:rPr>
            </w:pPr>
            <w:r w:rsidRPr="00395956">
              <w:rPr>
                <w:rFonts w:ascii="Arial" w:hAnsi="Arial" w:cs="Arial"/>
                <w:sz w:val="20"/>
                <w:szCs w:val="20"/>
              </w:rPr>
              <w:t>Between-group Difference</w:t>
            </w:r>
          </w:p>
        </w:tc>
        <w:tc>
          <w:tcPr>
            <w:tcW w:w="0" w:type="auto"/>
            <w:hideMark/>
          </w:tcPr>
          <w:p w14:paraId="02E49729" w14:textId="77777777" w:rsidR="00C500C3" w:rsidRPr="00395956" w:rsidRDefault="00C500C3" w:rsidP="00C500C3">
            <w:pPr>
              <w:jc w:val="center"/>
              <w:rPr>
                <w:rFonts w:ascii="Arial" w:hAnsi="Arial" w:cs="Arial"/>
                <w:sz w:val="20"/>
                <w:szCs w:val="20"/>
              </w:rPr>
            </w:pPr>
            <w:r w:rsidRPr="0037287F">
              <w:rPr>
                <w:rFonts w:ascii="Arial" w:hAnsi="Arial" w:cs="Arial"/>
                <w:i/>
                <w:sz w:val="20"/>
                <w:szCs w:val="20"/>
              </w:rPr>
              <w:t>p</w:t>
            </w:r>
            <w:r w:rsidRPr="00395956">
              <w:rPr>
                <w:rFonts w:ascii="Arial" w:hAnsi="Arial" w:cs="Arial"/>
                <w:sz w:val="20"/>
                <w:szCs w:val="20"/>
              </w:rPr>
              <w:t>-value</w:t>
            </w:r>
          </w:p>
        </w:tc>
        <w:tc>
          <w:tcPr>
            <w:tcW w:w="0" w:type="auto"/>
            <w:hideMark/>
          </w:tcPr>
          <w:p w14:paraId="1687ACDB" w14:textId="77777777" w:rsidR="00C500C3" w:rsidRPr="00395956" w:rsidRDefault="00C500C3" w:rsidP="00C500C3">
            <w:pPr>
              <w:jc w:val="center"/>
              <w:rPr>
                <w:rFonts w:ascii="Arial" w:hAnsi="Arial" w:cs="Arial"/>
                <w:sz w:val="20"/>
                <w:szCs w:val="20"/>
              </w:rPr>
            </w:pPr>
            <w:r w:rsidRPr="00395956">
              <w:rPr>
                <w:rFonts w:ascii="Arial" w:hAnsi="Arial" w:cs="Arial"/>
                <w:sz w:val="20"/>
                <w:szCs w:val="20"/>
              </w:rPr>
              <w:t>Effect Size (Cohen's d)</w:t>
            </w:r>
          </w:p>
        </w:tc>
      </w:tr>
      <w:tr w:rsidR="00395956" w:rsidRPr="00C500C3" w14:paraId="7364F43F" w14:textId="77777777" w:rsidTr="00C026AC">
        <w:trPr>
          <w:trHeight w:val="421"/>
        </w:trPr>
        <w:tc>
          <w:tcPr>
            <w:tcW w:w="0" w:type="auto"/>
            <w:hideMark/>
          </w:tcPr>
          <w:p w14:paraId="6AC09FFA" w14:textId="77777777" w:rsidR="00395956" w:rsidRPr="00395956" w:rsidRDefault="00395956" w:rsidP="00C500C3">
            <w:pPr>
              <w:rPr>
                <w:rFonts w:ascii="Arial" w:hAnsi="Arial" w:cs="Arial"/>
                <w:sz w:val="20"/>
                <w:szCs w:val="20"/>
              </w:rPr>
            </w:pPr>
            <w:r w:rsidRPr="00395956">
              <w:rPr>
                <w:rFonts w:ascii="Arial" w:hAnsi="Arial" w:cs="Arial"/>
                <w:sz w:val="20"/>
                <w:szCs w:val="20"/>
              </w:rPr>
              <w:t>Performance Score</w:t>
            </w:r>
          </w:p>
        </w:tc>
        <w:tc>
          <w:tcPr>
            <w:tcW w:w="0" w:type="auto"/>
            <w:hideMark/>
          </w:tcPr>
          <w:p w14:paraId="7AC62B2F" w14:textId="77777777" w:rsidR="00395956" w:rsidRPr="00395956" w:rsidRDefault="00395956" w:rsidP="00C500C3">
            <w:pPr>
              <w:rPr>
                <w:rFonts w:ascii="Arial" w:hAnsi="Arial" w:cs="Arial"/>
                <w:sz w:val="20"/>
                <w:szCs w:val="20"/>
              </w:rPr>
            </w:pPr>
            <w:r w:rsidRPr="00395956">
              <w:rPr>
                <w:rFonts w:ascii="Arial" w:hAnsi="Arial" w:cs="Arial"/>
                <w:sz w:val="20"/>
                <w:szCs w:val="20"/>
              </w:rPr>
              <w:t>Baseline</w:t>
            </w:r>
          </w:p>
        </w:tc>
        <w:tc>
          <w:tcPr>
            <w:tcW w:w="0" w:type="auto"/>
            <w:hideMark/>
          </w:tcPr>
          <w:p w14:paraId="1F73A376" w14:textId="77777777" w:rsidR="00395956" w:rsidRPr="00395956" w:rsidRDefault="00395956" w:rsidP="00C500C3">
            <w:pPr>
              <w:rPr>
                <w:rFonts w:ascii="Arial" w:hAnsi="Arial" w:cs="Arial"/>
                <w:sz w:val="20"/>
                <w:szCs w:val="20"/>
              </w:rPr>
            </w:pPr>
            <w:r w:rsidRPr="00395956">
              <w:rPr>
                <w:rFonts w:ascii="Arial" w:hAnsi="Arial" w:cs="Arial"/>
                <w:sz w:val="20"/>
                <w:szCs w:val="20"/>
              </w:rPr>
              <w:t>3.4 ± 1.3</w:t>
            </w:r>
          </w:p>
        </w:tc>
        <w:tc>
          <w:tcPr>
            <w:tcW w:w="0" w:type="auto"/>
            <w:hideMark/>
          </w:tcPr>
          <w:p w14:paraId="3252A33C" w14:textId="77777777" w:rsidR="00395956" w:rsidRPr="00395956" w:rsidRDefault="00395956" w:rsidP="00C500C3">
            <w:pPr>
              <w:rPr>
                <w:rFonts w:ascii="Arial" w:hAnsi="Arial" w:cs="Arial"/>
                <w:sz w:val="20"/>
                <w:szCs w:val="20"/>
              </w:rPr>
            </w:pPr>
            <w:r w:rsidRPr="00395956">
              <w:rPr>
                <w:rFonts w:ascii="Arial" w:hAnsi="Arial" w:cs="Arial"/>
                <w:sz w:val="20"/>
                <w:szCs w:val="20"/>
              </w:rPr>
              <w:t>3.2 ± 1.2</w:t>
            </w:r>
          </w:p>
        </w:tc>
        <w:tc>
          <w:tcPr>
            <w:tcW w:w="0" w:type="auto"/>
            <w:hideMark/>
          </w:tcPr>
          <w:p w14:paraId="274D0592" w14:textId="77777777" w:rsidR="00395956" w:rsidRPr="00395956" w:rsidRDefault="00395956" w:rsidP="00C500C3">
            <w:pPr>
              <w:rPr>
                <w:rFonts w:ascii="Arial" w:hAnsi="Arial" w:cs="Arial"/>
                <w:sz w:val="20"/>
                <w:szCs w:val="20"/>
              </w:rPr>
            </w:pPr>
            <w:r w:rsidRPr="00395956">
              <w:rPr>
                <w:rFonts w:ascii="Arial" w:hAnsi="Arial" w:cs="Arial"/>
                <w:sz w:val="20"/>
                <w:szCs w:val="20"/>
              </w:rPr>
              <w:t>0.2 ± 1.3</w:t>
            </w:r>
          </w:p>
        </w:tc>
        <w:tc>
          <w:tcPr>
            <w:tcW w:w="0" w:type="auto"/>
            <w:hideMark/>
          </w:tcPr>
          <w:p w14:paraId="50DB8489" w14:textId="77777777" w:rsidR="00395956" w:rsidRPr="00395956" w:rsidRDefault="00395956" w:rsidP="00C500C3">
            <w:pPr>
              <w:rPr>
                <w:rFonts w:ascii="Arial" w:hAnsi="Arial" w:cs="Arial"/>
                <w:sz w:val="20"/>
                <w:szCs w:val="20"/>
              </w:rPr>
            </w:pPr>
            <w:r w:rsidRPr="00395956">
              <w:rPr>
                <w:rFonts w:ascii="Arial" w:hAnsi="Arial" w:cs="Arial"/>
                <w:sz w:val="20"/>
                <w:szCs w:val="20"/>
              </w:rPr>
              <w:t>0.45</w:t>
            </w:r>
          </w:p>
        </w:tc>
        <w:tc>
          <w:tcPr>
            <w:tcW w:w="0" w:type="auto"/>
            <w:hideMark/>
          </w:tcPr>
          <w:p w14:paraId="10785516" w14:textId="77777777" w:rsidR="00395956" w:rsidRPr="00395956" w:rsidRDefault="00395956" w:rsidP="00C500C3">
            <w:pPr>
              <w:rPr>
                <w:rFonts w:ascii="Arial" w:hAnsi="Arial" w:cs="Arial"/>
                <w:sz w:val="20"/>
                <w:szCs w:val="20"/>
              </w:rPr>
            </w:pPr>
            <w:r w:rsidRPr="00395956">
              <w:rPr>
                <w:rFonts w:ascii="Arial" w:hAnsi="Arial" w:cs="Arial"/>
                <w:sz w:val="20"/>
                <w:szCs w:val="20"/>
              </w:rPr>
              <w:t>0.16</w:t>
            </w:r>
          </w:p>
        </w:tc>
      </w:tr>
      <w:tr w:rsidR="00395956" w:rsidRPr="00C500C3" w14:paraId="425F18AF" w14:textId="77777777" w:rsidTr="00C026AC">
        <w:trPr>
          <w:trHeight w:val="421"/>
        </w:trPr>
        <w:tc>
          <w:tcPr>
            <w:tcW w:w="0" w:type="auto"/>
            <w:hideMark/>
          </w:tcPr>
          <w:p w14:paraId="02FB0B21" w14:textId="77777777" w:rsidR="00395956" w:rsidRPr="00395956" w:rsidRDefault="00395956" w:rsidP="00C500C3">
            <w:pPr>
              <w:rPr>
                <w:rFonts w:ascii="Arial" w:hAnsi="Arial" w:cs="Arial"/>
                <w:sz w:val="20"/>
                <w:szCs w:val="20"/>
              </w:rPr>
            </w:pPr>
          </w:p>
        </w:tc>
        <w:tc>
          <w:tcPr>
            <w:tcW w:w="0" w:type="auto"/>
            <w:hideMark/>
          </w:tcPr>
          <w:p w14:paraId="73E69660" w14:textId="77777777" w:rsidR="00395956" w:rsidRPr="00395956" w:rsidRDefault="00395956" w:rsidP="00C500C3">
            <w:pPr>
              <w:rPr>
                <w:rFonts w:ascii="Arial" w:hAnsi="Arial" w:cs="Arial"/>
                <w:sz w:val="20"/>
                <w:szCs w:val="20"/>
              </w:rPr>
            </w:pPr>
            <w:r w:rsidRPr="00395956">
              <w:rPr>
                <w:rFonts w:ascii="Arial" w:hAnsi="Arial" w:cs="Arial"/>
                <w:sz w:val="20"/>
                <w:szCs w:val="20"/>
              </w:rPr>
              <w:t>6 weeks</w:t>
            </w:r>
          </w:p>
        </w:tc>
        <w:tc>
          <w:tcPr>
            <w:tcW w:w="0" w:type="auto"/>
            <w:hideMark/>
          </w:tcPr>
          <w:p w14:paraId="7023D337" w14:textId="77777777" w:rsidR="00395956" w:rsidRPr="00395956" w:rsidRDefault="00395956" w:rsidP="00C500C3">
            <w:pPr>
              <w:rPr>
                <w:rFonts w:ascii="Arial" w:hAnsi="Arial" w:cs="Arial"/>
                <w:sz w:val="20"/>
                <w:szCs w:val="20"/>
              </w:rPr>
            </w:pPr>
            <w:r w:rsidRPr="00395956">
              <w:rPr>
                <w:rFonts w:ascii="Arial" w:hAnsi="Arial" w:cs="Arial"/>
                <w:sz w:val="20"/>
                <w:szCs w:val="20"/>
              </w:rPr>
              <w:t>6.2 ± 1.6</w:t>
            </w:r>
          </w:p>
        </w:tc>
        <w:tc>
          <w:tcPr>
            <w:tcW w:w="0" w:type="auto"/>
            <w:hideMark/>
          </w:tcPr>
          <w:p w14:paraId="296ADCF1" w14:textId="77777777" w:rsidR="00395956" w:rsidRPr="00395956" w:rsidRDefault="00395956" w:rsidP="00C500C3">
            <w:pPr>
              <w:rPr>
                <w:rFonts w:ascii="Arial" w:hAnsi="Arial" w:cs="Arial"/>
                <w:sz w:val="20"/>
                <w:szCs w:val="20"/>
              </w:rPr>
            </w:pPr>
            <w:r w:rsidRPr="00395956">
              <w:rPr>
                <w:rFonts w:ascii="Arial" w:hAnsi="Arial" w:cs="Arial"/>
                <w:sz w:val="20"/>
                <w:szCs w:val="20"/>
              </w:rPr>
              <w:t>4.8 ± 1.4</w:t>
            </w:r>
          </w:p>
        </w:tc>
        <w:tc>
          <w:tcPr>
            <w:tcW w:w="0" w:type="auto"/>
            <w:hideMark/>
          </w:tcPr>
          <w:p w14:paraId="03AADC0D" w14:textId="77777777" w:rsidR="00395956" w:rsidRPr="00395956" w:rsidRDefault="00395956" w:rsidP="00C500C3">
            <w:pPr>
              <w:rPr>
                <w:rFonts w:ascii="Arial" w:hAnsi="Arial" w:cs="Arial"/>
                <w:sz w:val="20"/>
                <w:szCs w:val="20"/>
              </w:rPr>
            </w:pPr>
            <w:r w:rsidRPr="00395956">
              <w:rPr>
                <w:rFonts w:ascii="Arial" w:hAnsi="Arial" w:cs="Arial"/>
                <w:sz w:val="20"/>
                <w:szCs w:val="20"/>
              </w:rPr>
              <w:t>1.4 ± 1.5</w:t>
            </w:r>
          </w:p>
        </w:tc>
        <w:tc>
          <w:tcPr>
            <w:tcW w:w="0" w:type="auto"/>
            <w:hideMark/>
          </w:tcPr>
          <w:p w14:paraId="4CC891AC" w14:textId="77777777" w:rsidR="00395956" w:rsidRPr="00395956" w:rsidRDefault="00395956" w:rsidP="00C500C3">
            <w:pPr>
              <w:rPr>
                <w:rFonts w:ascii="Arial" w:hAnsi="Arial" w:cs="Arial"/>
                <w:sz w:val="20"/>
                <w:szCs w:val="20"/>
              </w:rPr>
            </w:pPr>
            <w:r w:rsidRPr="00395956">
              <w:rPr>
                <w:rFonts w:ascii="Arial" w:hAnsi="Arial" w:cs="Arial"/>
                <w:sz w:val="20"/>
                <w:szCs w:val="20"/>
              </w:rPr>
              <w:t>&lt;0.001***</w:t>
            </w:r>
          </w:p>
        </w:tc>
        <w:tc>
          <w:tcPr>
            <w:tcW w:w="0" w:type="auto"/>
            <w:hideMark/>
          </w:tcPr>
          <w:p w14:paraId="4589611B" w14:textId="77777777" w:rsidR="00395956" w:rsidRPr="00395956" w:rsidRDefault="00395956" w:rsidP="00C500C3">
            <w:pPr>
              <w:rPr>
                <w:rFonts w:ascii="Arial" w:hAnsi="Arial" w:cs="Arial"/>
                <w:sz w:val="20"/>
                <w:szCs w:val="20"/>
              </w:rPr>
            </w:pPr>
            <w:r w:rsidRPr="00395956">
              <w:rPr>
                <w:rFonts w:ascii="Arial" w:hAnsi="Arial" w:cs="Arial"/>
                <w:sz w:val="20"/>
                <w:szCs w:val="20"/>
              </w:rPr>
              <w:t>0.93</w:t>
            </w:r>
          </w:p>
        </w:tc>
      </w:tr>
      <w:tr w:rsidR="00395956" w:rsidRPr="00C500C3" w14:paraId="752F1314" w14:textId="77777777" w:rsidTr="00C026AC">
        <w:trPr>
          <w:trHeight w:val="421"/>
        </w:trPr>
        <w:tc>
          <w:tcPr>
            <w:tcW w:w="0" w:type="auto"/>
            <w:hideMark/>
          </w:tcPr>
          <w:p w14:paraId="5542BD2D" w14:textId="77777777" w:rsidR="00395956" w:rsidRPr="00395956" w:rsidRDefault="00395956" w:rsidP="00C500C3">
            <w:pPr>
              <w:rPr>
                <w:rFonts w:ascii="Arial" w:hAnsi="Arial" w:cs="Arial"/>
                <w:sz w:val="20"/>
                <w:szCs w:val="20"/>
              </w:rPr>
            </w:pPr>
          </w:p>
        </w:tc>
        <w:tc>
          <w:tcPr>
            <w:tcW w:w="0" w:type="auto"/>
            <w:hideMark/>
          </w:tcPr>
          <w:p w14:paraId="7C604BC0" w14:textId="77777777" w:rsidR="00395956" w:rsidRPr="00395956" w:rsidRDefault="00395956" w:rsidP="00C500C3">
            <w:pPr>
              <w:rPr>
                <w:rFonts w:ascii="Arial" w:hAnsi="Arial" w:cs="Arial"/>
                <w:sz w:val="20"/>
                <w:szCs w:val="20"/>
              </w:rPr>
            </w:pPr>
            <w:r w:rsidRPr="00395956">
              <w:rPr>
                <w:rFonts w:ascii="Arial" w:hAnsi="Arial" w:cs="Arial"/>
                <w:sz w:val="20"/>
                <w:szCs w:val="20"/>
              </w:rPr>
              <w:t>12 weeks</w:t>
            </w:r>
          </w:p>
        </w:tc>
        <w:tc>
          <w:tcPr>
            <w:tcW w:w="0" w:type="auto"/>
            <w:hideMark/>
          </w:tcPr>
          <w:p w14:paraId="1546EDE1" w14:textId="77777777" w:rsidR="00395956" w:rsidRPr="00395956" w:rsidRDefault="00395956" w:rsidP="00C500C3">
            <w:pPr>
              <w:rPr>
                <w:rFonts w:ascii="Arial" w:hAnsi="Arial" w:cs="Arial"/>
                <w:sz w:val="20"/>
                <w:szCs w:val="20"/>
              </w:rPr>
            </w:pPr>
            <w:r w:rsidRPr="00395956">
              <w:rPr>
                <w:rFonts w:ascii="Arial" w:hAnsi="Arial" w:cs="Arial"/>
                <w:sz w:val="20"/>
                <w:szCs w:val="20"/>
              </w:rPr>
              <w:t>6.8 ± 1.9</w:t>
            </w:r>
          </w:p>
        </w:tc>
        <w:tc>
          <w:tcPr>
            <w:tcW w:w="0" w:type="auto"/>
            <w:hideMark/>
          </w:tcPr>
          <w:p w14:paraId="5D207E38" w14:textId="77777777" w:rsidR="00395956" w:rsidRPr="00395956" w:rsidRDefault="00395956" w:rsidP="00C500C3">
            <w:pPr>
              <w:rPr>
                <w:rFonts w:ascii="Arial" w:hAnsi="Arial" w:cs="Arial"/>
                <w:sz w:val="20"/>
                <w:szCs w:val="20"/>
              </w:rPr>
            </w:pPr>
            <w:r w:rsidRPr="00395956">
              <w:rPr>
                <w:rFonts w:ascii="Arial" w:hAnsi="Arial" w:cs="Arial"/>
                <w:sz w:val="20"/>
                <w:szCs w:val="20"/>
              </w:rPr>
              <w:t>5.2 ± 1.7</w:t>
            </w:r>
          </w:p>
        </w:tc>
        <w:tc>
          <w:tcPr>
            <w:tcW w:w="0" w:type="auto"/>
            <w:hideMark/>
          </w:tcPr>
          <w:p w14:paraId="42970E00" w14:textId="77777777" w:rsidR="00395956" w:rsidRPr="00395956" w:rsidRDefault="00395956" w:rsidP="00C500C3">
            <w:pPr>
              <w:rPr>
                <w:rFonts w:ascii="Arial" w:hAnsi="Arial" w:cs="Arial"/>
                <w:sz w:val="20"/>
                <w:szCs w:val="20"/>
              </w:rPr>
            </w:pPr>
            <w:r w:rsidRPr="00395956">
              <w:rPr>
                <w:rFonts w:ascii="Arial" w:hAnsi="Arial" w:cs="Arial"/>
                <w:sz w:val="20"/>
                <w:szCs w:val="20"/>
              </w:rPr>
              <w:t>1.6 ± 1.8</w:t>
            </w:r>
          </w:p>
        </w:tc>
        <w:tc>
          <w:tcPr>
            <w:tcW w:w="0" w:type="auto"/>
            <w:hideMark/>
          </w:tcPr>
          <w:p w14:paraId="3800DFCE" w14:textId="77777777" w:rsidR="00395956" w:rsidRPr="00395956" w:rsidRDefault="00395956" w:rsidP="00C500C3">
            <w:pPr>
              <w:rPr>
                <w:rFonts w:ascii="Arial" w:hAnsi="Arial" w:cs="Arial"/>
                <w:sz w:val="20"/>
                <w:szCs w:val="20"/>
              </w:rPr>
            </w:pPr>
            <w:r w:rsidRPr="00395956">
              <w:rPr>
                <w:rFonts w:ascii="Arial" w:hAnsi="Arial" w:cs="Arial"/>
                <w:sz w:val="20"/>
                <w:szCs w:val="20"/>
              </w:rPr>
              <w:t>&lt;0.001***</w:t>
            </w:r>
          </w:p>
        </w:tc>
        <w:tc>
          <w:tcPr>
            <w:tcW w:w="0" w:type="auto"/>
            <w:hideMark/>
          </w:tcPr>
          <w:p w14:paraId="1496B875" w14:textId="77777777" w:rsidR="00395956" w:rsidRPr="00395956" w:rsidRDefault="00395956" w:rsidP="00C500C3">
            <w:pPr>
              <w:rPr>
                <w:rFonts w:ascii="Arial" w:hAnsi="Arial" w:cs="Arial"/>
                <w:sz w:val="20"/>
                <w:szCs w:val="20"/>
              </w:rPr>
            </w:pPr>
            <w:r w:rsidRPr="00395956">
              <w:rPr>
                <w:rFonts w:ascii="Arial" w:hAnsi="Arial" w:cs="Arial"/>
                <w:sz w:val="20"/>
                <w:szCs w:val="20"/>
              </w:rPr>
              <w:t>0.89</w:t>
            </w:r>
          </w:p>
        </w:tc>
      </w:tr>
      <w:tr w:rsidR="00395956" w:rsidRPr="00C500C3" w14:paraId="05E02839" w14:textId="77777777" w:rsidTr="00C026AC">
        <w:tc>
          <w:tcPr>
            <w:tcW w:w="0" w:type="auto"/>
            <w:hideMark/>
          </w:tcPr>
          <w:p w14:paraId="29FBD769" w14:textId="77777777" w:rsidR="00395956" w:rsidRPr="00395956" w:rsidRDefault="00395956" w:rsidP="00C500C3">
            <w:pPr>
              <w:rPr>
                <w:rFonts w:ascii="Arial" w:hAnsi="Arial" w:cs="Arial"/>
                <w:sz w:val="20"/>
                <w:szCs w:val="20"/>
              </w:rPr>
            </w:pPr>
          </w:p>
        </w:tc>
        <w:tc>
          <w:tcPr>
            <w:tcW w:w="0" w:type="auto"/>
            <w:hideMark/>
          </w:tcPr>
          <w:p w14:paraId="3D839569" w14:textId="77777777" w:rsidR="00395956" w:rsidRPr="00395956" w:rsidRDefault="00395956" w:rsidP="00C500C3">
            <w:pPr>
              <w:rPr>
                <w:rFonts w:ascii="Arial" w:hAnsi="Arial" w:cs="Arial"/>
                <w:sz w:val="20"/>
                <w:szCs w:val="20"/>
              </w:rPr>
            </w:pPr>
          </w:p>
        </w:tc>
        <w:tc>
          <w:tcPr>
            <w:tcW w:w="0" w:type="auto"/>
            <w:hideMark/>
          </w:tcPr>
          <w:p w14:paraId="7C07B4CF" w14:textId="77777777" w:rsidR="00395956" w:rsidRPr="00395956" w:rsidRDefault="00395956" w:rsidP="00C500C3">
            <w:pPr>
              <w:rPr>
                <w:rFonts w:ascii="Arial" w:hAnsi="Arial" w:cs="Arial"/>
                <w:sz w:val="20"/>
                <w:szCs w:val="20"/>
              </w:rPr>
            </w:pPr>
          </w:p>
        </w:tc>
        <w:tc>
          <w:tcPr>
            <w:tcW w:w="0" w:type="auto"/>
            <w:hideMark/>
          </w:tcPr>
          <w:p w14:paraId="4EB056F8" w14:textId="77777777" w:rsidR="00395956" w:rsidRPr="00395956" w:rsidRDefault="00395956" w:rsidP="00C500C3">
            <w:pPr>
              <w:rPr>
                <w:rFonts w:ascii="Arial" w:hAnsi="Arial" w:cs="Arial"/>
                <w:sz w:val="20"/>
                <w:szCs w:val="20"/>
              </w:rPr>
            </w:pPr>
          </w:p>
        </w:tc>
        <w:tc>
          <w:tcPr>
            <w:tcW w:w="0" w:type="auto"/>
            <w:hideMark/>
          </w:tcPr>
          <w:p w14:paraId="5E0545FA" w14:textId="77777777" w:rsidR="00395956" w:rsidRPr="00395956" w:rsidRDefault="00395956" w:rsidP="00C500C3">
            <w:pPr>
              <w:rPr>
                <w:rFonts w:ascii="Arial" w:hAnsi="Arial" w:cs="Arial"/>
                <w:sz w:val="20"/>
                <w:szCs w:val="20"/>
              </w:rPr>
            </w:pPr>
          </w:p>
        </w:tc>
        <w:tc>
          <w:tcPr>
            <w:tcW w:w="0" w:type="auto"/>
            <w:hideMark/>
          </w:tcPr>
          <w:p w14:paraId="0B5A7884" w14:textId="77777777" w:rsidR="00395956" w:rsidRPr="00395956" w:rsidRDefault="00395956" w:rsidP="00C500C3">
            <w:pPr>
              <w:rPr>
                <w:rFonts w:ascii="Arial" w:hAnsi="Arial" w:cs="Arial"/>
                <w:sz w:val="20"/>
                <w:szCs w:val="20"/>
              </w:rPr>
            </w:pPr>
          </w:p>
        </w:tc>
        <w:tc>
          <w:tcPr>
            <w:tcW w:w="0" w:type="auto"/>
            <w:hideMark/>
          </w:tcPr>
          <w:p w14:paraId="28CE1AA0" w14:textId="77777777" w:rsidR="00395956" w:rsidRPr="00395956" w:rsidRDefault="00395956" w:rsidP="00C500C3">
            <w:pPr>
              <w:rPr>
                <w:rFonts w:ascii="Arial" w:hAnsi="Arial" w:cs="Arial"/>
                <w:sz w:val="20"/>
                <w:szCs w:val="20"/>
              </w:rPr>
            </w:pPr>
          </w:p>
        </w:tc>
      </w:tr>
      <w:tr w:rsidR="00395956" w:rsidRPr="00C500C3" w14:paraId="4EEDCF07" w14:textId="77777777" w:rsidTr="00C026AC">
        <w:trPr>
          <w:trHeight w:val="421"/>
        </w:trPr>
        <w:tc>
          <w:tcPr>
            <w:tcW w:w="0" w:type="auto"/>
            <w:hideMark/>
          </w:tcPr>
          <w:p w14:paraId="0373B9C0" w14:textId="77777777" w:rsidR="00395956" w:rsidRPr="00395956" w:rsidRDefault="00395956" w:rsidP="00C500C3">
            <w:pPr>
              <w:rPr>
                <w:rFonts w:ascii="Arial" w:hAnsi="Arial" w:cs="Arial"/>
                <w:sz w:val="20"/>
                <w:szCs w:val="20"/>
              </w:rPr>
            </w:pPr>
            <w:r w:rsidRPr="00395956">
              <w:rPr>
                <w:rFonts w:ascii="Arial" w:hAnsi="Arial" w:cs="Arial"/>
                <w:sz w:val="20"/>
                <w:szCs w:val="20"/>
              </w:rPr>
              <w:t>Satisfaction Score</w:t>
            </w:r>
          </w:p>
        </w:tc>
        <w:tc>
          <w:tcPr>
            <w:tcW w:w="0" w:type="auto"/>
            <w:hideMark/>
          </w:tcPr>
          <w:p w14:paraId="09A9A038" w14:textId="77777777" w:rsidR="00395956" w:rsidRPr="00395956" w:rsidRDefault="00395956" w:rsidP="00C500C3">
            <w:pPr>
              <w:rPr>
                <w:rFonts w:ascii="Arial" w:hAnsi="Arial" w:cs="Arial"/>
                <w:sz w:val="20"/>
                <w:szCs w:val="20"/>
              </w:rPr>
            </w:pPr>
            <w:r w:rsidRPr="00395956">
              <w:rPr>
                <w:rFonts w:ascii="Arial" w:hAnsi="Arial" w:cs="Arial"/>
                <w:sz w:val="20"/>
                <w:szCs w:val="20"/>
              </w:rPr>
              <w:t>Baseline</w:t>
            </w:r>
          </w:p>
        </w:tc>
        <w:tc>
          <w:tcPr>
            <w:tcW w:w="0" w:type="auto"/>
            <w:hideMark/>
          </w:tcPr>
          <w:p w14:paraId="4B7430ED" w14:textId="77777777" w:rsidR="00395956" w:rsidRPr="00395956" w:rsidRDefault="00395956" w:rsidP="00C500C3">
            <w:pPr>
              <w:rPr>
                <w:rFonts w:ascii="Arial" w:hAnsi="Arial" w:cs="Arial"/>
                <w:sz w:val="20"/>
                <w:szCs w:val="20"/>
              </w:rPr>
            </w:pPr>
            <w:r w:rsidRPr="00395956">
              <w:rPr>
                <w:rFonts w:ascii="Arial" w:hAnsi="Arial" w:cs="Arial"/>
                <w:sz w:val="20"/>
                <w:szCs w:val="20"/>
              </w:rPr>
              <w:t>3.1 ± 1.4</w:t>
            </w:r>
          </w:p>
        </w:tc>
        <w:tc>
          <w:tcPr>
            <w:tcW w:w="0" w:type="auto"/>
            <w:hideMark/>
          </w:tcPr>
          <w:p w14:paraId="4385D0DC" w14:textId="77777777" w:rsidR="00395956" w:rsidRPr="00395956" w:rsidRDefault="00395956" w:rsidP="00C500C3">
            <w:pPr>
              <w:rPr>
                <w:rFonts w:ascii="Arial" w:hAnsi="Arial" w:cs="Arial"/>
                <w:sz w:val="20"/>
                <w:szCs w:val="20"/>
              </w:rPr>
            </w:pPr>
            <w:r w:rsidRPr="00395956">
              <w:rPr>
                <w:rFonts w:ascii="Arial" w:hAnsi="Arial" w:cs="Arial"/>
                <w:sz w:val="20"/>
                <w:szCs w:val="20"/>
              </w:rPr>
              <w:t>3.0 ± 1.3</w:t>
            </w:r>
          </w:p>
        </w:tc>
        <w:tc>
          <w:tcPr>
            <w:tcW w:w="0" w:type="auto"/>
            <w:hideMark/>
          </w:tcPr>
          <w:p w14:paraId="7FAA5CD0" w14:textId="77777777" w:rsidR="00395956" w:rsidRPr="00395956" w:rsidRDefault="00395956" w:rsidP="00C500C3">
            <w:pPr>
              <w:rPr>
                <w:rFonts w:ascii="Arial" w:hAnsi="Arial" w:cs="Arial"/>
                <w:sz w:val="20"/>
                <w:szCs w:val="20"/>
              </w:rPr>
            </w:pPr>
            <w:r w:rsidRPr="00395956">
              <w:rPr>
                <w:rFonts w:ascii="Arial" w:hAnsi="Arial" w:cs="Arial"/>
                <w:sz w:val="20"/>
                <w:szCs w:val="20"/>
              </w:rPr>
              <w:t>0.1 ± 1.4</w:t>
            </w:r>
          </w:p>
        </w:tc>
        <w:tc>
          <w:tcPr>
            <w:tcW w:w="0" w:type="auto"/>
            <w:hideMark/>
          </w:tcPr>
          <w:p w14:paraId="45B7900C" w14:textId="77777777" w:rsidR="00395956" w:rsidRPr="00395956" w:rsidRDefault="00395956" w:rsidP="00C500C3">
            <w:pPr>
              <w:rPr>
                <w:rFonts w:ascii="Arial" w:hAnsi="Arial" w:cs="Arial"/>
                <w:sz w:val="20"/>
                <w:szCs w:val="20"/>
              </w:rPr>
            </w:pPr>
            <w:r w:rsidRPr="00395956">
              <w:rPr>
                <w:rFonts w:ascii="Arial" w:hAnsi="Arial" w:cs="Arial"/>
                <w:sz w:val="20"/>
                <w:szCs w:val="20"/>
              </w:rPr>
              <w:t>0.73</w:t>
            </w:r>
          </w:p>
        </w:tc>
        <w:tc>
          <w:tcPr>
            <w:tcW w:w="0" w:type="auto"/>
            <w:hideMark/>
          </w:tcPr>
          <w:p w14:paraId="2E1DF932" w14:textId="77777777" w:rsidR="00395956" w:rsidRPr="00395956" w:rsidRDefault="00395956" w:rsidP="00C500C3">
            <w:pPr>
              <w:rPr>
                <w:rFonts w:ascii="Arial" w:hAnsi="Arial" w:cs="Arial"/>
                <w:sz w:val="20"/>
                <w:szCs w:val="20"/>
              </w:rPr>
            </w:pPr>
            <w:r w:rsidRPr="00395956">
              <w:rPr>
                <w:rFonts w:ascii="Arial" w:hAnsi="Arial" w:cs="Arial"/>
                <w:sz w:val="20"/>
                <w:szCs w:val="20"/>
              </w:rPr>
              <w:t>0.07</w:t>
            </w:r>
          </w:p>
        </w:tc>
      </w:tr>
      <w:tr w:rsidR="00395956" w:rsidRPr="00C500C3" w14:paraId="33579DF7" w14:textId="77777777" w:rsidTr="00C026AC">
        <w:trPr>
          <w:trHeight w:val="421"/>
        </w:trPr>
        <w:tc>
          <w:tcPr>
            <w:tcW w:w="0" w:type="auto"/>
            <w:hideMark/>
          </w:tcPr>
          <w:p w14:paraId="142C0D8C" w14:textId="77777777" w:rsidR="00395956" w:rsidRPr="00395956" w:rsidRDefault="00395956" w:rsidP="00C500C3">
            <w:pPr>
              <w:rPr>
                <w:rFonts w:ascii="Arial" w:hAnsi="Arial" w:cs="Arial"/>
                <w:sz w:val="20"/>
                <w:szCs w:val="20"/>
              </w:rPr>
            </w:pPr>
          </w:p>
        </w:tc>
        <w:tc>
          <w:tcPr>
            <w:tcW w:w="0" w:type="auto"/>
            <w:hideMark/>
          </w:tcPr>
          <w:p w14:paraId="79106AB4" w14:textId="77777777" w:rsidR="00395956" w:rsidRPr="00395956" w:rsidRDefault="00395956" w:rsidP="00C500C3">
            <w:pPr>
              <w:rPr>
                <w:rFonts w:ascii="Arial" w:hAnsi="Arial" w:cs="Arial"/>
                <w:sz w:val="20"/>
                <w:szCs w:val="20"/>
              </w:rPr>
            </w:pPr>
            <w:r w:rsidRPr="00395956">
              <w:rPr>
                <w:rFonts w:ascii="Arial" w:hAnsi="Arial" w:cs="Arial"/>
                <w:sz w:val="20"/>
                <w:szCs w:val="20"/>
              </w:rPr>
              <w:t>6 weeks</w:t>
            </w:r>
          </w:p>
        </w:tc>
        <w:tc>
          <w:tcPr>
            <w:tcW w:w="0" w:type="auto"/>
            <w:hideMark/>
          </w:tcPr>
          <w:p w14:paraId="05DA7A19" w14:textId="77777777" w:rsidR="00395956" w:rsidRPr="00395956" w:rsidRDefault="00395956" w:rsidP="00C500C3">
            <w:pPr>
              <w:rPr>
                <w:rFonts w:ascii="Arial" w:hAnsi="Arial" w:cs="Arial"/>
                <w:sz w:val="20"/>
                <w:szCs w:val="20"/>
              </w:rPr>
            </w:pPr>
            <w:r w:rsidRPr="00395956">
              <w:rPr>
                <w:rFonts w:ascii="Arial" w:hAnsi="Arial" w:cs="Arial"/>
                <w:sz w:val="20"/>
                <w:szCs w:val="20"/>
              </w:rPr>
              <w:t>6.1 ± 1.8</w:t>
            </w:r>
          </w:p>
        </w:tc>
        <w:tc>
          <w:tcPr>
            <w:tcW w:w="0" w:type="auto"/>
            <w:hideMark/>
          </w:tcPr>
          <w:p w14:paraId="298ACA8E" w14:textId="77777777" w:rsidR="00395956" w:rsidRPr="00395956" w:rsidRDefault="00395956" w:rsidP="00C500C3">
            <w:pPr>
              <w:rPr>
                <w:rFonts w:ascii="Arial" w:hAnsi="Arial" w:cs="Arial"/>
                <w:sz w:val="20"/>
                <w:szCs w:val="20"/>
              </w:rPr>
            </w:pPr>
            <w:r w:rsidRPr="00395956">
              <w:rPr>
                <w:rFonts w:ascii="Arial" w:hAnsi="Arial" w:cs="Arial"/>
                <w:sz w:val="20"/>
                <w:szCs w:val="20"/>
              </w:rPr>
              <w:t>4.9 ± 1.6</w:t>
            </w:r>
          </w:p>
        </w:tc>
        <w:tc>
          <w:tcPr>
            <w:tcW w:w="0" w:type="auto"/>
            <w:hideMark/>
          </w:tcPr>
          <w:p w14:paraId="4C896946" w14:textId="77777777" w:rsidR="00395956" w:rsidRPr="00395956" w:rsidRDefault="00395956" w:rsidP="00C500C3">
            <w:pPr>
              <w:rPr>
                <w:rFonts w:ascii="Arial" w:hAnsi="Arial" w:cs="Arial"/>
                <w:sz w:val="20"/>
                <w:szCs w:val="20"/>
              </w:rPr>
            </w:pPr>
            <w:r w:rsidRPr="00395956">
              <w:rPr>
                <w:rFonts w:ascii="Arial" w:hAnsi="Arial" w:cs="Arial"/>
                <w:sz w:val="20"/>
                <w:szCs w:val="20"/>
              </w:rPr>
              <w:t>1.2 ± 1.7</w:t>
            </w:r>
          </w:p>
        </w:tc>
        <w:tc>
          <w:tcPr>
            <w:tcW w:w="0" w:type="auto"/>
            <w:hideMark/>
          </w:tcPr>
          <w:p w14:paraId="4E988B67" w14:textId="77777777" w:rsidR="00395956" w:rsidRPr="00395956" w:rsidRDefault="00395956" w:rsidP="00C500C3">
            <w:pPr>
              <w:rPr>
                <w:rFonts w:ascii="Arial" w:hAnsi="Arial" w:cs="Arial"/>
                <w:sz w:val="20"/>
                <w:szCs w:val="20"/>
              </w:rPr>
            </w:pPr>
            <w:r w:rsidRPr="00395956">
              <w:rPr>
                <w:rFonts w:ascii="Arial" w:hAnsi="Arial" w:cs="Arial"/>
                <w:sz w:val="20"/>
                <w:szCs w:val="20"/>
              </w:rPr>
              <w:t>0.002**</w:t>
            </w:r>
          </w:p>
        </w:tc>
        <w:tc>
          <w:tcPr>
            <w:tcW w:w="0" w:type="auto"/>
            <w:hideMark/>
          </w:tcPr>
          <w:p w14:paraId="4D28DA9D" w14:textId="77777777" w:rsidR="00395956" w:rsidRPr="00395956" w:rsidRDefault="00395956" w:rsidP="00C500C3">
            <w:pPr>
              <w:rPr>
                <w:rFonts w:ascii="Arial" w:hAnsi="Arial" w:cs="Arial"/>
                <w:sz w:val="20"/>
                <w:szCs w:val="20"/>
              </w:rPr>
            </w:pPr>
            <w:r w:rsidRPr="00395956">
              <w:rPr>
                <w:rFonts w:ascii="Arial" w:hAnsi="Arial" w:cs="Arial"/>
                <w:sz w:val="20"/>
                <w:szCs w:val="20"/>
              </w:rPr>
              <w:t>0.71</w:t>
            </w:r>
          </w:p>
        </w:tc>
      </w:tr>
      <w:tr w:rsidR="00395956" w:rsidRPr="00C500C3" w14:paraId="56242BA0" w14:textId="77777777" w:rsidTr="00C026AC">
        <w:trPr>
          <w:trHeight w:val="401"/>
        </w:trPr>
        <w:tc>
          <w:tcPr>
            <w:tcW w:w="0" w:type="auto"/>
            <w:hideMark/>
          </w:tcPr>
          <w:p w14:paraId="4353D9E8" w14:textId="77777777" w:rsidR="00395956" w:rsidRPr="00395956" w:rsidRDefault="00395956" w:rsidP="00C500C3">
            <w:pPr>
              <w:rPr>
                <w:rFonts w:ascii="Arial" w:hAnsi="Arial" w:cs="Arial"/>
                <w:sz w:val="20"/>
                <w:szCs w:val="20"/>
              </w:rPr>
            </w:pPr>
          </w:p>
        </w:tc>
        <w:tc>
          <w:tcPr>
            <w:tcW w:w="0" w:type="auto"/>
            <w:hideMark/>
          </w:tcPr>
          <w:p w14:paraId="02DB7692" w14:textId="77777777" w:rsidR="00395956" w:rsidRPr="00395956" w:rsidRDefault="00395956" w:rsidP="00C500C3">
            <w:pPr>
              <w:rPr>
                <w:rFonts w:ascii="Arial" w:hAnsi="Arial" w:cs="Arial"/>
                <w:sz w:val="20"/>
                <w:szCs w:val="20"/>
              </w:rPr>
            </w:pPr>
            <w:r w:rsidRPr="00395956">
              <w:rPr>
                <w:rFonts w:ascii="Arial" w:hAnsi="Arial" w:cs="Arial"/>
                <w:sz w:val="20"/>
                <w:szCs w:val="20"/>
              </w:rPr>
              <w:t>12 weeks</w:t>
            </w:r>
          </w:p>
        </w:tc>
        <w:tc>
          <w:tcPr>
            <w:tcW w:w="0" w:type="auto"/>
            <w:hideMark/>
          </w:tcPr>
          <w:p w14:paraId="386077FC" w14:textId="77777777" w:rsidR="00395956" w:rsidRPr="00395956" w:rsidRDefault="00395956" w:rsidP="00C500C3">
            <w:pPr>
              <w:rPr>
                <w:rFonts w:ascii="Arial" w:hAnsi="Arial" w:cs="Arial"/>
                <w:sz w:val="20"/>
                <w:szCs w:val="20"/>
              </w:rPr>
            </w:pPr>
            <w:r w:rsidRPr="00395956">
              <w:rPr>
                <w:rFonts w:ascii="Arial" w:hAnsi="Arial" w:cs="Arial"/>
                <w:sz w:val="20"/>
                <w:szCs w:val="20"/>
              </w:rPr>
              <w:t>7.2 ± 1.8</w:t>
            </w:r>
          </w:p>
        </w:tc>
        <w:tc>
          <w:tcPr>
            <w:tcW w:w="0" w:type="auto"/>
            <w:hideMark/>
          </w:tcPr>
          <w:p w14:paraId="67E7DA2F" w14:textId="77777777" w:rsidR="00395956" w:rsidRPr="00395956" w:rsidRDefault="00395956" w:rsidP="00C500C3">
            <w:pPr>
              <w:rPr>
                <w:rFonts w:ascii="Arial" w:hAnsi="Arial" w:cs="Arial"/>
                <w:sz w:val="20"/>
                <w:szCs w:val="20"/>
              </w:rPr>
            </w:pPr>
            <w:r w:rsidRPr="00395956">
              <w:rPr>
                <w:rFonts w:ascii="Arial" w:hAnsi="Arial" w:cs="Arial"/>
                <w:sz w:val="20"/>
                <w:szCs w:val="20"/>
              </w:rPr>
              <w:t>5.7 ± 1.9</w:t>
            </w:r>
          </w:p>
        </w:tc>
        <w:tc>
          <w:tcPr>
            <w:tcW w:w="0" w:type="auto"/>
            <w:hideMark/>
          </w:tcPr>
          <w:p w14:paraId="44AA3389" w14:textId="77777777" w:rsidR="00395956" w:rsidRPr="00395956" w:rsidRDefault="00395956" w:rsidP="00C500C3">
            <w:pPr>
              <w:rPr>
                <w:rFonts w:ascii="Arial" w:hAnsi="Arial" w:cs="Arial"/>
                <w:sz w:val="20"/>
                <w:szCs w:val="20"/>
              </w:rPr>
            </w:pPr>
            <w:r w:rsidRPr="00395956">
              <w:rPr>
                <w:rFonts w:ascii="Arial" w:hAnsi="Arial" w:cs="Arial"/>
                <w:sz w:val="20"/>
                <w:szCs w:val="20"/>
              </w:rPr>
              <w:t>1.5 ± 1.9</w:t>
            </w:r>
          </w:p>
        </w:tc>
        <w:tc>
          <w:tcPr>
            <w:tcW w:w="0" w:type="auto"/>
            <w:hideMark/>
          </w:tcPr>
          <w:p w14:paraId="5087EF47" w14:textId="77777777" w:rsidR="00395956" w:rsidRPr="00395956" w:rsidRDefault="00395956" w:rsidP="00C500C3">
            <w:pPr>
              <w:rPr>
                <w:rFonts w:ascii="Arial" w:hAnsi="Arial" w:cs="Arial"/>
                <w:sz w:val="20"/>
                <w:szCs w:val="20"/>
              </w:rPr>
            </w:pPr>
            <w:r w:rsidRPr="00395956">
              <w:rPr>
                <w:rFonts w:ascii="Arial" w:hAnsi="Arial" w:cs="Arial"/>
                <w:sz w:val="20"/>
                <w:szCs w:val="20"/>
              </w:rPr>
              <w:t>&lt;0.001***</w:t>
            </w:r>
          </w:p>
        </w:tc>
        <w:tc>
          <w:tcPr>
            <w:tcW w:w="0" w:type="auto"/>
            <w:hideMark/>
          </w:tcPr>
          <w:p w14:paraId="09F34ED6" w14:textId="77777777" w:rsidR="00395956" w:rsidRPr="00395956" w:rsidRDefault="00395956" w:rsidP="00C500C3">
            <w:pPr>
              <w:rPr>
                <w:rFonts w:ascii="Arial" w:hAnsi="Arial" w:cs="Arial"/>
                <w:sz w:val="20"/>
                <w:szCs w:val="20"/>
              </w:rPr>
            </w:pPr>
            <w:r w:rsidRPr="00395956">
              <w:rPr>
                <w:rFonts w:ascii="Arial" w:hAnsi="Arial" w:cs="Arial"/>
                <w:sz w:val="20"/>
                <w:szCs w:val="20"/>
              </w:rPr>
              <w:t>0.81</w:t>
            </w:r>
          </w:p>
        </w:tc>
      </w:tr>
      <w:tr w:rsidR="00395956" w:rsidRPr="00C500C3" w14:paraId="27A7B872" w14:textId="77777777" w:rsidTr="00C026AC">
        <w:tc>
          <w:tcPr>
            <w:tcW w:w="0" w:type="auto"/>
            <w:hideMark/>
          </w:tcPr>
          <w:p w14:paraId="44AA88B1" w14:textId="77777777" w:rsidR="00395956" w:rsidRPr="00395956" w:rsidRDefault="00395956" w:rsidP="00C500C3">
            <w:pPr>
              <w:rPr>
                <w:rFonts w:ascii="Arial" w:hAnsi="Arial" w:cs="Arial"/>
                <w:sz w:val="20"/>
                <w:szCs w:val="20"/>
              </w:rPr>
            </w:pPr>
          </w:p>
        </w:tc>
        <w:tc>
          <w:tcPr>
            <w:tcW w:w="0" w:type="auto"/>
            <w:hideMark/>
          </w:tcPr>
          <w:p w14:paraId="5D4AD9E5" w14:textId="77777777" w:rsidR="00395956" w:rsidRPr="00395956" w:rsidRDefault="00395956" w:rsidP="00C500C3">
            <w:pPr>
              <w:rPr>
                <w:rFonts w:ascii="Arial" w:hAnsi="Arial" w:cs="Arial"/>
                <w:sz w:val="20"/>
                <w:szCs w:val="20"/>
              </w:rPr>
            </w:pPr>
          </w:p>
        </w:tc>
        <w:tc>
          <w:tcPr>
            <w:tcW w:w="0" w:type="auto"/>
            <w:hideMark/>
          </w:tcPr>
          <w:p w14:paraId="1B96201A" w14:textId="77777777" w:rsidR="00395956" w:rsidRPr="00395956" w:rsidRDefault="00395956" w:rsidP="00C500C3">
            <w:pPr>
              <w:rPr>
                <w:rFonts w:ascii="Arial" w:hAnsi="Arial" w:cs="Arial"/>
                <w:sz w:val="20"/>
                <w:szCs w:val="20"/>
              </w:rPr>
            </w:pPr>
          </w:p>
        </w:tc>
        <w:tc>
          <w:tcPr>
            <w:tcW w:w="0" w:type="auto"/>
            <w:hideMark/>
          </w:tcPr>
          <w:p w14:paraId="695A4D39" w14:textId="77777777" w:rsidR="00395956" w:rsidRPr="00395956" w:rsidRDefault="00395956" w:rsidP="00C500C3">
            <w:pPr>
              <w:rPr>
                <w:rFonts w:ascii="Arial" w:hAnsi="Arial" w:cs="Arial"/>
                <w:sz w:val="20"/>
                <w:szCs w:val="20"/>
              </w:rPr>
            </w:pPr>
          </w:p>
        </w:tc>
        <w:tc>
          <w:tcPr>
            <w:tcW w:w="0" w:type="auto"/>
            <w:hideMark/>
          </w:tcPr>
          <w:p w14:paraId="4851845C" w14:textId="77777777" w:rsidR="00395956" w:rsidRPr="00395956" w:rsidRDefault="00395956" w:rsidP="00C500C3">
            <w:pPr>
              <w:rPr>
                <w:rFonts w:ascii="Arial" w:hAnsi="Arial" w:cs="Arial"/>
                <w:sz w:val="20"/>
                <w:szCs w:val="20"/>
              </w:rPr>
            </w:pPr>
          </w:p>
        </w:tc>
        <w:tc>
          <w:tcPr>
            <w:tcW w:w="0" w:type="auto"/>
            <w:hideMark/>
          </w:tcPr>
          <w:p w14:paraId="7A4F928A" w14:textId="77777777" w:rsidR="00395956" w:rsidRPr="00395956" w:rsidRDefault="00395956" w:rsidP="00C500C3">
            <w:pPr>
              <w:rPr>
                <w:rFonts w:ascii="Arial" w:hAnsi="Arial" w:cs="Arial"/>
                <w:sz w:val="20"/>
                <w:szCs w:val="20"/>
              </w:rPr>
            </w:pPr>
          </w:p>
        </w:tc>
        <w:tc>
          <w:tcPr>
            <w:tcW w:w="0" w:type="auto"/>
            <w:hideMark/>
          </w:tcPr>
          <w:p w14:paraId="59B59F28" w14:textId="77777777" w:rsidR="00395956" w:rsidRPr="00395956" w:rsidRDefault="00395956" w:rsidP="00C500C3">
            <w:pPr>
              <w:rPr>
                <w:rFonts w:ascii="Arial" w:hAnsi="Arial" w:cs="Arial"/>
                <w:sz w:val="20"/>
                <w:szCs w:val="20"/>
              </w:rPr>
            </w:pPr>
          </w:p>
        </w:tc>
      </w:tr>
    </w:tbl>
    <w:p w14:paraId="685BAB01" w14:textId="77777777" w:rsidR="00C500C3" w:rsidRPr="00C500C3" w:rsidRDefault="00C500C3" w:rsidP="00C500C3">
      <w:pPr>
        <w:spacing w:before="100" w:beforeAutospacing="1" w:after="100" w:afterAutospacing="1"/>
        <w:rPr>
          <w:rFonts w:ascii="Arial" w:hAnsi="Arial" w:cs="Arial"/>
        </w:rPr>
      </w:pPr>
      <w:r w:rsidRPr="00C500C3">
        <w:rPr>
          <w:rFonts w:ascii="Arial" w:hAnsi="Arial" w:cs="Arial"/>
        </w:rPr>
        <w:t>*Values presented as mean ± standard deviation; **</w:t>
      </w:r>
      <w:r w:rsidRPr="00C500C3">
        <w:rPr>
          <w:rFonts w:ascii="Arial" w:hAnsi="Arial" w:cs="Arial"/>
          <w:i/>
        </w:rPr>
        <w:t>p</w:t>
      </w:r>
      <w:r w:rsidRPr="00C500C3">
        <w:rPr>
          <w:rFonts w:ascii="Arial" w:hAnsi="Arial" w:cs="Arial"/>
        </w:rPr>
        <w:t>&lt;0.01, **</w:t>
      </w:r>
      <w:r w:rsidRPr="00C500C3">
        <w:rPr>
          <w:rFonts w:ascii="Arial" w:hAnsi="Arial" w:cs="Arial"/>
          <w:i/>
        </w:rPr>
        <w:t>p</w:t>
      </w:r>
      <w:r w:rsidRPr="00C500C3">
        <w:rPr>
          <w:rFonts w:ascii="Arial" w:hAnsi="Arial" w:cs="Arial"/>
        </w:rPr>
        <w:t>&lt;0.001</w:t>
      </w:r>
    </w:p>
    <w:p w14:paraId="1FBC2B0B" w14:textId="77777777" w:rsidR="00C500C3" w:rsidRPr="00C500C3" w:rsidRDefault="00C500C3" w:rsidP="00C500C3">
      <w:pPr>
        <w:spacing w:before="100" w:beforeAutospacing="1" w:after="100" w:afterAutospacing="1"/>
        <w:jc w:val="both"/>
        <w:outlineLvl w:val="2"/>
        <w:rPr>
          <w:rFonts w:ascii="Arial" w:hAnsi="Arial" w:cs="Arial"/>
          <w:b/>
        </w:rPr>
      </w:pPr>
      <w:r w:rsidRPr="00C500C3">
        <w:rPr>
          <w:rFonts w:ascii="Arial" w:hAnsi="Arial" w:cs="Arial"/>
          <w:b/>
        </w:rPr>
        <w:t>Table 5: Summary of Treatment Adherence and Adverse Events</w:t>
      </w:r>
    </w:p>
    <w:tbl>
      <w:tblPr>
        <w:tblStyle w:val="TableGrid"/>
        <w:tblW w:w="0" w:type="auto"/>
        <w:tblLook w:val="04A0" w:firstRow="1" w:lastRow="0" w:firstColumn="1" w:lastColumn="0" w:noHBand="0" w:noVBand="1"/>
      </w:tblPr>
      <w:tblGrid>
        <w:gridCol w:w="3411"/>
        <w:gridCol w:w="2331"/>
        <w:gridCol w:w="1809"/>
        <w:gridCol w:w="873"/>
      </w:tblGrid>
      <w:tr w:rsidR="00C500C3" w:rsidRPr="00C500C3" w14:paraId="7DEA131A" w14:textId="77777777" w:rsidTr="0037287F">
        <w:tc>
          <w:tcPr>
            <w:tcW w:w="0" w:type="auto"/>
            <w:hideMark/>
          </w:tcPr>
          <w:p w14:paraId="10CC0B22" w14:textId="77777777" w:rsidR="00C500C3" w:rsidRPr="0037287F" w:rsidRDefault="00C500C3" w:rsidP="00C500C3">
            <w:pPr>
              <w:jc w:val="center"/>
              <w:rPr>
                <w:rFonts w:ascii="Arial" w:hAnsi="Arial" w:cs="Arial"/>
                <w:sz w:val="20"/>
                <w:szCs w:val="20"/>
              </w:rPr>
            </w:pPr>
            <w:r w:rsidRPr="0037287F">
              <w:rPr>
                <w:rFonts w:ascii="Arial" w:hAnsi="Arial" w:cs="Arial"/>
                <w:sz w:val="20"/>
                <w:szCs w:val="20"/>
              </w:rPr>
              <w:t>Parameter</w:t>
            </w:r>
          </w:p>
        </w:tc>
        <w:tc>
          <w:tcPr>
            <w:tcW w:w="0" w:type="auto"/>
            <w:hideMark/>
          </w:tcPr>
          <w:p w14:paraId="7ED3CB6C" w14:textId="77777777" w:rsidR="00C500C3" w:rsidRPr="0037287F" w:rsidRDefault="00C500C3" w:rsidP="00C500C3">
            <w:pPr>
              <w:jc w:val="center"/>
              <w:rPr>
                <w:rFonts w:ascii="Arial" w:hAnsi="Arial" w:cs="Arial"/>
                <w:sz w:val="20"/>
                <w:szCs w:val="20"/>
              </w:rPr>
            </w:pPr>
            <w:r w:rsidRPr="0037287F">
              <w:rPr>
                <w:rFonts w:ascii="Arial" w:hAnsi="Arial" w:cs="Arial"/>
                <w:sz w:val="20"/>
                <w:szCs w:val="20"/>
              </w:rPr>
              <w:t>Experimental Group (n=42)</w:t>
            </w:r>
          </w:p>
        </w:tc>
        <w:tc>
          <w:tcPr>
            <w:tcW w:w="0" w:type="auto"/>
            <w:hideMark/>
          </w:tcPr>
          <w:p w14:paraId="1E2FF7A8" w14:textId="77777777" w:rsidR="00C500C3" w:rsidRPr="0037287F" w:rsidRDefault="00C500C3" w:rsidP="00C500C3">
            <w:pPr>
              <w:jc w:val="center"/>
              <w:rPr>
                <w:rFonts w:ascii="Arial" w:hAnsi="Arial" w:cs="Arial"/>
                <w:sz w:val="20"/>
                <w:szCs w:val="20"/>
              </w:rPr>
            </w:pPr>
            <w:r w:rsidRPr="0037287F">
              <w:rPr>
                <w:rFonts w:ascii="Arial" w:hAnsi="Arial" w:cs="Arial"/>
                <w:sz w:val="20"/>
                <w:szCs w:val="20"/>
              </w:rPr>
              <w:t>Control Group (n=42)</w:t>
            </w:r>
          </w:p>
        </w:tc>
        <w:tc>
          <w:tcPr>
            <w:tcW w:w="0" w:type="auto"/>
            <w:hideMark/>
          </w:tcPr>
          <w:p w14:paraId="313CA09A" w14:textId="77777777" w:rsidR="00C500C3" w:rsidRPr="0037287F" w:rsidRDefault="00C500C3" w:rsidP="00C500C3">
            <w:pPr>
              <w:jc w:val="center"/>
              <w:rPr>
                <w:rFonts w:ascii="Arial" w:hAnsi="Arial" w:cs="Arial"/>
                <w:sz w:val="20"/>
                <w:szCs w:val="20"/>
              </w:rPr>
            </w:pPr>
            <w:r w:rsidRPr="0037287F">
              <w:rPr>
                <w:rFonts w:ascii="Arial" w:hAnsi="Arial" w:cs="Arial"/>
                <w:i/>
                <w:sz w:val="20"/>
                <w:szCs w:val="20"/>
              </w:rPr>
              <w:t>p</w:t>
            </w:r>
            <w:r w:rsidRPr="0037287F">
              <w:rPr>
                <w:rFonts w:ascii="Arial" w:hAnsi="Arial" w:cs="Arial"/>
                <w:sz w:val="20"/>
                <w:szCs w:val="20"/>
              </w:rPr>
              <w:t>-value</w:t>
            </w:r>
          </w:p>
        </w:tc>
      </w:tr>
      <w:tr w:rsidR="00C500C3" w:rsidRPr="00C500C3" w14:paraId="507132A5" w14:textId="77777777" w:rsidTr="0037287F">
        <w:tc>
          <w:tcPr>
            <w:tcW w:w="0" w:type="auto"/>
            <w:hideMark/>
          </w:tcPr>
          <w:p w14:paraId="17EBC083" w14:textId="77777777" w:rsidR="00C500C3" w:rsidRPr="0037287F" w:rsidRDefault="00C500C3" w:rsidP="00C500C3">
            <w:pPr>
              <w:rPr>
                <w:rFonts w:ascii="Arial" w:hAnsi="Arial" w:cs="Arial"/>
                <w:sz w:val="20"/>
                <w:szCs w:val="20"/>
              </w:rPr>
            </w:pPr>
            <w:r w:rsidRPr="0037287F">
              <w:rPr>
                <w:rFonts w:ascii="Arial" w:hAnsi="Arial" w:cs="Arial"/>
                <w:sz w:val="20"/>
                <w:szCs w:val="20"/>
              </w:rPr>
              <w:t>Treatment Adherence</w:t>
            </w:r>
          </w:p>
        </w:tc>
        <w:tc>
          <w:tcPr>
            <w:tcW w:w="0" w:type="auto"/>
            <w:hideMark/>
          </w:tcPr>
          <w:p w14:paraId="4A452300" w14:textId="77777777" w:rsidR="00C500C3" w:rsidRPr="0037287F" w:rsidRDefault="00C500C3" w:rsidP="00C500C3">
            <w:pPr>
              <w:rPr>
                <w:rFonts w:ascii="Arial" w:hAnsi="Arial" w:cs="Arial"/>
                <w:sz w:val="20"/>
                <w:szCs w:val="20"/>
              </w:rPr>
            </w:pPr>
          </w:p>
        </w:tc>
        <w:tc>
          <w:tcPr>
            <w:tcW w:w="0" w:type="auto"/>
            <w:hideMark/>
          </w:tcPr>
          <w:p w14:paraId="595CA6CB" w14:textId="77777777" w:rsidR="00C500C3" w:rsidRPr="0037287F" w:rsidRDefault="00C500C3" w:rsidP="00C500C3">
            <w:pPr>
              <w:rPr>
                <w:rFonts w:ascii="Arial" w:hAnsi="Arial" w:cs="Arial"/>
                <w:sz w:val="20"/>
                <w:szCs w:val="20"/>
              </w:rPr>
            </w:pPr>
          </w:p>
        </w:tc>
        <w:tc>
          <w:tcPr>
            <w:tcW w:w="0" w:type="auto"/>
            <w:hideMark/>
          </w:tcPr>
          <w:p w14:paraId="527793E2" w14:textId="77777777" w:rsidR="00C500C3" w:rsidRPr="0037287F" w:rsidRDefault="00C500C3" w:rsidP="00C500C3">
            <w:pPr>
              <w:rPr>
                <w:rFonts w:ascii="Arial" w:hAnsi="Arial" w:cs="Arial"/>
                <w:sz w:val="20"/>
                <w:szCs w:val="20"/>
              </w:rPr>
            </w:pPr>
          </w:p>
        </w:tc>
      </w:tr>
      <w:tr w:rsidR="00C500C3" w:rsidRPr="00C500C3" w14:paraId="02AB52AA" w14:textId="77777777" w:rsidTr="0037287F">
        <w:tc>
          <w:tcPr>
            <w:tcW w:w="0" w:type="auto"/>
            <w:hideMark/>
          </w:tcPr>
          <w:p w14:paraId="21B0D336" w14:textId="77777777" w:rsidR="00C500C3" w:rsidRPr="0037287F" w:rsidRDefault="00C500C3" w:rsidP="00C500C3">
            <w:pPr>
              <w:rPr>
                <w:rFonts w:ascii="Arial" w:hAnsi="Arial" w:cs="Arial"/>
                <w:sz w:val="20"/>
                <w:szCs w:val="20"/>
              </w:rPr>
            </w:pPr>
            <w:r w:rsidRPr="0037287F">
              <w:rPr>
                <w:rFonts w:ascii="Arial" w:hAnsi="Arial" w:cs="Arial"/>
                <w:sz w:val="20"/>
                <w:szCs w:val="20"/>
              </w:rPr>
              <w:t>Sessions completed (out of 30), mean ± SD</w:t>
            </w:r>
          </w:p>
        </w:tc>
        <w:tc>
          <w:tcPr>
            <w:tcW w:w="0" w:type="auto"/>
            <w:hideMark/>
          </w:tcPr>
          <w:p w14:paraId="17A38E58" w14:textId="77777777" w:rsidR="00C500C3" w:rsidRPr="0037287F" w:rsidRDefault="00C500C3" w:rsidP="00C500C3">
            <w:pPr>
              <w:rPr>
                <w:rFonts w:ascii="Arial" w:hAnsi="Arial" w:cs="Arial"/>
                <w:sz w:val="20"/>
                <w:szCs w:val="20"/>
              </w:rPr>
            </w:pPr>
            <w:r w:rsidRPr="0037287F">
              <w:rPr>
                <w:rFonts w:ascii="Arial" w:hAnsi="Arial" w:cs="Arial"/>
                <w:sz w:val="20"/>
                <w:szCs w:val="20"/>
              </w:rPr>
              <w:t>28.4 ± 2.1</w:t>
            </w:r>
          </w:p>
        </w:tc>
        <w:tc>
          <w:tcPr>
            <w:tcW w:w="0" w:type="auto"/>
            <w:hideMark/>
          </w:tcPr>
          <w:p w14:paraId="789883A2" w14:textId="77777777" w:rsidR="00C500C3" w:rsidRPr="0037287F" w:rsidRDefault="00C500C3" w:rsidP="00C500C3">
            <w:pPr>
              <w:rPr>
                <w:rFonts w:ascii="Arial" w:hAnsi="Arial" w:cs="Arial"/>
                <w:sz w:val="20"/>
                <w:szCs w:val="20"/>
              </w:rPr>
            </w:pPr>
            <w:r w:rsidRPr="0037287F">
              <w:rPr>
                <w:rFonts w:ascii="Arial" w:hAnsi="Arial" w:cs="Arial"/>
                <w:sz w:val="20"/>
                <w:szCs w:val="20"/>
              </w:rPr>
              <w:t>27.9 ± 2.3</w:t>
            </w:r>
          </w:p>
        </w:tc>
        <w:tc>
          <w:tcPr>
            <w:tcW w:w="0" w:type="auto"/>
            <w:hideMark/>
          </w:tcPr>
          <w:p w14:paraId="0DFECA80" w14:textId="77777777" w:rsidR="00C500C3" w:rsidRPr="0037287F" w:rsidRDefault="00C500C3" w:rsidP="00C500C3">
            <w:pPr>
              <w:rPr>
                <w:rFonts w:ascii="Arial" w:hAnsi="Arial" w:cs="Arial"/>
                <w:sz w:val="20"/>
                <w:szCs w:val="20"/>
              </w:rPr>
            </w:pPr>
            <w:r w:rsidRPr="0037287F">
              <w:rPr>
                <w:rFonts w:ascii="Arial" w:hAnsi="Arial" w:cs="Arial"/>
                <w:sz w:val="20"/>
                <w:szCs w:val="20"/>
              </w:rPr>
              <w:t>0.29</w:t>
            </w:r>
          </w:p>
        </w:tc>
      </w:tr>
      <w:tr w:rsidR="00C500C3" w:rsidRPr="00C500C3" w14:paraId="6DE0F4D0" w14:textId="77777777" w:rsidTr="0037287F">
        <w:tc>
          <w:tcPr>
            <w:tcW w:w="0" w:type="auto"/>
            <w:hideMark/>
          </w:tcPr>
          <w:p w14:paraId="018F0626" w14:textId="77777777" w:rsidR="00C500C3" w:rsidRPr="0037287F" w:rsidRDefault="00C500C3" w:rsidP="00C500C3">
            <w:pPr>
              <w:rPr>
                <w:rFonts w:ascii="Arial" w:hAnsi="Arial" w:cs="Arial"/>
                <w:sz w:val="20"/>
                <w:szCs w:val="20"/>
              </w:rPr>
            </w:pPr>
            <w:r w:rsidRPr="0037287F">
              <w:rPr>
                <w:rFonts w:ascii="Arial" w:hAnsi="Arial" w:cs="Arial"/>
                <w:sz w:val="20"/>
                <w:szCs w:val="20"/>
              </w:rPr>
              <w:t>Completion rate ≥80%, n (%)</w:t>
            </w:r>
          </w:p>
        </w:tc>
        <w:tc>
          <w:tcPr>
            <w:tcW w:w="0" w:type="auto"/>
            <w:hideMark/>
          </w:tcPr>
          <w:p w14:paraId="66EB90BC" w14:textId="77777777" w:rsidR="00C500C3" w:rsidRPr="0037287F" w:rsidRDefault="00C500C3" w:rsidP="00C500C3">
            <w:pPr>
              <w:rPr>
                <w:rFonts w:ascii="Arial" w:hAnsi="Arial" w:cs="Arial"/>
                <w:sz w:val="20"/>
                <w:szCs w:val="20"/>
              </w:rPr>
            </w:pPr>
            <w:r w:rsidRPr="0037287F">
              <w:rPr>
                <w:rFonts w:ascii="Arial" w:hAnsi="Arial" w:cs="Arial"/>
                <w:sz w:val="20"/>
                <w:szCs w:val="20"/>
              </w:rPr>
              <w:t>40 (95.2)</w:t>
            </w:r>
          </w:p>
        </w:tc>
        <w:tc>
          <w:tcPr>
            <w:tcW w:w="0" w:type="auto"/>
            <w:hideMark/>
          </w:tcPr>
          <w:p w14:paraId="761C5E38" w14:textId="77777777" w:rsidR="00C500C3" w:rsidRPr="0037287F" w:rsidRDefault="00C500C3" w:rsidP="00C500C3">
            <w:pPr>
              <w:rPr>
                <w:rFonts w:ascii="Arial" w:hAnsi="Arial" w:cs="Arial"/>
                <w:sz w:val="20"/>
                <w:szCs w:val="20"/>
              </w:rPr>
            </w:pPr>
            <w:r w:rsidRPr="0037287F">
              <w:rPr>
                <w:rFonts w:ascii="Arial" w:hAnsi="Arial" w:cs="Arial"/>
                <w:sz w:val="20"/>
                <w:szCs w:val="20"/>
              </w:rPr>
              <w:t>39 (92.9)</w:t>
            </w:r>
          </w:p>
        </w:tc>
        <w:tc>
          <w:tcPr>
            <w:tcW w:w="0" w:type="auto"/>
            <w:hideMark/>
          </w:tcPr>
          <w:p w14:paraId="395786F3" w14:textId="77777777" w:rsidR="00C500C3" w:rsidRPr="0037287F" w:rsidRDefault="00C500C3" w:rsidP="00C500C3">
            <w:pPr>
              <w:rPr>
                <w:rFonts w:ascii="Arial" w:hAnsi="Arial" w:cs="Arial"/>
                <w:sz w:val="20"/>
                <w:szCs w:val="20"/>
              </w:rPr>
            </w:pPr>
            <w:r w:rsidRPr="0037287F">
              <w:rPr>
                <w:rFonts w:ascii="Arial" w:hAnsi="Arial" w:cs="Arial"/>
                <w:sz w:val="20"/>
                <w:szCs w:val="20"/>
              </w:rPr>
              <w:t>0.64</w:t>
            </w:r>
          </w:p>
        </w:tc>
      </w:tr>
      <w:tr w:rsidR="00C500C3" w:rsidRPr="00C500C3" w14:paraId="2BC82BD1" w14:textId="77777777" w:rsidTr="0037287F">
        <w:tc>
          <w:tcPr>
            <w:tcW w:w="0" w:type="auto"/>
            <w:hideMark/>
          </w:tcPr>
          <w:p w14:paraId="6A1CB5EA" w14:textId="77777777" w:rsidR="00C500C3" w:rsidRPr="0037287F" w:rsidRDefault="00C500C3" w:rsidP="00C500C3">
            <w:pPr>
              <w:rPr>
                <w:rFonts w:ascii="Arial" w:hAnsi="Arial" w:cs="Arial"/>
                <w:sz w:val="20"/>
                <w:szCs w:val="20"/>
              </w:rPr>
            </w:pPr>
            <w:r w:rsidRPr="0037287F">
              <w:rPr>
                <w:rFonts w:ascii="Arial" w:hAnsi="Arial" w:cs="Arial"/>
                <w:sz w:val="20"/>
                <w:szCs w:val="20"/>
              </w:rPr>
              <w:t>Adverse Events</w:t>
            </w:r>
          </w:p>
        </w:tc>
        <w:tc>
          <w:tcPr>
            <w:tcW w:w="0" w:type="auto"/>
            <w:hideMark/>
          </w:tcPr>
          <w:p w14:paraId="6A7BB0A4" w14:textId="77777777" w:rsidR="00C500C3" w:rsidRPr="0037287F" w:rsidRDefault="00C500C3" w:rsidP="00C500C3">
            <w:pPr>
              <w:rPr>
                <w:rFonts w:ascii="Arial" w:hAnsi="Arial" w:cs="Arial"/>
                <w:sz w:val="20"/>
                <w:szCs w:val="20"/>
              </w:rPr>
            </w:pPr>
          </w:p>
        </w:tc>
        <w:tc>
          <w:tcPr>
            <w:tcW w:w="0" w:type="auto"/>
            <w:hideMark/>
          </w:tcPr>
          <w:p w14:paraId="26346D3B" w14:textId="77777777" w:rsidR="00C500C3" w:rsidRPr="0037287F" w:rsidRDefault="00C500C3" w:rsidP="00C500C3">
            <w:pPr>
              <w:rPr>
                <w:rFonts w:ascii="Arial" w:hAnsi="Arial" w:cs="Arial"/>
                <w:sz w:val="20"/>
                <w:szCs w:val="20"/>
              </w:rPr>
            </w:pPr>
          </w:p>
        </w:tc>
        <w:tc>
          <w:tcPr>
            <w:tcW w:w="0" w:type="auto"/>
            <w:hideMark/>
          </w:tcPr>
          <w:p w14:paraId="444F2841" w14:textId="77777777" w:rsidR="00C500C3" w:rsidRPr="0037287F" w:rsidRDefault="00C500C3" w:rsidP="00C500C3">
            <w:pPr>
              <w:rPr>
                <w:rFonts w:ascii="Arial" w:hAnsi="Arial" w:cs="Arial"/>
                <w:sz w:val="20"/>
                <w:szCs w:val="20"/>
              </w:rPr>
            </w:pPr>
          </w:p>
        </w:tc>
      </w:tr>
      <w:tr w:rsidR="00C500C3" w:rsidRPr="00C500C3" w14:paraId="5B7B62F5" w14:textId="77777777" w:rsidTr="0037287F">
        <w:tc>
          <w:tcPr>
            <w:tcW w:w="0" w:type="auto"/>
            <w:hideMark/>
          </w:tcPr>
          <w:p w14:paraId="3945C179" w14:textId="77777777" w:rsidR="00C500C3" w:rsidRPr="0037287F" w:rsidRDefault="00C500C3" w:rsidP="00C500C3">
            <w:pPr>
              <w:rPr>
                <w:rFonts w:ascii="Arial" w:hAnsi="Arial" w:cs="Arial"/>
                <w:sz w:val="20"/>
                <w:szCs w:val="20"/>
              </w:rPr>
            </w:pPr>
            <w:r w:rsidRPr="0037287F">
              <w:rPr>
                <w:rFonts w:ascii="Arial" w:hAnsi="Arial" w:cs="Arial"/>
                <w:sz w:val="20"/>
                <w:szCs w:val="20"/>
              </w:rPr>
              <w:t>Any adverse event, n (%)</w:t>
            </w:r>
          </w:p>
        </w:tc>
        <w:tc>
          <w:tcPr>
            <w:tcW w:w="0" w:type="auto"/>
            <w:hideMark/>
          </w:tcPr>
          <w:p w14:paraId="441C22E9" w14:textId="77777777" w:rsidR="00C500C3" w:rsidRPr="0037287F" w:rsidRDefault="00C500C3" w:rsidP="00C500C3">
            <w:pPr>
              <w:rPr>
                <w:rFonts w:ascii="Arial" w:hAnsi="Arial" w:cs="Arial"/>
                <w:sz w:val="20"/>
                <w:szCs w:val="20"/>
              </w:rPr>
            </w:pPr>
            <w:r w:rsidRPr="0037287F">
              <w:rPr>
                <w:rFonts w:ascii="Arial" w:hAnsi="Arial" w:cs="Arial"/>
                <w:sz w:val="20"/>
                <w:szCs w:val="20"/>
              </w:rPr>
              <w:t>8 (19.0)</w:t>
            </w:r>
          </w:p>
        </w:tc>
        <w:tc>
          <w:tcPr>
            <w:tcW w:w="0" w:type="auto"/>
            <w:hideMark/>
          </w:tcPr>
          <w:p w14:paraId="06742A53" w14:textId="77777777" w:rsidR="00C500C3" w:rsidRPr="0037287F" w:rsidRDefault="00C500C3" w:rsidP="00C500C3">
            <w:pPr>
              <w:rPr>
                <w:rFonts w:ascii="Arial" w:hAnsi="Arial" w:cs="Arial"/>
                <w:sz w:val="20"/>
                <w:szCs w:val="20"/>
              </w:rPr>
            </w:pPr>
            <w:r w:rsidRPr="0037287F">
              <w:rPr>
                <w:rFonts w:ascii="Arial" w:hAnsi="Arial" w:cs="Arial"/>
                <w:sz w:val="20"/>
                <w:szCs w:val="20"/>
              </w:rPr>
              <w:t>2 (4.8)</w:t>
            </w:r>
          </w:p>
        </w:tc>
        <w:tc>
          <w:tcPr>
            <w:tcW w:w="0" w:type="auto"/>
            <w:hideMark/>
          </w:tcPr>
          <w:p w14:paraId="31887849" w14:textId="77777777" w:rsidR="00C500C3" w:rsidRPr="0037287F" w:rsidRDefault="00C500C3" w:rsidP="00C500C3">
            <w:pPr>
              <w:rPr>
                <w:rFonts w:ascii="Arial" w:hAnsi="Arial" w:cs="Arial"/>
                <w:sz w:val="20"/>
                <w:szCs w:val="20"/>
              </w:rPr>
            </w:pPr>
            <w:r w:rsidRPr="0037287F">
              <w:rPr>
                <w:rFonts w:ascii="Arial" w:hAnsi="Arial" w:cs="Arial"/>
                <w:sz w:val="20"/>
                <w:szCs w:val="20"/>
              </w:rPr>
              <w:t>0.04*</w:t>
            </w:r>
          </w:p>
        </w:tc>
      </w:tr>
      <w:tr w:rsidR="00C500C3" w:rsidRPr="00C500C3" w14:paraId="248BAB6E" w14:textId="77777777" w:rsidTr="0037287F">
        <w:tc>
          <w:tcPr>
            <w:tcW w:w="0" w:type="auto"/>
            <w:hideMark/>
          </w:tcPr>
          <w:p w14:paraId="27903410" w14:textId="77777777" w:rsidR="00C500C3" w:rsidRPr="0037287F" w:rsidRDefault="00C500C3" w:rsidP="00C500C3">
            <w:pPr>
              <w:rPr>
                <w:rFonts w:ascii="Arial" w:hAnsi="Arial" w:cs="Arial"/>
                <w:sz w:val="20"/>
                <w:szCs w:val="20"/>
              </w:rPr>
            </w:pPr>
            <w:r w:rsidRPr="0037287F">
              <w:rPr>
                <w:rFonts w:ascii="Arial" w:hAnsi="Arial" w:cs="Arial"/>
                <w:sz w:val="20"/>
                <w:szCs w:val="20"/>
              </w:rPr>
              <w:t>Skin redness at electrode sites</w:t>
            </w:r>
          </w:p>
        </w:tc>
        <w:tc>
          <w:tcPr>
            <w:tcW w:w="0" w:type="auto"/>
            <w:hideMark/>
          </w:tcPr>
          <w:p w14:paraId="622A023B" w14:textId="77777777" w:rsidR="00C500C3" w:rsidRPr="0037287F" w:rsidRDefault="00C500C3" w:rsidP="00C500C3">
            <w:pPr>
              <w:rPr>
                <w:rFonts w:ascii="Arial" w:hAnsi="Arial" w:cs="Arial"/>
                <w:sz w:val="20"/>
                <w:szCs w:val="20"/>
              </w:rPr>
            </w:pPr>
            <w:r w:rsidRPr="0037287F">
              <w:rPr>
                <w:rFonts w:ascii="Arial" w:hAnsi="Arial" w:cs="Arial"/>
                <w:sz w:val="20"/>
                <w:szCs w:val="20"/>
              </w:rPr>
              <w:t>8 (19.0)</w:t>
            </w:r>
          </w:p>
        </w:tc>
        <w:tc>
          <w:tcPr>
            <w:tcW w:w="0" w:type="auto"/>
            <w:hideMark/>
          </w:tcPr>
          <w:p w14:paraId="00A48906" w14:textId="77777777" w:rsidR="00C500C3" w:rsidRPr="0037287F" w:rsidRDefault="00C500C3" w:rsidP="00C500C3">
            <w:pPr>
              <w:rPr>
                <w:rFonts w:ascii="Arial" w:hAnsi="Arial" w:cs="Arial"/>
                <w:sz w:val="20"/>
                <w:szCs w:val="20"/>
              </w:rPr>
            </w:pPr>
            <w:r w:rsidRPr="0037287F">
              <w:rPr>
                <w:rFonts w:ascii="Arial" w:hAnsi="Arial" w:cs="Arial"/>
                <w:sz w:val="20"/>
                <w:szCs w:val="20"/>
              </w:rPr>
              <w:t>0 (0.0)</w:t>
            </w:r>
          </w:p>
        </w:tc>
        <w:tc>
          <w:tcPr>
            <w:tcW w:w="0" w:type="auto"/>
            <w:hideMark/>
          </w:tcPr>
          <w:p w14:paraId="43295AC2" w14:textId="77777777" w:rsidR="00C500C3" w:rsidRPr="0037287F" w:rsidRDefault="00C500C3" w:rsidP="00C500C3">
            <w:pPr>
              <w:rPr>
                <w:rFonts w:ascii="Arial" w:hAnsi="Arial" w:cs="Arial"/>
                <w:sz w:val="20"/>
                <w:szCs w:val="20"/>
              </w:rPr>
            </w:pPr>
            <w:r w:rsidRPr="0037287F">
              <w:rPr>
                <w:rFonts w:ascii="Arial" w:hAnsi="Arial" w:cs="Arial"/>
                <w:sz w:val="20"/>
                <w:szCs w:val="20"/>
              </w:rPr>
              <w:t>0.006**</w:t>
            </w:r>
          </w:p>
        </w:tc>
      </w:tr>
      <w:tr w:rsidR="00C500C3" w:rsidRPr="00C500C3" w14:paraId="5AF77613" w14:textId="77777777" w:rsidTr="0037287F">
        <w:tc>
          <w:tcPr>
            <w:tcW w:w="0" w:type="auto"/>
            <w:hideMark/>
          </w:tcPr>
          <w:p w14:paraId="1D3C6FEF" w14:textId="77777777" w:rsidR="00C500C3" w:rsidRPr="0037287F" w:rsidRDefault="00C500C3" w:rsidP="00C500C3">
            <w:pPr>
              <w:rPr>
                <w:rFonts w:ascii="Arial" w:hAnsi="Arial" w:cs="Arial"/>
                <w:sz w:val="20"/>
                <w:szCs w:val="20"/>
              </w:rPr>
            </w:pPr>
            <w:r w:rsidRPr="0037287F">
              <w:rPr>
                <w:rFonts w:ascii="Arial" w:hAnsi="Arial" w:cs="Arial"/>
                <w:sz w:val="20"/>
                <w:szCs w:val="20"/>
              </w:rPr>
              <w:t>Muscle soreness</w:t>
            </w:r>
          </w:p>
        </w:tc>
        <w:tc>
          <w:tcPr>
            <w:tcW w:w="0" w:type="auto"/>
            <w:hideMark/>
          </w:tcPr>
          <w:p w14:paraId="329ED68D" w14:textId="77777777" w:rsidR="00C500C3" w:rsidRPr="0037287F" w:rsidRDefault="00C500C3" w:rsidP="00C500C3">
            <w:pPr>
              <w:rPr>
                <w:rFonts w:ascii="Arial" w:hAnsi="Arial" w:cs="Arial"/>
                <w:sz w:val="20"/>
                <w:szCs w:val="20"/>
              </w:rPr>
            </w:pPr>
            <w:r w:rsidRPr="0037287F">
              <w:rPr>
                <w:rFonts w:ascii="Arial" w:hAnsi="Arial" w:cs="Arial"/>
                <w:sz w:val="20"/>
                <w:szCs w:val="20"/>
              </w:rPr>
              <w:t>0 (0.0)</w:t>
            </w:r>
          </w:p>
        </w:tc>
        <w:tc>
          <w:tcPr>
            <w:tcW w:w="0" w:type="auto"/>
            <w:hideMark/>
          </w:tcPr>
          <w:p w14:paraId="1299B7F1" w14:textId="77777777" w:rsidR="00C500C3" w:rsidRPr="0037287F" w:rsidRDefault="00C500C3" w:rsidP="00C500C3">
            <w:pPr>
              <w:rPr>
                <w:rFonts w:ascii="Arial" w:hAnsi="Arial" w:cs="Arial"/>
                <w:sz w:val="20"/>
                <w:szCs w:val="20"/>
              </w:rPr>
            </w:pPr>
            <w:r w:rsidRPr="0037287F">
              <w:rPr>
                <w:rFonts w:ascii="Arial" w:hAnsi="Arial" w:cs="Arial"/>
                <w:sz w:val="20"/>
                <w:szCs w:val="20"/>
              </w:rPr>
              <w:t>2 (4.8)</w:t>
            </w:r>
          </w:p>
        </w:tc>
        <w:tc>
          <w:tcPr>
            <w:tcW w:w="0" w:type="auto"/>
            <w:hideMark/>
          </w:tcPr>
          <w:p w14:paraId="2E324E6D" w14:textId="77777777" w:rsidR="00C500C3" w:rsidRPr="0037287F" w:rsidRDefault="00C500C3" w:rsidP="00C500C3">
            <w:pPr>
              <w:rPr>
                <w:rFonts w:ascii="Arial" w:hAnsi="Arial" w:cs="Arial"/>
                <w:sz w:val="20"/>
                <w:szCs w:val="20"/>
              </w:rPr>
            </w:pPr>
            <w:r w:rsidRPr="0037287F">
              <w:rPr>
                <w:rFonts w:ascii="Arial" w:hAnsi="Arial" w:cs="Arial"/>
                <w:sz w:val="20"/>
                <w:szCs w:val="20"/>
              </w:rPr>
              <w:t>0.15</w:t>
            </w:r>
          </w:p>
        </w:tc>
      </w:tr>
      <w:tr w:rsidR="00C500C3" w:rsidRPr="00C500C3" w14:paraId="02C009BF" w14:textId="77777777" w:rsidTr="0037287F">
        <w:tc>
          <w:tcPr>
            <w:tcW w:w="0" w:type="auto"/>
            <w:hideMark/>
          </w:tcPr>
          <w:p w14:paraId="6279A5DF" w14:textId="77777777" w:rsidR="00C500C3" w:rsidRPr="0037287F" w:rsidRDefault="00C500C3" w:rsidP="00C500C3">
            <w:pPr>
              <w:rPr>
                <w:rFonts w:ascii="Arial" w:hAnsi="Arial" w:cs="Arial"/>
                <w:sz w:val="20"/>
                <w:szCs w:val="20"/>
              </w:rPr>
            </w:pPr>
            <w:r w:rsidRPr="0037287F">
              <w:rPr>
                <w:rFonts w:ascii="Arial" w:hAnsi="Arial" w:cs="Arial"/>
                <w:sz w:val="20"/>
                <w:szCs w:val="20"/>
              </w:rPr>
              <w:t>Serious adverse events</w:t>
            </w:r>
          </w:p>
        </w:tc>
        <w:tc>
          <w:tcPr>
            <w:tcW w:w="0" w:type="auto"/>
            <w:hideMark/>
          </w:tcPr>
          <w:p w14:paraId="6FDD3639" w14:textId="77777777" w:rsidR="00C500C3" w:rsidRPr="0037287F" w:rsidRDefault="00C500C3" w:rsidP="00C500C3">
            <w:pPr>
              <w:rPr>
                <w:rFonts w:ascii="Arial" w:hAnsi="Arial" w:cs="Arial"/>
                <w:sz w:val="20"/>
                <w:szCs w:val="20"/>
              </w:rPr>
            </w:pPr>
            <w:r w:rsidRPr="0037287F">
              <w:rPr>
                <w:rFonts w:ascii="Arial" w:hAnsi="Arial" w:cs="Arial"/>
                <w:sz w:val="20"/>
                <w:szCs w:val="20"/>
              </w:rPr>
              <w:t>0 (0.0)</w:t>
            </w:r>
          </w:p>
        </w:tc>
        <w:tc>
          <w:tcPr>
            <w:tcW w:w="0" w:type="auto"/>
            <w:hideMark/>
          </w:tcPr>
          <w:p w14:paraId="14761D39" w14:textId="77777777" w:rsidR="00C500C3" w:rsidRPr="0037287F" w:rsidRDefault="00C500C3" w:rsidP="00C500C3">
            <w:pPr>
              <w:rPr>
                <w:rFonts w:ascii="Arial" w:hAnsi="Arial" w:cs="Arial"/>
                <w:sz w:val="20"/>
                <w:szCs w:val="20"/>
              </w:rPr>
            </w:pPr>
            <w:r w:rsidRPr="0037287F">
              <w:rPr>
                <w:rFonts w:ascii="Arial" w:hAnsi="Arial" w:cs="Arial"/>
                <w:sz w:val="20"/>
                <w:szCs w:val="20"/>
              </w:rPr>
              <w:t>0 (0.0)</w:t>
            </w:r>
          </w:p>
        </w:tc>
        <w:tc>
          <w:tcPr>
            <w:tcW w:w="0" w:type="auto"/>
            <w:hideMark/>
          </w:tcPr>
          <w:p w14:paraId="124BD892" w14:textId="77777777" w:rsidR="00C500C3" w:rsidRPr="0037287F" w:rsidRDefault="00C500C3" w:rsidP="00C500C3">
            <w:pPr>
              <w:rPr>
                <w:rFonts w:ascii="Arial" w:hAnsi="Arial" w:cs="Arial"/>
                <w:sz w:val="20"/>
                <w:szCs w:val="20"/>
              </w:rPr>
            </w:pPr>
            <w:r w:rsidRPr="0037287F">
              <w:rPr>
                <w:rFonts w:ascii="Arial" w:hAnsi="Arial" w:cs="Arial"/>
                <w:sz w:val="20"/>
                <w:szCs w:val="20"/>
              </w:rPr>
              <w:t>-</w:t>
            </w:r>
          </w:p>
        </w:tc>
      </w:tr>
      <w:tr w:rsidR="00C500C3" w:rsidRPr="00C500C3" w14:paraId="3FB9CC2E" w14:textId="77777777" w:rsidTr="0037287F">
        <w:tc>
          <w:tcPr>
            <w:tcW w:w="0" w:type="auto"/>
            <w:hideMark/>
          </w:tcPr>
          <w:p w14:paraId="1C429A6A" w14:textId="77777777" w:rsidR="00C500C3" w:rsidRPr="0037287F" w:rsidRDefault="00C500C3" w:rsidP="00C500C3">
            <w:pPr>
              <w:rPr>
                <w:rFonts w:ascii="Arial" w:hAnsi="Arial" w:cs="Arial"/>
                <w:sz w:val="20"/>
                <w:szCs w:val="20"/>
              </w:rPr>
            </w:pPr>
            <w:r w:rsidRPr="0037287F">
              <w:rPr>
                <w:rFonts w:ascii="Arial" w:hAnsi="Arial" w:cs="Arial"/>
                <w:sz w:val="20"/>
                <w:szCs w:val="20"/>
              </w:rPr>
              <w:t>Withdrawals due to adverse events</w:t>
            </w:r>
          </w:p>
        </w:tc>
        <w:tc>
          <w:tcPr>
            <w:tcW w:w="0" w:type="auto"/>
            <w:hideMark/>
          </w:tcPr>
          <w:p w14:paraId="422A8690" w14:textId="77777777" w:rsidR="00C500C3" w:rsidRPr="0037287F" w:rsidRDefault="00C500C3" w:rsidP="00C500C3">
            <w:pPr>
              <w:rPr>
                <w:rFonts w:ascii="Arial" w:hAnsi="Arial" w:cs="Arial"/>
                <w:sz w:val="20"/>
                <w:szCs w:val="20"/>
              </w:rPr>
            </w:pPr>
            <w:r w:rsidRPr="0037287F">
              <w:rPr>
                <w:rFonts w:ascii="Arial" w:hAnsi="Arial" w:cs="Arial"/>
                <w:sz w:val="20"/>
                <w:szCs w:val="20"/>
              </w:rPr>
              <w:t>0 (0.0)</w:t>
            </w:r>
          </w:p>
        </w:tc>
        <w:tc>
          <w:tcPr>
            <w:tcW w:w="0" w:type="auto"/>
            <w:hideMark/>
          </w:tcPr>
          <w:p w14:paraId="747919AD" w14:textId="77777777" w:rsidR="00C500C3" w:rsidRPr="0037287F" w:rsidRDefault="00C500C3" w:rsidP="00C500C3">
            <w:pPr>
              <w:rPr>
                <w:rFonts w:ascii="Arial" w:hAnsi="Arial" w:cs="Arial"/>
                <w:sz w:val="20"/>
                <w:szCs w:val="20"/>
              </w:rPr>
            </w:pPr>
            <w:r w:rsidRPr="0037287F">
              <w:rPr>
                <w:rFonts w:ascii="Arial" w:hAnsi="Arial" w:cs="Arial"/>
                <w:sz w:val="20"/>
                <w:szCs w:val="20"/>
              </w:rPr>
              <w:t>0 (0.0)</w:t>
            </w:r>
          </w:p>
        </w:tc>
        <w:tc>
          <w:tcPr>
            <w:tcW w:w="0" w:type="auto"/>
            <w:hideMark/>
          </w:tcPr>
          <w:p w14:paraId="64DAFA1B" w14:textId="77777777" w:rsidR="00C500C3" w:rsidRPr="0037287F" w:rsidRDefault="00C500C3" w:rsidP="00C500C3">
            <w:pPr>
              <w:rPr>
                <w:rFonts w:ascii="Arial" w:hAnsi="Arial" w:cs="Arial"/>
                <w:sz w:val="20"/>
                <w:szCs w:val="20"/>
              </w:rPr>
            </w:pPr>
            <w:r w:rsidRPr="0037287F">
              <w:rPr>
                <w:rFonts w:ascii="Arial" w:hAnsi="Arial" w:cs="Arial"/>
                <w:sz w:val="20"/>
                <w:szCs w:val="20"/>
              </w:rPr>
              <w:t>-</w:t>
            </w:r>
          </w:p>
        </w:tc>
      </w:tr>
    </w:tbl>
    <w:p w14:paraId="55DAC98A" w14:textId="77777777" w:rsidR="00C500C3" w:rsidRPr="00351535" w:rsidRDefault="00C500C3" w:rsidP="00846AC2">
      <w:pPr>
        <w:pStyle w:val="Head1"/>
        <w:spacing w:beforeLines="40" w:before="96" w:afterLines="40" w:after="96"/>
        <w:jc w:val="both"/>
        <w:rPr>
          <w:rFonts w:ascii="Arial" w:hAnsi="Arial" w:cs="Arial"/>
          <w:b w:val="0"/>
          <w:caps w:val="0"/>
          <w:sz w:val="20"/>
        </w:rPr>
      </w:pPr>
      <w:r w:rsidRPr="00C500C3">
        <w:rPr>
          <w:rFonts w:ascii="Arial" w:hAnsi="Arial" w:cs="Arial"/>
          <w:b w:val="0"/>
          <w:caps w:val="0"/>
          <w:sz w:val="20"/>
        </w:rPr>
        <w:t>*SD = Standard Deviation; *</w:t>
      </w:r>
      <w:r w:rsidRPr="00C500C3">
        <w:rPr>
          <w:rFonts w:ascii="Arial" w:hAnsi="Arial" w:cs="Arial"/>
          <w:b w:val="0"/>
          <w:i/>
          <w:caps w:val="0"/>
          <w:sz w:val="20"/>
        </w:rPr>
        <w:t>p</w:t>
      </w:r>
      <w:r w:rsidRPr="00C500C3">
        <w:rPr>
          <w:rFonts w:ascii="Arial" w:hAnsi="Arial" w:cs="Arial"/>
          <w:b w:val="0"/>
          <w:caps w:val="0"/>
          <w:sz w:val="20"/>
        </w:rPr>
        <w:t>&lt;0.05, *</w:t>
      </w:r>
      <w:r w:rsidRPr="00C500C3">
        <w:rPr>
          <w:rFonts w:ascii="Arial" w:hAnsi="Arial" w:cs="Arial"/>
          <w:b w:val="0"/>
          <w:i/>
          <w:caps w:val="0"/>
          <w:sz w:val="20"/>
        </w:rPr>
        <w:t>p</w:t>
      </w:r>
      <w:r w:rsidRPr="00C500C3">
        <w:rPr>
          <w:rFonts w:ascii="Arial" w:hAnsi="Arial" w:cs="Arial"/>
          <w:b w:val="0"/>
          <w:caps w:val="0"/>
          <w:sz w:val="20"/>
        </w:rPr>
        <w:t>&lt;0.01</w:t>
      </w:r>
    </w:p>
    <w:sectPr w:rsidR="00C500C3" w:rsidRPr="00351535" w:rsidSect="00AD3E1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0889D" w14:textId="77777777" w:rsidR="00935FA9" w:rsidRDefault="00935FA9" w:rsidP="00C37E61">
      <w:r>
        <w:separator/>
      </w:r>
    </w:p>
  </w:endnote>
  <w:endnote w:type="continuationSeparator" w:id="0">
    <w:p w14:paraId="39823680" w14:textId="77777777" w:rsidR="00935FA9" w:rsidRDefault="00935F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8B23B" w14:textId="77777777" w:rsidR="00AD3E12" w:rsidRDefault="00AD3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57E5" w14:textId="77777777" w:rsidR="00AD3E12" w:rsidRDefault="00AD3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CF828" w14:textId="77777777" w:rsidR="00395956" w:rsidRDefault="00395956">
    <w:pPr>
      <w:pStyle w:val="Footer"/>
      <w:rPr>
        <w:rFonts w:ascii="Arial" w:hAnsi="Arial" w:cs="Arial"/>
        <w:sz w:val="16"/>
      </w:rPr>
    </w:pPr>
  </w:p>
  <w:p w14:paraId="0D48E476" w14:textId="77777777" w:rsidR="00395956" w:rsidRDefault="0039595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07132BF" w14:textId="77777777" w:rsidR="00395956" w:rsidRDefault="00395956">
    <w:pPr>
      <w:pStyle w:val="Footer"/>
      <w:rPr>
        <w:rFonts w:ascii="Arial" w:hAnsi="Arial" w:cs="Arial"/>
        <w:sz w:val="16"/>
      </w:rPr>
    </w:pPr>
  </w:p>
  <w:p w14:paraId="51B4A5D9" w14:textId="77777777" w:rsidR="00395956" w:rsidRPr="009E048A" w:rsidRDefault="00395956">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B23B0" w14:textId="77777777" w:rsidR="00935FA9" w:rsidRDefault="00935FA9" w:rsidP="00C37E61">
      <w:r>
        <w:separator/>
      </w:r>
    </w:p>
  </w:footnote>
  <w:footnote w:type="continuationSeparator" w:id="0">
    <w:p w14:paraId="7A17A645" w14:textId="77777777" w:rsidR="00935FA9" w:rsidRDefault="00935F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295D2" w14:textId="31E2889B" w:rsidR="00AD3E12" w:rsidRDefault="00AD3E12">
    <w:pPr>
      <w:pStyle w:val="Header"/>
    </w:pPr>
    <w:r>
      <w:rPr>
        <w:noProof/>
      </w:rPr>
      <w:pict w14:anchorId="775FD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716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2B4E" w14:textId="5C0637BF" w:rsidR="00AD3E12" w:rsidRDefault="00AD3E12">
    <w:pPr>
      <w:pStyle w:val="Header"/>
    </w:pPr>
    <w:r>
      <w:rPr>
        <w:noProof/>
      </w:rPr>
      <w:pict w14:anchorId="2FBF6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716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510E9" w14:textId="2066FDE5" w:rsidR="00395956" w:rsidRPr="00296529" w:rsidRDefault="00AD3E12" w:rsidP="00296529">
    <w:pPr>
      <w:ind w:left="2160"/>
      <w:jc w:val="center"/>
      <w:rPr>
        <w:rFonts w:ascii="Times New Roman" w:eastAsia="Calibri" w:hAnsi="Times New Roman"/>
        <w:i/>
        <w:sz w:val="18"/>
        <w:szCs w:val="22"/>
      </w:rPr>
    </w:pPr>
    <w:r>
      <w:rPr>
        <w:noProof/>
      </w:rPr>
      <w:pict w14:anchorId="0D982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716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0167EC1" w14:textId="77777777" w:rsidR="00395956" w:rsidRPr="00296529" w:rsidRDefault="00395956"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A099039" w14:textId="77777777" w:rsidR="00395956" w:rsidRPr="00296529" w:rsidRDefault="0039595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EED0F2" w14:textId="77777777" w:rsidR="00395956" w:rsidRPr="00296529" w:rsidRDefault="00395956"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3D29F84" w14:textId="77777777" w:rsidR="00395956" w:rsidRDefault="00395956" w:rsidP="00296529">
    <w:pPr>
      <w:jc w:val="center"/>
      <w:rPr>
        <w:rFonts w:ascii="Times New Roman" w:eastAsia="Calibri" w:hAnsi="Times New Roman"/>
        <w:i/>
        <w:sz w:val="18"/>
        <w:szCs w:val="22"/>
      </w:rPr>
    </w:pPr>
  </w:p>
  <w:p w14:paraId="523E6F5B" w14:textId="77777777" w:rsidR="00395956" w:rsidRDefault="0039595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42DF2F" w14:textId="77777777" w:rsidR="00395956" w:rsidRDefault="0039595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6A45F7"/>
    <w:multiLevelType w:val="multilevel"/>
    <w:tmpl w:val="D1B2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CF3989"/>
    <w:multiLevelType w:val="multilevel"/>
    <w:tmpl w:val="F83A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7D75EE"/>
    <w:multiLevelType w:val="hybridMultilevel"/>
    <w:tmpl w:val="F75C1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786485"/>
    <w:multiLevelType w:val="multilevel"/>
    <w:tmpl w:val="2250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6A10242"/>
    <w:multiLevelType w:val="multilevel"/>
    <w:tmpl w:val="ACB8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15331A"/>
    <w:multiLevelType w:val="multilevel"/>
    <w:tmpl w:val="6100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1E0135"/>
    <w:multiLevelType w:val="multilevel"/>
    <w:tmpl w:val="E5AC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1"/>
  </w:num>
  <w:num w:numId="10">
    <w:abstractNumId w:val="2"/>
  </w:num>
  <w:num w:numId="11">
    <w:abstractNumId w:val="23"/>
  </w:num>
  <w:num w:numId="12">
    <w:abstractNumId w:val="3"/>
  </w:num>
  <w:num w:numId="13">
    <w:abstractNumId w:val="21"/>
  </w:num>
  <w:num w:numId="14">
    <w:abstractNumId w:val="8"/>
  </w:num>
  <w:num w:numId="15">
    <w:abstractNumId w:val="26"/>
  </w:num>
  <w:num w:numId="16">
    <w:abstractNumId w:val="5"/>
  </w:num>
  <w:num w:numId="17">
    <w:abstractNumId w:val="27"/>
  </w:num>
  <w:num w:numId="18">
    <w:abstractNumId w:val="16"/>
  </w:num>
  <w:num w:numId="19">
    <w:abstractNumId w:val="35"/>
  </w:num>
  <w:num w:numId="20">
    <w:abstractNumId w:val="11"/>
  </w:num>
  <w:num w:numId="21">
    <w:abstractNumId w:val="9"/>
  </w:num>
  <w:num w:numId="22">
    <w:abstractNumId w:val="14"/>
  </w:num>
  <w:num w:numId="23">
    <w:abstractNumId w:val="24"/>
  </w:num>
  <w:num w:numId="24">
    <w:abstractNumId w:val="32"/>
  </w:num>
  <w:num w:numId="25">
    <w:abstractNumId w:val="4"/>
  </w:num>
  <w:num w:numId="26">
    <w:abstractNumId w:val="20"/>
  </w:num>
  <w:num w:numId="27">
    <w:abstractNumId w:val="25"/>
  </w:num>
  <w:num w:numId="28">
    <w:abstractNumId w:val="33"/>
  </w:num>
  <w:num w:numId="29">
    <w:abstractNumId w:val="30"/>
  </w:num>
  <w:num w:numId="30">
    <w:abstractNumId w:val="10"/>
  </w:num>
  <w:num w:numId="31">
    <w:abstractNumId w:val="15"/>
  </w:num>
  <w:num w:numId="32">
    <w:abstractNumId w:val="19"/>
  </w:num>
  <w:num w:numId="33">
    <w:abstractNumId w:val="29"/>
  </w:num>
  <w:num w:numId="34">
    <w:abstractNumId w:val="13"/>
  </w:num>
  <w:num w:numId="35">
    <w:abstractNumId w:val="34"/>
  </w:num>
  <w:num w:numId="36">
    <w:abstractNumId w:val="2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B7DE0"/>
    <w:rsid w:val="000D689F"/>
    <w:rsid w:val="000E7B7B"/>
    <w:rsid w:val="000E7D62"/>
    <w:rsid w:val="000F5D5D"/>
    <w:rsid w:val="0010276D"/>
    <w:rsid w:val="00103357"/>
    <w:rsid w:val="00121BF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5A73"/>
    <w:rsid w:val="00231920"/>
    <w:rsid w:val="0023195C"/>
    <w:rsid w:val="0024282C"/>
    <w:rsid w:val="002460DC"/>
    <w:rsid w:val="00250985"/>
    <w:rsid w:val="002556F6"/>
    <w:rsid w:val="00283105"/>
    <w:rsid w:val="00284C4C"/>
    <w:rsid w:val="00287E68"/>
    <w:rsid w:val="00296529"/>
    <w:rsid w:val="002B27FB"/>
    <w:rsid w:val="002B685A"/>
    <w:rsid w:val="002C57D2"/>
    <w:rsid w:val="002C7EE6"/>
    <w:rsid w:val="002D1099"/>
    <w:rsid w:val="002E0D56"/>
    <w:rsid w:val="00315186"/>
    <w:rsid w:val="0033343E"/>
    <w:rsid w:val="003512C2"/>
    <w:rsid w:val="00351535"/>
    <w:rsid w:val="00371FB6"/>
    <w:rsid w:val="0037287F"/>
    <w:rsid w:val="003763C1"/>
    <w:rsid w:val="00376BBE"/>
    <w:rsid w:val="00385ADC"/>
    <w:rsid w:val="0039224F"/>
    <w:rsid w:val="00395956"/>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6A9E"/>
    <w:rsid w:val="005C19F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7A94"/>
    <w:rsid w:val="007369E6"/>
    <w:rsid w:val="0074577D"/>
    <w:rsid w:val="00746E59"/>
    <w:rsid w:val="00751B46"/>
    <w:rsid w:val="00754C9A"/>
    <w:rsid w:val="0075599A"/>
    <w:rsid w:val="00761D52"/>
    <w:rsid w:val="0077749E"/>
    <w:rsid w:val="00790ADA"/>
    <w:rsid w:val="007D2288"/>
    <w:rsid w:val="007E088F"/>
    <w:rsid w:val="007F7B32"/>
    <w:rsid w:val="00804BC2"/>
    <w:rsid w:val="0081431A"/>
    <w:rsid w:val="0083216F"/>
    <w:rsid w:val="00846AC2"/>
    <w:rsid w:val="00860000"/>
    <w:rsid w:val="00863BD3"/>
    <w:rsid w:val="008641ED"/>
    <w:rsid w:val="00866D66"/>
    <w:rsid w:val="008671C6"/>
    <w:rsid w:val="00875803"/>
    <w:rsid w:val="008B459E"/>
    <w:rsid w:val="008C6D9C"/>
    <w:rsid w:val="008E13AE"/>
    <w:rsid w:val="008E1506"/>
    <w:rsid w:val="008E710C"/>
    <w:rsid w:val="008F69D6"/>
    <w:rsid w:val="00902823"/>
    <w:rsid w:val="00907417"/>
    <w:rsid w:val="00915CA6"/>
    <w:rsid w:val="00927834"/>
    <w:rsid w:val="00934C0C"/>
    <w:rsid w:val="00935FA9"/>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509F"/>
    <w:rsid w:val="00A8683A"/>
    <w:rsid w:val="00A94063"/>
    <w:rsid w:val="00AA6219"/>
    <w:rsid w:val="00AA74E0"/>
    <w:rsid w:val="00AB703F"/>
    <w:rsid w:val="00AC6BB8"/>
    <w:rsid w:val="00AD3E12"/>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26AC"/>
    <w:rsid w:val="00C166EF"/>
    <w:rsid w:val="00C17EB0"/>
    <w:rsid w:val="00C27F5F"/>
    <w:rsid w:val="00C30A0F"/>
    <w:rsid w:val="00C33B89"/>
    <w:rsid w:val="00C37E61"/>
    <w:rsid w:val="00C500C3"/>
    <w:rsid w:val="00C70F1B"/>
    <w:rsid w:val="00C71A47"/>
    <w:rsid w:val="00C7464C"/>
    <w:rsid w:val="00C85588"/>
    <w:rsid w:val="00C86D9C"/>
    <w:rsid w:val="00CD6755"/>
    <w:rsid w:val="00CD6856"/>
    <w:rsid w:val="00CE0089"/>
    <w:rsid w:val="00CE793C"/>
    <w:rsid w:val="00CF193C"/>
    <w:rsid w:val="00D173F1"/>
    <w:rsid w:val="00D17CCB"/>
    <w:rsid w:val="00D251D2"/>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6F89"/>
    <w:rsid w:val="00F469F0"/>
    <w:rsid w:val="00F53273"/>
    <w:rsid w:val="00F755E4"/>
    <w:rsid w:val="00F77D02"/>
    <w:rsid w:val="00FB3A86"/>
    <w:rsid w:val="00FD36C8"/>
    <w:rsid w:val="00FD4F01"/>
    <w:rsid w:val="00FF27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EB758F6"/>
  <w15:docId w15:val="{0467B0C1-3B32-4577-861E-EDE27F8D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C7EE6"/>
    <w:pPr>
      <w:ind w:left="720"/>
      <w:contextualSpacing/>
    </w:pPr>
  </w:style>
  <w:style w:type="paragraph" w:styleId="NoSpacing">
    <w:name w:val="No Spacing"/>
    <w:aliases w:val="Level 2"/>
    <w:link w:val="NoSpacingChar"/>
    <w:uiPriority w:val="1"/>
    <w:qFormat/>
    <w:rsid w:val="00351535"/>
    <w:rPr>
      <w:rFonts w:ascii="Calibri" w:eastAsia="Calibri" w:hAnsi="Calibri"/>
      <w:sz w:val="22"/>
      <w:szCs w:val="22"/>
      <w:lang w:val="en-IN"/>
    </w:rPr>
  </w:style>
  <w:style w:type="character" w:customStyle="1" w:styleId="NoSpacingChar">
    <w:name w:val="No Spacing Char"/>
    <w:aliases w:val="Level 2 Char"/>
    <w:link w:val="NoSpacing"/>
    <w:uiPriority w:val="1"/>
    <w:rsid w:val="00351535"/>
    <w:rPr>
      <w:rFonts w:ascii="Calibri" w:eastAsia="Calibri" w:hAnsi="Calibri"/>
      <w:sz w:val="22"/>
      <w:szCs w:val="22"/>
      <w:lang w:val="en-IN"/>
    </w:rPr>
  </w:style>
  <w:style w:type="character" w:styleId="UnresolvedMention">
    <w:name w:val="Unresolved Mention"/>
    <w:basedOn w:val="DefaultParagraphFont"/>
    <w:uiPriority w:val="99"/>
    <w:semiHidden/>
    <w:unhideWhenUsed/>
    <w:rsid w:val="00C86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6376D-7F47-4D28-8FFB-41AADA55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13</Pages>
  <Words>4870</Words>
  <Characters>27759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32564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2025-11-09T07:09:00Z</dcterms:created>
  <dcterms:modified xsi:type="dcterms:W3CDTF">2025-11-13T07:25:00Z</dcterms:modified>
</cp:coreProperties>
</file>