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ABE6C" w14:textId="77777777" w:rsidR="00FC1884" w:rsidRDefault="00FC1884" w:rsidP="00B501E8">
      <w:pPr>
        <w:spacing w:before="240" w:after="120" w:line="36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INTEGRATION OF ORGANIC AND INORGANIC SOURCES OF NUTRIENTS ON YIELD ATTRIBUTES, YIELD</w:t>
      </w:r>
      <w:r w:rsidR="00B501E8">
        <w:rPr>
          <w:rFonts w:ascii="Times New Roman" w:hAnsi="Times New Roman" w:cs="Times New Roman"/>
          <w:b/>
          <w:bCs/>
          <w:sz w:val="24"/>
          <w:szCs w:val="24"/>
        </w:rPr>
        <w:t>,</w:t>
      </w:r>
      <w:r>
        <w:rPr>
          <w:rFonts w:ascii="Times New Roman" w:hAnsi="Times New Roman" w:cs="Times New Roman"/>
          <w:b/>
          <w:bCs/>
          <w:sz w:val="24"/>
          <w:szCs w:val="24"/>
        </w:rPr>
        <w:t xml:space="preserve"> NUTRIENT UPTAKE </w:t>
      </w:r>
      <w:r w:rsidR="00B501E8" w:rsidRPr="00B501E8">
        <w:rPr>
          <w:rFonts w:ascii="Times New Roman" w:hAnsi="Times New Roman" w:cs="Times New Roman"/>
          <w:b/>
          <w:bCs/>
          <w:sz w:val="24"/>
          <w:szCs w:val="24"/>
        </w:rPr>
        <w:t xml:space="preserve">AND </w:t>
      </w:r>
      <w:r w:rsidR="00B501E8">
        <w:rPr>
          <w:rFonts w:ascii="Times New Roman" w:hAnsi="Times New Roman" w:cs="Times New Roman"/>
          <w:b/>
          <w:bCs/>
          <w:sz w:val="24"/>
          <w:szCs w:val="24"/>
        </w:rPr>
        <w:t xml:space="preserve">ECONOMICS </w:t>
      </w:r>
      <w:r>
        <w:rPr>
          <w:rFonts w:ascii="Times New Roman" w:hAnsi="Times New Roman" w:cs="Times New Roman"/>
          <w:b/>
          <w:bCs/>
          <w:sz w:val="24"/>
          <w:szCs w:val="24"/>
        </w:rPr>
        <w:t>OF RABI SUNFLOWER</w:t>
      </w:r>
    </w:p>
    <w:p w14:paraId="6F435362" w14:textId="77777777" w:rsidR="00B501E8" w:rsidRDefault="00B501E8" w:rsidP="00000AA4">
      <w:pPr>
        <w:spacing w:before="240" w:after="120" w:line="360" w:lineRule="auto"/>
        <w:jc w:val="both"/>
        <w:rPr>
          <w:rFonts w:ascii="Times New Roman" w:hAnsi="Times New Roman" w:cs="Times New Roman"/>
          <w:sz w:val="24"/>
          <w:szCs w:val="24"/>
        </w:rPr>
      </w:pPr>
      <w:r>
        <w:rPr>
          <w:rFonts w:ascii="Times New Roman" w:hAnsi="Times New Roman" w:cs="Times New Roman"/>
          <w:noProof/>
          <w:sz w:val="24"/>
          <w:szCs w:val="24"/>
          <w:lang w:val="en-US" w:bidi="or-IN"/>
        </w:rPr>
        <mc:AlternateContent>
          <mc:Choice Requires="wps">
            <w:drawing>
              <wp:anchor distT="0" distB="0" distL="114300" distR="114300" simplePos="0" relativeHeight="251659264" behindDoc="0" locked="0" layoutInCell="1" allowOverlap="1" wp14:anchorId="2441890E" wp14:editId="14711657">
                <wp:simplePos x="0" y="0"/>
                <wp:positionH relativeFrom="column">
                  <wp:posOffset>-7620</wp:posOffset>
                </wp:positionH>
                <wp:positionV relativeFrom="paragraph">
                  <wp:posOffset>266700</wp:posOffset>
                </wp:positionV>
                <wp:extent cx="9243060" cy="2560320"/>
                <wp:effectExtent l="0" t="0" r="15240" b="11430"/>
                <wp:wrapNone/>
                <wp:docPr id="1" name="Text Box 1"/>
                <wp:cNvGraphicFramePr/>
                <a:graphic xmlns:a="http://schemas.openxmlformats.org/drawingml/2006/main">
                  <a:graphicData uri="http://schemas.microsoft.com/office/word/2010/wordprocessingShape">
                    <wps:wsp>
                      <wps:cNvSpPr txBox="1"/>
                      <wps:spPr>
                        <a:xfrm>
                          <a:off x="0" y="0"/>
                          <a:ext cx="9243060" cy="2560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A65DD6" w14:textId="42A0109D" w:rsidR="006F5C9A" w:rsidRDefault="006F5C9A" w:rsidP="00505079">
                            <w:pPr>
                              <w:jc w:val="both"/>
                            </w:pPr>
                            <w:r w:rsidRPr="00B501E8">
                              <w:rPr>
                                <w:b/>
                                <w:bCs/>
                              </w:rPr>
                              <w:t>ABSTRACT:</w:t>
                            </w:r>
                            <w:r>
                              <w:t xml:space="preserve"> </w:t>
                            </w:r>
                            <w:r w:rsidRPr="00B501E8">
                              <w:t>A field experiment was conducted during rabi season (November- February) of 2023-24 at Instructional Farm, Department of Agronomy, Odisha University of Agriculture &amp; Technology, Bhubaneswar. It emphasized on the optimization of integrated nutrient management practices in sunflower cultivar ‘KBSH-78’. The experiment was laid out in a Randomised Block Design consisting of ten treatments replicated thrice. The treatments were T1- STBFR (60:100:60 kg N:P2O5:K2O/ha), T2- STBFR + Lime 500 kg/ha, T3- STBFR + FYM 5t/ha, T4- STBFR + Vermicompost 2t/ha, T5- STBFR + Lime + FYM, STBFR + Lime + FYM + S 40kg/ha, T7- STBFR + Lime + FYM + S 40kg/ha + Borax 0.2% as one foliar spray, T8- STBFR + Lime + FYM + S 40kg/ha + Borax 0.2% 2 sprays, T9- STBFR + Lime + FYM + S 40kg/ha + Borax as soil application 10 kg/ha and T10- Control. The experiment result revealed that Integration of STBFR + Lime + FYM + S 40kg/ha + Borax 0.2% 2 sprays produced maximum seed yield  (2276 kg/ha), stover yield (5373 kg/ha), harvest index (29.7%), oil content (42.1 %) and oil yield (958 kg/ha).The highest yield attributing characters i.e., head diameter (18.95 cm), head weight  (98.67 g), 1000 seed weight (49.63 g), total number of seeds per head (1365.3), number of filled seeds per head (1248.6) were recorded in STBFR + Lime + FYM + S 40kg/ha + Borax 0.2% 2 sprays. Application of integrated nutrient management practice of STBFR + Lime + FYM + S 40kg/ha + Borax 0.2% 2 sprays recorded highest uptake of nitrogen (102.34 kg/ha), phosphorus (21.58 kg/ha), potassium (90.01 kg/ha), sulphur (19.48 kg/ha) and boron (399.38 g/ha).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1890E" id="_x0000_t202" coordsize="21600,21600" o:spt="202" path="m,l,21600r21600,l21600,xe">
                <v:stroke joinstyle="miter"/>
                <v:path gradientshapeok="t" o:connecttype="rect"/>
              </v:shapetype>
              <v:shape id="Text Box 1" o:spid="_x0000_s1026" type="#_x0000_t202" style="position:absolute;left:0;text-align:left;margin-left:-.6pt;margin-top:21pt;width:727.8pt;height:20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Q/kwIAALMFAAAOAAAAZHJzL2Uyb0RvYy54bWysVE1PGzEQvVfqf7B8L7sJIS1RNigFUVVC&#10;gAoVZ8drJxa2x7Wd7Ka/vmPvJiSUC1Uvu2PPm6/nmZletEaTjfBBga3o4KSkRFgOtbLLiv58vP70&#10;hZIQma2ZBisquhWBXsw+fpg2biKGsAJdC0/QiQ2TxlV0FaObFEXgK2FYOAEnLColeMMiHv2yqD1r&#10;0LvRxbAsx0UDvnYeuAgBb686JZ1l/1IKHu+kDCISXVHMLeavz99F+hazKZssPXMrxfs02D9kYZiy&#10;GHTv6opFRtZe/eXKKO4hgIwnHEwBUioucg1YzaB8Vc3DijmRa0FygtvTFP6fW367ufdE1fh2lFhm&#10;8IkeRRvJV2jJILHTuDBB0INDWGzxOiH7+4CXqehWepP+WA5BPfK83XObnHG8PB+OTssxqjjqhmfj&#10;8nSY2S9ezJ0P8ZsAQ5JQUY+Plzllm5sQMSRCd5AULYBW9bXSOh9Sw4hL7cmG4VPrmJNEiyOUtqSp&#10;6Pj0rMyOj3TJ9d5+oRl/TmUee8CTtimcyK3Vp5Uo6qjIUtxqkTDa/hASqc2MvJEj41zYfZ4ZnVAS&#10;K3qPYY9/yeo9xl0daJEjg417Y6Ms+I6lY2rr5x21ssMjSQd1JzG2i7ZvkQXUW+wcD93kBcevFRJ9&#10;w0K8Zx5HDTsC10e8w4/UgK8DvUTJCvzvt+4THicAtZQ0OLoVDb/WzAtK9HeLs3E+GI3SrOfD6Owz&#10;Nhrxh5rFocauzSVgy2D/Y3ZZTPiod6L0YJ5wy8xTVFQxyzF2ReNOvIzdQsEtxcV8nkE43Y7FG/vg&#10;eHKd6E0N9tg+Me/6Bo84G7ewG3I2edXnHTZZWpivI0iVhyAR3LHaE4+bIfdpv8XS6jk8Z9TLrp39&#10;AQAA//8DAFBLAwQUAAYACAAAACEArwD8yN0AAAAKAQAADwAAAGRycy9kb3ducmV2LnhtbEyPwU7D&#10;MBBE70j8g7VI3FqnkYtCGqcCVLhwoiDObry1o8Z2ZLtp+Hu2JzjuzGj2TbOd3cAmjKkPXsJqWQBD&#10;3wXdeyPh6/N1UQFLWXmthuBRwg8m2La3N42qdbj4D5z22TAq8alWEmzOY8156iw6lZZhRE/eMUSn&#10;Mp3RcB3VhcrdwMuieOBO9Z4+WDXii8XutD87Cbtn82i6SkW7q3TfT/P38d28SXl/Nz9tgGWc818Y&#10;rviEDi0xHcLZ68QGCYtVSUkJoqRJV1+shQB2IEWsS+Btw/9PaH8BAAD//wMAUEsBAi0AFAAGAAgA&#10;AAAhALaDOJL+AAAA4QEAABMAAAAAAAAAAAAAAAAAAAAAAFtDb250ZW50X1R5cGVzXS54bWxQSwEC&#10;LQAUAAYACAAAACEAOP0h/9YAAACUAQAACwAAAAAAAAAAAAAAAAAvAQAAX3JlbHMvLnJlbHNQSwEC&#10;LQAUAAYACAAAACEAnoDUP5MCAACzBQAADgAAAAAAAAAAAAAAAAAuAgAAZHJzL2Uyb0RvYy54bWxQ&#10;SwECLQAUAAYACAAAACEArwD8yN0AAAAKAQAADwAAAAAAAAAAAAAAAADtBAAAZHJzL2Rvd25yZXYu&#10;eG1sUEsFBgAAAAAEAAQA8wAAAPcFAAAAAA==&#10;" fillcolor="white [3201]" strokeweight=".5pt">
                <v:textbox>
                  <w:txbxContent>
                    <w:p w14:paraId="63A65DD6" w14:textId="42A0109D" w:rsidR="006F5C9A" w:rsidRDefault="006F5C9A" w:rsidP="00505079">
                      <w:pPr>
                        <w:jc w:val="both"/>
                      </w:pPr>
                      <w:r w:rsidRPr="00B501E8">
                        <w:rPr>
                          <w:b/>
                          <w:bCs/>
                        </w:rPr>
                        <w:t>ABSTRACT:</w:t>
                      </w:r>
                      <w:r>
                        <w:t xml:space="preserve"> </w:t>
                      </w:r>
                      <w:r w:rsidRPr="00B501E8">
                        <w:t>A field experiment was conducted during rabi season (November- February) of 2023-24 at Instructional Farm, Department of Agronomy, Odisha University of Agriculture &amp; Technology, Bhubaneswar. It emphasized on the optimization of integrated nutrient management practices in sunflower cultivar ‘KBSH-78’. The experiment was laid out in a Randomised Block Design consisting of ten treatments replicated thrice. The treatments were T1- STBFR (60:100:60 kg N:P2O5:K2O/ha), T2- STBFR + Lime 500 kg/ha, T3- STBFR + FYM 5t/ha, T4- STBFR + Vermicompost 2t/ha, T5- STBFR + Lime + FYM, STBFR + Lime + FYM + S 40kg/ha, T7- STBFR + Lime + FYM + S 40kg/ha + Borax 0.2% as one foliar spray, T8- STBFR + Lime + FYM + S 40kg/ha + Borax 0.2% 2 sprays, T9- STBFR + Lime + FYM + S 40kg/ha + Borax as soil application 10 kg/ha and T10- Control. The experiment result revealed that Integration of STBFR + Lime + FYM + S 40kg/ha + Borax 0.2% 2 sprays produced maximum seed yield  (2276 kg/ha), stover yield (5373 kg/ha), harvest index (29.7%), oil content (42.1 %) and oil yield (958 kg/ha).The highest yield attributing characters i.e., head diameter (18.95 cm), head weight  (98.67 g), 1000 seed weight (49.63 g), total number of seeds per head (1365.3), number of filled seeds per head (1248.6) were recorded in STBFR + Lime + FYM + S 40kg/ha + Borax 0.2% 2 sprays. Application of integrated nutrient management practice of STBFR + Lime + FYM + S 40kg/ha + Borax 0.2% 2 sprays recorded highest uptake of nitrogen (102.34 kg/ha), phosphorus (21.58 kg/ha), potassium (90.01 kg/ha), sulphur (19.48 kg/ha) and boron (399.38 g/ha).</w:t>
                      </w:r>
                    </w:p>
                  </w:txbxContent>
                </v:textbox>
              </v:shape>
            </w:pict>
          </mc:Fallback>
        </mc:AlternateContent>
      </w:r>
    </w:p>
    <w:p w14:paraId="04E2B77D" w14:textId="77777777" w:rsidR="00B501E8" w:rsidRPr="00013065" w:rsidRDefault="00B501E8" w:rsidP="00000AA4">
      <w:pPr>
        <w:spacing w:before="240" w:after="120" w:line="360" w:lineRule="auto"/>
        <w:jc w:val="both"/>
        <w:rPr>
          <w:rFonts w:ascii="Times New Roman" w:hAnsi="Times New Roman" w:cs="Times New Roman"/>
          <w:sz w:val="24"/>
          <w:szCs w:val="24"/>
        </w:rPr>
      </w:pPr>
    </w:p>
    <w:p w14:paraId="08A5E4A5" w14:textId="77777777" w:rsidR="00013065" w:rsidRDefault="00013065" w:rsidP="00000AA4">
      <w:pPr>
        <w:spacing w:before="240" w:after="120" w:line="360" w:lineRule="auto"/>
        <w:jc w:val="both"/>
        <w:rPr>
          <w:rFonts w:ascii="Times New Roman" w:hAnsi="Times New Roman" w:cs="Times New Roman"/>
          <w:b/>
          <w:bCs/>
          <w:sz w:val="24"/>
          <w:szCs w:val="24"/>
        </w:rPr>
      </w:pPr>
    </w:p>
    <w:p w14:paraId="5F414430" w14:textId="77777777" w:rsidR="00B501E8" w:rsidRDefault="00B501E8" w:rsidP="00000AA4">
      <w:pPr>
        <w:spacing w:before="240" w:after="120" w:line="360" w:lineRule="auto"/>
        <w:jc w:val="both"/>
        <w:rPr>
          <w:rFonts w:ascii="Times New Roman" w:hAnsi="Times New Roman" w:cs="Times New Roman"/>
          <w:b/>
          <w:bCs/>
          <w:sz w:val="24"/>
          <w:szCs w:val="24"/>
        </w:rPr>
      </w:pPr>
    </w:p>
    <w:p w14:paraId="65E1D2C2" w14:textId="77777777" w:rsidR="00B501E8" w:rsidRDefault="00B501E8" w:rsidP="00000AA4">
      <w:pPr>
        <w:spacing w:before="240" w:after="120" w:line="360" w:lineRule="auto"/>
        <w:jc w:val="both"/>
        <w:rPr>
          <w:rFonts w:ascii="Times New Roman" w:hAnsi="Times New Roman" w:cs="Times New Roman"/>
          <w:b/>
          <w:bCs/>
          <w:sz w:val="24"/>
          <w:szCs w:val="24"/>
        </w:rPr>
      </w:pPr>
    </w:p>
    <w:p w14:paraId="235F36D8" w14:textId="77777777" w:rsidR="00000AA4" w:rsidRDefault="00000AA4" w:rsidP="00000AA4">
      <w:pPr>
        <w:spacing w:before="240" w:after="120" w:line="360" w:lineRule="auto"/>
        <w:jc w:val="both"/>
        <w:rPr>
          <w:rFonts w:ascii="Times New Roman" w:hAnsi="Times New Roman" w:cs="Times New Roman"/>
          <w:b/>
          <w:bCs/>
          <w:sz w:val="24"/>
          <w:szCs w:val="24"/>
        </w:rPr>
      </w:pPr>
      <w:r w:rsidRPr="00000AA4">
        <w:rPr>
          <w:rFonts w:ascii="Times New Roman" w:hAnsi="Times New Roman" w:cs="Times New Roman"/>
          <w:b/>
          <w:bCs/>
          <w:sz w:val="24"/>
          <w:szCs w:val="24"/>
        </w:rPr>
        <w:t>INTRODUCTION:</w:t>
      </w:r>
    </w:p>
    <w:p w14:paraId="16C7B232" w14:textId="77777777" w:rsidR="000233A6" w:rsidRDefault="00000AA4" w:rsidP="00000AA4">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60BE4B6" w14:textId="77777777" w:rsidR="000233A6" w:rsidRDefault="000233A6" w:rsidP="00000AA4">
      <w:pPr>
        <w:spacing w:before="240" w:after="120" w:line="360" w:lineRule="auto"/>
        <w:jc w:val="both"/>
        <w:rPr>
          <w:rFonts w:ascii="Times New Roman" w:hAnsi="Times New Roman" w:cs="Times New Roman"/>
          <w:sz w:val="24"/>
          <w:szCs w:val="24"/>
        </w:rPr>
      </w:pPr>
      <w:r w:rsidRPr="000233A6">
        <w:rPr>
          <w:rFonts w:ascii="Times New Roman" w:hAnsi="Times New Roman" w:cs="Times New Roman"/>
          <w:b/>
          <w:bCs/>
          <w:sz w:val="24"/>
          <w:szCs w:val="24"/>
        </w:rPr>
        <w:t xml:space="preserve">              KEY WORDS</w:t>
      </w:r>
      <w:r w:rsidRPr="000233A6">
        <w:rPr>
          <w:rFonts w:ascii="Times New Roman" w:hAnsi="Times New Roman" w:cs="Times New Roman"/>
          <w:sz w:val="24"/>
          <w:szCs w:val="24"/>
        </w:rPr>
        <w:t>: FYM, vermicompost, lime, seed yield, stover yield, nutrient uptake</w:t>
      </w:r>
    </w:p>
    <w:p w14:paraId="1151C49B" w14:textId="77777777" w:rsidR="000233A6" w:rsidRPr="000233A6" w:rsidRDefault="000233A6" w:rsidP="00000AA4">
      <w:pPr>
        <w:spacing w:before="240" w:after="120" w:line="360" w:lineRule="auto"/>
        <w:jc w:val="both"/>
        <w:rPr>
          <w:rFonts w:ascii="Times New Roman" w:hAnsi="Times New Roman" w:cs="Times New Roman"/>
          <w:b/>
          <w:bCs/>
          <w:sz w:val="24"/>
          <w:szCs w:val="24"/>
        </w:rPr>
      </w:pPr>
      <w:r w:rsidRPr="000233A6">
        <w:rPr>
          <w:rFonts w:ascii="Times New Roman" w:hAnsi="Times New Roman" w:cs="Times New Roman"/>
          <w:b/>
          <w:bCs/>
          <w:sz w:val="24"/>
          <w:szCs w:val="24"/>
        </w:rPr>
        <w:t>INTRODUCTION:</w:t>
      </w:r>
    </w:p>
    <w:p w14:paraId="08F0216A" w14:textId="76797288" w:rsidR="00000AA4" w:rsidRDefault="00000AA4" w:rsidP="00000AA4">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0AA4">
        <w:rPr>
          <w:rFonts w:ascii="Times New Roman" w:hAnsi="Times New Roman" w:cs="Times New Roman"/>
          <w:sz w:val="24"/>
          <w:szCs w:val="24"/>
        </w:rPr>
        <w:t xml:space="preserve">Oilseed cultivation is undertaken across the country in about 260 lakh ha, mainly on marginal lands, dependent on monsoon rains (un-irrigated) and with low levels of input usage. The Oilseeds account for 13 % of the Gross cropped area, 3 % of the Gross National Product (GNP) and 10% value of all the agricultural </w:t>
      </w:r>
      <w:r w:rsidR="006F5C9A" w:rsidRPr="00000AA4">
        <w:rPr>
          <w:rFonts w:ascii="Times New Roman" w:hAnsi="Times New Roman" w:cs="Times New Roman"/>
          <w:sz w:val="24"/>
          <w:szCs w:val="24"/>
        </w:rPr>
        <w:t>commodities</w:t>
      </w:r>
      <w:r w:rsidR="006F5C9A">
        <w:rPr>
          <w:rFonts w:ascii="Times New Roman" w:hAnsi="Times New Roman" w:cs="Times New Roman"/>
          <w:sz w:val="24"/>
          <w:szCs w:val="24"/>
        </w:rPr>
        <w:t xml:space="preserve"> </w:t>
      </w:r>
      <w:r w:rsidR="00331508">
        <w:rPr>
          <w:rFonts w:ascii="Times New Roman" w:hAnsi="Times New Roman" w:cs="Times New Roman"/>
          <w:sz w:val="24"/>
          <w:szCs w:val="24"/>
        </w:rPr>
        <w:t>(</w:t>
      </w:r>
      <w:r w:rsidR="004B013A">
        <w:rPr>
          <w:rFonts w:ascii="Times New Roman" w:hAnsi="Times New Roman" w:cs="Times New Roman"/>
          <w:sz w:val="24"/>
          <w:szCs w:val="24"/>
        </w:rPr>
        <w:t>DOD, 2021</w:t>
      </w:r>
      <w:r w:rsidR="00331508">
        <w:rPr>
          <w:rFonts w:ascii="Times New Roman" w:hAnsi="Times New Roman" w:cs="Times New Roman"/>
          <w:sz w:val="24"/>
          <w:szCs w:val="24"/>
        </w:rPr>
        <w:t>).</w:t>
      </w:r>
      <w:r w:rsidRPr="00000AA4">
        <w:t xml:space="preserve"> </w:t>
      </w:r>
      <w:r w:rsidRPr="00000AA4">
        <w:rPr>
          <w:rFonts w:ascii="Times New Roman" w:hAnsi="Times New Roman" w:cs="Times New Roman"/>
          <w:sz w:val="24"/>
          <w:szCs w:val="24"/>
        </w:rPr>
        <w:t xml:space="preserve">Sunflower belongs to the genus ‘Helianthus’ of family ‘Asteraceae’ </w:t>
      </w:r>
      <w:r w:rsidRPr="00000AA4">
        <w:rPr>
          <w:rFonts w:ascii="Times New Roman" w:hAnsi="Times New Roman" w:cs="Times New Roman"/>
          <w:sz w:val="24"/>
          <w:szCs w:val="24"/>
        </w:rPr>
        <w:lastRenderedPageBreak/>
        <w:t xml:space="preserve">(Compositae) and it is native to south-west USA and Mexico. It is introduced to India for the first time during 1969. The genus Helianthus is derived from the Greek word Helios meaning sun, and </w:t>
      </w:r>
      <w:proofErr w:type="spellStart"/>
      <w:r w:rsidRPr="00000AA4">
        <w:rPr>
          <w:rFonts w:ascii="Times New Roman" w:hAnsi="Times New Roman" w:cs="Times New Roman"/>
          <w:sz w:val="24"/>
          <w:szCs w:val="24"/>
        </w:rPr>
        <w:t>anthos</w:t>
      </w:r>
      <w:proofErr w:type="spellEnd"/>
      <w:r w:rsidRPr="00000AA4">
        <w:rPr>
          <w:rFonts w:ascii="Times New Roman" w:hAnsi="Times New Roman" w:cs="Times New Roman"/>
          <w:sz w:val="24"/>
          <w:szCs w:val="24"/>
        </w:rPr>
        <w:t xml:space="preserve"> meaning flower.  </w:t>
      </w:r>
    </w:p>
    <w:p w14:paraId="7F3E8E56" w14:textId="4E98E317" w:rsidR="009472CA" w:rsidRPr="009D3C72" w:rsidRDefault="00000AA4" w:rsidP="009D3C72">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0AA4">
        <w:rPr>
          <w:rFonts w:ascii="Times New Roman" w:hAnsi="Times New Roman" w:cs="Times New Roman"/>
          <w:sz w:val="24"/>
          <w:szCs w:val="24"/>
        </w:rPr>
        <w:t>In India it has gained   popularity due to the national priority of vegetable oil production. Sunflower is a high-quality oilseed crop grown worldwide, with a rising role in Odisha. It is being cultivated over an area of about 16,080 hectares with a production of 20,230 million ton</w:t>
      </w:r>
      <w:r>
        <w:rPr>
          <w:rFonts w:ascii="Times New Roman" w:hAnsi="Times New Roman" w:cs="Times New Roman"/>
          <w:sz w:val="24"/>
          <w:szCs w:val="24"/>
        </w:rPr>
        <w:t>nes and productivity of 1258 kg/ha</w:t>
      </w:r>
      <w:r w:rsidR="006F5C9A">
        <w:rPr>
          <w:rFonts w:ascii="Times New Roman" w:hAnsi="Times New Roman" w:cs="Times New Roman"/>
          <w:sz w:val="24"/>
          <w:szCs w:val="24"/>
        </w:rPr>
        <w:t xml:space="preserve"> </w:t>
      </w:r>
      <w:r w:rsidR="00331508">
        <w:rPr>
          <w:rFonts w:ascii="Times New Roman" w:hAnsi="Times New Roman" w:cs="Times New Roman"/>
          <w:sz w:val="24"/>
          <w:szCs w:val="24"/>
        </w:rPr>
        <w:t>(</w:t>
      </w:r>
      <w:r w:rsidR="009D3C72" w:rsidRPr="009D3C72">
        <w:rPr>
          <w:rFonts w:ascii="Times New Roman" w:hAnsi="Times New Roman" w:cs="Times New Roman"/>
          <w:sz w:val="24"/>
          <w:szCs w:val="24"/>
        </w:rPr>
        <w:t>(E</w:t>
      </w:r>
      <w:r w:rsidR="009D3C72">
        <w:rPr>
          <w:rFonts w:ascii="Times New Roman" w:hAnsi="Times New Roman" w:cs="Times New Roman"/>
          <w:sz w:val="24"/>
          <w:szCs w:val="24"/>
        </w:rPr>
        <w:t>&amp;</w:t>
      </w:r>
      <w:r w:rsidR="009D3C72" w:rsidRPr="009D3C72">
        <w:rPr>
          <w:rFonts w:ascii="Times New Roman" w:hAnsi="Times New Roman" w:cs="Times New Roman"/>
          <w:sz w:val="24"/>
          <w:szCs w:val="24"/>
        </w:rPr>
        <w:t>S Division</w:t>
      </w:r>
      <w:r w:rsidR="009D3C72">
        <w:rPr>
          <w:rFonts w:ascii="Times New Roman" w:hAnsi="Times New Roman" w:cs="Times New Roman"/>
          <w:sz w:val="24"/>
          <w:szCs w:val="24"/>
        </w:rPr>
        <w:t xml:space="preserve"> &amp; </w:t>
      </w:r>
      <w:r w:rsidR="009D3C72" w:rsidRPr="009D3C72">
        <w:rPr>
          <w:rFonts w:ascii="Times New Roman" w:hAnsi="Times New Roman" w:cs="Times New Roman"/>
          <w:sz w:val="24"/>
          <w:szCs w:val="24"/>
        </w:rPr>
        <w:t>FW, 2023)</w:t>
      </w:r>
      <w:r w:rsidR="009D3C72">
        <w:rPr>
          <w:rFonts w:ascii="Times New Roman" w:hAnsi="Times New Roman" w:cs="Times New Roman"/>
          <w:sz w:val="24"/>
          <w:szCs w:val="24"/>
        </w:rPr>
        <w:t>.</w:t>
      </w:r>
      <w:r w:rsidRPr="00000AA4">
        <w:t xml:space="preserve"> </w:t>
      </w:r>
      <w:r w:rsidRPr="00000AA4">
        <w:rPr>
          <w:rFonts w:ascii="Times New Roman" w:hAnsi="Times New Roman" w:cs="Times New Roman"/>
          <w:sz w:val="24"/>
          <w:szCs w:val="24"/>
        </w:rPr>
        <w:t>Using chemical fertilizers, organics, secondary nutrients, and micronutrients improves sunflower seed and oil yield, as well as net returns. Integrated nutrient management (INM) has the potential to address intensive agriculture's escalating fertilizer demands while maintaining high crop output.</w:t>
      </w:r>
      <w:r>
        <w:rPr>
          <w:rFonts w:ascii="Times New Roman" w:hAnsi="Times New Roman" w:cs="Times New Roman"/>
          <w:sz w:val="24"/>
          <w:szCs w:val="24"/>
        </w:rPr>
        <w:t xml:space="preserve"> </w:t>
      </w:r>
      <w:r w:rsidRPr="00000AA4">
        <w:rPr>
          <w:rFonts w:ascii="Times New Roman" w:hAnsi="Times New Roman" w:cs="Times New Roman"/>
          <w:sz w:val="24"/>
          <w:szCs w:val="24"/>
        </w:rPr>
        <w:t>Sulphur plays an important role in the nutrition of oilseed crops and it acts as a constituent of sulphur containing amino</w:t>
      </w:r>
      <w:r>
        <w:rPr>
          <w:rFonts w:ascii="Times New Roman" w:hAnsi="Times New Roman" w:cs="Times New Roman"/>
          <w:sz w:val="24"/>
          <w:szCs w:val="24"/>
        </w:rPr>
        <w:t xml:space="preserve"> </w:t>
      </w:r>
      <w:r w:rsidRPr="00000AA4">
        <w:rPr>
          <w:rFonts w:ascii="Times New Roman" w:hAnsi="Times New Roman" w:cs="Times New Roman"/>
          <w:sz w:val="24"/>
          <w:szCs w:val="24"/>
        </w:rPr>
        <w:t>acids like cystine, cysteine and methionine</w:t>
      </w:r>
      <w:r w:rsidR="006F5C9A">
        <w:rPr>
          <w:rFonts w:ascii="Times New Roman" w:hAnsi="Times New Roman" w:cs="Times New Roman"/>
          <w:sz w:val="24"/>
          <w:szCs w:val="24"/>
        </w:rPr>
        <w:t xml:space="preserve"> (</w:t>
      </w:r>
      <w:r w:rsidR="009D3C72">
        <w:rPr>
          <w:rFonts w:ascii="Times New Roman" w:hAnsi="Times New Roman" w:cs="Times New Roman"/>
          <w:sz w:val="24"/>
          <w:szCs w:val="24"/>
        </w:rPr>
        <w:t>Parmar et al., 2018</w:t>
      </w:r>
      <w:r w:rsidRPr="00000AA4">
        <w:rPr>
          <w:rFonts w:ascii="Times New Roman" w:hAnsi="Times New Roman" w:cs="Times New Roman"/>
          <w:sz w:val="24"/>
          <w:szCs w:val="24"/>
        </w:rPr>
        <w:t>).</w:t>
      </w:r>
      <w:r w:rsidRPr="00000AA4">
        <w:t xml:space="preserve"> </w:t>
      </w:r>
      <w:r w:rsidRPr="00000AA4">
        <w:rPr>
          <w:rFonts w:ascii="Times New Roman" w:hAnsi="Times New Roman" w:cs="Times New Roman"/>
          <w:sz w:val="24"/>
          <w:szCs w:val="24"/>
        </w:rPr>
        <w:t>Boron application increases the oil content due to better pollination and seed set leading to formation of protein and oil synthesis</w:t>
      </w:r>
      <w:r w:rsidR="006F5C9A">
        <w:rPr>
          <w:rFonts w:ascii="Times New Roman" w:hAnsi="Times New Roman" w:cs="Times New Roman"/>
          <w:sz w:val="24"/>
          <w:szCs w:val="24"/>
        </w:rPr>
        <w:t xml:space="preserve"> </w:t>
      </w:r>
      <w:r w:rsidR="009D3C72" w:rsidRPr="009D3C72">
        <w:rPr>
          <w:rFonts w:ascii="Times New Roman" w:hAnsi="Times New Roman" w:cs="Times New Roman"/>
          <w:sz w:val="24"/>
          <w:szCs w:val="24"/>
        </w:rPr>
        <w:t>(Tahir et al., 2014).</w:t>
      </w:r>
      <w:r>
        <w:rPr>
          <w:rFonts w:ascii="Times New Roman" w:hAnsi="Times New Roman" w:cs="Times New Roman"/>
          <w:sz w:val="24"/>
          <w:szCs w:val="24"/>
        </w:rPr>
        <w:t xml:space="preserve"> </w:t>
      </w:r>
      <w:r w:rsidR="00013065" w:rsidRPr="00013065">
        <w:rPr>
          <w:rFonts w:ascii="Times New Roman" w:hAnsi="Times New Roman" w:cs="Times New Roman"/>
          <w:sz w:val="24"/>
          <w:szCs w:val="24"/>
        </w:rPr>
        <w:t>Boron is a vital micronutrient in plants. Boron is now widely used in agriculture and horticulture. Boron's fundamental functions in plants include cell wall formation and the regulation of particular metabolic pathways.</w:t>
      </w:r>
      <w:r w:rsidR="00013065">
        <w:rPr>
          <w:rFonts w:ascii="Times New Roman" w:hAnsi="Times New Roman" w:cs="Times New Roman"/>
          <w:sz w:val="24"/>
          <w:szCs w:val="24"/>
        </w:rPr>
        <w:t xml:space="preserve"> </w:t>
      </w:r>
      <w:r w:rsidRPr="00000AA4">
        <w:rPr>
          <w:rFonts w:ascii="Times New Roman" w:hAnsi="Times New Roman" w:cs="Times New Roman"/>
          <w:sz w:val="24"/>
          <w:szCs w:val="24"/>
          <w:lang w:val="en-US"/>
        </w:rPr>
        <w:t>Farm yard manure (FYM) provides essential plant nutrients throughout the crop cycle, resulting in improved growth and yield attributes. Higher growth and yield attributes lead to increased seed and</w:t>
      </w:r>
      <w:r>
        <w:rPr>
          <w:rFonts w:ascii="Times New Roman" w:hAnsi="Times New Roman" w:cs="Times New Roman"/>
          <w:sz w:val="24"/>
          <w:szCs w:val="24"/>
          <w:lang w:val="en-US"/>
        </w:rPr>
        <w:t xml:space="preserve"> stover</w:t>
      </w:r>
      <w:r w:rsidRPr="00000AA4">
        <w:rPr>
          <w:rFonts w:ascii="Times New Roman" w:hAnsi="Times New Roman" w:cs="Times New Roman"/>
          <w:sz w:val="24"/>
          <w:szCs w:val="24"/>
          <w:lang w:val="en-US"/>
        </w:rPr>
        <w:t xml:space="preserve"> yields.</w:t>
      </w:r>
      <w:r w:rsidR="00013065" w:rsidRPr="00013065">
        <w:t xml:space="preserve"> </w:t>
      </w:r>
      <w:r w:rsidR="00013065" w:rsidRPr="00013065">
        <w:rPr>
          <w:rFonts w:ascii="Times New Roman" w:hAnsi="Times New Roman" w:cs="Times New Roman"/>
          <w:sz w:val="24"/>
          <w:szCs w:val="24"/>
          <w:lang w:val="en-US"/>
        </w:rPr>
        <w:t xml:space="preserve">Nitrogen is essential for any </w:t>
      </w:r>
      <w:proofErr w:type="spellStart"/>
      <w:r w:rsidR="00013065" w:rsidRPr="00013065">
        <w:rPr>
          <w:rFonts w:ascii="Times New Roman" w:hAnsi="Times New Roman" w:cs="Times New Roman"/>
          <w:sz w:val="24"/>
          <w:szCs w:val="24"/>
          <w:lang w:val="en-US"/>
        </w:rPr>
        <w:t>fertiliser</w:t>
      </w:r>
      <w:proofErr w:type="spellEnd"/>
      <w:r w:rsidR="00013065" w:rsidRPr="00013065">
        <w:rPr>
          <w:rFonts w:ascii="Times New Roman" w:hAnsi="Times New Roman" w:cs="Times New Roman"/>
          <w:sz w:val="24"/>
          <w:szCs w:val="24"/>
          <w:lang w:val="en-US"/>
        </w:rPr>
        <w:t xml:space="preserve"> management scheme designed to </w:t>
      </w:r>
      <w:proofErr w:type="spellStart"/>
      <w:r w:rsidR="00013065" w:rsidRPr="00013065">
        <w:rPr>
          <w:rFonts w:ascii="Times New Roman" w:hAnsi="Times New Roman" w:cs="Times New Roman"/>
          <w:sz w:val="24"/>
          <w:szCs w:val="24"/>
          <w:lang w:val="en-US"/>
        </w:rPr>
        <w:t>maximise</w:t>
      </w:r>
      <w:proofErr w:type="spellEnd"/>
      <w:r w:rsidR="00013065" w:rsidRPr="00013065">
        <w:rPr>
          <w:rFonts w:ascii="Times New Roman" w:hAnsi="Times New Roman" w:cs="Times New Roman"/>
          <w:sz w:val="24"/>
          <w:szCs w:val="24"/>
          <w:lang w:val="en-US"/>
        </w:rPr>
        <w:t xml:space="preserve"> yield potential in current sunflower cultivars.</w:t>
      </w:r>
    </w:p>
    <w:p w14:paraId="51705B83" w14:textId="56995027" w:rsidR="009472CA" w:rsidRDefault="009472CA" w:rsidP="00000AA4">
      <w:pPr>
        <w:spacing w:before="240" w:after="120" w:line="360" w:lineRule="auto"/>
        <w:jc w:val="both"/>
        <w:rPr>
          <w:rFonts w:ascii="Times New Roman" w:hAnsi="Times New Roman" w:cs="Times New Roman"/>
          <w:sz w:val="24"/>
          <w:szCs w:val="24"/>
          <w:lang w:val="en-US"/>
        </w:rPr>
      </w:pPr>
      <w:r w:rsidRPr="009472CA">
        <w:t xml:space="preserve"> </w:t>
      </w:r>
      <w:r w:rsidR="002F35F3">
        <w:t>(</w:t>
      </w:r>
      <w:r w:rsidRPr="009472CA">
        <w:rPr>
          <w:rFonts w:ascii="Times New Roman" w:hAnsi="Times New Roman" w:cs="Times New Roman"/>
          <w:sz w:val="24"/>
          <w:szCs w:val="24"/>
          <w:lang w:val="en-US"/>
        </w:rPr>
        <w:t>Gouda</w:t>
      </w:r>
      <w:r w:rsidR="002F35F3">
        <w:rPr>
          <w:rFonts w:ascii="Times New Roman" w:hAnsi="Times New Roman" w:cs="Times New Roman"/>
          <w:sz w:val="24"/>
          <w:szCs w:val="24"/>
          <w:lang w:val="en-US"/>
        </w:rPr>
        <w:t xml:space="preserve">, </w:t>
      </w:r>
      <w:r w:rsidRPr="009472CA">
        <w:rPr>
          <w:rFonts w:ascii="Times New Roman" w:hAnsi="Times New Roman" w:cs="Times New Roman"/>
          <w:sz w:val="24"/>
          <w:szCs w:val="24"/>
          <w:lang w:val="en-US"/>
        </w:rPr>
        <w:t>2019) reported that the highest seed yield of 2.59 t/ha, stover yield of 6.39 t/ha, highest oil content of 42.90% and highest oil yield of 1114 kg/ha was recorded with STBFR + FYM @ 5 t/ha which remained at par with RDF + FYM @ 5 t/ha + S @ 40 kg/ha + B @ 0.02% (2.37 t/ha) in sandy loam soil at Bhubaneswar.</w:t>
      </w:r>
      <w:r w:rsidRPr="009472CA">
        <w:t xml:space="preserve"> </w:t>
      </w:r>
      <w:r w:rsidR="002F35F3">
        <w:t>(</w:t>
      </w:r>
      <w:r w:rsidRPr="009472CA">
        <w:rPr>
          <w:rFonts w:ascii="Times New Roman" w:hAnsi="Times New Roman" w:cs="Times New Roman"/>
          <w:sz w:val="24"/>
          <w:szCs w:val="24"/>
          <w:lang w:val="en-US"/>
        </w:rPr>
        <w:t>Rathiya</w:t>
      </w:r>
      <w:r w:rsidR="002F35F3">
        <w:rPr>
          <w:rFonts w:ascii="Times New Roman" w:hAnsi="Times New Roman" w:cs="Times New Roman"/>
          <w:sz w:val="24"/>
          <w:szCs w:val="24"/>
          <w:lang w:val="en-US"/>
        </w:rPr>
        <w:t xml:space="preserve">, </w:t>
      </w:r>
      <w:r w:rsidRPr="009472CA">
        <w:rPr>
          <w:rFonts w:ascii="Times New Roman" w:hAnsi="Times New Roman" w:cs="Times New Roman"/>
          <w:sz w:val="24"/>
          <w:szCs w:val="24"/>
          <w:lang w:val="en-US"/>
        </w:rPr>
        <w:t>2005) found that conjunctive use of organic and inorganic sources of nutrients resulted in higher total N, P</w:t>
      </w:r>
      <w:r w:rsidRPr="006F5C9A">
        <w:rPr>
          <w:rFonts w:ascii="Times New Roman" w:hAnsi="Times New Roman" w:cs="Times New Roman"/>
          <w:sz w:val="24"/>
          <w:szCs w:val="24"/>
          <w:vertAlign w:val="subscript"/>
          <w:lang w:val="en-US"/>
        </w:rPr>
        <w:t>2</w:t>
      </w:r>
      <w:r w:rsidRPr="009472CA">
        <w:rPr>
          <w:rFonts w:ascii="Times New Roman" w:hAnsi="Times New Roman" w:cs="Times New Roman"/>
          <w:sz w:val="24"/>
          <w:szCs w:val="24"/>
          <w:lang w:val="en-US"/>
        </w:rPr>
        <w:t>O</w:t>
      </w:r>
      <w:r w:rsidRPr="006F5C9A">
        <w:rPr>
          <w:rFonts w:ascii="Times New Roman" w:hAnsi="Times New Roman" w:cs="Times New Roman"/>
          <w:sz w:val="24"/>
          <w:szCs w:val="24"/>
          <w:vertAlign w:val="subscript"/>
          <w:lang w:val="en-US"/>
        </w:rPr>
        <w:t>5</w:t>
      </w:r>
      <w:r w:rsidRPr="009472CA">
        <w:rPr>
          <w:rFonts w:ascii="Times New Roman" w:hAnsi="Times New Roman" w:cs="Times New Roman"/>
          <w:sz w:val="24"/>
          <w:szCs w:val="24"/>
          <w:lang w:val="en-US"/>
        </w:rPr>
        <w:t xml:space="preserve"> and K</w:t>
      </w:r>
      <w:r w:rsidRPr="006F5C9A">
        <w:rPr>
          <w:rFonts w:ascii="Times New Roman" w:hAnsi="Times New Roman" w:cs="Times New Roman"/>
          <w:sz w:val="24"/>
          <w:szCs w:val="24"/>
          <w:vertAlign w:val="subscript"/>
          <w:lang w:val="en-US"/>
        </w:rPr>
        <w:t>2</w:t>
      </w:r>
      <w:r w:rsidRPr="009472CA">
        <w:rPr>
          <w:rFonts w:ascii="Times New Roman" w:hAnsi="Times New Roman" w:cs="Times New Roman"/>
          <w:sz w:val="24"/>
          <w:szCs w:val="24"/>
          <w:lang w:val="en-US"/>
        </w:rPr>
        <w:t>O remova</w:t>
      </w:r>
      <w:r w:rsidR="006F5C9A">
        <w:rPr>
          <w:rFonts w:ascii="Times New Roman" w:hAnsi="Times New Roman" w:cs="Times New Roman"/>
          <w:sz w:val="24"/>
          <w:szCs w:val="24"/>
          <w:lang w:val="en-US"/>
        </w:rPr>
        <w:t>l by sunflower crop at harvest</w:t>
      </w:r>
      <w:r w:rsidR="00F11CD6">
        <w:rPr>
          <w:rFonts w:ascii="Times New Roman" w:hAnsi="Times New Roman" w:cs="Times New Roman"/>
          <w:sz w:val="24"/>
          <w:szCs w:val="24"/>
          <w:lang w:val="en-US"/>
        </w:rPr>
        <w:t>.</w:t>
      </w:r>
    </w:p>
    <w:p w14:paraId="5E738DF3" w14:textId="77777777" w:rsidR="001C5033" w:rsidRDefault="001C5033" w:rsidP="00000AA4">
      <w:pPr>
        <w:spacing w:before="24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MATERIALS AND METHODS:</w:t>
      </w:r>
    </w:p>
    <w:p w14:paraId="1219898F" w14:textId="77777777" w:rsidR="00FC1884" w:rsidRPr="001A149B" w:rsidRDefault="001C5033" w:rsidP="00000AA4">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                  </w:t>
      </w:r>
      <w:r w:rsidRPr="001C5033">
        <w:rPr>
          <w:rFonts w:ascii="Times New Roman" w:hAnsi="Times New Roman" w:cs="Times New Roman"/>
          <w:sz w:val="24"/>
          <w:szCs w:val="24"/>
          <w:lang w:val="en-US"/>
        </w:rPr>
        <w:t xml:space="preserve">The experiment was </w:t>
      </w:r>
      <w:r w:rsidR="00577EAD">
        <w:rPr>
          <w:rFonts w:ascii="Times New Roman" w:hAnsi="Times New Roman" w:cs="Times New Roman"/>
          <w:sz w:val="24"/>
          <w:szCs w:val="24"/>
          <w:lang w:val="en-US"/>
        </w:rPr>
        <w:t>conducted</w:t>
      </w:r>
      <w:r w:rsidRPr="001C5033">
        <w:rPr>
          <w:rFonts w:ascii="Times New Roman" w:hAnsi="Times New Roman" w:cs="Times New Roman"/>
          <w:sz w:val="24"/>
          <w:szCs w:val="24"/>
          <w:lang w:val="en-US"/>
        </w:rPr>
        <w:t xml:space="preserve"> during the </w:t>
      </w:r>
      <w:r w:rsidRPr="001C5033">
        <w:rPr>
          <w:rFonts w:ascii="Times New Roman" w:hAnsi="Times New Roman" w:cs="Times New Roman"/>
          <w:i/>
          <w:iCs/>
          <w:sz w:val="24"/>
          <w:szCs w:val="24"/>
          <w:lang w:val="en-US"/>
        </w:rPr>
        <w:t>rabi</w:t>
      </w:r>
      <w:r w:rsidR="00577EAD">
        <w:rPr>
          <w:rFonts w:ascii="Times New Roman" w:hAnsi="Times New Roman" w:cs="Times New Roman"/>
          <w:sz w:val="24"/>
          <w:szCs w:val="24"/>
          <w:lang w:val="en-US"/>
        </w:rPr>
        <w:t xml:space="preserve"> season </w:t>
      </w:r>
      <w:r w:rsidRPr="001C5033">
        <w:rPr>
          <w:rFonts w:ascii="Times New Roman" w:hAnsi="Times New Roman" w:cs="Times New Roman"/>
          <w:sz w:val="24"/>
          <w:szCs w:val="24"/>
          <w:lang w:val="en-US"/>
        </w:rPr>
        <w:t xml:space="preserve">of 2023-24 at the </w:t>
      </w:r>
      <w:r w:rsidR="00577EAD" w:rsidRPr="00577EAD">
        <w:rPr>
          <w:rFonts w:ascii="Times New Roman" w:hAnsi="Times New Roman" w:cs="Times New Roman"/>
          <w:sz w:val="24"/>
          <w:szCs w:val="24"/>
          <w:lang w:val="en-US"/>
        </w:rPr>
        <w:t xml:space="preserve">Instructional Farm </w:t>
      </w:r>
      <w:r w:rsidR="00577EAD">
        <w:rPr>
          <w:rFonts w:ascii="Times New Roman" w:hAnsi="Times New Roman" w:cs="Times New Roman"/>
          <w:sz w:val="24"/>
          <w:szCs w:val="24"/>
          <w:lang w:val="en-US"/>
        </w:rPr>
        <w:t xml:space="preserve">of </w:t>
      </w:r>
      <w:r w:rsidRPr="001C5033">
        <w:rPr>
          <w:rFonts w:ascii="Times New Roman" w:hAnsi="Times New Roman" w:cs="Times New Roman"/>
          <w:sz w:val="24"/>
          <w:szCs w:val="24"/>
          <w:lang w:val="en-US"/>
        </w:rPr>
        <w:t>Odisha University of Agriculture &amp; Technology</w:t>
      </w:r>
      <w:r w:rsidR="00577EAD">
        <w:rPr>
          <w:rFonts w:ascii="Times New Roman" w:hAnsi="Times New Roman" w:cs="Times New Roman"/>
          <w:sz w:val="24"/>
          <w:szCs w:val="24"/>
          <w:lang w:val="en-US"/>
        </w:rPr>
        <w:t>,</w:t>
      </w:r>
      <w:r w:rsidRPr="001C5033">
        <w:rPr>
          <w:rFonts w:ascii="Times New Roman" w:hAnsi="Times New Roman" w:cs="Times New Roman"/>
          <w:sz w:val="24"/>
          <w:szCs w:val="24"/>
          <w:lang w:val="en-US"/>
        </w:rPr>
        <w:t xml:space="preserve"> </w:t>
      </w:r>
      <w:r w:rsidR="00577EAD">
        <w:rPr>
          <w:rFonts w:ascii="Times New Roman" w:hAnsi="Times New Roman" w:cs="Times New Roman"/>
          <w:sz w:val="24"/>
          <w:szCs w:val="24"/>
          <w:lang w:val="en-US"/>
        </w:rPr>
        <w:t>Bhubaneswar</w:t>
      </w:r>
      <w:r w:rsidRPr="001C5033">
        <w:rPr>
          <w:rFonts w:ascii="Times New Roman" w:hAnsi="Times New Roman" w:cs="Times New Roman"/>
          <w:sz w:val="24"/>
          <w:szCs w:val="24"/>
          <w:lang w:val="en-US"/>
        </w:rPr>
        <w:t>.</w:t>
      </w:r>
      <w:r w:rsidRPr="001C5033">
        <w:t xml:space="preserve"> </w:t>
      </w:r>
      <w:r w:rsidR="00577EAD" w:rsidRPr="00577EAD">
        <w:rPr>
          <w:rFonts w:ascii="Times New Roman" w:hAnsi="Times New Roman" w:cs="Times New Roman"/>
          <w:sz w:val="24"/>
          <w:szCs w:val="24"/>
        </w:rPr>
        <w:t>The soil of the experimental site was sandy loam in texture, acidic (pH 5.15), low in organic carbon (0.48 %), medium in available nitrogen (259.5 kg/ha), low in available phosphorus (12.75 kg/ha), medium in potassium content (142.75 kg/ha),</w:t>
      </w:r>
      <w:r w:rsidR="00577EAD" w:rsidRPr="00577EAD">
        <w:rPr>
          <w:sz w:val="24"/>
          <w:szCs w:val="24"/>
        </w:rPr>
        <w:t xml:space="preserve"> </w:t>
      </w:r>
      <w:r w:rsidR="00577EAD" w:rsidRPr="00577EAD">
        <w:rPr>
          <w:rFonts w:ascii="Times New Roman" w:hAnsi="Times New Roman" w:cs="Times New Roman"/>
          <w:sz w:val="24"/>
          <w:szCs w:val="24"/>
        </w:rPr>
        <w:t>low in available sulphur content (7.4 ppm) and low in available boron content (0.38 ppm).</w:t>
      </w:r>
      <w:r w:rsidR="001A149B" w:rsidRPr="001A149B">
        <w:rPr>
          <w:rFonts w:ascii="Times New Roman" w:hAnsi="Times New Roman" w:cs="Times New Roman"/>
          <w:sz w:val="24"/>
          <w:szCs w:val="24"/>
        </w:rPr>
        <w:t>The experiment was laid out in a Randomised Block Design consisting of ten treatments</w:t>
      </w:r>
      <w:r w:rsidR="00577EAD">
        <w:rPr>
          <w:rFonts w:ascii="Times New Roman" w:hAnsi="Times New Roman" w:cs="Times New Roman"/>
          <w:sz w:val="24"/>
          <w:szCs w:val="24"/>
        </w:rPr>
        <w:t xml:space="preserve"> being</w:t>
      </w:r>
      <w:r w:rsidR="001A149B" w:rsidRPr="001A149B">
        <w:rPr>
          <w:rFonts w:ascii="Times New Roman" w:hAnsi="Times New Roman" w:cs="Times New Roman"/>
          <w:sz w:val="24"/>
          <w:szCs w:val="24"/>
        </w:rPr>
        <w:t xml:space="preserve"> replicated thrice. The treatments were T</w:t>
      </w:r>
      <w:r w:rsidR="001A149B" w:rsidRPr="00577EAD">
        <w:rPr>
          <w:rFonts w:ascii="Times New Roman" w:hAnsi="Times New Roman" w:cs="Times New Roman"/>
          <w:sz w:val="24"/>
          <w:szCs w:val="24"/>
          <w:vertAlign w:val="subscript"/>
        </w:rPr>
        <w:t>1</w:t>
      </w:r>
      <w:r w:rsidR="001A149B" w:rsidRPr="001A149B">
        <w:rPr>
          <w:rFonts w:ascii="Times New Roman" w:hAnsi="Times New Roman" w:cs="Times New Roman"/>
          <w:sz w:val="24"/>
          <w:szCs w:val="24"/>
        </w:rPr>
        <w:t>- STBFR (60:100:60 kg N:P</w:t>
      </w:r>
      <w:r w:rsidR="001A149B" w:rsidRPr="001A149B">
        <w:rPr>
          <w:rFonts w:ascii="Times New Roman" w:hAnsi="Times New Roman" w:cs="Times New Roman"/>
          <w:sz w:val="24"/>
          <w:szCs w:val="24"/>
          <w:vertAlign w:val="subscript"/>
        </w:rPr>
        <w:t>2</w:t>
      </w:r>
      <w:r w:rsidR="001A149B" w:rsidRPr="001A149B">
        <w:rPr>
          <w:rFonts w:ascii="Times New Roman" w:hAnsi="Times New Roman" w:cs="Times New Roman"/>
          <w:sz w:val="24"/>
          <w:szCs w:val="24"/>
        </w:rPr>
        <w:t>O</w:t>
      </w:r>
      <w:r w:rsidR="001A149B" w:rsidRPr="001A149B">
        <w:rPr>
          <w:rFonts w:ascii="Times New Roman" w:hAnsi="Times New Roman" w:cs="Times New Roman"/>
          <w:sz w:val="24"/>
          <w:szCs w:val="24"/>
          <w:vertAlign w:val="subscript"/>
        </w:rPr>
        <w:t>5</w:t>
      </w:r>
      <w:r w:rsidR="001A149B" w:rsidRPr="001A149B">
        <w:rPr>
          <w:rFonts w:ascii="Times New Roman" w:hAnsi="Times New Roman" w:cs="Times New Roman"/>
          <w:sz w:val="24"/>
          <w:szCs w:val="24"/>
        </w:rPr>
        <w:t>:K</w:t>
      </w:r>
      <w:r w:rsidR="001A149B" w:rsidRPr="001A149B">
        <w:rPr>
          <w:rFonts w:ascii="Times New Roman" w:hAnsi="Times New Roman" w:cs="Times New Roman"/>
          <w:sz w:val="24"/>
          <w:szCs w:val="24"/>
          <w:vertAlign w:val="subscript"/>
        </w:rPr>
        <w:t>2</w:t>
      </w:r>
      <w:r w:rsidR="001A149B" w:rsidRPr="001A149B">
        <w:rPr>
          <w:rFonts w:ascii="Times New Roman" w:hAnsi="Times New Roman" w:cs="Times New Roman"/>
          <w:sz w:val="24"/>
          <w:szCs w:val="24"/>
        </w:rPr>
        <w:t>O/ha), T</w:t>
      </w:r>
      <w:r w:rsidR="001A149B" w:rsidRPr="00577EAD">
        <w:rPr>
          <w:rFonts w:ascii="Times New Roman" w:hAnsi="Times New Roman" w:cs="Times New Roman"/>
          <w:sz w:val="24"/>
          <w:szCs w:val="24"/>
          <w:vertAlign w:val="subscript"/>
        </w:rPr>
        <w:t>2</w:t>
      </w:r>
      <w:r w:rsidR="001A149B" w:rsidRPr="001A149B">
        <w:rPr>
          <w:rFonts w:ascii="Times New Roman" w:hAnsi="Times New Roman" w:cs="Times New Roman"/>
          <w:sz w:val="24"/>
          <w:szCs w:val="24"/>
        </w:rPr>
        <w:t>- STBFR + Lime 500 kg/ha, T</w:t>
      </w:r>
      <w:r w:rsidR="001A149B" w:rsidRPr="00577EAD">
        <w:rPr>
          <w:rFonts w:ascii="Times New Roman" w:hAnsi="Times New Roman" w:cs="Times New Roman"/>
          <w:sz w:val="24"/>
          <w:szCs w:val="24"/>
          <w:vertAlign w:val="subscript"/>
        </w:rPr>
        <w:t>3</w:t>
      </w:r>
      <w:r w:rsidR="001A149B" w:rsidRPr="001A149B">
        <w:rPr>
          <w:rFonts w:ascii="Times New Roman" w:hAnsi="Times New Roman" w:cs="Times New Roman"/>
          <w:sz w:val="24"/>
          <w:szCs w:val="24"/>
        </w:rPr>
        <w:t>- STBFR + FYM 5t/ha, T</w:t>
      </w:r>
      <w:r w:rsidR="001A149B" w:rsidRPr="00577EAD">
        <w:rPr>
          <w:rFonts w:ascii="Times New Roman" w:hAnsi="Times New Roman" w:cs="Times New Roman"/>
          <w:sz w:val="24"/>
          <w:szCs w:val="24"/>
          <w:vertAlign w:val="subscript"/>
        </w:rPr>
        <w:t>4</w:t>
      </w:r>
      <w:r w:rsidR="001A149B" w:rsidRPr="001A149B">
        <w:rPr>
          <w:rFonts w:ascii="Times New Roman" w:hAnsi="Times New Roman" w:cs="Times New Roman"/>
          <w:sz w:val="24"/>
          <w:szCs w:val="24"/>
        </w:rPr>
        <w:t>- STBFR + Vermicompost 2t/ha, T</w:t>
      </w:r>
      <w:r w:rsidR="001A149B" w:rsidRPr="00577EAD">
        <w:rPr>
          <w:rFonts w:ascii="Times New Roman" w:hAnsi="Times New Roman" w:cs="Times New Roman"/>
          <w:sz w:val="24"/>
          <w:szCs w:val="24"/>
          <w:vertAlign w:val="subscript"/>
        </w:rPr>
        <w:t>5</w:t>
      </w:r>
      <w:r w:rsidR="001A149B" w:rsidRPr="001A149B">
        <w:rPr>
          <w:rFonts w:ascii="Times New Roman" w:hAnsi="Times New Roman" w:cs="Times New Roman"/>
          <w:sz w:val="24"/>
          <w:szCs w:val="24"/>
        </w:rPr>
        <w:t xml:space="preserve">- STBFR + Lime + FYM, </w:t>
      </w:r>
      <w:r w:rsidR="00577EAD">
        <w:rPr>
          <w:rFonts w:ascii="Times New Roman" w:hAnsi="Times New Roman" w:cs="Times New Roman"/>
          <w:sz w:val="24"/>
          <w:szCs w:val="24"/>
        </w:rPr>
        <w:t>T</w:t>
      </w:r>
      <w:r w:rsidR="00577EAD" w:rsidRPr="00577EAD">
        <w:rPr>
          <w:rFonts w:ascii="Times New Roman" w:hAnsi="Times New Roman" w:cs="Times New Roman"/>
          <w:sz w:val="24"/>
          <w:szCs w:val="24"/>
          <w:vertAlign w:val="subscript"/>
        </w:rPr>
        <w:t>6</w:t>
      </w:r>
      <w:r w:rsidR="00577EAD">
        <w:rPr>
          <w:rFonts w:ascii="Times New Roman" w:hAnsi="Times New Roman" w:cs="Times New Roman"/>
          <w:sz w:val="24"/>
          <w:szCs w:val="24"/>
        </w:rPr>
        <w:t xml:space="preserve">- </w:t>
      </w:r>
      <w:r w:rsidR="001A149B" w:rsidRPr="001A149B">
        <w:rPr>
          <w:rFonts w:ascii="Times New Roman" w:hAnsi="Times New Roman" w:cs="Times New Roman"/>
          <w:sz w:val="24"/>
          <w:szCs w:val="24"/>
        </w:rPr>
        <w:t>STBFR + Lime + FYM + S 40kg/ha, T</w:t>
      </w:r>
      <w:r w:rsidR="001A149B" w:rsidRPr="00577EAD">
        <w:rPr>
          <w:rFonts w:ascii="Times New Roman" w:hAnsi="Times New Roman" w:cs="Times New Roman"/>
          <w:sz w:val="24"/>
          <w:szCs w:val="24"/>
          <w:vertAlign w:val="subscript"/>
        </w:rPr>
        <w:t>7</w:t>
      </w:r>
      <w:r w:rsidR="001A149B" w:rsidRPr="001A149B">
        <w:rPr>
          <w:rFonts w:ascii="Times New Roman" w:hAnsi="Times New Roman" w:cs="Times New Roman"/>
          <w:sz w:val="24"/>
          <w:szCs w:val="24"/>
        </w:rPr>
        <w:t>- STBFR + Lime + FYM + S 40kg/ha + Borax 0.2% as one foliar spray, T</w:t>
      </w:r>
      <w:r w:rsidR="001A149B" w:rsidRPr="00577EAD">
        <w:rPr>
          <w:rFonts w:ascii="Times New Roman" w:hAnsi="Times New Roman" w:cs="Times New Roman"/>
          <w:sz w:val="24"/>
          <w:szCs w:val="24"/>
          <w:vertAlign w:val="subscript"/>
        </w:rPr>
        <w:t>8</w:t>
      </w:r>
      <w:r w:rsidR="001A149B" w:rsidRPr="001A149B">
        <w:rPr>
          <w:rFonts w:ascii="Times New Roman" w:hAnsi="Times New Roman" w:cs="Times New Roman"/>
          <w:sz w:val="24"/>
          <w:szCs w:val="24"/>
        </w:rPr>
        <w:t>- STBFR + Lime + FYM + S 40kg/ha + Borax 0.2% 2 sprays, T</w:t>
      </w:r>
      <w:r w:rsidR="001A149B" w:rsidRPr="00577EAD">
        <w:rPr>
          <w:rFonts w:ascii="Times New Roman" w:hAnsi="Times New Roman" w:cs="Times New Roman"/>
          <w:sz w:val="24"/>
          <w:szCs w:val="24"/>
          <w:vertAlign w:val="subscript"/>
        </w:rPr>
        <w:t>9</w:t>
      </w:r>
      <w:r w:rsidR="001A149B" w:rsidRPr="001A149B">
        <w:rPr>
          <w:rFonts w:ascii="Times New Roman" w:hAnsi="Times New Roman" w:cs="Times New Roman"/>
          <w:sz w:val="24"/>
          <w:szCs w:val="24"/>
        </w:rPr>
        <w:t>- STBFR + Lime + FYM + S 40kg/ha + Borax as soil application 10 kg/ha and T</w:t>
      </w:r>
      <w:r w:rsidR="001A149B" w:rsidRPr="00577EAD">
        <w:rPr>
          <w:rFonts w:ascii="Times New Roman" w:hAnsi="Times New Roman" w:cs="Times New Roman"/>
          <w:sz w:val="24"/>
          <w:szCs w:val="24"/>
          <w:vertAlign w:val="subscript"/>
        </w:rPr>
        <w:t>10</w:t>
      </w:r>
      <w:r w:rsidR="001A149B" w:rsidRPr="001A149B">
        <w:rPr>
          <w:rFonts w:ascii="Times New Roman" w:hAnsi="Times New Roman" w:cs="Times New Roman"/>
          <w:sz w:val="24"/>
          <w:szCs w:val="24"/>
        </w:rPr>
        <w:t>- Control</w:t>
      </w:r>
      <w:r w:rsidR="001A149B">
        <w:rPr>
          <w:rFonts w:ascii="Times New Roman" w:hAnsi="Times New Roman" w:cs="Times New Roman"/>
          <w:sz w:val="24"/>
          <w:szCs w:val="24"/>
        </w:rPr>
        <w:t xml:space="preserve">. </w:t>
      </w:r>
      <w:r w:rsidR="00577EAD" w:rsidRPr="00577EAD">
        <w:rPr>
          <w:rFonts w:ascii="Times New Roman" w:hAnsi="Times New Roman" w:cs="Times New Roman"/>
          <w:sz w:val="24"/>
          <w:szCs w:val="24"/>
        </w:rPr>
        <w:t>The test hybrid of sunflower was KBSH-78</w:t>
      </w:r>
      <w:r w:rsidR="00577EAD">
        <w:rPr>
          <w:rFonts w:ascii="Times New Roman" w:hAnsi="Times New Roman" w:cs="Times New Roman"/>
          <w:sz w:val="24"/>
          <w:szCs w:val="24"/>
        </w:rPr>
        <w:t xml:space="preserve">. </w:t>
      </w:r>
      <w:r w:rsidR="001A149B">
        <w:rPr>
          <w:rFonts w:ascii="Times New Roman" w:hAnsi="Times New Roman" w:cs="Times New Roman"/>
          <w:sz w:val="24"/>
          <w:szCs w:val="24"/>
        </w:rPr>
        <w:t>The crop was sown on 20</w:t>
      </w:r>
      <w:r w:rsidR="001A149B" w:rsidRPr="001A149B">
        <w:rPr>
          <w:rFonts w:ascii="Times New Roman" w:hAnsi="Times New Roman" w:cs="Times New Roman"/>
          <w:sz w:val="24"/>
          <w:szCs w:val="24"/>
          <w:vertAlign w:val="superscript"/>
        </w:rPr>
        <w:t>th</w:t>
      </w:r>
      <w:r w:rsidR="001A149B">
        <w:rPr>
          <w:rFonts w:ascii="Times New Roman" w:hAnsi="Times New Roman" w:cs="Times New Roman"/>
          <w:sz w:val="24"/>
          <w:szCs w:val="24"/>
        </w:rPr>
        <w:t xml:space="preserve"> November 2023</w:t>
      </w:r>
      <w:r w:rsidR="00577EAD" w:rsidRPr="00577EAD">
        <w:t xml:space="preserve"> </w:t>
      </w:r>
      <w:r w:rsidR="00577EAD" w:rsidRPr="00577EAD">
        <w:rPr>
          <w:rFonts w:ascii="Times New Roman" w:hAnsi="Times New Roman" w:cs="Times New Roman"/>
          <w:sz w:val="24"/>
          <w:szCs w:val="24"/>
        </w:rPr>
        <w:t>at a spacing of 60 cm x 30 cm</w:t>
      </w:r>
      <w:r w:rsidR="001A149B">
        <w:rPr>
          <w:rFonts w:ascii="Times New Roman" w:hAnsi="Times New Roman" w:cs="Times New Roman"/>
          <w:sz w:val="24"/>
          <w:szCs w:val="24"/>
        </w:rPr>
        <w:t xml:space="preserve"> and harvested on 19</w:t>
      </w:r>
      <w:r w:rsidR="001A149B" w:rsidRPr="001A149B">
        <w:rPr>
          <w:rFonts w:ascii="Times New Roman" w:hAnsi="Times New Roman" w:cs="Times New Roman"/>
          <w:sz w:val="24"/>
          <w:szCs w:val="24"/>
          <w:vertAlign w:val="superscript"/>
        </w:rPr>
        <w:t>th</w:t>
      </w:r>
      <w:r w:rsidR="001A149B">
        <w:rPr>
          <w:rFonts w:ascii="Times New Roman" w:hAnsi="Times New Roman" w:cs="Times New Roman"/>
          <w:sz w:val="24"/>
          <w:szCs w:val="24"/>
        </w:rPr>
        <w:t xml:space="preserve"> February 2024. </w:t>
      </w:r>
      <w:r w:rsidR="001A149B" w:rsidRPr="001A149B">
        <w:rPr>
          <w:rFonts w:ascii="Times New Roman" w:hAnsi="Times New Roman" w:cs="Times New Roman"/>
          <w:sz w:val="24"/>
          <w:szCs w:val="24"/>
        </w:rPr>
        <w:t xml:space="preserve">The required quantity of KBSH-78 seeds @ 5kg/ha was first treated with </w:t>
      </w:r>
      <w:proofErr w:type="spellStart"/>
      <w:r w:rsidR="001A149B" w:rsidRPr="001A149B">
        <w:rPr>
          <w:rFonts w:ascii="Times New Roman" w:hAnsi="Times New Roman" w:cs="Times New Roman"/>
          <w:sz w:val="24"/>
          <w:szCs w:val="24"/>
        </w:rPr>
        <w:t>Vitavax</w:t>
      </w:r>
      <w:proofErr w:type="spellEnd"/>
      <w:r w:rsidR="001A149B" w:rsidRPr="001A149B">
        <w:rPr>
          <w:rFonts w:ascii="Times New Roman" w:hAnsi="Times New Roman" w:cs="Times New Roman"/>
          <w:sz w:val="24"/>
          <w:szCs w:val="24"/>
        </w:rPr>
        <w:t xml:space="preserve"> powder @2g/kg of seed</w:t>
      </w:r>
      <w:r w:rsidR="001A149B">
        <w:rPr>
          <w:rFonts w:ascii="Times New Roman" w:hAnsi="Times New Roman" w:cs="Times New Roman"/>
          <w:sz w:val="24"/>
          <w:szCs w:val="24"/>
        </w:rPr>
        <w:t xml:space="preserve">. </w:t>
      </w:r>
      <w:r w:rsidR="001A149B" w:rsidRPr="001A149B">
        <w:rPr>
          <w:rFonts w:ascii="Times New Roman" w:hAnsi="Times New Roman" w:cs="Times New Roman"/>
          <w:sz w:val="24"/>
          <w:szCs w:val="24"/>
        </w:rPr>
        <w:t xml:space="preserve">Lime @ 500 kg/ha was applied after first ploughing to maintain the </w:t>
      </w:r>
      <w:proofErr w:type="spellStart"/>
      <w:r w:rsidR="001A149B" w:rsidRPr="001A149B">
        <w:rPr>
          <w:rFonts w:ascii="Times New Roman" w:hAnsi="Times New Roman" w:cs="Times New Roman"/>
          <w:sz w:val="24"/>
          <w:szCs w:val="24"/>
        </w:rPr>
        <w:t>pH.</w:t>
      </w:r>
      <w:proofErr w:type="spellEnd"/>
      <w:r w:rsidR="001A149B" w:rsidRPr="001A149B">
        <w:rPr>
          <w:rFonts w:ascii="Times New Roman" w:hAnsi="Times New Roman" w:cs="Times New Roman"/>
          <w:sz w:val="24"/>
          <w:szCs w:val="24"/>
        </w:rPr>
        <w:t xml:space="preserve"> Well decomposed FYM @ 5 t/ha was incorporated into the soil at final ploughing as per treatments. Inorganic fertilizers @ 60:80:60 kg N, P2O5 and K</w:t>
      </w:r>
      <w:r w:rsidR="001A149B" w:rsidRPr="006F5C9A">
        <w:rPr>
          <w:rFonts w:ascii="Times New Roman" w:hAnsi="Times New Roman" w:cs="Times New Roman"/>
          <w:sz w:val="24"/>
          <w:szCs w:val="24"/>
          <w:vertAlign w:val="subscript"/>
        </w:rPr>
        <w:t>2</w:t>
      </w:r>
      <w:r w:rsidR="001A149B" w:rsidRPr="001A149B">
        <w:rPr>
          <w:rFonts w:ascii="Times New Roman" w:hAnsi="Times New Roman" w:cs="Times New Roman"/>
          <w:sz w:val="24"/>
          <w:szCs w:val="24"/>
        </w:rPr>
        <w:t>O/ha were applied to all the plots through Urea</w:t>
      </w:r>
      <w:r w:rsidR="001A149B">
        <w:rPr>
          <w:rFonts w:ascii="Times New Roman" w:hAnsi="Times New Roman" w:cs="Times New Roman"/>
          <w:sz w:val="24"/>
          <w:szCs w:val="24"/>
        </w:rPr>
        <w:t xml:space="preserve"> </w:t>
      </w:r>
      <w:r w:rsidR="001A149B" w:rsidRPr="001A149B">
        <w:rPr>
          <w:rFonts w:ascii="Times New Roman" w:hAnsi="Times New Roman" w:cs="Times New Roman"/>
          <w:sz w:val="24"/>
          <w:szCs w:val="24"/>
        </w:rPr>
        <w:t>(46-0-0), DAP (18-46-0) and MOP (0-0-60) except control and FYM. Full P and K + half N were applied as basal while rest N was top dressed at 30 days after sowing. Vermicompost 2t/ha was applied only to T4 treatment. Elemental Sulphur @40 kg/ha as a source of sulphur was applied as basal and borax @ 0.2 % was applied as foliar spray to capitulum at ray floret stage as per the treatments.</w:t>
      </w:r>
      <w:r w:rsidR="001A149B" w:rsidRPr="001A149B">
        <w:t xml:space="preserve"> </w:t>
      </w:r>
      <w:r w:rsidR="001A149B" w:rsidRPr="001A149B">
        <w:rPr>
          <w:rFonts w:ascii="Times New Roman" w:hAnsi="Times New Roman" w:cs="Times New Roman"/>
          <w:sz w:val="24"/>
          <w:szCs w:val="24"/>
        </w:rPr>
        <w:t>During the crop growth cycle, the sunflower crop received a total of six irrigations, beginning one day after sowing and ending 15 days before harvest. The essential stages for irrigation include bud initiation, flower opening and seed filling stages.</w:t>
      </w:r>
      <w:r w:rsidR="00577EAD">
        <w:rPr>
          <w:rFonts w:ascii="Times New Roman" w:hAnsi="Times New Roman" w:cs="Times New Roman"/>
          <w:sz w:val="24"/>
          <w:szCs w:val="24"/>
        </w:rPr>
        <w:t xml:space="preserve"> The yield parameters like head diameter, head weight, total number of seeds per capitulum, number of filled seeds per capitulum and 1000 seed weight were taken at harvest. The seed yield, stover yield and harvest index were estimated from the net plots.</w:t>
      </w:r>
    </w:p>
    <w:p w14:paraId="4E419947" w14:textId="094509E3" w:rsidR="00577EAD" w:rsidRDefault="001C5033" w:rsidP="001C5033">
      <w:pPr>
        <w:spacing w:before="240" w:after="120" w:line="360" w:lineRule="auto"/>
        <w:jc w:val="both"/>
        <w:rPr>
          <w:rFonts w:ascii="Times New Roman" w:hAnsi="Times New Roman" w:cs="Times New Roman"/>
          <w:sz w:val="24"/>
          <w:szCs w:val="24"/>
        </w:rPr>
      </w:pPr>
      <w:r w:rsidRPr="001C5033">
        <w:rPr>
          <w:rFonts w:ascii="Times New Roman" w:hAnsi="Times New Roman" w:cs="Times New Roman"/>
          <w:sz w:val="24"/>
          <w:szCs w:val="24"/>
        </w:rPr>
        <w:lastRenderedPageBreak/>
        <w:t>The crop's (seed and stover) nutrient uptake on a dry weight basis was calculated by multiplying the relevant nutrient contents by their respective total dry matter yields (seed or stover yields) at harvest and represented in kg/ha.</w:t>
      </w:r>
    </w:p>
    <w:p w14:paraId="45A21EEC" w14:textId="77777777" w:rsidR="00577EAD" w:rsidRDefault="00577EAD" w:rsidP="001C5033">
      <w:pPr>
        <w:spacing w:before="240" w:after="120" w:line="360" w:lineRule="auto"/>
        <w:jc w:val="both"/>
        <w:rPr>
          <w:rFonts w:ascii="Times New Roman" w:hAnsi="Times New Roman" w:cs="Times New Roman"/>
          <w:sz w:val="24"/>
          <w:szCs w:val="24"/>
        </w:rPr>
      </w:pPr>
    </w:p>
    <w:p w14:paraId="77890D50" w14:textId="77777777" w:rsidR="00577EAD" w:rsidRDefault="00577EAD" w:rsidP="001C5033">
      <w:pPr>
        <w:spacing w:before="240" w:after="120" w:line="360" w:lineRule="auto"/>
        <w:jc w:val="both"/>
        <w:rPr>
          <w:rFonts w:ascii="Times New Roman" w:hAnsi="Times New Roman" w:cs="Times New Roman"/>
          <w:sz w:val="24"/>
          <w:szCs w:val="24"/>
        </w:rPr>
      </w:pPr>
      <w:r w:rsidRPr="00577EAD">
        <w:rPr>
          <w:rFonts w:ascii="Times New Roman" w:hAnsi="Times New Roman" w:cs="Times New Roman"/>
          <w:sz w:val="24"/>
          <w:szCs w:val="24"/>
        </w:rPr>
        <w:t>Nutrient uptake (kg/ha) =</w:t>
      </w:r>
    </w:p>
    <w:p w14:paraId="5FD09E23" w14:textId="77777777" w:rsidR="001C5033" w:rsidRPr="00956B7A" w:rsidRDefault="00577EAD" w:rsidP="00000AA4">
      <w:pPr>
        <w:spacing w:before="240" w:after="120" w:line="360" w:lineRule="auto"/>
        <w:jc w:val="both"/>
        <w:rPr>
          <w:rFonts w:ascii="Times New Roman" w:hAnsi="Times New Roman" w:cs="Times New Roman"/>
          <w:sz w:val="24"/>
          <w:szCs w:val="24"/>
        </w:rPr>
      </w:pPr>
      <w:r w:rsidRPr="00577EAD">
        <w:rPr>
          <w:rFonts w:ascii="Times New Roman" w:hAnsi="Times New Roman" w:cs="Times New Roman"/>
          <w:sz w:val="24"/>
          <w:szCs w:val="24"/>
          <w:lang w:bidi="en-US"/>
        </w:rPr>
        <w:object w:dxaOrig="6759" w:dyaOrig="660" w14:anchorId="3782D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2pt;height:32.65pt" o:ole="">
            <v:imagedata r:id="rId8" o:title=""/>
          </v:shape>
          <o:OLEObject Type="Embed" ProgID="Equation.DSMT4" ShapeID="_x0000_i1025" DrawAspect="Content" ObjectID="_1823682616" r:id="rId9"/>
        </w:object>
      </w:r>
    </w:p>
    <w:p w14:paraId="614F8A17" w14:textId="77777777" w:rsidR="00000AA4" w:rsidRPr="00000AA4" w:rsidRDefault="00000AA4" w:rsidP="00000AA4">
      <w:pPr>
        <w:spacing w:before="240" w:after="120" w:line="360" w:lineRule="auto"/>
        <w:jc w:val="both"/>
        <w:rPr>
          <w:rFonts w:ascii="Times New Roman" w:hAnsi="Times New Roman" w:cs="Times New Roman"/>
          <w:sz w:val="24"/>
          <w:szCs w:val="24"/>
        </w:rPr>
      </w:pPr>
    </w:p>
    <w:p w14:paraId="3AFE351A" w14:textId="77777777" w:rsidR="00505079" w:rsidRDefault="00505079" w:rsidP="00DC1758">
      <w:pPr>
        <w:spacing w:before="120" w:after="120" w:line="360" w:lineRule="auto"/>
        <w:jc w:val="both"/>
        <w:rPr>
          <w:rFonts w:ascii="Times New Roman" w:eastAsia="Times New Roman" w:hAnsi="Times New Roman" w:cs="Times New Roman"/>
          <w:b/>
          <w:sz w:val="24"/>
          <w:szCs w:val="24"/>
          <w:lang w:val="en-US" w:bidi="en-US"/>
        </w:rPr>
      </w:pPr>
    </w:p>
    <w:p w14:paraId="7487F5FA" w14:textId="77777777" w:rsidR="00505079" w:rsidRDefault="00505079" w:rsidP="00DC1758">
      <w:pPr>
        <w:spacing w:before="120" w:after="120" w:line="360" w:lineRule="auto"/>
        <w:jc w:val="both"/>
        <w:rPr>
          <w:rFonts w:ascii="Times New Roman" w:eastAsia="Times New Roman" w:hAnsi="Times New Roman" w:cs="Times New Roman"/>
          <w:b/>
          <w:sz w:val="24"/>
          <w:szCs w:val="24"/>
          <w:lang w:val="en-US" w:bidi="en-US"/>
        </w:rPr>
      </w:pPr>
    </w:p>
    <w:p w14:paraId="43718B57" w14:textId="4547F4D2" w:rsidR="00956B7A" w:rsidRDefault="00956B7A" w:rsidP="00DC1758">
      <w:pPr>
        <w:spacing w:before="120" w:after="120" w:line="360" w:lineRule="auto"/>
        <w:jc w:val="both"/>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RESULTS:</w:t>
      </w:r>
    </w:p>
    <w:p w14:paraId="75FB7386" w14:textId="77777777" w:rsidR="00330026" w:rsidRPr="00DC1758" w:rsidRDefault="00B152E3" w:rsidP="00DC1758">
      <w:pPr>
        <w:spacing w:before="120" w:after="120" w:line="360" w:lineRule="auto"/>
        <w:jc w:val="both"/>
        <w:rPr>
          <w:rFonts w:ascii="Times New Roman" w:eastAsia="Times New Roman" w:hAnsi="Times New Roman" w:cs="Times New Roman"/>
          <w:b/>
          <w:sz w:val="24"/>
          <w:szCs w:val="24"/>
          <w:lang w:val="en-US" w:bidi="en-US"/>
        </w:rPr>
      </w:pPr>
      <w:r w:rsidRPr="00DC1758">
        <w:rPr>
          <w:rFonts w:ascii="Times New Roman" w:eastAsia="Times New Roman" w:hAnsi="Times New Roman" w:cs="Times New Roman"/>
          <w:b/>
          <w:sz w:val="24"/>
          <w:szCs w:val="24"/>
          <w:lang w:val="en-US" w:bidi="en-US"/>
        </w:rPr>
        <w:t>Y</w:t>
      </w:r>
      <w:r w:rsidR="0081747F" w:rsidRPr="00DC1758">
        <w:rPr>
          <w:rFonts w:ascii="Times New Roman" w:eastAsia="Times New Roman" w:hAnsi="Times New Roman" w:cs="Times New Roman"/>
          <w:b/>
          <w:sz w:val="24"/>
          <w:szCs w:val="24"/>
          <w:lang w:val="en-US" w:bidi="en-US"/>
        </w:rPr>
        <w:t>ield attributing characters</w:t>
      </w:r>
    </w:p>
    <w:p w14:paraId="4A8BE399" w14:textId="77777777" w:rsidR="004131EE" w:rsidRDefault="004131EE" w:rsidP="004131EE">
      <w:pPr>
        <w:spacing w:before="120" w:after="120" w:line="360" w:lineRule="auto"/>
        <w:ind w:firstLine="720"/>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The influence of different integrated nutrient management practices on yield attributing characters of sunflower</w:t>
      </w:r>
      <w:r w:rsidR="00551116" w:rsidRPr="00551116">
        <w:rPr>
          <w:rFonts w:ascii="Times New Roman" w:eastAsia="Times New Roman" w:hAnsi="Times New Roman" w:cs="Times New Roman"/>
          <w:sz w:val="24"/>
          <w:szCs w:val="24"/>
          <w:lang w:val="en-US" w:bidi="en-US"/>
        </w:rPr>
        <w:t xml:space="preserve"> </w:t>
      </w:r>
      <w:r>
        <w:rPr>
          <w:rFonts w:ascii="Times New Roman" w:eastAsia="Times New Roman" w:hAnsi="Times New Roman" w:cs="Times New Roman"/>
          <w:sz w:val="24"/>
          <w:szCs w:val="24"/>
          <w:lang w:val="en-US" w:bidi="en-US"/>
        </w:rPr>
        <w:t xml:space="preserve">such as </w:t>
      </w:r>
      <w:r w:rsidR="00551116">
        <w:rPr>
          <w:rFonts w:ascii="Times New Roman" w:eastAsia="Times New Roman" w:hAnsi="Times New Roman" w:cs="Times New Roman"/>
          <w:sz w:val="24"/>
          <w:szCs w:val="24"/>
          <w:lang w:val="en-US" w:bidi="en-US"/>
        </w:rPr>
        <w:t xml:space="preserve">head diameter (cm), head weight (g), total number of seeds per head, number of filled seeds per head, number of unfilled seeds per head, sterility percentage and 1000 seed weight </w:t>
      </w:r>
      <w:r>
        <w:rPr>
          <w:rFonts w:ascii="Times New Roman" w:eastAsia="Times New Roman" w:hAnsi="Times New Roman" w:cs="Times New Roman"/>
          <w:sz w:val="24"/>
          <w:szCs w:val="24"/>
          <w:lang w:val="en-US" w:bidi="en-US"/>
        </w:rPr>
        <w:t>were studied</w:t>
      </w:r>
      <w:r w:rsidR="00956B7A">
        <w:rPr>
          <w:rFonts w:ascii="Times New Roman" w:eastAsia="Times New Roman" w:hAnsi="Times New Roman" w:cs="Times New Roman"/>
          <w:sz w:val="24"/>
          <w:szCs w:val="24"/>
          <w:lang w:val="en-US" w:bidi="en-US"/>
        </w:rPr>
        <w:t>.</w:t>
      </w:r>
      <w:r>
        <w:rPr>
          <w:rFonts w:ascii="Times New Roman" w:eastAsia="Times New Roman" w:hAnsi="Times New Roman" w:cs="Times New Roman"/>
          <w:sz w:val="24"/>
          <w:szCs w:val="24"/>
          <w:lang w:val="en-US" w:bidi="en-US"/>
        </w:rPr>
        <w:t xml:space="preserve"> </w:t>
      </w:r>
    </w:p>
    <w:p w14:paraId="73A7519A" w14:textId="77777777" w:rsidR="00C80828" w:rsidRPr="00196B59" w:rsidRDefault="004131EE" w:rsidP="00DC1758">
      <w:pPr>
        <w:spacing w:before="24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C80828">
        <w:rPr>
          <w:rFonts w:ascii="Times New Roman" w:hAnsi="Times New Roman" w:cs="Times New Roman"/>
          <w:sz w:val="24"/>
          <w:szCs w:val="24"/>
        </w:rPr>
        <w:t xml:space="preserve">esult revealed that different </w:t>
      </w:r>
      <w:r>
        <w:rPr>
          <w:rFonts w:ascii="Times New Roman" w:hAnsi="Times New Roman" w:cs="Times New Roman"/>
          <w:sz w:val="24"/>
          <w:szCs w:val="24"/>
        </w:rPr>
        <w:t xml:space="preserve">integrated </w:t>
      </w:r>
      <w:r w:rsidR="00C437B4">
        <w:rPr>
          <w:rFonts w:ascii="Times New Roman" w:eastAsia="Times New Roman" w:hAnsi="Times New Roman" w:cs="Times New Roman"/>
          <w:sz w:val="24"/>
          <w:szCs w:val="24"/>
          <w:lang w:val="en-US" w:bidi="en-US"/>
        </w:rPr>
        <w:t xml:space="preserve">nutrient management </w:t>
      </w:r>
      <w:r>
        <w:rPr>
          <w:rFonts w:ascii="Times New Roman" w:eastAsia="Times New Roman" w:hAnsi="Times New Roman" w:cs="Times New Roman"/>
          <w:sz w:val="24"/>
          <w:szCs w:val="24"/>
          <w:lang w:val="en-US" w:bidi="en-US"/>
        </w:rPr>
        <w:t>practices showed</w:t>
      </w:r>
      <w:r>
        <w:rPr>
          <w:rFonts w:ascii="Times New Roman" w:hAnsi="Times New Roman" w:cs="Times New Roman"/>
          <w:sz w:val="24"/>
          <w:szCs w:val="24"/>
        </w:rPr>
        <w:t xml:space="preserve"> </w:t>
      </w:r>
      <w:r w:rsidR="00C80828">
        <w:rPr>
          <w:rFonts w:ascii="Times New Roman" w:hAnsi="Times New Roman" w:cs="Times New Roman"/>
          <w:sz w:val="24"/>
          <w:szCs w:val="24"/>
        </w:rPr>
        <w:t>significant</w:t>
      </w:r>
      <w:r>
        <w:rPr>
          <w:rFonts w:ascii="Times New Roman" w:hAnsi="Times New Roman" w:cs="Times New Roman"/>
          <w:sz w:val="24"/>
          <w:szCs w:val="24"/>
        </w:rPr>
        <w:t xml:space="preserve"> variation in the head diameter of sunflower.</w:t>
      </w:r>
      <w:r w:rsidR="00C80828">
        <w:rPr>
          <w:rFonts w:ascii="Times New Roman" w:hAnsi="Times New Roman" w:cs="Times New Roman"/>
          <w:sz w:val="24"/>
          <w:szCs w:val="24"/>
        </w:rPr>
        <w:t xml:space="preserve"> The </w:t>
      </w:r>
      <w:r w:rsidR="009A412B">
        <w:rPr>
          <w:rFonts w:ascii="Times New Roman" w:hAnsi="Times New Roman" w:cs="Times New Roman"/>
          <w:sz w:val="24"/>
          <w:szCs w:val="24"/>
        </w:rPr>
        <w:t>highest</w:t>
      </w:r>
      <w:r w:rsidR="00C80828">
        <w:rPr>
          <w:rFonts w:ascii="Times New Roman" w:hAnsi="Times New Roman" w:cs="Times New Roman"/>
          <w:sz w:val="24"/>
          <w:szCs w:val="24"/>
        </w:rPr>
        <w:t xml:space="preserve"> head diameter </w:t>
      </w:r>
      <w:r>
        <w:rPr>
          <w:rFonts w:ascii="Times New Roman" w:hAnsi="Times New Roman" w:cs="Times New Roman"/>
          <w:sz w:val="24"/>
          <w:szCs w:val="24"/>
        </w:rPr>
        <w:t>of (</w:t>
      </w:r>
      <w:r w:rsidR="002252EB">
        <w:rPr>
          <w:rFonts w:ascii="Times New Roman" w:hAnsi="Times New Roman" w:cs="Times New Roman"/>
          <w:sz w:val="24"/>
          <w:szCs w:val="24"/>
        </w:rPr>
        <w:t>1</w:t>
      </w:r>
      <w:r>
        <w:rPr>
          <w:rFonts w:ascii="Times New Roman" w:hAnsi="Times New Roman" w:cs="Times New Roman"/>
          <w:sz w:val="24"/>
          <w:szCs w:val="24"/>
        </w:rPr>
        <w:t xml:space="preserve">8.95 </w:t>
      </w:r>
      <w:r w:rsidR="009A412B">
        <w:rPr>
          <w:rFonts w:ascii="Times New Roman" w:hAnsi="Times New Roman" w:cs="Times New Roman"/>
          <w:sz w:val="24"/>
          <w:szCs w:val="24"/>
        </w:rPr>
        <w:t xml:space="preserve">cm) </w:t>
      </w:r>
      <w:r w:rsidR="00C80828">
        <w:rPr>
          <w:rFonts w:ascii="Times New Roman" w:hAnsi="Times New Roman" w:cs="Times New Roman"/>
          <w:sz w:val="24"/>
          <w:szCs w:val="24"/>
        </w:rPr>
        <w:t xml:space="preserve">of sunflower </w:t>
      </w:r>
      <w:r w:rsidR="009A412B">
        <w:rPr>
          <w:rFonts w:ascii="Times New Roman" w:hAnsi="Times New Roman" w:cs="Times New Roman"/>
          <w:sz w:val="24"/>
          <w:szCs w:val="24"/>
        </w:rPr>
        <w:t xml:space="preserve">was observed with </w:t>
      </w:r>
      <w:r w:rsidRPr="004131EE">
        <w:rPr>
          <w:rFonts w:ascii="Times New Roman" w:hAnsi="Times New Roman" w:cs="Times New Roman"/>
          <w:sz w:val="24"/>
          <w:szCs w:val="24"/>
        </w:rPr>
        <w:t xml:space="preserve">STBFR + Lime + FYM + S 40kg/ha + 2 sprays of Borax @ 0.2% (T8) </w:t>
      </w:r>
      <w:r>
        <w:rPr>
          <w:rFonts w:ascii="Times New Roman" w:eastAsia="Times New Roman" w:hAnsi="Times New Roman" w:cs="Times New Roman"/>
          <w:color w:val="000000"/>
          <w:sz w:val="24"/>
          <w:szCs w:val="24"/>
          <w:lang w:eastAsia="en-IN"/>
        </w:rPr>
        <w:lastRenderedPageBreak/>
        <w:t xml:space="preserve">followed by </w:t>
      </w:r>
      <w:r w:rsidR="002252EB" w:rsidRPr="002252EB">
        <w:rPr>
          <w:rFonts w:ascii="Times New Roman" w:eastAsia="Times New Roman" w:hAnsi="Times New Roman" w:cs="Times New Roman"/>
          <w:color w:val="000000"/>
          <w:sz w:val="24"/>
          <w:szCs w:val="24"/>
          <w:lang w:eastAsia="en-IN"/>
        </w:rPr>
        <w:t>STBFR + Lime + FYM + S 40kg/ha + 1 spray of Borax @ 0.2% (T7)</w:t>
      </w:r>
      <w:r w:rsidR="002252EB">
        <w:rPr>
          <w:rFonts w:ascii="Times New Roman" w:eastAsia="Times New Roman" w:hAnsi="Times New Roman" w:cs="Times New Roman"/>
          <w:color w:val="000000"/>
          <w:sz w:val="24"/>
          <w:szCs w:val="24"/>
          <w:lang w:eastAsia="en-IN"/>
        </w:rPr>
        <w:t xml:space="preserve"> (18.46cm ) and </w:t>
      </w:r>
      <w:r w:rsidR="002252EB" w:rsidRPr="002252EB">
        <w:rPr>
          <w:rFonts w:ascii="Times New Roman" w:eastAsia="Times New Roman" w:hAnsi="Times New Roman" w:cs="Times New Roman"/>
          <w:color w:val="000000"/>
          <w:sz w:val="24"/>
          <w:szCs w:val="24"/>
          <w:lang w:eastAsia="en-IN"/>
        </w:rPr>
        <w:t xml:space="preserve">STBFR + Lime + FYM + Elemental S 40kg/ha + Borax as soil application 10 kg/ha </w:t>
      </w:r>
      <w:r w:rsidR="002252EB">
        <w:rPr>
          <w:rFonts w:ascii="Times New Roman" w:eastAsia="Times New Roman" w:hAnsi="Times New Roman" w:cs="Times New Roman"/>
          <w:color w:val="000000"/>
          <w:sz w:val="24"/>
          <w:szCs w:val="24"/>
          <w:lang w:eastAsia="en-IN"/>
        </w:rPr>
        <w:t>(T9) (18.10</w:t>
      </w:r>
      <w:r w:rsidR="00C311E7">
        <w:rPr>
          <w:rFonts w:ascii="Times New Roman" w:eastAsia="Times New Roman" w:hAnsi="Times New Roman" w:cs="Times New Roman"/>
          <w:color w:val="000000"/>
          <w:sz w:val="24"/>
          <w:szCs w:val="24"/>
          <w:lang w:eastAsia="en-IN"/>
        </w:rPr>
        <w:t>)</w:t>
      </w:r>
      <w:r w:rsidR="00453396">
        <w:rPr>
          <w:rFonts w:ascii="Times New Roman" w:eastAsia="Times New Roman" w:hAnsi="Times New Roman" w:cs="Times New Roman"/>
          <w:color w:val="000000"/>
          <w:sz w:val="24"/>
          <w:szCs w:val="24"/>
          <w:lang w:eastAsia="en-IN"/>
        </w:rPr>
        <w:t xml:space="preserve"> cm</w:t>
      </w:r>
      <w:r w:rsidR="002252EB">
        <w:rPr>
          <w:rFonts w:ascii="Times New Roman" w:eastAsia="Times New Roman" w:hAnsi="Times New Roman" w:cs="Times New Roman"/>
          <w:color w:val="000000"/>
          <w:sz w:val="24"/>
          <w:szCs w:val="24"/>
          <w:lang w:eastAsia="en-IN"/>
        </w:rPr>
        <w:t>.</w:t>
      </w:r>
      <w:r w:rsidR="00A3246D">
        <w:rPr>
          <w:rFonts w:ascii="Times New Roman" w:eastAsia="Times New Roman" w:hAnsi="Times New Roman" w:cs="Times New Roman"/>
          <w:color w:val="000000"/>
          <w:sz w:val="24"/>
          <w:szCs w:val="24"/>
          <w:lang w:eastAsia="en-IN"/>
        </w:rPr>
        <w:t xml:space="preserve"> The lowest head diame</w:t>
      </w:r>
      <w:r w:rsidR="002252EB">
        <w:rPr>
          <w:rFonts w:ascii="Times New Roman" w:eastAsia="Times New Roman" w:hAnsi="Times New Roman" w:cs="Times New Roman"/>
          <w:color w:val="000000"/>
          <w:sz w:val="24"/>
          <w:szCs w:val="24"/>
          <w:lang w:eastAsia="en-IN"/>
        </w:rPr>
        <w:t>ter (9.37</w:t>
      </w:r>
      <w:r w:rsidR="0057399A">
        <w:rPr>
          <w:rFonts w:ascii="Times New Roman" w:eastAsia="Times New Roman" w:hAnsi="Times New Roman" w:cs="Times New Roman"/>
          <w:color w:val="000000"/>
          <w:sz w:val="24"/>
          <w:szCs w:val="24"/>
          <w:lang w:eastAsia="en-IN"/>
        </w:rPr>
        <w:t xml:space="preserve"> cm) was recorded with control. </w:t>
      </w:r>
      <w:r w:rsidR="00A3246D">
        <w:rPr>
          <w:rFonts w:ascii="Times New Roman" w:eastAsia="Times New Roman" w:hAnsi="Times New Roman" w:cs="Times New Roman"/>
          <w:color w:val="000000"/>
          <w:sz w:val="24"/>
          <w:szCs w:val="24"/>
          <w:lang w:eastAsia="en-IN"/>
        </w:rPr>
        <w:t xml:space="preserve">Application of </w:t>
      </w:r>
      <w:r w:rsidR="002252EB" w:rsidRPr="002252EB">
        <w:rPr>
          <w:rFonts w:ascii="Times New Roman" w:eastAsia="Times New Roman" w:hAnsi="Times New Roman" w:cs="Times New Roman"/>
          <w:color w:val="000000"/>
          <w:sz w:val="24"/>
          <w:szCs w:val="24"/>
          <w:lang w:eastAsia="en-IN"/>
        </w:rPr>
        <w:t xml:space="preserve">STBFR + Lime + FYM + S 40kg/ha + 2 sprays of Borax @ 0.2% (T8) </w:t>
      </w:r>
      <w:r w:rsidR="002252EB">
        <w:rPr>
          <w:rFonts w:ascii="Times New Roman" w:eastAsia="Times New Roman" w:hAnsi="Times New Roman" w:cs="Times New Roman"/>
          <w:color w:val="000000"/>
          <w:sz w:val="24"/>
          <w:szCs w:val="24"/>
          <w:lang w:eastAsia="en-IN"/>
        </w:rPr>
        <w:t>and</w:t>
      </w:r>
      <w:r w:rsidR="002252EB" w:rsidRPr="002252EB">
        <w:t xml:space="preserve"> </w:t>
      </w:r>
      <w:r w:rsidR="002252EB" w:rsidRPr="002252EB">
        <w:rPr>
          <w:rFonts w:ascii="Times New Roman" w:eastAsia="Times New Roman" w:hAnsi="Times New Roman" w:cs="Times New Roman"/>
          <w:color w:val="000000"/>
          <w:sz w:val="24"/>
          <w:szCs w:val="24"/>
          <w:lang w:eastAsia="en-IN"/>
        </w:rPr>
        <w:t xml:space="preserve">STBFR + Lime + FYM + S 40kg/ha + 1 spray of Borax @ 0.2% (T7) </w:t>
      </w:r>
      <w:r w:rsidR="002252EB">
        <w:rPr>
          <w:rFonts w:ascii="Times New Roman" w:eastAsia="Times New Roman" w:hAnsi="Times New Roman" w:cs="Times New Roman"/>
          <w:color w:val="000000"/>
          <w:sz w:val="24"/>
          <w:szCs w:val="24"/>
          <w:lang w:eastAsia="en-IN"/>
        </w:rPr>
        <w:t xml:space="preserve"> recorded 40.79 % and 37.15</w:t>
      </w:r>
      <w:r w:rsidR="004F0AE1">
        <w:rPr>
          <w:rFonts w:ascii="Times New Roman" w:eastAsia="Times New Roman" w:hAnsi="Times New Roman" w:cs="Times New Roman"/>
          <w:color w:val="000000"/>
          <w:sz w:val="24"/>
          <w:szCs w:val="24"/>
          <w:lang w:eastAsia="en-IN"/>
        </w:rPr>
        <w:t xml:space="preserve"> </w:t>
      </w:r>
      <w:r w:rsidR="00196B59">
        <w:rPr>
          <w:rFonts w:ascii="Times New Roman" w:eastAsia="Times New Roman" w:hAnsi="Times New Roman" w:cs="Times New Roman"/>
          <w:color w:val="000000"/>
          <w:sz w:val="24"/>
          <w:szCs w:val="24"/>
          <w:lang w:eastAsia="en-IN"/>
        </w:rPr>
        <w:t xml:space="preserve">% increased head diameter over </w:t>
      </w:r>
      <w:r w:rsidR="002252EB">
        <w:rPr>
          <w:rFonts w:ascii="Times New Roman" w:eastAsia="Times New Roman" w:hAnsi="Times New Roman" w:cs="Times New Roman"/>
          <w:color w:val="000000"/>
          <w:sz w:val="24"/>
          <w:szCs w:val="24"/>
          <w:lang w:eastAsia="en-IN"/>
        </w:rPr>
        <w:t xml:space="preserve">STBFR </w:t>
      </w:r>
      <w:r w:rsidR="00196B59">
        <w:rPr>
          <w:rFonts w:ascii="Times New Roman" w:eastAsia="Times New Roman" w:hAnsi="Times New Roman" w:cs="Times New Roman"/>
          <w:color w:val="000000"/>
          <w:sz w:val="24"/>
          <w:szCs w:val="24"/>
          <w:lang w:eastAsia="en-IN"/>
        </w:rPr>
        <w:t xml:space="preserve">respectively. </w:t>
      </w:r>
    </w:p>
    <w:p w14:paraId="74F265CC" w14:textId="77777777" w:rsidR="00196B59" w:rsidRPr="00196B59" w:rsidRDefault="002252EB" w:rsidP="00DC1758">
      <w:pPr>
        <w:spacing w:before="24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w:t>
      </w:r>
      <w:r w:rsidR="00196B59" w:rsidRPr="00196B59">
        <w:rPr>
          <w:rFonts w:ascii="Times New Roman" w:hAnsi="Times New Roman" w:cs="Times New Roman"/>
          <w:sz w:val="24"/>
          <w:szCs w:val="24"/>
        </w:rPr>
        <w:t xml:space="preserve">he </w:t>
      </w:r>
      <w:r>
        <w:rPr>
          <w:rFonts w:ascii="Times New Roman" w:hAnsi="Times New Roman" w:cs="Times New Roman"/>
          <w:sz w:val="24"/>
          <w:szCs w:val="24"/>
        </w:rPr>
        <w:t xml:space="preserve">recorded </w:t>
      </w:r>
      <w:r w:rsidR="00196B59" w:rsidRPr="00196B59">
        <w:rPr>
          <w:rFonts w:ascii="Times New Roman" w:hAnsi="Times New Roman" w:cs="Times New Roman"/>
          <w:sz w:val="24"/>
          <w:szCs w:val="24"/>
        </w:rPr>
        <w:t xml:space="preserve">data regarding head </w:t>
      </w:r>
      <w:r w:rsidR="00C437B4">
        <w:rPr>
          <w:rFonts w:ascii="Times New Roman" w:hAnsi="Times New Roman" w:cs="Times New Roman"/>
          <w:sz w:val="24"/>
          <w:szCs w:val="24"/>
        </w:rPr>
        <w:t>weight</w:t>
      </w:r>
      <w:r>
        <w:rPr>
          <w:rFonts w:ascii="Times New Roman" w:hAnsi="Times New Roman" w:cs="Times New Roman"/>
          <w:sz w:val="24"/>
          <w:szCs w:val="24"/>
        </w:rPr>
        <w:t xml:space="preserve">, it was observed </w:t>
      </w:r>
      <w:r w:rsidRPr="00196B59">
        <w:rPr>
          <w:rFonts w:ascii="Times New Roman" w:hAnsi="Times New Roman" w:cs="Times New Roman"/>
          <w:sz w:val="24"/>
          <w:szCs w:val="24"/>
        </w:rPr>
        <w:t>the</w:t>
      </w:r>
      <w:r>
        <w:rPr>
          <w:rFonts w:ascii="Times New Roman" w:hAnsi="Times New Roman" w:cs="Times New Roman"/>
          <w:sz w:val="24"/>
          <w:szCs w:val="24"/>
        </w:rPr>
        <w:t xml:space="preserve"> head weight of sunflower varied significantly due to</w:t>
      </w:r>
      <w:r w:rsidR="00196B59" w:rsidRPr="00196B59">
        <w:rPr>
          <w:rFonts w:ascii="Times New Roman" w:hAnsi="Times New Roman" w:cs="Times New Roman"/>
          <w:b/>
          <w:sz w:val="24"/>
          <w:szCs w:val="24"/>
        </w:rPr>
        <w:t xml:space="preserve"> </w:t>
      </w:r>
      <w:r w:rsidR="00196B59" w:rsidRPr="00196B59">
        <w:rPr>
          <w:rFonts w:ascii="Times New Roman" w:hAnsi="Times New Roman" w:cs="Times New Roman"/>
          <w:sz w:val="24"/>
          <w:szCs w:val="24"/>
        </w:rPr>
        <w:t xml:space="preserve">different </w:t>
      </w:r>
      <w:r>
        <w:rPr>
          <w:rFonts w:ascii="Times New Roman" w:hAnsi="Times New Roman" w:cs="Times New Roman"/>
          <w:sz w:val="24"/>
          <w:szCs w:val="24"/>
        </w:rPr>
        <w:t xml:space="preserve">integrated </w:t>
      </w:r>
      <w:r w:rsidR="00196B59" w:rsidRPr="00196B59">
        <w:rPr>
          <w:rFonts w:ascii="Times New Roman" w:eastAsia="Times New Roman" w:hAnsi="Times New Roman" w:cs="Times New Roman"/>
          <w:sz w:val="24"/>
          <w:szCs w:val="24"/>
          <w:lang w:val="en-US" w:bidi="en-US"/>
        </w:rPr>
        <w:t xml:space="preserve">nutrient management </w:t>
      </w:r>
      <w:r>
        <w:rPr>
          <w:rFonts w:ascii="Times New Roman" w:eastAsia="Times New Roman" w:hAnsi="Times New Roman" w:cs="Times New Roman"/>
          <w:sz w:val="24"/>
          <w:szCs w:val="24"/>
          <w:lang w:val="en-US" w:bidi="en-US"/>
        </w:rPr>
        <w:t>practices</w:t>
      </w:r>
      <w:r w:rsidR="00353A4D">
        <w:rPr>
          <w:rFonts w:ascii="Times New Roman" w:hAnsi="Times New Roman" w:cs="Times New Roman"/>
          <w:sz w:val="24"/>
          <w:szCs w:val="24"/>
        </w:rPr>
        <w:t xml:space="preserve">. </w:t>
      </w:r>
      <w:r w:rsidR="00C737FE">
        <w:rPr>
          <w:rFonts w:ascii="Times New Roman" w:hAnsi="Times New Roman" w:cs="Times New Roman"/>
          <w:sz w:val="24"/>
          <w:szCs w:val="24"/>
        </w:rPr>
        <w:t>Significantly</w:t>
      </w:r>
      <w:r w:rsidR="00196B59">
        <w:rPr>
          <w:rFonts w:ascii="Times New Roman" w:hAnsi="Times New Roman" w:cs="Times New Roman"/>
          <w:sz w:val="24"/>
          <w:szCs w:val="24"/>
        </w:rPr>
        <w:t xml:space="preserve"> highest head </w:t>
      </w:r>
      <w:r w:rsidR="00A52A59">
        <w:rPr>
          <w:rFonts w:ascii="Times New Roman" w:hAnsi="Times New Roman" w:cs="Times New Roman"/>
          <w:sz w:val="24"/>
          <w:szCs w:val="24"/>
        </w:rPr>
        <w:t>weight</w:t>
      </w:r>
      <w:r w:rsidR="00196B59">
        <w:rPr>
          <w:rFonts w:ascii="Times New Roman" w:hAnsi="Times New Roman" w:cs="Times New Roman"/>
          <w:sz w:val="24"/>
          <w:szCs w:val="24"/>
        </w:rPr>
        <w:t xml:space="preserve"> </w:t>
      </w:r>
      <w:r w:rsidR="008945E3">
        <w:rPr>
          <w:rFonts w:ascii="Times New Roman" w:hAnsi="Times New Roman" w:cs="Times New Roman"/>
          <w:sz w:val="24"/>
          <w:szCs w:val="24"/>
        </w:rPr>
        <w:t xml:space="preserve">of sunflower </w:t>
      </w:r>
      <w:r w:rsidR="00196B59">
        <w:rPr>
          <w:rFonts w:ascii="Times New Roman" w:hAnsi="Times New Roman" w:cs="Times New Roman"/>
          <w:sz w:val="24"/>
          <w:szCs w:val="24"/>
        </w:rPr>
        <w:t>(</w:t>
      </w:r>
      <w:r>
        <w:rPr>
          <w:rFonts w:ascii="Times New Roman" w:hAnsi="Times New Roman" w:cs="Times New Roman"/>
          <w:sz w:val="24"/>
          <w:szCs w:val="24"/>
        </w:rPr>
        <w:t>98.67</w:t>
      </w:r>
      <w:r w:rsidR="00353A4D">
        <w:rPr>
          <w:rFonts w:ascii="Times New Roman" w:hAnsi="Times New Roman" w:cs="Times New Roman"/>
          <w:sz w:val="24"/>
          <w:szCs w:val="24"/>
        </w:rPr>
        <w:t xml:space="preserve"> g</w:t>
      </w:r>
      <w:r w:rsidR="00196B59">
        <w:rPr>
          <w:rFonts w:ascii="Times New Roman" w:hAnsi="Times New Roman" w:cs="Times New Roman"/>
          <w:sz w:val="24"/>
          <w:szCs w:val="24"/>
        </w:rPr>
        <w:t xml:space="preserve">) was observed with </w:t>
      </w:r>
      <w:r w:rsidRPr="002252EB">
        <w:rPr>
          <w:rFonts w:ascii="Times New Roman" w:hAnsi="Times New Roman" w:cs="Times New Roman"/>
          <w:sz w:val="24"/>
          <w:szCs w:val="24"/>
        </w:rPr>
        <w:t>STBFR + Lime + FYM + S 40kg/ha + 2 sprays of Borax @ 0.2% (T8)</w:t>
      </w:r>
      <w:r w:rsidR="00196B59">
        <w:rPr>
          <w:rFonts w:ascii="Times New Roman" w:eastAsia="Times New Roman" w:hAnsi="Times New Roman" w:cs="Times New Roman"/>
          <w:color w:val="000000"/>
          <w:sz w:val="24"/>
          <w:szCs w:val="24"/>
          <w:lang w:eastAsia="en-IN"/>
        </w:rPr>
        <w:t xml:space="preserve"> which </w:t>
      </w:r>
      <w:r>
        <w:rPr>
          <w:rFonts w:ascii="Times New Roman" w:eastAsia="Times New Roman" w:hAnsi="Times New Roman" w:cs="Times New Roman"/>
          <w:color w:val="000000"/>
          <w:sz w:val="24"/>
          <w:szCs w:val="24"/>
          <w:lang w:eastAsia="en-IN"/>
        </w:rPr>
        <w:t xml:space="preserve">was </w:t>
      </w:r>
      <w:r w:rsidR="00196B59">
        <w:rPr>
          <w:rFonts w:ascii="Times New Roman" w:eastAsia="Times New Roman" w:hAnsi="Times New Roman" w:cs="Times New Roman"/>
          <w:color w:val="000000"/>
          <w:sz w:val="24"/>
          <w:szCs w:val="24"/>
          <w:lang w:eastAsia="en-IN"/>
        </w:rPr>
        <w:t xml:space="preserve">at par with </w:t>
      </w:r>
      <w:r w:rsidRPr="002252EB">
        <w:rPr>
          <w:rFonts w:ascii="Times New Roman" w:eastAsia="Times New Roman" w:hAnsi="Times New Roman" w:cs="Times New Roman"/>
          <w:color w:val="000000"/>
          <w:sz w:val="24"/>
          <w:szCs w:val="24"/>
          <w:lang w:eastAsia="en-IN"/>
        </w:rPr>
        <w:t xml:space="preserve">STBFR + Lime + FYM + Elemental S 40kg/ha + Borax as soil application 10 kg/ha (T9) </w:t>
      </w:r>
      <w:r w:rsidR="00196B59">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95.45</w:t>
      </w:r>
      <w:r w:rsidR="00353A4D">
        <w:rPr>
          <w:rFonts w:ascii="Times New Roman" w:eastAsia="Times New Roman" w:hAnsi="Times New Roman" w:cs="Times New Roman"/>
          <w:color w:val="000000"/>
          <w:sz w:val="24"/>
          <w:szCs w:val="24"/>
          <w:lang w:eastAsia="en-IN"/>
        </w:rPr>
        <w:t xml:space="preserve"> g</w:t>
      </w:r>
      <w:r w:rsidR="00196B59">
        <w:rPr>
          <w:rFonts w:ascii="Times New Roman" w:eastAsia="Times New Roman" w:hAnsi="Times New Roman" w:cs="Times New Roman"/>
          <w:color w:val="000000"/>
          <w:sz w:val="24"/>
          <w:szCs w:val="24"/>
          <w:lang w:eastAsia="en-IN"/>
        </w:rPr>
        <w:t xml:space="preserve">). The lowest head </w:t>
      </w:r>
      <w:r w:rsidR="00A52A59">
        <w:rPr>
          <w:rFonts w:ascii="Times New Roman" w:eastAsia="Times New Roman" w:hAnsi="Times New Roman" w:cs="Times New Roman"/>
          <w:color w:val="000000"/>
          <w:sz w:val="24"/>
          <w:szCs w:val="24"/>
          <w:lang w:eastAsia="en-IN"/>
        </w:rPr>
        <w:t>weight</w:t>
      </w:r>
      <w:r w:rsidR="00196B59">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of </w:t>
      </w:r>
      <w:r w:rsidR="00196B59">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49.43</w:t>
      </w:r>
      <w:r w:rsidR="00353A4D">
        <w:rPr>
          <w:rFonts w:ascii="Times New Roman" w:eastAsia="Times New Roman" w:hAnsi="Times New Roman" w:cs="Times New Roman"/>
          <w:color w:val="000000"/>
          <w:sz w:val="24"/>
          <w:szCs w:val="24"/>
          <w:lang w:eastAsia="en-IN"/>
        </w:rPr>
        <w:t xml:space="preserve"> g</w:t>
      </w:r>
      <w:r w:rsidR="0057399A">
        <w:rPr>
          <w:rFonts w:ascii="Times New Roman" w:eastAsia="Times New Roman" w:hAnsi="Times New Roman" w:cs="Times New Roman"/>
          <w:color w:val="000000"/>
          <w:sz w:val="24"/>
          <w:szCs w:val="24"/>
          <w:lang w:eastAsia="en-IN"/>
        </w:rPr>
        <w:t xml:space="preserve">) was recorded with control. </w:t>
      </w:r>
      <w:r w:rsidR="00196B59">
        <w:rPr>
          <w:rFonts w:ascii="Times New Roman" w:eastAsia="Times New Roman" w:hAnsi="Times New Roman" w:cs="Times New Roman"/>
          <w:color w:val="000000"/>
          <w:sz w:val="24"/>
          <w:szCs w:val="24"/>
          <w:lang w:eastAsia="en-IN"/>
        </w:rPr>
        <w:t xml:space="preserve">Application of </w:t>
      </w:r>
      <w:r w:rsidRPr="002252EB">
        <w:rPr>
          <w:rFonts w:ascii="Times New Roman" w:eastAsia="Times New Roman" w:hAnsi="Times New Roman" w:cs="Times New Roman"/>
          <w:color w:val="000000"/>
          <w:sz w:val="24"/>
          <w:szCs w:val="24"/>
          <w:lang w:eastAsia="en-IN"/>
        </w:rPr>
        <w:t xml:space="preserve">STBFR + Lime + FYM + S 40kg/ha + 2 sprays of Borax @ 0.2% (T8) </w:t>
      </w:r>
      <w:r w:rsidR="00C63A52">
        <w:rPr>
          <w:rFonts w:ascii="Times New Roman" w:eastAsia="Times New Roman" w:hAnsi="Times New Roman" w:cs="Times New Roman"/>
          <w:color w:val="000000"/>
          <w:sz w:val="24"/>
          <w:szCs w:val="24"/>
          <w:lang w:eastAsia="en-IN"/>
        </w:rPr>
        <w:t xml:space="preserve">and </w:t>
      </w:r>
      <w:r w:rsidR="00C63A52" w:rsidRPr="00C63A52">
        <w:rPr>
          <w:rFonts w:ascii="Times New Roman" w:eastAsia="Times New Roman" w:hAnsi="Times New Roman" w:cs="Times New Roman"/>
          <w:color w:val="000000"/>
          <w:sz w:val="24"/>
          <w:szCs w:val="24"/>
          <w:lang w:eastAsia="en-IN"/>
        </w:rPr>
        <w:t xml:space="preserve">STBFR + Lime + FYM + Elemental S 40kg/ha + Borax as soil application 10 kg/ha (T9) </w:t>
      </w:r>
      <w:r w:rsidR="00196B59">
        <w:rPr>
          <w:rFonts w:ascii="Times New Roman" w:eastAsia="Times New Roman" w:hAnsi="Times New Roman" w:cs="Times New Roman"/>
          <w:color w:val="000000"/>
          <w:sz w:val="24"/>
          <w:szCs w:val="24"/>
          <w:lang w:eastAsia="en-IN"/>
        </w:rPr>
        <w:t xml:space="preserve">recorded </w:t>
      </w:r>
      <w:r w:rsidR="00C63A52">
        <w:rPr>
          <w:rFonts w:ascii="Times New Roman" w:eastAsia="Times New Roman" w:hAnsi="Times New Roman" w:cs="Times New Roman"/>
          <w:color w:val="000000"/>
          <w:sz w:val="24"/>
          <w:szCs w:val="24"/>
          <w:lang w:eastAsia="en-IN"/>
        </w:rPr>
        <w:t>46.29 %</w:t>
      </w:r>
      <w:r w:rsidR="00196B59">
        <w:rPr>
          <w:rFonts w:ascii="Times New Roman" w:eastAsia="Times New Roman" w:hAnsi="Times New Roman" w:cs="Times New Roman"/>
          <w:color w:val="000000"/>
          <w:sz w:val="24"/>
          <w:szCs w:val="24"/>
          <w:lang w:eastAsia="en-IN"/>
        </w:rPr>
        <w:t xml:space="preserve"> and </w:t>
      </w:r>
      <w:r w:rsidR="00C63A52">
        <w:rPr>
          <w:rFonts w:ascii="Times New Roman" w:eastAsia="Times New Roman" w:hAnsi="Times New Roman" w:cs="Times New Roman"/>
          <w:color w:val="000000"/>
          <w:sz w:val="24"/>
          <w:szCs w:val="24"/>
          <w:lang w:eastAsia="en-IN"/>
        </w:rPr>
        <w:t xml:space="preserve">41.51 </w:t>
      </w:r>
      <w:r w:rsidR="00196B59">
        <w:rPr>
          <w:rFonts w:ascii="Times New Roman" w:eastAsia="Times New Roman" w:hAnsi="Times New Roman" w:cs="Times New Roman"/>
          <w:color w:val="000000"/>
          <w:sz w:val="24"/>
          <w:szCs w:val="24"/>
          <w:lang w:eastAsia="en-IN"/>
        </w:rPr>
        <w:t xml:space="preserve">% increased head </w:t>
      </w:r>
      <w:r w:rsidR="00A52A59">
        <w:rPr>
          <w:rFonts w:ascii="Times New Roman" w:eastAsia="Times New Roman" w:hAnsi="Times New Roman" w:cs="Times New Roman"/>
          <w:color w:val="000000"/>
          <w:sz w:val="24"/>
          <w:szCs w:val="24"/>
          <w:lang w:eastAsia="en-IN"/>
        </w:rPr>
        <w:t>weight</w:t>
      </w:r>
      <w:r w:rsidR="00196B59">
        <w:rPr>
          <w:rFonts w:ascii="Times New Roman" w:eastAsia="Times New Roman" w:hAnsi="Times New Roman" w:cs="Times New Roman"/>
          <w:color w:val="000000"/>
          <w:sz w:val="24"/>
          <w:szCs w:val="24"/>
          <w:lang w:eastAsia="en-IN"/>
        </w:rPr>
        <w:t xml:space="preserve"> over </w:t>
      </w:r>
      <w:r w:rsidR="00C63A52">
        <w:rPr>
          <w:rFonts w:ascii="Times New Roman" w:eastAsia="Times New Roman" w:hAnsi="Times New Roman" w:cs="Times New Roman"/>
          <w:color w:val="000000"/>
          <w:sz w:val="24"/>
          <w:szCs w:val="24"/>
          <w:lang w:eastAsia="en-IN"/>
        </w:rPr>
        <w:t xml:space="preserve">STBFR treatment </w:t>
      </w:r>
      <w:r w:rsidR="00196B59">
        <w:rPr>
          <w:rFonts w:ascii="Times New Roman" w:eastAsia="Times New Roman" w:hAnsi="Times New Roman" w:cs="Times New Roman"/>
          <w:color w:val="000000"/>
          <w:sz w:val="24"/>
          <w:szCs w:val="24"/>
          <w:lang w:eastAsia="en-IN"/>
        </w:rPr>
        <w:t xml:space="preserve">respectively. </w:t>
      </w:r>
    </w:p>
    <w:p w14:paraId="12382FD5" w14:textId="77777777" w:rsidR="000E5874" w:rsidRDefault="004F0AE1" w:rsidP="00DC1758">
      <w:pPr>
        <w:spacing w:before="240" w:after="120" w:line="360" w:lineRule="auto"/>
        <w:ind w:firstLine="720"/>
        <w:jc w:val="both"/>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 xml:space="preserve">The data </w:t>
      </w:r>
      <w:r w:rsidR="00C63A52">
        <w:rPr>
          <w:rFonts w:ascii="Times New Roman" w:hAnsi="Times New Roman" w:cs="Times New Roman"/>
          <w:sz w:val="24"/>
          <w:szCs w:val="24"/>
        </w:rPr>
        <w:t xml:space="preserve">presented in the Table relating </w:t>
      </w:r>
      <w:r>
        <w:rPr>
          <w:rFonts w:ascii="Times New Roman" w:hAnsi="Times New Roman" w:cs="Times New Roman"/>
          <w:sz w:val="24"/>
          <w:szCs w:val="24"/>
        </w:rPr>
        <w:t>to</w:t>
      </w:r>
      <w:r w:rsidRPr="004F0AE1">
        <w:rPr>
          <w:rFonts w:ascii="Times New Roman" w:hAnsi="Times New Roman" w:cs="Times New Roman"/>
          <w:sz w:val="24"/>
          <w:szCs w:val="24"/>
        </w:rPr>
        <w:t xml:space="preserve"> </w:t>
      </w:r>
      <w:r>
        <w:rPr>
          <w:rFonts w:ascii="Times New Roman" w:hAnsi="Times New Roman" w:cs="Times New Roman"/>
          <w:sz w:val="24"/>
          <w:szCs w:val="24"/>
        </w:rPr>
        <w:t>total number of seeds per head</w:t>
      </w:r>
      <w:r w:rsidRPr="004F0AE1">
        <w:rPr>
          <w:rFonts w:ascii="Times New Roman" w:hAnsi="Times New Roman" w:cs="Times New Roman"/>
          <w:sz w:val="24"/>
          <w:szCs w:val="24"/>
        </w:rPr>
        <w:t xml:space="preserve"> as influenced by</w:t>
      </w:r>
      <w:r w:rsidRPr="004F0AE1">
        <w:rPr>
          <w:rFonts w:ascii="Times New Roman" w:hAnsi="Times New Roman" w:cs="Times New Roman"/>
          <w:b/>
          <w:sz w:val="24"/>
          <w:szCs w:val="24"/>
        </w:rPr>
        <w:t xml:space="preserve"> </w:t>
      </w:r>
      <w:r w:rsidRPr="004F0AE1">
        <w:rPr>
          <w:rFonts w:ascii="Times New Roman" w:hAnsi="Times New Roman" w:cs="Times New Roman"/>
          <w:sz w:val="24"/>
          <w:szCs w:val="24"/>
        </w:rPr>
        <w:t xml:space="preserve">different </w:t>
      </w:r>
      <w:r w:rsidR="00C63A52">
        <w:rPr>
          <w:rFonts w:ascii="Times New Roman" w:hAnsi="Times New Roman" w:cs="Times New Roman"/>
          <w:sz w:val="24"/>
          <w:szCs w:val="24"/>
        </w:rPr>
        <w:t xml:space="preserve">integrated </w:t>
      </w:r>
      <w:r w:rsidRPr="004F0AE1">
        <w:rPr>
          <w:rFonts w:ascii="Times New Roman" w:eastAsia="Times New Roman" w:hAnsi="Times New Roman" w:cs="Times New Roman"/>
          <w:sz w:val="24"/>
          <w:szCs w:val="24"/>
          <w:lang w:val="en-US" w:bidi="en-US"/>
        </w:rPr>
        <w:t xml:space="preserve">nutrient management </w:t>
      </w:r>
      <w:r w:rsidR="00C63A52">
        <w:rPr>
          <w:rFonts w:ascii="Times New Roman" w:eastAsia="Times New Roman" w:hAnsi="Times New Roman" w:cs="Times New Roman"/>
          <w:sz w:val="24"/>
          <w:szCs w:val="24"/>
          <w:lang w:val="en-US" w:bidi="en-US"/>
        </w:rPr>
        <w:t>practices</w:t>
      </w:r>
      <w:r>
        <w:rPr>
          <w:rFonts w:ascii="Times New Roman" w:hAnsi="Times New Roman" w:cs="Times New Roman"/>
          <w:sz w:val="24"/>
          <w:szCs w:val="24"/>
        </w:rPr>
        <w:t xml:space="preserve"> revealed that total number of seeds per head</w:t>
      </w:r>
      <w:r w:rsidRPr="004F0AE1">
        <w:rPr>
          <w:rFonts w:ascii="Times New Roman" w:hAnsi="Times New Roman" w:cs="Times New Roman"/>
          <w:sz w:val="24"/>
          <w:szCs w:val="24"/>
        </w:rPr>
        <w:t xml:space="preserve"> varied significantly due to different </w:t>
      </w:r>
      <w:r w:rsidR="00C63A52">
        <w:rPr>
          <w:rFonts w:ascii="Times New Roman" w:hAnsi="Times New Roman" w:cs="Times New Roman"/>
          <w:sz w:val="24"/>
          <w:szCs w:val="24"/>
        </w:rPr>
        <w:t>treatments. Integrated nutrient management practice of</w:t>
      </w:r>
      <w:r w:rsidR="00C63A52" w:rsidRPr="00C63A52">
        <w:t xml:space="preserve"> </w:t>
      </w:r>
      <w:r w:rsidR="00C63A52" w:rsidRPr="00C63A52">
        <w:rPr>
          <w:rFonts w:ascii="Times New Roman" w:hAnsi="Times New Roman" w:cs="Times New Roman"/>
          <w:sz w:val="24"/>
          <w:szCs w:val="24"/>
        </w:rPr>
        <w:t xml:space="preserve">STBFR + Lime + FYM + S 40kg/ha + 2 sprays of Borax @ 0.2% (T8) </w:t>
      </w:r>
      <w:r>
        <w:rPr>
          <w:rFonts w:ascii="Times New Roman" w:eastAsia="Times New Roman" w:hAnsi="Times New Roman" w:cs="Times New Roman"/>
          <w:color w:val="000000"/>
          <w:sz w:val="24"/>
          <w:szCs w:val="24"/>
          <w:lang w:eastAsia="en-IN"/>
        </w:rPr>
        <w:t xml:space="preserve">recorded maximum number of </w:t>
      </w:r>
      <w:r w:rsidR="00C311E7">
        <w:rPr>
          <w:rFonts w:ascii="Times New Roman" w:eastAsia="Times New Roman" w:hAnsi="Times New Roman" w:cs="Times New Roman"/>
          <w:color w:val="000000"/>
          <w:sz w:val="24"/>
          <w:szCs w:val="24"/>
          <w:lang w:eastAsia="en-IN"/>
        </w:rPr>
        <w:t xml:space="preserve">total </w:t>
      </w:r>
      <w:r>
        <w:rPr>
          <w:rFonts w:ascii="Times New Roman" w:eastAsia="Times New Roman" w:hAnsi="Times New Roman" w:cs="Times New Roman"/>
          <w:color w:val="000000"/>
          <w:sz w:val="24"/>
          <w:szCs w:val="24"/>
          <w:lang w:eastAsia="en-IN"/>
        </w:rPr>
        <w:t xml:space="preserve">seeds per head </w:t>
      </w:r>
      <w:r w:rsidR="008945E3" w:rsidRPr="004F0AE1">
        <w:rPr>
          <w:rFonts w:ascii="Times New Roman" w:hAnsi="Times New Roman" w:cs="Times New Roman"/>
          <w:sz w:val="24"/>
          <w:szCs w:val="24"/>
        </w:rPr>
        <w:t xml:space="preserve">of sunflower </w:t>
      </w:r>
      <w:r w:rsidRPr="004F0AE1">
        <w:rPr>
          <w:rFonts w:ascii="Times New Roman" w:hAnsi="Times New Roman" w:cs="Times New Roman"/>
          <w:sz w:val="24"/>
          <w:szCs w:val="24"/>
        </w:rPr>
        <w:t>(</w:t>
      </w:r>
      <w:r w:rsidR="00C63A52">
        <w:rPr>
          <w:rFonts w:ascii="Times New Roman" w:hAnsi="Times New Roman" w:cs="Times New Roman"/>
          <w:sz w:val="24"/>
          <w:szCs w:val="24"/>
        </w:rPr>
        <w:t>1365.3</w:t>
      </w:r>
      <w:r w:rsidRPr="004F0AE1">
        <w:rPr>
          <w:rFonts w:ascii="Times New Roman" w:hAnsi="Times New Roman" w:cs="Times New Roman"/>
          <w:sz w:val="24"/>
          <w:szCs w:val="24"/>
        </w:rPr>
        <w:t xml:space="preserve">) </w:t>
      </w:r>
      <w:r w:rsidRPr="004F0AE1">
        <w:rPr>
          <w:rFonts w:ascii="Times New Roman" w:eastAsia="Times New Roman" w:hAnsi="Times New Roman" w:cs="Times New Roman"/>
          <w:color w:val="000000"/>
          <w:sz w:val="24"/>
          <w:szCs w:val="24"/>
          <w:lang w:eastAsia="en-IN"/>
        </w:rPr>
        <w:t xml:space="preserve">which </w:t>
      </w:r>
      <w:r w:rsidR="00C63A52">
        <w:rPr>
          <w:rFonts w:ascii="Times New Roman" w:eastAsia="Times New Roman" w:hAnsi="Times New Roman" w:cs="Times New Roman"/>
          <w:color w:val="000000"/>
          <w:sz w:val="24"/>
          <w:szCs w:val="24"/>
          <w:lang w:eastAsia="en-IN"/>
        </w:rPr>
        <w:t xml:space="preserve">was </w:t>
      </w:r>
      <w:r w:rsidRPr="004F0AE1">
        <w:rPr>
          <w:rFonts w:ascii="Times New Roman" w:eastAsia="Times New Roman" w:hAnsi="Times New Roman" w:cs="Times New Roman"/>
          <w:color w:val="000000"/>
          <w:sz w:val="24"/>
          <w:szCs w:val="24"/>
          <w:lang w:eastAsia="en-IN"/>
        </w:rPr>
        <w:t xml:space="preserve">significantly superior over rest of the treatments. </w:t>
      </w:r>
      <w:r w:rsidR="00C63A52">
        <w:rPr>
          <w:rFonts w:ascii="Times New Roman" w:eastAsia="Times New Roman" w:hAnsi="Times New Roman" w:cs="Times New Roman"/>
          <w:color w:val="000000"/>
          <w:sz w:val="24"/>
          <w:szCs w:val="24"/>
          <w:lang w:eastAsia="en-IN"/>
        </w:rPr>
        <w:t xml:space="preserve">The </w:t>
      </w:r>
      <w:r w:rsidR="00C6093A">
        <w:rPr>
          <w:rFonts w:ascii="Times New Roman" w:eastAsia="Times New Roman" w:hAnsi="Times New Roman" w:cs="Times New Roman"/>
          <w:color w:val="000000"/>
          <w:sz w:val="24"/>
          <w:szCs w:val="24"/>
          <w:lang w:eastAsia="en-IN"/>
        </w:rPr>
        <w:t xml:space="preserve">minimum number of seeds per head </w:t>
      </w:r>
      <w:r w:rsidRPr="004F0AE1">
        <w:rPr>
          <w:rFonts w:ascii="Times New Roman" w:eastAsia="Times New Roman" w:hAnsi="Times New Roman" w:cs="Times New Roman"/>
          <w:color w:val="000000"/>
          <w:sz w:val="24"/>
          <w:szCs w:val="24"/>
          <w:lang w:eastAsia="en-IN"/>
        </w:rPr>
        <w:t>(</w:t>
      </w:r>
      <w:r w:rsidR="00C63A52">
        <w:rPr>
          <w:rFonts w:ascii="Times New Roman" w:eastAsia="Times New Roman" w:hAnsi="Times New Roman" w:cs="Times New Roman"/>
          <w:color w:val="000000"/>
          <w:sz w:val="24"/>
          <w:szCs w:val="24"/>
          <w:lang w:eastAsia="en-IN"/>
        </w:rPr>
        <w:t>623.8) was recorded from control treatment.</w:t>
      </w:r>
      <w:r w:rsidRPr="004F0AE1">
        <w:rPr>
          <w:rFonts w:ascii="Times New Roman" w:eastAsia="Times New Roman" w:hAnsi="Times New Roman" w:cs="Times New Roman"/>
          <w:color w:val="000000"/>
          <w:sz w:val="24"/>
          <w:szCs w:val="24"/>
          <w:lang w:eastAsia="en-IN"/>
        </w:rPr>
        <w:t xml:space="preserve"> </w:t>
      </w:r>
      <w:r w:rsidR="000E5874">
        <w:rPr>
          <w:rFonts w:ascii="Times New Roman" w:eastAsia="Times New Roman" w:hAnsi="Times New Roman" w:cs="Times New Roman"/>
          <w:color w:val="000000"/>
          <w:sz w:val="24"/>
          <w:szCs w:val="24"/>
          <w:lang w:eastAsia="en-IN"/>
        </w:rPr>
        <w:t xml:space="preserve">Application of </w:t>
      </w:r>
      <w:r w:rsidR="00C63A52" w:rsidRPr="00C63A52">
        <w:rPr>
          <w:rFonts w:ascii="Times New Roman" w:eastAsia="Times New Roman" w:hAnsi="Times New Roman" w:cs="Times New Roman"/>
          <w:color w:val="000000"/>
          <w:sz w:val="24"/>
          <w:szCs w:val="24"/>
          <w:lang w:eastAsia="en-IN"/>
        </w:rPr>
        <w:t>STBFR + Lime + FYM + S 40kg/ha + 2 sprays of Borax @ 0.2% (T8)</w:t>
      </w:r>
      <w:r w:rsidR="00C63A52">
        <w:rPr>
          <w:rFonts w:ascii="Times New Roman" w:eastAsia="Times New Roman" w:hAnsi="Times New Roman" w:cs="Times New Roman"/>
          <w:color w:val="000000"/>
          <w:sz w:val="24"/>
          <w:szCs w:val="24"/>
          <w:lang w:eastAsia="en-IN"/>
        </w:rPr>
        <w:t xml:space="preserve"> and</w:t>
      </w:r>
      <w:r w:rsidR="00C63A52" w:rsidRPr="00C63A52">
        <w:rPr>
          <w:rFonts w:ascii="Times New Roman" w:eastAsia="Times New Roman" w:hAnsi="Times New Roman" w:cs="Times New Roman"/>
          <w:color w:val="000000"/>
          <w:sz w:val="24"/>
          <w:szCs w:val="24"/>
          <w:lang w:eastAsia="en-IN"/>
        </w:rPr>
        <w:t xml:space="preserve"> STBFR + Lime + FYM + S 40kg/ha + 1 spray of Borax @ 0.2% (T7)</w:t>
      </w:r>
      <w:r w:rsidR="00C63A52">
        <w:rPr>
          <w:rFonts w:ascii="Times New Roman" w:eastAsia="Times New Roman" w:hAnsi="Times New Roman" w:cs="Times New Roman"/>
          <w:color w:val="000000"/>
          <w:sz w:val="24"/>
          <w:szCs w:val="24"/>
          <w:lang w:eastAsia="en-IN"/>
        </w:rPr>
        <w:t xml:space="preserve"> recorded 82.67 </w:t>
      </w:r>
      <w:r w:rsidR="000E5874">
        <w:rPr>
          <w:rFonts w:ascii="Times New Roman" w:eastAsia="Times New Roman" w:hAnsi="Times New Roman" w:cs="Times New Roman"/>
          <w:color w:val="000000"/>
          <w:sz w:val="24"/>
          <w:szCs w:val="24"/>
          <w:lang w:eastAsia="en-IN"/>
        </w:rPr>
        <w:t xml:space="preserve">% and </w:t>
      </w:r>
      <w:r w:rsidR="00C63A52">
        <w:rPr>
          <w:rFonts w:ascii="Times New Roman" w:eastAsia="Times New Roman" w:hAnsi="Times New Roman" w:cs="Times New Roman"/>
          <w:color w:val="000000"/>
          <w:sz w:val="24"/>
          <w:szCs w:val="24"/>
          <w:lang w:eastAsia="en-IN"/>
        </w:rPr>
        <w:t xml:space="preserve">68.68 </w:t>
      </w:r>
      <w:r w:rsidR="000E5874">
        <w:rPr>
          <w:rFonts w:ascii="Times New Roman" w:eastAsia="Times New Roman" w:hAnsi="Times New Roman" w:cs="Times New Roman"/>
          <w:color w:val="000000"/>
          <w:sz w:val="24"/>
          <w:szCs w:val="24"/>
          <w:lang w:eastAsia="en-IN"/>
        </w:rPr>
        <w:t xml:space="preserve">% increased </w:t>
      </w:r>
      <w:r w:rsidR="008C5B02">
        <w:rPr>
          <w:rFonts w:ascii="Times New Roman" w:eastAsia="Times New Roman" w:hAnsi="Times New Roman" w:cs="Times New Roman"/>
          <w:color w:val="000000"/>
          <w:sz w:val="24"/>
          <w:szCs w:val="24"/>
          <w:lang w:eastAsia="en-IN"/>
        </w:rPr>
        <w:t>number of seeds per head</w:t>
      </w:r>
      <w:r w:rsidR="00C63A52">
        <w:rPr>
          <w:rFonts w:ascii="Times New Roman" w:eastAsia="Times New Roman" w:hAnsi="Times New Roman" w:cs="Times New Roman"/>
          <w:color w:val="000000"/>
          <w:sz w:val="24"/>
          <w:szCs w:val="24"/>
          <w:lang w:eastAsia="en-IN"/>
        </w:rPr>
        <w:t xml:space="preserve"> over STBFR treatment</w:t>
      </w:r>
      <w:r w:rsidR="000E5874">
        <w:rPr>
          <w:rFonts w:ascii="Times New Roman" w:eastAsia="Times New Roman" w:hAnsi="Times New Roman" w:cs="Times New Roman"/>
          <w:color w:val="000000"/>
          <w:sz w:val="24"/>
          <w:szCs w:val="24"/>
          <w:lang w:eastAsia="en-IN"/>
        </w:rPr>
        <w:t xml:space="preserve"> respectively. </w:t>
      </w:r>
    </w:p>
    <w:p w14:paraId="108FC770" w14:textId="77777777" w:rsidR="008C5B02" w:rsidRDefault="00C6093A" w:rsidP="00DC1758">
      <w:pPr>
        <w:spacing w:before="240" w:after="120" w:line="360" w:lineRule="auto"/>
        <w:ind w:firstLine="720"/>
        <w:jc w:val="both"/>
        <w:rPr>
          <w:rFonts w:ascii="Times New Roman" w:eastAsia="Times New Roman" w:hAnsi="Times New Roman" w:cs="Times New Roman"/>
          <w:color w:val="000000"/>
          <w:sz w:val="24"/>
          <w:szCs w:val="24"/>
          <w:lang w:eastAsia="en-IN"/>
        </w:rPr>
      </w:pPr>
      <w:r w:rsidRPr="00C6093A">
        <w:rPr>
          <w:rFonts w:ascii="Times New Roman" w:hAnsi="Times New Roman" w:cs="Times New Roman"/>
          <w:sz w:val="24"/>
          <w:szCs w:val="24"/>
        </w:rPr>
        <w:t xml:space="preserve">The </w:t>
      </w:r>
      <w:r w:rsidR="00C63A52">
        <w:rPr>
          <w:rFonts w:ascii="Times New Roman" w:hAnsi="Times New Roman" w:cs="Times New Roman"/>
          <w:sz w:val="24"/>
          <w:szCs w:val="24"/>
        </w:rPr>
        <w:t xml:space="preserve">variation in </w:t>
      </w:r>
      <w:r w:rsidRPr="00C6093A">
        <w:rPr>
          <w:rFonts w:ascii="Times New Roman" w:hAnsi="Times New Roman" w:cs="Times New Roman"/>
          <w:sz w:val="24"/>
          <w:szCs w:val="24"/>
        </w:rPr>
        <w:t xml:space="preserve">number of </w:t>
      </w:r>
      <w:r>
        <w:rPr>
          <w:rFonts w:ascii="Times New Roman" w:hAnsi="Times New Roman" w:cs="Times New Roman"/>
          <w:sz w:val="24"/>
          <w:szCs w:val="24"/>
        </w:rPr>
        <w:t xml:space="preserve">filled </w:t>
      </w:r>
      <w:r w:rsidRPr="00C6093A">
        <w:rPr>
          <w:rFonts w:ascii="Times New Roman" w:hAnsi="Times New Roman" w:cs="Times New Roman"/>
          <w:sz w:val="24"/>
          <w:szCs w:val="24"/>
        </w:rPr>
        <w:t>seeds per head</w:t>
      </w:r>
      <w:r w:rsidR="00194AE7">
        <w:rPr>
          <w:rFonts w:ascii="Times New Roman" w:hAnsi="Times New Roman" w:cs="Times New Roman"/>
          <w:sz w:val="24"/>
          <w:szCs w:val="24"/>
        </w:rPr>
        <w:t xml:space="preserve"> of sunflower </w:t>
      </w:r>
      <w:r w:rsidR="00194AE7" w:rsidRPr="00C6093A">
        <w:rPr>
          <w:rFonts w:ascii="Times New Roman" w:hAnsi="Times New Roman" w:cs="Times New Roman"/>
          <w:sz w:val="24"/>
          <w:szCs w:val="24"/>
        </w:rPr>
        <w:t>as</w:t>
      </w:r>
      <w:r w:rsidRPr="00C6093A">
        <w:rPr>
          <w:rFonts w:ascii="Times New Roman" w:hAnsi="Times New Roman" w:cs="Times New Roman"/>
          <w:sz w:val="24"/>
          <w:szCs w:val="24"/>
        </w:rPr>
        <w:t xml:space="preserve"> influenced by</w:t>
      </w:r>
      <w:r w:rsidRPr="00C6093A">
        <w:rPr>
          <w:rFonts w:ascii="Times New Roman" w:hAnsi="Times New Roman" w:cs="Times New Roman"/>
          <w:b/>
          <w:sz w:val="24"/>
          <w:szCs w:val="24"/>
        </w:rPr>
        <w:t xml:space="preserve"> </w:t>
      </w:r>
      <w:r w:rsidRPr="00C6093A">
        <w:rPr>
          <w:rFonts w:ascii="Times New Roman" w:hAnsi="Times New Roman" w:cs="Times New Roman"/>
          <w:sz w:val="24"/>
          <w:szCs w:val="24"/>
        </w:rPr>
        <w:t>different</w:t>
      </w:r>
      <w:r w:rsidR="00194AE7">
        <w:rPr>
          <w:rFonts w:ascii="Times New Roman" w:hAnsi="Times New Roman" w:cs="Times New Roman"/>
          <w:sz w:val="24"/>
          <w:szCs w:val="24"/>
        </w:rPr>
        <w:t xml:space="preserve"> integrated</w:t>
      </w:r>
      <w:r w:rsidRPr="00C6093A">
        <w:rPr>
          <w:rFonts w:ascii="Times New Roman" w:hAnsi="Times New Roman" w:cs="Times New Roman"/>
          <w:sz w:val="24"/>
          <w:szCs w:val="24"/>
        </w:rPr>
        <w:t xml:space="preserve"> </w:t>
      </w:r>
      <w:r w:rsidRPr="00C6093A">
        <w:rPr>
          <w:rFonts w:ascii="Times New Roman" w:eastAsia="Times New Roman" w:hAnsi="Times New Roman" w:cs="Times New Roman"/>
          <w:sz w:val="24"/>
          <w:szCs w:val="24"/>
          <w:lang w:val="en-US" w:bidi="en-US"/>
        </w:rPr>
        <w:t xml:space="preserve">nutrient management </w:t>
      </w:r>
      <w:r w:rsidR="00194AE7">
        <w:rPr>
          <w:rFonts w:ascii="Times New Roman" w:eastAsia="Times New Roman" w:hAnsi="Times New Roman" w:cs="Times New Roman"/>
          <w:sz w:val="24"/>
          <w:szCs w:val="24"/>
          <w:lang w:val="en-US" w:bidi="en-US"/>
        </w:rPr>
        <w:t xml:space="preserve">practices </w:t>
      </w:r>
      <w:r w:rsidRPr="00C6093A">
        <w:rPr>
          <w:rFonts w:ascii="Times New Roman" w:hAnsi="Times New Roman" w:cs="Times New Roman"/>
          <w:sz w:val="24"/>
          <w:szCs w:val="24"/>
        </w:rPr>
        <w:t xml:space="preserve">revealed that number of </w:t>
      </w:r>
      <w:r>
        <w:rPr>
          <w:rFonts w:ascii="Times New Roman" w:hAnsi="Times New Roman" w:cs="Times New Roman"/>
          <w:sz w:val="24"/>
          <w:szCs w:val="24"/>
        </w:rPr>
        <w:t xml:space="preserve">filled </w:t>
      </w:r>
      <w:r w:rsidRPr="00C6093A">
        <w:rPr>
          <w:rFonts w:ascii="Times New Roman" w:hAnsi="Times New Roman" w:cs="Times New Roman"/>
          <w:sz w:val="24"/>
          <w:szCs w:val="24"/>
        </w:rPr>
        <w:t xml:space="preserve">seeds per head varied significantly due to different </w:t>
      </w:r>
      <w:r w:rsidR="00194AE7">
        <w:rPr>
          <w:rFonts w:ascii="Times New Roman" w:eastAsia="Times New Roman" w:hAnsi="Times New Roman" w:cs="Times New Roman"/>
          <w:sz w:val="24"/>
          <w:szCs w:val="24"/>
          <w:lang w:val="en-US" w:bidi="en-US"/>
        </w:rPr>
        <w:t xml:space="preserve">treatments. </w:t>
      </w:r>
      <w:r w:rsidRPr="00C6093A">
        <w:rPr>
          <w:rFonts w:ascii="Times New Roman" w:hAnsi="Times New Roman" w:cs="Times New Roman"/>
          <w:sz w:val="24"/>
          <w:szCs w:val="24"/>
        </w:rPr>
        <w:t xml:space="preserve">Application of </w:t>
      </w:r>
      <w:r w:rsidR="00194AE7" w:rsidRPr="00194AE7">
        <w:rPr>
          <w:rFonts w:ascii="Times New Roman" w:hAnsi="Times New Roman" w:cs="Times New Roman"/>
          <w:sz w:val="24"/>
          <w:szCs w:val="24"/>
        </w:rPr>
        <w:t xml:space="preserve">STBFR + Lime + FYM + S 40kg/ha </w:t>
      </w:r>
      <w:r w:rsidR="00194AE7" w:rsidRPr="00194AE7">
        <w:rPr>
          <w:rFonts w:ascii="Times New Roman" w:hAnsi="Times New Roman" w:cs="Times New Roman"/>
          <w:sz w:val="24"/>
          <w:szCs w:val="24"/>
        </w:rPr>
        <w:lastRenderedPageBreak/>
        <w:t xml:space="preserve">+ 2 sprays of Borax @ 0.2% (T8) </w:t>
      </w:r>
      <w:r w:rsidRPr="00C6093A">
        <w:rPr>
          <w:rFonts w:ascii="Times New Roman" w:eastAsia="Times New Roman" w:hAnsi="Times New Roman" w:cs="Times New Roman"/>
          <w:color w:val="000000"/>
          <w:sz w:val="24"/>
          <w:szCs w:val="24"/>
          <w:lang w:eastAsia="en-IN"/>
        </w:rPr>
        <w:t xml:space="preserve">recorded </w:t>
      </w:r>
      <w:r w:rsidR="00C737FE">
        <w:rPr>
          <w:rFonts w:ascii="Times New Roman" w:eastAsia="Times New Roman" w:hAnsi="Times New Roman" w:cs="Times New Roman"/>
          <w:color w:val="000000"/>
          <w:sz w:val="24"/>
          <w:szCs w:val="24"/>
          <w:lang w:eastAsia="en-IN"/>
        </w:rPr>
        <w:t xml:space="preserve">significantly </w:t>
      </w:r>
      <w:r>
        <w:rPr>
          <w:rFonts w:ascii="Times New Roman" w:eastAsia="Times New Roman" w:hAnsi="Times New Roman" w:cs="Times New Roman"/>
          <w:color w:val="000000"/>
          <w:sz w:val="24"/>
          <w:szCs w:val="24"/>
          <w:lang w:eastAsia="en-IN"/>
        </w:rPr>
        <w:t>highest</w:t>
      </w:r>
      <w:r w:rsidRPr="00C6093A">
        <w:rPr>
          <w:rFonts w:ascii="Times New Roman" w:eastAsia="Times New Roman" w:hAnsi="Times New Roman" w:cs="Times New Roman"/>
          <w:color w:val="000000"/>
          <w:sz w:val="24"/>
          <w:szCs w:val="24"/>
          <w:lang w:eastAsia="en-IN"/>
        </w:rPr>
        <w:t xml:space="preserve"> number of </w:t>
      </w:r>
      <w:r>
        <w:rPr>
          <w:rFonts w:ascii="Times New Roman" w:eastAsia="Times New Roman" w:hAnsi="Times New Roman" w:cs="Times New Roman"/>
          <w:color w:val="000000"/>
          <w:sz w:val="24"/>
          <w:szCs w:val="24"/>
          <w:lang w:eastAsia="en-IN"/>
        </w:rPr>
        <w:t xml:space="preserve">filled </w:t>
      </w:r>
      <w:r w:rsidRPr="00C6093A">
        <w:rPr>
          <w:rFonts w:ascii="Times New Roman" w:eastAsia="Times New Roman" w:hAnsi="Times New Roman" w:cs="Times New Roman"/>
          <w:color w:val="000000"/>
          <w:sz w:val="24"/>
          <w:szCs w:val="24"/>
          <w:lang w:eastAsia="en-IN"/>
        </w:rPr>
        <w:t xml:space="preserve">seeds per head </w:t>
      </w:r>
      <w:r w:rsidRPr="00C6093A">
        <w:rPr>
          <w:rFonts w:ascii="Times New Roman" w:hAnsi="Times New Roman" w:cs="Times New Roman"/>
          <w:sz w:val="24"/>
          <w:szCs w:val="24"/>
        </w:rPr>
        <w:t>(</w:t>
      </w:r>
      <w:r w:rsidR="00194AE7">
        <w:rPr>
          <w:rFonts w:ascii="Times New Roman" w:hAnsi="Times New Roman" w:cs="Times New Roman"/>
          <w:sz w:val="24"/>
          <w:szCs w:val="24"/>
        </w:rPr>
        <w:t>12</w:t>
      </w:r>
      <w:r w:rsidR="00962F59">
        <w:rPr>
          <w:rFonts w:ascii="Times New Roman" w:hAnsi="Times New Roman" w:cs="Times New Roman"/>
          <w:sz w:val="24"/>
          <w:szCs w:val="24"/>
        </w:rPr>
        <w:t>4</w:t>
      </w:r>
      <w:r w:rsidR="00194AE7">
        <w:rPr>
          <w:rFonts w:ascii="Times New Roman" w:hAnsi="Times New Roman" w:cs="Times New Roman"/>
          <w:sz w:val="24"/>
          <w:szCs w:val="24"/>
        </w:rPr>
        <w:t>8.6</w:t>
      </w:r>
      <w:r w:rsidRPr="00C6093A">
        <w:rPr>
          <w:rFonts w:ascii="Times New Roman" w:hAnsi="Times New Roman" w:cs="Times New Roman"/>
          <w:sz w:val="24"/>
          <w:szCs w:val="24"/>
        </w:rPr>
        <w:t xml:space="preserve">) </w:t>
      </w:r>
      <w:r w:rsidRPr="00C6093A">
        <w:rPr>
          <w:rFonts w:ascii="Times New Roman" w:eastAsia="Times New Roman" w:hAnsi="Times New Roman" w:cs="Times New Roman"/>
          <w:color w:val="000000"/>
          <w:sz w:val="24"/>
          <w:szCs w:val="24"/>
          <w:lang w:eastAsia="en-IN"/>
        </w:rPr>
        <w:t xml:space="preserve">which </w:t>
      </w:r>
      <w:r w:rsidR="00194AE7">
        <w:rPr>
          <w:rFonts w:ascii="Times New Roman" w:eastAsia="Times New Roman" w:hAnsi="Times New Roman" w:cs="Times New Roman"/>
          <w:color w:val="000000"/>
          <w:sz w:val="24"/>
          <w:szCs w:val="24"/>
          <w:lang w:eastAsia="en-IN"/>
        </w:rPr>
        <w:t>was superior to rest of the treatments</w:t>
      </w:r>
      <w:r w:rsidR="00C737FE">
        <w:t xml:space="preserve">. </w:t>
      </w:r>
      <w:r>
        <w:rPr>
          <w:rFonts w:ascii="Times New Roman" w:eastAsia="Times New Roman" w:hAnsi="Times New Roman" w:cs="Times New Roman"/>
          <w:color w:val="000000"/>
          <w:sz w:val="24"/>
          <w:szCs w:val="24"/>
          <w:lang w:eastAsia="en-IN"/>
        </w:rPr>
        <w:t xml:space="preserve">The lowest </w:t>
      </w:r>
      <w:r w:rsidRPr="00C6093A">
        <w:rPr>
          <w:rFonts w:ascii="Times New Roman" w:eastAsia="Times New Roman" w:hAnsi="Times New Roman" w:cs="Times New Roman"/>
          <w:color w:val="000000"/>
          <w:sz w:val="24"/>
          <w:szCs w:val="24"/>
          <w:lang w:eastAsia="en-IN"/>
        </w:rPr>
        <w:t xml:space="preserve">number of </w:t>
      </w:r>
      <w:r>
        <w:rPr>
          <w:rFonts w:ascii="Times New Roman" w:eastAsia="Times New Roman" w:hAnsi="Times New Roman" w:cs="Times New Roman"/>
          <w:color w:val="000000"/>
          <w:sz w:val="24"/>
          <w:szCs w:val="24"/>
          <w:lang w:eastAsia="en-IN"/>
        </w:rPr>
        <w:t xml:space="preserve">filled </w:t>
      </w:r>
      <w:r w:rsidRPr="00C6093A">
        <w:rPr>
          <w:rFonts w:ascii="Times New Roman" w:eastAsia="Times New Roman" w:hAnsi="Times New Roman" w:cs="Times New Roman"/>
          <w:color w:val="000000"/>
          <w:sz w:val="24"/>
          <w:szCs w:val="24"/>
          <w:lang w:eastAsia="en-IN"/>
        </w:rPr>
        <w:t xml:space="preserve">seeds per head </w:t>
      </w:r>
      <w:r w:rsidR="00194AE7">
        <w:rPr>
          <w:rFonts w:ascii="Times New Roman" w:eastAsia="Times New Roman" w:hAnsi="Times New Roman" w:cs="Times New Roman"/>
          <w:color w:val="000000"/>
          <w:sz w:val="24"/>
          <w:szCs w:val="24"/>
          <w:lang w:eastAsia="en-IN"/>
        </w:rPr>
        <w:t>(439.2) was recorded with control treatment.</w:t>
      </w:r>
      <w:r w:rsidR="0057399A">
        <w:rPr>
          <w:rFonts w:ascii="Times New Roman" w:eastAsia="Times New Roman" w:hAnsi="Times New Roman" w:cs="Times New Roman"/>
          <w:color w:val="000000"/>
          <w:sz w:val="24"/>
          <w:szCs w:val="24"/>
          <w:lang w:eastAsia="en-IN"/>
        </w:rPr>
        <w:t xml:space="preserve"> </w:t>
      </w:r>
      <w:r w:rsidR="00194AE7">
        <w:rPr>
          <w:rFonts w:ascii="Times New Roman" w:eastAsia="Times New Roman" w:hAnsi="Times New Roman" w:cs="Times New Roman"/>
          <w:color w:val="000000"/>
          <w:sz w:val="24"/>
          <w:szCs w:val="24"/>
          <w:lang w:eastAsia="en-IN"/>
        </w:rPr>
        <w:t xml:space="preserve">Only </w:t>
      </w:r>
      <w:r w:rsidR="008C5B02" w:rsidRPr="00FD4133">
        <w:rPr>
          <w:rFonts w:ascii="Times New Roman" w:eastAsia="Times New Roman" w:hAnsi="Times New Roman" w:cs="Times New Roman"/>
          <w:color w:val="000000"/>
          <w:sz w:val="24"/>
          <w:szCs w:val="24"/>
          <w:lang w:eastAsia="en-IN"/>
        </w:rPr>
        <w:t xml:space="preserve">STBFR </w:t>
      </w:r>
      <w:r w:rsidR="00194AE7">
        <w:rPr>
          <w:rFonts w:ascii="Times New Roman" w:eastAsia="Times New Roman" w:hAnsi="Times New Roman" w:cs="Times New Roman"/>
          <w:color w:val="000000"/>
          <w:sz w:val="24"/>
          <w:szCs w:val="24"/>
          <w:lang w:eastAsia="en-IN"/>
        </w:rPr>
        <w:t xml:space="preserve">treatment produced 608.8 filled seeds per head. Application of </w:t>
      </w:r>
      <w:r w:rsidR="00194AE7" w:rsidRPr="00194AE7">
        <w:rPr>
          <w:rFonts w:ascii="Times New Roman" w:eastAsia="Times New Roman" w:hAnsi="Times New Roman" w:cs="Times New Roman"/>
          <w:color w:val="000000"/>
          <w:sz w:val="24"/>
          <w:szCs w:val="24"/>
          <w:lang w:eastAsia="en-IN"/>
        </w:rPr>
        <w:t>STBFR + Lime + FYM + S 40kg/ha + 2 sprays of Borax @ 0.2% (T8)</w:t>
      </w:r>
      <w:r w:rsidR="00194AE7">
        <w:rPr>
          <w:rFonts w:ascii="Times New Roman" w:eastAsia="Times New Roman" w:hAnsi="Times New Roman" w:cs="Times New Roman"/>
          <w:color w:val="000000"/>
          <w:sz w:val="24"/>
          <w:szCs w:val="24"/>
          <w:lang w:eastAsia="en-IN"/>
        </w:rPr>
        <w:t xml:space="preserve"> produced </w:t>
      </w:r>
      <w:r w:rsidR="00962F59">
        <w:rPr>
          <w:rFonts w:ascii="Times New Roman" w:eastAsia="Times New Roman" w:hAnsi="Times New Roman" w:cs="Times New Roman"/>
          <w:color w:val="000000"/>
          <w:sz w:val="24"/>
          <w:szCs w:val="24"/>
          <w:lang w:eastAsia="en-IN"/>
        </w:rPr>
        <w:t>105.09</w:t>
      </w:r>
      <w:r w:rsidR="00C311E7">
        <w:rPr>
          <w:rFonts w:ascii="Times New Roman" w:eastAsia="Times New Roman" w:hAnsi="Times New Roman" w:cs="Times New Roman"/>
          <w:color w:val="000000"/>
          <w:sz w:val="24"/>
          <w:szCs w:val="24"/>
          <w:lang w:eastAsia="en-IN"/>
        </w:rPr>
        <w:t xml:space="preserve"> % </w:t>
      </w:r>
      <w:r w:rsidR="00194AE7">
        <w:rPr>
          <w:rFonts w:ascii="Times New Roman" w:eastAsia="Times New Roman" w:hAnsi="Times New Roman" w:cs="Times New Roman"/>
          <w:color w:val="000000"/>
          <w:sz w:val="24"/>
          <w:szCs w:val="24"/>
          <w:lang w:eastAsia="en-IN"/>
        </w:rPr>
        <w:t>increased</w:t>
      </w:r>
      <w:r w:rsidR="008C5B02">
        <w:rPr>
          <w:rFonts w:ascii="Times New Roman" w:eastAsia="Times New Roman" w:hAnsi="Times New Roman" w:cs="Times New Roman"/>
          <w:color w:val="000000"/>
          <w:sz w:val="24"/>
          <w:szCs w:val="24"/>
          <w:lang w:eastAsia="en-IN"/>
        </w:rPr>
        <w:t xml:space="preserve"> number of fi</w:t>
      </w:r>
      <w:r w:rsidR="00194AE7">
        <w:rPr>
          <w:rFonts w:ascii="Times New Roman" w:eastAsia="Times New Roman" w:hAnsi="Times New Roman" w:cs="Times New Roman"/>
          <w:color w:val="000000"/>
          <w:sz w:val="24"/>
          <w:szCs w:val="24"/>
          <w:lang w:eastAsia="en-IN"/>
        </w:rPr>
        <w:t>lled seeds per head over STBFR treatment.</w:t>
      </w:r>
    </w:p>
    <w:p w14:paraId="76E2CAFB" w14:textId="77777777" w:rsidR="001A419A" w:rsidRPr="00956B7A" w:rsidRDefault="00962F59" w:rsidP="00956B7A">
      <w:pPr>
        <w:spacing w:before="24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Perusal of data presented in table revealed </w:t>
      </w:r>
      <w:r w:rsidR="00AA0DEB">
        <w:rPr>
          <w:rFonts w:ascii="Times New Roman" w:hAnsi="Times New Roman" w:cs="Times New Roman"/>
          <w:sz w:val="24"/>
          <w:szCs w:val="24"/>
        </w:rPr>
        <w:t xml:space="preserve">that effect of </w:t>
      </w:r>
      <w:r>
        <w:rPr>
          <w:rFonts w:ascii="Times New Roman" w:hAnsi="Times New Roman" w:cs="Times New Roman"/>
          <w:sz w:val="24"/>
          <w:szCs w:val="24"/>
        </w:rPr>
        <w:t xml:space="preserve">different integrated </w:t>
      </w:r>
      <w:r w:rsidR="00AA0DEB">
        <w:rPr>
          <w:rFonts w:ascii="Times New Roman" w:hAnsi="Times New Roman" w:cs="Times New Roman"/>
          <w:sz w:val="24"/>
          <w:szCs w:val="24"/>
        </w:rPr>
        <w:t xml:space="preserve">nutrient management </w:t>
      </w:r>
      <w:r>
        <w:rPr>
          <w:rFonts w:ascii="Times New Roman" w:hAnsi="Times New Roman" w:cs="Times New Roman"/>
          <w:sz w:val="24"/>
          <w:szCs w:val="24"/>
        </w:rPr>
        <w:t xml:space="preserve">practices in sunflower </w:t>
      </w:r>
      <w:r w:rsidR="00AA0DEB">
        <w:rPr>
          <w:rFonts w:ascii="Times New Roman" w:hAnsi="Times New Roman" w:cs="Times New Roman"/>
          <w:sz w:val="24"/>
          <w:szCs w:val="24"/>
        </w:rPr>
        <w:t xml:space="preserve">on </w:t>
      </w:r>
      <w:r w:rsidR="009077C7">
        <w:rPr>
          <w:rFonts w:ascii="Times New Roman" w:hAnsi="Times New Roman" w:cs="Times New Roman"/>
          <w:sz w:val="24"/>
          <w:szCs w:val="24"/>
        </w:rPr>
        <w:t>1000 seed</w:t>
      </w:r>
      <w:r w:rsidR="00AA0DEB">
        <w:rPr>
          <w:rFonts w:ascii="Times New Roman" w:hAnsi="Times New Roman" w:cs="Times New Roman"/>
          <w:sz w:val="24"/>
          <w:szCs w:val="24"/>
        </w:rPr>
        <w:t xml:space="preserve"> weight was found</w:t>
      </w:r>
      <w:r>
        <w:rPr>
          <w:rFonts w:ascii="Times New Roman" w:hAnsi="Times New Roman" w:cs="Times New Roman"/>
          <w:sz w:val="24"/>
          <w:szCs w:val="24"/>
        </w:rPr>
        <w:t xml:space="preserve"> to be non-significant. But </w:t>
      </w:r>
      <w:r w:rsidR="009077C7" w:rsidRPr="009077C7">
        <w:rPr>
          <w:rFonts w:ascii="Times New Roman" w:hAnsi="Times New Roman" w:cs="Times New Roman"/>
          <w:sz w:val="24"/>
          <w:szCs w:val="24"/>
        </w:rPr>
        <w:t xml:space="preserve">application of </w:t>
      </w:r>
      <w:r w:rsidRPr="00962F59">
        <w:rPr>
          <w:rFonts w:ascii="Times New Roman" w:hAnsi="Times New Roman" w:cs="Times New Roman"/>
          <w:sz w:val="24"/>
          <w:szCs w:val="24"/>
        </w:rPr>
        <w:t>STBFR + Lime + FYM + S 40kg/ha +</w:t>
      </w:r>
      <w:r>
        <w:rPr>
          <w:rFonts w:ascii="Times New Roman" w:hAnsi="Times New Roman" w:cs="Times New Roman"/>
          <w:sz w:val="24"/>
          <w:szCs w:val="24"/>
        </w:rPr>
        <w:t xml:space="preserve"> 2 sprays of Borax @ 0.2% (T8) </w:t>
      </w:r>
      <w:r w:rsidR="009077C7" w:rsidRPr="009077C7">
        <w:rPr>
          <w:rFonts w:ascii="Times New Roman" w:hAnsi="Times New Roman" w:cs="Times New Roman"/>
          <w:sz w:val="24"/>
          <w:szCs w:val="24"/>
        </w:rPr>
        <w:t xml:space="preserve">recorded highest </w:t>
      </w:r>
      <w:r w:rsidR="009077C7">
        <w:rPr>
          <w:rFonts w:ascii="Times New Roman" w:hAnsi="Times New Roman" w:cs="Times New Roman"/>
          <w:sz w:val="24"/>
          <w:szCs w:val="24"/>
        </w:rPr>
        <w:t>1000 seed</w:t>
      </w:r>
      <w:r w:rsidR="009077C7" w:rsidRPr="009077C7">
        <w:rPr>
          <w:rFonts w:ascii="Times New Roman" w:hAnsi="Times New Roman" w:cs="Times New Roman"/>
          <w:sz w:val="24"/>
          <w:szCs w:val="24"/>
        </w:rPr>
        <w:t xml:space="preserve"> weight (</w:t>
      </w:r>
      <w:r>
        <w:rPr>
          <w:rFonts w:ascii="Times New Roman" w:hAnsi="Times New Roman" w:cs="Times New Roman"/>
          <w:sz w:val="24"/>
          <w:szCs w:val="24"/>
        </w:rPr>
        <w:t>49.63 g</w:t>
      </w:r>
      <w:r w:rsidR="009077C7">
        <w:rPr>
          <w:rFonts w:ascii="Times New Roman" w:hAnsi="Times New Roman" w:cs="Times New Roman"/>
          <w:sz w:val="24"/>
          <w:szCs w:val="24"/>
        </w:rPr>
        <w:t xml:space="preserve">) </w:t>
      </w:r>
      <w:r>
        <w:rPr>
          <w:rFonts w:ascii="Times New Roman" w:hAnsi="Times New Roman" w:cs="Times New Roman"/>
          <w:sz w:val="24"/>
          <w:szCs w:val="24"/>
        </w:rPr>
        <w:t xml:space="preserve">followed by </w:t>
      </w:r>
      <w:r w:rsidRPr="00962F59">
        <w:rPr>
          <w:rFonts w:ascii="Times New Roman" w:hAnsi="Times New Roman" w:cs="Times New Roman"/>
          <w:sz w:val="24"/>
          <w:szCs w:val="24"/>
        </w:rPr>
        <w:t>STBFR + Lime + FYM + S 40kg/ha + 1 spray of Borax @ 0.2% (T7)</w:t>
      </w:r>
      <w:r>
        <w:rPr>
          <w:rFonts w:ascii="Times New Roman" w:hAnsi="Times New Roman" w:cs="Times New Roman"/>
          <w:sz w:val="24"/>
          <w:szCs w:val="24"/>
        </w:rPr>
        <w:t xml:space="preserve"> (49.12 g). </w:t>
      </w:r>
      <w:r>
        <w:rPr>
          <w:rFonts w:ascii="Times New Roman" w:eastAsia="Times New Roman" w:hAnsi="Times New Roman" w:cs="Times New Roman"/>
          <w:color w:val="000000"/>
          <w:sz w:val="24"/>
          <w:szCs w:val="24"/>
          <w:lang w:eastAsia="en-IN"/>
        </w:rPr>
        <w:t>C</w:t>
      </w:r>
      <w:r w:rsidR="009077C7">
        <w:rPr>
          <w:rFonts w:ascii="Times New Roman" w:eastAsia="Times New Roman" w:hAnsi="Times New Roman" w:cs="Times New Roman"/>
          <w:color w:val="000000"/>
          <w:sz w:val="24"/>
          <w:szCs w:val="24"/>
          <w:lang w:eastAsia="en-IN"/>
        </w:rPr>
        <w:t xml:space="preserve">ontrol </w:t>
      </w:r>
      <w:r>
        <w:rPr>
          <w:rFonts w:ascii="Times New Roman" w:eastAsia="Times New Roman" w:hAnsi="Times New Roman" w:cs="Times New Roman"/>
          <w:color w:val="000000"/>
          <w:sz w:val="24"/>
          <w:szCs w:val="24"/>
          <w:lang w:eastAsia="en-IN"/>
        </w:rPr>
        <w:t xml:space="preserve">treatment </w:t>
      </w:r>
      <w:r w:rsidR="009077C7">
        <w:rPr>
          <w:rFonts w:ascii="Times New Roman" w:eastAsia="Times New Roman" w:hAnsi="Times New Roman" w:cs="Times New Roman"/>
          <w:color w:val="000000"/>
          <w:sz w:val="24"/>
          <w:szCs w:val="24"/>
          <w:lang w:eastAsia="en-IN"/>
        </w:rPr>
        <w:t xml:space="preserve">recorded </w:t>
      </w:r>
      <w:r>
        <w:rPr>
          <w:rFonts w:ascii="Times New Roman" w:eastAsia="Times New Roman" w:hAnsi="Times New Roman" w:cs="Times New Roman"/>
          <w:color w:val="000000"/>
          <w:sz w:val="24"/>
          <w:szCs w:val="24"/>
          <w:lang w:eastAsia="en-IN"/>
        </w:rPr>
        <w:t xml:space="preserve">the </w:t>
      </w:r>
      <w:r w:rsidR="009077C7">
        <w:rPr>
          <w:rFonts w:ascii="Times New Roman" w:eastAsia="Times New Roman" w:hAnsi="Times New Roman" w:cs="Times New Roman"/>
          <w:color w:val="000000"/>
          <w:sz w:val="24"/>
          <w:szCs w:val="24"/>
          <w:lang w:eastAsia="en-IN"/>
        </w:rPr>
        <w:t xml:space="preserve">lowest </w:t>
      </w:r>
      <w:r w:rsidR="00830C57">
        <w:rPr>
          <w:rFonts w:ascii="Times New Roman" w:hAnsi="Times New Roman" w:cs="Times New Roman"/>
          <w:sz w:val="24"/>
          <w:szCs w:val="24"/>
        </w:rPr>
        <w:t>1000 seed</w:t>
      </w:r>
      <w:r w:rsidR="00830C57" w:rsidRPr="009077C7">
        <w:rPr>
          <w:rFonts w:ascii="Times New Roman" w:hAnsi="Times New Roman" w:cs="Times New Roman"/>
          <w:sz w:val="24"/>
          <w:szCs w:val="24"/>
        </w:rPr>
        <w:t xml:space="preserve"> weight </w:t>
      </w:r>
      <w:r>
        <w:rPr>
          <w:rFonts w:ascii="Times New Roman" w:eastAsia="Times New Roman" w:hAnsi="Times New Roman" w:cs="Times New Roman"/>
          <w:color w:val="000000"/>
          <w:sz w:val="24"/>
          <w:szCs w:val="24"/>
          <w:lang w:eastAsia="en-IN"/>
        </w:rPr>
        <w:t xml:space="preserve">(39.37 </w:t>
      </w:r>
      <w:r w:rsidR="009077C7">
        <w:rPr>
          <w:rFonts w:ascii="Times New Roman" w:eastAsia="Times New Roman" w:hAnsi="Times New Roman" w:cs="Times New Roman"/>
          <w:color w:val="000000"/>
          <w:sz w:val="24"/>
          <w:szCs w:val="24"/>
          <w:lang w:eastAsia="en-IN"/>
        </w:rPr>
        <w:t>g)</w:t>
      </w:r>
      <w:r w:rsidR="00830C57">
        <w:rPr>
          <w:rFonts w:ascii="Times New Roman" w:eastAsia="Times New Roman" w:hAnsi="Times New Roman" w:cs="Times New Roman"/>
          <w:color w:val="000000"/>
          <w:sz w:val="24"/>
          <w:szCs w:val="24"/>
          <w:lang w:eastAsia="en-IN"/>
        </w:rPr>
        <w:t>.</w:t>
      </w:r>
      <w:r w:rsidR="009077C7">
        <w:rPr>
          <w:rFonts w:ascii="Times New Roman" w:eastAsia="Times New Roman" w:hAnsi="Times New Roman" w:cs="Times New Roman"/>
          <w:color w:val="000000"/>
          <w:sz w:val="24"/>
          <w:szCs w:val="24"/>
          <w:lang w:eastAsia="en-IN"/>
        </w:rPr>
        <w:t xml:space="preserve"> </w:t>
      </w:r>
      <w:r>
        <w:rPr>
          <w:rFonts w:ascii="Times New Roman" w:hAnsi="Times New Roman" w:cs="Times New Roman"/>
          <w:sz w:val="24"/>
          <w:szCs w:val="24"/>
        </w:rPr>
        <w:t>Only STBFR treatment recorded the 1000 seed weight of 42.68 g.</w:t>
      </w:r>
    </w:p>
    <w:p w14:paraId="75920155" w14:textId="77777777" w:rsidR="00E93398" w:rsidRDefault="00E93398" w:rsidP="00871A40">
      <w:pPr>
        <w:spacing w:before="240" w:after="0" w:line="360" w:lineRule="auto"/>
        <w:jc w:val="both"/>
        <w:rPr>
          <w:rFonts w:ascii="Times New Roman" w:eastAsia="Times New Roman" w:hAnsi="Times New Roman" w:cs="Times New Roman"/>
          <w:b/>
          <w:sz w:val="24"/>
          <w:szCs w:val="24"/>
          <w:lang w:val="en-US" w:bidi="en-US"/>
        </w:rPr>
      </w:pPr>
    </w:p>
    <w:p w14:paraId="1C08C9B6" w14:textId="77777777" w:rsidR="00E93398" w:rsidRDefault="00E93398" w:rsidP="00871A40">
      <w:pPr>
        <w:spacing w:before="240" w:after="0" w:line="360" w:lineRule="auto"/>
        <w:jc w:val="both"/>
        <w:rPr>
          <w:rFonts w:ascii="Times New Roman" w:eastAsia="Times New Roman" w:hAnsi="Times New Roman" w:cs="Times New Roman"/>
          <w:b/>
          <w:sz w:val="24"/>
          <w:szCs w:val="24"/>
          <w:lang w:val="en-US" w:bidi="en-US"/>
        </w:rPr>
      </w:pPr>
    </w:p>
    <w:p w14:paraId="182EFFA5" w14:textId="77777777" w:rsidR="00550E9B" w:rsidRPr="00550E9B" w:rsidRDefault="00BB5CB5" w:rsidP="00871A40">
      <w:pPr>
        <w:spacing w:before="240" w:after="0" w:line="360" w:lineRule="auto"/>
        <w:jc w:val="both"/>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Table 1</w:t>
      </w:r>
      <w:r w:rsidR="004637B1" w:rsidRPr="00A03F51">
        <w:rPr>
          <w:rFonts w:ascii="Times New Roman" w:eastAsia="Times New Roman" w:hAnsi="Times New Roman" w:cs="Times New Roman"/>
          <w:b/>
          <w:sz w:val="24"/>
          <w:szCs w:val="24"/>
          <w:lang w:val="en-US" w:bidi="en-US"/>
        </w:rPr>
        <w:t xml:space="preserve"> </w:t>
      </w:r>
      <w:r w:rsidR="00871A40">
        <w:rPr>
          <w:rFonts w:ascii="Times New Roman" w:eastAsia="Times New Roman" w:hAnsi="Times New Roman" w:cs="Times New Roman"/>
          <w:b/>
          <w:sz w:val="24"/>
          <w:szCs w:val="24"/>
          <w:lang w:val="en-US" w:bidi="en-US"/>
        </w:rPr>
        <w:t>Yield attributing characters</w:t>
      </w:r>
      <w:r w:rsidR="004637B1" w:rsidRPr="00A03F51">
        <w:rPr>
          <w:rFonts w:ascii="Times New Roman" w:eastAsia="Times New Roman" w:hAnsi="Times New Roman" w:cs="Times New Roman"/>
          <w:b/>
          <w:sz w:val="24"/>
          <w:szCs w:val="24"/>
          <w:lang w:val="en-US" w:bidi="en-US"/>
        </w:rPr>
        <w:t xml:space="preserve"> </w:t>
      </w:r>
      <w:r>
        <w:rPr>
          <w:rFonts w:ascii="Times New Roman" w:eastAsia="Times New Roman" w:hAnsi="Times New Roman" w:cs="Times New Roman"/>
          <w:b/>
          <w:sz w:val="24"/>
          <w:szCs w:val="24"/>
          <w:lang w:val="en-US" w:bidi="en-US"/>
        </w:rPr>
        <w:t xml:space="preserve">and yield </w:t>
      </w:r>
      <w:r w:rsidR="004637B1" w:rsidRPr="00A03F51">
        <w:rPr>
          <w:rFonts w:ascii="Times New Roman" w:eastAsia="Times New Roman" w:hAnsi="Times New Roman" w:cs="Times New Roman"/>
          <w:b/>
          <w:sz w:val="24"/>
          <w:szCs w:val="24"/>
          <w:lang w:val="en-US" w:bidi="en-US"/>
        </w:rPr>
        <w:t xml:space="preserve">of sunflower </w:t>
      </w:r>
      <w:r w:rsidR="004637B1">
        <w:rPr>
          <w:rFonts w:ascii="Times New Roman" w:eastAsia="Times New Roman" w:hAnsi="Times New Roman" w:cs="Times New Roman"/>
          <w:b/>
          <w:sz w:val="24"/>
          <w:szCs w:val="24"/>
          <w:lang w:val="en-US" w:bidi="en-US"/>
        </w:rPr>
        <w:t xml:space="preserve">as </w:t>
      </w:r>
      <w:r w:rsidR="004637B1" w:rsidRPr="00A03F51">
        <w:rPr>
          <w:rFonts w:ascii="Times New Roman" w:eastAsia="Times New Roman" w:hAnsi="Times New Roman" w:cs="Times New Roman"/>
          <w:b/>
          <w:sz w:val="24"/>
          <w:szCs w:val="24"/>
          <w:lang w:val="en-US" w:bidi="en-US"/>
        </w:rPr>
        <w:t>influenced</w:t>
      </w:r>
      <w:r w:rsidR="004637B1">
        <w:rPr>
          <w:rFonts w:ascii="Times New Roman" w:eastAsia="Times New Roman" w:hAnsi="Times New Roman" w:cs="Times New Roman"/>
          <w:b/>
          <w:sz w:val="24"/>
          <w:szCs w:val="24"/>
          <w:lang w:val="en-US" w:bidi="en-US"/>
        </w:rPr>
        <w:t xml:space="preserve"> </w:t>
      </w:r>
      <w:r w:rsidR="00C737FE">
        <w:rPr>
          <w:rFonts w:ascii="Times New Roman" w:eastAsia="Times New Roman" w:hAnsi="Times New Roman" w:cs="Times New Roman"/>
          <w:b/>
          <w:sz w:val="24"/>
          <w:szCs w:val="24"/>
          <w:lang w:val="en-US" w:bidi="en-US"/>
        </w:rPr>
        <w:t>by different</w:t>
      </w:r>
      <w:r w:rsidR="00AF0750">
        <w:rPr>
          <w:rFonts w:ascii="Times New Roman" w:eastAsia="Times New Roman" w:hAnsi="Times New Roman" w:cs="Times New Roman"/>
          <w:b/>
          <w:sz w:val="24"/>
          <w:szCs w:val="24"/>
          <w:lang w:val="en-US" w:bidi="en-US"/>
        </w:rPr>
        <w:t xml:space="preserve"> integrated</w:t>
      </w:r>
      <w:r w:rsidR="004637B1">
        <w:rPr>
          <w:rFonts w:ascii="Times New Roman" w:eastAsia="Times New Roman" w:hAnsi="Times New Roman" w:cs="Times New Roman"/>
          <w:b/>
          <w:sz w:val="24"/>
          <w:szCs w:val="24"/>
          <w:lang w:val="en-US" w:bidi="en-US"/>
        </w:rPr>
        <w:t xml:space="preserve"> nutrient management</w:t>
      </w:r>
      <w:r w:rsidR="00AF0750">
        <w:rPr>
          <w:rFonts w:ascii="Times New Roman" w:eastAsia="Times New Roman" w:hAnsi="Times New Roman" w:cs="Times New Roman"/>
          <w:b/>
          <w:sz w:val="24"/>
          <w:szCs w:val="24"/>
          <w:lang w:val="en-US" w:bidi="en-US"/>
        </w:rPr>
        <w:t xml:space="preserve"> practices</w:t>
      </w:r>
    </w:p>
    <w:tbl>
      <w:tblPr>
        <w:tblW w:w="1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384"/>
        <w:gridCol w:w="1170"/>
        <w:gridCol w:w="1170"/>
        <w:gridCol w:w="1260"/>
        <w:gridCol w:w="1080"/>
        <w:gridCol w:w="1080"/>
        <w:gridCol w:w="1260"/>
        <w:gridCol w:w="1080"/>
        <w:gridCol w:w="1030"/>
        <w:gridCol w:w="960"/>
      </w:tblGrid>
      <w:tr w:rsidR="00956B7A" w:rsidRPr="004637B1" w14:paraId="2C4F6A4F" w14:textId="77777777" w:rsidTr="00E93398">
        <w:trPr>
          <w:trHeight w:val="1475"/>
        </w:trPr>
        <w:tc>
          <w:tcPr>
            <w:tcW w:w="3978" w:type="dxa"/>
            <w:gridSpan w:val="2"/>
            <w:vMerge w:val="restart"/>
            <w:vAlign w:val="center"/>
          </w:tcPr>
          <w:p w14:paraId="5E121D14"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Treatments</w:t>
            </w:r>
          </w:p>
        </w:tc>
        <w:tc>
          <w:tcPr>
            <w:tcW w:w="1170" w:type="dxa"/>
            <w:vMerge w:val="restart"/>
            <w:vAlign w:val="center"/>
          </w:tcPr>
          <w:p w14:paraId="77F274AF"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Head diameter (cm)</w:t>
            </w:r>
          </w:p>
        </w:tc>
        <w:tc>
          <w:tcPr>
            <w:tcW w:w="1170" w:type="dxa"/>
            <w:vMerge w:val="restart"/>
            <w:vAlign w:val="center"/>
          </w:tcPr>
          <w:p w14:paraId="2B735769"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Head weight (g)</w:t>
            </w:r>
          </w:p>
        </w:tc>
        <w:tc>
          <w:tcPr>
            <w:tcW w:w="1260" w:type="dxa"/>
            <w:vMerge w:val="restart"/>
            <w:vAlign w:val="center"/>
          </w:tcPr>
          <w:p w14:paraId="02ED181D"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Total number of seeds per head</w:t>
            </w:r>
          </w:p>
        </w:tc>
        <w:tc>
          <w:tcPr>
            <w:tcW w:w="1080" w:type="dxa"/>
            <w:vMerge w:val="restart"/>
            <w:vAlign w:val="center"/>
            <w:hideMark/>
          </w:tcPr>
          <w:p w14:paraId="5CC2B027"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Number of filled seeds per head</w:t>
            </w:r>
          </w:p>
        </w:tc>
        <w:tc>
          <w:tcPr>
            <w:tcW w:w="1080" w:type="dxa"/>
            <w:vMerge w:val="restart"/>
            <w:vAlign w:val="center"/>
          </w:tcPr>
          <w:p w14:paraId="33ECBB09"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1000 seed weight (g)</w:t>
            </w:r>
          </w:p>
          <w:p w14:paraId="1BD02436"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260" w:type="dxa"/>
            <w:vMerge w:val="restart"/>
          </w:tcPr>
          <w:p w14:paraId="1B09DA3A" w14:textId="77777777" w:rsidR="00956B7A" w:rsidRPr="00BB5CB5" w:rsidRDefault="00956B7A">
            <w:pPr>
              <w:rPr>
                <w:rFonts w:ascii="Times New Roman" w:hAnsi="Times New Roman" w:cs="Times New Roman"/>
                <w:b/>
                <w:bCs/>
                <w:sz w:val="24"/>
                <w:szCs w:val="24"/>
              </w:rPr>
            </w:pPr>
            <w:r w:rsidRPr="00BB5CB5">
              <w:rPr>
                <w:rFonts w:ascii="Times New Roman" w:hAnsi="Times New Roman" w:cs="Times New Roman"/>
                <w:b/>
                <w:bCs/>
                <w:sz w:val="24"/>
                <w:szCs w:val="24"/>
              </w:rPr>
              <w:t>Seed yield (kg/ha)</w:t>
            </w:r>
          </w:p>
        </w:tc>
        <w:tc>
          <w:tcPr>
            <w:tcW w:w="1080" w:type="dxa"/>
            <w:vMerge w:val="restart"/>
          </w:tcPr>
          <w:p w14:paraId="640595CB" w14:textId="77777777" w:rsidR="00956B7A" w:rsidRPr="00BB5CB5" w:rsidRDefault="00956B7A">
            <w:pPr>
              <w:rPr>
                <w:rFonts w:ascii="Times New Roman" w:hAnsi="Times New Roman" w:cs="Times New Roman"/>
                <w:b/>
                <w:bCs/>
                <w:sz w:val="24"/>
                <w:szCs w:val="24"/>
              </w:rPr>
            </w:pPr>
            <w:r w:rsidRPr="00BB5CB5">
              <w:rPr>
                <w:rFonts w:ascii="Times New Roman" w:hAnsi="Times New Roman" w:cs="Times New Roman"/>
                <w:b/>
                <w:bCs/>
                <w:sz w:val="24"/>
                <w:szCs w:val="24"/>
              </w:rPr>
              <w:t>Stover yield (kg/ha)</w:t>
            </w:r>
          </w:p>
        </w:tc>
        <w:tc>
          <w:tcPr>
            <w:tcW w:w="1030" w:type="dxa"/>
          </w:tcPr>
          <w:p w14:paraId="45508BD3" w14:textId="77777777" w:rsidR="00956B7A" w:rsidRPr="00BB5CB5" w:rsidRDefault="00956B7A" w:rsidP="00956B7A">
            <w:pPr>
              <w:rPr>
                <w:rFonts w:ascii="Times New Roman" w:hAnsi="Times New Roman" w:cs="Times New Roman"/>
                <w:b/>
                <w:bCs/>
                <w:sz w:val="24"/>
                <w:szCs w:val="24"/>
              </w:rPr>
            </w:pPr>
            <w:r w:rsidRPr="00BB5CB5">
              <w:rPr>
                <w:rFonts w:ascii="Times New Roman" w:hAnsi="Times New Roman" w:cs="Times New Roman"/>
                <w:b/>
                <w:bCs/>
                <w:sz w:val="24"/>
                <w:szCs w:val="24"/>
              </w:rPr>
              <w:t>Harvest Index (%)</w:t>
            </w:r>
          </w:p>
        </w:tc>
        <w:tc>
          <w:tcPr>
            <w:tcW w:w="960" w:type="dxa"/>
          </w:tcPr>
          <w:p w14:paraId="3E10F9E4" w14:textId="77777777" w:rsidR="00956B7A" w:rsidRPr="00956B7A" w:rsidRDefault="00956B7A">
            <w:pPr>
              <w:rPr>
                <w:rFonts w:ascii="Times New Roman" w:hAnsi="Times New Roman" w:cs="Times New Roman"/>
                <w:b/>
                <w:bCs/>
              </w:rPr>
            </w:pPr>
            <w:r w:rsidRPr="00956B7A">
              <w:rPr>
                <w:rFonts w:ascii="Times New Roman" w:hAnsi="Times New Roman" w:cs="Times New Roman"/>
                <w:b/>
                <w:bCs/>
                <w:sz w:val="24"/>
                <w:szCs w:val="24"/>
              </w:rPr>
              <w:t>B:C ratio</w:t>
            </w:r>
          </w:p>
        </w:tc>
      </w:tr>
      <w:tr w:rsidR="00956B7A" w:rsidRPr="004637B1" w14:paraId="1A99466E" w14:textId="77777777" w:rsidTr="00C65DDE">
        <w:trPr>
          <w:trHeight w:val="276"/>
        </w:trPr>
        <w:tc>
          <w:tcPr>
            <w:tcW w:w="3978" w:type="dxa"/>
            <w:gridSpan w:val="2"/>
            <w:vMerge/>
            <w:vAlign w:val="center"/>
          </w:tcPr>
          <w:p w14:paraId="7DAE214D"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170" w:type="dxa"/>
            <w:vMerge/>
            <w:vAlign w:val="center"/>
          </w:tcPr>
          <w:p w14:paraId="1C40878D"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170" w:type="dxa"/>
            <w:vMerge/>
            <w:vAlign w:val="center"/>
          </w:tcPr>
          <w:p w14:paraId="729CFA5F"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260" w:type="dxa"/>
            <w:vMerge/>
            <w:vAlign w:val="center"/>
          </w:tcPr>
          <w:p w14:paraId="0B3DF9AA"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080" w:type="dxa"/>
            <w:vMerge/>
            <w:vAlign w:val="center"/>
          </w:tcPr>
          <w:p w14:paraId="639F98A4"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080" w:type="dxa"/>
            <w:vMerge/>
            <w:vAlign w:val="center"/>
          </w:tcPr>
          <w:p w14:paraId="7CAFBA05"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260" w:type="dxa"/>
            <w:vMerge/>
          </w:tcPr>
          <w:p w14:paraId="7C8047FA" w14:textId="77777777" w:rsidR="00956B7A" w:rsidRPr="00BB5CB5" w:rsidRDefault="00956B7A">
            <w:pPr>
              <w:rPr>
                <w:rFonts w:ascii="Times New Roman" w:hAnsi="Times New Roman" w:cs="Times New Roman"/>
                <w:b/>
                <w:bCs/>
                <w:sz w:val="24"/>
                <w:szCs w:val="24"/>
              </w:rPr>
            </w:pPr>
          </w:p>
        </w:tc>
        <w:tc>
          <w:tcPr>
            <w:tcW w:w="1080" w:type="dxa"/>
            <w:vMerge/>
          </w:tcPr>
          <w:p w14:paraId="60562CE4" w14:textId="77777777" w:rsidR="00956B7A" w:rsidRPr="00BB5CB5" w:rsidRDefault="00956B7A">
            <w:pPr>
              <w:rPr>
                <w:rFonts w:ascii="Times New Roman" w:hAnsi="Times New Roman" w:cs="Times New Roman"/>
                <w:b/>
                <w:bCs/>
                <w:sz w:val="24"/>
                <w:szCs w:val="24"/>
              </w:rPr>
            </w:pPr>
          </w:p>
        </w:tc>
        <w:tc>
          <w:tcPr>
            <w:tcW w:w="1030" w:type="dxa"/>
            <w:vMerge w:val="restart"/>
          </w:tcPr>
          <w:p w14:paraId="65051665" w14:textId="77777777" w:rsidR="00956B7A" w:rsidRPr="00BB5CB5" w:rsidRDefault="00E93398" w:rsidP="00E93398">
            <w:pPr>
              <w:rPr>
                <w:rFonts w:ascii="Times New Roman" w:hAnsi="Times New Roman" w:cs="Times New Roman"/>
                <w:b/>
                <w:bCs/>
                <w:sz w:val="24"/>
                <w:szCs w:val="24"/>
              </w:rPr>
            </w:pPr>
            <w:r>
              <w:rPr>
                <w:rFonts w:ascii="Times New Roman" w:hAnsi="Times New Roman" w:cs="Times New Roman"/>
                <w:sz w:val="24"/>
                <w:szCs w:val="24"/>
              </w:rPr>
              <w:t xml:space="preserve">   </w:t>
            </w:r>
            <w:r w:rsidR="00956B7A" w:rsidRPr="00BB5CB5">
              <w:rPr>
                <w:rFonts w:ascii="Times New Roman" w:hAnsi="Times New Roman" w:cs="Times New Roman"/>
                <w:sz w:val="24"/>
                <w:szCs w:val="24"/>
              </w:rPr>
              <w:t>25.3</w:t>
            </w:r>
          </w:p>
        </w:tc>
        <w:tc>
          <w:tcPr>
            <w:tcW w:w="960" w:type="dxa"/>
            <w:vMerge w:val="restart"/>
          </w:tcPr>
          <w:p w14:paraId="0F390C4B" w14:textId="77777777" w:rsidR="00956B7A" w:rsidRPr="004637B1" w:rsidRDefault="00956B7A">
            <w:r>
              <w:t>2.53</w:t>
            </w:r>
          </w:p>
        </w:tc>
      </w:tr>
      <w:tr w:rsidR="00956B7A" w:rsidRPr="004637B1" w14:paraId="107DEC42" w14:textId="77777777" w:rsidTr="00E93398">
        <w:trPr>
          <w:trHeight w:val="548"/>
        </w:trPr>
        <w:tc>
          <w:tcPr>
            <w:tcW w:w="594" w:type="dxa"/>
            <w:vAlign w:val="center"/>
          </w:tcPr>
          <w:p w14:paraId="052FB1B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1</w:t>
            </w:r>
          </w:p>
        </w:tc>
        <w:tc>
          <w:tcPr>
            <w:tcW w:w="3384" w:type="dxa"/>
            <w:vAlign w:val="center"/>
            <w:hideMark/>
          </w:tcPr>
          <w:p w14:paraId="11C2A051"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STBFR(60:100:60 kg N:P</w:t>
            </w:r>
            <w:r w:rsidRPr="00BB5CB5">
              <w:rPr>
                <w:rFonts w:ascii="Times New Roman" w:eastAsia="Times New Roman" w:hAnsi="Times New Roman" w:cs="Times New Roman"/>
                <w:color w:val="000000"/>
                <w:sz w:val="24"/>
                <w:szCs w:val="24"/>
                <w:vertAlign w:val="subscript"/>
                <w:lang w:eastAsia="en-IN"/>
              </w:rPr>
              <w:t>2</w:t>
            </w:r>
            <w:r w:rsidRPr="00BB5CB5">
              <w:rPr>
                <w:rFonts w:ascii="Times New Roman" w:eastAsia="Times New Roman" w:hAnsi="Times New Roman" w:cs="Times New Roman"/>
                <w:color w:val="000000"/>
                <w:sz w:val="24"/>
                <w:szCs w:val="24"/>
                <w:lang w:eastAsia="en-IN"/>
              </w:rPr>
              <w:t>O</w:t>
            </w:r>
            <w:r w:rsidRPr="00BB5CB5">
              <w:rPr>
                <w:rFonts w:ascii="Times New Roman" w:eastAsia="Times New Roman" w:hAnsi="Times New Roman" w:cs="Times New Roman"/>
                <w:color w:val="000000"/>
                <w:sz w:val="24"/>
                <w:szCs w:val="24"/>
                <w:vertAlign w:val="subscript"/>
                <w:lang w:eastAsia="en-IN"/>
              </w:rPr>
              <w:t>5</w:t>
            </w:r>
            <w:r w:rsidRPr="00BB5CB5">
              <w:rPr>
                <w:rFonts w:ascii="Times New Roman" w:eastAsia="Times New Roman" w:hAnsi="Times New Roman" w:cs="Times New Roman"/>
                <w:color w:val="000000"/>
                <w:sz w:val="24"/>
                <w:szCs w:val="24"/>
                <w:lang w:eastAsia="en-IN"/>
              </w:rPr>
              <w:t>:K</w:t>
            </w:r>
            <w:r w:rsidRPr="00BB5CB5">
              <w:rPr>
                <w:rFonts w:ascii="Times New Roman" w:eastAsia="Times New Roman" w:hAnsi="Times New Roman" w:cs="Times New Roman"/>
                <w:color w:val="000000"/>
                <w:sz w:val="24"/>
                <w:szCs w:val="24"/>
                <w:vertAlign w:val="subscript"/>
                <w:lang w:eastAsia="en-IN"/>
              </w:rPr>
              <w:t>2</w:t>
            </w:r>
            <w:r w:rsidRPr="00BB5CB5">
              <w:rPr>
                <w:rFonts w:ascii="Times New Roman" w:eastAsia="Times New Roman" w:hAnsi="Times New Roman" w:cs="Times New Roman"/>
                <w:color w:val="000000"/>
                <w:sz w:val="24"/>
                <w:szCs w:val="24"/>
                <w:lang w:eastAsia="en-IN"/>
              </w:rPr>
              <w:t>O/ha)</w:t>
            </w:r>
          </w:p>
        </w:tc>
        <w:tc>
          <w:tcPr>
            <w:tcW w:w="1170" w:type="dxa"/>
            <w:vAlign w:val="center"/>
          </w:tcPr>
          <w:p w14:paraId="728CF22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13.46</w:t>
            </w:r>
          </w:p>
        </w:tc>
        <w:tc>
          <w:tcPr>
            <w:tcW w:w="1170" w:type="dxa"/>
            <w:vAlign w:val="center"/>
          </w:tcPr>
          <w:p w14:paraId="2433B5B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67.45</w:t>
            </w:r>
          </w:p>
        </w:tc>
        <w:tc>
          <w:tcPr>
            <w:tcW w:w="1260" w:type="dxa"/>
            <w:vAlign w:val="center"/>
          </w:tcPr>
          <w:p w14:paraId="6ECFE43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747.4</w:t>
            </w:r>
          </w:p>
        </w:tc>
        <w:tc>
          <w:tcPr>
            <w:tcW w:w="1080" w:type="dxa"/>
            <w:noWrap/>
            <w:vAlign w:val="center"/>
          </w:tcPr>
          <w:p w14:paraId="3872A93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608.8</w:t>
            </w:r>
          </w:p>
        </w:tc>
        <w:tc>
          <w:tcPr>
            <w:tcW w:w="1080" w:type="dxa"/>
            <w:noWrap/>
            <w:vAlign w:val="center"/>
          </w:tcPr>
          <w:p w14:paraId="21D23C1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42.68</w:t>
            </w:r>
          </w:p>
        </w:tc>
        <w:tc>
          <w:tcPr>
            <w:tcW w:w="1260" w:type="dxa"/>
          </w:tcPr>
          <w:p w14:paraId="1957C5B3" w14:textId="77777777" w:rsidR="00956B7A" w:rsidRPr="00BB5CB5" w:rsidRDefault="00956B7A" w:rsidP="00E93398">
            <w:pPr>
              <w:jc w:val="center"/>
              <w:rPr>
                <w:rFonts w:ascii="Times New Roman" w:hAnsi="Times New Roman" w:cs="Times New Roman"/>
                <w:sz w:val="24"/>
                <w:szCs w:val="24"/>
              </w:rPr>
            </w:pPr>
            <w:r w:rsidRPr="00BB5CB5">
              <w:rPr>
                <w:rFonts w:ascii="Times New Roman" w:hAnsi="Times New Roman" w:cs="Times New Roman"/>
                <w:sz w:val="24"/>
                <w:szCs w:val="24"/>
              </w:rPr>
              <w:t>1620</w:t>
            </w:r>
          </w:p>
        </w:tc>
        <w:tc>
          <w:tcPr>
            <w:tcW w:w="1080" w:type="dxa"/>
          </w:tcPr>
          <w:p w14:paraId="57483639"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4779</w:t>
            </w:r>
          </w:p>
        </w:tc>
        <w:tc>
          <w:tcPr>
            <w:tcW w:w="1030" w:type="dxa"/>
            <w:vMerge/>
            <w:tcBorders>
              <w:bottom w:val="single" w:sz="4" w:space="0" w:color="auto"/>
            </w:tcBorders>
          </w:tcPr>
          <w:p w14:paraId="08550C84" w14:textId="77777777" w:rsidR="00956B7A" w:rsidRPr="00BB5CB5" w:rsidRDefault="00956B7A" w:rsidP="00FB7D27">
            <w:pPr>
              <w:jc w:val="center"/>
              <w:rPr>
                <w:rFonts w:ascii="Times New Roman" w:hAnsi="Times New Roman" w:cs="Times New Roman"/>
                <w:sz w:val="24"/>
                <w:szCs w:val="24"/>
              </w:rPr>
            </w:pPr>
          </w:p>
        </w:tc>
        <w:tc>
          <w:tcPr>
            <w:tcW w:w="960" w:type="dxa"/>
            <w:vMerge/>
          </w:tcPr>
          <w:p w14:paraId="41CDD555" w14:textId="77777777" w:rsidR="00956B7A" w:rsidRPr="004637B1" w:rsidRDefault="00956B7A"/>
        </w:tc>
      </w:tr>
      <w:tr w:rsidR="00956B7A" w:rsidRPr="004637B1" w14:paraId="37A8663E" w14:textId="77777777" w:rsidTr="00956B7A">
        <w:trPr>
          <w:trHeight w:val="455"/>
        </w:trPr>
        <w:tc>
          <w:tcPr>
            <w:tcW w:w="594" w:type="dxa"/>
            <w:vAlign w:val="center"/>
          </w:tcPr>
          <w:p w14:paraId="49DD534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lastRenderedPageBreak/>
              <w:t>T</w:t>
            </w:r>
            <w:r w:rsidRPr="00BB5CB5">
              <w:rPr>
                <w:rFonts w:ascii="Times New Roman" w:eastAsia="Times New Roman" w:hAnsi="Times New Roman" w:cs="Times New Roman"/>
                <w:color w:val="000000"/>
                <w:sz w:val="24"/>
                <w:szCs w:val="24"/>
                <w:vertAlign w:val="subscript"/>
                <w:lang w:eastAsia="en-IN"/>
              </w:rPr>
              <w:t>2</w:t>
            </w:r>
          </w:p>
        </w:tc>
        <w:tc>
          <w:tcPr>
            <w:tcW w:w="3384" w:type="dxa"/>
            <w:vAlign w:val="center"/>
            <w:hideMark/>
          </w:tcPr>
          <w:p w14:paraId="4AD19B12"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500 kg/ha</w:t>
            </w:r>
          </w:p>
        </w:tc>
        <w:tc>
          <w:tcPr>
            <w:tcW w:w="1170" w:type="dxa"/>
            <w:vAlign w:val="center"/>
          </w:tcPr>
          <w:p w14:paraId="6636E32B"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14.67</w:t>
            </w:r>
          </w:p>
        </w:tc>
        <w:tc>
          <w:tcPr>
            <w:tcW w:w="1170" w:type="dxa"/>
            <w:vAlign w:val="center"/>
          </w:tcPr>
          <w:p w14:paraId="62B5DC7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68.26</w:t>
            </w:r>
          </w:p>
        </w:tc>
        <w:tc>
          <w:tcPr>
            <w:tcW w:w="1260" w:type="dxa"/>
            <w:vAlign w:val="center"/>
          </w:tcPr>
          <w:p w14:paraId="75D76DA9"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867.3</w:t>
            </w:r>
          </w:p>
        </w:tc>
        <w:tc>
          <w:tcPr>
            <w:tcW w:w="1080" w:type="dxa"/>
            <w:noWrap/>
            <w:vAlign w:val="center"/>
          </w:tcPr>
          <w:p w14:paraId="6496E19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724.7</w:t>
            </w:r>
          </w:p>
        </w:tc>
        <w:tc>
          <w:tcPr>
            <w:tcW w:w="1080" w:type="dxa"/>
            <w:noWrap/>
            <w:vAlign w:val="center"/>
          </w:tcPr>
          <w:p w14:paraId="0B58EE4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45.49</w:t>
            </w:r>
          </w:p>
        </w:tc>
        <w:tc>
          <w:tcPr>
            <w:tcW w:w="1260" w:type="dxa"/>
          </w:tcPr>
          <w:p w14:paraId="6DB97813"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1713</w:t>
            </w:r>
          </w:p>
        </w:tc>
        <w:tc>
          <w:tcPr>
            <w:tcW w:w="1080" w:type="dxa"/>
          </w:tcPr>
          <w:p w14:paraId="7F4054C7"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4981</w:t>
            </w:r>
          </w:p>
        </w:tc>
        <w:tc>
          <w:tcPr>
            <w:tcW w:w="1030" w:type="dxa"/>
            <w:tcBorders>
              <w:bottom w:val="single" w:sz="4" w:space="0" w:color="auto"/>
            </w:tcBorders>
          </w:tcPr>
          <w:p w14:paraId="62015B70"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25.6</w:t>
            </w:r>
          </w:p>
        </w:tc>
        <w:tc>
          <w:tcPr>
            <w:tcW w:w="960" w:type="dxa"/>
          </w:tcPr>
          <w:p w14:paraId="691DCF59" w14:textId="77777777" w:rsidR="00956B7A" w:rsidRPr="004637B1" w:rsidRDefault="00956B7A">
            <w:r>
              <w:t>2.51</w:t>
            </w:r>
          </w:p>
        </w:tc>
      </w:tr>
      <w:tr w:rsidR="00956B7A" w:rsidRPr="004637B1" w14:paraId="33971005" w14:textId="77777777" w:rsidTr="00956B7A">
        <w:trPr>
          <w:trHeight w:val="455"/>
        </w:trPr>
        <w:tc>
          <w:tcPr>
            <w:tcW w:w="594" w:type="dxa"/>
            <w:vAlign w:val="center"/>
          </w:tcPr>
          <w:p w14:paraId="52673B5A"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3</w:t>
            </w:r>
          </w:p>
        </w:tc>
        <w:tc>
          <w:tcPr>
            <w:tcW w:w="3384" w:type="dxa"/>
            <w:vAlign w:val="center"/>
            <w:hideMark/>
          </w:tcPr>
          <w:p w14:paraId="5D5CDBF0"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FYM 5t/ha</w:t>
            </w:r>
          </w:p>
        </w:tc>
        <w:tc>
          <w:tcPr>
            <w:tcW w:w="1170" w:type="dxa"/>
            <w:vAlign w:val="center"/>
          </w:tcPr>
          <w:p w14:paraId="4E6E63C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15.72</w:t>
            </w:r>
          </w:p>
        </w:tc>
        <w:tc>
          <w:tcPr>
            <w:tcW w:w="1170" w:type="dxa"/>
            <w:vAlign w:val="center"/>
          </w:tcPr>
          <w:p w14:paraId="7BF677B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72.34</w:t>
            </w:r>
          </w:p>
        </w:tc>
        <w:tc>
          <w:tcPr>
            <w:tcW w:w="1260" w:type="dxa"/>
            <w:vAlign w:val="center"/>
          </w:tcPr>
          <w:p w14:paraId="395CCBE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945.7</w:t>
            </w:r>
          </w:p>
        </w:tc>
        <w:tc>
          <w:tcPr>
            <w:tcW w:w="1080" w:type="dxa"/>
            <w:noWrap/>
            <w:vAlign w:val="center"/>
          </w:tcPr>
          <w:p w14:paraId="38073DF3"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797</w:t>
            </w:r>
          </w:p>
        </w:tc>
        <w:tc>
          <w:tcPr>
            <w:tcW w:w="1080" w:type="dxa"/>
            <w:noWrap/>
            <w:vAlign w:val="center"/>
          </w:tcPr>
          <w:p w14:paraId="08E075B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46.10</w:t>
            </w:r>
          </w:p>
        </w:tc>
        <w:tc>
          <w:tcPr>
            <w:tcW w:w="1260" w:type="dxa"/>
          </w:tcPr>
          <w:p w14:paraId="26117AB3"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1889</w:t>
            </w:r>
          </w:p>
        </w:tc>
        <w:tc>
          <w:tcPr>
            <w:tcW w:w="1080" w:type="dxa"/>
          </w:tcPr>
          <w:p w14:paraId="079CF0DC"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4987</w:t>
            </w:r>
          </w:p>
        </w:tc>
        <w:tc>
          <w:tcPr>
            <w:tcW w:w="1030" w:type="dxa"/>
            <w:tcBorders>
              <w:bottom w:val="single" w:sz="4" w:space="0" w:color="auto"/>
            </w:tcBorders>
          </w:tcPr>
          <w:p w14:paraId="2AD0D481"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27.5</w:t>
            </w:r>
          </w:p>
        </w:tc>
        <w:tc>
          <w:tcPr>
            <w:tcW w:w="960" w:type="dxa"/>
          </w:tcPr>
          <w:p w14:paraId="287535A0" w14:textId="77777777" w:rsidR="00956B7A" w:rsidRPr="004637B1" w:rsidRDefault="00956B7A">
            <w:r>
              <w:t>2.80</w:t>
            </w:r>
          </w:p>
        </w:tc>
      </w:tr>
      <w:tr w:rsidR="00956B7A" w:rsidRPr="004637B1" w14:paraId="2CBDB4C1" w14:textId="77777777" w:rsidTr="00956B7A">
        <w:trPr>
          <w:trHeight w:val="455"/>
        </w:trPr>
        <w:tc>
          <w:tcPr>
            <w:tcW w:w="594" w:type="dxa"/>
            <w:vAlign w:val="center"/>
          </w:tcPr>
          <w:p w14:paraId="454E61F0"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4</w:t>
            </w:r>
          </w:p>
        </w:tc>
        <w:tc>
          <w:tcPr>
            <w:tcW w:w="3384" w:type="dxa"/>
            <w:vAlign w:val="center"/>
            <w:hideMark/>
          </w:tcPr>
          <w:p w14:paraId="6B101105"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Vermicompost 2t/ha</w:t>
            </w:r>
          </w:p>
        </w:tc>
        <w:tc>
          <w:tcPr>
            <w:tcW w:w="1170" w:type="dxa"/>
            <w:vAlign w:val="center"/>
          </w:tcPr>
          <w:p w14:paraId="6269EF0A"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16.87</w:t>
            </w:r>
          </w:p>
        </w:tc>
        <w:tc>
          <w:tcPr>
            <w:tcW w:w="1170" w:type="dxa"/>
            <w:vAlign w:val="center"/>
          </w:tcPr>
          <w:p w14:paraId="1504472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79.67</w:t>
            </w:r>
          </w:p>
        </w:tc>
        <w:tc>
          <w:tcPr>
            <w:tcW w:w="1260" w:type="dxa"/>
            <w:vAlign w:val="center"/>
          </w:tcPr>
          <w:p w14:paraId="602A419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1063.8</w:t>
            </w:r>
          </w:p>
        </w:tc>
        <w:tc>
          <w:tcPr>
            <w:tcW w:w="1080" w:type="dxa"/>
            <w:noWrap/>
            <w:vAlign w:val="center"/>
          </w:tcPr>
          <w:p w14:paraId="50230DF4"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914.7</w:t>
            </w:r>
          </w:p>
        </w:tc>
        <w:tc>
          <w:tcPr>
            <w:tcW w:w="1080" w:type="dxa"/>
            <w:noWrap/>
            <w:vAlign w:val="center"/>
          </w:tcPr>
          <w:p w14:paraId="6BDB2A2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47.23</w:t>
            </w:r>
          </w:p>
        </w:tc>
        <w:tc>
          <w:tcPr>
            <w:tcW w:w="1260" w:type="dxa"/>
          </w:tcPr>
          <w:p w14:paraId="51ECCBD8"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1957</w:t>
            </w:r>
          </w:p>
        </w:tc>
        <w:tc>
          <w:tcPr>
            <w:tcW w:w="1080" w:type="dxa"/>
          </w:tcPr>
          <w:p w14:paraId="045507CC"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5041</w:t>
            </w:r>
          </w:p>
        </w:tc>
        <w:tc>
          <w:tcPr>
            <w:tcW w:w="1030" w:type="dxa"/>
            <w:tcBorders>
              <w:bottom w:val="single" w:sz="4" w:space="0" w:color="auto"/>
            </w:tcBorders>
          </w:tcPr>
          <w:p w14:paraId="4D18C6EB"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28.0</w:t>
            </w:r>
          </w:p>
        </w:tc>
        <w:tc>
          <w:tcPr>
            <w:tcW w:w="960" w:type="dxa"/>
          </w:tcPr>
          <w:p w14:paraId="4A940CD9" w14:textId="77777777" w:rsidR="00956B7A" w:rsidRPr="004637B1" w:rsidRDefault="00956B7A">
            <w:r>
              <w:t>2.24</w:t>
            </w:r>
          </w:p>
        </w:tc>
      </w:tr>
      <w:tr w:rsidR="00956B7A" w:rsidRPr="004637B1" w14:paraId="7FE5040E" w14:textId="77777777" w:rsidTr="00956B7A">
        <w:trPr>
          <w:trHeight w:val="455"/>
        </w:trPr>
        <w:tc>
          <w:tcPr>
            <w:tcW w:w="594" w:type="dxa"/>
            <w:vAlign w:val="center"/>
          </w:tcPr>
          <w:p w14:paraId="04CC1460"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5</w:t>
            </w:r>
          </w:p>
        </w:tc>
        <w:tc>
          <w:tcPr>
            <w:tcW w:w="3384" w:type="dxa"/>
            <w:vAlign w:val="center"/>
            <w:hideMark/>
          </w:tcPr>
          <w:p w14:paraId="24366C8F"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 FYM</w:t>
            </w:r>
          </w:p>
        </w:tc>
        <w:tc>
          <w:tcPr>
            <w:tcW w:w="1170" w:type="dxa"/>
            <w:vAlign w:val="center"/>
          </w:tcPr>
          <w:p w14:paraId="56EF80F1"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16.91</w:t>
            </w:r>
          </w:p>
        </w:tc>
        <w:tc>
          <w:tcPr>
            <w:tcW w:w="1170" w:type="dxa"/>
            <w:vAlign w:val="center"/>
          </w:tcPr>
          <w:p w14:paraId="3D3272F8"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79.00</w:t>
            </w:r>
          </w:p>
        </w:tc>
        <w:tc>
          <w:tcPr>
            <w:tcW w:w="1260" w:type="dxa"/>
            <w:vAlign w:val="center"/>
          </w:tcPr>
          <w:p w14:paraId="537170A1"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1064.6</w:t>
            </w:r>
          </w:p>
        </w:tc>
        <w:tc>
          <w:tcPr>
            <w:tcW w:w="1080" w:type="dxa"/>
            <w:noWrap/>
            <w:vAlign w:val="center"/>
          </w:tcPr>
          <w:p w14:paraId="41FAB6D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923.9</w:t>
            </w:r>
          </w:p>
        </w:tc>
        <w:tc>
          <w:tcPr>
            <w:tcW w:w="1080" w:type="dxa"/>
            <w:noWrap/>
            <w:vAlign w:val="center"/>
          </w:tcPr>
          <w:p w14:paraId="4A45349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48.07</w:t>
            </w:r>
          </w:p>
        </w:tc>
        <w:tc>
          <w:tcPr>
            <w:tcW w:w="1260" w:type="dxa"/>
          </w:tcPr>
          <w:p w14:paraId="5BFF6091"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1961</w:t>
            </w:r>
          </w:p>
        </w:tc>
        <w:tc>
          <w:tcPr>
            <w:tcW w:w="1080" w:type="dxa"/>
          </w:tcPr>
          <w:p w14:paraId="6F28811A"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5099</w:t>
            </w:r>
          </w:p>
        </w:tc>
        <w:tc>
          <w:tcPr>
            <w:tcW w:w="1030" w:type="dxa"/>
            <w:tcBorders>
              <w:bottom w:val="single" w:sz="4" w:space="0" w:color="auto"/>
            </w:tcBorders>
          </w:tcPr>
          <w:p w14:paraId="7FEDA7E5"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27.8</w:t>
            </w:r>
          </w:p>
        </w:tc>
        <w:tc>
          <w:tcPr>
            <w:tcW w:w="960" w:type="dxa"/>
          </w:tcPr>
          <w:p w14:paraId="5B4EFA4B" w14:textId="77777777" w:rsidR="00956B7A" w:rsidRPr="004637B1" w:rsidRDefault="00956B7A">
            <w:r>
              <w:t>2.73</w:t>
            </w:r>
          </w:p>
        </w:tc>
      </w:tr>
      <w:tr w:rsidR="00956B7A" w:rsidRPr="004637B1" w14:paraId="1A878DBF" w14:textId="77777777" w:rsidTr="00956B7A">
        <w:trPr>
          <w:trHeight w:val="455"/>
        </w:trPr>
        <w:tc>
          <w:tcPr>
            <w:tcW w:w="594" w:type="dxa"/>
            <w:vAlign w:val="center"/>
          </w:tcPr>
          <w:p w14:paraId="0FD9941C"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6</w:t>
            </w:r>
          </w:p>
        </w:tc>
        <w:tc>
          <w:tcPr>
            <w:tcW w:w="3384" w:type="dxa"/>
            <w:vAlign w:val="center"/>
            <w:hideMark/>
          </w:tcPr>
          <w:p w14:paraId="2913B5F0"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 FYM + S 40kg/ha</w:t>
            </w:r>
          </w:p>
        </w:tc>
        <w:tc>
          <w:tcPr>
            <w:tcW w:w="1170" w:type="dxa"/>
            <w:vAlign w:val="center"/>
          </w:tcPr>
          <w:p w14:paraId="743781C4"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17.35</w:t>
            </w:r>
          </w:p>
        </w:tc>
        <w:tc>
          <w:tcPr>
            <w:tcW w:w="1170" w:type="dxa"/>
            <w:vAlign w:val="center"/>
          </w:tcPr>
          <w:p w14:paraId="107A2448"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82.46</w:t>
            </w:r>
          </w:p>
        </w:tc>
        <w:tc>
          <w:tcPr>
            <w:tcW w:w="1260" w:type="dxa"/>
            <w:vAlign w:val="center"/>
          </w:tcPr>
          <w:p w14:paraId="38CE9D2C"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1194.5</w:t>
            </w:r>
          </w:p>
        </w:tc>
        <w:tc>
          <w:tcPr>
            <w:tcW w:w="1080" w:type="dxa"/>
            <w:noWrap/>
            <w:vAlign w:val="center"/>
          </w:tcPr>
          <w:p w14:paraId="6970719B"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1051.7</w:t>
            </w:r>
          </w:p>
        </w:tc>
        <w:tc>
          <w:tcPr>
            <w:tcW w:w="1080" w:type="dxa"/>
            <w:noWrap/>
            <w:vAlign w:val="center"/>
          </w:tcPr>
          <w:p w14:paraId="19C3323C"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48.98</w:t>
            </w:r>
          </w:p>
        </w:tc>
        <w:tc>
          <w:tcPr>
            <w:tcW w:w="1260" w:type="dxa"/>
          </w:tcPr>
          <w:p w14:paraId="706AE2FD"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2031</w:t>
            </w:r>
          </w:p>
        </w:tc>
        <w:tc>
          <w:tcPr>
            <w:tcW w:w="1080" w:type="dxa"/>
          </w:tcPr>
          <w:p w14:paraId="4F92F0C8"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5102</w:t>
            </w:r>
          </w:p>
        </w:tc>
        <w:tc>
          <w:tcPr>
            <w:tcW w:w="1030" w:type="dxa"/>
            <w:tcBorders>
              <w:bottom w:val="single" w:sz="4" w:space="0" w:color="auto"/>
            </w:tcBorders>
          </w:tcPr>
          <w:p w14:paraId="532BFFA6"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28.5</w:t>
            </w:r>
          </w:p>
        </w:tc>
        <w:tc>
          <w:tcPr>
            <w:tcW w:w="960" w:type="dxa"/>
          </w:tcPr>
          <w:p w14:paraId="59FB58B9" w14:textId="77777777" w:rsidR="00956B7A" w:rsidRPr="004637B1" w:rsidRDefault="00956B7A">
            <w:r>
              <w:t>2.52</w:t>
            </w:r>
          </w:p>
        </w:tc>
      </w:tr>
      <w:tr w:rsidR="00956B7A" w:rsidRPr="004637B1" w14:paraId="58EB9435" w14:textId="77777777" w:rsidTr="00956B7A">
        <w:trPr>
          <w:trHeight w:val="455"/>
        </w:trPr>
        <w:tc>
          <w:tcPr>
            <w:tcW w:w="594" w:type="dxa"/>
            <w:vAlign w:val="center"/>
          </w:tcPr>
          <w:p w14:paraId="5D559860"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7</w:t>
            </w:r>
          </w:p>
        </w:tc>
        <w:tc>
          <w:tcPr>
            <w:tcW w:w="3384" w:type="dxa"/>
            <w:vAlign w:val="center"/>
            <w:hideMark/>
          </w:tcPr>
          <w:p w14:paraId="37C3795C"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 FYM + S 40kg/ha + Borax 0.2% as one foliar spray</w:t>
            </w:r>
          </w:p>
        </w:tc>
        <w:tc>
          <w:tcPr>
            <w:tcW w:w="1170" w:type="dxa"/>
            <w:vAlign w:val="center"/>
          </w:tcPr>
          <w:p w14:paraId="61139A22"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18.46</w:t>
            </w:r>
          </w:p>
        </w:tc>
        <w:tc>
          <w:tcPr>
            <w:tcW w:w="1170" w:type="dxa"/>
            <w:vAlign w:val="center"/>
          </w:tcPr>
          <w:p w14:paraId="480CF0C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88.95</w:t>
            </w:r>
          </w:p>
        </w:tc>
        <w:tc>
          <w:tcPr>
            <w:tcW w:w="1260" w:type="dxa"/>
            <w:vAlign w:val="center"/>
          </w:tcPr>
          <w:p w14:paraId="337DE7B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1260.7</w:t>
            </w:r>
          </w:p>
        </w:tc>
        <w:tc>
          <w:tcPr>
            <w:tcW w:w="1080" w:type="dxa"/>
            <w:noWrap/>
            <w:vAlign w:val="center"/>
          </w:tcPr>
          <w:p w14:paraId="003061FB"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1142.2</w:t>
            </w:r>
          </w:p>
        </w:tc>
        <w:tc>
          <w:tcPr>
            <w:tcW w:w="1080" w:type="dxa"/>
            <w:noWrap/>
            <w:vAlign w:val="center"/>
          </w:tcPr>
          <w:p w14:paraId="5B2B9A9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49.12</w:t>
            </w:r>
          </w:p>
        </w:tc>
        <w:tc>
          <w:tcPr>
            <w:tcW w:w="1260" w:type="dxa"/>
          </w:tcPr>
          <w:p w14:paraId="32D7A7B2"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2192</w:t>
            </w:r>
          </w:p>
        </w:tc>
        <w:tc>
          <w:tcPr>
            <w:tcW w:w="1080" w:type="dxa"/>
          </w:tcPr>
          <w:p w14:paraId="1649290A"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5326</w:t>
            </w:r>
          </w:p>
        </w:tc>
        <w:tc>
          <w:tcPr>
            <w:tcW w:w="1030" w:type="dxa"/>
            <w:tcBorders>
              <w:bottom w:val="single" w:sz="4" w:space="0" w:color="auto"/>
            </w:tcBorders>
          </w:tcPr>
          <w:p w14:paraId="0FB82227"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29.2</w:t>
            </w:r>
          </w:p>
        </w:tc>
        <w:tc>
          <w:tcPr>
            <w:tcW w:w="960" w:type="dxa"/>
          </w:tcPr>
          <w:p w14:paraId="2602EA84" w14:textId="77777777" w:rsidR="00956B7A" w:rsidRPr="004637B1" w:rsidRDefault="00956B7A">
            <w:r>
              <w:t>2.78</w:t>
            </w:r>
          </w:p>
        </w:tc>
      </w:tr>
      <w:tr w:rsidR="00956B7A" w:rsidRPr="004637B1" w14:paraId="71EED6EE" w14:textId="77777777" w:rsidTr="00956B7A">
        <w:trPr>
          <w:trHeight w:val="455"/>
        </w:trPr>
        <w:tc>
          <w:tcPr>
            <w:tcW w:w="594" w:type="dxa"/>
            <w:vAlign w:val="center"/>
          </w:tcPr>
          <w:p w14:paraId="60A18F51"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8</w:t>
            </w:r>
          </w:p>
        </w:tc>
        <w:tc>
          <w:tcPr>
            <w:tcW w:w="3384" w:type="dxa"/>
            <w:vAlign w:val="center"/>
            <w:hideMark/>
          </w:tcPr>
          <w:p w14:paraId="3103FD01"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 FYM + S 40kg/ha + Borax 0.2% 2 sprays</w:t>
            </w:r>
          </w:p>
        </w:tc>
        <w:tc>
          <w:tcPr>
            <w:tcW w:w="1170" w:type="dxa"/>
            <w:vAlign w:val="center"/>
          </w:tcPr>
          <w:p w14:paraId="010DDC6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18.95</w:t>
            </w:r>
          </w:p>
        </w:tc>
        <w:tc>
          <w:tcPr>
            <w:tcW w:w="1170" w:type="dxa"/>
            <w:vAlign w:val="center"/>
          </w:tcPr>
          <w:p w14:paraId="0BCCB7A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98.67</w:t>
            </w:r>
          </w:p>
        </w:tc>
        <w:tc>
          <w:tcPr>
            <w:tcW w:w="1260" w:type="dxa"/>
            <w:vAlign w:val="center"/>
          </w:tcPr>
          <w:p w14:paraId="47AF4F6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1365.3</w:t>
            </w:r>
          </w:p>
        </w:tc>
        <w:tc>
          <w:tcPr>
            <w:tcW w:w="1080" w:type="dxa"/>
            <w:noWrap/>
            <w:vAlign w:val="center"/>
          </w:tcPr>
          <w:p w14:paraId="2B85E272"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1248.6</w:t>
            </w:r>
          </w:p>
        </w:tc>
        <w:tc>
          <w:tcPr>
            <w:tcW w:w="1080" w:type="dxa"/>
            <w:noWrap/>
            <w:vAlign w:val="center"/>
          </w:tcPr>
          <w:p w14:paraId="4A4CFE3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49.63</w:t>
            </w:r>
          </w:p>
        </w:tc>
        <w:tc>
          <w:tcPr>
            <w:tcW w:w="1260" w:type="dxa"/>
          </w:tcPr>
          <w:p w14:paraId="06C2474D"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2276</w:t>
            </w:r>
          </w:p>
        </w:tc>
        <w:tc>
          <w:tcPr>
            <w:tcW w:w="1080" w:type="dxa"/>
          </w:tcPr>
          <w:p w14:paraId="6635FFFB"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5373</w:t>
            </w:r>
          </w:p>
        </w:tc>
        <w:tc>
          <w:tcPr>
            <w:tcW w:w="1030" w:type="dxa"/>
            <w:tcBorders>
              <w:bottom w:val="single" w:sz="4" w:space="0" w:color="auto"/>
            </w:tcBorders>
          </w:tcPr>
          <w:p w14:paraId="40AA2410"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29.7</w:t>
            </w:r>
          </w:p>
        </w:tc>
        <w:tc>
          <w:tcPr>
            <w:tcW w:w="960" w:type="dxa"/>
          </w:tcPr>
          <w:p w14:paraId="5A365885" w14:textId="77777777" w:rsidR="00956B7A" w:rsidRPr="004637B1" w:rsidRDefault="00956B7A">
            <w:r>
              <w:t>2.91</w:t>
            </w:r>
          </w:p>
        </w:tc>
      </w:tr>
      <w:tr w:rsidR="00956B7A" w:rsidRPr="004637B1" w14:paraId="486B246F" w14:textId="77777777" w:rsidTr="00956B7A">
        <w:trPr>
          <w:trHeight w:val="455"/>
        </w:trPr>
        <w:tc>
          <w:tcPr>
            <w:tcW w:w="594" w:type="dxa"/>
            <w:vAlign w:val="center"/>
          </w:tcPr>
          <w:p w14:paraId="72B868E3"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9</w:t>
            </w:r>
          </w:p>
        </w:tc>
        <w:tc>
          <w:tcPr>
            <w:tcW w:w="3384" w:type="dxa"/>
            <w:vAlign w:val="center"/>
            <w:hideMark/>
          </w:tcPr>
          <w:p w14:paraId="279CB331"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 FYM + S 40kg/ha + Borax as soil application 10 kg/ha</w:t>
            </w:r>
          </w:p>
        </w:tc>
        <w:tc>
          <w:tcPr>
            <w:tcW w:w="1170" w:type="dxa"/>
            <w:vAlign w:val="center"/>
          </w:tcPr>
          <w:p w14:paraId="419339D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18.10</w:t>
            </w:r>
          </w:p>
        </w:tc>
        <w:tc>
          <w:tcPr>
            <w:tcW w:w="1170" w:type="dxa"/>
            <w:vAlign w:val="center"/>
          </w:tcPr>
          <w:p w14:paraId="481EBB2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95.45</w:t>
            </w:r>
          </w:p>
        </w:tc>
        <w:tc>
          <w:tcPr>
            <w:tcW w:w="1260" w:type="dxa"/>
            <w:vAlign w:val="center"/>
          </w:tcPr>
          <w:p w14:paraId="5DFFB7E3"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1179.1</w:t>
            </w:r>
          </w:p>
        </w:tc>
        <w:tc>
          <w:tcPr>
            <w:tcW w:w="1080" w:type="dxa"/>
            <w:noWrap/>
            <w:vAlign w:val="center"/>
          </w:tcPr>
          <w:p w14:paraId="363E7A0C"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1061.1</w:t>
            </w:r>
          </w:p>
        </w:tc>
        <w:tc>
          <w:tcPr>
            <w:tcW w:w="1080" w:type="dxa"/>
            <w:noWrap/>
            <w:vAlign w:val="center"/>
          </w:tcPr>
          <w:p w14:paraId="15DCFE7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48.24</w:t>
            </w:r>
          </w:p>
        </w:tc>
        <w:tc>
          <w:tcPr>
            <w:tcW w:w="1260" w:type="dxa"/>
          </w:tcPr>
          <w:p w14:paraId="5A1C0356"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2112</w:t>
            </w:r>
          </w:p>
        </w:tc>
        <w:tc>
          <w:tcPr>
            <w:tcW w:w="1080" w:type="dxa"/>
          </w:tcPr>
          <w:p w14:paraId="7FB8D2BB"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5246</w:t>
            </w:r>
          </w:p>
        </w:tc>
        <w:tc>
          <w:tcPr>
            <w:tcW w:w="1030" w:type="dxa"/>
            <w:tcBorders>
              <w:bottom w:val="single" w:sz="4" w:space="0" w:color="auto"/>
            </w:tcBorders>
          </w:tcPr>
          <w:p w14:paraId="70793DA0"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28.7</w:t>
            </w:r>
          </w:p>
        </w:tc>
        <w:tc>
          <w:tcPr>
            <w:tcW w:w="960" w:type="dxa"/>
          </w:tcPr>
          <w:p w14:paraId="763E2054" w14:textId="77777777" w:rsidR="00956B7A" w:rsidRPr="004637B1" w:rsidRDefault="00956B7A">
            <w:r>
              <w:t>2.55</w:t>
            </w:r>
          </w:p>
        </w:tc>
      </w:tr>
      <w:tr w:rsidR="00956B7A" w:rsidRPr="004637B1" w14:paraId="7037234E" w14:textId="77777777" w:rsidTr="00956B7A">
        <w:trPr>
          <w:trHeight w:val="350"/>
        </w:trPr>
        <w:tc>
          <w:tcPr>
            <w:tcW w:w="594" w:type="dxa"/>
            <w:vAlign w:val="center"/>
          </w:tcPr>
          <w:p w14:paraId="5161A22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10</w:t>
            </w:r>
          </w:p>
        </w:tc>
        <w:tc>
          <w:tcPr>
            <w:tcW w:w="3384" w:type="dxa"/>
            <w:vAlign w:val="center"/>
            <w:hideMark/>
          </w:tcPr>
          <w:p w14:paraId="29964DE5"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Control</w:t>
            </w:r>
          </w:p>
        </w:tc>
        <w:tc>
          <w:tcPr>
            <w:tcW w:w="1170" w:type="dxa"/>
            <w:vAlign w:val="center"/>
          </w:tcPr>
          <w:p w14:paraId="0637059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9.37</w:t>
            </w:r>
          </w:p>
        </w:tc>
        <w:tc>
          <w:tcPr>
            <w:tcW w:w="1170" w:type="dxa"/>
            <w:vAlign w:val="center"/>
          </w:tcPr>
          <w:p w14:paraId="07DF0D1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49.43</w:t>
            </w:r>
          </w:p>
        </w:tc>
        <w:tc>
          <w:tcPr>
            <w:tcW w:w="1260" w:type="dxa"/>
            <w:vAlign w:val="center"/>
          </w:tcPr>
          <w:p w14:paraId="1305CF8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623.8</w:t>
            </w:r>
          </w:p>
        </w:tc>
        <w:tc>
          <w:tcPr>
            <w:tcW w:w="1080" w:type="dxa"/>
            <w:noWrap/>
            <w:vAlign w:val="center"/>
          </w:tcPr>
          <w:p w14:paraId="60F7FD6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439.2</w:t>
            </w:r>
          </w:p>
        </w:tc>
        <w:tc>
          <w:tcPr>
            <w:tcW w:w="1080" w:type="dxa"/>
            <w:noWrap/>
            <w:vAlign w:val="center"/>
          </w:tcPr>
          <w:p w14:paraId="24C2616B"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39.37</w:t>
            </w:r>
          </w:p>
        </w:tc>
        <w:tc>
          <w:tcPr>
            <w:tcW w:w="1260" w:type="dxa"/>
          </w:tcPr>
          <w:p w14:paraId="50201465"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1039</w:t>
            </w:r>
          </w:p>
        </w:tc>
        <w:tc>
          <w:tcPr>
            <w:tcW w:w="1080" w:type="dxa"/>
          </w:tcPr>
          <w:p w14:paraId="79BB4E50"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3768</w:t>
            </w:r>
          </w:p>
        </w:tc>
        <w:tc>
          <w:tcPr>
            <w:tcW w:w="1030" w:type="dxa"/>
            <w:tcBorders>
              <w:bottom w:val="single" w:sz="4" w:space="0" w:color="auto"/>
            </w:tcBorders>
          </w:tcPr>
          <w:p w14:paraId="21B85B49"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21.6</w:t>
            </w:r>
          </w:p>
        </w:tc>
        <w:tc>
          <w:tcPr>
            <w:tcW w:w="960" w:type="dxa"/>
          </w:tcPr>
          <w:p w14:paraId="3892BBB0" w14:textId="77777777" w:rsidR="00956B7A" w:rsidRPr="004637B1" w:rsidRDefault="00956B7A">
            <w:r>
              <w:t>1.88</w:t>
            </w:r>
          </w:p>
        </w:tc>
      </w:tr>
      <w:tr w:rsidR="00956B7A" w:rsidRPr="004637B1" w14:paraId="29F96981" w14:textId="77777777" w:rsidTr="00956B7A">
        <w:trPr>
          <w:trHeight w:val="341"/>
        </w:trPr>
        <w:tc>
          <w:tcPr>
            <w:tcW w:w="3978" w:type="dxa"/>
            <w:gridSpan w:val="2"/>
            <w:vAlign w:val="center"/>
          </w:tcPr>
          <w:p w14:paraId="0E525569"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proofErr w:type="spellStart"/>
            <w:r w:rsidRPr="00BB5CB5">
              <w:rPr>
                <w:rFonts w:ascii="Times New Roman" w:eastAsia="Times New Roman" w:hAnsi="Times New Roman" w:cs="Times New Roman"/>
                <w:color w:val="000000"/>
                <w:sz w:val="24"/>
                <w:szCs w:val="24"/>
                <w:lang w:eastAsia="en-IN"/>
              </w:rPr>
              <w:t>SEm</w:t>
            </w:r>
            <w:proofErr w:type="spellEnd"/>
            <w:r w:rsidRPr="00BB5CB5">
              <w:rPr>
                <w:rFonts w:ascii="Times New Roman" w:eastAsia="Times New Roman" w:hAnsi="Times New Roman" w:cs="Times New Roman"/>
                <w:color w:val="000000"/>
                <w:sz w:val="24"/>
                <w:szCs w:val="24"/>
                <w:lang w:eastAsia="en-IN"/>
              </w:rPr>
              <w:t xml:space="preserve"> ±</w:t>
            </w:r>
          </w:p>
        </w:tc>
        <w:tc>
          <w:tcPr>
            <w:tcW w:w="1170" w:type="dxa"/>
            <w:vAlign w:val="center"/>
          </w:tcPr>
          <w:p w14:paraId="07A34A2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0.136</w:t>
            </w:r>
          </w:p>
        </w:tc>
        <w:tc>
          <w:tcPr>
            <w:tcW w:w="1170" w:type="dxa"/>
            <w:vAlign w:val="center"/>
          </w:tcPr>
          <w:p w14:paraId="1E61808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1.648</w:t>
            </w:r>
          </w:p>
        </w:tc>
        <w:tc>
          <w:tcPr>
            <w:tcW w:w="1260" w:type="dxa"/>
            <w:vAlign w:val="center"/>
          </w:tcPr>
          <w:p w14:paraId="1D8DAA1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16.45</w:t>
            </w:r>
          </w:p>
        </w:tc>
        <w:tc>
          <w:tcPr>
            <w:tcW w:w="1080" w:type="dxa"/>
            <w:noWrap/>
            <w:vAlign w:val="center"/>
            <w:hideMark/>
          </w:tcPr>
          <w:p w14:paraId="5EC41544"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16.1</w:t>
            </w:r>
          </w:p>
        </w:tc>
        <w:tc>
          <w:tcPr>
            <w:tcW w:w="1080" w:type="dxa"/>
            <w:noWrap/>
            <w:vAlign w:val="center"/>
          </w:tcPr>
          <w:p w14:paraId="2370BFC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1.429</w:t>
            </w:r>
          </w:p>
        </w:tc>
        <w:tc>
          <w:tcPr>
            <w:tcW w:w="1260" w:type="dxa"/>
          </w:tcPr>
          <w:p w14:paraId="3779E240"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67.6</w:t>
            </w:r>
          </w:p>
        </w:tc>
        <w:tc>
          <w:tcPr>
            <w:tcW w:w="1080" w:type="dxa"/>
          </w:tcPr>
          <w:p w14:paraId="59E98A7D"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91.6</w:t>
            </w:r>
          </w:p>
        </w:tc>
        <w:tc>
          <w:tcPr>
            <w:tcW w:w="1030" w:type="dxa"/>
            <w:tcBorders>
              <w:bottom w:val="single" w:sz="4" w:space="0" w:color="auto"/>
            </w:tcBorders>
          </w:tcPr>
          <w:p w14:paraId="6F72C40F"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0.68</w:t>
            </w:r>
          </w:p>
        </w:tc>
        <w:tc>
          <w:tcPr>
            <w:tcW w:w="960" w:type="dxa"/>
          </w:tcPr>
          <w:p w14:paraId="20D86DCF" w14:textId="77777777" w:rsidR="00956B7A" w:rsidRPr="004637B1" w:rsidRDefault="00956B7A">
            <w:r>
              <w:t>0.118</w:t>
            </w:r>
          </w:p>
        </w:tc>
      </w:tr>
      <w:tr w:rsidR="00956B7A" w:rsidRPr="004637B1" w14:paraId="679EBF2E" w14:textId="77777777" w:rsidTr="00956B7A">
        <w:trPr>
          <w:trHeight w:val="260"/>
        </w:trPr>
        <w:tc>
          <w:tcPr>
            <w:tcW w:w="3978" w:type="dxa"/>
            <w:gridSpan w:val="2"/>
            <w:vAlign w:val="center"/>
          </w:tcPr>
          <w:p w14:paraId="60514264"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CD (P=0.05)</w:t>
            </w:r>
          </w:p>
        </w:tc>
        <w:tc>
          <w:tcPr>
            <w:tcW w:w="1170" w:type="dxa"/>
            <w:vAlign w:val="center"/>
          </w:tcPr>
          <w:p w14:paraId="286CEFF0"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0.40</w:t>
            </w:r>
          </w:p>
        </w:tc>
        <w:tc>
          <w:tcPr>
            <w:tcW w:w="1170" w:type="dxa"/>
            <w:vAlign w:val="center"/>
          </w:tcPr>
          <w:p w14:paraId="763D9C7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4.9</w:t>
            </w:r>
          </w:p>
        </w:tc>
        <w:tc>
          <w:tcPr>
            <w:tcW w:w="1260" w:type="dxa"/>
            <w:vAlign w:val="center"/>
          </w:tcPr>
          <w:p w14:paraId="34A81F4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47.0</w:t>
            </w:r>
          </w:p>
        </w:tc>
        <w:tc>
          <w:tcPr>
            <w:tcW w:w="1080" w:type="dxa"/>
            <w:noWrap/>
            <w:vAlign w:val="center"/>
            <w:hideMark/>
          </w:tcPr>
          <w:p w14:paraId="30C4BA7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47.5</w:t>
            </w:r>
          </w:p>
        </w:tc>
        <w:tc>
          <w:tcPr>
            <w:tcW w:w="1080" w:type="dxa"/>
            <w:noWrap/>
            <w:vAlign w:val="center"/>
          </w:tcPr>
          <w:p w14:paraId="06332322"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NS</w:t>
            </w:r>
          </w:p>
        </w:tc>
        <w:tc>
          <w:tcPr>
            <w:tcW w:w="1260" w:type="dxa"/>
            <w:tcBorders>
              <w:bottom w:val="single" w:sz="4" w:space="0" w:color="auto"/>
            </w:tcBorders>
          </w:tcPr>
          <w:p w14:paraId="72D77B08" w14:textId="77777777" w:rsidR="00956B7A" w:rsidRPr="00BB5CB5" w:rsidRDefault="00956B7A">
            <w:pPr>
              <w:rPr>
                <w:rFonts w:ascii="Times New Roman" w:hAnsi="Times New Roman" w:cs="Times New Roman"/>
                <w:sz w:val="24"/>
                <w:szCs w:val="24"/>
              </w:rPr>
            </w:pPr>
            <w:r>
              <w:rPr>
                <w:rFonts w:ascii="Times New Roman" w:hAnsi="Times New Roman" w:cs="Times New Roman"/>
                <w:sz w:val="24"/>
                <w:szCs w:val="24"/>
              </w:rPr>
              <w:t xml:space="preserve">      </w:t>
            </w:r>
            <w:r w:rsidRPr="00BB5CB5">
              <w:rPr>
                <w:rFonts w:ascii="Times New Roman" w:hAnsi="Times New Roman" w:cs="Times New Roman"/>
                <w:sz w:val="24"/>
                <w:szCs w:val="24"/>
              </w:rPr>
              <w:t>201</w:t>
            </w:r>
          </w:p>
        </w:tc>
        <w:tc>
          <w:tcPr>
            <w:tcW w:w="1080" w:type="dxa"/>
            <w:tcBorders>
              <w:bottom w:val="single" w:sz="4" w:space="0" w:color="auto"/>
            </w:tcBorders>
          </w:tcPr>
          <w:p w14:paraId="4F97DE23" w14:textId="77777777" w:rsidR="00956B7A" w:rsidRPr="00BB5CB5" w:rsidRDefault="00956B7A">
            <w:pPr>
              <w:rPr>
                <w:rFonts w:ascii="Times New Roman" w:hAnsi="Times New Roman" w:cs="Times New Roman"/>
                <w:sz w:val="24"/>
                <w:szCs w:val="24"/>
              </w:rPr>
            </w:pPr>
            <w:r>
              <w:rPr>
                <w:rFonts w:ascii="Times New Roman" w:hAnsi="Times New Roman" w:cs="Times New Roman"/>
                <w:sz w:val="24"/>
                <w:szCs w:val="24"/>
              </w:rPr>
              <w:t xml:space="preserve">     </w:t>
            </w:r>
            <w:r w:rsidRPr="00BB5CB5">
              <w:rPr>
                <w:rFonts w:ascii="Times New Roman" w:hAnsi="Times New Roman" w:cs="Times New Roman"/>
                <w:sz w:val="24"/>
                <w:szCs w:val="24"/>
              </w:rPr>
              <w:t>274</w:t>
            </w:r>
          </w:p>
        </w:tc>
        <w:tc>
          <w:tcPr>
            <w:tcW w:w="1030" w:type="dxa"/>
            <w:tcBorders>
              <w:bottom w:val="single" w:sz="4" w:space="0" w:color="auto"/>
            </w:tcBorders>
          </w:tcPr>
          <w:p w14:paraId="1031C4DA" w14:textId="77777777" w:rsidR="00956B7A" w:rsidRPr="00BB5CB5" w:rsidRDefault="00956B7A">
            <w:pPr>
              <w:rPr>
                <w:rFonts w:ascii="Times New Roman" w:hAnsi="Times New Roman" w:cs="Times New Roman"/>
                <w:sz w:val="24"/>
                <w:szCs w:val="24"/>
              </w:rPr>
            </w:pPr>
            <w:r>
              <w:rPr>
                <w:rFonts w:ascii="Times New Roman" w:hAnsi="Times New Roman" w:cs="Times New Roman"/>
                <w:sz w:val="24"/>
                <w:szCs w:val="24"/>
              </w:rPr>
              <w:t xml:space="preserve">    </w:t>
            </w:r>
            <w:r w:rsidRPr="00BB5CB5">
              <w:rPr>
                <w:rFonts w:ascii="Times New Roman" w:hAnsi="Times New Roman" w:cs="Times New Roman"/>
                <w:sz w:val="24"/>
                <w:szCs w:val="24"/>
              </w:rPr>
              <w:t>2.0</w:t>
            </w:r>
          </w:p>
        </w:tc>
        <w:tc>
          <w:tcPr>
            <w:tcW w:w="960" w:type="dxa"/>
          </w:tcPr>
          <w:p w14:paraId="60599465" w14:textId="77777777" w:rsidR="00956B7A" w:rsidRPr="004637B1" w:rsidRDefault="00956B7A">
            <w:r>
              <w:t>0.35</w:t>
            </w:r>
          </w:p>
        </w:tc>
      </w:tr>
    </w:tbl>
    <w:p w14:paraId="50193568" w14:textId="77777777" w:rsidR="00E84420" w:rsidRDefault="00E84420" w:rsidP="00550E9B">
      <w:pPr>
        <w:spacing w:before="240" w:line="360" w:lineRule="auto"/>
        <w:ind w:left="720"/>
        <w:jc w:val="both"/>
        <w:rPr>
          <w:rFonts w:ascii="Times New Roman" w:eastAsia="Times New Roman" w:hAnsi="Times New Roman" w:cs="Times New Roman"/>
          <w:b/>
          <w:sz w:val="24"/>
          <w:szCs w:val="24"/>
          <w:lang w:val="en-US" w:bidi="en-US"/>
        </w:rPr>
        <w:sectPr w:rsidR="00E84420" w:rsidSect="001264E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160" w:right="1440" w:bottom="1440" w:left="1440" w:header="706" w:footer="706" w:gutter="0"/>
          <w:cols w:space="708"/>
          <w:docGrid w:linePitch="360"/>
        </w:sectPr>
      </w:pPr>
    </w:p>
    <w:p w14:paraId="7222AD9F" w14:textId="77777777" w:rsidR="00E84420" w:rsidRDefault="00DC1758" w:rsidP="00DC1758">
      <w:pPr>
        <w:pStyle w:val="ListParagraph"/>
        <w:spacing w:before="240" w:after="120" w:line="240" w:lineRule="auto"/>
        <w:ind w:left="0"/>
        <w:contextualSpacing w:val="0"/>
        <w:jc w:val="both"/>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lastRenderedPageBreak/>
        <w:tab/>
      </w:r>
      <w:r w:rsidR="00E84420">
        <w:rPr>
          <w:rFonts w:ascii="Times New Roman" w:eastAsia="Times New Roman" w:hAnsi="Times New Roman" w:cs="Times New Roman"/>
          <w:b/>
          <w:sz w:val="24"/>
          <w:szCs w:val="24"/>
          <w:lang w:val="en-US" w:bidi="en-US"/>
        </w:rPr>
        <w:t xml:space="preserve">Yield </w:t>
      </w:r>
    </w:p>
    <w:p w14:paraId="376B9A9C" w14:textId="50DA36C4" w:rsidR="00E84420" w:rsidRPr="00E84420" w:rsidRDefault="00E84420" w:rsidP="001264E6">
      <w:pPr>
        <w:spacing w:before="240" w:after="120" w:line="360" w:lineRule="auto"/>
        <w:ind w:firstLine="720"/>
        <w:jc w:val="both"/>
        <w:rPr>
          <w:rFonts w:ascii="Times New Roman" w:hAnsi="Times New Roman" w:cs="Times New Roman"/>
          <w:sz w:val="24"/>
          <w:szCs w:val="24"/>
        </w:rPr>
      </w:pPr>
      <w:r w:rsidRPr="00E84420">
        <w:rPr>
          <w:rFonts w:ascii="Times New Roman" w:hAnsi="Times New Roman" w:cs="Times New Roman"/>
          <w:sz w:val="24"/>
          <w:szCs w:val="24"/>
        </w:rPr>
        <w:t xml:space="preserve"> The</w:t>
      </w:r>
      <w:r w:rsidR="000B7000">
        <w:rPr>
          <w:rFonts w:ascii="Times New Roman" w:hAnsi="Times New Roman" w:cs="Times New Roman"/>
          <w:sz w:val="24"/>
          <w:szCs w:val="24"/>
        </w:rPr>
        <w:t>re was significant variations in seed yield of sunflower</w:t>
      </w:r>
      <w:r w:rsidRPr="00E84420">
        <w:rPr>
          <w:rFonts w:ascii="Times New Roman" w:hAnsi="Times New Roman" w:cs="Times New Roman"/>
          <w:sz w:val="24"/>
          <w:szCs w:val="24"/>
        </w:rPr>
        <w:t xml:space="preserve"> </w:t>
      </w:r>
      <w:r w:rsidR="007A2D3B" w:rsidRPr="00730517">
        <w:rPr>
          <w:rFonts w:ascii="Times New Roman" w:hAnsi="Times New Roman" w:cs="Times New Roman"/>
          <w:sz w:val="24"/>
          <w:szCs w:val="24"/>
        </w:rPr>
        <w:t xml:space="preserve">due to different </w:t>
      </w:r>
      <w:r w:rsidR="000B7000">
        <w:rPr>
          <w:rFonts w:ascii="Times New Roman" w:hAnsi="Times New Roman" w:cs="Times New Roman"/>
          <w:sz w:val="24"/>
          <w:szCs w:val="24"/>
        </w:rPr>
        <w:t xml:space="preserve">integrated </w:t>
      </w:r>
      <w:r w:rsidR="007A2D3B" w:rsidRPr="00DC1758">
        <w:rPr>
          <w:rFonts w:ascii="Times New Roman" w:eastAsia="Times New Roman" w:hAnsi="Times New Roman" w:cs="Times New Roman"/>
          <w:spacing w:val="-4"/>
          <w:sz w:val="24"/>
          <w:szCs w:val="24"/>
          <w:lang w:val="en-US" w:bidi="en-US"/>
        </w:rPr>
        <w:t>nutrient management</w:t>
      </w:r>
      <w:r w:rsidR="000B7000" w:rsidRPr="00DC1758">
        <w:rPr>
          <w:rFonts w:ascii="Times New Roman" w:hAnsi="Times New Roman" w:cs="Times New Roman"/>
          <w:spacing w:val="-4"/>
          <w:sz w:val="24"/>
          <w:szCs w:val="24"/>
        </w:rPr>
        <w:t xml:space="preserve"> practices.</w:t>
      </w:r>
      <w:r w:rsidRPr="00DC1758">
        <w:rPr>
          <w:rFonts w:ascii="Times New Roman" w:hAnsi="Times New Roman" w:cs="Times New Roman"/>
          <w:spacing w:val="-4"/>
          <w:sz w:val="24"/>
          <w:szCs w:val="24"/>
        </w:rPr>
        <w:t xml:space="preserve"> </w:t>
      </w:r>
      <w:r w:rsidR="000B7000" w:rsidRPr="00DC1758">
        <w:rPr>
          <w:rFonts w:ascii="Times New Roman" w:hAnsi="Times New Roman" w:cs="Times New Roman"/>
          <w:spacing w:val="-4"/>
          <w:sz w:val="24"/>
          <w:szCs w:val="24"/>
        </w:rPr>
        <w:t xml:space="preserve">Maximum </w:t>
      </w:r>
      <w:r w:rsidR="007A2D3B" w:rsidRPr="00DC1758">
        <w:rPr>
          <w:rFonts w:ascii="Times New Roman" w:hAnsi="Times New Roman" w:cs="Times New Roman"/>
          <w:spacing w:val="-4"/>
          <w:sz w:val="24"/>
          <w:szCs w:val="24"/>
        </w:rPr>
        <w:t>seed yield of 2</w:t>
      </w:r>
      <w:r w:rsidR="000B7000" w:rsidRPr="00DC1758">
        <w:rPr>
          <w:rFonts w:ascii="Times New Roman" w:hAnsi="Times New Roman" w:cs="Times New Roman"/>
          <w:spacing w:val="-4"/>
          <w:sz w:val="24"/>
          <w:szCs w:val="24"/>
        </w:rPr>
        <w:t>276 kg</w:t>
      </w:r>
      <w:r w:rsidR="007A2D3B" w:rsidRPr="00DC1758">
        <w:rPr>
          <w:rFonts w:ascii="Times New Roman" w:hAnsi="Times New Roman" w:cs="Times New Roman"/>
          <w:spacing w:val="-4"/>
          <w:sz w:val="24"/>
          <w:szCs w:val="24"/>
        </w:rPr>
        <w:t xml:space="preserve">/ha </w:t>
      </w:r>
      <w:r w:rsidRPr="00DC1758">
        <w:rPr>
          <w:rFonts w:ascii="Times New Roman" w:hAnsi="Times New Roman" w:cs="Times New Roman"/>
          <w:spacing w:val="-4"/>
          <w:sz w:val="24"/>
          <w:szCs w:val="24"/>
        </w:rPr>
        <w:t xml:space="preserve">was </w:t>
      </w:r>
      <w:r w:rsidR="000B7000" w:rsidRPr="00DC1758">
        <w:rPr>
          <w:rFonts w:ascii="Times New Roman" w:hAnsi="Times New Roman" w:cs="Times New Roman"/>
          <w:spacing w:val="-4"/>
          <w:sz w:val="24"/>
          <w:szCs w:val="24"/>
        </w:rPr>
        <w:t>obtained when integrated nutrient management practice of</w:t>
      </w:r>
      <w:r w:rsidRPr="00DC1758">
        <w:rPr>
          <w:rFonts w:ascii="Times New Roman" w:hAnsi="Times New Roman" w:cs="Times New Roman"/>
          <w:spacing w:val="-4"/>
          <w:sz w:val="24"/>
          <w:szCs w:val="24"/>
        </w:rPr>
        <w:t xml:space="preserve"> </w:t>
      </w:r>
      <w:r w:rsidR="00EF398D" w:rsidRPr="00DC1758">
        <w:rPr>
          <w:rFonts w:ascii="Times New Roman" w:hAnsi="Times New Roman" w:cs="Times New Roman"/>
          <w:spacing w:val="-4"/>
          <w:sz w:val="24"/>
          <w:szCs w:val="24"/>
        </w:rPr>
        <w:t>STBFR + Lime + FYM + S 40kg/ha + 2 sprays of Borax @ 0.2% (T8)</w:t>
      </w:r>
      <w:r w:rsidRPr="00DC1758">
        <w:rPr>
          <w:rFonts w:ascii="Times New Roman" w:eastAsia="Times New Roman" w:hAnsi="Times New Roman" w:cs="Times New Roman"/>
          <w:color w:val="000000"/>
          <w:spacing w:val="-4"/>
          <w:sz w:val="24"/>
          <w:szCs w:val="24"/>
          <w:lang w:eastAsia="en-IN"/>
        </w:rPr>
        <w:t xml:space="preserve"> which </w:t>
      </w:r>
      <w:r w:rsidR="00EF398D" w:rsidRPr="00DC1758">
        <w:rPr>
          <w:rFonts w:ascii="Times New Roman" w:eastAsia="Times New Roman" w:hAnsi="Times New Roman" w:cs="Times New Roman"/>
          <w:color w:val="000000"/>
          <w:spacing w:val="-4"/>
          <w:sz w:val="24"/>
          <w:szCs w:val="24"/>
          <w:lang w:eastAsia="en-IN"/>
        </w:rPr>
        <w:t>was</w:t>
      </w:r>
      <w:r w:rsidRPr="00DC1758">
        <w:rPr>
          <w:rFonts w:ascii="Times New Roman" w:eastAsia="Times New Roman" w:hAnsi="Times New Roman" w:cs="Times New Roman"/>
          <w:color w:val="000000"/>
          <w:spacing w:val="-4"/>
          <w:sz w:val="24"/>
          <w:szCs w:val="24"/>
          <w:lang w:eastAsia="en-IN"/>
        </w:rPr>
        <w:t xml:space="preserve"> at par with </w:t>
      </w:r>
      <w:r w:rsidR="00EF398D" w:rsidRPr="00DC1758">
        <w:rPr>
          <w:rFonts w:ascii="Times New Roman" w:eastAsia="Times New Roman" w:hAnsi="Times New Roman" w:cs="Times New Roman"/>
          <w:color w:val="000000"/>
          <w:spacing w:val="-4"/>
          <w:sz w:val="24"/>
          <w:szCs w:val="24"/>
          <w:lang w:eastAsia="en-IN"/>
        </w:rPr>
        <w:t xml:space="preserve">T7, T9. </w:t>
      </w:r>
      <w:r w:rsidRPr="00DC1758">
        <w:rPr>
          <w:rFonts w:ascii="Times New Roman" w:eastAsia="Times New Roman" w:hAnsi="Times New Roman" w:cs="Times New Roman"/>
          <w:color w:val="000000"/>
          <w:spacing w:val="-4"/>
          <w:sz w:val="24"/>
          <w:szCs w:val="24"/>
          <w:lang w:eastAsia="en-IN"/>
        </w:rPr>
        <w:t xml:space="preserve">Application of </w:t>
      </w:r>
      <w:r w:rsidR="00EF398D" w:rsidRPr="00DC1758">
        <w:rPr>
          <w:rFonts w:ascii="Times New Roman" w:eastAsia="Times New Roman" w:hAnsi="Times New Roman" w:cs="Times New Roman"/>
          <w:color w:val="000000"/>
          <w:spacing w:val="-4"/>
          <w:sz w:val="24"/>
          <w:szCs w:val="24"/>
          <w:lang w:eastAsia="en-IN"/>
        </w:rPr>
        <w:t>STBFR + Lime + FYM + S 40kg/ha + 2 sprays of Borax @ 0.2% (T8) and STBFR + Lime + FYM + S 40kg/ha + 1 spray of Borax @ 0.2%</w:t>
      </w:r>
      <w:r w:rsidR="00EF398D" w:rsidRPr="00EF398D">
        <w:rPr>
          <w:rFonts w:ascii="Times New Roman" w:eastAsia="Times New Roman" w:hAnsi="Times New Roman" w:cs="Times New Roman"/>
          <w:color w:val="000000"/>
          <w:sz w:val="24"/>
          <w:szCs w:val="24"/>
          <w:lang w:eastAsia="en-IN"/>
        </w:rPr>
        <w:t xml:space="preserve"> </w:t>
      </w:r>
      <w:r w:rsidR="00EF398D">
        <w:rPr>
          <w:rFonts w:ascii="Times New Roman" w:eastAsia="Times New Roman" w:hAnsi="Times New Roman" w:cs="Times New Roman"/>
          <w:color w:val="000000"/>
          <w:sz w:val="24"/>
          <w:szCs w:val="24"/>
          <w:lang w:eastAsia="en-IN"/>
        </w:rPr>
        <w:t xml:space="preserve">(T7) </w:t>
      </w:r>
      <w:r w:rsidRPr="00E84420">
        <w:rPr>
          <w:rFonts w:ascii="Times New Roman" w:eastAsia="Times New Roman" w:hAnsi="Times New Roman" w:cs="Times New Roman"/>
          <w:color w:val="000000"/>
          <w:sz w:val="24"/>
          <w:szCs w:val="24"/>
          <w:lang w:eastAsia="en-IN"/>
        </w:rPr>
        <w:t xml:space="preserve">recorded </w:t>
      </w:r>
      <w:r w:rsidR="00EF398D">
        <w:rPr>
          <w:rFonts w:ascii="Times New Roman" w:eastAsia="Times New Roman" w:hAnsi="Times New Roman" w:cs="Times New Roman"/>
          <w:color w:val="000000"/>
          <w:sz w:val="24"/>
          <w:szCs w:val="24"/>
          <w:lang w:eastAsia="en-IN"/>
        </w:rPr>
        <w:t>40.49% and 35.30% increased seed yield over STBFR</w:t>
      </w:r>
      <w:r w:rsidR="00F6673A">
        <w:rPr>
          <w:rFonts w:ascii="Times New Roman" w:eastAsia="Times New Roman" w:hAnsi="Times New Roman" w:cs="Times New Roman"/>
          <w:color w:val="000000"/>
          <w:sz w:val="24"/>
          <w:szCs w:val="24"/>
          <w:lang w:eastAsia="en-IN"/>
        </w:rPr>
        <w:t xml:space="preserve"> respectively.</w:t>
      </w:r>
      <w:r w:rsidR="009A25D6" w:rsidRPr="009A25D6">
        <w:t xml:space="preserve"> </w:t>
      </w:r>
      <w:r w:rsidR="009A25D6" w:rsidRPr="009A25D6">
        <w:rPr>
          <w:rFonts w:ascii="Times New Roman" w:eastAsia="Times New Roman" w:hAnsi="Times New Roman" w:cs="Times New Roman"/>
          <w:color w:val="000000"/>
          <w:sz w:val="24"/>
          <w:szCs w:val="24"/>
          <w:lang w:eastAsia="en-IN"/>
        </w:rPr>
        <w:t xml:space="preserve">STBFR with FYM directly increased crop yields either by acceleration of respiratory process, by increasing cell permeability, by hormone growth action or by combination of all the processes viz., release of nutrients, increasing availability of nutrients and improving soil physical, chemical and biological properties. The beneficial effect of FYM on sunflower is reported by </w:t>
      </w:r>
      <w:r w:rsidR="002F35F3">
        <w:rPr>
          <w:rFonts w:ascii="Times New Roman" w:eastAsia="Times New Roman" w:hAnsi="Times New Roman" w:cs="Times New Roman"/>
          <w:color w:val="000000"/>
          <w:sz w:val="24"/>
          <w:szCs w:val="24"/>
          <w:lang w:eastAsia="en-IN"/>
        </w:rPr>
        <w:t>(</w:t>
      </w:r>
      <w:proofErr w:type="spellStart"/>
      <w:r w:rsidR="009A25D6" w:rsidRPr="009A25D6">
        <w:rPr>
          <w:rFonts w:ascii="Times New Roman" w:eastAsia="Times New Roman" w:hAnsi="Times New Roman" w:cs="Times New Roman"/>
          <w:color w:val="000000"/>
          <w:sz w:val="24"/>
          <w:szCs w:val="24"/>
          <w:lang w:eastAsia="en-IN"/>
        </w:rPr>
        <w:t>Arthanari</w:t>
      </w:r>
      <w:proofErr w:type="spellEnd"/>
      <w:r w:rsidR="009A25D6" w:rsidRPr="009A25D6">
        <w:rPr>
          <w:rFonts w:ascii="Times New Roman" w:eastAsia="Times New Roman" w:hAnsi="Times New Roman" w:cs="Times New Roman"/>
          <w:color w:val="000000"/>
          <w:sz w:val="24"/>
          <w:szCs w:val="24"/>
          <w:lang w:eastAsia="en-IN"/>
        </w:rPr>
        <w:t xml:space="preserve"> </w:t>
      </w:r>
      <w:r w:rsidR="009A25D6" w:rsidRPr="009A25D6">
        <w:rPr>
          <w:rFonts w:ascii="Times New Roman" w:eastAsia="Times New Roman" w:hAnsi="Times New Roman" w:cs="Times New Roman"/>
          <w:i/>
          <w:iCs/>
          <w:color w:val="000000"/>
          <w:sz w:val="24"/>
          <w:szCs w:val="24"/>
          <w:lang w:eastAsia="en-IN"/>
        </w:rPr>
        <w:t>et al</w:t>
      </w:r>
      <w:r w:rsidR="009A25D6" w:rsidRPr="009A25D6">
        <w:rPr>
          <w:rFonts w:ascii="Times New Roman" w:eastAsia="Times New Roman" w:hAnsi="Times New Roman" w:cs="Times New Roman"/>
          <w:color w:val="000000"/>
          <w:sz w:val="24"/>
          <w:szCs w:val="24"/>
          <w:lang w:eastAsia="en-IN"/>
        </w:rPr>
        <w:t xml:space="preserve">. 2009; Manjunatha </w:t>
      </w:r>
      <w:r w:rsidR="009A25D6" w:rsidRPr="009A25D6">
        <w:rPr>
          <w:rFonts w:ascii="Times New Roman" w:eastAsia="Times New Roman" w:hAnsi="Times New Roman" w:cs="Times New Roman"/>
          <w:i/>
          <w:iCs/>
          <w:color w:val="000000"/>
          <w:sz w:val="24"/>
          <w:szCs w:val="24"/>
          <w:lang w:eastAsia="en-IN"/>
        </w:rPr>
        <w:t>et al</w:t>
      </w:r>
      <w:r w:rsidR="009A25D6" w:rsidRPr="009A25D6">
        <w:rPr>
          <w:rFonts w:ascii="Times New Roman" w:eastAsia="Times New Roman" w:hAnsi="Times New Roman" w:cs="Times New Roman"/>
          <w:color w:val="000000"/>
          <w:sz w:val="24"/>
          <w:szCs w:val="24"/>
          <w:lang w:eastAsia="en-IN"/>
        </w:rPr>
        <w:t xml:space="preserve">. 2009) and Rasool </w:t>
      </w:r>
      <w:r w:rsidR="009A25D6" w:rsidRPr="009A25D6">
        <w:rPr>
          <w:rFonts w:ascii="Times New Roman" w:eastAsia="Times New Roman" w:hAnsi="Times New Roman" w:cs="Times New Roman"/>
          <w:i/>
          <w:iCs/>
          <w:color w:val="000000"/>
          <w:sz w:val="24"/>
          <w:szCs w:val="24"/>
          <w:lang w:eastAsia="en-IN"/>
        </w:rPr>
        <w:t>et al</w:t>
      </w:r>
      <w:r w:rsidR="009A25D6" w:rsidRPr="009A25D6">
        <w:rPr>
          <w:rFonts w:ascii="Times New Roman" w:eastAsia="Times New Roman" w:hAnsi="Times New Roman" w:cs="Times New Roman"/>
          <w:color w:val="000000"/>
          <w:sz w:val="24"/>
          <w:szCs w:val="24"/>
          <w:lang w:eastAsia="en-IN"/>
        </w:rPr>
        <w:t>. 2013</w:t>
      </w:r>
      <w:r w:rsidR="002F35F3">
        <w:rPr>
          <w:rFonts w:ascii="Times New Roman" w:eastAsia="Times New Roman" w:hAnsi="Times New Roman" w:cs="Times New Roman"/>
          <w:color w:val="000000"/>
          <w:sz w:val="24"/>
          <w:szCs w:val="24"/>
          <w:lang w:eastAsia="en-IN"/>
        </w:rPr>
        <w:t>)</w:t>
      </w:r>
      <w:r w:rsidR="009A25D6" w:rsidRPr="009A25D6">
        <w:rPr>
          <w:rFonts w:ascii="Times New Roman" w:eastAsia="Times New Roman" w:hAnsi="Times New Roman" w:cs="Times New Roman"/>
          <w:color w:val="000000"/>
          <w:sz w:val="24"/>
          <w:szCs w:val="24"/>
          <w:lang w:eastAsia="en-IN"/>
        </w:rPr>
        <w:t xml:space="preserve">. Increase in filled seeds per head was mainly due to combined application of sulphur and boron, which reduced the number of unfilled seed per head resulting higher seed yield in sunflower. Similar types of findings were also reported by Kalaiyarasan </w:t>
      </w:r>
      <w:r w:rsidR="009A25D6" w:rsidRPr="009A25D6">
        <w:rPr>
          <w:rFonts w:ascii="Times New Roman" w:eastAsia="Times New Roman" w:hAnsi="Times New Roman" w:cs="Times New Roman"/>
          <w:i/>
          <w:iCs/>
          <w:color w:val="000000"/>
          <w:sz w:val="24"/>
          <w:szCs w:val="24"/>
          <w:lang w:eastAsia="en-IN"/>
        </w:rPr>
        <w:t>et al</w:t>
      </w:r>
      <w:r w:rsidR="009A25D6" w:rsidRPr="009A25D6">
        <w:rPr>
          <w:rFonts w:ascii="Times New Roman" w:eastAsia="Times New Roman" w:hAnsi="Times New Roman" w:cs="Times New Roman"/>
          <w:color w:val="000000"/>
          <w:sz w:val="24"/>
          <w:szCs w:val="24"/>
          <w:lang w:eastAsia="en-IN"/>
        </w:rPr>
        <w:t xml:space="preserve">. (2013) and Rani </w:t>
      </w:r>
      <w:r w:rsidR="009A25D6" w:rsidRPr="009A25D6">
        <w:rPr>
          <w:rFonts w:ascii="Times New Roman" w:eastAsia="Times New Roman" w:hAnsi="Times New Roman" w:cs="Times New Roman"/>
          <w:i/>
          <w:iCs/>
          <w:color w:val="000000"/>
          <w:sz w:val="24"/>
          <w:szCs w:val="24"/>
          <w:lang w:eastAsia="en-IN"/>
        </w:rPr>
        <w:t>et al</w:t>
      </w:r>
      <w:r w:rsidR="008D56CC">
        <w:rPr>
          <w:rFonts w:ascii="Times New Roman" w:eastAsia="Times New Roman" w:hAnsi="Times New Roman" w:cs="Times New Roman"/>
          <w:color w:val="000000"/>
          <w:sz w:val="24"/>
          <w:szCs w:val="24"/>
          <w:lang w:eastAsia="en-IN"/>
        </w:rPr>
        <w:t>. (2009)</w:t>
      </w:r>
    </w:p>
    <w:p w14:paraId="3617113D" w14:textId="77777777" w:rsidR="00BA2F16" w:rsidRDefault="00EF398D" w:rsidP="00EF398D">
      <w:pPr>
        <w:spacing w:before="240" w:after="120" w:line="360" w:lineRule="auto"/>
        <w:ind w:firstLine="720"/>
        <w:jc w:val="both"/>
        <w:rPr>
          <w:rFonts w:ascii="Times New Roman" w:eastAsia="Times New Roman" w:hAnsi="Times New Roman" w:cs="Times New Roman"/>
          <w:b/>
          <w:sz w:val="24"/>
          <w:szCs w:val="24"/>
          <w:lang w:val="en-US" w:bidi="en-US"/>
        </w:rPr>
      </w:pPr>
      <w:r>
        <w:rPr>
          <w:rFonts w:ascii="Times New Roman" w:hAnsi="Times New Roman" w:cs="Times New Roman"/>
          <w:sz w:val="24"/>
          <w:szCs w:val="24"/>
        </w:rPr>
        <w:t xml:space="preserve">The </w:t>
      </w:r>
      <w:r w:rsidR="008A4B7C">
        <w:rPr>
          <w:rFonts w:ascii="Times New Roman" w:hAnsi="Times New Roman" w:cs="Times New Roman"/>
          <w:sz w:val="24"/>
          <w:szCs w:val="24"/>
        </w:rPr>
        <w:t>stover</w:t>
      </w:r>
      <w:r>
        <w:rPr>
          <w:rFonts w:ascii="Times New Roman" w:hAnsi="Times New Roman" w:cs="Times New Roman"/>
          <w:sz w:val="24"/>
          <w:szCs w:val="24"/>
        </w:rPr>
        <w:t xml:space="preserve"> yield of sunflower </w:t>
      </w:r>
      <w:r w:rsidR="00F6673A" w:rsidRPr="00F6673A">
        <w:rPr>
          <w:rFonts w:ascii="Times New Roman" w:hAnsi="Times New Roman" w:cs="Times New Roman"/>
          <w:sz w:val="24"/>
          <w:szCs w:val="24"/>
        </w:rPr>
        <w:t xml:space="preserve">varied significantly due to different </w:t>
      </w:r>
      <w:r>
        <w:rPr>
          <w:rFonts w:ascii="Times New Roman" w:hAnsi="Times New Roman" w:cs="Times New Roman"/>
          <w:sz w:val="24"/>
          <w:szCs w:val="24"/>
        </w:rPr>
        <w:t xml:space="preserve">integrated </w:t>
      </w:r>
      <w:r w:rsidR="00F6673A" w:rsidRPr="00F6673A">
        <w:rPr>
          <w:rFonts w:ascii="Times New Roman" w:eastAsia="Times New Roman" w:hAnsi="Times New Roman" w:cs="Times New Roman"/>
          <w:sz w:val="24"/>
          <w:szCs w:val="24"/>
          <w:lang w:val="en-US" w:bidi="en-US"/>
        </w:rPr>
        <w:t>nutrient management</w:t>
      </w:r>
      <w:r>
        <w:rPr>
          <w:rFonts w:ascii="Times New Roman" w:eastAsia="Times New Roman" w:hAnsi="Times New Roman" w:cs="Times New Roman"/>
          <w:sz w:val="24"/>
          <w:szCs w:val="24"/>
          <w:lang w:val="en-US" w:bidi="en-US"/>
        </w:rPr>
        <w:t xml:space="preserve"> practices</w:t>
      </w:r>
      <w:r w:rsidR="00F6673A" w:rsidRPr="00F6673A">
        <w:rPr>
          <w:rFonts w:ascii="Times New Roman" w:hAnsi="Times New Roman" w:cs="Times New Roman"/>
          <w:sz w:val="24"/>
          <w:szCs w:val="24"/>
        </w:rPr>
        <w:t xml:space="preserve">. </w:t>
      </w:r>
      <w:r>
        <w:rPr>
          <w:rFonts w:ascii="Times New Roman" w:hAnsi="Times New Roman" w:cs="Times New Roman"/>
          <w:sz w:val="24"/>
          <w:szCs w:val="24"/>
        </w:rPr>
        <w:t>Maximum stover yield of 5373</w:t>
      </w:r>
      <w:r w:rsidRPr="00EF398D">
        <w:rPr>
          <w:rFonts w:ascii="Times New Roman" w:hAnsi="Times New Roman" w:cs="Times New Roman"/>
          <w:sz w:val="24"/>
          <w:szCs w:val="24"/>
        </w:rPr>
        <w:t xml:space="preserve"> kg/ha was obtained when integrated nutrient management practice of STBFR + Lime + FYM + S 40kg/ha + 2 sprays of Borax @ 0.2% (T8) which was at par with T7, T9 and T6</w:t>
      </w:r>
      <w:r w:rsidR="009A25D6">
        <w:rPr>
          <w:rFonts w:ascii="Times New Roman" w:hAnsi="Times New Roman" w:cs="Times New Roman"/>
          <w:sz w:val="24"/>
          <w:szCs w:val="24"/>
        </w:rPr>
        <w:t xml:space="preserve">. </w:t>
      </w:r>
      <w:r w:rsidRPr="00EF398D">
        <w:rPr>
          <w:rFonts w:ascii="Times New Roman" w:hAnsi="Times New Roman" w:cs="Times New Roman"/>
          <w:sz w:val="24"/>
          <w:szCs w:val="24"/>
        </w:rPr>
        <w:t>Application of STBFR + Lime + FYM + S 40kg/ha + 2 sprays of Borax @ 0.2% (T8) and STBFR + Lime + FYM + S 40kg/ha + 1 spray of Bo</w:t>
      </w:r>
      <w:r>
        <w:rPr>
          <w:rFonts w:ascii="Times New Roman" w:hAnsi="Times New Roman" w:cs="Times New Roman"/>
          <w:sz w:val="24"/>
          <w:szCs w:val="24"/>
        </w:rPr>
        <w:t>rax @ 0.2% (T7) recorded 12.43</w:t>
      </w:r>
      <w:r w:rsidR="00BA2F16">
        <w:rPr>
          <w:rFonts w:ascii="Times New Roman" w:hAnsi="Times New Roman" w:cs="Times New Roman"/>
          <w:sz w:val="24"/>
          <w:szCs w:val="24"/>
        </w:rPr>
        <w:t>% and 11.44% increased stover</w:t>
      </w:r>
      <w:r w:rsidRPr="00EF398D">
        <w:rPr>
          <w:rFonts w:ascii="Times New Roman" w:hAnsi="Times New Roman" w:cs="Times New Roman"/>
          <w:sz w:val="24"/>
          <w:szCs w:val="24"/>
        </w:rPr>
        <w:t xml:space="preserve"> yield over STBFR respectively.</w:t>
      </w:r>
      <w:r>
        <w:rPr>
          <w:rFonts w:ascii="Times New Roman" w:eastAsia="Times New Roman" w:hAnsi="Times New Roman" w:cs="Times New Roman"/>
          <w:b/>
          <w:sz w:val="24"/>
          <w:szCs w:val="24"/>
          <w:lang w:val="en-US" w:bidi="en-US"/>
        </w:rPr>
        <w:t xml:space="preserve"> </w:t>
      </w:r>
    </w:p>
    <w:p w14:paraId="2DFD1E56" w14:textId="77777777" w:rsidR="009A25D6" w:rsidRDefault="009A25D6" w:rsidP="009A25D6">
      <w:pPr>
        <w:spacing w:before="240" w:after="120" w:line="360" w:lineRule="auto"/>
        <w:ind w:firstLine="720"/>
        <w:jc w:val="both"/>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D</w:t>
      </w:r>
      <w:r w:rsidR="00BA2F16">
        <w:rPr>
          <w:rFonts w:ascii="Times New Roman" w:hAnsi="Times New Roman" w:cs="Times New Roman"/>
          <w:sz w:val="24"/>
          <w:szCs w:val="24"/>
        </w:rPr>
        <w:t xml:space="preserve">ifferent integrated </w:t>
      </w:r>
      <w:r w:rsidR="009077C7">
        <w:rPr>
          <w:rFonts w:ascii="Times New Roman" w:hAnsi="Times New Roman" w:cs="Times New Roman"/>
          <w:sz w:val="24"/>
          <w:szCs w:val="24"/>
        </w:rPr>
        <w:t xml:space="preserve">nutrient management </w:t>
      </w:r>
      <w:r w:rsidR="00BA2F16">
        <w:rPr>
          <w:rFonts w:ascii="Times New Roman" w:hAnsi="Times New Roman" w:cs="Times New Roman"/>
          <w:sz w:val="24"/>
          <w:szCs w:val="24"/>
        </w:rPr>
        <w:t>practices on harvest indices of sunflower were</w:t>
      </w:r>
      <w:r w:rsidR="009077C7">
        <w:rPr>
          <w:rFonts w:ascii="Times New Roman" w:hAnsi="Times New Roman" w:cs="Times New Roman"/>
          <w:sz w:val="24"/>
          <w:szCs w:val="24"/>
        </w:rPr>
        <w:t xml:space="preserve"> found </w:t>
      </w:r>
      <w:r w:rsidR="00BA2F16">
        <w:rPr>
          <w:rFonts w:ascii="Times New Roman" w:hAnsi="Times New Roman" w:cs="Times New Roman"/>
          <w:sz w:val="24"/>
          <w:szCs w:val="24"/>
        </w:rPr>
        <w:t>to be significant. The H</w:t>
      </w:r>
      <w:r w:rsidR="00830C57" w:rsidRPr="00830C57">
        <w:rPr>
          <w:rFonts w:ascii="Times New Roman" w:eastAsia="Times New Roman" w:hAnsi="Times New Roman" w:cs="Times New Roman"/>
          <w:color w:val="000000"/>
          <w:sz w:val="24"/>
          <w:szCs w:val="24"/>
          <w:lang w:eastAsia="en-IN"/>
        </w:rPr>
        <w:t>arvest index range</w:t>
      </w:r>
      <w:r w:rsidR="00BA2F16">
        <w:rPr>
          <w:rFonts w:ascii="Times New Roman" w:eastAsia="Times New Roman" w:hAnsi="Times New Roman" w:cs="Times New Roman"/>
          <w:color w:val="000000"/>
          <w:sz w:val="24"/>
          <w:szCs w:val="24"/>
          <w:lang w:eastAsia="en-IN"/>
        </w:rPr>
        <w:t>d from 21.6% to 29.7</w:t>
      </w:r>
      <w:r w:rsidR="00830C57" w:rsidRPr="00830C57">
        <w:rPr>
          <w:rFonts w:ascii="Times New Roman" w:eastAsia="Times New Roman" w:hAnsi="Times New Roman" w:cs="Times New Roman"/>
          <w:color w:val="000000"/>
          <w:sz w:val="24"/>
          <w:szCs w:val="24"/>
          <w:lang w:eastAsia="en-IN"/>
        </w:rPr>
        <w:t xml:space="preserve">%. </w:t>
      </w:r>
      <w:r w:rsidR="00BA2F16">
        <w:rPr>
          <w:rFonts w:ascii="Times New Roman" w:eastAsia="Times New Roman" w:hAnsi="Times New Roman" w:cs="Times New Roman"/>
          <w:color w:val="000000"/>
          <w:sz w:val="24"/>
          <w:szCs w:val="24"/>
          <w:lang w:eastAsia="en-IN"/>
        </w:rPr>
        <w:t xml:space="preserve">Highest Harvest index of 29.7% was recorded with </w:t>
      </w:r>
      <w:r w:rsidR="00BA2F16" w:rsidRPr="00BA2F16">
        <w:rPr>
          <w:rFonts w:ascii="Times New Roman" w:eastAsia="Times New Roman" w:hAnsi="Times New Roman" w:cs="Times New Roman"/>
          <w:color w:val="000000"/>
          <w:sz w:val="24"/>
          <w:szCs w:val="24"/>
          <w:lang w:eastAsia="en-IN"/>
        </w:rPr>
        <w:t>STBFR + Lime + FYM + S 40kg/ha + 2 sprays of Borax @ 0.2% (T8)</w:t>
      </w:r>
      <w:r w:rsidR="00BA2F16">
        <w:rPr>
          <w:rFonts w:ascii="Times New Roman" w:eastAsia="Times New Roman" w:hAnsi="Times New Roman" w:cs="Times New Roman"/>
          <w:color w:val="000000"/>
          <w:sz w:val="24"/>
          <w:szCs w:val="24"/>
          <w:lang w:eastAsia="en-IN"/>
        </w:rPr>
        <w:t xml:space="preserve"> which was at par with </w:t>
      </w:r>
      <w:r w:rsidR="00BA2F16" w:rsidRPr="00BA2F16">
        <w:rPr>
          <w:rFonts w:ascii="Times New Roman" w:eastAsia="Times New Roman" w:hAnsi="Times New Roman" w:cs="Times New Roman"/>
          <w:color w:val="000000"/>
          <w:sz w:val="24"/>
          <w:szCs w:val="24"/>
          <w:lang w:eastAsia="en-IN"/>
        </w:rPr>
        <w:t xml:space="preserve">STBFR + Lime + FYM + S 40kg/ha + 1 spray of </w:t>
      </w:r>
      <w:r w:rsidR="00BA2F16">
        <w:rPr>
          <w:rFonts w:ascii="Times New Roman" w:eastAsia="Times New Roman" w:hAnsi="Times New Roman" w:cs="Times New Roman"/>
          <w:color w:val="000000"/>
          <w:sz w:val="24"/>
          <w:szCs w:val="24"/>
          <w:lang w:eastAsia="en-IN"/>
        </w:rPr>
        <w:t xml:space="preserve">Borax @ 0.2% (T7), T6, T5, T4. </w:t>
      </w:r>
      <w:r w:rsidRPr="009A25D6">
        <w:rPr>
          <w:rFonts w:ascii="Times New Roman" w:eastAsia="Times New Roman" w:hAnsi="Times New Roman" w:cs="Times New Roman"/>
          <w:color w:val="000000"/>
          <w:sz w:val="24"/>
          <w:szCs w:val="24"/>
          <w:lang w:eastAsia="en-IN"/>
        </w:rPr>
        <w:t xml:space="preserve">Maximum B: C ratio of 2.91 was computed with integrated nutrient management practice of STBFR + Lime + FYM + S 40kg/ha + 2 sprays of Borax @ 0.2% (T8) applied to </w:t>
      </w:r>
      <w:r w:rsidRPr="009A25D6">
        <w:rPr>
          <w:rFonts w:ascii="Times New Roman" w:eastAsia="Times New Roman" w:hAnsi="Times New Roman" w:cs="Times New Roman"/>
          <w:i/>
          <w:iCs/>
          <w:color w:val="000000"/>
          <w:sz w:val="24"/>
          <w:szCs w:val="24"/>
          <w:lang w:eastAsia="en-IN"/>
        </w:rPr>
        <w:t xml:space="preserve">rabi </w:t>
      </w:r>
      <w:r w:rsidRPr="009A25D6">
        <w:rPr>
          <w:rFonts w:ascii="Times New Roman" w:eastAsia="Times New Roman" w:hAnsi="Times New Roman" w:cs="Times New Roman"/>
          <w:color w:val="000000"/>
          <w:sz w:val="24"/>
          <w:szCs w:val="24"/>
          <w:lang w:eastAsia="en-IN"/>
        </w:rPr>
        <w:t>sunflower crop.</w:t>
      </w:r>
    </w:p>
    <w:p w14:paraId="22DE685B" w14:textId="77777777" w:rsidR="00BB5CB5" w:rsidRPr="00956B7A" w:rsidRDefault="00956B7A" w:rsidP="002F35F3">
      <w:pPr>
        <w:spacing w:before="240" w:after="120" w:line="360" w:lineRule="auto"/>
        <w:jc w:val="both"/>
        <w:rPr>
          <w:rFonts w:ascii="Times New Roman" w:eastAsia="Times New Roman" w:hAnsi="Times New Roman" w:cs="Times New Roman"/>
          <w:b/>
          <w:bCs/>
          <w:color w:val="000000"/>
          <w:sz w:val="24"/>
          <w:szCs w:val="24"/>
          <w:lang w:eastAsia="en-IN"/>
        </w:rPr>
      </w:pPr>
      <w:r w:rsidRPr="00956B7A">
        <w:rPr>
          <w:rFonts w:ascii="Times New Roman" w:eastAsia="Times New Roman" w:hAnsi="Times New Roman" w:cs="Times New Roman"/>
          <w:b/>
          <w:bCs/>
          <w:color w:val="000000"/>
          <w:sz w:val="24"/>
          <w:szCs w:val="24"/>
          <w:lang w:eastAsia="en-IN"/>
        </w:rPr>
        <w:lastRenderedPageBreak/>
        <w:t xml:space="preserve">Table 2 </w:t>
      </w:r>
      <w:r w:rsidR="00CB38E6" w:rsidRPr="00956B7A">
        <w:rPr>
          <w:rFonts w:ascii="Times New Roman" w:eastAsia="Times New Roman" w:hAnsi="Times New Roman" w:cs="Times New Roman"/>
          <w:b/>
          <w:bCs/>
          <w:color w:val="000000"/>
          <w:sz w:val="24"/>
          <w:szCs w:val="24"/>
          <w:lang w:eastAsia="en-IN"/>
        </w:rPr>
        <w:t>Nutrient uptake in seed and stover of sunflower as influenced by different integrated nutrient management practices</w:t>
      </w:r>
    </w:p>
    <w:p w14:paraId="49562055" w14:textId="77777777" w:rsidR="00BB5CB5" w:rsidRDefault="00BB5CB5" w:rsidP="00DC1758">
      <w:pPr>
        <w:spacing w:before="240" w:after="120" w:line="360" w:lineRule="auto"/>
        <w:ind w:firstLine="720"/>
        <w:jc w:val="both"/>
        <w:rPr>
          <w:rFonts w:ascii="Times New Roman" w:eastAsia="Times New Roman" w:hAnsi="Times New Roman" w:cs="Times New Roman"/>
          <w:color w:val="000000"/>
          <w:sz w:val="24"/>
          <w:szCs w:val="24"/>
          <w:lang w:eastAsia="en-IN"/>
        </w:rPr>
      </w:pPr>
    </w:p>
    <w:tbl>
      <w:tblPr>
        <w:tblW w:w="11520" w:type="dxa"/>
        <w:tblInd w:w="-1951" w:type="dxa"/>
        <w:tblCellMar>
          <w:left w:w="29" w:type="dxa"/>
          <w:right w:w="29" w:type="dxa"/>
        </w:tblCellMar>
        <w:tblLook w:val="04A0" w:firstRow="1" w:lastRow="0" w:firstColumn="1" w:lastColumn="0" w:noHBand="0" w:noVBand="1"/>
      </w:tblPr>
      <w:tblGrid>
        <w:gridCol w:w="360"/>
        <w:gridCol w:w="1548"/>
        <w:gridCol w:w="702"/>
        <w:gridCol w:w="720"/>
        <w:gridCol w:w="498"/>
        <w:gridCol w:w="582"/>
        <w:gridCol w:w="540"/>
        <w:gridCol w:w="720"/>
        <w:gridCol w:w="450"/>
        <w:gridCol w:w="540"/>
        <w:gridCol w:w="630"/>
        <w:gridCol w:w="630"/>
        <w:gridCol w:w="863"/>
        <w:gridCol w:w="720"/>
        <w:gridCol w:w="630"/>
        <w:gridCol w:w="720"/>
        <w:gridCol w:w="667"/>
      </w:tblGrid>
      <w:tr w:rsidR="002A6BD2" w:rsidRPr="00CB38E6" w14:paraId="1EAB95B1" w14:textId="77777777" w:rsidTr="006F5C9A">
        <w:trPr>
          <w:trHeight w:val="525"/>
        </w:trPr>
        <w:tc>
          <w:tcPr>
            <w:tcW w:w="190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8233C57" w14:textId="77777777" w:rsidR="002A6BD2" w:rsidRPr="00CB38E6" w:rsidRDefault="002A6BD2"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Treatments</w:t>
            </w:r>
          </w:p>
        </w:tc>
        <w:tc>
          <w:tcPr>
            <w:tcW w:w="1920" w:type="dxa"/>
            <w:gridSpan w:val="3"/>
            <w:tcBorders>
              <w:top w:val="single" w:sz="4" w:space="0" w:color="auto"/>
              <w:left w:val="nil"/>
              <w:bottom w:val="single" w:sz="4" w:space="0" w:color="auto"/>
              <w:right w:val="single" w:sz="4" w:space="0" w:color="auto"/>
            </w:tcBorders>
            <w:noWrap/>
            <w:vAlign w:val="center"/>
            <w:hideMark/>
          </w:tcPr>
          <w:p w14:paraId="4ACE98D1" w14:textId="77777777" w:rsidR="002A6BD2" w:rsidRPr="00CB38E6" w:rsidRDefault="002A6BD2"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Nitrogen (kg/ha)</w:t>
            </w:r>
          </w:p>
        </w:tc>
        <w:tc>
          <w:tcPr>
            <w:tcW w:w="1842" w:type="dxa"/>
            <w:gridSpan w:val="3"/>
            <w:tcBorders>
              <w:top w:val="single" w:sz="4" w:space="0" w:color="auto"/>
              <w:left w:val="nil"/>
              <w:bottom w:val="single" w:sz="4" w:space="0" w:color="auto"/>
              <w:right w:val="single" w:sz="4" w:space="0" w:color="auto"/>
            </w:tcBorders>
            <w:noWrap/>
            <w:vAlign w:val="center"/>
            <w:hideMark/>
          </w:tcPr>
          <w:p w14:paraId="72C96124" w14:textId="77777777" w:rsidR="002A6BD2" w:rsidRPr="00CB38E6" w:rsidRDefault="002A6BD2"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Phosphorus (kg/ha)</w:t>
            </w:r>
          </w:p>
        </w:tc>
        <w:tc>
          <w:tcPr>
            <w:tcW w:w="1620" w:type="dxa"/>
            <w:gridSpan w:val="3"/>
            <w:tcBorders>
              <w:top w:val="single" w:sz="4" w:space="0" w:color="auto"/>
              <w:left w:val="nil"/>
              <w:bottom w:val="single" w:sz="4" w:space="0" w:color="auto"/>
              <w:right w:val="single" w:sz="4" w:space="0" w:color="auto"/>
            </w:tcBorders>
            <w:noWrap/>
            <w:vAlign w:val="center"/>
            <w:hideMark/>
          </w:tcPr>
          <w:p w14:paraId="32A08C67" w14:textId="77777777" w:rsidR="002A6BD2" w:rsidRPr="00CB38E6" w:rsidRDefault="002A6BD2"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Potassium (kg/ha)</w:t>
            </w:r>
          </w:p>
        </w:tc>
        <w:tc>
          <w:tcPr>
            <w:tcW w:w="4230" w:type="dxa"/>
            <w:gridSpan w:val="6"/>
            <w:tcBorders>
              <w:top w:val="single" w:sz="4" w:space="0" w:color="auto"/>
              <w:left w:val="nil"/>
              <w:bottom w:val="single" w:sz="4" w:space="0" w:color="auto"/>
              <w:right w:val="single" w:sz="4" w:space="0" w:color="auto"/>
            </w:tcBorders>
            <w:noWrap/>
            <w:vAlign w:val="center"/>
            <w:hideMark/>
          </w:tcPr>
          <w:p w14:paraId="54371BAA" w14:textId="77777777" w:rsidR="002A6BD2" w:rsidRDefault="002A6BD2" w:rsidP="002A6BD2">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noProof/>
                <w:color w:val="000000"/>
                <w:sz w:val="16"/>
                <w:szCs w:val="16"/>
                <w:lang w:val="en-US" w:bidi="or-IN"/>
              </w:rPr>
              <mc:AlternateContent>
                <mc:Choice Requires="wps">
                  <w:drawing>
                    <wp:anchor distT="0" distB="0" distL="114300" distR="114300" simplePos="0" relativeHeight="251660288" behindDoc="0" locked="0" layoutInCell="1" allowOverlap="1" wp14:anchorId="31A5C515" wp14:editId="3F867B57">
                      <wp:simplePos x="0" y="0"/>
                      <wp:positionH relativeFrom="column">
                        <wp:posOffset>1372235</wp:posOffset>
                      </wp:positionH>
                      <wp:positionV relativeFrom="paragraph">
                        <wp:posOffset>-6350</wp:posOffset>
                      </wp:positionV>
                      <wp:extent cx="7620" cy="487680"/>
                      <wp:effectExtent l="0" t="0" r="30480" b="26670"/>
                      <wp:wrapNone/>
                      <wp:docPr id="2" name="Straight Connector 2"/>
                      <wp:cNvGraphicFramePr/>
                      <a:graphic xmlns:a="http://schemas.openxmlformats.org/drawingml/2006/main">
                        <a:graphicData uri="http://schemas.microsoft.com/office/word/2010/wordprocessingShape">
                          <wps:wsp>
                            <wps:cNvCnPr/>
                            <wps:spPr>
                              <a:xfrm flipH="1">
                                <a:off x="0" y="0"/>
                                <a:ext cx="7620" cy="487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1A916C"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08.05pt,-.5pt" to="108.6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ozxQEAAM8DAAAOAAAAZHJzL2Uyb0RvYy54bWysU02P0zAQvSPxHyzfadIIdauo6R66Wjgg&#10;qFj4AV5n3Fjyl8amSf89Y6cNCBASaC9Wxp73Zt6bye5+soadAaP2ruPrVc0ZOOl77U4d//rl8c2W&#10;s5iE64XxDjp+gcjv969f7cbQQuMHb3pARiQutmPo+JBSaKsqygGsiCsfwNGj8mhFohBPVY9iJHZr&#10;qqauN9XosQ/oJcRItw/zI98XfqVApk9KRUjMdJx6S+XEcj7ns9rvRHtCEQYtr22I/+jCCu2o6EL1&#10;IJJg31D/RmW1RB+9SivpbeWV0hKKBlKzrn9R8zSIAEULmRPDYlN8OVr58XxEpvuON5w5YWlETwmF&#10;Pg2JHbxzZKBH1mSfxhBbSj+4I16jGI6YRU8KLVNGh/e0AsUGEsam4vJlcRmmxCRd3m0amoSkh7fb&#10;u822zKCaSTJZwJjegbcsf3TcaJctEK04f4iJClPqLYWC3NTcRvlKFwM52bjPoEgWlZsbKgsFB4Ps&#10;LGgVhJTg0jrLIr6SnWFKG7MA61L2r8BrfoZCWbZ/AS+IUtm7tICtdh7/VD1Nt5bVnH9zYNadLXj2&#10;/aUMqFhDW1MUXjc8r+XPcYH/+A/33wEAAP//AwBQSwMEFAAGAAgAAAAhAJBMi8DdAAAACQEAAA8A&#10;AABkcnMvZG93bnJldi54bWxMj8FOwzAQRO9I/IO1SNxaxwHaKs2mQpSeEQWkHt14SQL2OordNvl7&#10;zAmOq32aeVNuRmfFmYbQeUZQ8wwEce1Nxw3C+9tutgIRomajrWdCmCjAprq+KnVh/IVf6byPjUgh&#10;HAqN0MbYF1KGuiWnw9z3xOn36QenYzqHRppBX1K4szLPsoV0uuPU0Oqenlqqv/cnhxBs8/w1fUx+&#10;m5th2u7CgV7UPeLtzfi4BhFpjH8w/OondaiS09Gf2ARhEXK1UAlFmKm0KQG5Wt6BOCIsH1Ygq1L+&#10;X1D9AAAA//8DAFBLAQItABQABgAIAAAAIQC2gziS/gAAAOEBAAATAAAAAAAAAAAAAAAAAAAAAABb&#10;Q29udGVudF9UeXBlc10ueG1sUEsBAi0AFAAGAAgAAAAhADj9If/WAAAAlAEAAAsAAAAAAAAAAAAA&#10;AAAALwEAAF9yZWxzLy5yZWxzUEsBAi0AFAAGAAgAAAAhAOaUyjPFAQAAzwMAAA4AAAAAAAAAAAAA&#10;AAAALgIAAGRycy9lMm9Eb2MueG1sUEsBAi0AFAAGAAgAAAAhAJBMi8DdAAAACQEAAA8AAAAAAAAA&#10;AAAAAAAAHwQAAGRycy9kb3ducmV2LnhtbFBLBQYAAAAABAAEAPMAAAApBQAAAAA=&#10;" strokecolor="#4579b8 [3044]"/>
                  </w:pict>
                </mc:Fallback>
              </mc:AlternateContent>
            </w:r>
            <w:r>
              <w:rPr>
                <w:rFonts w:ascii="Times New Roman" w:eastAsia="Times New Roman" w:hAnsi="Times New Roman" w:cs="Times New Roman"/>
                <w:b/>
                <w:bCs/>
                <w:color w:val="000000"/>
                <w:sz w:val="16"/>
                <w:szCs w:val="16"/>
                <w:lang w:eastAsia="en-IN"/>
              </w:rPr>
              <w:t xml:space="preserve"> </w:t>
            </w:r>
          </w:p>
          <w:p w14:paraId="612D3733" w14:textId="77777777" w:rsidR="002A6BD2" w:rsidRPr="00CB38E6" w:rsidRDefault="002A6BD2" w:rsidP="002A6BD2">
            <w:pPr>
              <w:rPr>
                <w:sz w:val="18"/>
                <w:szCs w:val="18"/>
              </w:rPr>
            </w:pPr>
            <w:r>
              <w:rPr>
                <w:rFonts w:ascii="Times New Roman" w:eastAsia="Times New Roman" w:hAnsi="Times New Roman" w:cs="Times New Roman"/>
                <w:b/>
                <w:bCs/>
                <w:color w:val="000000"/>
                <w:sz w:val="16"/>
                <w:szCs w:val="16"/>
                <w:lang w:eastAsia="en-IN"/>
              </w:rPr>
              <w:t xml:space="preserve">   </w:t>
            </w:r>
            <w:r w:rsidRPr="002A6BD2">
              <w:rPr>
                <w:rFonts w:ascii="Times New Roman" w:eastAsia="Times New Roman" w:hAnsi="Times New Roman" w:cs="Times New Roman"/>
                <w:b/>
                <w:bCs/>
                <w:color w:val="000000"/>
                <w:sz w:val="16"/>
                <w:szCs w:val="16"/>
                <w:lang w:eastAsia="en-IN"/>
              </w:rPr>
              <w:t>Sulphur (kg/ha)</w:t>
            </w:r>
            <w:r>
              <w:rPr>
                <w:rFonts w:ascii="Times New Roman" w:eastAsia="Times New Roman" w:hAnsi="Times New Roman" w:cs="Times New Roman"/>
                <w:b/>
                <w:bCs/>
                <w:color w:val="000000"/>
                <w:sz w:val="16"/>
                <w:szCs w:val="16"/>
                <w:lang w:eastAsia="en-IN"/>
              </w:rPr>
              <w:t xml:space="preserve">                                  </w:t>
            </w:r>
            <w:r w:rsidRPr="002A6BD2">
              <w:rPr>
                <w:rFonts w:ascii="Times New Roman" w:eastAsia="Times New Roman" w:hAnsi="Times New Roman" w:cs="Times New Roman"/>
                <w:b/>
                <w:bCs/>
                <w:color w:val="000000"/>
                <w:sz w:val="16"/>
                <w:szCs w:val="16"/>
                <w:lang w:eastAsia="en-IN"/>
              </w:rPr>
              <w:t>Boron (g/ha)</w:t>
            </w:r>
            <w:r>
              <w:rPr>
                <w:rFonts w:ascii="Times New Roman" w:eastAsia="Times New Roman" w:hAnsi="Times New Roman" w:cs="Times New Roman"/>
                <w:b/>
                <w:bCs/>
                <w:color w:val="000000"/>
                <w:sz w:val="16"/>
                <w:szCs w:val="16"/>
                <w:lang w:eastAsia="en-IN"/>
              </w:rPr>
              <w:t xml:space="preserve">                              </w:t>
            </w:r>
          </w:p>
        </w:tc>
      </w:tr>
      <w:tr w:rsidR="00CB38E6" w:rsidRPr="00CB38E6" w14:paraId="4576652B" w14:textId="77777777" w:rsidTr="00CB38E6">
        <w:trPr>
          <w:trHeight w:val="620"/>
        </w:trPr>
        <w:tc>
          <w:tcPr>
            <w:tcW w:w="1908" w:type="dxa"/>
            <w:gridSpan w:val="2"/>
            <w:vMerge/>
            <w:tcBorders>
              <w:top w:val="single" w:sz="4" w:space="0" w:color="auto"/>
              <w:left w:val="single" w:sz="4" w:space="0" w:color="auto"/>
              <w:bottom w:val="single" w:sz="4" w:space="0" w:color="auto"/>
              <w:right w:val="single" w:sz="4" w:space="0" w:color="auto"/>
            </w:tcBorders>
            <w:vAlign w:val="center"/>
            <w:hideMark/>
          </w:tcPr>
          <w:p w14:paraId="379A6BF0" w14:textId="77777777" w:rsidR="00BB5CB5" w:rsidRPr="00CB38E6" w:rsidRDefault="00BB5CB5" w:rsidP="00000AA4">
            <w:pPr>
              <w:spacing w:after="0" w:line="240" w:lineRule="auto"/>
              <w:rPr>
                <w:rFonts w:ascii="Times New Roman" w:eastAsia="Times New Roman" w:hAnsi="Times New Roman" w:cs="Times New Roman"/>
                <w:b/>
                <w:bCs/>
                <w:color w:val="000000"/>
                <w:sz w:val="16"/>
                <w:szCs w:val="16"/>
                <w:lang w:eastAsia="en-IN"/>
              </w:rPr>
            </w:pPr>
          </w:p>
        </w:tc>
        <w:tc>
          <w:tcPr>
            <w:tcW w:w="702" w:type="dxa"/>
            <w:tcBorders>
              <w:top w:val="nil"/>
              <w:left w:val="nil"/>
              <w:bottom w:val="single" w:sz="4" w:space="0" w:color="auto"/>
              <w:right w:val="single" w:sz="4" w:space="0" w:color="auto"/>
            </w:tcBorders>
            <w:noWrap/>
            <w:vAlign w:val="center"/>
            <w:hideMark/>
          </w:tcPr>
          <w:p w14:paraId="3A2B985A"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Seed</w:t>
            </w:r>
          </w:p>
        </w:tc>
        <w:tc>
          <w:tcPr>
            <w:tcW w:w="720" w:type="dxa"/>
            <w:tcBorders>
              <w:top w:val="nil"/>
              <w:left w:val="nil"/>
              <w:bottom w:val="single" w:sz="4" w:space="0" w:color="auto"/>
              <w:right w:val="single" w:sz="4" w:space="0" w:color="auto"/>
            </w:tcBorders>
            <w:noWrap/>
            <w:vAlign w:val="center"/>
            <w:hideMark/>
          </w:tcPr>
          <w:p w14:paraId="35807715"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Stover</w:t>
            </w:r>
          </w:p>
        </w:tc>
        <w:tc>
          <w:tcPr>
            <w:tcW w:w="498" w:type="dxa"/>
            <w:tcBorders>
              <w:top w:val="nil"/>
              <w:left w:val="nil"/>
              <w:bottom w:val="single" w:sz="4" w:space="0" w:color="auto"/>
              <w:right w:val="single" w:sz="4" w:space="0" w:color="auto"/>
            </w:tcBorders>
            <w:noWrap/>
            <w:vAlign w:val="center"/>
            <w:hideMark/>
          </w:tcPr>
          <w:p w14:paraId="1C6537EC"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Total</w:t>
            </w:r>
          </w:p>
        </w:tc>
        <w:tc>
          <w:tcPr>
            <w:tcW w:w="582" w:type="dxa"/>
            <w:tcBorders>
              <w:top w:val="nil"/>
              <w:left w:val="nil"/>
              <w:bottom w:val="single" w:sz="4" w:space="0" w:color="auto"/>
              <w:right w:val="single" w:sz="4" w:space="0" w:color="auto"/>
            </w:tcBorders>
            <w:noWrap/>
            <w:vAlign w:val="center"/>
            <w:hideMark/>
          </w:tcPr>
          <w:p w14:paraId="721F23A9"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Seed</w:t>
            </w:r>
          </w:p>
        </w:tc>
        <w:tc>
          <w:tcPr>
            <w:tcW w:w="540" w:type="dxa"/>
            <w:tcBorders>
              <w:top w:val="nil"/>
              <w:left w:val="nil"/>
              <w:bottom w:val="single" w:sz="4" w:space="0" w:color="auto"/>
              <w:right w:val="single" w:sz="4" w:space="0" w:color="auto"/>
            </w:tcBorders>
            <w:noWrap/>
            <w:vAlign w:val="center"/>
            <w:hideMark/>
          </w:tcPr>
          <w:p w14:paraId="2FA7FCD0"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Stover</w:t>
            </w:r>
          </w:p>
        </w:tc>
        <w:tc>
          <w:tcPr>
            <w:tcW w:w="720" w:type="dxa"/>
            <w:tcBorders>
              <w:top w:val="nil"/>
              <w:left w:val="nil"/>
              <w:bottom w:val="single" w:sz="4" w:space="0" w:color="auto"/>
              <w:right w:val="single" w:sz="4" w:space="0" w:color="auto"/>
            </w:tcBorders>
            <w:noWrap/>
            <w:vAlign w:val="center"/>
            <w:hideMark/>
          </w:tcPr>
          <w:p w14:paraId="5A9A7920"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Total</w:t>
            </w:r>
          </w:p>
        </w:tc>
        <w:tc>
          <w:tcPr>
            <w:tcW w:w="450" w:type="dxa"/>
            <w:tcBorders>
              <w:top w:val="nil"/>
              <w:left w:val="nil"/>
              <w:bottom w:val="single" w:sz="4" w:space="0" w:color="auto"/>
              <w:right w:val="single" w:sz="4" w:space="0" w:color="auto"/>
            </w:tcBorders>
            <w:noWrap/>
            <w:vAlign w:val="center"/>
            <w:hideMark/>
          </w:tcPr>
          <w:p w14:paraId="732597FD"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Seed</w:t>
            </w:r>
          </w:p>
        </w:tc>
        <w:tc>
          <w:tcPr>
            <w:tcW w:w="540" w:type="dxa"/>
            <w:tcBorders>
              <w:top w:val="nil"/>
              <w:left w:val="nil"/>
              <w:bottom w:val="single" w:sz="4" w:space="0" w:color="auto"/>
              <w:right w:val="single" w:sz="4" w:space="0" w:color="auto"/>
            </w:tcBorders>
            <w:noWrap/>
            <w:vAlign w:val="center"/>
            <w:hideMark/>
          </w:tcPr>
          <w:p w14:paraId="0444BD2D"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Stover</w:t>
            </w:r>
          </w:p>
        </w:tc>
        <w:tc>
          <w:tcPr>
            <w:tcW w:w="630" w:type="dxa"/>
            <w:tcBorders>
              <w:top w:val="nil"/>
              <w:left w:val="nil"/>
              <w:bottom w:val="single" w:sz="4" w:space="0" w:color="auto"/>
              <w:right w:val="single" w:sz="4" w:space="0" w:color="auto"/>
            </w:tcBorders>
            <w:noWrap/>
            <w:vAlign w:val="center"/>
            <w:hideMark/>
          </w:tcPr>
          <w:p w14:paraId="5C1A08FD"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Total</w:t>
            </w:r>
          </w:p>
        </w:tc>
        <w:tc>
          <w:tcPr>
            <w:tcW w:w="630" w:type="dxa"/>
            <w:tcBorders>
              <w:top w:val="nil"/>
              <w:left w:val="nil"/>
              <w:bottom w:val="single" w:sz="4" w:space="0" w:color="auto"/>
              <w:right w:val="single" w:sz="4" w:space="0" w:color="auto"/>
            </w:tcBorders>
            <w:noWrap/>
            <w:vAlign w:val="center"/>
            <w:hideMark/>
          </w:tcPr>
          <w:p w14:paraId="6DD7C11A"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Seed</w:t>
            </w:r>
          </w:p>
        </w:tc>
        <w:tc>
          <w:tcPr>
            <w:tcW w:w="863" w:type="dxa"/>
            <w:tcBorders>
              <w:top w:val="nil"/>
              <w:left w:val="nil"/>
              <w:bottom w:val="single" w:sz="4" w:space="0" w:color="auto"/>
              <w:right w:val="single" w:sz="4" w:space="0" w:color="auto"/>
            </w:tcBorders>
            <w:noWrap/>
            <w:vAlign w:val="center"/>
            <w:hideMark/>
          </w:tcPr>
          <w:p w14:paraId="0917F191"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Stover</w:t>
            </w:r>
          </w:p>
        </w:tc>
        <w:tc>
          <w:tcPr>
            <w:tcW w:w="720" w:type="dxa"/>
            <w:tcBorders>
              <w:top w:val="nil"/>
              <w:left w:val="nil"/>
              <w:bottom w:val="single" w:sz="4" w:space="0" w:color="auto"/>
              <w:right w:val="single" w:sz="4" w:space="0" w:color="auto"/>
            </w:tcBorders>
            <w:noWrap/>
            <w:vAlign w:val="center"/>
            <w:hideMark/>
          </w:tcPr>
          <w:p w14:paraId="769B0989"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Total</w:t>
            </w:r>
          </w:p>
        </w:tc>
        <w:tc>
          <w:tcPr>
            <w:tcW w:w="630" w:type="dxa"/>
            <w:tcBorders>
              <w:top w:val="nil"/>
              <w:left w:val="nil"/>
              <w:bottom w:val="single" w:sz="4" w:space="0" w:color="auto"/>
              <w:right w:val="single" w:sz="4" w:space="0" w:color="auto"/>
            </w:tcBorders>
            <w:noWrap/>
            <w:vAlign w:val="center"/>
            <w:hideMark/>
          </w:tcPr>
          <w:p w14:paraId="34C9C003"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Seed</w:t>
            </w:r>
          </w:p>
        </w:tc>
        <w:tc>
          <w:tcPr>
            <w:tcW w:w="720" w:type="dxa"/>
            <w:tcBorders>
              <w:top w:val="nil"/>
              <w:left w:val="nil"/>
              <w:bottom w:val="single" w:sz="4" w:space="0" w:color="auto"/>
              <w:right w:val="single" w:sz="4" w:space="0" w:color="auto"/>
            </w:tcBorders>
            <w:noWrap/>
            <w:vAlign w:val="center"/>
            <w:hideMark/>
          </w:tcPr>
          <w:p w14:paraId="3AD7F4A7"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Stover</w:t>
            </w:r>
          </w:p>
        </w:tc>
        <w:tc>
          <w:tcPr>
            <w:tcW w:w="667" w:type="dxa"/>
            <w:tcBorders>
              <w:top w:val="nil"/>
              <w:left w:val="nil"/>
              <w:bottom w:val="single" w:sz="4" w:space="0" w:color="auto"/>
              <w:right w:val="single" w:sz="4" w:space="0" w:color="auto"/>
            </w:tcBorders>
            <w:noWrap/>
            <w:vAlign w:val="center"/>
            <w:hideMark/>
          </w:tcPr>
          <w:p w14:paraId="09D1820A"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Total</w:t>
            </w:r>
          </w:p>
        </w:tc>
      </w:tr>
      <w:tr w:rsidR="00CB38E6" w:rsidRPr="00CB38E6" w14:paraId="7F767999" w14:textId="77777777" w:rsidTr="00CB38E6">
        <w:trPr>
          <w:trHeight w:val="629"/>
        </w:trPr>
        <w:tc>
          <w:tcPr>
            <w:tcW w:w="360" w:type="dxa"/>
            <w:tcBorders>
              <w:top w:val="nil"/>
              <w:left w:val="single" w:sz="4" w:space="0" w:color="auto"/>
              <w:bottom w:val="single" w:sz="4" w:space="0" w:color="auto"/>
              <w:right w:val="single" w:sz="4" w:space="0" w:color="auto"/>
            </w:tcBorders>
            <w:noWrap/>
            <w:vAlign w:val="center"/>
            <w:hideMark/>
          </w:tcPr>
          <w:p w14:paraId="6A13EA8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1</w:t>
            </w:r>
          </w:p>
        </w:tc>
        <w:tc>
          <w:tcPr>
            <w:tcW w:w="1548" w:type="dxa"/>
            <w:tcBorders>
              <w:top w:val="nil"/>
              <w:left w:val="nil"/>
              <w:bottom w:val="single" w:sz="4" w:space="0" w:color="auto"/>
              <w:right w:val="single" w:sz="4" w:space="0" w:color="auto"/>
            </w:tcBorders>
            <w:noWrap/>
            <w:vAlign w:val="center"/>
            <w:hideMark/>
          </w:tcPr>
          <w:p w14:paraId="191A0B73"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STBFR(60:100:60 kg N:P</w:t>
            </w:r>
            <w:r w:rsidRPr="00CB38E6">
              <w:rPr>
                <w:rFonts w:ascii="Times New Roman" w:eastAsia="Times New Roman" w:hAnsi="Times New Roman" w:cs="Times New Roman"/>
                <w:color w:val="000000"/>
                <w:sz w:val="16"/>
                <w:szCs w:val="16"/>
                <w:vertAlign w:val="subscript"/>
                <w:lang w:eastAsia="en-IN"/>
              </w:rPr>
              <w:t>2</w:t>
            </w:r>
            <w:r w:rsidRPr="00CB38E6">
              <w:rPr>
                <w:rFonts w:ascii="Times New Roman" w:eastAsia="Times New Roman" w:hAnsi="Times New Roman" w:cs="Times New Roman"/>
                <w:color w:val="000000"/>
                <w:sz w:val="16"/>
                <w:szCs w:val="16"/>
                <w:lang w:eastAsia="en-IN"/>
              </w:rPr>
              <w:t>O</w:t>
            </w:r>
            <w:r w:rsidRPr="00CB38E6">
              <w:rPr>
                <w:rFonts w:ascii="Times New Roman" w:eastAsia="Times New Roman" w:hAnsi="Times New Roman" w:cs="Times New Roman"/>
                <w:color w:val="000000"/>
                <w:sz w:val="16"/>
                <w:szCs w:val="16"/>
                <w:vertAlign w:val="subscript"/>
                <w:lang w:eastAsia="en-IN"/>
              </w:rPr>
              <w:t>5</w:t>
            </w:r>
            <w:r w:rsidRPr="00CB38E6">
              <w:rPr>
                <w:rFonts w:ascii="Times New Roman" w:eastAsia="Times New Roman" w:hAnsi="Times New Roman" w:cs="Times New Roman"/>
                <w:color w:val="000000"/>
                <w:sz w:val="16"/>
                <w:szCs w:val="16"/>
                <w:lang w:eastAsia="en-IN"/>
              </w:rPr>
              <w:t>:K</w:t>
            </w:r>
            <w:r w:rsidRPr="00CB38E6">
              <w:rPr>
                <w:rFonts w:ascii="Times New Roman" w:eastAsia="Times New Roman" w:hAnsi="Times New Roman" w:cs="Times New Roman"/>
                <w:color w:val="000000"/>
                <w:sz w:val="16"/>
                <w:szCs w:val="16"/>
                <w:vertAlign w:val="subscript"/>
                <w:lang w:eastAsia="en-IN"/>
              </w:rPr>
              <w:t>2</w:t>
            </w:r>
            <w:r w:rsidRPr="00CB38E6">
              <w:rPr>
                <w:rFonts w:ascii="Times New Roman" w:eastAsia="Times New Roman" w:hAnsi="Times New Roman" w:cs="Times New Roman"/>
                <w:color w:val="000000"/>
                <w:sz w:val="16"/>
                <w:szCs w:val="16"/>
                <w:lang w:eastAsia="en-IN"/>
              </w:rPr>
              <w:t>O/ha)</w:t>
            </w:r>
          </w:p>
        </w:tc>
        <w:tc>
          <w:tcPr>
            <w:tcW w:w="702" w:type="dxa"/>
            <w:tcBorders>
              <w:top w:val="nil"/>
              <w:left w:val="nil"/>
              <w:bottom w:val="single" w:sz="4" w:space="0" w:color="auto"/>
              <w:right w:val="single" w:sz="4" w:space="0" w:color="auto"/>
            </w:tcBorders>
            <w:noWrap/>
            <w:vAlign w:val="center"/>
          </w:tcPr>
          <w:p w14:paraId="173607A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40.16</w:t>
            </w:r>
          </w:p>
        </w:tc>
        <w:tc>
          <w:tcPr>
            <w:tcW w:w="720" w:type="dxa"/>
            <w:tcBorders>
              <w:top w:val="nil"/>
              <w:left w:val="nil"/>
              <w:bottom w:val="single" w:sz="4" w:space="0" w:color="auto"/>
              <w:right w:val="single" w:sz="4" w:space="0" w:color="auto"/>
            </w:tcBorders>
            <w:noWrap/>
            <w:vAlign w:val="center"/>
          </w:tcPr>
          <w:p w14:paraId="0ED0797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38.94</w:t>
            </w:r>
          </w:p>
        </w:tc>
        <w:tc>
          <w:tcPr>
            <w:tcW w:w="498" w:type="dxa"/>
            <w:tcBorders>
              <w:top w:val="nil"/>
              <w:left w:val="nil"/>
              <w:bottom w:val="single" w:sz="4" w:space="0" w:color="auto"/>
              <w:right w:val="single" w:sz="4" w:space="0" w:color="auto"/>
            </w:tcBorders>
            <w:noWrap/>
            <w:vAlign w:val="center"/>
          </w:tcPr>
          <w:p w14:paraId="6ECFD3D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79.10</w:t>
            </w:r>
          </w:p>
        </w:tc>
        <w:tc>
          <w:tcPr>
            <w:tcW w:w="582" w:type="dxa"/>
            <w:tcBorders>
              <w:top w:val="nil"/>
              <w:left w:val="nil"/>
              <w:bottom w:val="single" w:sz="4" w:space="0" w:color="auto"/>
              <w:right w:val="single" w:sz="4" w:space="0" w:color="auto"/>
            </w:tcBorders>
            <w:noWrap/>
            <w:vAlign w:val="center"/>
          </w:tcPr>
          <w:p w14:paraId="35FEDF9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10.94</w:t>
            </w:r>
          </w:p>
        </w:tc>
        <w:tc>
          <w:tcPr>
            <w:tcW w:w="540" w:type="dxa"/>
            <w:tcBorders>
              <w:top w:val="nil"/>
              <w:left w:val="nil"/>
              <w:bottom w:val="single" w:sz="4" w:space="0" w:color="auto"/>
              <w:right w:val="single" w:sz="4" w:space="0" w:color="auto"/>
            </w:tcBorders>
            <w:noWrap/>
            <w:vAlign w:val="center"/>
          </w:tcPr>
          <w:p w14:paraId="0DD52AE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3.49</w:t>
            </w:r>
          </w:p>
        </w:tc>
        <w:tc>
          <w:tcPr>
            <w:tcW w:w="720" w:type="dxa"/>
            <w:tcBorders>
              <w:top w:val="nil"/>
              <w:left w:val="nil"/>
              <w:bottom w:val="single" w:sz="4" w:space="0" w:color="auto"/>
              <w:right w:val="single" w:sz="4" w:space="0" w:color="auto"/>
            </w:tcBorders>
            <w:noWrap/>
            <w:vAlign w:val="center"/>
          </w:tcPr>
          <w:p w14:paraId="45DCBC56"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14.43</w:t>
            </w:r>
          </w:p>
        </w:tc>
        <w:tc>
          <w:tcPr>
            <w:tcW w:w="450" w:type="dxa"/>
            <w:tcBorders>
              <w:top w:val="nil"/>
              <w:left w:val="nil"/>
              <w:bottom w:val="single" w:sz="4" w:space="0" w:color="auto"/>
              <w:right w:val="single" w:sz="4" w:space="0" w:color="auto"/>
            </w:tcBorders>
            <w:noWrap/>
            <w:vAlign w:val="center"/>
          </w:tcPr>
          <w:p w14:paraId="4031FAD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9.21</w:t>
            </w:r>
          </w:p>
        </w:tc>
        <w:tc>
          <w:tcPr>
            <w:tcW w:w="540" w:type="dxa"/>
            <w:tcBorders>
              <w:top w:val="nil"/>
              <w:left w:val="nil"/>
              <w:bottom w:val="single" w:sz="4" w:space="0" w:color="auto"/>
              <w:right w:val="single" w:sz="4" w:space="0" w:color="auto"/>
            </w:tcBorders>
            <w:noWrap/>
            <w:vAlign w:val="center"/>
          </w:tcPr>
          <w:p w14:paraId="587114D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62.98</w:t>
            </w:r>
          </w:p>
        </w:tc>
        <w:tc>
          <w:tcPr>
            <w:tcW w:w="630" w:type="dxa"/>
            <w:tcBorders>
              <w:top w:val="nil"/>
              <w:left w:val="nil"/>
              <w:bottom w:val="single" w:sz="4" w:space="0" w:color="auto"/>
              <w:right w:val="single" w:sz="4" w:space="0" w:color="auto"/>
            </w:tcBorders>
            <w:noWrap/>
            <w:vAlign w:val="center"/>
          </w:tcPr>
          <w:p w14:paraId="053A982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72.19</w:t>
            </w:r>
          </w:p>
        </w:tc>
        <w:tc>
          <w:tcPr>
            <w:tcW w:w="630" w:type="dxa"/>
            <w:tcBorders>
              <w:top w:val="nil"/>
              <w:left w:val="nil"/>
              <w:bottom w:val="single" w:sz="4" w:space="0" w:color="auto"/>
              <w:right w:val="single" w:sz="4" w:space="0" w:color="auto"/>
            </w:tcBorders>
            <w:noWrap/>
            <w:vAlign w:val="center"/>
          </w:tcPr>
          <w:p w14:paraId="33EB4A7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5.51</w:t>
            </w:r>
          </w:p>
        </w:tc>
        <w:tc>
          <w:tcPr>
            <w:tcW w:w="863" w:type="dxa"/>
            <w:tcBorders>
              <w:top w:val="nil"/>
              <w:left w:val="nil"/>
              <w:bottom w:val="single" w:sz="4" w:space="0" w:color="auto"/>
              <w:right w:val="single" w:sz="4" w:space="0" w:color="auto"/>
            </w:tcBorders>
            <w:noWrap/>
            <w:vAlign w:val="center"/>
          </w:tcPr>
          <w:p w14:paraId="649553B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6.07</w:t>
            </w:r>
          </w:p>
        </w:tc>
        <w:tc>
          <w:tcPr>
            <w:tcW w:w="720" w:type="dxa"/>
            <w:tcBorders>
              <w:top w:val="nil"/>
              <w:left w:val="nil"/>
              <w:bottom w:val="single" w:sz="4" w:space="0" w:color="auto"/>
              <w:right w:val="single" w:sz="4" w:space="0" w:color="auto"/>
            </w:tcBorders>
            <w:noWrap/>
            <w:vAlign w:val="center"/>
          </w:tcPr>
          <w:p w14:paraId="4FBA213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11.58</w:t>
            </w:r>
          </w:p>
        </w:tc>
        <w:tc>
          <w:tcPr>
            <w:tcW w:w="630" w:type="dxa"/>
            <w:tcBorders>
              <w:top w:val="nil"/>
              <w:left w:val="nil"/>
              <w:bottom w:val="single" w:sz="4" w:space="0" w:color="auto"/>
              <w:right w:val="single" w:sz="4" w:space="0" w:color="auto"/>
            </w:tcBorders>
            <w:noWrap/>
            <w:vAlign w:val="center"/>
          </w:tcPr>
          <w:p w14:paraId="32995DF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35.45</w:t>
            </w:r>
          </w:p>
        </w:tc>
        <w:tc>
          <w:tcPr>
            <w:tcW w:w="720" w:type="dxa"/>
            <w:tcBorders>
              <w:top w:val="nil"/>
              <w:left w:val="nil"/>
              <w:bottom w:val="single" w:sz="4" w:space="0" w:color="auto"/>
              <w:right w:val="single" w:sz="4" w:space="0" w:color="auto"/>
            </w:tcBorders>
            <w:noWrap/>
            <w:vAlign w:val="center"/>
          </w:tcPr>
          <w:p w14:paraId="40B60FB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256.63</w:t>
            </w:r>
          </w:p>
        </w:tc>
        <w:tc>
          <w:tcPr>
            <w:tcW w:w="667" w:type="dxa"/>
            <w:tcBorders>
              <w:top w:val="nil"/>
              <w:left w:val="nil"/>
              <w:bottom w:val="single" w:sz="4" w:space="0" w:color="auto"/>
              <w:right w:val="single" w:sz="4" w:space="0" w:color="auto"/>
            </w:tcBorders>
            <w:noWrap/>
            <w:vAlign w:val="center"/>
          </w:tcPr>
          <w:p w14:paraId="2386A50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292.08</w:t>
            </w:r>
          </w:p>
        </w:tc>
      </w:tr>
      <w:tr w:rsidR="00CB38E6" w:rsidRPr="00CB38E6" w14:paraId="1D1D0B30"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7F23E44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2</w:t>
            </w:r>
          </w:p>
        </w:tc>
        <w:tc>
          <w:tcPr>
            <w:tcW w:w="1548" w:type="dxa"/>
            <w:tcBorders>
              <w:top w:val="nil"/>
              <w:left w:val="nil"/>
              <w:bottom w:val="single" w:sz="4" w:space="0" w:color="auto"/>
              <w:right w:val="single" w:sz="4" w:space="0" w:color="auto"/>
            </w:tcBorders>
            <w:noWrap/>
            <w:vAlign w:val="center"/>
            <w:hideMark/>
          </w:tcPr>
          <w:p w14:paraId="1EF9882F"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500 kg/ha</w:t>
            </w:r>
          </w:p>
        </w:tc>
        <w:tc>
          <w:tcPr>
            <w:tcW w:w="702" w:type="dxa"/>
            <w:tcBorders>
              <w:top w:val="nil"/>
              <w:left w:val="nil"/>
              <w:bottom w:val="single" w:sz="4" w:space="0" w:color="auto"/>
              <w:right w:val="single" w:sz="4" w:space="0" w:color="auto"/>
            </w:tcBorders>
            <w:noWrap/>
            <w:vAlign w:val="center"/>
          </w:tcPr>
          <w:p w14:paraId="65EA277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42.59</w:t>
            </w:r>
          </w:p>
        </w:tc>
        <w:tc>
          <w:tcPr>
            <w:tcW w:w="720" w:type="dxa"/>
            <w:tcBorders>
              <w:top w:val="nil"/>
              <w:left w:val="nil"/>
              <w:bottom w:val="single" w:sz="4" w:space="0" w:color="auto"/>
              <w:right w:val="single" w:sz="4" w:space="0" w:color="auto"/>
            </w:tcBorders>
            <w:noWrap/>
            <w:vAlign w:val="center"/>
          </w:tcPr>
          <w:p w14:paraId="62F83F5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40.94</w:t>
            </w:r>
          </w:p>
        </w:tc>
        <w:tc>
          <w:tcPr>
            <w:tcW w:w="498" w:type="dxa"/>
            <w:tcBorders>
              <w:top w:val="nil"/>
              <w:left w:val="nil"/>
              <w:bottom w:val="single" w:sz="4" w:space="0" w:color="auto"/>
              <w:right w:val="single" w:sz="4" w:space="0" w:color="auto"/>
            </w:tcBorders>
            <w:noWrap/>
            <w:vAlign w:val="center"/>
          </w:tcPr>
          <w:p w14:paraId="68A2E14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83.53</w:t>
            </w:r>
          </w:p>
        </w:tc>
        <w:tc>
          <w:tcPr>
            <w:tcW w:w="582" w:type="dxa"/>
            <w:tcBorders>
              <w:top w:val="nil"/>
              <w:left w:val="nil"/>
              <w:bottom w:val="single" w:sz="4" w:space="0" w:color="auto"/>
              <w:right w:val="single" w:sz="4" w:space="0" w:color="auto"/>
            </w:tcBorders>
            <w:noWrap/>
            <w:vAlign w:val="center"/>
          </w:tcPr>
          <w:p w14:paraId="4BA8E6C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11.77</w:t>
            </w:r>
          </w:p>
        </w:tc>
        <w:tc>
          <w:tcPr>
            <w:tcW w:w="540" w:type="dxa"/>
            <w:tcBorders>
              <w:top w:val="nil"/>
              <w:left w:val="nil"/>
              <w:bottom w:val="single" w:sz="4" w:space="0" w:color="auto"/>
              <w:right w:val="single" w:sz="4" w:space="0" w:color="auto"/>
            </w:tcBorders>
            <w:noWrap/>
            <w:vAlign w:val="center"/>
          </w:tcPr>
          <w:p w14:paraId="29AA9B3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3.73</w:t>
            </w:r>
          </w:p>
        </w:tc>
        <w:tc>
          <w:tcPr>
            <w:tcW w:w="720" w:type="dxa"/>
            <w:tcBorders>
              <w:top w:val="nil"/>
              <w:left w:val="nil"/>
              <w:bottom w:val="single" w:sz="4" w:space="0" w:color="auto"/>
              <w:right w:val="single" w:sz="4" w:space="0" w:color="auto"/>
            </w:tcBorders>
            <w:noWrap/>
            <w:vAlign w:val="center"/>
          </w:tcPr>
          <w:p w14:paraId="1112546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15.50</w:t>
            </w:r>
          </w:p>
        </w:tc>
        <w:tc>
          <w:tcPr>
            <w:tcW w:w="450" w:type="dxa"/>
            <w:tcBorders>
              <w:top w:val="nil"/>
              <w:left w:val="nil"/>
              <w:bottom w:val="single" w:sz="4" w:space="0" w:color="auto"/>
              <w:right w:val="single" w:sz="4" w:space="0" w:color="auto"/>
            </w:tcBorders>
            <w:noWrap/>
            <w:vAlign w:val="center"/>
          </w:tcPr>
          <w:p w14:paraId="073D5DD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9.80</w:t>
            </w:r>
          </w:p>
        </w:tc>
        <w:tc>
          <w:tcPr>
            <w:tcW w:w="540" w:type="dxa"/>
            <w:tcBorders>
              <w:top w:val="nil"/>
              <w:left w:val="nil"/>
              <w:bottom w:val="single" w:sz="4" w:space="0" w:color="auto"/>
              <w:right w:val="single" w:sz="4" w:space="0" w:color="auto"/>
            </w:tcBorders>
            <w:noWrap/>
            <w:vAlign w:val="center"/>
          </w:tcPr>
          <w:p w14:paraId="5846F50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66.09</w:t>
            </w:r>
          </w:p>
        </w:tc>
        <w:tc>
          <w:tcPr>
            <w:tcW w:w="630" w:type="dxa"/>
            <w:tcBorders>
              <w:top w:val="nil"/>
              <w:left w:val="nil"/>
              <w:bottom w:val="single" w:sz="4" w:space="0" w:color="auto"/>
              <w:right w:val="single" w:sz="4" w:space="0" w:color="auto"/>
            </w:tcBorders>
            <w:noWrap/>
            <w:vAlign w:val="center"/>
          </w:tcPr>
          <w:p w14:paraId="3533C0A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75.89</w:t>
            </w:r>
          </w:p>
        </w:tc>
        <w:tc>
          <w:tcPr>
            <w:tcW w:w="630" w:type="dxa"/>
            <w:tcBorders>
              <w:top w:val="nil"/>
              <w:left w:val="nil"/>
              <w:bottom w:val="single" w:sz="4" w:space="0" w:color="auto"/>
              <w:right w:val="single" w:sz="4" w:space="0" w:color="auto"/>
            </w:tcBorders>
            <w:noWrap/>
            <w:vAlign w:val="center"/>
          </w:tcPr>
          <w:p w14:paraId="1D73753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6.04</w:t>
            </w:r>
          </w:p>
        </w:tc>
        <w:tc>
          <w:tcPr>
            <w:tcW w:w="863" w:type="dxa"/>
            <w:tcBorders>
              <w:top w:val="nil"/>
              <w:left w:val="nil"/>
              <w:bottom w:val="single" w:sz="4" w:space="0" w:color="auto"/>
              <w:right w:val="single" w:sz="4" w:space="0" w:color="auto"/>
            </w:tcBorders>
            <w:noWrap/>
            <w:vAlign w:val="center"/>
          </w:tcPr>
          <w:p w14:paraId="71651DB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6.72</w:t>
            </w:r>
          </w:p>
        </w:tc>
        <w:tc>
          <w:tcPr>
            <w:tcW w:w="720" w:type="dxa"/>
            <w:tcBorders>
              <w:top w:val="nil"/>
              <w:left w:val="nil"/>
              <w:bottom w:val="single" w:sz="4" w:space="0" w:color="auto"/>
              <w:right w:val="single" w:sz="4" w:space="0" w:color="auto"/>
            </w:tcBorders>
            <w:noWrap/>
            <w:vAlign w:val="center"/>
          </w:tcPr>
          <w:p w14:paraId="4F32DC8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12.76</w:t>
            </w:r>
          </w:p>
        </w:tc>
        <w:tc>
          <w:tcPr>
            <w:tcW w:w="630" w:type="dxa"/>
            <w:tcBorders>
              <w:top w:val="nil"/>
              <w:left w:val="nil"/>
              <w:bottom w:val="single" w:sz="4" w:space="0" w:color="auto"/>
              <w:right w:val="single" w:sz="4" w:space="0" w:color="auto"/>
            </w:tcBorders>
            <w:noWrap/>
            <w:vAlign w:val="center"/>
          </w:tcPr>
          <w:p w14:paraId="6D435DC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39.01</w:t>
            </w:r>
          </w:p>
        </w:tc>
        <w:tc>
          <w:tcPr>
            <w:tcW w:w="720" w:type="dxa"/>
            <w:tcBorders>
              <w:top w:val="nil"/>
              <w:left w:val="nil"/>
              <w:bottom w:val="single" w:sz="4" w:space="0" w:color="auto"/>
              <w:right w:val="single" w:sz="4" w:space="0" w:color="auto"/>
            </w:tcBorders>
            <w:noWrap/>
            <w:vAlign w:val="center"/>
          </w:tcPr>
          <w:p w14:paraId="4C720F6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272.41</w:t>
            </w:r>
          </w:p>
        </w:tc>
        <w:tc>
          <w:tcPr>
            <w:tcW w:w="667" w:type="dxa"/>
            <w:tcBorders>
              <w:top w:val="nil"/>
              <w:left w:val="nil"/>
              <w:bottom w:val="single" w:sz="4" w:space="0" w:color="auto"/>
              <w:right w:val="single" w:sz="4" w:space="0" w:color="auto"/>
            </w:tcBorders>
            <w:noWrap/>
            <w:vAlign w:val="center"/>
          </w:tcPr>
          <w:p w14:paraId="4EC600E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311.42</w:t>
            </w:r>
          </w:p>
        </w:tc>
      </w:tr>
      <w:tr w:rsidR="00CB38E6" w:rsidRPr="00CB38E6" w14:paraId="46A04736"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7E42FA8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3</w:t>
            </w:r>
          </w:p>
        </w:tc>
        <w:tc>
          <w:tcPr>
            <w:tcW w:w="1548" w:type="dxa"/>
            <w:tcBorders>
              <w:top w:val="nil"/>
              <w:left w:val="nil"/>
              <w:bottom w:val="single" w:sz="4" w:space="0" w:color="auto"/>
              <w:right w:val="single" w:sz="4" w:space="0" w:color="auto"/>
            </w:tcBorders>
            <w:noWrap/>
            <w:vAlign w:val="center"/>
            <w:hideMark/>
          </w:tcPr>
          <w:p w14:paraId="6A92729F"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FYM 5t/ha</w:t>
            </w:r>
          </w:p>
        </w:tc>
        <w:tc>
          <w:tcPr>
            <w:tcW w:w="702" w:type="dxa"/>
            <w:tcBorders>
              <w:top w:val="nil"/>
              <w:left w:val="nil"/>
              <w:bottom w:val="single" w:sz="4" w:space="0" w:color="auto"/>
              <w:right w:val="single" w:sz="4" w:space="0" w:color="auto"/>
            </w:tcBorders>
            <w:noWrap/>
            <w:vAlign w:val="center"/>
          </w:tcPr>
          <w:p w14:paraId="0F442C9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47.17</w:t>
            </w:r>
          </w:p>
        </w:tc>
        <w:tc>
          <w:tcPr>
            <w:tcW w:w="720" w:type="dxa"/>
            <w:tcBorders>
              <w:top w:val="nil"/>
              <w:left w:val="nil"/>
              <w:bottom w:val="single" w:sz="4" w:space="0" w:color="auto"/>
              <w:right w:val="single" w:sz="4" w:space="0" w:color="auto"/>
            </w:tcBorders>
            <w:noWrap/>
            <w:vAlign w:val="center"/>
          </w:tcPr>
          <w:p w14:paraId="456F1C6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41.24</w:t>
            </w:r>
          </w:p>
        </w:tc>
        <w:tc>
          <w:tcPr>
            <w:tcW w:w="498" w:type="dxa"/>
            <w:tcBorders>
              <w:top w:val="nil"/>
              <w:left w:val="nil"/>
              <w:bottom w:val="single" w:sz="4" w:space="0" w:color="auto"/>
              <w:right w:val="single" w:sz="4" w:space="0" w:color="auto"/>
            </w:tcBorders>
            <w:noWrap/>
            <w:vAlign w:val="center"/>
          </w:tcPr>
          <w:p w14:paraId="52A1982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88.41</w:t>
            </w:r>
          </w:p>
        </w:tc>
        <w:tc>
          <w:tcPr>
            <w:tcW w:w="582" w:type="dxa"/>
            <w:tcBorders>
              <w:top w:val="nil"/>
              <w:left w:val="nil"/>
              <w:bottom w:val="single" w:sz="4" w:space="0" w:color="auto"/>
              <w:right w:val="single" w:sz="4" w:space="0" w:color="auto"/>
            </w:tcBorders>
            <w:noWrap/>
            <w:vAlign w:val="center"/>
          </w:tcPr>
          <w:p w14:paraId="1C57BA6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13.01</w:t>
            </w:r>
          </w:p>
        </w:tc>
        <w:tc>
          <w:tcPr>
            <w:tcW w:w="540" w:type="dxa"/>
            <w:tcBorders>
              <w:top w:val="nil"/>
              <w:left w:val="nil"/>
              <w:bottom w:val="single" w:sz="4" w:space="0" w:color="auto"/>
              <w:right w:val="single" w:sz="4" w:space="0" w:color="auto"/>
            </w:tcBorders>
            <w:noWrap/>
            <w:vAlign w:val="center"/>
          </w:tcPr>
          <w:p w14:paraId="6C9618B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4.08</w:t>
            </w:r>
          </w:p>
        </w:tc>
        <w:tc>
          <w:tcPr>
            <w:tcW w:w="720" w:type="dxa"/>
            <w:tcBorders>
              <w:top w:val="nil"/>
              <w:left w:val="nil"/>
              <w:bottom w:val="single" w:sz="4" w:space="0" w:color="auto"/>
              <w:right w:val="single" w:sz="4" w:space="0" w:color="auto"/>
            </w:tcBorders>
            <w:noWrap/>
            <w:vAlign w:val="center"/>
          </w:tcPr>
          <w:p w14:paraId="5540146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17.09</w:t>
            </w:r>
          </w:p>
        </w:tc>
        <w:tc>
          <w:tcPr>
            <w:tcW w:w="450" w:type="dxa"/>
            <w:tcBorders>
              <w:top w:val="nil"/>
              <w:left w:val="nil"/>
              <w:bottom w:val="single" w:sz="4" w:space="0" w:color="auto"/>
              <w:right w:val="single" w:sz="4" w:space="0" w:color="auto"/>
            </w:tcBorders>
            <w:noWrap/>
            <w:vAlign w:val="center"/>
          </w:tcPr>
          <w:p w14:paraId="165AA1A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10.89</w:t>
            </w:r>
          </w:p>
        </w:tc>
        <w:tc>
          <w:tcPr>
            <w:tcW w:w="540" w:type="dxa"/>
            <w:tcBorders>
              <w:top w:val="nil"/>
              <w:left w:val="nil"/>
              <w:bottom w:val="single" w:sz="4" w:space="0" w:color="auto"/>
              <w:right w:val="single" w:sz="4" w:space="0" w:color="auto"/>
            </w:tcBorders>
            <w:noWrap/>
            <w:vAlign w:val="center"/>
          </w:tcPr>
          <w:p w14:paraId="2DF9854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66.43</w:t>
            </w:r>
          </w:p>
        </w:tc>
        <w:tc>
          <w:tcPr>
            <w:tcW w:w="630" w:type="dxa"/>
            <w:tcBorders>
              <w:top w:val="nil"/>
              <w:left w:val="nil"/>
              <w:bottom w:val="single" w:sz="4" w:space="0" w:color="auto"/>
              <w:right w:val="single" w:sz="4" w:space="0" w:color="auto"/>
            </w:tcBorders>
            <w:noWrap/>
            <w:vAlign w:val="center"/>
          </w:tcPr>
          <w:p w14:paraId="5879B77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77.32</w:t>
            </w:r>
          </w:p>
        </w:tc>
        <w:tc>
          <w:tcPr>
            <w:tcW w:w="630" w:type="dxa"/>
            <w:tcBorders>
              <w:top w:val="nil"/>
              <w:left w:val="nil"/>
              <w:bottom w:val="single" w:sz="4" w:space="0" w:color="auto"/>
              <w:right w:val="single" w:sz="4" w:space="0" w:color="auto"/>
            </w:tcBorders>
            <w:noWrap/>
            <w:vAlign w:val="center"/>
          </w:tcPr>
          <w:p w14:paraId="507F906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 xml:space="preserve">6.93   </w:t>
            </w:r>
          </w:p>
        </w:tc>
        <w:tc>
          <w:tcPr>
            <w:tcW w:w="863" w:type="dxa"/>
            <w:tcBorders>
              <w:top w:val="nil"/>
              <w:left w:val="nil"/>
              <w:bottom w:val="single" w:sz="4" w:space="0" w:color="auto"/>
              <w:right w:val="single" w:sz="4" w:space="0" w:color="auto"/>
            </w:tcBorders>
            <w:noWrap/>
            <w:vAlign w:val="center"/>
          </w:tcPr>
          <w:p w14:paraId="48D32F7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7.13</w:t>
            </w:r>
          </w:p>
        </w:tc>
        <w:tc>
          <w:tcPr>
            <w:tcW w:w="720" w:type="dxa"/>
            <w:tcBorders>
              <w:top w:val="nil"/>
              <w:left w:val="nil"/>
              <w:bottom w:val="single" w:sz="4" w:space="0" w:color="auto"/>
              <w:right w:val="single" w:sz="4" w:space="0" w:color="auto"/>
            </w:tcBorders>
            <w:noWrap/>
            <w:vAlign w:val="center"/>
          </w:tcPr>
          <w:p w14:paraId="68D0814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14.06</w:t>
            </w:r>
          </w:p>
        </w:tc>
        <w:tc>
          <w:tcPr>
            <w:tcW w:w="630" w:type="dxa"/>
            <w:tcBorders>
              <w:top w:val="nil"/>
              <w:left w:val="nil"/>
              <w:bottom w:val="single" w:sz="4" w:space="0" w:color="auto"/>
              <w:right w:val="single" w:sz="4" w:space="0" w:color="auto"/>
            </w:tcBorders>
            <w:noWrap/>
            <w:vAlign w:val="center"/>
          </w:tcPr>
          <w:p w14:paraId="21FB8E1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44.11</w:t>
            </w:r>
          </w:p>
        </w:tc>
        <w:tc>
          <w:tcPr>
            <w:tcW w:w="720" w:type="dxa"/>
            <w:tcBorders>
              <w:top w:val="nil"/>
              <w:left w:val="nil"/>
              <w:bottom w:val="single" w:sz="4" w:space="0" w:color="auto"/>
              <w:right w:val="single" w:sz="4" w:space="0" w:color="auto"/>
            </w:tcBorders>
            <w:noWrap/>
            <w:vAlign w:val="center"/>
          </w:tcPr>
          <w:p w14:paraId="4A866B9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275.43</w:t>
            </w:r>
          </w:p>
        </w:tc>
        <w:tc>
          <w:tcPr>
            <w:tcW w:w="667" w:type="dxa"/>
            <w:tcBorders>
              <w:top w:val="nil"/>
              <w:left w:val="nil"/>
              <w:bottom w:val="single" w:sz="4" w:space="0" w:color="auto"/>
              <w:right w:val="single" w:sz="4" w:space="0" w:color="auto"/>
            </w:tcBorders>
            <w:noWrap/>
            <w:vAlign w:val="center"/>
          </w:tcPr>
          <w:p w14:paraId="21DA169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319.54</w:t>
            </w:r>
          </w:p>
        </w:tc>
      </w:tr>
      <w:tr w:rsidR="00CB38E6" w:rsidRPr="00CB38E6" w14:paraId="317818A6"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0DD8C59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4</w:t>
            </w:r>
          </w:p>
        </w:tc>
        <w:tc>
          <w:tcPr>
            <w:tcW w:w="1548" w:type="dxa"/>
            <w:tcBorders>
              <w:top w:val="nil"/>
              <w:left w:val="nil"/>
              <w:bottom w:val="single" w:sz="4" w:space="0" w:color="auto"/>
              <w:right w:val="single" w:sz="4" w:space="0" w:color="auto"/>
            </w:tcBorders>
            <w:noWrap/>
            <w:vAlign w:val="center"/>
            <w:hideMark/>
          </w:tcPr>
          <w:p w14:paraId="50215666"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Vermicompost 2t/ha</w:t>
            </w:r>
          </w:p>
        </w:tc>
        <w:tc>
          <w:tcPr>
            <w:tcW w:w="702" w:type="dxa"/>
            <w:tcBorders>
              <w:top w:val="nil"/>
              <w:left w:val="nil"/>
              <w:bottom w:val="single" w:sz="4" w:space="0" w:color="auto"/>
              <w:right w:val="single" w:sz="4" w:space="0" w:color="auto"/>
            </w:tcBorders>
            <w:noWrap/>
            <w:vAlign w:val="center"/>
          </w:tcPr>
          <w:p w14:paraId="29FC5C66"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49.14</w:t>
            </w:r>
          </w:p>
        </w:tc>
        <w:tc>
          <w:tcPr>
            <w:tcW w:w="720" w:type="dxa"/>
            <w:tcBorders>
              <w:top w:val="nil"/>
              <w:left w:val="nil"/>
              <w:bottom w:val="single" w:sz="4" w:space="0" w:color="auto"/>
              <w:right w:val="single" w:sz="4" w:space="0" w:color="auto"/>
            </w:tcBorders>
            <w:noWrap/>
            <w:vAlign w:val="center"/>
          </w:tcPr>
          <w:p w14:paraId="51718A9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42.24</w:t>
            </w:r>
          </w:p>
        </w:tc>
        <w:tc>
          <w:tcPr>
            <w:tcW w:w="498" w:type="dxa"/>
            <w:tcBorders>
              <w:top w:val="nil"/>
              <w:left w:val="nil"/>
              <w:bottom w:val="single" w:sz="4" w:space="0" w:color="auto"/>
              <w:right w:val="single" w:sz="4" w:space="0" w:color="auto"/>
            </w:tcBorders>
            <w:noWrap/>
            <w:vAlign w:val="center"/>
          </w:tcPr>
          <w:p w14:paraId="0BDFE03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91.38</w:t>
            </w:r>
          </w:p>
        </w:tc>
        <w:tc>
          <w:tcPr>
            <w:tcW w:w="582" w:type="dxa"/>
            <w:tcBorders>
              <w:top w:val="nil"/>
              <w:left w:val="nil"/>
              <w:bottom w:val="single" w:sz="4" w:space="0" w:color="auto"/>
              <w:right w:val="single" w:sz="4" w:space="0" w:color="auto"/>
            </w:tcBorders>
            <w:noWrap/>
            <w:vAlign w:val="center"/>
          </w:tcPr>
          <w:p w14:paraId="26AA3BE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13.64</w:t>
            </w:r>
          </w:p>
        </w:tc>
        <w:tc>
          <w:tcPr>
            <w:tcW w:w="540" w:type="dxa"/>
            <w:tcBorders>
              <w:top w:val="nil"/>
              <w:left w:val="nil"/>
              <w:bottom w:val="single" w:sz="4" w:space="0" w:color="auto"/>
              <w:right w:val="single" w:sz="4" w:space="0" w:color="auto"/>
            </w:tcBorders>
            <w:noWrap/>
            <w:vAlign w:val="center"/>
          </w:tcPr>
          <w:p w14:paraId="6BC9128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3.98</w:t>
            </w:r>
          </w:p>
        </w:tc>
        <w:tc>
          <w:tcPr>
            <w:tcW w:w="720" w:type="dxa"/>
            <w:tcBorders>
              <w:top w:val="nil"/>
              <w:left w:val="nil"/>
              <w:bottom w:val="single" w:sz="4" w:space="0" w:color="auto"/>
              <w:right w:val="single" w:sz="4" w:space="0" w:color="auto"/>
            </w:tcBorders>
            <w:noWrap/>
            <w:vAlign w:val="center"/>
          </w:tcPr>
          <w:p w14:paraId="1BD826A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17.62</w:t>
            </w:r>
          </w:p>
        </w:tc>
        <w:tc>
          <w:tcPr>
            <w:tcW w:w="450" w:type="dxa"/>
            <w:tcBorders>
              <w:top w:val="nil"/>
              <w:left w:val="nil"/>
              <w:bottom w:val="single" w:sz="4" w:space="0" w:color="auto"/>
              <w:right w:val="single" w:sz="4" w:space="0" w:color="auto"/>
            </w:tcBorders>
            <w:noWrap/>
            <w:vAlign w:val="center"/>
          </w:tcPr>
          <w:p w14:paraId="4E4E857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11.50</w:t>
            </w:r>
          </w:p>
        </w:tc>
        <w:tc>
          <w:tcPr>
            <w:tcW w:w="540" w:type="dxa"/>
            <w:tcBorders>
              <w:top w:val="nil"/>
              <w:left w:val="nil"/>
              <w:bottom w:val="single" w:sz="4" w:space="0" w:color="auto"/>
              <w:right w:val="single" w:sz="4" w:space="0" w:color="auto"/>
            </w:tcBorders>
            <w:noWrap/>
            <w:vAlign w:val="center"/>
          </w:tcPr>
          <w:p w14:paraId="3564038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68.15</w:t>
            </w:r>
          </w:p>
        </w:tc>
        <w:tc>
          <w:tcPr>
            <w:tcW w:w="630" w:type="dxa"/>
            <w:tcBorders>
              <w:top w:val="nil"/>
              <w:left w:val="nil"/>
              <w:bottom w:val="single" w:sz="4" w:space="0" w:color="auto"/>
              <w:right w:val="single" w:sz="4" w:space="0" w:color="auto"/>
            </w:tcBorders>
            <w:noWrap/>
            <w:vAlign w:val="center"/>
          </w:tcPr>
          <w:p w14:paraId="58E8E45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79.65</w:t>
            </w:r>
          </w:p>
        </w:tc>
        <w:tc>
          <w:tcPr>
            <w:tcW w:w="630" w:type="dxa"/>
            <w:tcBorders>
              <w:top w:val="nil"/>
              <w:left w:val="nil"/>
              <w:bottom w:val="single" w:sz="4" w:space="0" w:color="auto"/>
              <w:right w:val="single" w:sz="4" w:space="0" w:color="auto"/>
            </w:tcBorders>
            <w:noWrap/>
            <w:vAlign w:val="center"/>
          </w:tcPr>
          <w:p w14:paraId="798D505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7.79</w:t>
            </w:r>
          </w:p>
        </w:tc>
        <w:tc>
          <w:tcPr>
            <w:tcW w:w="863" w:type="dxa"/>
            <w:tcBorders>
              <w:top w:val="nil"/>
              <w:left w:val="nil"/>
              <w:bottom w:val="single" w:sz="4" w:space="0" w:color="auto"/>
              <w:right w:val="single" w:sz="4" w:space="0" w:color="auto"/>
            </w:tcBorders>
            <w:noWrap/>
            <w:vAlign w:val="center"/>
          </w:tcPr>
          <w:p w14:paraId="3D513A2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7.91</w:t>
            </w:r>
          </w:p>
        </w:tc>
        <w:tc>
          <w:tcPr>
            <w:tcW w:w="720" w:type="dxa"/>
            <w:tcBorders>
              <w:top w:val="nil"/>
              <w:left w:val="nil"/>
              <w:bottom w:val="single" w:sz="4" w:space="0" w:color="auto"/>
              <w:right w:val="single" w:sz="4" w:space="0" w:color="auto"/>
            </w:tcBorders>
            <w:noWrap/>
            <w:vAlign w:val="center"/>
          </w:tcPr>
          <w:p w14:paraId="702FFA4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15.7</w:t>
            </w:r>
          </w:p>
        </w:tc>
        <w:tc>
          <w:tcPr>
            <w:tcW w:w="630" w:type="dxa"/>
            <w:tcBorders>
              <w:top w:val="nil"/>
              <w:left w:val="nil"/>
              <w:bottom w:val="single" w:sz="4" w:space="0" w:color="auto"/>
              <w:right w:val="single" w:sz="4" w:space="0" w:color="auto"/>
            </w:tcBorders>
            <w:noWrap/>
            <w:vAlign w:val="center"/>
          </w:tcPr>
          <w:p w14:paraId="7BA22E8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50.28</w:t>
            </w:r>
          </w:p>
        </w:tc>
        <w:tc>
          <w:tcPr>
            <w:tcW w:w="720" w:type="dxa"/>
            <w:tcBorders>
              <w:top w:val="nil"/>
              <w:left w:val="nil"/>
              <w:bottom w:val="single" w:sz="4" w:space="0" w:color="auto"/>
              <w:right w:val="single" w:sz="4" w:space="0" w:color="auto"/>
            </w:tcBorders>
            <w:noWrap/>
            <w:vAlign w:val="center"/>
          </w:tcPr>
          <w:p w14:paraId="17E06AE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290.92</w:t>
            </w:r>
          </w:p>
        </w:tc>
        <w:tc>
          <w:tcPr>
            <w:tcW w:w="667" w:type="dxa"/>
            <w:tcBorders>
              <w:top w:val="nil"/>
              <w:left w:val="nil"/>
              <w:bottom w:val="single" w:sz="4" w:space="0" w:color="auto"/>
              <w:right w:val="single" w:sz="4" w:space="0" w:color="auto"/>
            </w:tcBorders>
            <w:noWrap/>
            <w:vAlign w:val="center"/>
          </w:tcPr>
          <w:p w14:paraId="1772FD9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341.2</w:t>
            </w:r>
          </w:p>
        </w:tc>
      </w:tr>
      <w:tr w:rsidR="00CB38E6" w:rsidRPr="00CB38E6" w14:paraId="5B74CE3A"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67565D0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5</w:t>
            </w:r>
          </w:p>
        </w:tc>
        <w:tc>
          <w:tcPr>
            <w:tcW w:w="1548" w:type="dxa"/>
            <w:tcBorders>
              <w:top w:val="nil"/>
              <w:left w:val="nil"/>
              <w:bottom w:val="single" w:sz="4" w:space="0" w:color="auto"/>
              <w:right w:val="single" w:sz="4" w:space="0" w:color="auto"/>
            </w:tcBorders>
            <w:noWrap/>
            <w:vAlign w:val="center"/>
            <w:hideMark/>
          </w:tcPr>
          <w:p w14:paraId="773B2B95"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 FYM</w:t>
            </w:r>
          </w:p>
        </w:tc>
        <w:tc>
          <w:tcPr>
            <w:tcW w:w="702" w:type="dxa"/>
            <w:tcBorders>
              <w:top w:val="nil"/>
              <w:left w:val="nil"/>
              <w:bottom w:val="single" w:sz="4" w:space="0" w:color="auto"/>
              <w:right w:val="single" w:sz="4" w:space="0" w:color="auto"/>
            </w:tcBorders>
            <w:noWrap/>
            <w:vAlign w:val="center"/>
          </w:tcPr>
          <w:p w14:paraId="3403D7C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49.12</w:t>
            </w:r>
          </w:p>
        </w:tc>
        <w:tc>
          <w:tcPr>
            <w:tcW w:w="720" w:type="dxa"/>
            <w:tcBorders>
              <w:top w:val="nil"/>
              <w:left w:val="nil"/>
              <w:bottom w:val="single" w:sz="4" w:space="0" w:color="auto"/>
              <w:right w:val="single" w:sz="4" w:space="0" w:color="auto"/>
            </w:tcBorders>
            <w:noWrap/>
            <w:vAlign w:val="center"/>
          </w:tcPr>
          <w:p w14:paraId="1279053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42.37</w:t>
            </w:r>
          </w:p>
        </w:tc>
        <w:tc>
          <w:tcPr>
            <w:tcW w:w="498" w:type="dxa"/>
            <w:tcBorders>
              <w:top w:val="nil"/>
              <w:left w:val="nil"/>
              <w:bottom w:val="single" w:sz="4" w:space="0" w:color="auto"/>
              <w:right w:val="single" w:sz="4" w:space="0" w:color="auto"/>
            </w:tcBorders>
            <w:noWrap/>
            <w:vAlign w:val="center"/>
          </w:tcPr>
          <w:p w14:paraId="47CA03B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91.49</w:t>
            </w:r>
          </w:p>
        </w:tc>
        <w:tc>
          <w:tcPr>
            <w:tcW w:w="582" w:type="dxa"/>
            <w:tcBorders>
              <w:top w:val="nil"/>
              <w:left w:val="nil"/>
              <w:bottom w:val="single" w:sz="4" w:space="0" w:color="auto"/>
              <w:right w:val="single" w:sz="4" w:space="0" w:color="auto"/>
            </w:tcBorders>
            <w:noWrap/>
            <w:vAlign w:val="center"/>
          </w:tcPr>
          <w:p w14:paraId="2BFD838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13.59</w:t>
            </w:r>
          </w:p>
        </w:tc>
        <w:tc>
          <w:tcPr>
            <w:tcW w:w="540" w:type="dxa"/>
            <w:tcBorders>
              <w:top w:val="nil"/>
              <w:left w:val="nil"/>
              <w:bottom w:val="single" w:sz="4" w:space="0" w:color="auto"/>
              <w:right w:val="single" w:sz="4" w:space="0" w:color="auto"/>
            </w:tcBorders>
            <w:noWrap/>
            <w:vAlign w:val="center"/>
          </w:tcPr>
          <w:p w14:paraId="37ABE28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3.92</w:t>
            </w:r>
          </w:p>
        </w:tc>
        <w:tc>
          <w:tcPr>
            <w:tcW w:w="720" w:type="dxa"/>
            <w:tcBorders>
              <w:top w:val="nil"/>
              <w:left w:val="nil"/>
              <w:bottom w:val="single" w:sz="4" w:space="0" w:color="auto"/>
              <w:right w:val="single" w:sz="4" w:space="0" w:color="auto"/>
            </w:tcBorders>
            <w:noWrap/>
            <w:vAlign w:val="center"/>
          </w:tcPr>
          <w:p w14:paraId="581D507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17.51</w:t>
            </w:r>
          </w:p>
        </w:tc>
        <w:tc>
          <w:tcPr>
            <w:tcW w:w="450" w:type="dxa"/>
            <w:tcBorders>
              <w:top w:val="nil"/>
              <w:left w:val="nil"/>
              <w:bottom w:val="single" w:sz="4" w:space="0" w:color="auto"/>
              <w:right w:val="single" w:sz="4" w:space="0" w:color="auto"/>
            </w:tcBorders>
            <w:noWrap/>
            <w:vAlign w:val="center"/>
          </w:tcPr>
          <w:p w14:paraId="77A5E59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11.39</w:t>
            </w:r>
          </w:p>
        </w:tc>
        <w:tc>
          <w:tcPr>
            <w:tcW w:w="540" w:type="dxa"/>
            <w:tcBorders>
              <w:top w:val="nil"/>
              <w:left w:val="nil"/>
              <w:bottom w:val="single" w:sz="4" w:space="0" w:color="auto"/>
              <w:right w:val="single" w:sz="4" w:space="0" w:color="auto"/>
            </w:tcBorders>
            <w:noWrap/>
            <w:vAlign w:val="center"/>
          </w:tcPr>
          <w:p w14:paraId="32668AD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68.12</w:t>
            </w:r>
          </w:p>
        </w:tc>
        <w:tc>
          <w:tcPr>
            <w:tcW w:w="630" w:type="dxa"/>
            <w:tcBorders>
              <w:top w:val="nil"/>
              <w:left w:val="nil"/>
              <w:bottom w:val="single" w:sz="4" w:space="0" w:color="auto"/>
              <w:right w:val="single" w:sz="4" w:space="0" w:color="auto"/>
            </w:tcBorders>
            <w:noWrap/>
            <w:vAlign w:val="center"/>
          </w:tcPr>
          <w:p w14:paraId="22E8DC4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79.51</w:t>
            </w:r>
          </w:p>
        </w:tc>
        <w:tc>
          <w:tcPr>
            <w:tcW w:w="630" w:type="dxa"/>
            <w:tcBorders>
              <w:top w:val="nil"/>
              <w:left w:val="nil"/>
              <w:bottom w:val="single" w:sz="4" w:space="0" w:color="auto"/>
              <w:right w:val="single" w:sz="4" w:space="0" w:color="auto"/>
            </w:tcBorders>
            <w:noWrap/>
            <w:vAlign w:val="center"/>
          </w:tcPr>
          <w:p w14:paraId="5A5773E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7.47</w:t>
            </w:r>
          </w:p>
        </w:tc>
        <w:tc>
          <w:tcPr>
            <w:tcW w:w="863" w:type="dxa"/>
            <w:tcBorders>
              <w:top w:val="nil"/>
              <w:left w:val="nil"/>
              <w:bottom w:val="single" w:sz="4" w:space="0" w:color="auto"/>
              <w:right w:val="single" w:sz="4" w:space="0" w:color="auto"/>
            </w:tcBorders>
            <w:noWrap/>
            <w:vAlign w:val="center"/>
          </w:tcPr>
          <w:p w14:paraId="68060BC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7.39</w:t>
            </w:r>
          </w:p>
        </w:tc>
        <w:tc>
          <w:tcPr>
            <w:tcW w:w="720" w:type="dxa"/>
            <w:tcBorders>
              <w:top w:val="nil"/>
              <w:left w:val="nil"/>
              <w:bottom w:val="single" w:sz="4" w:space="0" w:color="auto"/>
              <w:right w:val="single" w:sz="4" w:space="0" w:color="auto"/>
            </w:tcBorders>
            <w:noWrap/>
            <w:vAlign w:val="center"/>
          </w:tcPr>
          <w:p w14:paraId="4AFFC21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14.86</w:t>
            </w:r>
          </w:p>
        </w:tc>
        <w:tc>
          <w:tcPr>
            <w:tcW w:w="630" w:type="dxa"/>
            <w:tcBorders>
              <w:top w:val="nil"/>
              <w:left w:val="nil"/>
              <w:bottom w:val="single" w:sz="4" w:space="0" w:color="auto"/>
              <w:right w:val="single" w:sz="4" w:space="0" w:color="auto"/>
            </w:tcBorders>
            <w:noWrap/>
            <w:vAlign w:val="center"/>
          </w:tcPr>
          <w:p w14:paraId="50C5C78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53.16</w:t>
            </w:r>
          </w:p>
        </w:tc>
        <w:tc>
          <w:tcPr>
            <w:tcW w:w="720" w:type="dxa"/>
            <w:tcBorders>
              <w:top w:val="nil"/>
              <w:left w:val="nil"/>
              <w:bottom w:val="single" w:sz="4" w:space="0" w:color="auto"/>
              <w:right w:val="single" w:sz="4" w:space="0" w:color="auto"/>
            </w:tcBorders>
            <w:noWrap/>
            <w:vAlign w:val="center"/>
          </w:tcPr>
          <w:p w14:paraId="4E84FB8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297.32</w:t>
            </w:r>
          </w:p>
        </w:tc>
        <w:tc>
          <w:tcPr>
            <w:tcW w:w="667" w:type="dxa"/>
            <w:tcBorders>
              <w:top w:val="nil"/>
              <w:left w:val="nil"/>
              <w:bottom w:val="single" w:sz="4" w:space="0" w:color="auto"/>
              <w:right w:val="single" w:sz="4" w:space="0" w:color="auto"/>
            </w:tcBorders>
            <w:noWrap/>
            <w:vAlign w:val="center"/>
          </w:tcPr>
          <w:p w14:paraId="5EB1862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350.48</w:t>
            </w:r>
          </w:p>
        </w:tc>
      </w:tr>
      <w:tr w:rsidR="00CB38E6" w:rsidRPr="00CB38E6" w14:paraId="75139734"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2B18602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6</w:t>
            </w:r>
          </w:p>
        </w:tc>
        <w:tc>
          <w:tcPr>
            <w:tcW w:w="1548" w:type="dxa"/>
            <w:tcBorders>
              <w:top w:val="nil"/>
              <w:left w:val="nil"/>
              <w:bottom w:val="single" w:sz="4" w:space="0" w:color="auto"/>
              <w:right w:val="single" w:sz="4" w:space="0" w:color="auto"/>
            </w:tcBorders>
            <w:noWrap/>
            <w:vAlign w:val="center"/>
            <w:hideMark/>
          </w:tcPr>
          <w:p w14:paraId="612DDD9C"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 FYM + S 40kg/ha</w:t>
            </w:r>
          </w:p>
        </w:tc>
        <w:tc>
          <w:tcPr>
            <w:tcW w:w="702" w:type="dxa"/>
            <w:tcBorders>
              <w:top w:val="nil"/>
              <w:left w:val="nil"/>
              <w:bottom w:val="single" w:sz="4" w:space="0" w:color="auto"/>
              <w:right w:val="single" w:sz="4" w:space="0" w:color="auto"/>
            </w:tcBorders>
            <w:noWrap/>
            <w:vAlign w:val="center"/>
          </w:tcPr>
          <w:p w14:paraId="379B85E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51.32</w:t>
            </w:r>
          </w:p>
        </w:tc>
        <w:tc>
          <w:tcPr>
            <w:tcW w:w="720" w:type="dxa"/>
            <w:tcBorders>
              <w:top w:val="nil"/>
              <w:left w:val="nil"/>
              <w:bottom w:val="single" w:sz="4" w:space="0" w:color="auto"/>
              <w:right w:val="single" w:sz="4" w:space="0" w:color="auto"/>
            </w:tcBorders>
            <w:noWrap/>
            <w:vAlign w:val="center"/>
          </w:tcPr>
          <w:p w14:paraId="646D061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42.85</w:t>
            </w:r>
          </w:p>
        </w:tc>
        <w:tc>
          <w:tcPr>
            <w:tcW w:w="498" w:type="dxa"/>
            <w:tcBorders>
              <w:top w:val="nil"/>
              <w:left w:val="nil"/>
              <w:bottom w:val="single" w:sz="4" w:space="0" w:color="auto"/>
              <w:right w:val="single" w:sz="4" w:space="0" w:color="auto"/>
            </w:tcBorders>
            <w:noWrap/>
            <w:vAlign w:val="center"/>
          </w:tcPr>
          <w:p w14:paraId="4590C23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94.17</w:t>
            </w:r>
          </w:p>
        </w:tc>
        <w:tc>
          <w:tcPr>
            <w:tcW w:w="582" w:type="dxa"/>
            <w:tcBorders>
              <w:top w:val="nil"/>
              <w:left w:val="nil"/>
              <w:bottom w:val="single" w:sz="4" w:space="0" w:color="auto"/>
              <w:right w:val="single" w:sz="4" w:space="0" w:color="auto"/>
            </w:tcBorders>
            <w:noWrap/>
            <w:vAlign w:val="center"/>
          </w:tcPr>
          <w:p w14:paraId="5D782BA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14.44</w:t>
            </w:r>
          </w:p>
        </w:tc>
        <w:tc>
          <w:tcPr>
            <w:tcW w:w="540" w:type="dxa"/>
            <w:tcBorders>
              <w:top w:val="nil"/>
              <w:left w:val="nil"/>
              <w:bottom w:val="single" w:sz="4" w:space="0" w:color="auto"/>
              <w:right w:val="single" w:sz="4" w:space="0" w:color="auto"/>
            </w:tcBorders>
            <w:noWrap/>
            <w:vAlign w:val="center"/>
          </w:tcPr>
          <w:p w14:paraId="662F4D7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4.23</w:t>
            </w:r>
          </w:p>
        </w:tc>
        <w:tc>
          <w:tcPr>
            <w:tcW w:w="720" w:type="dxa"/>
            <w:tcBorders>
              <w:top w:val="nil"/>
              <w:left w:val="nil"/>
              <w:bottom w:val="single" w:sz="4" w:space="0" w:color="auto"/>
              <w:right w:val="single" w:sz="4" w:space="0" w:color="auto"/>
            </w:tcBorders>
            <w:noWrap/>
            <w:vAlign w:val="center"/>
          </w:tcPr>
          <w:p w14:paraId="3FBB464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18.67</w:t>
            </w:r>
          </w:p>
        </w:tc>
        <w:tc>
          <w:tcPr>
            <w:tcW w:w="450" w:type="dxa"/>
            <w:tcBorders>
              <w:top w:val="nil"/>
              <w:left w:val="nil"/>
              <w:bottom w:val="single" w:sz="4" w:space="0" w:color="auto"/>
              <w:right w:val="single" w:sz="4" w:space="0" w:color="auto"/>
            </w:tcBorders>
            <w:noWrap/>
            <w:vAlign w:val="center"/>
          </w:tcPr>
          <w:p w14:paraId="0E8454F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12.00</w:t>
            </w:r>
          </w:p>
        </w:tc>
        <w:tc>
          <w:tcPr>
            <w:tcW w:w="540" w:type="dxa"/>
            <w:tcBorders>
              <w:top w:val="nil"/>
              <w:left w:val="nil"/>
              <w:bottom w:val="single" w:sz="4" w:space="0" w:color="auto"/>
              <w:right w:val="single" w:sz="4" w:space="0" w:color="auto"/>
            </w:tcBorders>
            <w:noWrap/>
            <w:vAlign w:val="center"/>
          </w:tcPr>
          <w:p w14:paraId="05BD01B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69.33</w:t>
            </w:r>
          </w:p>
        </w:tc>
        <w:tc>
          <w:tcPr>
            <w:tcW w:w="630" w:type="dxa"/>
            <w:tcBorders>
              <w:top w:val="nil"/>
              <w:left w:val="nil"/>
              <w:bottom w:val="single" w:sz="4" w:space="0" w:color="auto"/>
              <w:right w:val="single" w:sz="4" w:space="0" w:color="auto"/>
            </w:tcBorders>
            <w:noWrap/>
            <w:vAlign w:val="center"/>
          </w:tcPr>
          <w:p w14:paraId="3EF6BB5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81.33</w:t>
            </w:r>
          </w:p>
        </w:tc>
        <w:tc>
          <w:tcPr>
            <w:tcW w:w="630" w:type="dxa"/>
            <w:tcBorders>
              <w:top w:val="nil"/>
              <w:left w:val="nil"/>
              <w:bottom w:val="single" w:sz="4" w:space="0" w:color="auto"/>
              <w:right w:val="single" w:sz="4" w:space="0" w:color="auto"/>
            </w:tcBorders>
            <w:noWrap/>
            <w:vAlign w:val="center"/>
          </w:tcPr>
          <w:p w14:paraId="1A7DE2D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9.06</w:t>
            </w:r>
          </w:p>
        </w:tc>
        <w:tc>
          <w:tcPr>
            <w:tcW w:w="863" w:type="dxa"/>
            <w:tcBorders>
              <w:top w:val="nil"/>
              <w:left w:val="nil"/>
              <w:bottom w:val="single" w:sz="4" w:space="0" w:color="auto"/>
              <w:right w:val="single" w:sz="4" w:space="0" w:color="auto"/>
            </w:tcBorders>
            <w:noWrap/>
            <w:vAlign w:val="center"/>
          </w:tcPr>
          <w:p w14:paraId="6A74B4C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8.16</w:t>
            </w:r>
          </w:p>
        </w:tc>
        <w:tc>
          <w:tcPr>
            <w:tcW w:w="720" w:type="dxa"/>
            <w:tcBorders>
              <w:top w:val="nil"/>
              <w:left w:val="nil"/>
              <w:bottom w:val="single" w:sz="4" w:space="0" w:color="auto"/>
              <w:right w:val="single" w:sz="4" w:space="0" w:color="auto"/>
            </w:tcBorders>
            <w:noWrap/>
            <w:vAlign w:val="center"/>
          </w:tcPr>
          <w:p w14:paraId="1A47887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17.22</w:t>
            </w:r>
          </w:p>
        </w:tc>
        <w:tc>
          <w:tcPr>
            <w:tcW w:w="630" w:type="dxa"/>
            <w:tcBorders>
              <w:top w:val="nil"/>
              <w:left w:val="nil"/>
              <w:bottom w:val="single" w:sz="4" w:space="0" w:color="auto"/>
              <w:right w:val="single" w:sz="4" w:space="0" w:color="auto"/>
            </w:tcBorders>
            <w:noWrap/>
            <w:vAlign w:val="center"/>
          </w:tcPr>
          <w:p w14:paraId="454A043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55.51</w:t>
            </w:r>
          </w:p>
        </w:tc>
        <w:tc>
          <w:tcPr>
            <w:tcW w:w="720" w:type="dxa"/>
            <w:tcBorders>
              <w:top w:val="nil"/>
              <w:left w:val="nil"/>
              <w:bottom w:val="single" w:sz="4" w:space="0" w:color="auto"/>
              <w:right w:val="single" w:sz="4" w:space="0" w:color="auto"/>
            </w:tcBorders>
            <w:noWrap/>
            <w:vAlign w:val="center"/>
          </w:tcPr>
          <w:p w14:paraId="4391399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299.90</w:t>
            </w:r>
          </w:p>
        </w:tc>
        <w:tc>
          <w:tcPr>
            <w:tcW w:w="667" w:type="dxa"/>
            <w:tcBorders>
              <w:top w:val="nil"/>
              <w:left w:val="nil"/>
              <w:bottom w:val="single" w:sz="4" w:space="0" w:color="auto"/>
              <w:right w:val="single" w:sz="4" w:space="0" w:color="auto"/>
            </w:tcBorders>
            <w:noWrap/>
            <w:vAlign w:val="center"/>
          </w:tcPr>
          <w:p w14:paraId="355ABD0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355.41</w:t>
            </w:r>
          </w:p>
        </w:tc>
      </w:tr>
      <w:tr w:rsidR="00CB38E6" w:rsidRPr="00CB38E6" w14:paraId="5531B484"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0B9C8CE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7</w:t>
            </w:r>
          </w:p>
        </w:tc>
        <w:tc>
          <w:tcPr>
            <w:tcW w:w="1548" w:type="dxa"/>
            <w:tcBorders>
              <w:top w:val="nil"/>
              <w:left w:val="nil"/>
              <w:bottom w:val="single" w:sz="4" w:space="0" w:color="auto"/>
              <w:right w:val="single" w:sz="4" w:space="0" w:color="auto"/>
            </w:tcBorders>
            <w:noWrap/>
            <w:vAlign w:val="center"/>
            <w:hideMark/>
          </w:tcPr>
          <w:p w14:paraId="0FD6E3EC"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 FYM + S 40kg/ha + Borax 0.2% as one foliar spray</w:t>
            </w:r>
          </w:p>
        </w:tc>
        <w:tc>
          <w:tcPr>
            <w:tcW w:w="702" w:type="dxa"/>
            <w:tcBorders>
              <w:top w:val="nil"/>
              <w:left w:val="nil"/>
              <w:bottom w:val="single" w:sz="4" w:space="0" w:color="auto"/>
              <w:right w:val="single" w:sz="4" w:space="0" w:color="auto"/>
            </w:tcBorders>
            <w:noWrap/>
            <w:vAlign w:val="center"/>
          </w:tcPr>
          <w:p w14:paraId="41F2925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55.45</w:t>
            </w:r>
          </w:p>
        </w:tc>
        <w:tc>
          <w:tcPr>
            <w:tcW w:w="720" w:type="dxa"/>
            <w:tcBorders>
              <w:top w:val="nil"/>
              <w:left w:val="nil"/>
              <w:bottom w:val="single" w:sz="4" w:space="0" w:color="auto"/>
              <w:right w:val="single" w:sz="4" w:space="0" w:color="auto"/>
            </w:tcBorders>
            <w:noWrap/>
            <w:vAlign w:val="center"/>
          </w:tcPr>
          <w:p w14:paraId="11E45FD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45.00</w:t>
            </w:r>
          </w:p>
        </w:tc>
        <w:tc>
          <w:tcPr>
            <w:tcW w:w="498" w:type="dxa"/>
            <w:tcBorders>
              <w:top w:val="nil"/>
              <w:left w:val="nil"/>
              <w:bottom w:val="single" w:sz="4" w:space="0" w:color="auto"/>
              <w:right w:val="single" w:sz="4" w:space="0" w:color="auto"/>
            </w:tcBorders>
            <w:noWrap/>
            <w:vAlign w:val="center"/>
          </w:tcPr>
          <w:p w14:paraId="013D348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100.45</w:t>
            </w:r>
          </w:p>
        </w:tc>
        <w:tc>
          <w:tcPr>
            <w:tcW w:w="582" w:type="dxa"/>
            <w:tcBorders>
              <w:top w:val="nil"/>
              <w:left w:val="nil"/>
              <w:bottom w:val="single" w:sz="4" w:space="0" w:color="auto"/>
              <w:right w:val="single" w:sz="4" w:space="0" w:color="auto"/>
            </w:tcBorders>
            <w:noWrap/>
            <w:vAlign w:val="center"/>
          </w:tcPr>
          <w:p w14:paraId="2414600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15.85</w:t>
            </w:r>
          </w:p>
        </w:tc>
        <w:tc>
          <w:tcPr>
            <w:tcW w:w="540" w:type="dxa"/>
            <w:tcBorders>
              <w:top w:val="nil"/>
              <w:left w:val="nil"/>
              <w:bottom w:val="single" w:sz="4" w:space="0" w:color="auto"/>
              <w:right w:val="single" w:sz="4" w:space="0" w:color="auto"/>
            </w:tcBorders>
            <w:noWrap/>
            <w:vAlign w:val="center"/>
          </w:tcPr>
          <w:p w14:paraId="3CB4CF9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4.63</w:t>
            </w:r>
          </w:p>
        </w:tc>
        <w:tc>
          <w:tcPr>
            <w:tcW w:w="720" w:type="dxa"/>
            <w:tcBorders>
              <w:top w:val="nil"/>
              <w:left w:val="nil"/>
              <w:bottom w:val="single" w:sz="4" w:space="0" w:color="auto"/>
              <w:right w:val="single" w:sz="4" w:space="0" w:color="auto"/>
            </w:tcBorders>
            <w:noWrap/>
            <w:vAlign w:val="center"/>
          </w:tcPr>
          <w:p w14:paraId="7F8D0AD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23.30</w:t>
            </w:r>
          </w:p>
        </w:tc>
        <w:tc>
          <w:tcPr>
            <w:tcW w:w="450" w:type="dxa"/>
            <w:tcBorders>
              <w:top w:val="nil"/>
              <w:left w:val="nil"/>
              <w:bottom w:val="single" w:sz="4" w:space="0" w:color="auto"/>
              <w:right w:val="single" w:sz="4" w:space="0" w:color="auto"/>
            </w:tcBorders>
            <w:noWrap/>
            <w:vAlign w:val="center"/>
          </w:tcPr>
          <w:p w14:paraId="60E6C68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13.13</w:t>
            </w:r>
          </w:p>
        </w:tc>
        <w:tc>
          <w:tcPr>
            <w:tcW w:w="540" w:type="dxa"/>
            <w:tcBorders>
              <w:top w:val="nil"/>
              <w:left w:val="nil"/>
              <w:bottom w:val="single" w:sz="4" w:space="0" w:color="auto"/>
              <w:right w:val="single" w:sz="4" w:space="0" w:color="auto"/>
            </w:tcBorders>
            <w:noWrap/>
            <w:vAlign w:val="center"/>
          </w:tcPr>
          <w:p w14:paraId="105C229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73.76</w:t>
            </w:r>
          </w:p>
        </w:tc>
        <w:tc>
          <w:tcPr>
            <w:tcW w:w="630" w:type="dxa"/>
            <w:tcBorders>
              <w:top w:val="nil"/>
              <w:left w:val="nil"/>
              <w:bottom w:val="single" w:sz="4" w:space="0" w:color="auto"/>
              <w:right w:val="single" w:sz="4" w:space="0" w:color="auto"/>
            </w:tcBorders>
            <w:noWrap/>
            <w:vAlign w:val="center"/>
          </w:tcPr>
          <w:p w14:paraId="39A8792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86.89</w:t>
            </w:r>
          </w:p>
        </w:tc>
        <w:tc>
          <w:tcPr>
            <w:tcW w:w="630" w:type="dxa"/>
            <w:tcBorders>
              <w:top w:val="nil"/>
              <w:left w:val="nil"/>
              <w:bottom w:val="single" w:sz="4" w:space="0" w:color="auto"/>
              <w:right w:val="single" w:sz="4" w:space="0" w:color="auto"/>
            </w:tcBorders>
            <w:noWrap/>
            <w:vAlign w:val="center"/>
          </w:tcPr>
          <w:p w14:paraId="0F3D067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9.82</w:t>
            </w:r>
          </w:p>
        </w:tc>
        <w:tc>
          <w:tcPr>
            <w:tcW w:w="863" w:type="dxa"/>
            <w:tcBorders>
              <w:top w:val="nil"/>
              <w:left w:val="nil"/>
              <w:bottom w:val="single" w:sz="4" w:space="0" w:color="auto"/>
              <w:right w:val="single" w:sz="4" w:space="0" w:color="auto"/>
            </w:tcBorders>
            <w:noWrap/>
            <w:vAlign w:val="center"/>
          </w:tcPr>
          <w:p w14:paraId="332DE4A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8.68</w:t>
            </w:r>
          </w:p>
        </w:tc>
        <w:tc>
          <w:tcPr>
            <w:tcW w:w="720" w:type="dxa"/>
            <w:tcBorders>
              <w:top w:val="nil"/>
              <w:left w:val="nil"/>
              <w:bottom w:val="single" w:sz="4" w:space="0" w:color="auto"/>
              <w:right w:val="single" w:sz="4" w:space="0" w:color="auto"/>
            </w:tcBorders>
            <w:noWrap/>
            <w:vAlign w:val="center"/>
          </w:tcPr>
          <w:p w14:paraId="02A9202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18.5</w:t>
            </w:r>
          </w:p>
        </w:tc>
        <w:tc>
          <w:tcPr>
            <w:tcW w:w="630" w:type="dxa"/>
            <w:tcBorders>
              <w:top w:val="nil"/>
              <w:left w:val="nil"/>
              <w:bottom w:val="single" w:sz="4" w:space="0" w:color="auto"/>
              <w:right w:val="single" w:sz="4" w:space="0" w:color="auto"/>
            </w:tcBorders>
            <w:noWrap/>
            <w:vAlign w:val="center"/>
          </w:tcPr>
          <w:p w14:paraId="2D4330F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61.02</w:t>
            </w:r>
          </w:p>
        </w:tc>
        <w:tc>
          <w:tcPr>
            <w:tcW w:w="720" w:type="dxa"/>
            <w:tcBorders>
              <w:top w:val="nil"/>
              <w:left w:val="nil"/>
              <w:bottom w:val="single" w:sz="4" w:space="0" w:color="auto"/>
              <w:right w:val="single" w:sz="4" w:space="0" w:color="auto"/>
            </w:tcBorders>
            <w:noWrap/>
            <w:vAlign w:val="center"/>
          </w:tcPr>
          <w:p w14:paraId="05BA417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320.78</w:t>
            </w:r>
          </w:p>
        </w:tc>
        <w:tc>
          <w:tcPr>
            <w:tcW w:w="667" w:type="dxa"/>
            <w:tcBorders>
              <w:top w:val="nil"/>
              <w:left w:val="nil"/>
              <w:bottom w:val="single" w:sz="4" w:space="0" w:color="auto"/>
              <w:right w:val="single" w:sz="4" w:space="0" w:color="auto"/>
            </w:tcBorders>
            <w:noWrap/>
            <w:vAlign w:val="center"/>
          </w:tcPr>
          <w:p w14:paraId="556D17A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381.8</w:t>
            </w:r>
          </w:p>
        </w:tc>
      </w:tr>
      <w:tr w:rsidR="00CB38E6" w:rsidRPr="00CB38E6" w14:paraId="4D6038D4"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6EE70B0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8</w:t>
            </w:r>
          </w:p>
        </w:tc>
        <w:tc>
          <w:tcPr>
            <w:tcW w:w="1548" w:type="dxa"/>
            <w:tcBorders>
              <w:top w:val="nil"/>
              <w:left w:val="nil"/>
              <w:bottom w:val="single" w:sz="4" w:space="0" w:color="auto"/>
              <w:right w:val="single" w:sz="4" w:space="0" w:color="auto"/>
            </w:tcBorders>
            <w:noWrap/>
            <w:vAlign w:val="center"/>
            <w:hideMark/>
          </w:tcPr>
          <w:p w14:paraId="309F455E"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 FYM + S 40kg/ha + Borax 0.2% 2 sprays</w:t>
            </w:r>
          </w:p>
        </w:tc>
        <w:tc>
          <w:tcPr>
            <w:tcW w:w="702" w:type="dxa"/>
            <w:tcBorders>
              <w:top w:val="nil"/>
              <w:left w:val="nil"/>
              <w:bottom w:val="single" w:sz="4" w:space="0" w:color="auto"/>
              <w:right w:val="single" w:sz="4" w:space="0" w:color="auto"/>
            </w:tcBorders>
            <w:noWrap/>
            <w:vAlign w:val="center"/>
          </w:tcPr>
          <w:p w14:paraId="6934EC9B"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57.72</w:t>
            </w:r>
          </w:p>
        </w:tc>
        <w:tc>
          <w:tcPr>
            <w:tcW w:w="720" w:type="dxa"/>
            <w:tcBorders>
              <w:top w:val="nil"/>
              <w:left w:val="nil"/>
              <w:bottom w:val="single" w:sz="4" w:space="0" w:color="auto"/>
              <w:right w:val="single" w:sz="4" w:space="0" w:color="auto"/>
            </w:tcBorders>
            <w:noWrap/>
            <w:vAlign w:val="center"/>
          </w:tcPr>
          <w:p w14:paraId="2E65DEC3"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45.62</w:t>
            </w:r>
          </w:p>
        </w:tc>
        <w:tc>
          <w:tcPr>
            <w:tcW w:w="498" w:type="dxa"/>
            <w:tcBorders>
              <w:top w:val="nil"/>
              <w:left w:val="nil"/>
              <w:bottom w:val="single" w:sz="4" w:space="0" w:color="auto"/>
              <w:right w:val="single" w:sz="4" w:space="0" w:color="auto"/>
            </w:tcBorders>
            <w:noWrap/>
            <w:vAlign w:val="center"/>
          </w:tcPr>
          <w:p w14:paraId="151F9A43"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102.34</w:t>
            </w:r>
          </w:p>
        </w:tc>
        <w:tc>
          <w:tcPr>
            <w:tcW w:w="582" w:type="dxa"/>
            <w:tcBorders>
              <w:top w:val="nil"/>
              <w:left w:val="nil"/>
              <w:bottom w:val="single" w:sz="4" w:space="0" w:color="auto"/>
              <w:right w:val="single" w:sz="4" w:space="0" w:color="auto"/>
            </w:tcBorders>
            <w:noWrap/>
            <w:vAlign w:val="center"/>
          </w:tcPr>
          <w:p w14:paraId="786DB163"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16.80</w:t>
            </w:r>
          </w:p>
        </w:tc>
        <w:tc>
          <w:tcPr>
            <w:tcW w:w="540" w:type="dxa"/>
            <w:tcBorders>
              <w:top w:val="nil"/>
              <w:left w:val="nil"/>
              <w:bottom w:val="single" w:sz="4" w:space="0" w:color="auto"/>
              <w:right w:val="single" w:sz="4" w:space="0" w:color="auto"/>
            </w:tcBorders>
            <w:noWrap/>
            <w:vAlign w:val="center"/>
          </w:tcPr>
          <w:p w14:paraId="233B13E2"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4.78</w:t>
            </w:r>
          </w:p>
        </w:tc>
        <w:tc>
          <w:tcPr>
            <w:tcW w:w="720" w:type="dxa"/>
            <w:tcBorders>
              <w:top w:val="nil"/>
              <w:left w:val="nil"/>
              <w:bottom w:val="single" w:sz="4" w:space="0" w:color="auto"/>
              <w:right w:val="single" w:sz="4" w:space="0" w:color="auto"/>
            </w:tcBorders>
            <w:noWrap/>
            <w:vAlign w:val="center"/>
          </w:tcPr>
          <w:p w14:paraId="2C7694C0"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21.58</w:t>
            </w:r>
          </w:p>
        </w:tc>
        <w:tc>
          <w:tcPr>
            <w:tcW w:w="450" w:type="dxa"/>
            <w:tcBorders>
              <w:top w:val="nil"/>
              <w:left w:val="nil"/>
              <w:bottom w:val="single" w:sz="4" w:space="0" w:color="auto"/>
              <w:right w:val="single" w:sz="4" w:space="0" w:color="auto"/>
            </w:tcBorders>
            <w:noWrap/>
            <w:vAlign w:val="center"/>
          </w:tcPr>
          <w:p w14:paraId="5C3566CF"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13.88</w:t>
            </w:r>
          </w:p>
        </w:tc>
        <w:tc>
          <w:tcPr>
            <w:tcW w:w="540" w:type="dxa"/>
            <w:tcBorders>
              <w:top w:val="nil"/>
              <w:left w:val="nil"/>
              <w:bottom w:val="single" w:sz="4" w:space="0" w:color="auto"/>
              <w:right w:val="single" w:sz="4" w:space="0" w:color="auto"/>
            </w:tcBorders>
            <w:noWrap/>
            <w:vAlign w:val="center"/>
          </w:tcPr>
          <w:p w14:paraId="07B603F8"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76.13</w:t>
            </w:r>
          </w:p>
        </w:tc>
        <w:tc>
          <w:tcPr>
            <w:tcW w:w="630" w:type="dxa"/>
            <w:tcBorders>
              <w:top w:val="nil"/>
              <w:left w:val="nil"/>
              <w:bottom w:val="single" w:sz="4" w:space="0" w:color="auto"/>
              <w:right w:val="single" w:sz="4" w:space="0" w:color="auto"/>
            </w:tcBorders>
            <w:noWrap/>
            <w:vAlign w:val="center"/>
          </w:tcPr>
          <w:p w14:paraId="6CC302BB"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90.01</w:t>
            </w:r>
          </w:p>
        </w:tc>
        <w:tc>
          <w:tcPr>
            <w:tcW w:w="630" w:type="dxa"/>
            <w:tcBorders>
              <w:top w:val="nil"/>
              <w:left w:val="nil"/>
              <w:bottom w:val="single" w:sz="4" w:space="0" w:color="auto"/>
              <w:right w:val="single" w:sz="4" w:space="0" w:color="auto"/>
            </w:tcBorders>
            <w:noWrap/>
            <w:vAlign w:val="center"/>
          </w:tcPr>
          <w:p w14:paraId="104C9E46"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10.40</w:t>
            </w:r>
          </w:p>
        </w:tc>
        <w:tc>
          <w:tcPr>
            <w:tcW w:w="863" w:type="dxa"/>
            <w:tcBorders>
              <w:top w:val="nil"/>
              <w:left w:val="nil"/>
              <w:bottom w:val="single" w:sz="4" w:space="0" w:color="auto"/>
              <w:right w:val="single" w:sz="4" w:space="0" w:color="auto"/>
            </w:tcBorders>
            <w:noWrap/>
            <w:vAlign w:val="center"/>
          </w:tcPr>
          <w:p w14:paraId="66608AEA"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9.08</w:t>
            </w:r>
          </w:p>
        </w:tc>
        <w:tc>
          <w:tcPr>
            <w:tcW w:w="720" w:type="dxa"/>
            <w:tcBorders>
              <w:top w:val="nil"/>
              <w:left w:val="nil"/>
              <w:bottom w:val="single" w:sz="4" w:space="0" w:color="auto"/>
              <w:right w:val="single" w:sz="4" w:space="0" w:color="auto"/>
            </w:tcBorders>
            <w:noWrap/>
            <w:vAlign w:val="center"/>
          </w:tcPr>
          <w:p w14:paraId="20BE28A6"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19.48</w:t>
            </w:r>
          </w:p>
        </w:tc>
        <w:tc>
          <w:tcPr>
            <w:tcW w:w="630" w:type="dxa"/>
            <w:tcBorders>
              <w:top w:val="nil"/>
              <w:left w:val="nil"/>
              <w:bottom w:val="single" w:sz="4" w:space="0" w:color="auto"/>
              <w:right w:val="single" w:sz="4" w:space="0" w:color="auto"/>
            </w:tcBorders>
            <w:noWrap/>
            <w:vAlign w:val="center"/>
          </w:tcPr>
          <w:p w14:paraId="3A2A2286"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67.39</w:t>
            </w:r>
          </w:p>
        </w:tc>
        <w:tc>
          <w:tcPr>
            <w:tcW w:w="720" w:type="dxa"/>
            <w:tcBorders>
              <w:top w:val="nil"/>
              <w:left w:val="nil"/>
              <w:bottom w:val="single" w:sz="4" w:space="0" w:color="auto"/>
              <w:right w:val="single" w:sz="4" w:space="0" w:color="auto"/>
            </w:tcBorders>
            <w:noWrap/>
            <w:vAlign w:val="center"/>
          </w:tcPr>
          <w:p w14:paraId="7D7B4DAF"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331.99</w:t>
            </w:r>
          </w:p>
        </w:tc>
        <w:tc>
          <w:tcPr>
            <w:tcW w:w="667" w:type="dxa"/>
            <w:tcBorders>
              <w:top w:val="nil"/>
              <w:left w:val="nil"/>
              <w:bottom w:val="single" w:sz="4" w:space="0" w:color="auto"/>
              <w:right w:val="single" w:sz="4" w:space="0" w:color="auto"/>
            </w:tcBorders>
            <w:noWrap/>
            <w:vAlign w:val="center"/>
          </w:tcPr>
          <w:p w14:paraId="7E603F10"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399.38</w:t>
            </w:r>
          </w:p>
        </w:tc>
      </w:tr>
      <w:tr w:rsidR="00CB38E6" w:rsidRPr="00CB38E6" w14:paraId="09894B76"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7F710C2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9</w:t>
            </w:r>
          </w:p>
        </w:tc>
        <w:tc>
          <w:tcPr>
            <w:tcW w:w="1548" w:type="dxa"/>
            <w:tcBorders>
              <w:top w:val="nil"/>
              <w:left w:val="nil"/>
              <w:bottom w:val="single" w:sz="4" w:space="0" w:color="auto"/>
              <w:right w:val="single" w:sz="4" w:space="0" w:color="auto"/>
            </w:tcBorders>
            <w:noWrap/>
            <w:vAlign w:val="center"/>
            <w:hideMark/>
          </w:tcPr>
          <w:p w14:paraId="2EEB5C81"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 FYM + S 40kg/ha + Borax as soil application 10 kg/ha</w:t>
            </w:r>
          </w:p>
        </w:tc>
        <w:tc>
          <w:tcPr>
            <w:tcW w:w="702" w:type="dxa"/>
            <w:tcBorders>
              <w:top w:val="nil"/>
              <w:left w:val="nil"/>
              <w:bottom w:val="single" w:sz="4" w:space="0" w:color="auto"/>
              <w:right w:val="single" w:sz="4" w:space="0" w:color="auto"/>
            </w:tcBorders>
            <w:noWrap/>
            <w:vAlign w:val="center"/>
          </w:tcPr>
          <w:p w14:paraId="164886E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53.47</w:t>
            </w:r>
          </w:p>
        </w:tc>
        <w:tc>
          <w:tcPr>
            <w:tcW w:w="720" w:type="dxa"/>
            <w:tcBorders>
              <w:top w:val="nil"/>
              <w:left w:val="nil"/>
              <w:bottom w:val="single" w:sz="4" w:space="0" w:color="auto"/>
              <w:right w:val="single" w:sz="4" w:space="0" w:color="auto"/>
            </w:tcBorders>
            <w:noWrap/>
            <w:vAlign w:val="center"/>
          </w:tcPr>
          <w:p w14:paraId="776CDF3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44.33</w:t>
            </w:r>
          </w:p>
        </w:tc>
        <w:tc>
          <w:tcPr>
            <w:tcW w:w="498" w:type="dxa"/>
            <w:tcBorders>
              <w:top w:val="nil"/>
              <w:left w:val="nil"/>
              <w:bottom w:val="single" w:sz="4" w:space="0" w:color="auto"/>
              <w:right w:val="single" w:sz="4" w:space="0" w:color="auto"/>
            </w:tcBorders>
            <w:noWrap/>
            <w:vAlign w:val="center"/>
          </w:tcPr>
          <w:p w14:paraId="26BBB51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97.80</w:t>
            </w:r>
          </w:p>
        </w:tc>
        <w:tc>
          <w:tcPr>
            <w:tcW w:w="582" w:type="dxa"/>
            <w:tcBorders>
              <w:top w:val="nil"/>
              <w:left w:val="nil"/>
              <w:bottom w:val="single" w:sz="4" w:space="0" w:color="auto"/>
              <w:right w:val="single" w:sz="4" w:space="0" w:color="auto"/>
            </w:tcBorders>
            <w:noWrap/>
            <w:vAlign w:val="center"/>
          </w:tcPr>
          <w:p w14:paraId="0A1E2BA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15.16</w:t>
            </w:r>
          </w:p>
        </w:tc>
        <w:tc>
          <w:tcPr>
            <w:tcW w:w="540" w:type="dxa"/>
            <w:tcBorders>
              <w:top w:val="nil"/>
              <w:left w:val="nil"/>
              <w:bottom w:val="single" w:sz="4" w:space="0" w:color="auto"/>
              <w:right w:val="single" w:sz="4" w:space="0" w:color="auto"/>
            </w:tcBorders>
            <w:noWrap/>
            <w:vAlign w:val="center"/>
          </w:tcPr>
          <w:p w14:paraId="427DCE1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4.51</w:t>
            </w:r>
          </w:p>
        </w:tc>
        <w:tc>
          <w:tcPr>
            <w:tcW w:w="720" w:type="dxa"/>
            <w:tcBorders>
              <w:top w:val="nil"/>
              <w:left w:val="nil"/>
              <w:bottom w:val="single" w:sz="4" w:space="0" w:color="auto"/>
              <w:right w:val="single" w:sz="4" w:space="0" w:color="auto"/>
            </w:tcBorders>
            <w:noWrap/>
            <w:vAlign w:val="center"/>
          </w:tcPr>
          <w:p w14:paraId="6F58C83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19.67</w:t>
            </w:r>
          </w:p>
        </w:tc>
        <w:tc>
          <w:tcPr>
            <w:tcW w:w="450" w:type="dxa"/>
            <w:tcBorders>
              <w:top w:val="nil"/>
              <w:left w:val="nil"/>
              <w:bottom w:val="single" w:sz="4" w:space="0" w:color="auto"/>
              <w:right w:val="single" w:sz="4" w:space="0" w:color="auto"/>
            </w:tcBorders>
            <w:noWrap/>
            <w:vAlign w:val="center"/>
          </w:tcPr>
          <w:p w14:paraId="3C068B4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12.56</w:t>
            </w:r>
          </w:p>
        </w:tc>
        <w:tc>
          <w:tcPr>
            <w:tcW w:w="540" w:type="dxa"/>
            <w:tcBorders>
              <w:top w:val="nil"/>
              <w:left w:val="nil"/>
              <w:bottom w:val="single" w:sz="4" w:space="0" w:color="auto"/>
              <w:right w:val="single" w:sz="4" w:space="0" w:color="auto"/>
            </w:tcBorders>
            <w:noWrap/>
            <w:vAlign w:val="center"/>
          </w:tcPr>
          <w:p w14:paraId="6218EDF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73.07</w:t>
            </w:r>
          </w:p>
        </w:tc>
        <w:tc>
          <w:tcPr>
            <w:tcW w:w="630" w:type="dxa"/>
            <w:tcBorders>
              <w:top w:val="nil"/>
              <w:left w:val="nil"/>
              <w:bottom w:val="single" w:sz="4" w:space="0" w:color="auto"/>
              <w:right w:val="single" w:sz="4" w:space="0" w:color="auto"/>
            </w:tcBorders>
            <w:noWrap/>
            <w:vAlign w:val="center"/>
          </w:tcPr>
          <w:p w14:paraId="716EF7A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85.63</w:t>
            </w:r>
          </w:p>
        </w:tc>
        <w:tc>
          <w:tcPr>
            <w:tcW w:w="630" w:type="dxa"/>
            <w:tcBorders>
              <w:top w:val="nil"/>
              <w:left w:val="nil"/>
              <w:bottom w:val="single" w:sz="4" w:space="0" w:color="auto"/>
              <w:right w:val="single" w:sz="4" w:space="0" w:color="auto"/>
            </w:tcBorders>
            <w:noWrap/>
            <w:vAlign w:val="center"/>
          </w:tcPr>
          <w:p w14:paraId="491F74F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9.52</w:t>
            </w:r>
          </w:p>
        </w:tc>
        <w:tc>
          <w:tcPr>
            <w:tcW w:w="863" w:type="dxa"/>
            <w:tcBorders>
              <w:top w:val="nil"/>
              <w:left w:val="nil"/>
              <w:bottom w:val="single" w:sz="4" w:space="0" w:color="auto"/>
              <w:right w:val="single" w:sz="4" w:space="0" w:color="auto"/>
            </w:tcBorders>
            <w:noWrap/>
            <w:vAlign w:val="center"/>
          </w:tcPr>
          <w:p w14:paraId="56D81E7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8.50</w:t>
            </w:r>
          </w:p>
        </w:tc>
        <w:tc>
          <w:tcPr>
            <w:tcW w:w="720" w:type="dxa"/>
            <w:tcBorders>
              <w:top w:val="nil"/>
              <w:left w:val="nil"/>
              <w:bottom w:val="single" w:sz="4" w:space="0" w:color="auto"/>
              <w:right w:val="single" w:sz="4" w:space="0" w:color="auto"/>
            </w:tcBorders>
            <w:noWrap/>
            <w:vAlign w:val="center"/>
          </w:tcPr>
          <w:p w14:paraId="3C14E40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18.02</w:t>
            </w:r>
          </w:p>
        </w:tc>
        <w:tc>
          <w:tcPr>
            <w:tcW w:w="630" w:type="dxa"/>
            <w:tcBorders>
              <w:top w:val="nil"/>
              <w:left w:val="nil"/>
              <w:bottom w:val="single" w:sz="4" w:space="0" w:color="auto"/>
              <w:right w:val="single" w:sz="4" w:space="0" w:color="auto"/>
            </w:tcBorders>
            <w:noWrap/>
            <w:vAlign w:val="center"/>
          </w:tcPr>
          <w:p w14:paraId="087C36D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57.47</w:t>
            </w:r>
          </w:p>
        </w:tc>
        <w:tc>
          <w:tcPr>
            <w:tcW w:w="720" w:type="dxa"/>
            <w:tcBorders>
              <w:top w:val="nil"/>
              <w:left w:val="nil"/>
              <w:bottom w:val="single" w:sz="4" w:space="0" w:color="auto"/>
              <w:right w:val="single" w:sz="4" w:space="0" w:color="auto"/>
            </w:tcBorders>
            <w:noWrap/>
            <w:vAlign w:val="center"/>
          </w:tcPr>
          <w:p w14:paraId="204F765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310.72</w:t>
            </w:r>
          </w:p>
        </w:tc>
        <w:tc>
          <w:tcPr>
            <w:tcW w:w="667" w:type="dxa"/>
            <w:tcBorders>
              <w:top w:val="nil"/>
              <w:left w:val="nil"/>
              <w:bottom w:val="single" w:sz="4" w:space="0" w:color="auto"/>
              <w:right w:val="single" w:sz="4" w:space="0" w:color="auto"/>
            </w:tcBorders>
            <w:noWrap/>
            <w:vAlign w:val="center"/>
          </w:tcPr>
          <w:p w14:paraId="237CE5D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368.19</w:t>
            </w:r>
          </w:p>
        </w:tc>
      </w:tr>
      <w:tr w:rsidR="00CB38E6" w:rsidRPr="00CB38E6" w14:paraId="5BDB2A86"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73209AB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10</w:t>
            </w:r>
          </w:p>
        </w:tc>
        <w:tc>
          <w:tcPr>
            <w:tcW w:w="1548" w:type="dxa"/>
            <w:tcBorders>
              <w:top w:val="nil"/>
              <w:left w:val="nil"/>
              <w:bottom w:val="single" w:sz="4" w:space="0" w:color="auto"/>
              <w:right w:val="single" w:sz="4" w:space="0" w:color="auto"/>
            </w:tcBorders>
            <w:noWrap/>
            <w:vAlign w:val="center"/>
            <w:hideMark/>
          </w:tcPr>
          <w:p w14:paraId="44DD8A05"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Control</w:t>
            </w:r>
          </w:p>
        </w:tc>
        <w:tc>
          <w:tcPr>
            <w:tcW w:w="702" w:type="dxa"/>
            <w:tcBorders>
              <w:top w:val="nil"/>
              <w:left w:val="nil"/>
              <w:bottom w:val="single" w:sz="4" w:space="0" w:color="auto"/>
              <w:right w:val="single" w:sz="4" w:space="0" w:color="auto"/>
            </w:tcBorders>
            <w:noWrap/>
            <w:vAlign w:val="center"/>
          </w:tcPr>
          <w:p w14:paraId="0204CCB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25.56</w:t>
            </w:r>
          </w:p>
        </w:tc>
        <w:tc>
          <w:tcPr>
            <w:tcW w:w="720" w:type="dxa"/>
            <w:tcBorders>
              <w:top w:val="nil"/>
              <w:left w:val="nil"/>
              <w:bottom w:val="single" w:sz="4" w:space="0" w:color="auto"/>
              <w:right w:val="single" w:sz="4" w:space="0" w:color="auto"/>
            </w:tcBorders>
            <w:noWrap/>
            <w:vAlign w:val="center"/>
          </w:tcPr>
          <w:p w14:paraId="0D2F503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30.26</w:t>
            </w:r>
          </w:p>
        </w:tc>
        <w:tc>
          <w:tcPr>
            <w:tcW w:w="498" w:type="dxa"/>
            <w:tcBorders>
              <w:top w:val="nil"/>
              <w:left w:val="nil"/>
              <w:bottom w:val="single" w:sz="4" w:space="0" w:color="auto"/>
              <w:right w:val="single" w:sz="4" w:space="0" w:color="auto"/>
            </w:tcBorders>
            <w:noWrap/>
            <w:vAlign w:val="center"/>
          </w:tcPr>
          <w:p w14:paraId="6B253AD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55.82</w:t>
            </w:r>
          </w:p>
        </w:tc>
        <w:tc>
          <w:tcPr>
            <w:tcW w:w="582" w:type="dxa"/>
            <w:tcBorders>
              <w:top w:val="nil"/>
              <w:left w:val="nil"/>
              <w:bottom w:val="single" w:sz="4" w:space="0" w:color="auto"/>
              <w:right w:val="single" w:sz="4" w:space="0" w:color="auto"/>
            </w:tcBorders>
            <w:noWrap/>
            <w:vAlign w:val="center"/>
          </w:tcPr>
          <w:p w14:paraId="0E4FAB1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6.98</w:t>
            </w:r>
          </w:p>
        </w:tc>
        <w:tc>
          <w:tcPr>
            <w:tcW w:w="540" w:type="dxa"/>
            <w:tcBorders>
              <w:top w:val="nil"/>
              <w:left w:val="nil"/>
              <w:bottom w:val="single" w:sz="4" w:space="0" w:color="auto"/>
              <w:right w:val="single" w:sz="4" w:space="0" w:color="auto"/>
            </w:tcBorders>
            <w:noWrap/>
            <w:vAlign w:val="center"/>
          </w:tcPr>
          <w:p w14:paraId="2164075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2.60</w:t>
            </w:r>
          </w:p>
        </w:tc>
        <w:tc>
          <w:tcPr>
            <w:tcW w:w="720" w:type="dxa"/>
            <w:tcBorders>
              <w:top w:val="nil"/>
              <w:left w:val="nil"/>
              <w:bottom w:val="single" w:sz="4" w:space="0" w:color="auto"/>
              <w:right w:val="single" w:sz="4" w:space="0" w:color="auto"/>
            </w:tcBorders>
            <w:noWrap/>
            <w:vAlign w:val="center"/>
          </w:tcPr>
          <w:p w14:paraId="157AA15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9.58</w:t>
            </w:r>
          </w:p>
        </w:tc>
        <w:tc>
          <w:tcPr>
            <w:tcW w:w="450" w:type="dxa"/>
            <w:tcBorders>
              <w:top w:val="nil"/>
              <w:left w:val="nil"/>
              <w:bottom w:val="single" w:sz="4" w:space="0" w:color="auto"/>
              <w:right w:val="single" w:sz="4" w:space="0" w:color="auto"/>
            </w:tcBorders>
            <w:noWrap/>
            <w:vAlign w:val="center"/>
          </w:tcPr>
          <w:p w14:paraId="1C8BA54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5.92</w:t>
            </w:r>
          </w:p>
        </w:tc>
        <w:tc>
          <w:tcPr>
            <w:tcW w:w="540" w:type="dxa"/>
            <w:tcBorders>
              <w:top w:val="nil"/>
              <w:left w:val="nil"/>
              <w:bottom w:val="single" w:sz="4" w:space="0" w:color="auto"/>
              <w:right w:val="single" w:sz="4" w:space="0" w:color="auto"/>
            </w:tcBorders>
            <w:noWrap/>
            <w:vAlign w:val="center"/>
          </w:tcPr>
          <w:p w14:paraId="34504A2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48.81</w:t>
            </w:r>
          </w:p>
        </w:tc>
        <w:tc>
          <w:tcPr>
            <w:tcW w:w="630" w:type="dxa"/>
            <w:tcBorders>
              <w:top w:val="nil"/>
              <w:left w:val="nil"/>
              <w:bottom w:val="single" w:sz="4" w:space="0" w:color="auto"/>
              <w:right w:val="single" w:sz="4" w:space="0" w:color="auto"/>
            </w:tcBorders>
            <w:noWrap/>
            <w:vAlign w:val="center"/>
          </w:tcPr>
          <w:p w14:paraId="07392D8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54.73</w:t>
            </w:r>
          </w:p>
        </w:tc>
        <w:tc>
          <w:tcPr>
            <w:tcW w:w="630" w:type="dxa"/>
            <w:tcBorders>
              <w:top w:val="nil"/>
              <w:left w:val="nil"/>
              <w:bottom w:val="single" w:sz="4" w:space="0" w:color="auto"/>
              <w:right w:val="single" w:sz="4" w:space="0" w:color="auto"/>
            </w:tcBorders>
            <w:noWrap/>
            <w:vAlign w:val="center"/>
          </w:tcPr>
          <w:p w14:paraId="3793935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3.35</w:t>
            </w:r>
          </w:p>
        </w:tc>
        <w:tc>
          <w:tcPr>
            <w:tcW w:w="863" w:type="dxa"/>
            <w:tcBorders>
              <w:top w:val="nil"/>
              <w:left w:val="nil"/>
              <w:bottom w:val="single" w:sz="4" w:space="0" w:color="auto"/>
              <w:right w:val="single" w:sz="4" w:space="0" w:color="auto"/>
            </w:tcBorders>
            <w:noWrap/>
            <w:vAlign w:val="center"/>
          </w:tcPr>
          <w:p w14:paraId="3387620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4.44</w:t>
            </w:r>
          </w:p>
        </w:tc>
        <w:tc>
          <w:tcPr>
            <w:tcW w:w="720" w:type="dxa"/>
            <w:tcBorders>
              <w:top w:val="nil"/>
              <w:left w:val="nil"/>
              <w:bottom w:val="single" w:sz="4" w:space="0" w:color="auto"/>
              <w:right w:val="single" w:sz="4" w:space="0" w:color="auto"/>
            </w:tcBorders>
            <w:noWrap/>
            <w:vAlign w:val="center"/>
          </w:tcPr>
          <w:p w14:paraId="6BC81A4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7.79</w:t>
            </w:r>
          </w:p>
        </w:tc>
        <w:tc>
          <w:tcPr>
            <w:tcW w:w="630" w:type="dxa"/>
            <w:tcBorders>
              <w:top w:val="nil"/>
              <w:left w:val="nil"/>
              <w:bottom w:val="single" w:sz="4" w:space="0" w:color="auto"/>
              <w:right w:val="single" w:sz="4" w:space="0" w:color="auto"/>
            </w:tcBorders>
            <w:noWrap/>
            <w:vAlign w:val="center"/>
          </w:tcPr>
          <w:p w14:paraId="76A4118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20.62</w:t>
            </w:r>
          </w:p>
        </w:tc>
        <w:tc>
          <w:tcPr>
            <w:tcW w:w="720" w:type="dxa"/>
            <w:tcBorders>
              <w:top w:val="nil"/>
              <w:left w:val="nil"/>
              <w:bottom w:val="single" w:sz="4" w:space="0" w:color="auto"/>
              <w:right w:val="single" w:sz="4" w:space="0" w:color="auto"/>
            </w:tcBorders>
            <w:noWrap/>
            <w:vAlign w:val="center"/>
          </w:tcPr>
          <w:p w14:paraId="0F41EAE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200.76</w:t>
            </w:r>
          </w:p>
        </w:tc>
        <w:tc>
          <w:tcPr>
            <w:tcW w:w="667" w:type="dxa"/>
            <w:tcBorders>
              <w:top w:val="nil"/>
              <w:left w:val="nil"/>
              <w:bottom w:val="single" w:sz="4" w:space="0" w:color="auto"/>
              <w:right w:val="single" w:sz="4" w:space="0" w:color="auto"/>
            </w:tcBorders>
            <w:noWrap/>
            <w:vAlign w:val="center"/>
          </w:tcPr>
          <w:p w14:paraId="6EDE2916"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221.38</w:t>
            </w:r>
          </w:p>
        </w:tc>
      </w:tr>
      <w:tr w:rsidR="00CB38E6" w:rsidRPr="00CB38E6" w14:paraId="3A65C3E4" w14:textId="77777777" w:rsidTr="00CB38E6">
        <w:trPr>
          <w:trHeight w:val="525"/>
        </w:trPr>
        <w:tc>
          <w:tcPr>
            <w:tcW w:w="1908" w:type="dxa"/>
            <w:gridSpan w:val="2"/>
            <w:tcBorders>
              <w:top w:val="nil"/>
              <w:left w:val="single" w:sz="4" w:space="0" w:color="auto"/>
              <w:bottom w:val="single" w:sz="4" w:space="0" w:color="auto"/>
              <w:right w:val="single" w:sz="4" w:space="0" w:color="auto"/>
            </w:tcBorders>
            <w:noWrap/>
            <w:vAlign w:val="center"/>
            <w:hideMark/>
          </w:tcPr>
          <w:p w14:paraId="01FB4880" w14:textId="77777777" w:rsidR="00BB5CB5" w:rsidRPr="00CB38E6" w:rsidRDefault="00BB5CB5" w:rsidP="00000AA4">
            <w:pPr>
              <w:spacing w:after="0" w:line="240" w:lineRule="auto"/>
              <w:rPr>
                <w:rFonts w:ascii="Times New Roman" w:eastAsia="Times New Roman" w:hAnsi="Times New Roman" w:cs="Times New Roman"/>
                <w:color w:val="000000"/>
                <w:sz w:val="16"/>
                <w:szCs w:val="16"/>
                <w:lang w:eastAsia="en-IN"/>
              </w:rPr>
            </w:pPr>
            <w:r w:rsidRPr="00CB38E6">
              <w:rPr>
                <w:rFonts w:ascii="Calibri" w:eastAsia="Times New Roman" w:hAnsi="Calibri" w:cs="Times New Roman"/>
                <w:color w:val="000000"/>
                <w:sz w:val="16"/>
                <w:szCs w:val="16"/>
                <w:lang w:eastAsia="en-IN"/>
              </w:rPr>
              <w:t> </w:t>
            </w:r>
            <w:proofErr w:type="spellStart"/>
            <w:r w:rsidRPr="00CB38E6">
              <w:rPr>
                <w:rFonts w:ascii="Times New Roman" w:eastAsia="Times New Roman" w:hAnsi="Times New Roman" w:cs="Times New Roman"/>
                <w:color w:val="000000"/>
                <w:sz w:val="16"/>
                <w:szCs w:val="16"/>
                <w:lang w:eastAsia="en-IN"/>
              </w:rPr>
              <w:t>SEm</w:t>
            </w:r>
            <w:proofErr w:type="spellEnd"/>
            <w:r w:rsidRPr="00CB38E6">
              <w:rPr>
                <w:rFonts w:ascii="Times New Roman" w:eastAsia="Times New Roman" w:hAnsi="Times New Roman" w:cs="Times New Roman"/>
                <w:color w:val="000000"/>
                <w:sz w:val="16"/>
                <w:szCs w:val="16"/>
                <w:lang w:eastAsia="en-IN"/>
              </w:rPr>
              <w:t xml:space="preserve"> ±</w:t>
            </w:r>
          </w:p>
        </w:tc>
        <w:tc>
          <w:tcPr>
            <w:tcW w:w="702" w:type="dxa"/>
            <w:tcBorders>
              <w:top w:val="nil"/>
              <w:left w:val="nil"/>
              <w:bottom w:val="single" w:sz="4" w:space="0" w:color="auto"/>
              <w:right w:val="single" w:sz="4" w:space="0" w:color="auto"/>
            </w:tcBorders>
            <w:noWrap/>
            <w:vAlign w:val="center"/>
            <w:hideMark/>
          </w:tcPr>
          <w:p w14:paraId="2019069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1.310</w:t>
            </w:r>
          </w:p>
        </w:tc>
        <w:tc>
          <w:tcPr>
            <w:tcW w:w="720" w:type="dxa"/>
            <w:tcBorders>
              <w:top w:val="nil"/>
              <w:left w:val="nil"/>
              <w:bottom w:val="single" w:sz="4" w:space="0" w:color="auto"/>
              <w:right w:val="single" w:sz="4" w:space="0" w:color="auto"/>
            </w:tcBorders>
            <w:noWrap/>
            <w:vAlign w:val="center"/>
            <w:hideMark/>
          </w:tcPr>
          <w:p w14:paraId="7B1F335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1.125</w:t>
            </w:r>
          </w:p>
        </w:tc>
        <w:tc>
          <w:tcPr>
            <w:tcW w:w="498" w:type="dxa"/>
            <w:tcBorders>
              <w:top w:val="nil"/>
              <w:left w:val="nil"/>
              <w:bottom w:val="single" w:sz="4" w:space="0" w:color="auto"/>
              <w:right w:val="single" w:sz="4" w:space="0" w:color="auto"/>
            </w:tcBorders>
            <w:noWrap/>
            <w:vAlign w:val="center"/>
            <w:hideMark/>
          </w:tcPr>
          <w:p w14:paraId="77006E1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3.11</w:t>
            </w:r>
          </w:p>
        </w:tc>
        <w:tc>
          <w:tcPr>
            <w:tcW w:w="582" w:type="dxa"/>
            <w:tcBorders>
              <w:top w:val="nil"/>
              <w:left w:val="nil"/>
              <w:bottom w:val="single" w:sz="4" w:space="0" w:color="auto"/>
              <w:right w:val="single" w:sz="4" w:space="0" w:color="auto"/>
            </w:tcBorders>
            <w:noWrap/>
            <w:vAlign w:val="center"/>
            <w:hideMark/>
          </w:tcPr>
          <w:p w14:paraId="668C1CB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1.125</w:t>
            </w:r>
          </w:p>
        </w:tc>
        <w:tc>
          <w:tcPr>
            <w:tcW w:w="540" w:type="dxa"/>
            <w:tcBorders>
              <w:top w:val="nil"/>
              <w:left w:val="nil"/>
              <w:bottom w:val="single" w:sz="4" w:space="0" w:color="auto"/>
              <w:right w:val="single" w:sz="4" w:space="0" w:color="auto"/>
            </w:tcBorders>
            <w:noWrap/>
            <w:vAlign w:val="center"/>
            <w:hideMark/>
          </w:tcPr>
          <w:p w14:paraId="28370A9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0.181</w:t>
            </w:r>
          </w:p>
        </w:tc>
        <w:tc>
          <w:tcPr>
            <w:tcW w:w="720" w:type="dxa"/>
            <w:tcBorders>
              <w:top w:val="nil"/>
              <w:left w:val="nil"/>
              <w:bottom w:val="single" w:sz="4" w:space="0" w:color="auto"/>
              <w:right w:val="single" w:sz="4" w:space="0" w:color="auto"/>
            </w:tcBorders>
            <w:noWrap/>
            <w:vAlign w:val="center"/>
            <w:hideMark/>
          </w:tcPr>
          <w:p w14:paraId="629D7EA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1.203</w:t>
            </w:r>
          </w:p>
        </w:tc>
        <w:tc>
          <w:tcPr>
            <w:tcW w:w="450" w:type="dxa"/>
            <w:tcBorders>
              <w:top w:val="nil"/>
              <w:left w:val="nil"/>
              <w:bottom w:val="single" w:sz="4" w:space="0" w:color="auto"/>
              <w:right w:val="single" w:sz="4" w:space="0" w:color="auto"/>
            </w:tcBorders>
            <w:noWrap/>
            <w:vAlign w:val="center"/>
            <w:hideMark/>
          </w:tcPr>
          <w:p w14:paraId="4F115B1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0.715</w:t>
            </w:r>
          </w:p>
        </w:tc>
        <w:tc>
          <w:tcPr>
            <w:tcW w:w="540" w:type="dxa"/>
            <w:tcBorders>
              <w:top w:val="nil"/>
              <w:left w:val="nil"/>
              <w:bottom w:val="single" w:sz="4" w:space="0" w:color="auto"/>
              <w:right w:val="single" w:sz="4" w:space="0" w:color="auto"/>
            </w:tcBorders>
            <w:noWrap/>
            <w:vAlign w:val="center"/>
            <w:hideMark/>
          </w:tcPr>
          <w:p w14:paraId="67E0233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2.161</w:t>
            </w:r>
          </w:p>
        </w:tc>
        <w:tc>
          <w:tcPr>
            <w:tcW w:w="630" w:type="dxa"/>
            <w:tcBorders>
              <w:top w:val="nil"/>
              <w:left w:val="nil"/>
              <w:bottom w:val="single" w:sz="4" w:space="0" w:color="auto"/>
              <w:right w:val="single" w:sz="4" w:space="0" w:color="auto"/>
            </w:tcBorders>
            <w:noWrap/>
            <w:vAlign w:val="center"/>
            <w:hideMark/>
          </w:tcPr>
          <w:p w14:paraId="1CB41F7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2.479</w:t>
            </w:r>
          </w:p>
        </w:tc>
        <w:tc>
          <w:tcPr>
            <w:tcW w:w="630" w:type="dxa"/>
            <w:tcBorders>
              <w:top w:val="nil"/>
              <w:left w:val="nil"/>
              <w:bottom w:val="single" w:sz="4" w:space="0" w:color="auto"/>
              <w:right w:val="single" w:sz="4" w:space="0" w:color="auto"/>
            </w:tcBorders>
            <w:noWrap/>
            <w:vAlign w:val="center"/>
            <w:hideMark/>
          </w:tcPr>
          <w:p w14:paraId="452714C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0.416</w:t>
            </w:r>
          </w:p>
        </w:tc>
        <w:tc>
          <w:tcPr>
            <w:tcW w:w="863" w:type="dxa"/>
            <w:tcBorders>
              <w:top w:val="nil"/>
              <w:left w:val="nil"/>
              <w:bottom w:val="single" w:sz="4" w:space="0" w:color="auto"/>
              <w:right w:val="single" w:sz="4" w:space="0" w:color="auto"/>
            </w:tcBorders>
            <w:noWrap/>
            <w:vAlign w:val="center"/>
            <w:hideMark/>
          </w:tcPr>
          <w:p w14:paraId="07560C1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0.420</w:t>
            </w:r>
          </w:p>
        </w:tc>
        <w:tc>
          <w:tcPr>
            <w:tcW w:w="720" w:type="dxa"/>
            <w:tcBorders>
              <w:top w:val="nil"/>
              <w:left w:val="nil"/>
              <w:bottom w:val="single" w:sz="4" w:space="0" w:color="auto"/>
              <w:right w:val="single" w:sz="4" w:space="0" w:color="auto"/>
            </w:tcBorders>
            <w:noWrap/>
            <w:vAlign w:val="center"/>
            <w:hideMark/>
          </w:tcPr>
          <w:p w14:paraId="0B1B6FE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0.628</w:t>
            </w:r>
          </w:p>
        </w:tc>
        <w:tc>
          <w:tcPr>
            <w:tcW w:w="630" w:type="dxa"/>
            <w:tcBorders>
              <w:top w:val="nil"/>
              <w:left w:val="nil"/>
              <w:bottom w:val="single" w:sz="4" w:space="0" w:color="auto"/>
              <w:right w:val="single" w:sz="4" w:space="0" w:color="auto"/>
            </w:tcBorders>
            <w:noWrap/>
            <w:vAlign w:val="center"/>
            <w:hideMark/>
          </w:tcPr>
          <w:p w14:paraId="369FDF2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2.342</w:t>
            </w:r>
          </w:p>
        </w:tc>
        <w:tc>
          <w:tcPr>
            <w:tcW w:w="720" w:type="dxa"/>
            <w:tcBorders>
              <w:top w:val="nil"/>
              <w:left w:val="nil"/>
              <w:bottom w:val="single" w:sz="4" w:space="0" w:color="auto"/>
              <w:right w:val="single" w:sz="4" w:space="0" w:color="auto"/>
            </w:tcBorders>
            <w:noWrap/>
            <w:vAlign w:val="center"/>
            <w:hideMark/>
          </w:tcPr>
          <w:p w14:paraId="2E41DCC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8.170</w:t>
            </w:r>
          </w:p>
        </w:tc>
        <w:tc>
          <w:tcPr>
            <w:tcW w:w="667" w:type="dxa"/>
            <w:tcBorders>
              <w:top w:val="nil"/>
              <w:left w:val="nil"/>
              <w:bottom w:val="single" w:sz="4" w:space="0" w:color="auto"/>
              <w:right w:val="single" w:sz="4" w:space="0" w:color="auto"/>
            </w:tcBorders>
            <w:noWrap/>
            <w:vAlign w:val="center"/>
            <w:hideMark/>
          </w:tcPr>
          <w:p w14:paraId="2FBE80F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11.230</w:t>
            </w:r>
          </w:p>
        </w:tc>
      </w:tr>
      <w:tr w:rsidR="00CB38E6" w:rsidRPr="00CB38E6" w14:paraId="265BEE68" w14:textId="77777777" w:rsidTr="00CB38E6">
        <w:trPr>
          <w:trHeight w:val="584"/>
        </w:trPr>
        <w:tc>
          <w:tcPr>
            <w:tcW w:w="1908" w:type="dxa"/>
            <w:gridSpan w:val="2"/>
            <w:tcBorders>
              <w:top w:val="nil"/>
              <w:left w:val="single" w:sz="4" w:space="0" w:color="auto"/>
              <w:bottom w:val="single" w:sz="4" w:space="0" w:color="auto"/>
              <w:right w:val="single" w:sz="4" w:space="0" w:color="auto"/>
            </w:tcBorders>
            <w:noWrap/>
            <w:vAlign w:val="center"/>
            <w:hideMark/>
          </w:tcPr>
          <w:p w14:paraId="6D18E4F5" w14:textId="77777777" w:rsidR="00BB5CB5" w:rsidRPr="00CB38E6" w:rsidRDefault="00BB5CB5" w:rsidP="00000AA4">
            <w:pPr>
              <w:spacing w:after="0" w:line="240" w:lineRule="auto"/>
              <w:rPr>
                <w:rFonts w:ascii="Times New Roman" w:eastAsia="Times New Roman" w:hAnsi="Times New Roman" w:cs="Times New Roman"/>
                <w:color w:val="000000"/>
                <w:sz w:val="16"/>
                <w:szCs w:val="16"/>
                <w:lang w:eastAsia="en-IN"/>
              </w:rPr>
            </w:pPr>
            <w:r w:rsidRPr="00CB38E6">
              <w:rPr>
                <w:rFonts w:ascii="Calibri" w:eastAsia="Times New Roman" w:hAnsi="Calibri" w:cs="Times New Roman"/>
                <w:color w:val="000000"/>
                <w:sz w:val="16"/>
                <w:szCs w:val="16"/>
                <w:lang w:eastAsia="en-IN"/>
              </w:rPr>
              <w:t> </w:t>
            </w:r>
            <w:r w:rsidRPr="00CB38E6">
              <w:rPr>
                <w:rFonts w:ascii="Times New Roman" w:eastAsia="Times New Roman" w:hAnsi="Times New Roman" w:cs="Times New Roman"/>
                <w:color w:val="000000"/>
                <w:sz w:val="16"/>
                <w:szCs w:val="16"/>
                <w:lang w:eastAsia="en-IN"/>
              </w:rPr>
              <w:t>CD (P=0.05)</w:t>
            </w:r>
          </w:p>
        </w:tc>
        <w:tc>
          <w:tcPr>
            <w:tcW w:w="702" w:type="dxa"/>
            <w:tcBorders>
              <w:top w:val="nil"/>
              <w:left w:val="nil"/>
              <w:bottom w:val="single" w:sz="4" w:space="0" w:color="auto"/>
              <w:right w:val="single" w:sz="4" w:space="0" w:color="auto"/>
            </w:tcBorders>
            <w:noWrap/>
            <w:vAlign w:val="center"/>
            <w:hideMark/>
          </w:tcPr>
          <w:p w14:paraId="6F1470C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4.00</w:t>
            </w:r>
          </w:p>
        </w:tc>
        <w:tc>
          <w:tcPr>
            <w:tcW w:w="720" w:type="dxa"/>
            <w:tcBorders>
              <w:top w:val="nil"/>
              <w:left w:val="nil"/>
              <w:bottom w:val="single" w:sz="4" w:space="0" w:color="auto"/>
              <w:right w:val="single" w:sz="4" w:space="0" w:color="auto"/>
            </w:tcBorders>
            <w:noWrap/>
            <w:vAlign w:val="center"/>
            <w:hideMark/>
          </w:tcPr>
          <w:p w14:paraId="7E368FB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3.37</w:t>
            </w:r>
          </w:p>
        </w:tc>
        <w:tc>
          <w:tcPr>
            <w:tcW w:w="498" w:type="dxa"/>
            <w:tcBorders>
              <w:top w:val="nil"/>
              <w:left w:val="nil"/>
              <w:bottom w:val="single" w:sz="4" w:space="0" w:color="auto"/>
              <w:right w:val="single" w:sz="4" w:space="0" w:color="auto"/>
            </w:tcBorders>
            <w:noWrap/>
            <w:vAlign w:val="center"/>
            <w:hideMark/>
          </w:tcPr>
          <w:p w14:paraId="0E34B6E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9.34</w:t>
            </w:r>
          </w:p>
        </w:tc>
        <w:tc>
          <w:tcPr>
            <w:tcW w:w="582" w:type="dxa"/>
            <w:tcBorders>
              <w:top w:val="nil"/>
              <w:left w:val="nil"/>
              <w:bottom w:val="single" w:sz="4" w:space="0" w:color="auto"/>
              <w:right w:val="single" w:sz="4" w:space="0" w:color="auto"/>
            </w:tcBorders>
            <w:noWrap/>
            <w:vAlign w:val="center"/>
            <w:hideMark/>
          </w:tcPr>
          <w:p w14:paraId="175977C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3.38</w:t>
            </w:r>
          </w:p>
        </w:tc>
        <w:tc>
          <w:tcPr>
            <w:tcW w:w="540" w:type="dxa"/>
            <w:tcBorders>
              <w:top w:val="nil"/>
              <w:left w:val="nil"/>
              <w:bottom w:val="single" w:sz="4" w:space="0" w:color="auto"/>
              <w:right w:val="single" w:sz="4" w:space="0" w:color="auto"/>
            </w:tcBorders>
            <w:noWrap/>
            <w:vAlign w:val="center"/>
            <w:hideMark/>
          </w:tcPr>
          <w:p w14:paraId="5E5538E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0.54</w:t>
            </w:r>
          </w:p>
        </w:tc>
        <w:tc>
          <w:tcPr>
            <w:tcW w:w="720" w:type="dxa"/>
            <w:tcBorders>
              <w:top w:val="nil"/>
              <w:left w:val="nil"/>
              <w:bottom w:val="single" w:sz="4" w:space="0" w:color="auto"/>
              <w:right w:val="single" w:sz="4" w:space="0" w:color="auto"/>
            </w:tcBorders>
            <w:noWrap/>
            <w:vAlign w:val="center"/>
            <w:hideMark/>
          </w:tcPr>
          <w:p w14:paraId="0673E7E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3.61</w:t>
            </w:r>
          </w:p>
        </w:tc>
        <w:tc>
          <w:tcPr>
            <w:tcW w:w="450" w:type="dxa"/>
            <w:tcBorders>
              <w:top w:val="nil"/>
              <w:left w:val="nil"/>
              <w:bottom w:val="single" w:sz="4" w:space="0" w:color="auto"/>
              <w:right w:val="single" w:sz="4" w:space="0" w:color="auto"/>
            </w:tcBorders>
            <w:noWrap/>
            <w:vAlign w:val="center"/>
            <w:hideMark/>
          </w:tcPr>
          <w:p w14:paraId="2795674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2.22</w:t>
            </w:r>
          </w:p>
        </w:tc>
        <w:tc>
          <w:tcPr>
            <w:tcW w:w="540" w:type="dxa"/>
            <w:tcBorders>
              <w:top w:val="nil"/>
              <w:left w:val="nil"/>
              <w:bottom w:val="single" w:sz="4" w:space="0" w:color="auto"/>
              <w:right w:val="single" w:sz="4" w:space="0" w:color="auto"/>
            </w:tcBorders>
            <w:noWrap/>
            <w:vAlign w:val="center"/>
            <w:hideMark/>
          </w:tcPr>
          <w:p w14:paraId="29A81C7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6.34</w:t>
            </w:r>
          </w:p>
        </w:tc>
        <w:tc>
          <w:tcPr>
            <w:tcW w:w="630" w:type="dxa"/>
            <w:tcBorders>
              <w:top w:val="nil"/>
              <w:left w:val="nil"/>
              <w:bottom w:val="single" w:sz="4" w:space="0" w:color="auto"/>
              <w:right w:val="single" w:sz="4" w:space="0" w:color="auto"/>
            </w:tcBorders>
            <w:noWrap/>
            <w:vAlign w:val="center"/>
            <w:hideMark/>
          </w:tcPr>
          <w:p w14:paraId="3159870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7.33</w:t>
            </w:r>
          </w:p>
        </w:tc>
        <w:tc>
          <w:tcPr>
            <w:tcW w:w="630" w:type="dxa"/>
            <w:tcBorders>
              <w:top w:val="nil"/>
              <w:left w:val="nil"/>
              <w:bottom w:val="single" w:sz="4" w:space="0" w:color="auto"/>
              <w:right w:val="single" w:sz="4" w:space="0" w:color="auto"/>
            </w:tcBorders>
            <w:noWrap/>
            <w:vAlign w:val="center"/>
            <w:hideMark/>
          </w:tcPr>
          <w:p w14:paraId="529E0A6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1.23</w:t>
            </w:r>
          </w:p>
        </w:tc>
        <w:tc>
          <w:tcPr>
            <w:tcW w:w="863" w:type="dxa"/>
            <w:tcBorders>
              <w:top w:val="nil"/>
              <w:left w:val="nil"/>
              <w:bottom w:val="single" w:sz="4" w:space="0" w:color="auto"/>
              <w:right w:val="single" w:sz="4" w:space="0" w:color="auto"/>
            </w:tcBorders>
            <w:noWrap/>
            <w:vAlign w:val="center"/>
            <w:hideMark/>
          </w:tcPr>
          <w:p w14:paraId="1402231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1.26</w:t>
            </w:r>
          </w:p>
        </w:tc>
        <w:tc>
          <w:tcPr>
            <w:tcW w:w="720" w:type="dxa"/>
            <w:tcBorders>
              <w:top w:val="nil"/>
              <w:left w:val="nil"/>
              <w:bottom w:val="single" w:sz="4" w:space="0" w:color="auto"/>
              <w:right w:val="single" w:sz="4" w:space="0" w:color="auto"/>
            </w:tcBorders>
            <w:noWrap/>
            <w:vAlign w:val="center"/>
            <w:hideMark/>
          </w:tcPr>
          <w:p w14:paraId="3108944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1.87</w:t>
            </w:r>
          </w:p>
        </w:tc>
        <w:tc>
          <w:tcPr>
            <w:tcW w:w="630" w:type="dxa"/>
            <w:tcBorders>
              <w:top w:val="nil"/>
              <w:left w:val="nil"/>
              <w:bottom w:val="single" w:sz="4" w:space="0" w:color="auto"/>
              <w:right w:val="single" w:sz="4" w:space="0" w:color="auto"/>
            </w:tcBorders>
            <w:noWrap/>
            <w:vAlign w:val="center"/>
            <w:hideMark/>
          </w:tcPr>
          <w:p w14:paraId="312E263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7.01</w:t>
            </w:r>
          </w:p>
        </w:tc>
        <w:tc>
          <w:tcPr>
            <w:tcW w:w="720" w:type="dxa"/>
            <w:tcBorders>
              <w:top w:val="nil"/>
              <w:left w:val="nil"/>
              <w:bottom w:val="single" w:sz="4" w:space="0" w:color="auto"/>
              <w:right w:val="single" w:sz="4" w:space="0" w:color="auto"/>
            </w:tcBorders>
            <w:noWrap/>
            <w:vAlign w:val="center"/>
            <w:hideMark/>
          </w:tcPr>
          <w:p w14:paraId="527DCAF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24.52</w:t>
            </w:r>
          </w:p>
        </w:tc>
        <w:tc>
          <w:tcPr>
            <w:tcW w:w="667" w:type="dxa"/>
            <w:tcBorders>
              <w:top w:val="nil"/>
              <w:left w:val="nil"/>
              <w:bottom w:val="single" w:sz="4" w:space="0" w:color="auto"/>
              <w:right w:val="single" w:sz="4" w:space="0" w:color="auto"/>
            </w:tcBorders>
            <w:noWrap/>
            <w:vAlign w:val="center"/>
            <w:hideMark/>
          </w:tcPr>
          <w:p w14:paraId="3EDFAF7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33.71</w:t>
            </w:r>
          </w:p>
        </w:tc>
      </w:tr>
    </w:tbl>
    <w:p w14:paraId="2FD5D4C3" w14:textId="77777777" w:rsidR="00321519" w:rsidRDefault="00321519" w:rsidP="001A5FCA">
      <w:pPr>
        <w:spacing w:before="240" w:line="360" w:lineRule="auto"/>
        <w:rPr>
          <w:rFonts w:ascii="Times New Roman" w:hAnsi="Times New Roman" w:cs="Times New Roman"/>
          <w:sz w:val="20"/>
          <w:szCs w:val="20"/>
        </w:rPr>
      </w:pPr>
    </w:p>
    <w:p w14:paraId="39501388" w14:textId="77777777" w:rsidR="00321519" w:rsidRPr="00956B7A" w:rsidRDefault="00321519" w:rsidP="00321519">
      <w:pPr>
        <w:spacing w:before="240" w:line="360" w:lineRule="auto"/>
        <w:rPr>
          <w:rFonts w:ascii="Times New Roman" w:hAnsi="Times New Roman" w:cs="Times New Roman"/>
          <w:b/>
          <w:bCs/>
          <w:sz w:val="20"/>
          <w:szCs w:val="20"/>
        </w:rPr>
      </w:pPr>
      <w:r w:rsidRPr="00956B7A">
        <w:rPr>
          <w:rFonts w:ascii="Times New Roman" w:hAnsi="Times New Roman" w:cs="Times New Roman"/>
          <w:b/>
          <w:bCs/>
          <w:sz w:val="20"/>
          <w:szCs w:val="20"/>
        </w:rPr>
        <w:t>Nutrient uptake</w:t>
      </w:r>
    </w:p>
    <w:p w14:paraId="500A2850" w14:textId="77777777" w:rsidR="00321519" w:rsidRPr="00321519" w:rsidRDefault="00321519" w:rsidP="00321519">
      <w:pPr>
        <w:spacing w:before="240" w:line="360" w:lineRule="auto"/>
        <w:rPr>
          <w:rFonts w:ascii="Times New Roman" w:hAnsi="Times New Roman" w:cs="Times New Roman"/>
          <w:sz w:val="24"/>
          <w:szCs w:val="24"/>
        </w:rPr>
      </w:pPr>
      <w:r w:rsidRPr="00321519">
        <w:rPr>
          <w:rFonts w:ascii="Times New Roman" w:hAnsi="Times New Roman" w:cs="Times New Roman"/>
          <w:sz w:val="24"/>
          <w:szCs w:val="24"/>
        </w:rPr>
        <w:t>The data pertaining to uptake of nutrients in seed and stover as influenced by different integrated nutrient manageme</w:t>
      </w:r>
      <w:r>
        <w:rPr>
          <w:rFonts w:ascii="Times New Roman" w:hAnsi="Times New Roman" w:cs="Times New Roman"/>
          <w:sz w:val="24"/>
          <w:szCs w:val="24"/>
        </w:rPr>
        <w:t xml:space="preserve">nt practices are presented in </w:t>
      </w:r>
      <w:r w:rsidR="00956B7A">
        <w:rPr>
          <w:rFonts w:ascii="Times New Roman" w:hAnsi="Times New Roman" w:cs="Times New Roman"/>
          <w:sz w:val="24"/>
          <w:szCs w:val="24"/>
        </w:rPr>
        <w:t>T</w:t>
      </w:r>
      <w:r w:rsidRPr="00321519">
        <w:rPr>
          <w:rFonts w:ascii="Times New Roman" w:hAnsi="Times New Roman" w:cs="Times New Roman"/>
          <w:sz w:val="24"/>
          <w:szCs w:val="24"/>
        </w:rPr>
        <w:t xml:space="preserve">able 2.       </w:t>
      </w:r>
    </w:p>
    <w:p w14:paraId="30B97216" w14:textId="77777777" w:rsidR="009A25D6" w:rsidRDefault="00321519" w:rsidP="00321519">
      <w:pPr>
        <w:spacing w:before="240" w:line="360" w:lineRule="auto"/>
        <w:rPr>
          <w:rFonts w:ascii="Times New Roman" w:hAnsi="Times New Roman" w:cs="Times New Roman"/>
          <w:sz w:val="24"/>
          <w:szCs w:val="24"/>
        </w:rPr>
      </w:pPr>
      <w:r w:rsidRPr="00321519">
        <w:rPr>
          <w:rFonts w:ascii="Times New Roman" w:hAnsi="Times New Roman" w:cs="Times New Roman"/>
          <w:sz w:val="24"/>
          <w:szCs w:val="24"/>
        </w:rPr>
        <w:t xml:space="preserve"> Maximum uptake of nitrogen in seed (57.72 kg/ha), stover (45.62 kg/ha) and total uptake of (102.34 kg/ha) was recorded with integrated nutrient management practices of STBFR + Lime + FYM + S 40kg/ha + 2 sprays of Borax @ 0.2% (T8) which remained at par with STBFR + Lime + FYM + S 40kg/ha + 1 spray of Borax @ 0.2% </w:t>
      </w:r>
      <w:r w:rsidRPr="00321519">
        <w:rPr>
          <w:rFonts w:ascii="Times New Roman" w:hAnsi="Times New Roman" w:cs="Times New Roman"/>
          <w:sz w:val="24"/>
          <w:szCs w:val="24"/>
        </w:rPr>
        <w:lastRenderedPageBreak/>
        <w:t>(T7) and STBFR + Lime + FYM + S 40kg/ha + Borax as soil application 10 kg/ha (T9).</w:t>
      </w:r>
    </w:p>
    <w:p w14:paraId="555A747B" w14:textId="3707FFA0" w:rsidR="009A25D6" w:rsidRDefault="00321519" w:rsidP="002F3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21519">
        <w:rPr>
          <w:rFonts w:ascii="Times New Roman" w:hAnsi="Times New Roman" w:cs="Times New Roman"/>
          <w:sz w:val="24"/>
          <w:szCs w:val="24"/>
        </w:rPr>
        <w:t>The highest uptake of Phosphorus in seed, stover and total uptake (16.80, 4.78 and 21.58 kg/ha respectively) was recorded with integrated nutrient management practice of STBFR + Lime + FYM + S 40kg/ha + 2 sprays of Borax @ 0.2% (T8) which remained at par with STBFR + Lime + FYM + S 40kg/ha + 1 spray of Borax @ 0.2% (T7) and STBFR + Lime + FYM + S 40kg/ha + Borax as soil application 10 kg/ha (T9).</w:t>
      </w:r>
    </w:p>
    <w:p w14:paraId="0A337F42" w14:textId="717C80D6" w:rsidR="009A25D6" w:rsidRDefault="00321519" w:rsidP="002F3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21519">
        <w:rPr>
          <w:rFonts w:ascii="Times New Roman" w:hAnsi="Times New Roman" w:cs="Times New Roman"/>
          <w:sz w:val="24"/>
          <w:szCs w:val="24"/>
        </w:rPr>
        <w:t>The uptake of potassium in the stover was distinctively higher than uptake in seed. Maximum uptake of potassium in seed, stover and total uptake (13.88, 76.13, and 90.01 kg/ha respectively) was found with of STBFR + Lime + FYM + S 40kg/ha + 2 sprays of Borax @ 0.2% (T8) followed by with STBFR + Lime + FYM + S 40kg/ha + 1 spray of Borax @ 0.2% (T7) and STBFR + Lime + FYM + S 40kg/ha + Borax as soil application 10 kg/ha (T9).</w:t>
      </w:r>
      <w:r w:rsidR="009A25D6">
        <w:rPr>
          <w:rFonts w:ascii="Times New Roman" w:hAnsi="Times New Roman" w:cs="Times New Roman"/>
          <w:sz w:val="24"/>
          <w:szCs w:val="24"/>
        </w:rPr>
        <w:t xml:space="preserve">                    </w:t>
      </w:r>
    </w:p>
    <w:p w14:paraId="74A5C204" w14:textId="71663FD7" w:rsidR="009A25D6" w:rsidRDefault="009A25D6" w:rsidP="002F3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1519">
        <w:rPr>
          <w:rFonts w:ascii="Times New Roman" w:hAnsi="Times New Roman" w:cs="Times New Roman"/>
          <w:sz w:val="24"/>
          <w:szCs w:val="24"/>
        </w:rPr>
        <w:t>T</w:t>
      </w:r>
      <w:r w:rsidR="00321519" w:rsidRPr="00321519">
        <w:rPr>
          <w:rFonts w:ascii="Times New Roman" w:hAnsi="Times New Roman" w:cs="Times New Roman"/>
          <w:sz w:val="24"/>
          <w:szCs w:val="24"/>
        </w:rPr>
        <w:t>he sulphur content in stover due to different integrated nutrient management practices was more than seed. Maximum uptake of sulphur in seed, stover and total uptake (10.40, 9.08 and 19.48 kg/ha respectively) was found with of STBFR + Lime + FYM + S 40kg/ha + 2 sprays of Borax @ 0.2% (T8) followed by with STBFR + Lime + FYM + S 40kg/ha + 1 spray of Borax @ 0.2% (T7) and STBFR + Lime + FYM + S 40kg/ha + Borax as soil application 10 kg/ha (T9).</w:t>
      </w:r>
      <w:r w:rsidR="00321519">
        <w:rPr>
          <w:rFonts w:ascii="Times New Roman" w:hAnsi="Times New Roman" w:cs="Times New Roman"/>
          <w:sz w:val="24"/>
          <w:szCs w:val="24"/>
        </w:rPr>
        <w:t xml:space="preserve">  </w:t>
      </w:r>
    </w:p>
    <w:p w14:paraId="161118C1" w14:textId="3190AB90" w:rsidR="009A25D6" w:rsidRDefault="00321519" w:rsidP="002F3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21519">
        <w:rPr>
          <w:rFonts w:ascii="Times New Roman" w:hAnsi="Times New Roman" w:cs="Times New Roman"/>
          <w:sz w:val="24"/>
          <w:szCs w:val="24"/>
        </w:rPr>
        <w:t>Maximum uptake of boron in seed, stover and total uptake (67.39, 331.99 and 399.38 g/ha respectively) was found with STBFR + Lime + FYM + S 40kg/ha + 2 sprays of Borax @ 0.2% (T8) followed by with STBFR + Lime + FYM + S 40kg/ha + 1 spray of Borax @ 0.2% (T7) and STBFR + Lime + FYM + S 40kg/ha + Borax as soil application 10 kg/ha (T9).</w:t>
      </w:r>
    </w:p>
    <w:p w14:paraId="28EF5CFC" w14:textId="675CCA46" w:rsidR="009A25D6" w:rsidRDefault="00321519" w:rsidP="002F35F3">
      <w:pPr>
        <w:spacing w:before="240" w:line="360" w:lineRule="auto"/>
        <w:jc w:val="both"/>
        <w:rPr>
          <w:rFonts w:ascii="Times New Roman" w:hAnsi="Times New Roman" w:cs="Times New Roman"/>
          <w:sz w:val="24"/>
          <w:szCs w:val="24"/>
        </w:rPr>
      </w:pPr>
      <w:r w:rsidRPr="00321519">
        <w:rPr>
          <w:rFonts w:ascii="Times New Roman" w:hAnsi="Times New Roman" w:cs="Times New Roman"/>
          <w:sz w:val="24"/>
          <w:szCs w:val="24"/>
        </w:rPr>
        <w:t xml:space="preserve"> </w:t>
      </w:r>
      <w:r w:rsidR="002F35F3">
        <w:rPr>
          <w:rFonts w:ascii="Times New Roman" w:hAnsi="Times New Roman" w:cs="Times New Roman"/>
          <w:sz w:val="24"/>
          <w:szCs w:val="24"/>
        </w:rPr>
        <w:tab/>
      </w:r>
      <w:r w:rsidR="009A25D6" w:rsidRPr="009A25D6">
        <w:rPr>
          <w:rFonts w:ascii="Times New Roman" w:hAnsi="Times New Roman" w:cs="Times New Roman"/>
          <w:sz w:val="24"/>
          <w:szCs w:val="24"/>
        </w:rPr>
        <w:t>The uptake of all these nutrients was higher when STBFR along with FYM, secondary nutrients like sulphur and micronutrient boron were applied to the crop. Increased uptake was due to application of higher doses of nutrients along with secondary nutrient S, micronutrient B and org</w:t>
      </w:r>
      <w:r w:rsidR="00EC3CF2">
        <w:rPr>
          <w:rFonts w:ascii="Times New Roman" w:hAnsi="Times New Roman" w:cs="Times New Roman"/>
          <w:sz w:val="24"/>
          <w:szCs w:val="24"/>
        </w:rPr>
        <w:t>a</w:t>
      </w:r>
      <w:r w:rsidR="009A25D6" w:rsidRPr="009A25D6">
        <w:rPr>
          <w:rFonts w:ascii="Times New Roman" w:hAnsi="Times New Roman" w:cs="Times New Roman"/>
          <w:sz w:val="24"/>
          <w:szCs w:val="24"/>
        </w:rPr>
        <w:t xml:space="preserve">nic manure, FYM which resulted in vigorous growth and high photosynthetic rate leading to better uptake throughout the </w:t>
      </w:r>
      <w:r w:rsidR="009A25D6" w:rsidRPr="009A25D6">
        <w:rPr>
          <w:rFonts w:ascii="Times New Roman" w:hAnsi="Times New Roman" w:cs="Times New Roman"/>
          <w:sz w:val="24"/>
          <w:szCs w:val="24"/>
        </w:rPr>
        <w:lastRenderedPageBreak/>
        <w:t xml:space="preserve">crop growth period. The results are in conformity with findings of </w:t>
      </w:r>
      <w:r w:rsidR="002F35F3">
        <w:rPr>
          <w:rFonts w:ascii="Times New Roman" w:hAnsi="Times New Roman" w:cs="Times New Roman"/>
          <w:sz w:val="24"/>
          <w:szCs w:val="24"/>
        </w:rPr>
        <w:t>(</w:t>
      </w:r>
      <w:r w:rsidR="009A25D6" w:rsidRPr="009A25D6">
        <w:rPr>
          <w:rFonts w:ascii="Times New Roman" w:hAnsi="Times New Roman" w:cs="Times New Roman"/>
          <w:sz w:val="24"/>
          <w:szCs w:val="24"/>
        </w:rPr>
        <w:t>Rathiya</w:t>
      </w:r>
      <w:r w:rsidR="002F35F3">
        <w:rPr>
          <w:rFonts w:ascii="Times New Roman" w:hAnsi="Times New Roman" w:cs="Times New Roman"/>
          <w:sz w:val="24"/>
          <w:szCs w:val="24"/>
        </w:rPr>
        <w:t xml:space="preserve">, </w:t>
      </w:r>
      <w:r w:rsidR="00D97FBA" w:rsidRPr="009A25D6">
        <w:rPr>
          <w:rFonts w:ascii="Times New Roman" w:hAnsi="Times New Roman" w:cs="Times New Roman"/>
          <w:sz w:val="24"/>
          <w:szCs w:val="24"/>
        </w:rPr>
        <w:t>2005</w:t>
      </w:r>
      <w:r w:rsidR="00D97FBA">
        <w:rPr>
          <w:rFonts w:ascii="Times New Roman" w:hAnsi="Times New Roman" w:cs="Times New Roman"/>
          <w:sz w:val="24"/>
          <w:szCs w:val="24"/>
        </w:rPr>
        <w:t>; Gouda</w:t>
      </w:r>
      <w:r w:rsidR="002F35F3">
        <w:rPr>
          <w:rFonts w:ascii="Times New Roman" w:hAnsi="Times New Roman" w:cs="Times New Roman"/>
          <w:sz w:val="24"/>
          <w:szCs w:val="24"/>
        </w:rPr>
        <w:t xml:space="preserve">, </w:t>
      </w:r>
      <w:r w:rsidR="009D37A2">
        <w:rPr>
          <w:rFonts w:ascii="Times New Roman" w:hAnsi="Times New Roman" w:cs="Times New Roman"/>
          <w:sz w:val="24"/>
          <w:szCs w:val="24"/>
        </w:rPr>
        <w:t>2019).</w:t>
      </w:r>
    </w:p>
    <w:p w14:paraId="01CF0438" w14:textId="77777777" w:rsidR="009A25D6" w:rsidRDefault="009A25D6" w:rsidP="00321519">
      <w:pPr>
        <w:spacing w:before="240" w:line="360" w:lineRule="auto"/>
        <w:rPr>
          <w:rFonts w:ascii="Times New Roman" w:hAnsi="Times New Roman" w:cs="Times New Roman"/>
          <w:sz w:val="24"/>
          <w:szCs w:val="24"/>
        </w:rPr>
      </w:pPr>
      <w:r>
        <w:rPr>
          <w:rFonts w:ascii="Times New Roman" w:hAnsi="Times New Roman" w:cs="Times New Roman"/>
          <w:sz w:val="24"/>
          <w:szCs w:val="24"/>
        </w:rPr>
        <w:t>CONCLUSION:</w:t>
      </w:r>
    </w:p>
    <w:p w14:paraId="7DE1958F" w14:textId="22AE261B" w:rsidR="009A25D6" w:rsidRDefault="009A25D6" w:rsidP="002F35F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9A25D6">
        <w:rPr>
          <w:rFonts w:ascii="Times New Roman" w:hAnsi="Times New Roman" w:cs="Times New Roman"/>
          <w:sz w:val="24"/>
          <w:szCs w:val="24"/>
        </w:rPr>
        <w:t xml:space="preserve">t is concluded that </w:t>
      </w:r>
      <w:r w:rsidR="00376360">
        <w:rPr>
          <w:rFonts w:ascii="Times New Roman" w:hAnsi="Times New Roman" w:cs="Times New Roman"/>
          <w:sz w:val="24"/>
          <w:szCs w:val="24"/>
        </w:rPr>
        <w:t xml:space="preserve">Integration </w:t>
      </w:r>
      <w:r w:rsidR="00376360" w:rsidRPr="009A25D6">
        <w:rPr>
          <w:rFonts w:ascii="Times New Roman" w:hAnsi="Times New Roman" w:cs="Times New Roman"/>
          <w:sz w:val="24"/>
          <w:szCs w:val="24"/>
        </w:rPr>
        <w:t>of</w:t>
      </w:r>
      <w:r w:rsidRPr="009A25D6">
        <w:rPr>
          <w:rFonts w:ascii="Times New Roman" w:hAnsi="Times New Roman" w:cs="Times New Roman"/>
          <w:sz w:val="24"/>
          <w:szCs w:val="24"/>
        </w:rPr>
        <w:t xml:space="preserve"> STBFR + Lime + FYM + S 40kg/ha + 2 sprays of Borax @ 0.2% in </w:t>
      </w:r>
      <w:r w:rsidRPr="009A25D6">
        <w:rPr>
          <w:rFonts w:ascii="Times New Roman" w:hAnsi="Times New Roman" w:cs="Times New Roman"/>
          <w:i/>
          <w:iCs/>
          <w:sz w:val="24"/>
          <w:szCs w:val="24"/>
        </w:rPr>
        <w:t>rabi</w:t>
      </w:r>
      <w:r w:rsidRPr="009A25D6">
        <w:rPr>
          <w:rFonts w:ascii="Times New Roman" w:hAnsi="Times New Roman" w:cs="Times New Roman"/>
          <w:sz w:val="24"/>
          <w:szCs w:val="24"/>
        </w:rPr>
        <w:t xml:space="preserve"> sunflower (</w:t>
      </w:r>
      <w:r w:rsidRPr="009A25D6">
        <w:rPr>
          <w:rFonts w:ascii="Times New Roman" w:hAnsi="Times New Roman" w:cs="Times New Roman"/>
          <w:i/>
          <w:iCs/>
          <w:sz w:val="24"/>
          <w:szCs w:val="24"/>
        </w:rPr>
        <w:t>Helianthus annuus</w:t>
      </w:r>
      <w:r w:rsidRPr="009A25D6">
        <w:rPr>
          <w:rFonts w:ascii="Times New Roman" w:hAnsi="Times New Roman" w:cs="Times New Roman"/>
          <w:sz w:val="24"/>
          <w:szCs w:val="24"/>
        </w:rPr>
        <w:t xml:space="preserve"> L.) resulted in highest</w:t>
      </w:r>
      <w:r w:rsidR="00C65DDE">
        <w:rPr>
          <w:rFonts w:ascii="Times New Roman" w:hAnsi="Times New Roman" w:cs="Times New Roman"/>
          <w:sz w:val="24"/>
          <w:szCs w:val="24"/>
        </w:rPr>
        <w:t xml:space="preserve"> yield attributes, yield </w:t>
      </w:r>
      <w:r w:rsidRPr="009A25D6">
        <w:rPr>
          <w:rFonts w:ascii="Times New Roman" w:hAnsi="Times New Roman" w:cs="Times New Roman"/>
          <w:sz w:val="24"/>
          <w:szCs w:val="24"/>
        </w:rPr>
        <w:t xml:space="preserve">and B:C ratio. So, this nutrient management practice can be recommended to the farmers of Odisha for growing sunflower crop during </w:t>
      </w:r>
      <w:r w:rsidRPr="009A25D6">
        <w:rPr>
          <w:rFonts w:ascii="Times New Roman" w:hAnsi="Times New Roman" w:cs="Times New Roman"/>
          <w:i/>
          <w:iCs/>
          <w:sz w:val="24"/>
          <w:szCs w:val="24"/>
        </w:rPr>
        <w:t>rabi</w:t>
      </w:r>
      <w:r w:rsidRPr="009A25D6">
        <w:rPr>
          <w:rFonts w:ascii="Times New Roman" w:hAnsi="Times New Roman" w:cs="Times New Roman"/>
          <w:sz w:val="24"/>
          <w:szCs w:val="24"/>
        </w:rPr>
        <w:t xml:space="preserve"> season.</w:t>
      </w:r>
    </w:p>
    <w:p w14:paraId="52337826" w14:textId="77777777" w:rsidR="000233A6" w:rsidRDefault="000233A6" w:rsidP="00321519">
      <w:pPr>
        <w:spacing w:before="240" w:line="360" w:lineRule="auto"/>
        <w:rPr>
          <w:rFonts w:ascii="Times New Roman" w:hAnsi="Times New Roman" w:cs="Times New Roman"/>
          <w:sz w:val="24"/>
          <w:szCs w:val="24"/>
        </w:rPr>
      </w:pPr>
    </w:p>
    <w:p w14:paraId="1B953BA0" w14:textId="77777777" w:rsidR="000233A6" w:rsidRDefault="000233A6" w:rsidP="00321519">
      <w:pPr>
        <w:spacing w:before="240" w:line="360" w:lineRule="auto"/>
        <w:rPr>
          <w:rFonts w:ascii="Times New Roman" w:hAnsi="Times New Roman" w:cs="Times New Roman"/>
          <w:sz w:val="24"/>
          <w:szCs w:val="24"/>
        </w:rPr>
      </w:pPr>
      <w:r>
        <w:rPr>
          <w:rFonts w:ascii="Times New Roman" w:hAnsi="Times New Roman" w:cs="Times New Roman"/>
          <w:sz w:val="24"/>
          <w:szCs w:val="24"/>
        </w:rPr>
        <w:t>REFERENCES:</w:t>
      </w:r>
    </w:p>
    <w:p w14:paraId="471D193B" w14:textId="52C6FDFD" w:rsidR="00331508" w:rsidRDefault="00331508" w:rsidP="00063504">
      <w:pPr>
        <w:spacing w:before="240" w:line="360" w:lineRule="auto"/>
        <w:jc w:val="both"/>
        <w:rPr>
          <w:rFonts w:ascii="Times New Roman" w:hAnsi="Times New Roman" w:cs="Times New Roman"/>
          <w:sz w:val="24"/>
          <w:szCs w:val="24"/>
        </w:rPr>
      </w:pPr>
      <w:r w:rsidRPr="00331508">
        <w:rPr>
          <w:rFonts w:ascii="Times New Roman" w:hAnsi="Times New Roman" w:cs="Times New Roman"/>
          <w:sz w:val="24"/>
          <w:szCs w:val="24"/>
        </w:rPr>
        <w:t>Ministry of Agriculture &amp; Farmers Welfare. Dire</w:t>
      </w:r>
      <w:r w:rsidR="00F806DE">
        <w:rPr>
          <w:rFonts w:ascii="Times New Roman" w:hAnsi="Times New Roman" w:cs="Times New Roman"/>
          <w:sz w:val="24"/>
          <w:szCs w:val="24"/>
        </w:rPr>
        <w:t>ctorate of Oilseeds Development.</w:t>
      </w:r>
      <w:r w:rsidRPr="00331508">
        <w:rPr>
          <w:rFonts w:ascii="Times New Roman" w:hAnsi="Times New Roman" w:cs="Times New Roman"/>
          <w:sz w:val="24"/>
          <w:szCs w:val="24"/>
        </w:rPr>
        <w:t xml:space="preserve"> </w:t>
      </w:r>
      <w:proofErr w:type="gramStart"/>
      <w:r w:rsidRPr="00331508">
        <w:rPr>
          <w:rFonts w:ascii="Times New Roman" w:hAnsi="Times New Roman" w:cs="Times New Roman"/>
          <w:sz w:val="24"/>
          <w:szCs w:val="24"/>
        </w:rPr>
        <w:t>2021.Available:https://oilseeds.dac.gov.in</w:t>
      </w:r>
      <w:proofErr w:type="gramEnd"/>
      <w:r w:rsidRPr="00331508">
        <w:rPr>
          <w:rFonts w:ascii="Times New Roman" w:hAnsi="Times New Roman" w:cs="Times New Roman"/>
          <w:sz w:val="24"/>
          <w:szCs w:val="24"/>
        </w:rPr>
        <w:t>.</w:t>
      </w:r>
    </w:p>
    <w:p w14:paraId="7E1A5A84" w14:textId="28512C40" w:rsidR="00CE110C" w:rsidRDefault="00CE110C" w:rsidP="00063504">
      <w:pPr>
        <w:spacing w:before="240" w:line="360" w:lineRule="auto"/>
        <w:jc w:val="both"/>
        <w:rPr>
          <w:rFonts w:ascii="Times New Roman" w:hAnsi="Times New Roman" w:cs="Times New Roman"/>
          <w:sz w:val="24"/>
          <w:szCs w:val="24"/>
        </w:rPr>
      </w:pPr>
      <w:r w:rsidRPr="00CE110C">
        <w:rPr>
          <w:rFonts w:ascii="Times New Roman" w:hAnsi="Times New Roman" w:cs="Times New Roman"/>
          <w:sz w:val="24"/>
          <w:szCs w:val="24"/>
        </w:rPr>
        <w:t xml:space="preserve">Lu, Wang., Yonghua, Hui., &amp; </w:t>
      </w:r>
      <w:proofErr w:type="spellStart"/>
      <w:r w:rsidRPr="00CE110C">
        <w:rPr>
          <w:rFonts w:ascii="Times New Roman" w:hAnsi="Times New Roman" w:cs="Times New Roman"/>
          <w:sz w:val="24"/>
          <w:szCs w:val="24"/>
        </w:rPr>
        <w:t>Chunxiao</w:t>
      </w:r>
      <w:proofErr w:type="spellEnd"/>
      <w:r w:rsidRPr="00CE110C">
        <w:rPr>
          <w:rFonts w:ascii="Times New Roman" w:hAnsi="Times New Roman" w:cs="Times New Roman"/>
          <w:sz w:val="24"/>
          <w:szCs w:val="24"/>
        </w:rPr>
        <w:t>, Wei (2015). Application of body temperature changes in the diagnosis and treatment of swine diseases. Anhui Agricultural Science Bulletin, 21 (05), 108 110.</w:t>
      </w:r>
    </w:p>
    <w:p w14:paraId="425DB770" w14:textId="1FAF1149" w:rsidR="000233A6" w:rsidRDefault="009D37A2" w:rsidP="0006350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Gangadharan</w:t>
      </w:r>
      <w:r w:rsidR="00CE110C">
        <w:rPr>
          <w:rFonts w:ascii="Times New Roman" w:hAnsi="Times New Roman" w:cs="Times New Roman"/>
          <w:sz w:val="24"/>
          <w:szCs w:val="24"/>
        </w:rPr>
        <w:t>.</w:t>
      </w:r>
      <w:r>
        <w:rPr>
          <w:rFonts w:ascii="Times New Roman" w:hAnsi="Times New Roman" w:cs="Times New Roman"/>
          <w:sz w:val="24"/>
          <w:szCs w:val="24"/>
        </w:rPr>
        <w:t>, GA.</w:t>
      </w:r>
      <w:r w:rsidR="000233A6" w:rsidRPr="000233A6">
        <w:rPr>
          <w:rFonts w:ascii="Times New Roman" w:hAnsi="Times New Roman" w:cs="Times New Roman"/>
          <w:sz w:val="24"/>
          <w:szCs w:val="24"/>
        </w:rPr>
        <w:t xml:space="preserve"> </w:t>
      </w:r>
      <w:r w:rsidR="003525F6">
        <w:rPr>
          <w:rFonts w:ascii="Times New Roman" w:hAnsi="Times New Roman" w:cs="Times New Roman"/>
          <w:sz w:val="24"/>
          <w:szCs w:val="24"/>
        </w:rPr>
        <w:t xml:space="preserve">(1990). </w:t>
      </w:r>
      <w:r w:rsidR="000233A6" w:rsidRPr="000233A6">
        <w:rPr>
          <w:rFonts w:ascii="Times New Roman" w:hAnsi="Times New Roman" w:cs="Times New Roman"/>
          <w:sz w:val="24"/>
          <w:szCs w:val="24"/>
        </w:rPr>
        <w:t>Effect of Sulphur on yield, oil content of sunflower and upt</w:t>
      </w:r>
      <w:r>
        <w:rPr>
          <w:rFonts w:ascii="Times New Roman" w:hAnsi="Times New Roman" w:cs="Times New Roman"/>
          <w:sz w:val="24"/>
          <w:szCs w:val="24"/>
        </w:rPr>
        <w:t xml:space="preserve">ake of micronutrients by plants. </w:t>
      </w:r>
      <w:r w:rsidR="000233A6" w:rsidRPr="000233A6">
        <w:rPr>
          <w:rFonts w:ascii="Times New Roman" w:hAnsi="Times New Roman" w:cs="Times New Roman"/>
          <w:sz w:val="24"/>
          <w:szCs w:val="24"/>
        </w:rPr>
        <w:t xml:space="preserve"> </w:t>
      </w:r>
      <w:r w:rsidR="000233A6" w:rsidRPr="009D37A2">
        <w:rPr>
          <w:rFonts w:ascii="Times New Roman" w:hAnsi="Times New Roman" w:cs="Times New Roman"/>
          <w:sz w:val="24"/>
          <w:szCs w:val="24"/>
        </w:rPr>
        <w:t>Journal of the Indian Society of Soil Science</w:t>
      </w:r>
      <w:r w:rsidR="003525F6">
        <w:rPr>
          <w:rFonts w:ascii="Times New Roman" w:hAnsi="Times New Roman" w:cs="Times New Roman"/>
          <w:sz w:val="24"/>
          <w:szCs w:val="24"/>
        </w:rPr>
        <w:t>,</w:t>
      </w:r>
      <w:r w:rsidR="000233A6" w:rsidRPr="000233A6">
        <w:rPr>
          <w:rFonts w:ascii="Times New Roman" w:hAnsi="Times New Roman" w:cs="Times New Roman"/>
          <w:sz w:val="24"/>
          <w:szCs w:val="24"/>
        </w:rPr>
        <w:t xml:space="preserve"> 38</w:t>
      </w:r>
      <w:r w:rsidR="00063306">
        <w:rPr>
          <w:rFonts w:ascii="Times New Roman" w:hAnsi="Times New Roman" w:cs="Times New Roman"/>
          <w:sz w:val="24"/>
          <w:szCs w:val="24"/>
        </w:rPr>
        <w:t>,</w:t>
      </w:r>
      <w:r w:rsidR="000233A6" w:rsidRPr="000233A6">
        <w:rPr>
          <w:rFonts w:ascii="Times New Roman" w:hAnsi="Times New Roman" w:cs="Times New Roman"/>
          <w:sz w:val="24"/>
          <w:szCs w:val="24"/>
        </w:rPr>
        <w:t xml:space="preserve"> 692-695.</w:t>
      </w:r>
    </w:p>
    <w:p w14:paraId="205316B6" w14:textId="56EF0F96" w:rsidR="000233A6" w:rsidRDefault="000233A6" w:rsidP="00063504">
      <w:pPr>
        <w:spacing w:before="240" w:line="360" w:lineRule="auto"/>
        <w:jc w:val="both"/>
        <w:rPr>
          <w:rFonts w:ascii="Times New Roman" w:hAnsi="Times New Roman" w:cs="Times New Roman"/>
          <w:sz w:val="24"/>
          <w:szCs w:val="24"/>
        </w:rPr>
      </w:pPr>
      <w:r w:rsidRPr="000233A6">
        <w:rPr>
          <w:rFonts w:ascii="Times New Roman" w:hAnsi="Times New Roman" w:cs="Times New Roman"/>
          <w:sz w:val="24"/>
          <w:szCs w:val="24"/>
        </w:rPr>
        <w:t>Parmar NN</w:t>
      </w:r>
      <w:r w:rsidR="00110AF7">
        <w:rPr>
          <w:rFonts w:ascii="Times New Roman" w:hAnsi="Times New Roman" w:cs="Times New Roman"/>
          <w:sz w:val="24"/>
          <w:szCs w:val="24"/>
        </w:rPr>
        <w:t>.</w:t>
      </w:r>
      <w:r w:rsidRPr="000233A6">
        <w:rPr>
          <w:rFonts w:ascii="Times New Roman" w:hAnsi="Times New Roman" w:cs="Times New Roman"/>
          <w:sz w:val="24"/>
          <w:szCs w:val="24"/>
        </w:rPr>
        <w:t xml:space="preserve">, Patel AP </w:t>
      </w:r>
      <w:r w:rsidR="000C39C2">
        <w:rPr>
          <w:rFonts w:ascii="Times New Roman" w:hAnsi="Times New Roman" w:cs="Times New Roman"/>
          <w:sz w:val="24"/>
          <w:szCs w:val="24"/>
        </w:rPr>
        <w:t>&amp;</w:t>
      </w:r>
      <w:r w:rsidRPr="000233A6">
        <w:rPr>
          <w:rFonts w:ascii="Times New Roman" w:hAnsi="Times New Roman" w:cs="Times New Roman"/>
          <w:sz w:val="24"/>
          <w:szCs w:val="24"/>
        </w:rPr>
        <w:t xml:space="preserve"> Choudhary M. </w:t>
      </w:r>
      <w:r w:rsidR="00780ED0">
        <w:rPr>
          <w:rFonts w:ascii="Times New Roman" w:hAnsi="Times New Roman" w:cs="Times New Roman"/>
          <w:sz w:val="24"/>
          <w:szCs w:val="24"/>
        </w:rPr>
        <w:t xml:space="preserve">(2018). </w:t>
      </w:r>
      <w:r w:rsidRPr="000233A6">
        <w:rPr>
          <w:rFonts w:ascii="Times New Roman" w:hAnsi="Times New Roman" w:cs="Times New Roman"/>
          <w:sz w:val="24"/>
          <w:szCs w:val="24"/>
        </w:rPr>
        <w:t>Effect of sources and levels of sulphur on growth, yield and quality of summer sesame under South Gujarat condition (</w:t>
      </w:r>
      <w:r w:rsidRPr="009D37A2">
        <w:rPr>
          <w:rFonts w:ascii="Times New Roman" w:hAnsi="Times New Roman" w:cs="Times New Roman"/>
          <w:sz w:val="24"/>
          <w:szCs w:val="24"/>
        </w:rPr>
        <w:t>Sesamum indicum</w:t>
      </w:r>
      <w:r w:rsidR="009D37A2" w:rsidRPr="009D37A2">
        <w:rPr>
          <w:rFonts w:ascii="Times New Roman" w:hAnsi="Times New Roman" w:cs="Times New Roman"/>
          <w:sz w:val="24"/>
          <w:szCs w:val="24"/>
        </w:rPr>
        <w:t xml:space="preserve"> </w:t>
      </w:r>
      <w:r w:rsidR="009D37A2">
        <w:rPr>
          <w:rFonts w:ascii="Times New Roman" w:hAnsi="Times New Roman" w:cs="Times New Roman"/>
          <w:sz w:val="24"/>
          <w:szCs w:val="24"/>
        </w:rPr>
        <w:t xml:space="preserve">L.). </w:t>
      </w:r>
      <w:r w:rsidRPr="000233A6">
        <w:rPr>
          <w:rFonts w:ascii="Times New Roman" w:hAnsi="Times New Roman" w:cs="Times New Roman"/>
          <w:sz w:val="24"/>
          <w:szCs w:val="24"/>
        </w:rPr>
        <w:t xml:space="preserve"> </w:t>
      </w:r>
      <w:r w:rsidRPr="009D37A2">
        <w:rPr>
          <w:rFonts w:ascii="Times New Roman" w:hAnsi="Times New Roman" w:cs="Times New Roman"/>
          <w:sz w:val="24"/>
          <w:szCs w:val="24"/>
        </w:rPr>
        <w:t>International Journal of Current Microbiology and Applied Sciences</w:t>
      </w:r>
      <w:r w:rsidR="00780ED0">
        <w:rPr>
          <w:rFonts w:ascii="Times New Roman" w:hAnsi="Times New Roman" w:cs="Times New Roman"/>
          <w:sz w:val="24"/>
          <w:szCs w:val="24"/>
        </w:rPr>
        <w:t>,</w:t>
      </w:r>
      <w:r w:rsidR="009D37A2">
        <w:rPr>
          <w:rFonts w:ascii="Times New Roman" w:hAnsi="Times New Roman" w:cs="Times New Roman"/>
          <w:sz w:val="24"/>
          <w:szCs w:val="24"/>
        </w:rPr>
        <w:t xml:space="preserve"> 2</w:t>
      </w:r>
      <w:r w:rsidR="00780ED0">
        <w:rPr>
          <w:rFonts w:ascii="Times New Roman" w:hAnsi="Times New Roman" w:cs="Times New Roman"/>
          <w:sz w:val="24"/>
          <w:szCs w:val="24"/>
        </w:rPr>
        <w:t>,</w:t>
      </w:r>
      <w:r w:rsidR="009D37A2">
        <w:rPr>
          <w:rFonts w:ascii="Times New Roman" w:hAnsi="Times New Roman" w:cs="Times New Roman"/>
          <w:sz w:val="24"/>
          <w:szCs w:val="24"/>
        </w:rPr>
        <w:t xml:space="preserve"> </w:t>
      </w:r>
      <w:r w:rsidRPr="000233A6">
        <w:rPr>
          <w:rFonts w:ascii="Times New Roman" w:hAnsi="Times New Roman" w:cs="Times New Roman"/>
          <w:sz w:val="24"/>
          <w:szCs w:val="24"/>
        </w:rPr>
        <w:t>7(2)</w:t>
      </w:r>
      <w:r w:rsidR="009708D6">
        <w:rPr>
          <w:rFonts w:ascii="Times New Roman" w:hAnsi="Times New Roman" w:cs="Times New Roman"/>
          <w:sz w:val="24"/>
          <w:szCs w:val="24"/>
        </w:rPr>
        <w:t>,</w:t>
      </w:r>
      <w:r w:rsidRPr="000233A6">
        <w:rPr>
          <w:rFonts w:ascii="Times New Roman" w:hAnsi="Times New Roman" w:cs="Times New Roman"/>
          <w:sz w:val="24"/>
          <w:szCs w:val="24"/>
        </w:rPr>
        <w:t xml:space="preserve"> 2600-2605.</w:t>
      </w:r>
    </w:p>
    <w:p w14:paraId="2E9B017C" w14:textId="34A7EB96" w:rsidR="00C65DDE" w:rsidRDefault="002F35F3" w:rsidP="00063504">
      <w:pPr>
        <w:spacing w:before="240" w:line="360" w:lineRule="auto"/>
        <w:jc w:val="both"/>
        <w:rPr>
          <w:rFonts w:ascii="Times New Roman" w:hAnsi="Times New Roman" w:cs="Times New Roman"/>
          <w:sz w:val="24"/>
          <w:szCs w:val="24"/>
        </w:rPr>
      </w:pPr>
      <w:r w:rsidRPr="000233A6">
        <w:rPr>
          <w:rFonts w:ascii="Times New Roman" w:hAnsi="Times New Roman" w:cs="Times New Roman"/>
          <w:sz w:val="24"/>
          <w:szCs w:val="24"/>
        </w:rPr>
        <w:t>Tahir M</w:t>
      </w:r>
      <w:r w:rsidR="00834911">
        <w:rPr>
          <w:rFonts w:ascii="Times New Roman" w:hAnsi="Times New Roman" w:cs="Times New Roman"/>
          <w:sz w:val="24"/>
          <w:szCs w:val="24"/>
        </w:rPr>
        <w:t>.</w:t>
      </w:r>
      <w:r w:rsidR="000233A6" w:rsidRPr="000233A6">
        <w:rPr>
          <w:rFonts w:ascii="Times New Roman" w:hAnsi="Times New Roman" w:cs="Times New Roman"/>
          <w:sz w:val="24"/>
          <w:szCs w:val="24"/>
        </w:rPr>
        <w:t>, Sha</w:t>
      </w:r>
      <w:r w:rsidR="009D37A2">
        <w:rPr>
          <w:rFonts w:ascii="Times New Roman" w:hAnsi="Times New Roman" w:cs="Times New Roman"/>
          <w:sz w:val="24"/>
          <w:szCs w:val="24"/>
        </w:rPr>
        <w:t>h SA</w:t>
      </w:r>
      <w:r w:rsidR="00834911">
        <w:rPr>
          <w:rFonts w:ascii="Times New Roman" w:hAnsi="Times New Roman" w:cs="Times New Roman"/>
          <w:sz w:val="24"/>
          <w:szCs w:val="24"/>
        </w:rPr>
        <w:t>.</w:t>
      </w:r>
      <w:r w:rsidR="009D37A2">
        <w:rPr>
          <w:rFonts w:ascii="Times New Roman" w:hAnsi="Times New Roman" w:cs="Times New Roman"/>
          <w:sz w:val="24"/>
          <w:szCs w:val="24"/>
        </w:rPr>
        <w:t xml:space="preserve">, Ayub M </w:t>
      </w:r>
      <w:r w:rsidR="00834911">
        <w:rPr>
          <w:rFonts w:ascii="Times New Roman" w:hAnsi="Times New Roman" w:cs="Times New Roman"/>
          <w:sz w:val="24"/>
          <w:szCs w:val="24"/>
        </w:rPr>
        <w:t>&amp;</w:t>
      </w:r>
      <w:r w:rsidR="009D37A2">
        <w:rPr>
          <w:rFonts w:ascii="Times New Roman" w:hAnsi="Times New Roman" w:cs="Times New Roman"/>
          <w:sz w:val="24"/>
          <w:szCs w:val="24"/>
        </w:rPr>
        <w:t xml:space="preserve"> Tanveer A</w:t>
      </w:r>
      <w:r w:rsidR="000233A6" w:rsidRPr="000233A6">
        <w:rPr>
          <w:rFonts w:ascii="Times New Roman" w:hAnsi="Times New Roman" w:cs="Times New Roman"/>
          <w:sz w:val="24"/>
          <w:szCs w:val="24"/>
        </w:rPr>
        <w:t>.</w:t>
      </w:r>
      <w:r w:rsidR="00834911">
        <w:rPr>
          <w:rFonts w:ascii="Times New Roman" w:hAnsi="Times New Roman" w:cs="Times New Roman"/>
          <w:sz w:val="24"/>
          <w:szCs w:val="24"/>
        </w:rPr>
        <w:t xml:space="preserve"> (2014).</w:t>
      </w:r>
      <w:r w:rsidR="000233A6" w:rsidRPr="000233A6">
        <w:rPr>
          <w:rFonts w:ascii="Times New Roman" w:hAnsi="Times New Roman" w:cs="Times New Roman"/>
          <w:sz w:val="24"/>
          <w:szCs w:val="24"/>
        </w:rPr>
        <w:t xml:space="preserve"> Growth and yield response of sunflower (Helianthus annuus L.) to sulphur and boron application: Effect of sulphur and boron on sunflower. </w:t>
      </w:r>
      <w:r w:rsidR="000233A6" w:rsidRPr="009D37A2">
        <w:rPr>
          <w:rFonts w:ascii="Times New Roman" w:hAnsi="Times New Roman" w:cs="Times New Roman"/>
          <w:sz w:val="24"/>
          <w:szCs w:val="24"/>
        </w:rPr>
        <w:t xml:space="preserve">Biological Sciences-Pakistan Journal of Scientific and Industrial </w:t>
      </w:r>
      <w:r w:rsidR="00254037" w:rsidRPr="009D37A2">
        <w:rPr>
          <w:rFonts w:ascii="Times New Roman" w:hAnsi="Times New Roman" w:cs="Times New Roman"/>
          <w:sz w:val="24"/>
          <w:szCs w:val="24"/>
        </w:rPr>
        <w:t>Research</w:t>
      </w:r>
      <w:r w:rsidR="00254037">
        <w:rPr>
          <w:rFonts w:ascii="Times New Roman" w:hAnsi="Times New Roman" w:cs="Times New Roman"/>
          <w:sz w:val="24"/>
          <w:szCs w:val="24"/>
        </w:rPr>
        <w:t xml:space="preserve">, </w:t>
      </w:r>
      <w:r w:rsidR="00254037" w:rsidRPr="000233A6">
        <w:rPr>
          <w:rFonts w:ascii="Times New Roman" w:hAnsi="Times New Roman" w:cs="Times New Roman"/>
          <w:sz w:val="24"/>
          <w:szCs w:val="24"/>
        </w:rPr>
        <w:t>57</w:t>
      </w:r>
      <w:r w:rsidR="000233A6" w:rsidRPr="000233A6">
        <w:rPr>
          <w:rFonts w:ascii="Times New Roman" w:hAnsi="Times New Roman" w:cs="Times New Roman"/>
          <w:sz w:val="24"/>
          <w:szCs w:val="24"/>
        </w:rPr>
        <w:t>(1)</w:t>
      </w:r>
      <w:r w:rsidR="00834911">
        <w:rPr>
          <w:rFonts w:ascii="Times New Roman" w:hAnsi="Times New Roman" w:cs="Times New Roman"/>
          <w:sz w:val="24"/>
          <w:szCs w:val="24"/>
        </w:rPr>
        <w:t>,</w:t>
      </w:r>
      <w:r w:rsidR="000233A6" w:rsidRPr="000233A6">
        <w:rPr>
          <w:rFonts w:ascii="Times New Roman" w:hAnsi="Times New Roman" w:cs="Times New Roman"/>
          <w:sz w:val="24"/>
          <w:szCs w:val="24"/>
        </w:rPr>
        <w:t xml:space="preserve"> 5-10.</w:t>
      </w:r>
    </w:p>
    <w:p w14:paraId="0B94C2D3" w14:textId="5DF10A41" w:rsidR="000233A6" w:rsidRDefault="009D37A2" w:rsidP="0006350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Gouda BP</w:t>
      </w:r>
      <w:r w:rsidR="000233A6" w:rsidRPr="000233A6">
        <w:rPr>
          <w:rFonts w:ascii="Times New Roman" w:hAnsi="Times New Roman" w:cs="Times New Roman"/>
          <w:sz w:val="24"/>
          <w:szCs w:val="24"/>
        </w:rPr>
        <w:t xml:space="preserve">. </w:t>
      </w:r>
      <w:r w:rsidR="00DD55D6">
        <w:rPr>
          <w:rFonts w:ascii="Times New Roman" w:hAnsi="Times New Roman" w:cs="Times New Roman"/>
          <w:sz w:val="24"/>
          <w:szCs w:val="24"/>
        </w:rPr>
        <w:t xml:space="preserve">(2019). </w:t>
      </w:r>
      <w:r w:rsidR="000233A6" w:rsidRPr="000233A6">
        <w:rPr>
          <w:rFonts w:ascii="Times New Roman" w:hAnsi="Times New Roman" w:cs="Times New Roman"/>
          <w:sz w:val="24"/>
          <w:szCs w:val="24"/>
        </w:rPr>
        <w:t>Integrated nutrient management in summer sunflower (Helianthus annuus L.), M.Sc. (Agri.) thesis, College of Agriculture, Odisha University of Agriculture and Technology, Bhubaneswar</w:t>
      </w:r>
      <w:r w:rsidR="006F5C9A">
        <w:rPr>
          <w:rFonts w:ascii="Times New Roman" w:hAnsi="Times New Roman" w:cs="Times New Roman"/>
          <w:sz w:val="24"/>
          <w:szCs w:val="24"/>
        </w:rPr>
        <w:t>.</w:t>
      </w:r>
    </w:p>
    <w:p w14:paraId="6502C4C8" w14:textId="79AB6330" w:rsidR="006F5C9A" w:rsidRDefault="009D37A2" w:rsidP="0006350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Rathiya GM</w:t>
      </w:r>
      <w:r w:rsidR="006F5C9A" w:rsidRPr="006F5C9A">
        <w:rPr>
          <w:rFonts w:ascii="Times New Roman" w:hAnsi="Times New Roman" w:cs="Times New Roman"/>
          <w:sz w:val="24"/>
          <w:szCs w:val="24"/>
        </w:rPr>
        <w:t>.</w:t>
      </w:r>
      <w:r w:rsidR="00DD55D6">
        <w:rPr>
          <w:rFonts w:ascii="Times New Roman" w:hAnsi="Times New Roman" w:cs="Times New Roman"/>
          <w:sz w:val="24"/>
          <w:szCs w:val="24"/>
        </w:rPr>
        <w:t xml:space="preserve"> (2005)</w:t>
      </w:r>
      <w:r w:rsidR="006F5C9A" w:rsidRPr="006F5C9A">
        <w:rPr>
          <w:rFonts w:ascii="Times New Roman" w:hAnsi="Times New Roman" w:cs="Times New Roman"/>
          <w:sz w:val="24"/>
          <w:szCs w:val="24"/>
        </w:rPr>
        <w:t xml:space="preserve"> Studies in integrated nutrient management in hybrid sunflower (</w:t>
      </w:r>
      <w:r w:rsidR="006F5C9A" w:rsidRPr="009D37A2">
        <w:rPr>
          <w:rFonts w:ascii="Times New Roman" w:hAnsi="Times New Roman" w:cs="Times New Roman"/>
          <w:sz w:val="24"/>
          <w:szCs w:val="24"/>
        </w:rPr>
        <w:t>Helianthus annuus</w:t>
      </w:r>
      <w:r w:rsidR="006F5C9A" w:rsidRPr="006F5C9A">
        <w:rPr>
          <w:rFonts w:ascii="Times New Roman" w:hAnsi="Times New Roman" w:cs="Times New Roman"/>
          <w:sz w:val="24"/>
          <w:szCs w:val="24"/>
        </w:rPr>
        <w:t xml:space="preserve"> L.) during summer, M.Sc. (Agri.) thesis, College of Agriculture, Indira Gandhi Agricultural University, Raipur.</w:t>
      </w:r>
    </w:p>
    <w:p w14:paraId="36442C56" w14:textId="13736CF2" w:rsidR="008D56CC" w:rsidRDefault="009D37A2" w:rsidP="0006350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Murali </w:t>
      </w:r>
      <w:proofErr w:type="spellStart"/>
      <w:r w:rsidR="00063504">
        <w:rPr>
          <w:rFonts w:ascii="Times New Roman" w:hAnsi="Times New Roman" w:cs="Times New Roman"/>
          <w:sz w:val="24"/>
          <w:szCs w:val="24"/>
        </w:rPr>
        <w:t>Arthanari</w:t>
      </w:r>
      <w:proofErr w:type="spellEnd"/>
      <w:r w:rsidR="00063504">
        <w:rPr>
          <w:rFonts w:ascii="Times New Roman" w:hAnsi="Times New Roman" w:cs="Times New Roman"/>
          <w:sz w:val="24"/>
          <w:szCs w:val="24"/>
        </w:rPr>
        <w:t xml:space="preserve"> P</w:t>
      </w:r>
      <w:r w:rsidR="00DD55D6">
        <w:rPr>
          <w:rFonts w:ascii="Times New Roman" w:hAnsi="Times New Roman" w:cs="Times New Roman"/>
          <w:sz w:val="24"/>
          <w:szCs w:val="24"/>
        </w:rPr>
        <w:t>.</w:t>
      </w:r>
      <w:r w:rsidR="008D56CC" w:rsidRPr="008D56CC">
        <w:rPr>
          <w:rFonts w:ascii="Times New Roman" w:hAnsi="Times New Roman" w:cs="Times New Roman"/>
          <w:sz w:val="24"/>
          <w:szCs w:val="24"/>
        </w:rPr>
        <w:t xml:space="preserve">, </w:t>
      </w:r>
      <w:r w:rsidR="00063504" w:rsidRPr="008D56CC">
        <w:rPr>
          <w:rFonts w:ascii="Times New Roman" w:hAnsi="Times New Roman" w:cs="Times New Roman"/>
          <w:sz w:val="24"/>
          <w:szCs w:val="24"/>
        </w:rPr>
        <w:t>Balasubram</w:t>
      </w:r>
      <w:r w:rsidR="00063504">
        <w:rPr>
          <w:rFonts w:ascii="Times New Roman" w:hAnsi="Times New Roman" w:cs="Times New Roman"/>
          <w:sz w:val="24"/>
          <w:szCs w:val="24"/>
        </w:rPr>
        <w:t xml:space="preserve">anian </w:t>
      </w:r>
      <w:r w:rsidR="00063504" w:rsidRPr="008D56CC">
        <w:rPr>
          <w:rFonts w:ascii="Times New Roman" w:hAnsi="Times New Roman" w:cs="Times New Roman"/>
          <w:sz w:val="24"/>
          <w:szCs w:val="24"/>
        </w:rPr>
        <w:t>TN</w:t>
      </w:r>
      <w:r w:rsidR="00DD55D6">
        <w:rPr>
          <w:rFonts w:ascii="Times New Roman" w:hAnsi="Times New Roman" w:cs="Times New Roman"/>
          <w:sz w:val="24"/>
          <w:szCs w:val="24"/>
        </w:rPr>
        <w:t>. &amp;</w:t>
      </w:r>
      <w:r>
        <w:rPr>
          <w:rFonts w:ascii="Times New Roman" w:hAnsi="Times New Roman" w:cs="Times New Roman"/>
          <w:sz w:val="24"/>
          <w:szCs w:val="24"/>
        </w:rPr>
        <w:t xml:space="preserve"> Mohamed Amanullah M</w:t>
      </w:r>
      <w:r w:rsidR="008D56CC" w:rsidRPr="008D56CC">
        <w:rPr>
          <w:rFonts w:ascii="Times New Roman" w:hAnsi="Times New Roman" w:cs="Times New Roman"/>
          <w:sz w:val="24"/>
          <w:szCs w:val="24"/>
        </w:rPr>
        <w:t>.</w:t>
      </w:r>
      <w:r w:rsidR="008331D3">
        <w:rPr>
          <w:rFonts w:ascii="Times New Roman" w:hAnsi="Times New Roman" w:cs="Times New Roman"/>
          <w:sz w:val="24"/>
          <w:szCs w:val="24"/>
        </w:rPr>
        <w:t xml:space="preserve"> (2009). </w:t>
      </w:r>
      <w:r w:rsidR="008D56CC" w:rsidRPr="008D56CC">
        <w:rPr>
          <w:rFonts w:ascii="Times New Roman" w:hAnsi="Times New Roman" w:cs="Times New Roman"/>
          <w:sz w:val="24"/>
          <w:szCs w:val="24"/>
        </w:rPr>
        <w:t>Impact of Climate and Nutrient Management on Yield Components and Yield of S</w:t>
      </w:r>
      <w:r w:rsidR="008D56CC">
        <w:rPr>
          <w:rFonts w:ascii="Times New Roman" w:hAnsi="Times New Roman" w:cs="Times New Roman"/>
          <w:sz w:val="24"/>
          <w:szCs w:val="24"/>
        </w:rPr>
        <w:t>unflower (Helianthus annuus L.)</w:t>
      </w:r>
      <w:r>
        <w:rPr>
          <w:rFonts w:ascii="Times New Roman" w:hAnsi="Times New Roman" w:cs="Times New Roman"/>
          <w:sz w:val="24"/>
          <w:szCs w:val="24"/>
        </w:rPr>
        <w:t>.</w:t>
      </w:r>
      <w:r w:rsidR="008D56CC" w:rsidRPr="008D56CC">
        <w:rPr>
          <w:rFonts w:ascii="Times New Roman" w:hAnsi="Times New Roman" w:cs="Times New Roman"/>
          <w:sz w:val="24"/>
          <w:szCs w:val="24"/>
        </w:rPr>
        <w:t xml:space="preserve"> </w:t>
      </w:r>
      <w:r w:rsidR="008D56CC" w:rsidRPr="009D37A2">
        <w:rPr>
          <w:rFonts w:ascii="Times New Roman" w:hAnsi="Times New Roman" w:cs="Times New Roman"/>
          <w:sz w:val="24"/>
          <w:szCs w:val="24"/>
        </w:rPr>
        <w:t>American-Eurasian Journal of Sustainable Agriculture</w:t>
      </w:r>
      <w:r>
        <w:rPr>
          <w:rFonts w:ascii="Times New Roman" w:hAnsi="Times New Roman" w:cs="Times New Roman"/>
          <w:sz w:val="24"/>
          <w:szCs w:val="24"/>
        </w:rPr>
        <w:t>.</w:t>
      </w:r>
      <w:r w:rsidR="008E1D46">
        <w:rPr>
          <w:rFonts w:ascii="Times New Roman" w:hAnsi="Times New Roman" w:cs="Times New Roman"/>
          <w:sz w:val="24"/>
          <w:szCs w:val="24"/>
        </w:rPr>
        <w:t xml:space="preserve"> </w:t>
      </w:r>
      <w:r>
        <w:rPr>
          <w:rFonts w:ascii="Times New Roman" w:hAnsi="Times New Roman" w:cs="Times New Roman"/>
          <w:sz w:val="24"/>
          <w:szCs w:val="24"/>
        </w:rPr>
        <w:t>3(1)</w:t>
      </w:r>
      <w:r w:rsidR="008E1D46">
        <w:rPr>
          <w:rFonts w:ascii="Times New Roman" w:hAnsi="Times New Roman" w:cs="Times New Roman"/>
          <w:sz w:val="24"/>
          <w:szCs w:val="24"/>
        </w:rPr>
        <w:t>,</w:t>
      </w:r>
      <w:r w:rsidR="008D56CC" w:rsidRPr="008D56CC">
        <w:rPr>
          <w:rFonts w:ascii="Times New Roman" w:hAnsi="Times New Roman" w:cs="Times New Roman"/>
          <w:sz w:val="24"/>
          <w:szCs w:val="24"/>
        </w:rPr>
        <w:t xml:space="preserve"> 13-16.</w:t>
      </w:r>
    </w:p>
    <w:p w14:paraId="7065A67F" w14:textId="1C8836CD" w:rsidR="000233A6" w:rsidRDefault="000233A6" w:rsidP="00063504">
      <w:pPr>
        <w:spacing w:before="240" w:line="360" w:lineRule="auto"/>
        <w:jc w:val="both"/>
        <w:rPr>
          <w:rFonts w:ascii="Times New Roman" w:hAnsi="Times New Roman" w:cs="Times New Roman"/>
          <w:sz w:val="24"/>
          <w:szCs w:val="24"/>
        </w:rPr>
      </w:pPr>
      <w:r w:rsidRPr="000233A6">
        <w:rPr>
          <w:rFonts w:ascii="Times New Roman" w:hAnsi="Times New Roman" w:cs="Times New Roman"/>
          <w:sz w:val="24"/>
          <w:szCs w:val="24"/>
        </w:rPr>
        <w:t>Manjunatha GS</w:t>
      </w:r>
      <w:r w:rsidR="00D8034C">
        <w:rPr>
          <w:rFonts w:ascii="Times New Roman" w:hAnsi="Times New Roman" w:cs="Times New Roman"/>
          <w:sz w:val="24"/>
          <w:szCs w:val="24"/>
        </w:rPr>
        <w:t>.</w:t>
      </w:r>
      <w:r w:rsidRPr="000233A6">
        <w:rPr>
          <w:rFonts w:ascii="Times New Roman" w:hAnsi="Times New Roman" w:cs="Times New Roman"/>
          <w:sz w:val="24"/>
          <w:szCs w:val="24"/>
        </w:rPr>
        <w:t xml:space="preserve">, </w:t>
      </w:r>
      <w:proofErr w:type="spellStart"/>
      <w:r w:rsidRPr="000233A6">
        <w:rPr>
          <w:rFonts w:ascii="Times New Roman" w:hAnsi="Times New Roman" w:cs="Times New Roman"/>
          <w:sz w:val="24"/>
          <w:szCs w:val="24"/>
        </w:rPr>
        <w:t>Upperi</w:t>
      </w:r>
      <w:proofErr w:type="spellEnd"/>
      <w:r w:rsidRPr="000233A6">
        <w:rPr>
          <w:rFonts w:ascii="Times New Roman" w:hAnsi="Times New Roman" w:cs="Times New Roman"/>
          <w:sz w:val="24"/>
          <w:szCs w:val="24"/>
        </w:rPr>
        <w:t xml:space="preserve"> SN</w:t>
      </w:r>
      <w:r w:rsidR="00D8034C">
        <w:rPr>
          <w:rFonts w:ascii="Times New Roman" w:hAnsi="Times New Roman" w:cs="Times New Roman"/>
          <w:sz w:val="24"/>
          <w:szCs w:val="24"/>
        </w:rPr>
        <w:t>.</w:t>
      </w:r>
      <w:r w:rsidR="009D37A2">
        <w:rPr>
          <w:rFonts w:ascii="Times New Roman" w:hAnsi="Times New Roman" w:cs="Times New Roman"/>
          <w:sz w:val="24"/>
          <w:szCs w:val="24"/>
        </w:rPr>
        <w:t>, Pujari BT</w:t>
      </w:r>
      <w:r w:rsidR="00D8034C">
        <w:rPr>
          <w:rFonts w:ascii="Times New Roman" w:hAnsi="Times New Roman" w:cs="Times New Roman"/>
          <w:sz w:val="24"/>
          <w:szCs w:val="24"/>
        </w:rPr>
        <w:t>.</w:t>
      </w:r>
      <w:r w:rsidR="009D37A2">
        <w:rPr>
          <w:rFonts w:ascii="Times New Roman" w:hAnsi="Times New Roman" w:cs="Times New Roman"/>
          <w:sz w:val="24"/>
          <w:szCs w:val="24"/>
        </w:rPr>
        <w:t xml:space="preserve">, </w:t>
      </w:r>
      <w:proofErr w:type="spellStart"/>
      <w:r w:rsidR="009D37A2">
        <w:rPr>
          <w:rFonts w:ascii="Times New Roman" w:hAnsi="Times New Roman" w:cs="Times New Roman"/>
          <w:sz w:val="24"/>
          <w:szCs w:val="24"/>
        </w:rPr>
        <w:t>Yeledahalli</w:t>
      </w:r>
      <w:proofErr w:type="spellEnd"/>
      <w:r w:rsidR="009D37A2">
        <w:rPr>
          <w:rFonts w:ascii="Times New Roman" w:hAnsi="Times New Roman" w:cs="Times New Roman"/>
          <w:sz w:val="24"/>
          <w:szCs w:val="24"/>
        </w:rPr>
        <w:t xml:space="preserve"> </w:t>
      </w:r>
      <w:r w:rsidR="00063504">
        <w:rPr>
          <w:rFonts w:ascii="Times New Roman" w:hAnsi="Times New Roman" w:cs="Times New Roman"/>
          <w:sz w:val="24"/>
          <w:szCs w:val="24"/>
        </w:rPr>
        <w:t>NA</w:t>
      </w:r>
      <w:r w:rsidR="00D8034C">
        <w:rPr>
          <w:rFonts w:ascii="Times New Roman" w:hAnsi="Times New Roman" w:cs="Times New Roman"/>
          <w:sz w:val="24"/>
          <w:szCs w:val="24"/>
        </w:rPr>
        <w:t>.</w:t>
      </w:r>
      <w:r w:rsidR="00E65BE3">
        <w:rPr>
          <w:rFonts w:ascii="Times New Roman" w:hAnsi="Times New Roman" w:cs="Times New Roman"/>
          <w:sz w:val="24"/>
          <w:szCs w:val="24"/>
        </w:rPr>
        <w:t xml:space="preserve"> &amp;</w:t>
      </w:r>
      <w:r w:rsidR="009D37A2">
        <w:rPr>
          <w:rFonts w:ascii="Times New Roman" w:hAnsi="Times New Roman" w:cs="Times New Roman"/>
          <w:sz w:val="24"/>
          <w:szCs w:val="24"/>
        </w:rPr>
        <w:t xml:space="preserve"> </w:t>
      </w:r>
      <w:proofErr w:type="spellStart"/>
      <w:r w:rsidR="009D37A2">
        <w:rPr>
          <w:rFonts w:ascii="Times New Roman" w:hAnsi="Times New Roman" w:cs="Times New Roman"/>
          <w:sz w:val="24"/>
          <w:szCs w:val="24"/>
        </w:rPr>
        <w:t>Kuligod</w:t>
      </w:r>
      <w:proofErr w:type="spellEnd"/>
      <w:r w:rsidR="009D37A2">
        <w:rPr>
          <w:rFonts w:ascii="Times New Roman" w:hAnsi="Times New Roman" w:cs="Times New Roman"/>
          <w:sz w:val="24"/>
          <w:szCs w:val="24"/>
        </w:rPr>
        <w:t xml:space="preserve"> VB</w:t>
      </w:r>
      <w:r w:rsidRPr="000233A6">
        <w:rPr>
          <w:rFonts w:ascii="Times New Roman" w:hAnsi="Times New Roman" w:cs="Times New Roman"/>
          <w:sz w:val="24"/>
          <w:szCs w:val="24"/>
        </w:rPr>
        <w:t xml:space="preserve">. </w:t>
      </w:r>
      <w:r w:rsidR="00E65BE3">
        <w:rPr>
          <w:rFonts w:ascii="Times New Roman" w:hAnsi="Times New Roman" w:cs="Times New Roman"/>
          <w:sz w:val="24"/>
          <w:szCs w:val="24"/>
        </w:rPr>
        <w:t xml:space="preserve">(2009). </w:t>
      </w:r>
      <w:r w:rsidRPr="000233A6">
        <w:rPr>
          <w:rFonts w:ascii="Times New Roman" w:hAnsi="Times New Roman" w:cs="Times New Roman"/>
          <w:sz w:val="24"/>
          <w:szCs w:val="24"/>
        </w:rPr>
        <w:t xml:space="preserve">Effect of farm yard manure treated with </w:t>
      </w:r>
      <w:proofErr w:type="spellStart"/>
      <w:r w:rsidRPr="000233A6">
        <w:rPr>
          <w:rFonts w:ascii="Times New Roman" w:hAnsi="Times New Roman" w:cs="Times New Roman"/>
          <w:sz w:val="24"/>
          <w:szCs w:val="24"/>
        </w:rPr>
        <w:t>jeevamrutha</w:t>
      </w:r>
      <w:proofErr w:type="spellEnd"/>
      <w:r w:rsidRPr="000233A6">
        <w:rPr>
          <w:rFonts w:ascii="Times New Roman" w:hAnsi="Times New Roman" w:cs="Times New Roman"/>
          <w:sz w:val="24"/>
          <w:szCs w:val="24"/>
        </w:rPr>
        <w:t xml:space="preserve"> on yield attributes, yield and economics of sunflower (</w:t>
      </w:r>
      <w:r w:rsidRPr="00E93398">
        <w:rPr>
          <w:rFonts w:ascii="Times New Roman" w:hAnsi="Times New Roman" w:cs="Times New Roman"/>
          <w:sz w:val="24"/>
          <w:szCs w:val="24"/>
        </w:rPr>
        <w:t>Helianthus annuus</w:t>
      </w:r>
      <w:r w:rsidR="009D37A2">
        <w:rPr>
          <w:rFonts w:ascii="Times New Roman" w:hAnsi="Times New Roman" w:cs="Times New Roman"/>
          <w:sz w:val="24"/>
          <w:szCs w:val="24"/>
        </w:rPr>
        <w:t xml:space="preserve"> L.).</w:t>
      </w:r>
      <w:r w:rsidRPr="000233A6">
        <w:rPr>
          <w:rFonts w:ascii="Times New Roman" w:hAnsi="Times New Roman" w:cs="Times New Roman"/>
          <w:sz w:val="24"/>
          <w:szCs w:val="24"/>
        </w:rPr>
        <w:t xml:space="preserve"> </w:t>
      </w:r>
      <w:r w:rsidRPr="009D37A2">
        <w:rPr>
          <w:rFonts w:ascii="Times New Roman" w:hAnsi="Times New Roman" w:cs="Times New Roman"/>
          <w:sz w:val="24"/>
          <w:szCs w:val="24"/>
        </w:rPr>
        <w:t xml:space="preserve">Karnataka Journal of Agricultural </w:t>
      </w:r>
      <w:r w:rsidR="00C813FA" w:rsidRPr="009D37A2">
        <w:rPr>
          <w:rFonts w:ascii="Times New Roman" w:hAnsi="Times New Roman" w:cs="Times New Roman"/>
          <w:sz w:val="24"/>
          <w:szCs w:val="24"/>
        </w:rPr>
        <w:t>Sciences</w:t>
      </w:r>
      <w:r w:rsidR="00C813FA" w:rsidRPr="000233A6">
        <w:rPr>
          <w:rFonts w:ascii="Times New Roman" w:hAnsi="Times New Roman" w:cs="Times New Roman"/>
          <w:sz w:val="24"/>
          <w:szCs w:val="24"/>
        </w:rPr>
        <w:t xml:space="preserve">, </w:t>
      </w:r>
      <w:r w:rsidR="00C813FA">
        <w:rPr>
          <w:rFonts w:ascii="Times New Roman" w:hAnsi="Times New Roman" w:cs="Times New Roman"/>
          <w:sz w:val="24"/>
          <w:szCs w:val="24"/>
        </w:rPr>
        <w:t>22</w:t>
      </w:r>
      <w:r w:rsidRPr="000233A6">
        <w:rPr>
          <w:rFonts w:ascii="Times New Roman" w:hAnsi="Times New Roman" w:cs="Times New Roman"/>
          <w:sz w:val="24"/>
          <w:szCs w:val="24"/>
        </w:rPr>
        <w:t>(1)</w:t>
      </w:r>
      <w:r w:rsidR="00E65BE3">
        <w:rPr>
          <w:rFonts w:ascii="Times New Roman" w:hAnsi="Times New Roman" w:cs="Times New Roman"/>
          <w:sz w:val="24"/>
          <w:szCs w:val="24"/>
        </w:rPr>
        <w:t>,</w:t>
      </w:r>
      <w:r w:rsidRPr="000233A6">
        <w:rPr>
          <w:rFonts w:ascii="Times New Roman" w:hAnsi="Times New Roman" w:cs="Times New Roman"/>
          <w:sz w:val="24"/>
          <w:szCs w:val="24"/>
        </w:rPr>
        <w:t xml:space="preserve"> 198-199.</w:t>
      </w:r>
    </w:p>
    <w:p w14:paraId="06B14C61" w14:textId="24E81E20" w:rsidR="008D56CC" w:rsidRPr="008D56CC" w:rsidRDefault="008D56CC" w:rsidP="00063504">
      <w:pPr>
        <w:spacing w:before="240" w:line="360" w:lineRule="auto"/>
        <w:jc w:val="both"/>
        <w:rPr>
          <w:rFonts w:ascii="Times New Roman" w:hAnsi="Times New Roman" w:cs="Times New Roman"/>
          <w:sz w:val="24"/>
          <w:szCs w:val="24"/>
        </w:rPr>
      </w:pPr>
      <w:r w:rsidRPr="008D56CC">
        <w:rPr>
          <w:rFonts w:ascii="Times New Roman" w:hAnsi="Times New Roman" w:cs="Times New Roman"/>
          <w:sz w:val="24"/>
          <w:szCs w:val="24"/>
        </w:rPr>
        <w:t>Rasoo</w:t>
      </w:r>
      <w:r w:rsidR="00F806DE">
        <w:rPr>
          <w:rFonts w:ascii="Times New Roman" w:hAnsi="Times New Roman" w:cs="Times New Roman"/>
          <w:sz w:val="24"/>
          <w:szCs w:val="24"/>
        </w:rPr>
        <w:t>l FR</w:t>
      </w:r>
      <w:r w:rsidR="00565DFC">
        <w:rPr>
          <w:rFonts w:ascii="Times New Roman" w:hAnsi="Times New Roman" w:cs="Times New Roman"/>
          <w:sz w:val="24"/>
          <w:szCs w:val="24"/>
        </w:rPr>
        <w:t>.</w:t>
      </w:r>
      <w:r w:rsidR="00F806DE">
        <w:rPr>
          <w:rFonts w:ascii="Times New Roman" w:hAnsi="Times New Roman" w:cs="Times New Roman"/>
          <w:sz w:val="24"/>
          <w:szCs w:val="24"/>
        </w:rPr>
        <w:t>, Badrul Hasan, BH</w:t>
      </w:r>
      <w:r w:rsidR="00565DFC">
        <w:rPr>
          <w:rFonts w:ascii="Times New Roman" w:hAnsi="Times New Roman" w:cs="Times New Roman"/>
          <w:sz w:val="24"/>
          <w:szCs w:val="24"/>
        </w:rPr>
        <w:t>.</w:t>
      </w:r>
      <w:r w:rsidRPr="008D56CC">
        <w:rPr>
          <w:rFonts w:ascii="Times New Roman" w:hAnsi="Times New Roman" w:cs="Times New Roman"/>
          <w:sz w:val="24"/>
          <w:szCs w:val="24"/>
        </w:rPr>
        <w:t xml:space="preserve">, </w:t>
      </w:r>
      <w:proofErr w:type="spellStart"/>
      <w:r w:rsidRPr="008D56CC">
        <w:rPr>
          <w:rFonts w:ascii="Times New Roman" w:hAnsi="Times New Roman" w:cs="Times New Roman"/>
          <w:sz w:val="24"/>
          <w:szCs w:val="24"/>
        </w:rPr>
        <w:t>Intikha</w:t>
      </w:r>
      <w:r w:rsidR="00F806DE">
        <w:rPr>
          <w:rFonts w:ascii="Times New Roman" w:hAnsi="Times New Roman" w:cs="Times New Roman"/>
          <w:sz w:val="24"/>
          <w:szCs w:val="24"/>
        </w:rPr>
        <w:t>b</w:t>
      </w:r>
      <w:proofErr w:type="spellEnd"/>
      <w:r w:rsidR="00F806DE">
        <w:rPr>
          <w:rFonts w:ascii="Times New Roman" w:hAnsi="Times New Roman" w:cs="Times New Roman"/>
          <w:sz w:val="24"/>
          <w:szCs w:val="24"/>
        </w:rPr>
        <w:t xml:space="preserve"> </w:t>
      </w:r>
      <w:proofErr w:type="spellStart"/>
      <w:r w:rsidR="00F806DE">
        <w:rPr>
          <w:rFonts w:ascii="Times New Roman" w:hAnsi="Times New Roman" w:cs="Times New Roman"/>
          <w:sz w:val="24"/>
          <w:szCs w:val="24"/>
        </w:rPr>
        <w:t>Aalum</w:t>
      </w:r>
      <w:proofErr w:type="spellEnd"/>
      <w:r w:rsidR="00F806DE">
        <w:rPr>
          <w:rFonts w:ascii="Times New Roman" w:hAnsi="Times New Roman" w:cs="Times New Roman"/>
          <w:sz w:val="24"/>
          <w:szCs w:val="24"/>
        </w:rPr>
        <w:t xml:space="preserve"> IA</w:t>
      </w:r>
      <w:r w:rsidR="00565DFC">
        <w:rPr>
          <w:rFonts w:ascii="Times New Roman" w:hAnsi="Times New Roman" w:cs="Times New Roman"/>
          <w:sz w:val="24"/>
          <w:szCs w:val="24"/>
        </w:rPr>
        <w:t>.</w:t>
      </w:r>
      <w:r w:rsidR="008E46A3">
        <w:rPr>
          <w:rFonts w:ascii="Times New Roman" w:hAnsi="Times New Roman" w:cs="Times New Roman"/>
          <w:sz w:val="24"/>
          <w:szCs w:val="24"/>
        </w:rPr>
        <w:t xml:space="preserve"> &amp;</w:t>
      </w:r>
      <w:r w:rsidR="009D37A2">
        <w:rPr>
          <w:rFonts w:ascii="Times New Roman" w:hAnsi="Times New Roman" w:cs="Times New Roman"/>
          <w:sz w:val="24"/>
          <w:szCs w:val="24"/>
        </w:rPr>
        <w:t xml:space="preserve"> Ganie S</w:t>
      </w:r>
      <w:r w:rsidR="00F806DE">
        <w:rPr>
          <w:rFonts w:ascii="Times New Roman" w:hAnsi="Times New Roman" w:cs="Times New Roman"/>
          <w:sz w:val="24"/>
          <w:szCs w:val="24"/>
        </w:rPr>
        <w:t>A.</w:t>
      </w:r>
      <w:r w:rsidRPr="008D56CC">
        <w:rPr>
          <w:rFonts w:ascii="Times New Roman" w:hAnsi="Times New Roman" w:cs="Times New Roman"/>
          <w:sz w:val="24"/>
          <w:szCs w:val="24"/>
        </w:rPr>
        <w:t xml:space="preserve"> </w:t>
      </w:r>
      <w:r w:rsidR="00C813FA">
        <w:rPr>
          <w:rFonts w:ascii="Times New Roman" w:hAnsi="Times New Roman" w:cs="Times New Roman"/>
          <w:sz w:val="24"/>
          <w:szCs w:val="24"/>
        </w:rPr>
        <w:t xml:space="preserve">(2013). </w:t>
      </w:r>
      <w:r w:rsidRPr="008D56CC">
        <w:rPr>
          <w:rFonts w:ascii="Times New Roman" w:hAnsi="Times New Roman" w:cs="Times New Roman"/>
          <w:sz w:val="24"/>
          <w:szCs w:val="24"/>
        </w:rPr>
        <w:t>Effect of nitrogen, sulphur and farmyard manure on growth dynamics and yield of sunflower (</w:t>
      </w:r>
      <w:r w:rsidRPr="00F806DE">
        <w:rPr>
          <w:rFonts w:ascii="Times New Roman" w:hAnsi="Times New Roman" w:cs="Times New Roman"/>
          <w:sz w:val="24"/>
          <w:szCs w:val="24"/>
        </w:rPr>
        <w:t>Helianthus annuus</w:t>
      </w:r>
      <w:r>
        <w:rPr>
          <w:rFonts w:ascii="Times New Roman" w:hAnsi="Times New Roman" w:cs="Times New Roman"/>
          <w:sz w:val="24"/>
          <w:szCs w:val="24"/>
        </w:rPr>
        <w:t xml:space="preserve"> L.) under temperate conditions</w:t>
      </w:r>
      <w:r w:rsidR="00F806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6DE">
        <w:rPr>
          <w:rFonts w:ascii="Times New Roman" w:hAnsi="Times New Roman" w:cs="Times New Roman"/>
          <w:sz w:val="24"/>
          <w:szCs w:val="24"/>
        </w:rPr>
        <w:t>Scientific Research and Essays</w:t>
      </w:r>
      <w:r w:rsidR="00575879">
        <w:rPr>
          <w:rFonts w:ascii="Times New Roman" w:hAnsi="Times New Roman" w:cs="Times New Roman"/>
          <w:i/>
          <w:iCs/>
          <w:sz w:val="24"/>
          <w:szCs w:val="24"/>
        </w:rPr>
        <w:t>,</w:t>
      </w:r>
      <w:r w:rsidR="00F806DE">
        <w:rPr>
          <w:rFonts w:ascii="Times New Roman" w:hAnsi="Times New Roman" w:cs="Times New Roman"/>
          <w:i/>
          <w:iCs/>
          <w:sz w:val="24"/>
          <w:szCs w:val="24"/>
        </w:rPr>
        <w:t xml:space="preserve"> </w:t>
      </w:r>
      <w:r>
        <w:rPr>
          <w:rFonts w:ascii="Times New Roman" w:hAnsi="Times New Roman" w:cs="Times New Roman"/>
          <w:sz w:val="24"/>
          <w:szCs w:val="24"/>
        </w:rPr>
        <w:t>8(43)</w:t>
      </w:r>
      <w:r w:rsidR="00575879">
        <w:rPr>
          <w:rFonts w:ascii="Times New Roman" w:hAnsi="Times New Roman" w:cs="Times New Roman"/>
          <w:sz w:val="24"/>
          <w:szCs w:val="24"/>
        </w:rPr>
        <w:t>,</w:t>
      </w:r>
      <w:r>
        <w:rPr>
          <w:rFonts w:ascii="Times New Roman" w:hAnsi="Times New Roman" w:cs="Times New Roman"/>
          <w:sz w:val="24"/>
          <w:szCs w:val="24"/>
        </w:rPr>
        <w:t xml:space="preserve"> </w:t>
      </w:r>
      <w:r w:rsidRPr="008D56CC">
        <w:rPr>
          <w:rFonts w:ascii="Times New Roman" w:hAnsi="Times New Roman" w:cs="Times New Roman"/>
          <w:sz w:val="24"/>
          <w:szCs w:val="24"/>
        </w:rPr>
        <w:t>2144-2147</w:t>
      </w:r>
      <w:r>
        <w:rPr>
          <w:rFonts w:ascii="Times New Roman" w:hAnsi="Times New Roman" w:cs="Times New Roman"/>
          <w:sz w:val="24"/>
          <w:szCs w:val="24"/>
        </w:rPr>
        <w:t>.</w:t>
      </w:r>
    </w:p>
    <w:p w14:paraId="5ACBCAA0" w14:textId="48337E3A" w:rsidR="000233A6" w:rsidRDefault="000233A6" w:rsidP="00063504">
      <w:pPr>
        <w:spacing w:before="240" w:line="360" w:lineRule="auto"/>
        <w:jc w:val="both"/>
        <w:rPr>
          <w:rFonts w:ascii="Times New Roman" w:hAnsi="Times New Roman" w:cs="Times New Roman"/>
          <w:sz w:val="24"/>
          <w:szCs w:val="24"/>
        </w:rPr>
      </w:pPr>
      <w:r w:rsidRPr="000233A6">
        <w:rPr>
          <w:rFonts w:ascii="Times New Roman" w:hAnsi="Times New Roman" w:cs="Times New Roman"/>
          <w:sz w:val="24"/>
          <w:szCs w:val="24"/>
        </w:rPr>
        <w:t>Kalaiyarasan C</w:t>
      </w:r>
      <w:r w:rsidR="00575879">
        <w:rPr>
          <w:rFonts w:ascii="Times New Roman" w:hAnsi="Times New Roman" w:cs="Times New Roman"/>
          <w:sz w:val="24"/>
          <w:szCs w:val="24"/>
        </w:rPr>
        <w:t>.</w:t>
      </w:r>
      <w:r w:rsidRPr="000233A6">
        <w:rPr>
          <w:rFonts w:ascii="Times New Roman" w:hAnsi="Times New Roman" w:cs="Times New Roman"/>
          <w:sz w:val="24"/>
          <w:szCs w:val="24"/>
        </w:rPr>
        <w:t xml:space="preserve">, </w:t>
      </w:r>
      <w:proofErr w:type="spellStart"/>
      <w:r w:rsidRPr="000233A6">
        <w:rPr>
          <w:rFonts w:ascii="Times New Roman" w:hAnsi="Times New Roman" w:cs="Times New Roman"/>
          <w:sz w:val="24"/>
          <w:szCs w:val="24"/>
        </w:rPr>
        <w:t>Tamizhselvan</w:t>
      </w:r>
      <w:proofErr w:type="spellEnd"/>
      <w:r w:rsidRPr="000233A6">
        <w:rPr>
          <w:rFonts w:ascii="Times New Roman" w:hAnsi="Times New Roman" w:cs="Times New Roman"/>
          <w:sz w:val="24"/>
          <w:szCs w:val="24"/>
        </w:rPr>
        <w:t xml:space="preserve"> D</w:t>
      </w:r>
      <w:r w:rsidR="00575879">
        <w:rPr>
          <w:rFonts w:ascii="Times New Roman" w:hAnsi="Times New Roman" w:cs="Times New Roman"/>
          <w:sz w:val="24"/>
          <w:szCs w:val="24"/>
        </w:rPr>
        <w:t>.</w:t>
      </w:r>
      <w:r w:rsidRPr="000233A6">
        <w:rPr>
          <w:rFonts w:ascii="Times New Roman" w:hAnsi="Times New Roman" w:cs="Times New Roman"/>
          <w:sz w:val="24"/>
          <w:szCs w:val="24"/>
        </w:rPr>
        <w:t>, Jawahar S</w:t>
      </w:r>
      <w:r w:rsidR="00575879">
        <w:rPr>
          <w:rFonts w:ascii="Times New Roman" w:hAnsi="Times New Roman" w:cs="Times New Roman"/>
          <w:sz w:val="24"/>
          <w:szCs w:val="24"/>
        </w:rPr>
        <w:t>.</w:t>
      </w:r>
      <w:r w:rsidRPr="000233A6">
        <w:rPr>
          <w:rFonts w:ascii="Times New Roman" w:hAnsi="Times New Roman" w:cs="Times New Roman"/>
          <w:sz w:val="24"/>
          <w:szCs w:val="24"/>
        </w:rPr>
        <w:t xml:space="preserve">, </w:t>
      </w:r>
      <w:proofErr w:type="spellStart"/>
      <w:r w:rsidRPr="000233A6">
        <w:rPr>
          <w:rFonts w:ascii="Times New Roman" w:hAnsi="Times New Roman" w:cs="Times New Roman"/>
          <w:sz w:val="24"/>
          <w:szCs w:val="24"/>
        </w:rPr>
        <w:t>Ezhilkumar</w:t>
      </w:r>
      <w:proofErr w:type="spellEnd"/>
      <w:r w:rsidRPr="000233A6">
        <w:rPr>
          <w:rFonts w:ascii="Times New Roman" w:hAnsi="Times New Roman" w:cs="Times New Roman"/>
          <w:sz w:val="24"/>
          <w:szCs w:val="24"/>
        </w:rPr>
        <w:t xml:space="preserve"> S</w:t>
      </w:r>
      <w:r w:rsidR="00575879">
        <w:rPr>
          <w:rFonts w:ascii="Times New Roman" w:hAnsi="Times New Roman" w:cs="Times New Roman"/>
          <w:sz w:val="24"/>
          <w:szCs w:val="24"/>
        </w:rPr>
        <w:t>.</w:t>
      </w:r>
      <w:r w:rsidRPr="000233A6">
        <w:rPr>
          <w:rFonts w:ascii="Times New Roman" w:hAnsi="Times New Roman" w:cs="Times New Roman"/>
          <w:sz w:val="24"/>
          <w:szCs w:val="24"/>
        </w:rPr>
        <w:t xml:space="preserve">, Suseendran </w:t>
      </w:r>
      <w:r w:rsidR="00F806DE">
        <w:rPr>
          <w:rFonts w:ascii="Times New Roman" w:hAnsi="Times New Roman" w:cs="Times New Roman"/>
          <w:sz w:val="24"/>
          <w:szCs w:val="24"/>
        </w:rPr>
        <w:t>K</w:t>
      </w:r>
      <w:r w:rsidR="00575879">
        <w:rPr>
          <w:rFonts w:ascii="Times New Roman" w:hAnsi="Times New Roman" w:cs="Times New Roman"/>
          <w:sz w:val="24"/>
          <w:szCs w:val="24"/>
        </w:rPr>
        <w:t>.</w:t>
      </w:r>
      <w:r w:rsidR="00F806DE">
        <w:rPr>
          <w:rFonts w:ascii="Times New Roman" w:hAnsi="Times New Roman" w:cs="Times New Roman"/>
          <w:sz w:val="24"/>
          <w:szCs w:val="24"/>
        </w:rPr>
        <w:t>, Madhavan S</w:t>
      </w:r>
      <w:r w:rsidR="00575879">
        <w:rPr>
          <w:rFonts w:ascii="Times New Roman" w:hAnsi="Times New Roman" w:cs="Times New Roman"/>
          <w:sz w:val="24"/>
          <w:szCs w:val="24"/>
        </w:rPr>
        <w:t>. &amp; Ramesh</w:t>
      </w:r>
      <w:r w:rsidR="00F806DE">
        <w:rPr>
          <w:rFonts w:ascii="Times New Roman" w:hAnsi="Times New Roman" w:cs="Times New Roman"/>
          <w:sz w:val="24"/>
          <w:szCs w:val="24"/>
        </w:rPr>
        <w:t xml:space="preserve"> S</w:t>
      </w:r>
      <w:r w:rsidRPr="000233A6">
        <w:rPr>
          <w:rFonts w:ascii="Times New Roman" w:hAnsi="Times New Roman" w:cs="Times New Roman"/>
          <w:sz w:val="24"/>
          <w:szCs w:val="24"/>
        </w:rPr>
        <w:t xml:space="preserve">. </w:t>
      </w:r>
      <w:r w:rsidR="00575879">
        <w:rPr>
          <w:rFonts w:ascii="Times New Roman" w:hAnsi="Times New Roman" w:cs="Times New Roman"/>
          <w:sz w:val="24"/>
          <w:szCs w:val="24"/>
        </w:rPr>
        <w:t xml:space="preserve">(2020). </w:t>
      </w:r>
      <w:r w:rsidRPr="000233A6">
        <w:rPr>
          <w:rFonts w:ascii="Times New Roman" w:hAnsi="Times New Roman" w:cs="Times New Roman"/>
          <w:sz w:val="24"/>
          <w:szCs w:val="24"/>
        </w:rPr>
        <w:t>Effect of sulphur and boron on growt</w:t>
      </w:r>
      <w:r w:rsidR="00F806DE">
        <w:rPr>
          <w:rFonts w:ascii="Times New Roman" w:hAnsi="Times New Roman" w:cs="Times New Roman"/>
          <w:sz w:val="24"/>
          <w:szCs w:val="24"/>
        </w:rPr>
        <w:t xml:space="preserve">h and yield of hybrid sunflower. </w:t>
      </w:r>
      <w:r w:rsidR="00F806DE" w:rsidRPr="00F806DE">
        <w:rPr>
          <w:rFonts w:ascii="Times New Roman" w:hAnsi="Times New Roman" w:cs="Times New Roman"/>
          <w:sz w:val="24"/>
          <w:szCs w:val="24"/>
        </w:rPr>
        <w:t>Plant Archives</w:t>
      </w:r>
      <w:r w:rsidR="00F806DE">
        <w:rPr>
          <w:rFonts w:ascii="Times New Roman" w:hAnsi="Times New Roman" w:cs="Times New Roman"/>
          <w:sz w:val="24"/>
          <w:szCs w:val="24"/>
        </w:rPr>
        <w:t>.</w:t>
      </w:r>
      <w:r w:rsidRPr="000233A6">
        <w:rPr>
          <w:rFonts w:ascii="Times New Roman" w:hAnsi="Times New Roman" w:cs="Times New Roman"/>
          <w:sz w:val="24"/>
          <w:szCs w:val="24"/>
        </w:rPr>
        <w:t xml:space="preserve"> 20(1)</w:t>
      </w:r>
      <w:r w:rsidR="00575879">
        <w:rPr>
          <w:rFonts w:ascii="Times New Roman" w:hAnsi="Times New Roman" w:cs="Times New Roman"/>
          <w:sz w:val="24"/>
          <w:szCs w:val="24"/>
        </w:rPr>
        <w:t>,</w:t>
      </w:r>
      <w:r w:rsidRPr="000233A6">
        <w:rPr>
          <w:rFonts w:ascii="Times New Roman" w:hAnsi="Times New Roman" w:cs="Times New Roman"/>
          <w:sz w:val="24"/>
          <w:szCs w:val="24"/>
        </w:rPr>
        <w:t xml:space="preserve"> 1607-1610.</w:t>
      </w:r>
    </w:p>
    <w:p w14:paraId="57294E77" w14:textId="4A64EBA9" w:rsidR="000233A6" w:rsidRDefault="000233A6" w:rsidP="00063504">
      <w:pPr>
        <w:spacing w:before="240" w:line="360" w:lineRule="auto"/>
        <w:jc w:val="both"/>
        <w:rPr>
          <w:rFonts w:ascii="Times New Roman" w:hAnsi="Times New Roman" w:cs="Times New Roman"/>
          <w:sz w:val="24"/>
          <w:szCs w:val="24"/>
        </w:rPr>
      </w:pPr>
      <w:r w:rsidRPr="000233A6">
        <w:rPr>
          <w:rFonts w:ascii="Times New Roman" w:hAnsi="Times New Roman" w:cs="Times New Roman"/>
          <w:sz w:val="24"/>
          <w:szCs w:val="24"/>
        </w:rPr>
        <w:t>Rani KU</w:t>
      </w:r>
      <w:r w:rsidR="00575879">
        <w:rPr>
          <w:rFonts w:ascii="Times New Roman" w:hAnsi="Times New Roman" w:cs="Times New Roman"/>
          <w:sz w:val="24"/>
          <w:szCs w:val="24"/>
        </w:rPr>
        <w:t>.</w:t>
      </w:r>
      <w:r w:rsidRPr="000233A6">
        <w:rPr>
          <w:rFonts w:ascii="Times New Roman" w:hAnsi="Times New Roman" w:cs="Times New Roman"/>
          <w:sz w:val="24"/>
          <w:szCs w:val="24"/>
        </w:rPr>
        <w:t>, Sharma KL</w:t>
      </w:r>
      <w:r w:rsidR="00575879">
        <w:rPr>
          <w:rFonts w:ascii="Times New Roman" w:hAnsi="Times New Roman" w:cs="Times New Roman"/>
          <w:sz w:val="24"/>
          <w:szCs w:val="24"/>
        </w:rPr>
        <w:t>.</w:t>
      </w:r>
      <w:r w:rsidRPr="000233A6">
        <w:rPr>
          <w:rFonts w:ascii="Times New Roman" w:hAnsi="Times New Roman" w:cs="Times New Roman"/>
          <w:sz w:val="24"/>
          <w:szCs w:val="24"/>
        </w:rPr>
        <w:t>, Nagasri K</w:t>
      </w:r>
      <w:r w:rsidR="00575879">
        <w:rPr>
          <w:rFonts w:ascii="Times New Roman" w:hAnsi="Times New Roman" w:cs="Times New Roman"/>
          <w:sz w:val="24"/>
          <w:szCs w:val="24"/>
        </w:rPr>
        <w:t>.</w:t>
      </w:r>
      <w:r w:rsidRPr="000233A6">
        <w:rPr>
          <w:rFonts w:ascii="Times New Roman" w:hAnsi="Times New Roman" w:cs="Times New Roman"/>
          <w:sz w:val="24"/>
          <w:szCs w:val="24"/>
        </w:rPr>
        <w:t>, Srinivas K</w:t>
      </w:r>
      <w:r w:rsidR="00575879">
        <w:rPr>
          <w:rFonts w:ascii="Times New Roman" w:hAnsi="Times New Roman" w:cs="Times New Roman"/>
          <w:sz w:val="24"/>
          <w:szCs w:val="24"/>
        </w:rPr>
        <w:t>.</w:t>
      </w:r>
      <w:r w:rsidRPr="000233A6">
        <w:rPr>
          <w:rFonts w:ascii="Times New Roman" w:hAnsi="Times New Roman" w:cs="Times New Roman"/>
          <w:sz w:val="24"/>
          <w:szCs w:val="24"/>
        </w:rPr>
        <w:t xml:space="preserve">, </w:t>
      </w:r>
      <w:proofErr w:type="spellStart"/>
      <w:r w:rsidRPr="000233A6">
        <w:rPr>
          <w:rFonts w:ascii="Times New Roman" w:hAnsi="Times New Roman" w:cs="Times New Roman"/>
          <w:sz w:val="24"/>
          <w:szCs w:val="24"/>
        </w:rPr>
        <w:t>Muthy</w:t>
      </w:r>
      <w:proofErr w:type="spellEnd"/>
      <w:r w:rsidRPr="000233A6">
        <w:rPr>
          <w:rFonts w:ascii="Times New Roman" w:hAnsi="Times New Roman" w:cs="Times New Roman"/>
          <w:sz w:val="24"/>
          <w:szCs w:val="24"/>
        </w:rPr>
        <w:t xml:space="preserve"> TV</w:t>
      </w:r>
      <w:r w:rsidR="00575879">
        <w:rPr>
          <w:rFonts w:ascii="Times New Roman" w:hAnsi="Times New Roman" w:cs="Times New Roman"/>
          <w:sz w:val="24"/>
          <w:szCs w:val="24"/>
        </w:rPr>
        <w:t>.</w:t>
      </w:r>
      <w:r w:rsidRPr="000233A6">
        <w:rPr>
          <w:rFonts w:ascii="Times New Roman" w:hAnsi="Times New Roman" w:cs="Times New Roman"/>
          <w:sz w:val="24"/>
          <w:szCs w:val="24"/>
        </w:rPr>
        <w:t>, Maruthi GR</w:t>
      </w:r>
      <w:r w:rsidR="008A7599">
        <w:rPr>
          <w:rFonts w:ascii="Times New Roman" w:hAnsi="Times New Roman" w:cs="Times New Roman"/>
          <w:sz w:val="24"/>
          <w:szCs w:val="24"/>
        </w:rPr>
        <w:t>.</w:t>
      </w:r>
      <w:r w:rsidRPr="000233A6">
        <w:rPr>
          <w:rFonts w:ascii="Times New Roman" w:hAnsi="Times New Roman" w:cs="Times New Roman"/>
          <w:sz w:val="24"/>
          <w:szCs w:val="24"/>
        </w:rPr>
        <w:t xml:space="preserve">, </w:t>
      </w:r>
      <w:proofErr w:type="spellStart"/>
      <w:r w:rsidRPr="000233A6">
        <w:rPr>
          <w:rFonts w:ascii="Times New Roman" w:hAnsi="Times New Roman" w:cs="Times New Roman"/>
          <w:sz w:val="24"/>
          <w:szCs w:val="24"/>
        </w:rPr>
        <w:t>Korw</w:t>
      </w:r>
      <w:r w:rsidR="00F806DE">
        <w:rPr>
          <w:rFonts w:ascii="Times New Roman" w:hAnsi="Times New Roman" w:cs="Times New Roman"/>
          <w:sz w:val="24"/>
          <w:szCs w:val="24"/>
        </w:rPr>
        <w:t>ar</w:t>
      </w:r>
      <w:proofErr w:type="spellEnd"/>
      <w:r w:rsidR="00F806DE">
        <w:rPr>
          <w:rFonts w:ascii="Times New Roman" w:hAnsi="Times New Roman" w:cs="Times New Roman"/>
          <w:sz w:val="24"/>
          <w:szCs w:val="24"/>
        </w:rPr>
        <w:t xml:space="preserve"> GR</w:t>
      </w:r>
      <w:r w:rsidR="00B03FC5">
        <w:rPr>
          <w:rFonts w:ascii="Times New Roman" w:hAnsi="Times New Roman" w:cs="Times New Roman"/>
          <w:sz w:val="24"/>
          <w:szCs w:val="24"/>
        </w:rPr>
        <w:t>.</w:t>
      </w:r>
      <w:r w:rsidR="00F806DE">
        <w:rPr>
          <w:rFonts w:ascii="Times New Roman" w:hAnsi="Times New Roman" w:cs="Times New Roman"/>
          <w:sz w:val="24"/>
          <w:szCs w:val="24"/>
        </w:rPr>
        <w:t>, Sankar KS</w:t>
      </w:r>
      <w:r w:rsidR="00B03FC5">
        <w:rPr>
          <w:rFonts w:ascii="Times New Roman" w:hAnsi="Times New Roman" w:cs="Times New Roman"/>
          <w:sz w:val="24"/>
          <w:szCs w:val="24"/>
        </w:rPr>
        <w:t>.</w:t>
      </w:r>
      <w:r w:rsidR="00F806DE">
        <w:rPr>
          <w:rFonts w:ascii="Times New Roman" w:hAnsi="Times New Roman" w:cs="Times New Roman"/>
          <w:sz w:val="24"/>
          <w:szCs w:val="24"/>
        </w:rPr>
        <w:t>, Madhavi M</w:t>
      </w:r>
      <w:r w:rsidR="00B03FC5">
        <w:rPr>
          <w:rFonts w:ascii="Times New Roman" w:hAnsi="Times New Roman" w:cs="Times New Roman"/>
          <w:sz w:val="24"/>
          <w:szCs w:val="24"/>
        </w:rPr>
        <w:t>. &amp;</w:t>
      </w:r>
      <w:r w:rsidR="00F806DE">
        <w:rPr>
          <w:rFonts w:ascii="Times New Roman" w:hAnsi="Times New Roman" w:cs="Times New Roman"/>
          <w:sz w:val="24"/>
          <w:szCs w:val="24"/>
        </w:rPr>
        <w:t xml:space="preserve"> </w:t>
      </w:r>
      <w:r w:rsidRPr="000233A6">
        <w:rPr>
          <w:rFonts w:ascii="Times New Roman" w:hAnsi="Times New Roman" w:cs="Times New Roman"/>
          <w:sz w:val="24"/>
          <w:szCs w:val="24"/>
        </w:rPr>
        <w:t xml:space="preserve">Grace JK. </w:t>
      </w:r>
      <w:r w:rsidR="00B03FC5">
        <w:rPr>
          <w:rFonts w:ascii="Times New Roman" w:hAnsi="Times New Roman" w:cs="Times New Roman"/>
          <w:sz w:val="24"/>
          <w:szCs w:val="24"/>
        </w:rPr>
        <w:t xml:space="preserve">(2009). </w:t>
      </w:r>
      <w:r w:rsidRPr="000233A6">
        <w:rPr>
          <w:rFonts w:ascii="Times New Roman" w:hAnsi="Times New Roman" w:cs="Times New Roman"/>
          <w:sz w:val="24"/>
          <w:szCs w:val="24"/>
        </w:rPr>
        <w:t>Response of sunflower to sources and levels of sulphur under rain</w:t>
      </w:r>
      <w:r w:rsidR="00F806DE">
        <w:rPr>
          <w:rFonts w:ascii="Times New Roman" w:hAnsi="Times New Roman" w:cs="Times New Roman"/>
          <w:sz w:val="24"/>
          <w:szCs w:val="24"/>
        </w:rPr>
        <w:t>fed semiarid tropical condition.</w:t>
      </w:r>
      <w:r w:rsidRPr="000233A6">
        <w:rPr>
          <w:rFonts w:ascii="Times New Roman" w:hAnsi="Times New Roman" w:cs="Times New Roman"/>
          <w:sz w:val="24"/>
          <w:szCs w:val="24"/>
        </w:rPr>
        <w:t xml:space="preserve"> </w:t>
      </w:r>
      <w:r w:rsidRPr="00F806DE">
        <w:rPr>
          <w:rFonts w:ascii="Times New Roman" w:hAnsi="Times New Roman" w:cs="Times New Roman"/>
          <w:sz w:val="24"/>
          <w:szCs w:val="24"/>
        </w:rPr>
        <w:t xml:space="preserve">Communications in Soil Science and Plant </w:t>
      </w:r>
      <w:r w:rsidR="00254037" w:rsidRPr="00F806DE">
        <w:rPr>
          <w:rFonts w:ascii="Times New Roman" w:hAnsi="Times New Roman" w:cs="Times New Roman"/>
          <w:sz w:val="24"/>
          <w:szCs w:val="24"/>
        </w:rPr>
        <w:t>Analysis</w:t>
      </w:r>
      <w:r w:rsidR="00254037" w:rsidRPr="000233A6">
        <w:rPr>
          <w:rFonts w:ascii="Times New Roman" w:hAnsi="Times New Roman" w:cs="Times New Roman"/>
          <w:sz w:val="24"/>
          <w:szCs w:val="24"/>
        </w:rPr>
        <w:t xml:space="preserve">, </w:t>
      </w:r>
      <w:r w:rsidR="00254037">
        <w:rPr>
          <w:rFonts w:ascii="Times New Roman" w:hAnsi="Times New Roman" w:cs="Times New Roman"/>
          <w:sz w:val="24"/>
          <w:szCs w:val="24"/>
        </w:rPr>
        <w:t>40,</w:t>
      </w:r>
      <w:r w:rsidRPr="000233A6">
        <w:rPr>
          <w:rFonts w:ascii="Times New Roman" w:hAnsi="Times New Roman" w:cs="Times New Roman"/>
          <w:sz w:val="24"/>
          <w:szCs w:val="24"/>
        </w:rPr>
        <w:t xml:space="preserve"> 2926-2944.  </w:t>
      </w:r>
    </w:p>
    <w:p w14:paraId="2B868046" w14:textId="614F77A0" w:rsidR="00063504" w:rsidRDefault="00063504" w:rsidP="00063504">
      <w:pPr>
        <w:spacing w:before="240" w:line="360" w:lineRule="auto"/>
        <w:jc w:val="both"/>
        <w:rPr>
          <w:rFonts w:ascii="Times New Roman" w:hAnsi="Times New Roman" w:cs="Times New Roman"/>
          <w:sz w:val="24"/>
          <w:szCs w:val="24"/>
        </w:rPr>
      </w:pPr>
      <w:r w:rsidRPr="00063504">
        <w:rPr>
          <w:rFonts w:ascii="Times New Roman" w:hAnsi="Times New Roman" w:cs="Times New Roman"/>
          <w:sz w:val="24"/>
          <w:szCs w:val="24"/>
        </w:rPr>
        <w:t xml:space="preserve">Rathiya GM. </w:t>
      </w:r>
      <w:r w:rsidR="00254037">
        <w:rPr>
          <w:rFonts w:ascii="Times New Roman" w:hAnsi="Times New Roman" w:cs="Times New Roman"/>
          <w:sz w:val="24"/>
          <w:szCs w:val="24"/>
        </w:rPr>
        <w:t>(</w:t>
      </w:r>
      <w:r w:rsidRPr="00063504">
        <w:rPr>
          <w:rFonts w:ascii="Times New Roman" w:hAnsi="Times New Roman" w:cs="Times New Roman"/>
          <w:sz w:val="24"/>
          <w:szCs w:val="24"/>
        </w:rPr>
        <w:t>2005</w:t>
      </w:r>
      <w:r w:rsidR="00254037">
        <w:rPr>
          <w:rFonts w:ascii="Times New Roman" w:hAnsi="Times New Roman" w:cs="Times New Roman"/>
          <w:sz w:val="24"/>
          <w:szCs w:val="24"/>
        </w:rPr>
        <w:t>)</w:t>
      </w:r>
      <w:r w:rsidRPr="00063504">
        <w:rPr>
          <w:rFonts w:ascii="Times New Roman" w:hAnsi="Times New Roman" w:cs="Times New Roman"/>
          <w:sz w:val="24"/>
          <w:szCs w:val="24"/>
        </w:rPr>
        <w:t>. Studies in integrated nutrient management in hybrid sunflower</w:t>
      </w:r>
      <w:r>
        <w:rPr>
          <w:rFonts w:ascii="Times New Roman" w:hAnsi="Times New Roman" w:cs="Times New Roman"/>
          <w:sz w:val="24"/>
          <w:szCs w:val="24"/>
        </w:rPr>
        <w:t xml:space="preserve"> </w:t>
      </w:r>
      <w:r w:rsidRPr="00063504">
        <w:rPr>
          <w:rFonts w:ascii="Times New Roman" w:hAnsi="Times New Roman" w:cs="Times New Roman"/>
          <w:sz w:val="24"/>
          <w:szCs w:val="24"/>
        </w:rPr>
        <w:t>(Helianthus annuus L.) during summer, M.Sc. (Agri.) thesis, College of</w:t>
      </w:r>
      <w:r>
        <w:rPr>
          <w:rFonts w:ascii="Times New Roman" w:hAnsi="Times New Roman" w:cs="Times New Roman"/>
          <w:sz w:val="24"/>
          <w:szCs w:val="24"/>
        </w:rPr>
        <w:t xml:space="preserve"> </w:t>
      </w:r>
      <w:r w:rsidRPr="00063504">
        <w:rPr>
          <w:rFonts w:ascii="Times New Roman" w:hAnsi="Times New Roman" w:cs="Times New Roman"/>
          <w:sz w:val="24"/>
          <w:szCs w:val="24"/>
        </w:rPr>
        <w:t>Agriculture, Indira Gandhi Agricultural University, Raipur.</w:t>
      </w:r>
    </w:p>
    <w:p w14:paraId="66B40C1C" w14:textId="77777777" w:rsidR="000233A6" w:rsidRPr="00321519" w:rsidRDefault="000233A6" w:rsidP="00063504">
      <w:pPr>
        <w:spacing w:before="240" w:line="360" w:lineRule="auto"/>
        <w:jc w:val="both"/>
        <w:rPr>
          <w:rFonts w:ascii="Times New Roman" w:hAnsi="Times New Roman" w:cs="Times New Roman"/>
          <w:sz w:val="24"/>
          <w:szCs w:val="24"/>
        </w:rPr>
      </w:pPr>
    </w:p>
    <w:sectPr w:rsidR="000233A6" w:rsidRPr="00321519" w:rsidSect="00933474">
      <w:pgSz w:w="11906" w:h="16838" w:code="9"/>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F9E72" w14:textId="77777777" w:rsidR="008B29D0" w:rsidRDefault="008B29D0" w:rsidP="001A5FCA">
      <w:pPr>
        <w:spacing w:after="0" w:line="240" w:lineRule="auto"/>
      </w:pPr>
      <w:r>
        <w:separator/>
      </w:r>
    </w:p>
  </w:endnote>
  <w:endnote w:type="continuationSeparator" w:id="0">
    <w:p w14:paraId="47D43313" w14:textId="77777777" w:rsidR="008B29D0" w:rsidRDefault="008B29D0" w:rsidP="001A5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195CB" w14:textId="77777777" w:rsidR="00E4017A" w:rsidRDefault="00E40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199659"/>
      <w:docPartObj>
        <w:docPartGallery w:val="Page Numbers (Bottom of Page)"/>
        <w:docPartUnique/>
      </w:docPartObj>
    </w:sdtPr>
    <w:sdtEndPr>
      <w:rPr>
        <w:noProof/>
      </w:rPr>
    </w:sdtEndPr>
    <w:sdtContent>
      <w:p w14:paraId="06A66854" w14:textId="77777777" w:rsidR="006F5C9A" w:rsidRDefault="006F5C9A">
        <w:pPr>
          <w:pStyle w:val="Footer"/>
          <w:jc w:val="center"/>
        </w:pPr>
        <w:r>
          <w:fldChar w:fldCharType="begin"/>
        </w:r>
        <w:r>
          <w:instrText xml:space="preserve"> PAGE   \* MERGEFORMAT </w:instrText>
        </w:r>
        <w:r>
          <w:fldChar w:fldCharType="separate"/>
        </w:r>
        <w:r w:rsidR="00E93398">
          <w:rPr>
            <w:noProof/>
          </w:rPr>
          <w:t>1</w:t>
        </w:r>
        <w:r>
          <w:rPr>
            <w:noProof/>
          </w:rPr>
          <w:fldChar w:fldCharType="end"/>
        </w:r>
      </w:p>
    </w:sdtContent>
  </w:sdt>
  <w:p w14:paraId="38FD093A" w14:textId="77777777" w:rsidR="006F5C9A" w:rsidRDefault="006F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3E82" w14:textId="77777777" w:rsidR="00E4017A" w:rsidRDefault="00E40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8273C" w14:textId="77777777" w:rsidR="008B29D0" w:rsidRDefault="008B29D0" w:rsidP="001A5FCA">
      <w:pPr>
        <w:spacing w:after="0" w:line="240" w:lineRule="auto"/>
      </w:pPr>
      <w:r>
        <w:separator/>
      </w:r>
    </w:p>
  </w:footnote>
  <w:footnote w:type="continuationSeparator" w:id="0">
    <w:p w14:paraId="7B1CE75A" w14:textId="77777777" w:rsidR="008B29D0" w:rsidRDefault="008B29D0" w:rsidP="001A5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455A5" w14:textId="6E04C0F5" w:rsidR="00E4017A" w:rsidRDefault="00E4017A">
    <w:pPr>
      <w:pStyle w:val="Header"/>
    </w:pPr>
    <w:r>
      <w:rPr>
        <w:noProof/>
      </w:rPr>
      <w:pict w14:anchorId="5DCF1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81313"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89E2" w14:textId="35DACD20" w:rsidR="00E4017A" w:rsidRDefault="00E4017A">
    <w:pPr>
      <w:pStyle w:val="Header"/>
    </w:pPr>
    <w:r>
      <w:rPr>
        <w:noProof/>
      </w:rPr>
      <w:pict w14:anchorId="12468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81314"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238FF" w14:textId="714B606C" w:rsidR="00E4017A" w:rsidRDefault="00E4017A">
    <w:pPr>
      <w:pStyle w:val="Header"/>
    </w:pPr>
    <w:r>
      <w:rPr>
        <w:noProof/>
      </w:rPr>
      <w:pict w14:anchorId="49CDA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81312"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6D3"/>
    <w:multiLevelType w:val="multilevel"/>
    <w:tmpl w:val="E3F829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C417F3"/>
    <w:multiLevelType w:val="hybridMultilevel"/>
    <w:tmpl w:val="06E25C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732E50"/>
    <w:multiLevelType w:val="hybridMultilevel"/>
    <w:tmpl w:val="8D1E24B0"/>
    <w:lvl w:ilvl="0" w:tplc="40090015">
      <w:start w:val="1"/>
      <w:numFmt w:val="upp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30E86CFE"/>
    <w:multiLevelType w:val="multilevel"/>
    <w:tmpl w:val="3DDA60E4"/>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05009A1"/>
    <w:multiLevelType w:val="multilevel"/>
    <w:tmpl w:val="17242808"/>
    <w:lvl w:ilvl="0">
      <w:start w:val="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A2B1ECA"/>
    <w:multiLevelType w:val="multilevel"/>
    <w:tmpl w:val="E6840B7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910781D"/>
    <w:multiLevelType w:val="multilevel"/>
    <w:tmpl w:val="66D6AF8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5F60C9"/>
    <w:multiLevelType w:val="multilevel"/>
    <w:tmpl w:val="742C3C32"/>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974376"/>
    <w:multiLevelType w:val="hybridMultilevel"/>
    <w:tmpl w:val="815641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6F729E0"/>
    <w:multiLevelType w:val="multilevel"/>
    <w:tmpl w:val="B412C2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B32C1B"/>
    <w:multiLevelType w:val="multilevel"/>
    <w:tmpl w:val="A4805B14"/>
    <w:lvl w:ilvl="0">
      <w:start w:val="4"/>
      <w:numFmt w:val="decimal"/>
      <w:lvlText w:val="%1"/>
      <w:lvlJc w:val="left"/>
      <w:pPr>
        <w:ind w:left="360" w:hanging="360"/>
      </w:pPr>
      <w:rPr>
        <w:rFonts w:hint="default"/>
      </w:rPr>
    </w:lvl>
    <w:lvl w:ilvl="1">
      <w:start w:val="6"/>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num w:numId="1">
    <w:abstractNumId w:val="1"/>
  </w:num>
  <w:num w:numId="2">
    <w:abstractNumId w:val="8"/>
  </w:num>
  <w:num w:numId="3">
    <w:abstractNumId w:val="9"/>
  </w:num>
  <w:num w:numId="4">
    <w:abstractNumId w:val="0"/>
  </w:num>
  <w:num w:numId="5">
    <w:abstractNumId w:val="2"/>
  </w:num>
  <w:num w:numId="6">
    <w:abstractNumId w:val="3"/>
  </w:num>
  <w:num w:numId="7">
    <w:abstractNumId w:val="7"/>
  </w:num>
  <w:num w:numId="8">
    <w:abstractNumId w:val="4"/>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B2"/>
    <w:rsid w:val="00000AA4"/>
    <w:rsid w:val="00002C53"/>
    <w:rsid w:val="00007735"/>
    <w:rsid w:val="00013065"/>
    <w:rsid w:val="00017DB9"/>
    <w:rsid w:val="000221E5"/>
    <w:rsid w:val="000233A6"/>
    <w:rsid w:val="000308C8"/>
    <w:rsid w:val="00036151"/>
    <w:rsid w:val="0003625F"/>
    <w:rsid w:val="00036399"/>
    <w:rsid w:val="00037FF1"/>
    <w:rsid w:val="0004258C"/>
    <w:rsid w:val="00047869"/>
    <w:rsid w:val="00050305"/>
    <w:rsid w:val="00063306"/>
    <w:rsid w:val="00063504"/>
    <w:rsid w:val="000640B4"/>
    <w:rsid w:val="0006716C"/>
    <w:rsid w:val="00067C91"/>
    <w:rsid w:val="00071C04"/>
    <w:rsid w:val="00080275"/>
    <w:rsid w:val="000817FC"/>
    <w:rsid w:val="00082CB2"/>
    <w:rsid w:val="00084569"/>
    <w:rsid w:val="00090D81"/>
    <w:rsid w:val="00091FF7"/>
    <w:rsid w:val="000929A5"/>
    <w:rsid w:val="00095391"/>
    <w:rsid w:val="00096AA8"/>
    <w:rsid w:val="000A7B4F"/>
    <w:rsid w:val="000B4887"/>
    <w:rsid w:val="000B7000"/>
    <w:rsid w:val="000C1211"/>
    <w:rsid w:val="000C39C2"/>
    <w:rsid w:val="000C7D62"/>
    <w:rsid w:val="000D1B7D"/>
    <w:rsid w:val="000E5874"/>
    <w:rsid w:val="000F077C"/>
    <w:rsid w:val="00110AF7"/>
    <w:rsid w:val="00110E4D"/>
    <w:rsid w:val="001200FA"/>
    <w:rsid w:val="0012499F"/>
    <w:rsid w:val="001264E6"/>
    <w:rsid w:val="0012757C"/>
    <w:rsid w:val="00140736"/>
    <w:rsid w:val="0014520A"/>
    <w:rsid w:val="001461AC"/>
    <w:rsid w:val="00156502"/>
    <w:rsid w:val="00161C51"/>
    <w:rsid w:val="00165340"/>
    <w:rsid w:val="00166D6B"/>
    <w:rsid w:val="001765D0"/>
    <w:rsid w:val="001873BF"/>
    <w:rsid w:val="00190E23"/>
    <w:rsid w:val="00192CAE"/>
    <w:rsid w:val="00193EA3"/>
    <w:rsid w:val="00194AE7"/>
    <w:rsid w:val="00196B59"/>
    <w:rsid w:val="00196BDF"/>
    <w:rsid w:val="00197DB3"/>
    <w:rsid w:val="001A0F2B"/>
    <w:rsid w:val="001A149B"/>
    <w:rsid w:val="001A2FDB"/>
    <w:rsid w:val="001A3C64"/>
    <w:rsid w:val="001A3F1C"/>
    <w:rsid w:val="001A419A"/>
    <w:rsid w:val="001A5FCA"/>
    <w:rsid w:val="001B5BD0"/>
    <w:rsid w:val="001B5E97"/>
    <w:rsid w:val="001C5033"/>
    <w:rsid w:val="001D2FA7"/>
    <w:rsid w:val="001D384F"/>
    <w:rsid w:val="001D3EDB"/>
    <w:rsid w:val="001D62EC"/>
    <w:rsid w:val="001E6657"/>
    <w:rsid w:val="001F48CE"/>
    <w:rsid w:val="00206281"/>
    <w:rsid w:val="002252EB"/>
    <w:rsid w:val="0022631B"/>
    <w:rsid w:val="00241E27"/>
    <w:rsid w:val="00244F51"/>
    <w:rsid w:val="00251899"/>
    <w:rsid w:val="00251C76"/>
    <w:rsid w:val="00252709"/>
    <w:rsid w:val="00254037"/>
    <w:rsid w:val="00254A1F"/>
    <w:rsid w:val="00255DF9"/>
    <w:rsid w:val="00265136"/>
    <w:rsid w:val="002823B2"/>
    <w:rsid w:val="0029551F"/>
    <w:rsid w:val="00296EFB"/>
    <w:rsid w:val="002A465A"/>
    <w:rsid w:val="002A5E36"/>
    <w:rsid w:val="002A6BD2"/>
    <w:rsid w:val="002B05FA"/>
    <w:rsid w:val="002B0ECE"/>
    <w:rsid w:val="002B33C7"/>
    <w:rsid w:val="002B4C55"/>
    <w:rsid w:val="002D0092"/>
    <w:rsid w:val="002D080B"/>
    <w:rsid w:val="002D7BD2"/>
    <w:rsid w:val="002E20D3"/>
    <w:rsid w:val="002E3B6D"/>
    <w:rsid w:val="002E6F4B"/>
    <w:rsid w:val="002F342D"/>
    <w:rsid w:val="002F35F3"/>
    <w:rsid w:val="002F6B79"/>
    <w:rsid w:val="00304F52"/>
    <w:rsid w:val="00306574"/>
    <w:rsid w:val="003125A7"/>
    <w:rsid w:val="00313D1B"/>
    <w:rsid w:val="00321519"/>
    <w:rsid w:val="0032569F"/>
    <w:rsid w:val="00330026"/>
    <w:rsid w:val="00331508"/>
    <w:rsid w:val="00351104"/>
    <w:rsid w:val="003525F6"/>
    <w:rsid w:val="00353A4D"/>
    <w:rsid w:val="0035422E"/>
    <w:rsid w:val="00356DCB"/>
    <w:rsid w:val="0036077D"/>
    <w:rsid w:val="00363646"/>
    <w:rsid w:val="00364951"/>
    <w:rsid w:val="00366B60"/>
    <w:rsid w:val="00372300"/>
    <w:rsid w:val="00376360"/>
    <w:rsid w:val="00380AB9"/>
    <w:rsid w:val="003866A5"/>
    <w:rsid w:val="00387539"/>
    <w:rsid w:val="003A2C34"/>
    <w:rsid w:val="003A5049"/>
    <w:rsid w:val="003A5C77"/>
    <w:rsid w:val="003B0732"/>
    <w:rsid w:val="003B3FF9"/>
    <w:rsid w:val="003B5A9A"/>
    <w:rsid w:val="003D1EC6"/>
    <w:rsid w:val="003D3185"/>
    <w:rsid w:val="003D75FD"/>
    <w:rsid w:val="003F31F2"/>
    <w:rsid w:val="003F39A3"/>
    <w:rsid w:val="003F60C4"/>
    <w:rsid w:val="004063F8"/>
    <w:rsid w:val="00407267"/>
    <w:rsid w:val="004131EE"/>
    <w:rsid w:val="00413A8A"/>
    <w:rsid w:val="00414BBA"/>
    <w:rsid w:val="004150AD"/>
    <w:rsid w:val="004173F3"/>
    <w:rsid w:val="004208A5"/>
    <w:rsid w:val="00421733"/>
    <w:rsid w:val="00427C6C"/>
    <w:rsid w:val="00445B46"/>
    <w:rsid w:val="00453396"/>
    <w:rsid w:val="00453C9D"/>
    <w:rsid w:val="004637B1"/>
    <w:rsid w:val="00476A4A"/>
    <w:rsid w:val="00486BA7"/>
    <w:rsid w:val="004A07BF"/>
    <w:rsid w:val="004A66F3"/>
    <w:rsid w:val="004A7DE1"/>
    <w:rsid w:val="004B013A"/>
    <w:rsid w:val="004B5D8A"/>
    <w:rsid w:val="004B79AE"/>
    <w:rsid w:val="004C0884"/>
    <w:rsid w:val="004D24E6"/>
    <w:rsid w:val="004D4B9B"/>
    <w:rsid w:val="004D710E"/>
    <w:rsid w:val="004E2A8A"/>
    <w:rsid w:val="004E718E"/>
    <w:rsid w:val="004F0AE1"/>
    <w:rsid w:val="004F5656"/>
    <w:rsid w:val="005035E0"/>
    <w:rsid w:val="00505079"/>
    <w:rsid w:val="005061F6"/>
    <w:rsid w:val="005165BA"/>
    <w:rsid w:val="00533543"/>
    <w:rsid w:val="005425A7"/>
    <w:rsid w:val="00550E9B"/>
    <w:rsid w:val="00551116"/>
    <w:rsid w:val="00560CF1"/>
    <w:rsid w:val="00564E55"/>
    <w:rsid w:val="00565DFC"/>
    <w:rsid w:val="0057399A"/>
    <w:rsid w:val="00575879"/>
    <w:rsid w:val="00577EAD"/>
    <w:rsid w:val="00587ACD"/>
    <w:rsid w:val="005912A9"/>
    <w:rsid w:val="00593ABD"/>
    <w:rsid w:val="005A2CBF"/>
    <w:rsid w:val="005A5EA5"/>
    <w:rsid w:val="005B17BB"/>
    <w:rsid w:val="005B1825"/>
    <w:rsid w:val="005C3F22"/>
    <w:rsid w:val="005D717E"/>
    <w:rsid w:val="005E524B"/>
    <w:rsid w:val="005F042E"/>
    <w:rsid w:val="005F48C3"/>
    <w:rsid w:val="005F7AB2"/>
    <w:rsid w:val="0060651E"/>
    <w:rsid w:val="00607A13"/>
    <w:rsid w:val="00610D20"/>
    <w:rsid w:val="00615DCE"/>
    <w:rsid w:val="00616CFB"/>
    <w:rsid w:val="00625529"/>
    <w:rsid w:val="0063136B"/>
    <w:rsid w:val="00632A49"/>
    <w:rsid w:val="006540F6"/>
    <w:rsid w:val="00662701"/>
    <w:rsid w:val="00663094"/>
    <w:rsid w:val="006755DF"/>
    <w:rsid w:val="00682F70"/>
    <w:rsid w:val="00685F78"/>
    <w:rsid w:val="00686B33"/>
    <w:rsid w:val="00695A21"/>
    <w:rsid w:val="006A126C"/>
    <w:rsid w:val="006A186B"/>
    <w:rsid w:val="006A7F8A"/>
    <w:rsid w:val="006B06E9"/>
    <w:rsid w:val="006D05FF"/>
    <w:rsid w:val="006D0CA5"/>
    <w:rsid w:val="006D1B7D"/>
    <w:rsid w:val="006D2E83"/>
    <w:rsid w:val="006D731B"/>
    <w:rsid w:val="006E1CDA"/>
    <w:rsid w:val="006E313A"/>
    <w:rsid w:val="006F4944"/>
    <w:rsid w:val="006F5C9A"/>
    <w:rsid w:val="007035BE"/>
    <w:rsid w:val="00706374"/>
    <w:rsid w:val="00710625"/>
    <w:rsid w:val="00721A35"/>
    <w:rsid w:val="00721D9B"/>
    <w:rsid w:val="0072331D"/>
    <w:rsid w:val="00723557"/>
    <w:rsid w:val="00725248"/>
    <w:rsid w:val="00725F1C"/>
    <w:rsid w:val="00730517"/>
    <w:rsid w:val="00731D42"/>
    <w:rsid w:val="00734F8A"/>
    <w:rsid w:val="00740F26"/>
    <w:rsid w:val="00743766"/>
    <w:rsid w:val="0075555E"/>
    <w:rsid w:val="0076018B"/>
    <w:rsid w:val="00763D7A"/>
    <w:rsid w:val="00765814"/>
    <w:rsid w:val="00775578"/>
    <w:rsid w:val="00780ED0"/>
    <w:rsid w:val="00784454"/>
    <w:rsid w:val="00787323"/>
    <w:rsid w:val="00796BFE"/>
    <w:rsid w:val="007A165E"/>
    <w:rsid w:val="007A2D3B"/>
    <w:rsid w:val="007A5497"/>
    <w:rsid w:val="007A7149"/>
    <w:rsid w:val="007C2101"/>
    <w:rsid w:val="007C4007"/>
    <w:rsid w:val="007D0ED0"/>
    <w:rsid w:val="007D2BD7"/>
    <w:rsid w:val="007E5321"/>
    <w:rsid w:val="007F1CF7"/>
    <w:rsid w:val="007F656B"/>
    <w:rsid w:val="00803BAD"/>
    <w:rsid w:val="00814C23"/>
    <w:rsid w:val="0081747F"/>
    <w:rsid w:val="008204B5"/>
    <w:rsid w:val="008215E3"/>
    <w:rsid w:val="00823C6F"/>
    <w:rsid w:val="00830C57"/>
    <w:rsid w:val="008323B8"/>
    <w:rsid w:val="008331D3"/>
    <w:rsid w:val="00834911"/>
    <w:rsid w:val="00837E1E"/>
    <w:rsid w:val="00847504"/>
    <w:rsid w:val="00851BBC"/>
    <w:rsid w:val="00851E06"/>
    <w:rsid w:val="008662C3"/>
    <w:rsid w:val="00871A40"/>
    <w:rsid w:val="00877A71"/>
    <w:rsid w:val="00877C81"/>
    <w:rsid w:val="00882ACB"/>
    <w:rsid w:val="00882E80"/>
    <w:rsid w:val="008835BF"/>
    <w:rsid w:val="00884347"/>
    <w:rsid w:val="008855F2"/>
    <w:rsid w:val="00887E85"/>
    <w:rsid w:val="008927AF"/>
    <w:rsid w:val="008945E3"/>
    <w:rsid w:val="008A1028"/>
    <w:rsid w:val="008A3D1E"/>
    <w:rsid w:val="008A3F9F"/>
    <w:rsid w:val="008A4B7C"/>
    <w:rsid w:val="008A7599"/>
    <w:rsid w:val="008B0177"/>
    <w:rsid w:val="008B29D0"/>
    <w:rsid w:val="008B75D8"/>
    <w:rsid w:val="008C5B02"/>
    <w:rsid w:val="008D1114"/>
    <w:rsid w:val="008D2E42"/>
    <w:rsid w:val="008D56CC"/>
    <w:rsid w:val="008E1D46"/>
    <w:rsid w:val="008E2CBC"/>
    <w:rsid w:val="008E46A3"/>
    <w:rsid w:val="008E4DCB"/>
    <w:rsid w:val="008E7DD5"/>
    <w:rsid w:val="008F521E"/>
    <w:rsid w:val="00904825"/>
    <w:rsid w:val="009077C7"/>
    <w:rsid w:val="0091170C"/>
    <w:rsid w:val="00916F7F"/>
    <w:rsid w:val="0093101B"/>
    <w:rsid w:val="00932192"/>
    <w:rsid w:val="00933474"/>
    <w:rsid w:val="00937127"/>
    <w:rsid w:val="009429F8"/>
    <w:rsid w:val="0094378A"/>
    <w:rsid w:val="009472CA"/>
    <w:rsid w:val="0095505E"/>
    <w:rsid w:val="00956B7A"/>
    <w:rsid w:val="0095773D"/>
    <w:rsid w:val="00962F59"/>
    <w:rsid w:val="00963C6F"/>
    <w:rsid w:val="00965F77"/>
    <w:rsid w:val="009708D6"/>
    <w:rsid w:val="00971875"/>
    <w:rsid w:val="009761C5"/>
    <w:rsid w:val="0097692D"/>
    <w:rsid w:val="009A25D6"/>
    <w:rsid w:val="009A412B"/>
    <w:rsid w:val="009A44A1"/>
    <w:rsid w:val="009B55FA"/>
    <w:rsid w:val="009B7650"/>
    <w:rsid w:val="009C13D3"/>
    <w:rsid w:val="009C4C21"/>
    <w:rsid w:val="009C57CD"/>
    <w:rsid w:val="009C5D18"/>
    <w:rsid w:val="009D37A2"/>
    <w:rsid w:val="009D3C72"/>
    <w:rsid w:val="009D3CB0"/>
    <w:rsid w:val="009D4F1E"/>
    <w:rsid w:val="009E366C"/>
    <w:rsid w:val="009F2A78"/>
    <w:rsid w:val="009F49EB"/>
    <w:rsid w:val="009F54C6"/>
    <w:rsid w:val="009F7506"/>
    <w:rsid w:val="00A00312"/>
    <w:rsid w:val="00A02B57"/>
    <w:rsid w:val="00A07258"/>
    <w:rsid w:val="00A07914"/>
    <w:rsid w:val="00A3246D"/>
    <w:rsid w:val="00A3318C"/>
    <w:rsid w:val="00A43175"/>
    <w:rsid w:val="00A52A59"/>
    <w:rsid w:val="00A63477"/>
    <w:rsid w:val="00A6638F"/>
    <w:rsid w:val="00A67403"/>
    <w:rsid w:val="00A7080A"/>
    <w:rsid w:val="00A70D72"/>
    <w:rsid w:val="00A73878"/>
    <w:rsid w:val="00A74E71"/>
    <w:rsid w:val="00A82BBF"/>
    <w:rsid w:val="00A84254"/>
    <w:rsid w:val="00A93A33"/>
    <w:rsid w:val="00A96F17"/>
    <w:rsid w:val="00AA0DEB"/>
    <w:rsid w:val="00AA170A"/>
    <w:rsid w:val="00AB199A"/>
    <w:rsid w:val="00AB2DB4"/>
    <w:rsid w:val="00AC2D1B"/>
    <w:rsid w:val="00AD1E68"/>
    <w:rsid w:val="00AF0750"/>
    <w:rsid w:val="00AF5BE8"/>
    <w:rsid w:val="00B03FC5"/>
    <w:rsid w:val="00B152E3"/>
    <w:rsid w:val="00B1787B"/>
    <w:rsid w:val="00B22450"/>
    <w:rsid w:val="00B257A9"/>
    <w:rsid w:val="00B3137E"/>
    <w:rsid w:val="00B34B9D"/>
    <w:rsid w:val="00B45324"/>
    <w:rsid w:val="00B46A7C"/>
    <w:rsid w:val="00B501E8"/>
    <w:rsid w:val="00B538BE"/>
    <w:rsid w:val="00B75338"/>
    <w:rsid w:val="00B807AC"/>
    <w:rsid w:val="00BA2F16"/>
    <w:rsid w:val="00BA7849"/>
    <w:rsid w:val="00BB28E4"/>
    <w:rsid w:val="00BB5CB5"/>
    <w:rsid w:val="00BD7B46"/>
    <w:rsid w:val="00BE672B"/>
    <w:rsid w:val="00BF53A0"/>
    <w:rsid w:val="00C1547C"/>
    <w:rsid w:val="00C15C80"/>
    <w:rsid w:val="00C20A9F"/>
    <w:rsid w:val="00C311E7"/>
    <w:rsid w:val="00C33800"/>
    <w:rsid w:val="00C437B4"/>
    <w:rsid w:val="00C44F5A"/>
    <w:rsid w:val="00C4699B"/>
    <w:rsid w:val="00C6093A"/>
    <w:rsid w:val="00C61047"/>
    <w:rsid w:val="00C61E53"/>
    <w:rsid w:val="00C63A52"/>
    <w:rsid w:val="00C65DDE"/>
    <w:rsid w:val="00C737FE"/>
    <w:rsid w:val="00C767F6"/>
    <w:rsid w:val="00C80828"/>
    <w:rsid w:val="00C813FA"/>
    <w:rsid w:val="00C93D07"/>
    <w:rsid w:val="00CA2C9F"/>
    <w:rsid w:val="00CA7D97"/>
    <w:rsid w:val="00CB38E6"/>
    <w:rsid w:val="00CB5D83"/>
    <w:rsid w:val="00CB7806"/>
    <w:rsid w:val="00CC2F47"/>
    <w:rsid w:val="00CC5500"/>
    <w:rsid w:val="00CE08A6"/>
    <w:rsid w:val="00CE110C"/>
    <w:rsid w:val="00CE18F1"/>
    <w:rsid w:val="00CF098D"/>
    <w:rsid w:val="00CF20B3"/>
    <w:rsid w:val="00D021A4"/>
    <w:rsid w:val="00D16CEF"/>
    <w:rsid w:val="00D1724C"/>
    <w:rsid w:val="00D17B09"/>
    <w:rsid w:val="00D26A7E"/>
    <w:rsid w:val="00D3348C"/>
    <w:rsid w:val="00D4401A"/>
    <w:rsid w:val="00D45A6F"/>
    <w:rsid w:val="00D62114"/>
    <w:rsid w:val="00D67B5E"/>
    <w:rsid w:val="00D70F59"/>
    <w:rsid w:val="00D7179B"/>
    <w:rsid w:val="00D8034C"/>
    <w:rsid w:val="00D82894"/>
    <w:rsid w:val="00D876D4"/>
    <w:rsid w:val="00D91C80"/>
    <w:rsid w:val="00D97FBA"/>
    <w:rsid w:val="00DA3F26"/>
    <w:rsid w:val="00DA4D81"/>
    <w:rsid w:val="00DA4EF6"/>
    <w:rsid w:val="00DA7177"/>
    <w:rsid w:val="00DB28AE"/>
    <w:rsid w:val="00DC1758"/>
    <w:rsid w:val="00DC1D2D"/>
    <w:rsid w:val="00DD55D6"/>
    <w:rsid w:val="00E05649"/>
    <w:rsid w:val="00E14714"/>
    <w:rsid w:val="00E16960"/>
    <w:rsid w:val="00E1735D"/>
    <w:rsid w:val="00E17F0C"/>
    <w:rsid w:val="00E235CE"/>
    <w:rsid w:val="00E37DB5"/>
    <w:rsid w:val="00E4017A"/>
    <w:rsid w:val="00E57DE3"/>
    <w:rsid w:val="00E6467F"/>
    <w:rsid w:val="00E65BE3"/>
    <w:rsid w:val="00E70053"/>
    <w:rsid w:val="00E7296C"/>
    <w:rsid w:val="00E84420"/>
    <w:rsid w:val="00E91D79"/>
    <w:rsid w:val="00E92255"/>
    <w:rsid w:val="00E93398"/>
    <w:rsid w:val="00E97C8C"/>
    <w:rsid w:val="00EA23EE"/>
    <w:rsid w:val="00EC3CF2"/>
    <w:rsid w:val="00EC64F6"/>
    <w:rsid w:val="00ED49F3"/>
    <w:rsid w:val="00ED7602"/>
    <w:rsid w:val="00EE2906"/>
    <w:rsid w:val="00EE42F8"/>
    <w:rsid w:val="00EE4C70"/>
    <w:rsid w:val="00EE769A"/>
    <w:rsid w:val="00EF01F4"/>
    <w:rsid w:val="00EF079D"/>
    <w:rsid w:val="00EF398D"/>
    <w:rsid w:val="00F11467"/>
    <w:rsid w:val="00F11CD6"/>
    <w:rsid w:val="00F11F09"/>
    <w:rsid w:val="00F1531D"/>
    <w:rsid w:val="00F173C4"/>
    <w:rsid w:val="00F237BD"/>
    <w:rsid w:val="00F436E3"/>
    <w:rsid w:val="00F43A20"/>
    <w:rsid w:val="00F51BD1"/>
    <w:rsid w:val="00F6673A"/>
    <w:rsid w:val="00F67C7B"/>
    <w:rsid w:val="00F7280A"/>
    <w:rsid w:val="00F74C89"/>
    <w:rsid w:val="00F806DE"/>
    <w:rsid w:val="00F937EC"/>
    <w:rsid w:val="00F94098"/>
    <w:rsid w:val="00FB452F"/>
    <w:rsid w:val="00FB7D27"/>
    <w:rsid w:val="00FC0150"/>
    <w:rsid w:val="00FC1884"/>
    <w:rsid w:val="00FC6DF1"/>
    <w:rsid w:val="00FE480C"/>
    <w:rsid w:val="00FE6F2C"/>
    <w:rsid w:val="00FF268E"/>
    <w:rsid w:val="00FF5527"/>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160CBD"/>
  <w15:docId w15:val="{C207D6F3-959B-4361-A3D3-F3945D47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149"/>
    <w:pPr>
      <w:ind w:left="720"/>
      <w:contextualSpacing/>
    </w:pPr>
  </w:style>
  <w:style w:type="paragraph" w:styleId="BalloonText">
    <w:name w:val="Balloon Text"/>
    <w:basedOn w:val="Normal"/>
    <w:link w:val="BalloonTextChar"/>
    <w:uiPriority w:val="99"/>
    <w:semiHidden/>
    <w:unhideWhenUsed/>
    <w:rsid w:val="00847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504"/>
    <w:rPr>
      <w:rFonts w:ascii="Tahoma" w:hAnsi="Tahoma" w:cs="Tahoma"/>
      <w:sz w:val="16"/>
      <w:szCs w:val="16"/>
    </w:rPr>
  </w:style>
  <w:style w:type="paragraph" w:styleId="Header">
    <w:name w:val="header"/>
    <w:basedOn w:val="Normal"/>
    <w:link w:val="HeaderChar"/>
    <w:uiPriority w:val="99"/>
    <w:unhideWhenUsed/>
    <w:rsid w:val="001A5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FCA"/>
  </w:style>
  <w:style w:type="paragraph" w:styleId="Footer">
    <w:name w:val="footer"/>
    <w:basedOn w:val="Normal"/>
    <w:link w:val="FooterChar"/>
    <w:uiPriority w:val="99"/>
    <w:unhideWhenUsed/>
    <w:rsid w:val="001A5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FCA"/>
  </w:style>
  <w:style w:type="table" w:styleId="TableGrid">
    <w:name w:val="Table Grid"/>
    <w:basedOn w:val="TableNormal"/>
    <w:uiPriority w:val="59"/>
    <w:rsid w:val="00A6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7DD5"/>
    <w:rPr>
      <w:color w:val="0000FF" w:themeColor="hyperlink"/>
      <w:u w:val="single"/>
    </w:rPr>
  </w:style>
  <w:style w:type="character" w:styleId="UnresolvedMention">
    <w:name w:val="Unresolved Mention"/>
    <w:basedOn w:val="DefaultParagraphFont"/>
    <w:uiPriority w:val="99"/>
    <w:semiHidden/>
    <w:unhideWhenUsed/>
    <w:rsid w:val="008E7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250">
      <w:bodyDiv w:val="1"/>
      <w:marLeft w:val="0"/>
      <w:marRight w:val="0"/>
      <w:marTop w:val="0"/>
      <w:marBottom w:val="0"/>
      <w:divBdr>
        <w:top w:val="none" w:sz="0" w:space="0" w:color="auto"/>
        <w:left w:val="none" w:sz="0" w:space="0" w:color="auto"/>
        <w:bottom w:val="none" w:sz="0" w:space="0" w:color="auto"/>
        <w:right w:val="none" w:sz="0" w:space="0" w:color="auto"/>
      </w:divBdr>
    </w:div>
    <w:div w:id="51658599">
      <w:bodyDiv w:val="1"/>
      <w:marLeft w:val="0"/>
      <w:marRight w:val="0"/>
      <w:marTop w:val="0"/>
      <w:marBottom w:val="0"/>
      <w:divBdr>
        <w:top w:val="none" w:sz="0" w:space="0" w:color="auto"/>
        <w:left w:val="none" w:sz="0" w:space="0" w:color="auto"/>
        <w:bottom w:val="none" w:sz="0" w:space="0" w:color="auto"/>
        <w:right w:val="none" w:sz="0" w:space="0" w:color="auto"/>
      </w:divBdr>
    </w:div>
    <w:div w:id="139815079">
      <w:bodyDiv w:val="1"/>
      <w:marLeft w:val="0"/>
      <w:marRight w:val="0"/>
      <w:marTop w:val="0"/>
      <w:marBottom w:val="0"/>
      <w:divBdr>
        <w:top w:val="none" w:sz="0" w:space="0" w:color="auto"/>
        <w:left w:val="none" w:sz="0" w:space="0" w:color="auto"/>
        <w:bottom w:val="none" w:sz="0" w:space="0" w:color="auto"/>
        <w:right w:val="none" w:sz="0" w:space="0" w:color="auto"/>
      </w:divBdr>
    </w:div>
    <w:div w:id="213203497">
      <w:bodyDiv w:val="1"/>
      <w:marLeft w:val="0"/>
      <w:marRight w:val="0"/>
      <w:marTop w:val="0"/>
      <w:marBottom w:val="0"/>
      <w:divBdr>
        <w:top w:val="none" w:sz="0" w:space="0" w:color="auto"/>
        <w:left w:val="none" w:sz="0" w:space="0" w:color="auto"/>
        <w:bottom w:val="none" w:sz="0" w:space="0" w:color="auto"/>
        <w:right w:val="none" w:sz="0" w:space="0" w:color="auto"/>
      </w:divBdr>
    </w:div>
    <w:div w:id="282032846">
      <w:bodyDiv w:val="1"/>
      <w:marLeft w:val="0"/>
      <w:marRight w:val="0"/>
      <w:marTop w:val="0"/>
      <w:marBottom w:val="0"/>
      <w:divBdr>
        <w:top w:val="none" w:sz="0" w:space="0" w:color="auto"/>
        <w:left w:val="none" w:sz="0" w:space="0" w:color="auto"/>
        <w:bottom w:val="none" w:sz="0" w:space="0" w:color="auto"/>
        <w:right w:val="none" w:sz="0" w:space="0" w:color="auto"/>
      </w:divBdr>
    </w:div>
    <w:div w:id="328101476">
      <w:bodyDiv w:val="1"/>
      <w:marLeft w:val="0"/>
      <w:marRight w:val="0"/>
      <w:marTop w:val="0"/>
      <w:marBottom w:val="0"/>
      <w:divBdr>
        <w:top w:val="none" w:sz="0" w:space="0" w:color="auto"/>
        <w:left w:val="none" w:sz="0" w:space="0" w:color="auto"/>
        <w:bottom w:val="none" w:sz="0" w:space="0" w:color="auto"/>
        <w:right w:val="none" w:sz="0" w:space="0" w:color="auto"/>
      </w:divBdr>
    </w:div>
    <w:div w:id="799806883">
      <w:bodyDiv w:val="1"/>
      <w:marLeft w:val="0"/>
      <w:marRight w:val="0"/>
      <w:marTop w:val="0"/>
      <w:marBottom w:val="0"/>
      <w:divBdr>
        <w:top w:val="none" w:sz="0" w:space="0" w:color="auto"/>
        <w:left w:val="none" w:sz="0" w:space="0" w:color="auto"/>
        <w:bottom w:val="none" w:sz="0" w:space="0" w:color="auto"/>
        <w:right w:val="none" w:sz="0" w:space="0" w:color="auto"/>
      </w:divBdr>
    </w:div>
    <w:div w:id="1018385483">
      <w:bodyDiv w:val="1"/>
      <w:marLeft w:val="0"/>
      <w:marRight w:val="0"/>
      <w:marTop w:val="0"/>
      <w:marBottom w:val="0"/>
      <w:divBdr>
        <w:top w:val="none" w:sz="0" w:space="0" w:color="auto"/>
        <w:left w:val="none" w:sz="0" w:space="0" w:color="auto"/>
        <w:bottom w:val="none" w:sz="0" w:space="0" w:color="auto"/>
        <w:right w:val="none" w:sz="0" w:space="0" w:color="auto"/>
      </w:divBdr>
    </w:div>
    <w:div w:id="1040978779">
      <w:bodyDiv w:val="1"/>
      <w:marLeft w:val="0"/>
      <w:marRight w:val="0"/>
      <w:marTop w:val="0"/>
      <w:marBottom w:val="0"/>
      <w:divBdr>
        <w:top w:val="none" w:sz="0" w:space="0" w:color="auto"/>
        <w:left w:val="none" w:sz="0" w:space="0" w:color="auto"/>
        <w:bottom w:val="none" w:sz="0" w:space="0" w:color="auto"/>
        <w:right w:val="none" w:sz="0" w:space="0" w:color="auto"/>
      </w:divBdr>
    </w:div>
    <w:div w:id="1096558123">
      <w:bodyDiv w:val="1"/>
      <w:marLeft w:val="0"/>
      <w:marRight w:val="0"/>
      <w:marTop w:val="0"/>
      <w:marBottom w:val="0"/>
      <w:divBdr>
        <w:top w:val="none" w:sz="0" w:space="0" w:color="auto"/>
        <w:left w:val="none" w:sz="0" w:space="0" w:color="auto"/>
        <w:bottom w:val="none" w:sz="0" w:space="0" w:color="auto"/>
        <w:right w:val="none" w:sz="0" w:space="0" w:color="auto"/>
      </w:divBdr>
    </w:div>
    <w:div w:id="1312322867">
      <w:bodyDiv w:val="1"/>
      <w:marLeft w:val="0"/>
      <w:marRight w:val="0"/>
      <w:marTop w:val="0"/>
      <w:marBottom w:val="0"/>
      <w:divBdr>
        <w:top w:val="none" w:sz="0" w:space="0" w:color="auto"/>
        <w:left w:val="none" w:sz="0" w:space="0" w:color="auto"/>
        <w:bottom w:val="none" w:sz="0" w:space="0" w:color="auto"/>
        <w:right w:val="none" w:sz="0" w:space="0" w:color="auto"/>
      </w:divBdr>
    </w:div>
    <w:div w:id="14673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2E146-E090-4792-9A3C-6DDF437B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3168</Words>
  <Characters>18060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SDI 1180</cp:lastModifiedBy>
  <cp:revision>40</cp:revision>
  <cp:lastPrinted>2019-07-13T10:17:00Z</cp:lastPrinted>
  <dcterms:created xsi:type="dcterms:W3CDTF">2025-11-01T06:34:00Z</dcterms:created>
  <dcterms:modified xsi:type="dcterms:W3CDTF">2025-11-03T08:14:00Z</dcterms:modified>
</cp:coreProperties>
</file>