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0C1BA" w14:textId="137853FE" w:rsidR="00466827" w:rsidRPr="006B40CC" w:rsidRDefault="00172670" w:rsidP="006B40CC">
      <w:pPr>
        <w:spacing w:before="120" w:after="0" w:line="360" w:lineRule="auto"/>
        <w:jc w:val="center"/>
        <w:rPr>
          <w:rFonts w:ascii="Times New Roman" w:hAnsi="Times New Roman" w:cs="Times New Roman"/>
          <w:b/>
          <w:bCs/>
          <w:sz w:val="28"/>
          <w:szCs w:val="28"/>
        </w:rPr>
      </w:pPr>
      <w:r w:rsidRPr="006B40CC">
        <w:rPr>
          <w:rFonts w:ascii="Times New Roman" w:hAnsi="Times New Roman" w:cs="Times New Roman"/>
          <w:b/>
          <w:bCs/>
          <w:sz w:val="28"/>
          <w:szCs w:val="28"/>
        </w:rPr>
        <w:t>CLINICAL INSIGHTS AND IRIS STAGING OF CHRONIC KIDNEY DISEASE IN DOGS</w:t>
      </w:r>
    </w:p>
    <w:p w14:paraId="59B5453F" w14:textId="370051CA" w:rsidR="00855ADB" w:rsidRDefault="00855ADB" w:rsidP="00DE222D">
      <w:pPr>
        <w:spacing w:before="120" w:after="0" w:line="360" w:lineRule="auto"/>
        <w:jc w:val="both"/>
        <w:rPr>
          <w:rFonts w:ascii="Times New Roman" w:hAnsi="Times New Roman" w:cs="Times New Roman"/>
          <w:b/>
          <w:bCs/>
          <w:sz w:val="24"/>
          <w:szCs w:val="24"/>
        </w:rPr>
      </w:pPr>
    </w:p>
    <w:p w14:paraId="224E949E" w14:textId="77777777" w:rsidR="00411B43" w:rsidRDefault="00411B43" w:rsidP="00DE222D">
      <w:pPr>
        <w:spacing w:before="120" w:after="0" w:line="360" w:lineRule="auto"/>
        <w:jc w:val="both"/>
        <w:rPr>
          <w:rFonts w:ascii="Times New Roman" w:hAnsi="Times New Roman" w:cs="Times New Roman"/>
          <w:b/>
          <w:bCs/>
          <w:sz w:val="24"/>
          <w:szCs w:val="24"/>
        </w:rPr>
      </w:pPr>
    </w:p>
    <w:p w14:paraId="20B40466" w14:textId="5DEC9FA4" w:rsidR="00DE222D" w:rsidRPr="006B40CC" w:rsidRDefault="006B40CC" w:rsidP="00DE222D">
      <w:pPr>
        <w:spacing w:before="120" w:after="0" w:line="360" w:lineRule="auto"/>
        <w:jc w:val="both"/>
        <w:rPr>
          <w:rFonts w:ascii="Times New Roman" w:hAnsi="Times New Roman" w:cs="Times New Roman"/>
          <w:b/>
          <w:bCs/>
          <w:sz w:val="24"/>
          <w:szCs w:val="24"/>
        </w:rPr>
      </w:pPr>
      <w:r w:rsidRPr="006B40CC">
        <w:rPr>
          <w:rFonts w:ascii="Times New Roman" w:hAnsi="Times New Roman" w:cs="Times New Roman"/>
          <w:b/>
          <w:bCs/>
          <w:sz w:val="24"/>
          <w:szCs w:val="24"/>
        </w:rPr>
        <w:t>ABSTRACT</w:t>
      </w:r>
    </w:p>
    <w:p w14:paraId="6B0B3CEB" w14:textId="303D1F47" w:rsidR="006B40CC" w:rsidRPr="006B40CC" w:rsidRDefault="006B40CC" w:rsidP="006B40CC">
      <w:pPr>
        <w:pStyle w:val="NormalWeb"/>
        <w:spacing w:before="120" w:beforeAutospacing="0" w:after="0" w:afterAutospacing="0" w:line="360" w:lineRule="auto"/>
        <w:ind w:firstLine="1440"/>
        <w:jc w:val="both"/>
      </w:pPr>
      <w:r>
        <w:t xml:space="preserve">The present study investigated the occurrence and clinical features of chronic kidney disease (CKD) in dogs presented to the Veterinary Clinical Complex, Jabalpur. </w:t>
      </w:r>
      <w:r w:rsidRPr="006B40CC">
        <w:t xml:space="preserve">Out of the total screened dogs, </w:t>
      </w:r>
      <w:r w:rsidRPr="006B40CC">
        <w:rPr>
          <w:rStyle w:val="Strong"/>
          <w:b w:val="0"/>
          <w:bCs w:val="0"/>
        </w:rPr>
        <w:t>764</w:t>
      </w:r>
      <w:r w:rsidRPr="006B40CC">
        <w:t xml:space="preserve"> were suspected of renal disorders, of which </w:t>
      </w:r>
      <w:r w:rsidRPr="006B40CC">
        <w:rPr>
          <w:rStyle w:val="Strong"/>
          <w:b w:val="0"/>
          <w:bCs w:val="0"/>
        </w:rPr>
        <w:t>81 dogs (10.60%)</w:t>
      </w:r>
      <w:r w:rsidRPr="006B40CC">
        <w:t xml:space="preserve"> were confirmed to be suffering from CKD based on renal biochemical markers and </w:t>
      </w:r>
      <w:r w:rsidRPr="006B40CC">
        <w:rPr>
          <w:rStyle w:val="Strong"/>
          <w:b w:val="0"/>
          <w:bCs w:val="0"/>
        </w:rPr>
        <w:t>nephrosonographic findings</w:t>
      </w:r>
      <w:r w:rsidRPr="006B40CC">
        <w:t xml:space="preserve">. The affected dogs were staged according to the </w:t>
      </w:r>
      <w:r w:rsidRPr="006B40CC">
        <w:rPr>
          <w:rStyle w:val="Strong"/>
          <w:b w:val="0"/>
          <w:bCs w:val="0"/>
        </w:rPr>
        <w:t>International Renal Interest Society (IRIS)</w:t>
      </w:r>
      <w:r w:rsidRPr="006B40CC">
        <w:t xml:space="preserve"> classification system using serum creatinine concentration. Among these, </w:t>
      </w:r>
      <w:r w:rsidRPr="006B40CC">
        <w:rPr>
          <w:rStyle w:val="Strong"/>
          <w:b w:val="0"/>
          <w:bCs w:val="0"/>
        </w:rPr>
        <w:t>9 (11.11%) dogs</w:t>
      </w:r>
      <w:r w:rsidRPr="006B40CC">
        <w:t xml:space="preserve"> were categorized in Stage I, </w:t>
      </w:r>
      <w:r w:rsidRPr="006B40CC">
        <w:rPr>
          <w:rStyle w:val="Strong"/>
          <w:b w:val="0"/>
          <w:bCs w:val="0"/>
        </w:rPr>
        <w:t>15 (18.52%)</w:t>
      </w:r>
      <w:r w:rsidRPr="006B40CC">
        <w:t xml:space="preserve"> in Stage II, </w:t>
      </w:r>
      <w:r w:rsidRPr="006B40CC">
        <w:rPr>
          <w:rStyle w:val="Strong"/>
          <w:b w:val="0"/>
          <w:bCs w:val="0"/>
        </w:rPr>
        <w:t>22 (27.16%)</w:t>
      </w:r>
      <w:r w:rsidRPr="006B40CC">
        <w:t xml:space="preserve"> in Stage III, and </w:t>
      </w:r>
      <w:r w:rsidRPr="006B40CC">
        <w:rPr>
          <w:rStyle w:val="Strong"/>
          <w:b w:val="0"/>
          <w:bCs w:val="0"/>
        </w:rPr>
        <w:t>35 (43.21%)</w:t>
      </w:r>
      <w:r w:rsidRPr="006B40CC">
        <w:t xml:space="preserve"> in Stage IV, indicating that the majority of cases were presented in the advanced stage of the disease.</w:t>
      </w:r>
      <w:r>
        <w:t xml:space="preserve"> </w:t>
      </w:r>
      <w:r w:rsidRPr="006B40CC">
        <w:t xml:space="preserve">Clinically, </w:t>
      </w:r>
      <w:r w:rsidRPr="006B40CC">
        <w:rPr>
          <w:rStyle w:val="Strong"/>
          <w:b w:val="0"/>
          <w:bCs w:val="0"/>
        </w:rPr>
        <w:t>anorexia (100%)</w:t>
      </w:r>
      <w:r w:rsidRPr="006B40CC">
        <w:t xml:space="preserve">, </w:t>
      </w:r>
      <w:r w:rsidRPr="006B40CC">
        <w:rPr>
          <w:rStyle w:val="Strong"/>
          <w:b w:val="0"/>
          <w:bCs w:val="0"/>
        </w:rPr>
        <w:t>vomiting (82.72%)</w:t>
      </w:r>
      <w:r w:rsidRPr="006B40CC">
        <w:t xml:space="preserve"> and </w:t>
      </w:r>
      <w:r w:rsidRPr="006B40CC">
        <w:rPr>
          <w:rStyle w:val="Strong"/>
          <w:b w:val="0"/>
          <w:bCs w:val="0"/>
        </w:rPr>
        <w:t>weight loss (60.49%)</w:t>
      </w:r>
      <w:r w:rsidRPr="006B40CC">
        <w:t xml:space="preserve"> were the most common abnormalities observed, followed by </w:t>
      </w:r>
      <w:r w:rsidRPr="006B40CC">
        <w:rPr>
          <w:rStyle w:val="Strong"/>
          <w:b w:val="0"/>
          <w:bCs w:val="0"/>
        </w:rPr>
        <w:t>poor oral health (45.68%)</w:t>
      </w:r>
      <w:r w:rsidRPr="006B40CC">
        <w:t xml:space="preserve">, </w:t>
      </w:r>
      <w:r w:rsidRPr="006B40CC">
        <w:rPr>
          <w:rStyle w:val="Strong"/>
          <w:b w:val="0"/>
          <w:bCs w:val="0"/>
        </w:rPr>
        <w:t>altered posture of urination (35.80%)</w:t>
      </w:r>
      <w:r w:rsidRPr="006B40CC">
        <w:t xml:space="preserve">, </w:t>
      </w:r>
      <w:r w:rsidRPr="006B40CC">
        <w:rPr>
          <w:rStyle w:val="Strong"/>
          <w:b w:val="0"/>
          <w:bCs w:val="0"/>
        </w:rPr>
        <w:t>polyuria (18.52%)</w:t>
      </w:r>
      <w:r w:rsidRPr="006B40CC">
        <w:t xml:space="preserve">, </w:t>
      </w:r>
      <w:r w:rsidRPr="006B40CC">
        <w:rPr>
          <w:rStyle w:val="Strong"/>
          <w:b w:val="0"/>
          <w:bCs w:val="0"/>
        </w:rPr>
        <w:t>polydipsia (18.52%)</w:t>
      </w:r>
      <w:r w:rsidRPr="006B40CC">
        <w:t xml:space="preserve"> and </w:t>
      </w:r>
      <w:r w:rsidRPr="006B40CC">
        <w:rPr>
          <w:rStyle w:val="Strong"/>
          <w:b w:val="0"/>
          <w:bCs w:val="0"/>
        </w:rPr>
        <w:t>dribbling of urine (14.81%)</w:t>
      </w:r>
      <w:r w:rsidRPr="006B40CC">
        <w:t>.</w:t>
      </w:r>
      <w:r>
        <w:t xml:space="preserve"> </w:t>
      </w:r>
      <w:r w:rsidRPr="006B40CC">
        <w:t>The study concludes that chronic kidney disease remains a significant health concern in canine patients, with a higher proportion of dogs being diagnosed at the late stages of renal insufficiency. Early diagnosis and staging based on biochemical and imaging assessments are crucial for effective management and improved prognosis of affected animals.</w:t>
      </w:r>
    </w:p>
    <w:p w14:paraId="301DD39E" w14:textId="17242E14" w:rsidR="00DE222D" w:rsidRPr="00DE222D" w:rsidRDefault="006B40CC" w:rsidP="006B40CC">
      <w:pPr>
        <w:pStyle w:val="NormalWeb"/>
        <w:spacing w:before="120" w:beforeAutospacing="0" w:after="0" w:afterAutospacing="0" w:line="360" w:lineRule="auto"/>
        <w:jc w:val="both"/>
      </w:pPr>
      <w:r w:rsidRPr="006B40CC">
        <w:rPr>
          <w:rStyle w:val="Strong"/>
        </w:rPr>
        <w:t>Keywords:</w:t>
      </w:r>
      <w:r w:rsidRPr="006B40CC">
        <w:t xml:space="preserve"> Chronic kidney disease, Dogs, IRIS staging, Clinical signs, Nephrosonography</w:t>
      </w:r>
      <w:r>
        <w:t>.</w:t>
      </w:r>
    </w:p>
    <w:p w14:paraId="1BB08A8B"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INTRODUCTION </w:t>
      </w:r>
    </w:p>
    <w:p w14:paraId="7B61162F" w14:textId="46C9B2CB"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Kidneys are vital paired organs essential for maintaining health and sustaining life. They are complex structures responsible for regulating homeostasis, water and electrolyte balance, osmotic pressure, and body pH, while also facilitating the excretion of metabolic waste products. In addition to their excretory and regulatory roles, the kidneys perform important endocrine functions by secreting erythropoietin</w:t>
      </w:r>
      <w:r w:rsidR="00C80C0A">
        <w:rPr>
          <w:rFonts w:ascii="Times New Roman" w:hAnsi="Times New Roman" w:cs="Times New Roman"/>
          <w:sz w:val="24"/>
          <w:szCs w:val="24"/>
        </w:rPr>
        <w:t xml:space="preserve"> (</w:t>
      </w:r>
      <w:r w:rsidRPr="00DE222D">
        <w:rPr>
          <w:rFonts w:ascii="Times New Roman" w:hAnsi="Times New Roman" w:cs="Times New Roman"/>
          <w:sz w:val="24"/>
          <w:szCs w:val="24"/>
        </w:rPr>
        <w:t>a hormone that stimulates red blood cell production</w:t>
      </w:r>
      <w:r w:rsidR="00C80C0A">
        <w:rPr>
          <w:rFonts w:ascii="Times New Roman" w:hAnsi="Times New Roman" w:cs="Times New Roman"/>
          <w:sz w:val="24"/>
          <w:szCs w:val="24"/>
        </w:rPr>
        <w:t xml:space="preserve">) </w:t>
      </w:r>
      <w:r w:rsidRPr="00DE222D">
        <w:rPr>
          <w:rFonts w:ascii="Times New Roman" w:hAnsi="Times New Roman" w:cs="Times New Roman"/>
          <w:sz w:val="24"/>
          <w:szCs w:val="24"/>
        </w:rPr>
        <w:t xml:space="preserve">and by regulating blood pressure through the Renin-Angiotensin-Aldosterone System (RAAS). Kidney </w:t>
      </w:r>
      <w:r w:rsidRPr="00DE222D">
        <w:rPr>
          <w:rFonts w:ascii="Times New Roman" w:hAnsi="Times New Roman" w:cs="Times New Roman"/>
          <w:sz w:val="24"/>
          <w:szCs w:val="24"/>
        </w:rPr>
        <w:lastRenderedPageBreak/>
        <w:t xml:space="preserve">disease refers to the presence of structural or functional abnormalities in one or both kidneys, identified either by a decline in renal function or by evidence of kidney damage. Renal failure is one of the major causes of mortality in dogs and represents a life-threatening condition that requires prompt diagnosis, intensive management, and continuous care. Among renal disorders in canines, renal failure is highly prevalent and manifests primarily in two forms—acute and chronic kidney disease. Chronic kidney disease (CKD) is the most frequently diagnosed renal disorder in dogs. It is characterized by persistent structural or functional abnormalities in one or both kidneys that have been present for at least three months or longer (Polzin, 2011). </w:t>
      </w:r>
    </w:p>
    <w:p w14:paraId="60FE2006"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CKD represents a complex clinical syndrome and is considered the terminal outcome of progressive pathological changes affecting one or more segments of the nephron (Brown, 2007). Chronicity is determined based on clinical history, physical and laboratory findings, or imaging evidence of renal structural alterations. The clinical manifestations of CKD vary depending on the stage of the disease. Common signs include progressive weight loss, polyuria, polydipsia, anorexia, vomiting, oral ulcers, halitosis, and lethargy (McGrotty, 2008). Often, the disease remains unnoticed until 50–75% of renal function is lost (Devarajan, 2010). </w:t>
      </w:r>
    </w:p>
    <w:p w14:paraId="22316945" w14:textId="6C6A8786"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Diagnosis is typically based on a combination of clinical history, physical examination, urinalysis, hematological and biochemical evaluation, and ultrasonographic imaging of the kidneys (</w:t>
      </w:r>
      <w:proofErr w:type="spellStart"/>
      <w:r w:rsidRPr="00DE222D">
        <w:rPr>
          <w:rFonts w:ascii="Times New Roman" w:hAnsi="Times New Roman" w:cs="Times New Roman"/>
          <w:sz w:val="24"/>
          <w:szCs w:val="24"/>
        </w:rPr>
        <w:t>Oburai</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The prognosis of CKD is variable—some dogs succumb within months, while others may live for several years following diagnosis (Bartlett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2010). For the diagnosis of renal disorders, measurement of non-protein nitrogenous compounds, particularly blood urea and serum creatinine, is of prime importance. Elevated concentrations of these substances indicate their accumulation due to impaired renal excretion (Pradhan and Roy, 2012). </w:t>
      </w:r>
    </w:p>
    <w:p w14:paraId="0BA272C3" w14:textId="0C7FDE5F"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The severity and clinical significance of kidney disease differ widely depending on the extent of renal impairment. To address this variability, the International Renal Interest Society (IRIS) has developed a staging system for CKD in dogs. This system primarily relies on serum creatinine levels to classify disease stages, which are closely correlated with survival time and prognosis (Boyd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2008). </w:t>
      </w:r>
    </w:p>
    <w:p w14:paraId="518CCD89"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MATERIALS AND METHODS </w:t>
      </w:r>
    </w:p>
    <w:p w14:paraId="5AB28BC5"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Location and place of work </w:t>
      </w:r>
    </w:p>
    <w:p w14:paraId="02BBE72D"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lastRenderedPageBreak/>
        <w:t xml:space="preserve">The present study was carried out in the Department of Veterinary Medicine, College of Veterinary Science and Animal Husbandry, Nanaji Deshmukh Veterinary Science University, Jabalpur (M.P.). The institute is located at 23.17° N latitude and 79.57° E longitude, at an elevation of approximately 410.87 meters above mean sea level. Geographically, it lies in the southern part of the second </w:t>
      </w:r>
      <w:proofErr w:type="spellStart"/>
      <w:r w:rsidRPr="00DE222D">
        <w:rPr>
          <w:rFonts w:ascii="Times New Roman" w:hAnsi="Times New Roman" w:cs="Times New Roman"/>
          <w:sz w:val="24"/>
          <w:szCs w:val="24"/>
        </w:rPr>
        <w:t>agro</w:t>
      </w:r>
      <w:proofErr w:type="spellEnd"/>
      <w:r w:rsidRPr="00DE222D">
        <w:rPr>
          <w:rFonts w:ascii="Times New Roman" w:hAnsi="Times New Roman" w:cs="Times New Roman"/>
          <w:sz w:val="24"/>
          <w:szCs w:val="24"/>
        </w:rPr>
        <w:t xml:space="preserve">-climatic zone of Madhya Pradesh, encompassing the </w:t>
      </w:r>
      <w:proofErr w:type="spellStart"/>
      <w:r w:rsidRPr="00DE222D">
        <w:rPr>
          <w:rFonts w:ascii="Times New Roman" w:hAnsi="Times New Roman" w:cs="Times New Roman"/>
          <w:sz w:val="24"/>
          <w:szCs w:val="24"/>
        </w:rPr>
        <w:t>Satpura</w:t>
      </w:r>
      <w:proofErr w:type="spellEnd"/>
      <w:r w:rsidRPr="00DE222D">
        <w:rPr>
          <w:rFonts w:ascii="Times New Roman" w:hAnsi="Times New Roman" w:cs="Times New Roman"/>
          <w:sz w:val="24"/>
          <w:szCs w:val="24"/>
        </w:rPr>
        <w:t xml:space="preserve"> Plateau and </w:t>
      </w:r>
      <w:proofErr w:type="spellStart"/>
      <w:r w:rsidRPr="00DE222D">
        <w:rPr>
          <w:rFonts w:ascii="Times New Roman" w:hAnsi="Times New Roman" w:cs="Times New Roman"/>
          <w:sz w:val="24"/>
          <w:szCs w:val="24"/>
        </w:rPr>
        <w:t>Kymore</w:t>
      </w:r>
      <w:proofErr w:type="spellEnd"/>
      <w:r w:rsidRPr="00DE222D">
        <w:rPr>
          <w:rFonts w:ascii="Times New Roman" w:hAnsi="Times New Roman" w:cs="Times New Roman"/>
          <w:sz w:val="24"/>
          <w:szCs w:val="24"/>
        </w:rPr>
        <w:t xml:space="preserve"> Hills. The region experiences a tropical climate with an average annual rainfall of about 1241 mm. </w:t>
      </w:r>
    </w:p>
    <w:p w14:paraId="74A6D5E7"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Animals </w:t>
      </w:r>
    </w:p>
    <w:p w14:paraId="37C2D499"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For this study, a total of 10785 dogs presented at Veterinary Clinical Complex, College of Veterinary Science and Animal Husbandry, NDVSU, Jabalpur (M.P.) for a period of 12 months i.e. from May 2024 to April 2025, were screened on the basis of history and presence of clinical signs indicative of chronic kidney disease i.e. anorexia, vomition, polyuria, polydipsia, dribbling of urine, altered posture of urination, weight loss and poor oral health for at least 3 months or longer periods. Out of 10785 dogs, a total of 764 dogs were found suspected for renal failure. Out of suspected cases, 81 dogs were found to be confirmed for chronic kidney disease (CKD). The confirmatory diagnosis of chronic kidney disease was made on the basis of estimation of renal markers along with nephrosonography. All the confirmed cases of dogs with chronic kidney disease were classified in four different stages on the basis of serum creatinine concentration (Polzin, 2013). </w:t>
      </w:r>
    </w:p>
    <w:p w14:paraId="0D88096C"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Collection of samples </w:t>
      </w:r>
    </w:p>
    <w:p w14:paraId="065B03A0"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Blood sample Approximately 3 ml of blood were collected aseptically from saphenous or cephalic vein from each dog suspected for CKD. Out of this, 1 ml was collected in vial containing EDTA for hematology and 2 ml was collected in clot activator vials for serum biochemical analysis. </w:t>
      </w:r>
    </w:p>
    <w:p w14:paraId="5563B305"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Clinical examination </w:t>
      </w:r>
    </w:p>
    <w:p w14:paraId="2A2C3CD2"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All the dogs were examined for the presence of clinical symptoms viz anorexia, vomition, polyuria, polydipsia, dribbling of urine, altered posture of urination, weight loss and poor oral health etc. </w:t>
      </w:r>
    </w:p>
    <w:p w14:paraId="1678B402"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Nephrosonographic examination </w:t>
      </w:r>
    </w:p>
    <w:p w14:paraId="6DD549C3"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lastRenderedPageBreak/>
        <w:t xml:space="preserve">Nephrosonographic examination was performed by using Philips HD7 XE Ultrasound machine with 3-12MHz. linear array transducer. The dogs were kept in minimal stress condition, so that the evaluation was not affected. Procedure: Hair were clipped from ventral abdominal region as usually from xiphoid to the inguinal region and extended half way up the both sides of flank adjacent to costal arch. Each dog affected with chronic kidney disease was restrained simultaneously in both </w:t>
      </w:r>
      <w:proofErr w:type="spellStart"/>
      <w:r w:rsidRPr="00DE222D">
        <w:rPr>
          <w:rFonts w:ascii="Times New Roman" w:hAnsi="Times New Roman" w:cs="Times New Roman"/>
          <w:sz w:val="24"/>
          <w:szCs w:val="24"/>
        </w:rPr>
        <w:t>dorso</w:t>
      </w:r>
      <w:proofErr w:type="spellEnd"/>
      <w:r w:rsidRPr="00DE222D">
        <w:rPr>
          <w:rFonts w:ascii="Times New Roman" w:hAnsi="Times New Roman" w:cs="Times New Roman"/>
          <w:sz w:val="24"/>
          <w:szCs w:val="24"/>
        </w:rPr>
        <w:t xml:space="preserve">-ventral and lateral recumbency to scan the coronal (longitudinal) and transverse sections of both the kidneys. </w:t>
      </w:r>
    </w:p>
    <w:p w14:paraId="66D7CD85"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Establishment of different stages of chronic kidney disease (CKD) </w:t>
      </w:r>
    </w:p>
    <w:p w14:paraId="5A09BAF8"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Dogs confirmed to be suffering from chronic kidney disease (CKD) were selected based on the evaluation of renal function markers and nephrosonographic findings. The staging of CKD in these confirmed cases was performed following the four-tier classification system proposed by the International Renal Interest Society (IRIS) (Polzin, 2013). </w:t>
      </w:r>
    </w:p>
    <w:p w14:paraId="0DDCCDD8"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Specifically, stage I comprised non-azotemic dogs, while stage II included dogs exhibiting mild azotemia. Dogs showing moderate azotemia were categorized as stage III, and those with severe azotemia were classified under stage IV. Thus, all affected dogs were systematically grouped into four distinct stages according to their serum creatinine concentrations (Table 01). </w:t>
      </w:r>
    </w:p>
    <w:p w14:paraId="0724D10D" w14:textId="77777777" w:rsidR="00DE222D" w:rsidRPr="006B40CC" w:rsidRDefault="00DE222D" w:rsidP="00DE222D">
      <w:pPr>
        <w:spacing w:before="120" w:after="0" w:line="360" w:lineRule="auto"/>
        <w:jc w:val="both"/>
        <w:rPr>
          <w:rFonts w:ascii="Times New Roman" w:hAnsi="Times New Roman" w:cs="Times New Roman"/>
          <w:b/>
          <w:bCs/>
          <w:sz w:val="24"/>
          <w:szCs w:val="24"/>
        </w:rPr>
      </w:pPr>
      <w:r w:rsidRPr="006B40CC">
        <w:rPr>
          <w:rFonts w:ascii="Times New Roman" w:hAnsi="Times New Roman" w:cs="Times New Roman"/>
          <w:b/>
          <w:bCs/>
          <w:sz w:val="24"/>
          <w:szCs w:val="24"/>
        </w:rPr>
        <w:t xml:space="preserve">Table 01: CKD staging system on the basis of serum creatinine concentration </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4050"/>
        <w:gridCol w:w="4007"/>
      </w:tblGrid>
      <w:tr w:rsidR="00FF299A" w:rsidRPr="00FF299A" w14:paraId="19242D66" w14:textId="77777777" w:rsidTr="00C80C0A">
        <w:trPr>
          <w:trHeight w:val="20"/>
          <w:jc w:val="center"/>
        </w:trPr>
        <w:tc>
          <w:tcPr>
            <w:tcW w:w="1288" w:type="dxa"/>
            <w:tcBorders>
              <w:left w:val="nil"/>
              <w:right w:val="nil"/>
            </w:tcBorders>
            <w:vAlign w:val="center"/>
          </w:tcPr>
          <w:p w14:paraId="2FFF3CC4" w14:textId="5D624201" w:rsidR="00FF299A" w:rsidRPr="00FF299A" w:rsidRDefault="00FF299A" w:rsidP="00FF299A">
            <w:pPr>
              <w:spacing w:before="120" w:after="0" w:line="360" w:lineRule="auto"/>
              <w:jc w:val="center"/>
              <w:rPr>
                <w:rFonts w:ascii="Times New Roman" w:hAnsi="Times New Roman" w:cs="Times New Roman"/>
                <w:b/>
                <w:sz w:val="24"/>
                <w:szCs w:val="24"/>
                <w:lang w:val="en-IN"/>
              </w:rPr>
            </w:pPr>
            <w:r w:rsidRPr="00FF299A">
              <w:rPr>
                <w:rFonts w:ascii="Times New Roman" w:hAnsi="Times New Roman" w:cs="Times New Roman"/>
                <w:b/>
                <w:sz w:val="24"/>
                <w:szCs w:val="24"/>
                <w:lang w:val="en-IN"/>
              </w:rPr>
              <w:t>S.</w:t>
            </w:r>
            <w:r>
              <w:rPr>
                <w:rFonts w:ascii="Times New Roman" w:hAnsi="Times New Roman" w:cs="Times New Roman"/>
                <w:b/>
                <w:sz w:val="24"/>
                <w:szCs w:val="24"/>
                <w:lang w:val="en-IN"/>
              </w:rPr>
              <w:t xml:space="preserve"> </w:t>
            </w:r>
            <w:r w:rsidRPr="00FF299A">
              <w:rPr>
                <w:rFonts w:ascii="Times New Roman" w:hAnsi="Times New Roman" w:cs="Times New Roman"/>
                <w:b/>
                <w:sz w:val="24"/>
                <w:szCs w:val="24"/>
                <w:lang w:val="en-IN"/>
              </w:rPr>
              <w:t>No.</w:t>
            </w:r>
          </w:p>
        </w:tc>
        <w:tc>
          <w:tcPr>
            <w:tcW w:w="4050" w:type="dxa"/>
            <w:tcBorders>
              <w:left w:val="nil"/>
              <w:right w:val="nil"/>
            </w:tcBorders>
            <w:vAlign w:val="center"/>
          </w:tcPr>
          <w:p w14:paraId="6DCAE712" w14:textId="77777777" w:rsidR="00FF299A" w:rsidRPr="00FF299A" w:rsidRDefault="00FF299A" w:rsidP="00FF299A">
            <w:pPr>
              <w:spacing w:before="120" w:after="0" w:line="360" w:lineRule="auto"/>
              <w:jc w:val="center"/>
              <w:rPr>
                <w:rFonts w:ascii="Times New Roman" w:hAnsi="Times New Roman" w:cs="Times New Roman"/>
                <w:b/>
                <w:sz w:val="24"/>
                <w:szCs w:val="24"/>
                <w:lang w:val="en-IN"/>
              </w:rPr>
            </w:pPr>
            <w:r w:rsidRPr="00FF299A">
              <w:rPr>
                <w:rFonts w:ascii="Times New Roman" w:hAnsi="Times New Roman" w:cs="Times New Roman"/>
                <w:b/>
                <w:sz w:val="24"/>
                <w:szCs w:val="24"/>
                <w:lang w:val="en-IN"/>
              </w:rPr>
              <w:t>Stages of chronic kidney disease</w:t>
            </w:r>
          </w:p>
        </w:tc>
        <w:tc>
          <w:tcPr>
            <w:tcW w:w="4007" w:type="dxa"/>
            <w:tcBorders>
              <w:left w:val="nil"/>
              <w:right w:val="nil"/>
            </w:tcBorders>
            <w:vAlign w:val="center"/>
          </w:tcPr>
          <w:p w14:paraId="1C0F7C67" w14:textId="4A9BFDBE" w:rsidR="00FF299A" w:rsidRPr="00FF299A" w:rsidRDefault="00FF299A" w:rsidP="00FF299A">
            <w:pPr>
              <w:spacing w:before="120" w:after="0" w:line="360" w:lineRule="auto"/>
              <w:jc w:val="center"/>
              <w:rPr>
                <w:rFonts w:ascii="Times New Roman" w:hAnsi="Times New Roman" w:cs="Times New Roman"/>
                <w:b/>
                <w:sz w:val="24"/>
                <w:szCs w:val="24"/>
                <w:lang w:val="en-IN"/>
              </w:rPr>
            </w:pPr>
            <w:r w:rsidRPr="00FF299A">
              <w:rPr>
                <w:rFonts w:ascii="Times New Roman" w:hAnsi="Times New Roman" w:cs="Times New Roman"/>
                <w:b/>
                <w:sz w:val="24"/>
                <w:szCs w:val="24"/>
                <w:lang w:val="en-IN"/>
              </w:rPr>
              <w:t>Serum creatinine values (mg/d</w:t>
            </w:r>
            <w:r>
              <w:rPr>
                <w:rFonts w:ascii="Times New Roman" w:hAnsi="Times New Roman" w:cs="Times New Roman"/>
                <w:b/>
                <w:sz w:val="24"/>
                <w:szCs w:val="24"/>
                <w:lang w:val="en-IN"/>
              </w:rPr>
              <w:t>L</w:t>
            </w:r>
            <w:r w:rsidRPr="00FF299A">
              <w:rPr>
                <w:rFonts w:ascii="Times New Roman" w:hAnsi="Times New Roman" w:cs="Times New Roman"/>
                <w:b/>
                <w:sz w:val="24"/>
                <w:szCs w:val="24"/>
                <w:lang w:val="en-IN"/>
              </w:rPr>
              <w:t>)</w:t>
            </w:r>
          </w:p>
        </w:tc>
      </w:tr>
      <w:tr w:rsidR="00FF299A" w:rsidRPr="00FF299A" w14:paraId="784BE746" w14:textId="77777777" w:rsidTr="00C80C0A">
        <w:trPr>
          <w:trHeight w:val="20"/>
          <w:jc w:val="center"/>
        </w:trPr>
        <w:tc>
          <w:tcPr>
            <w:tcW w:w="1288" w:type="dxa"/>
            <w:tcBorders>
              <w:left w:val="nil"/>
              <w:bottom w:val="nil"/>
              <w:right w:val="nil"/>
            </w:tcBorders>
            <w:vAlign w:val="center"/>
          </w:tcPr>
          <w:p w14:paraId="1BEE5B74"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1.</w:t>
            </w:r>
          </w:p>
        </w:tc>
        <w:tc>
          <w:tcPr>
            <w:tcW w:w="4050" w:type="dxa"/>
            <w:tcBorders>
              <w:left w:val="nil"/>
              <w:bottom w:val="nil"/>
              <w:right w:val="nil"/>
            </w:tcBorders>
            <w:vAlign w:val="center"/>
          </w:tcPr>
          <w:p w14:paraId="223729DD"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1</w:t>
            </w:r>
          </w:p>
        </w:tc>
        <w:tc>
          <w:tcPr>
            <w:tcW w:w="4007" w:type="dxa"/>
            <w:tcBorders>
              <w:left w:val="nil"/>
              <w:bottom w:val="nil"/>
              <w:right w:val="nil"/>
            </w:tcBorders>
            <w:vAlign w:val="center"/>
          </w:tcPr>
          <w:p w14:paraId="394DCA05"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&lt;1.4</w:t>
            </w:r>
          </w:p>
        </w:tc>
      </w:tr>
      <w:tr w:rsidR="00FF299A" w:rsidRPr="00FF299A" w14:paraId="43455A45" w14:textId="77777777" w:rsidTr="00C80C0A">
        <w:trPr>
          <w:trHeight w:val="20"/>
          <w:jc w:val="center"/>
        </w:trPr>
        <w:tc>
          <w:tcPr>
            <w:tcW w:w="1288" w:type="dxa"/>
            <w:tcBorders>
              <w:top w:val="nil"/>
              <w:left w:val="nil"/>
              <w:bottom w:val="nil"/>
              <w:right w:val="nil"/>
            </w:tcBorders>
            <w:vAlign w:val="center"/>
          </w:tcPr>
          <w:p w14:paraId="12F450E2"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2.</w:t>
            </w:r>
          </w:p>
        </w:tc>
        <w:tc>
          <w:tcPr>
            <w:tcW w:w="4050" w:type="dxa"/>
            <w:tcBorders>
              <w:top w:val="nil"/>
              <w:left w:val="nil"/>
              <w:bottom w:val="nil"/>
              <w:right w:val="nil"/>
            </w:tcBorders>
            <w:vAlign w:val="center"/>
          </w:tcPr>
          <w:p w14:paraId="41CFA9AB"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2</w:t>
            </w:r>
          </w:p>
        </w:tc>
        <w:tc>
          <w:tcPr>
            <w:tcW w:w="4007" w:type="dxa"/>
            <w:tcBorders>
              <w:top w:val="nil"/>
              <w:left w:val="nil"/>
              <w:bottom w:val="nil"/>
              <w:right w:val="nil"/>
            </w:tcBorders>
            <w:vAlign w:val="center"/>
          </w:tcPr>
          <w:p w14:paraId="56ACEE78"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1.4-2.0</w:t>
            </w:r>
          </w:p>
        </w:tc>
      </w:tr>
      <w:tr w:rsidR="00FF299A" w:rsidRPr="00FF299A" w14:paraId="1B072062" w14:textId="77777777" w:rsidTr="00C80C0A">
        <w:trPr>
          <w:trHeight w:val="20"/>
          <w:jc w:val="center"/>
        </w:trPr>
        <w:tc>
          <w:tcPr>
            <w:tcW w:w="1288" w:type="dxa"/>
            <w:tcBorders>
              <w:top w:val="nil"/>
              <w:left w:val="nil"/>
              <w:bottom w:val="nil"/>
              <w:right w:val="nil"/>
            </w:tcBorders>
            <w:vAlign w:val="center"/>
          </w:tcPr>
          <w:p w14:paraId="56A4D963"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3.</w:t>
            </w:r>
          </w:p>
        </w:tc>
        <w:tc>
          <w:tcPr>
            <w:tcW w:w="4050" w:type="dxa"/>
            <w:tcBorders>
              <w:top w:val="nil"/>
              <w:left w:val="nil"/>
              <w:bottom w:val="nil"/>
              <w:right w:val="nil"/>
            </w:tcBorders>
            <w:vAlign w:val="center"/>
          </w:tcPr>
          <w:p w14:paraId="0D34A062"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3</w:t>
            </w:r>
          </w:p>
        </w:tc>
        <w:tc>
          <w:tcPr>
            <w:tcW w:w="4007" w:type="dxa"/>
            <w:tcBorders>
              <w:top w:val="nil"/>
              <w:left w:val="nil"/>
              <w:bottom w:val="nil"/>
              <w:right w:val="nil"/>
            </w:tcBorders>
            <w:vAlign w:val="center"/>
          </w:tcPr>
          <w:p w14:paraId="36F974EB"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2.1-5.0</w:t>
            </w:r>
          </w:p>
        </w:tc>
      </w:tr>
      <w:tr w:rsidR="00FF299A" w:rsidRPr="00FF299A" w14:paraId="36B87913" w14:textId="77777777" w:rsidTr="00C80C0A">
        <w:trPr>
          <w:trHeight w:val="20"/>
          <w:jc w:val="center"/>
        </w:trPr>
        <w:tc>
          <w:tcPr>
            <w:tcW w:w="1288" w:type="dxa"/>
            <w:tcBorders>
              <w:top w:val="nil"/>
              <w:left w:val="nil"/>
              <w:right w:val="nil"/>
            </w:tcBorders>
            <w:vAlign w:val="center"/>
          </w:tcPr>
          <w:p w14:paraId="7B720E3D"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4.</w:t>
            </w:r>
          </w:p>
        </w:tc>
        <w:tc>
          <w:tcPr>
            <w:tcW w:w="4050" w:type="dxa"/>
            <w:tcBorders>
              <w:top w:val="nil"/>
              <w:left w:val="nil"/>
              <w:right w:val="nil"/>
            </w:tcBorders>
            <w:vAlign w:val="center"/>
          </w:tcPr>
          <w:p w14:paraId="619934AB"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4</w:t>
            </w:r>
          </w:p>
        </w:tc>
        <w:tc>
          <w:tcPr>
            <w:tcW w:w="4007" w:type="dxa"/>
            <w:tcBorders>
              <w:top w:val="nil"/>
              <w:left w:val="nil"/>
              <w:right w:val="nil"/>
            </w:tcBorders>
            <w:vAlign w:val="center"/>
          </w:tcPr>
          <w:p w14:paraId="4D865D5C"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&gt;5.0</w:t>
            </w:r>
          </w:p>
        </w:tc>
      </w:tr>
    </w:tbl>
    <w:p w14:paraId="4CE9312A" w14:textId="4DDE1E62"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RESULT AND DISCUSSION </w:t>
      </w:r>
    </w:p>
    <w:p w14:paraId="62408C57"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Overall occurrence of chronic kidney disease in dogs </w:t>
      </w:r>
    </w:p>
    <w:p w14:paraId="0EB0E284" w14:textId="1A2E6698"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An epidemiological investigation was carried out to determine the occurrence of chronic kidney disease (CKD) in dogs presented to the Veterinary Clinical Complex (VCC), Jabalpur. Out of a total of 10,785 dogs screened for renal disorders, 764 exhibited clinical signs </w:t>
      </w:r>
      <w:r w:rsidRPr="00DE222D">
        <w:rPr>
          <w:rFonts w:ascii="Times New Roman" w:hAnsi="Times New Roman" w:cs="Times New Roman"/>
          <w:sz w:val="24"/>
          <w:szCs w:val="24"/>
        </w:rPr>
        <w:lastRenderedPageBreak/>
        <w:t xml:space="preserve">suggestive of renal involvement. Among these suspected cases, 81 dogs were confirmed to be affected with CKD. Thus, the overall occurrence of chronic kidney disease among the suspected dogs was found to be 10.60 percent (Table 02). </w:t>
      </w:r>
    </w:p>
    <w:p w14:paraId="01228D7E" w14:textId="77777777" w:rsidR="00855ADB" w:rsidRDefault="00855ADB" w:rsidP="006B40CC">
      <w:pPr>
        <w:spacing w:before="120" w:after="0" w:line="360" w:lineRule="auto"/>
        <w:ind w:firstLine="1440"/>
        <w:jc w:val="both"/>
        <w:rPr>
          <w:rFonts w:ascii="Times New Roman" w:hAnsi="Times New Roman" w:cs="Times New Roman"/>
          <w:sz w:val="24"/>
          <w:szCs w:val="24"/>
        </w:rPr>
      </w:pPr>
    </w:p>
    <w:p w14:paraId="4DE4BC27" w14:textId="77777777" w:rsidR="00DE222D" w:rsidRDefault="00DE222D" w:rsidP="00DE222D">
      <w:pPr>
        <w:spacing w:before="120" w:after="0" w:line="360" w:lineRule="auto"/>
        <w:jc w:val="both"/>
        <w:rPr>
          <w:rFonts w:ascii="Times New Roman" w:hAnsi="Times New Roman" w:cs="Times New Roman"/>
          <w:sz w:val="24"/>
          <w:szCs w:val="24"/>
        </w:rPr>
      </w:pPr>
      <w:r w:rsidRPr="00DE222D">
        <w:rPr>
          <w:rFonts w:ascii="Times New Roman" w:hAnsi="Times New Roman" w:cs="Times New Roman"/>
          <w:b/>
          <w:bCs/>
          <w:sz w:val="24"/>
          <w:szCs w:val="24"/>
        </w:rPr>
        <w:t>Table 02: Overall occurrence of chronic kidney disease in dogs</w:t>
      </w:r>
      <w:r w:rsidRPr="00DE222D">
        <w:rPr>
          <w:rFonts w:ascii="Times New Roman" w:hAnsi="Times New Roman" w:cs="Times New Roman"/>
          <w:sz w:val="24"/>
          <w:szCs w:val="24"/>
        </w:rPr>
        <w:t xml:space="preserve"> </w:t>
      </w:r>
    </w:p>
    <w:tbl>
      <w:tblPr>
        <w:tblW w:w="9263"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4187"/>
        <w:gridCol w:w="1632"/>
        <w:gridCol w:w="1428"/>
        <w:gridCol w:w="2016"/>
      </w:tblGrid>
      <w:tr w:rsidR="00C80C0A" w:rsidRPr="00C80C0A" w14:paraId="5818B1FB" w14:textId="77777777" w:rsidTr="00C80C0A">
        <w:trPr>
          <w:trHeight w:val="20"/>
          <w:jc w:val="center"/>
        </w:trPr>
        <w:tc>
          <w:tcPr>
            <w:tcW w:w="4187" w:type="dxa"/>
            <w:vAlign w:val="center"/>
          </w:tcPr>
          <w:p w14:paraId="7DB7368D"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Particulars</w:t>
            </w:r>
          </w:p>
        </w:tc>
        <w:tc>
          <w:tcPr>
            <w:tcW w:w="1632" w:type="dxa"/>
            <w:vAlign w:val="center"/>
          </w:tcPr>
          <w:p w14:paraId="78B4B41C"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No. screened</w:t>
            </w:r>
          </w:p>
        </w:tc>
        <w:tc>
          <w:tcPr>
            <w:tcW w:w="1428" w:type="dxa"/>
            <w:vAlign w:val="center"/>
          </w:tcPr>
          <w:p w14:paraId="476E7DCC"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No. affected</w:t>
            </w:r>
          </w:p>
        </w:tc>
        <w:tc>
          <w:tcPr>
            <w:tcW w:w="2016" w:type="dxa"/>
            <w:vAlign w:val="center"/>
          </w:tcPr>
          <w:p w14:paraId="74DCDD0A"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Occurrence (%)</w:t>
            </w:r>
          </w:p>
        </w:tc>
      </w:tr>
      <w:tr w:rsidR="00C80C0A" w:rsidRPr="00C80C0A" w14:paraId="4D22FAB6" w14:textId="77777777" w:rsidTr="00C80C0A">
        <w:trPr>
          <w:trHeight w:val="20"/>
          <w:jc w:val="center"/>
        </w:trPr>
        <w:tc>
          <w:tcPr>
            <w:tcW w:w="4187" w:type="dxa"/>
            <w:vAlign w:val="center"/>
          </w:tcPr>
          <w:p w14:paraId="23F485BD" w14:textId="77777777" w:rsidR="00C80C0A" w:rsidRPr="00C80C0A" w:rsidRDefault="00C80C0A" w:rsidP="00C80C0A">
            <w:pPr>
              <w:spacing w:before="120" w:after="0" w:line="360" w:lineRule="auto"/>
              <w:jc w:val="both"/>
              <w:rPr>
                <w:rFonts w:ascii="Times New Roman" w:hAnsi="Times New Roman" w:cs="Times New Roman"/>
                <w:sz w:val="24"/>
                <w:szCs w:val="24"/>
                <w:lang w:val="en-IN"/>
              </w:rPr>
            </w:pPr>
            <w:r w:rsidRPr="00C80C0A">
              <w:rPr>
                <w:rFonts w:ascii="Times New Roman" w:hAnsi="Times New Roman" w:cs="Times New Roman"/>
                <w:sz w:val="24"/>
                <w:szCs w:val="24"/>
                <w:lang w:val="en-IN"/>
              </w:rPr>
              <w:t>Dogs suspected for renal disorders</w:t>
            </w:r>
          </w:p>
        </w:tc>
        <w:tc>
          <w:tcPr>
            <w:tcW w:w="1632" w:type="dxa"/>
            <w:vAlign w:val="center"/>
          </w:tcPr>
          <w:p w14:paraId="76BB7BEC" w14:textId="47AA3F0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764</w:t>
            </w:r>
          </w:p>
        </w:tc>
        <w:tc>
          <w:tcPr>
            <w:tcW w:w="1428" w:type="dxa"/>
            <w:vAlign w:val="center"/>
          </w:tcPr>
          <w:p w14:paraId="118E0BE4" w14:textId="7FA80E4A"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81</w:t>
            </w:r>
          </w:p>
        </w:tc>
        <w:tc>
          <w:tcPr>
            <w:tcW w:w="2016" w:type="dxa"/>
            <w:vAlign w:val="center"/>
          </w:tcPr>
          <w:p w14:paraId="116AE6BF" w14:textId="093E4D6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10.60</w:t>
            </w:r>
          </w:p>
        </w:tc>
      </w:tr>
    </w:tbl>
    <w:p w14:paraId="666351D3" w14:textId="55FCBBC6"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The findings of the present study are in close agreement with those of Nabi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(2018), who reported an overall occurrence of CKD of 12.03 percent in dogs at IVRI, </w:t>
      </w:r>
      <w:proofErr w:type="spellStart"/>
      <w:r w:rsidRPr="00DE222D">
        <w:rPr>
          <w:rFonts w:ascii="Times New Roman" w:hAnsi="Times New Roman" w:cs="Times New Roman"/>
          <w:sz w:val="24"/>
          <w:szCs w:val="24"/>
        </w:rPr>
        <w:t>Izatnagar</w:t>
      </w:r>
      <w:proofErr w:type="spellEnd"/>
      <w:r w:rsidRPr="00DE222D">
        <w:rPr>
          <w:rFonts w:ascii="Times New Roman" w:hAnsi="Times New Roman" w:cs="Times New Roman"/>
          <w:sz w:val="24"/>
          <w:szCs w:val="24"/>
        </w:rPr>
        <w:t xml:space="preserve">. Similarly, Guidi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(2012) documented a higher prevalence rate of 24.97 percent in dogs examined at the University of Pisa, Italy. In contrast, comparatively lower occurrences were reported by </w:t>
      </w:r>
      <w:proofErr w:type="spellStart"/>
      <w:r w:rsidRPr="00DE222D">
        <w:rPr>
          <w:rFonts w:ascii="Times New Roman" w:hAnsi="Times New Roman" w:cs="Times New Roman"/>
          <w:sz w:val="24"/>
          <w:szCs w:val="24"/>
        </w:rPr>
        <w:t>Tufani</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and Singh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(2020), who recorded overall CKD rates of 1.08 percent and 1.69 percent, respectively. </w:t>
      </w:r>
    </w:p>
    <w:p w14:paraId="179F1FD2" w14:textId="69A186AC" w:rsidR="00DE222D" w:rsidRDefault="00DE222D" w:rsidP="00C80C0A">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The results of the current investigation confirm the presence of chronic kidney disease among dogs attending the Veterinary Clinical Complex, Jabalpur, though the occurrence rate varied from that reported in earlier studies. Such variations may be attributed to the presence of concurrent conditions such as ehrlichiosis, babesiosis, pyometra, or non-infectious factors like renal ischemia, hypotension, hypertension, and drug-induced nephrotoxicity (</w:t>
      </w:r>
      <w:proofErr w:type="spellStart"/>
      <w:r w:rsidRPr="00DE222D">
        <w:rPr>
          <w:rFonts w:ascii="Times New Roman" w:hAnsi="Times New Roman" w:cs="Times New Roman"/>
          <w:sz w:val="24"/>
          <w:szCs w:val="24"/>
        </w:rPr>
        <w:t>Tufani</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Additionally, differences in study design, diagnostic criteria, and screening methodologies may also contribute to discrepancies in the reported occurrence percentages across various studies. </w:t>
      </w:r>
    </w:p>
    <w:p w14:paraId="25F6B099" w14:textId="77777777" w:rsidR="00DE222D" w:rsidRDefault="00DE222D" w:rsidP="00DE222D">
      <w:pPr>
        <w:spacing w:before="120" w:after="0" w:line="360" w:lineRule="auto"/>
        <w:jc w:val="both"/>
        <w:rPr>
          <w:rFonts w:ascii="Times New Roman" w:hAnsi="Times New Roman" w:cs="Times New Roman"/>
          <w:sz w:val="24"/>
          <w:szCs w:val="24"/>
        </w:rPr>
      </w:pPr>
      <w:r w:rsidRPr="00DE222D">
        <w:rPr>
          <w:rFonts w:ascii="Times New Roman" w:hAnsi="Times New Roman" w:cs="Times New Roman"/>
          <w:b/>
          <w:bCs/>
          <w:sz w:val="24"/>
          <w:szCs w:val="24"/>
        </w:rPr>
        <w:t>Clinical abnormalities of chronic kidney disease affected dogs</w:t>
      </w:r>
      <w:r w:rsidRPr="00DE222D">
        <w:rPr>
          <w:rFonts w:ascii="Times New Roman" w:hAnsi="Times New Roman" w:cs="Times New Roman"/>
          <w:sz w:val="24"/>
          <w:szCs w:val="24"/>
        </w:rPr>
        <w:t xml:space="preserve"> </w:t>
      </w:r>
    </w:p>
    <w:p w14:paraId="0301D609" w14:textId="32EE4E46"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In the present study, various clinical abnormalities were recorded in dogs affected with chronic kidney disease (CKD). As presented in Table 03, anorexia was the most consistent clinical sign, observed in 100% (81/81) of the affected dogs. This was followed by vomiting in 82.72% (67/81), weight loss in 60.49% (49/81), and poor oral health in 45.68% (37/81) of cases. Other commonly observed abnormalities included altered posture during urination (35.80%; 29/81), polyuria (18.52%; 15/81), polydipsia (18.52%; 15/81) and dribbling of urine (14.81%; 12/81). Overall, the majority of CKD-affected dogs exhibited nonspecific clinical signs such as </w:t>
      </w:r>
      <w:r w:rsidRPr="00DE222D">
        <w:rPr>
          <w:rFonts w:ascii="Times New Roman" w:hAnsi="Times New Roman" w:cs="Times New Roman"/>
          <w:sz w:val="24"/>
          <w:szCs w:val="24"/>
        </w:rPr>
        <w:lastRenderedPageBreak/>
        <w:t xml:space="preserve">anorexia, vomiting, and weight loss, which are typical manifestations of renal insufficiency and uremia. </w:t>
      </w:r>
    </w:p>
    <w:p w14:paraId="4145C3A3" w14:textId="77777777" w:rsidR="00855ADB" w:rsidRDefault="00855ADB" w:rsidP="00DE222D">
      <w:pPr>
        <w:spacing w:before="120" w:after="0" w:line="360" w:lineRule="auto"/>
        <w:jc w:val="both"/>
        <w:rPr>
          <w:rFonts w:ascii="Times New Roman" w:hAnsi="Times New Roman" w:cs="Times New Roman"/>
          <w:b/>
          <w:bCs/>
          <w:sz w:val="24"/>
          <w:szCs w:val="24"/>
        </w:rPr>
      </w:pPr>
    </w:p>
    <w:p w14:paraId="3BB499BF" w14:textId="77777777" w:rsidR="00855ADB" w:rsidRDefault="00855ADB" w:rsidP="00DE222D">
      <w:pPr>
        <w:spacing w:before="120" w:after="0" w:line="360" w:lineRule="auto"/>
        <w:jc w:val="both"/>
        <w:rPr>
          <w:rFonts w:ascii="Times New Roman" w:hAnsi="Times New Roman" w:cs="Times New Roman"/>
          <w:b/>
          <w:bCs/>
          <w:sz w:val="24"/>
          <w:szCs w:val="24"/>
        </w:rPr>
      </w:pPr>
    </w:p>
    <w:p w14:paraId="64AEE7C0" w14:textId="2C6F0F8F" w:rsidR="00DE222D" w:rsidRDefault="00DE222D" w:rsidP="00DE222D">
      <w:pPr>
        <w:spacing w:before="120" w:after="0" w:line="360" w:lineRule="auto"/>
        <w:jc w:val="both"/>
        <w:rPr>
          <w:rFonts w:ascii="Times New Roman" w:hAnsi="Times New Roman" w:cs="Times New Roman"/>
          <w:sz w:val="24"/>
          <w:szCs w:val="24"/>
        </w:rPr>
      </w:pPr>
      <w:r w:rsidRPr="00DE222D">
        <w:rPr>
          <w:rFonts w:ascii="Times New Roman" w:hAnsi="Times New Roman" w:cs="Times New Roman"/>
          <w:b/>
          <w:bCs/>
          <w:sz w:val="24"/>
          <w:szCs w:val="24"/>
        </w:rPr>
        <w:t>Table 03: Clinical abnormalities in chronic kidney disease affected dogs</w:t>
      </w:r>
      <w:r w:rsidRPr="00DE222D">
        <w:rPr>
          <w:rFonts w:ascii="Times New Roman" w:hAnsi="Times New Roman" w:cs="Times New Roman"/>
          <w:sz w:val="24"/>
          <w:szCs w:val="24"/>
        </w:rPr>
        <w:t xml:space="preserve"> </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0"/>
        <w:gridCol w:w="2976"/>
        <w:gridCol w:w="2470"/>
      </w:tblGrid>
      <w:tr w:rsidR="00C80C0A" w:rsidRPr="00C80C0A" w14:paraId="35DB7DB6" w14:textId="77777777" w:rsidTr="00C80C0A">
        <w:trPr>
          <w:trHeight w:val="20"/>
          <w:jc w:val="center"/>
        </w:trPr>
        <w:tc>
          <w:tcPr>
            <w:tcW w:w="3840" w:type="dxa"/>
            <w:tcBorders>
              <w:left w:val="nil"/>
              <w:bottom w:val="single" w:sz="4" w:space="0" w:color="000000"/>
              <w:right w:val="nil"/>
            </w:tcBorders>
            <w:vAlign w:val="center"/>
          </w:tcPr>
          <w:p w14:paraId="16032A51" w14:textId="403F135C"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Clinical abnormalities</w:t>
            </w:r>
          </w:p>
        </w:tc>
        <w:tc>
          <w:tcPr>
            <w:tcW w:w="2976" w:type="dxa"/>
            <w:tcBorders>
              <w:left w:val="nil"/>
              <w:bottom w:val="single" w:sz="4" w:space="0" w:color="000000"/>
              <w:right w:val="nil"/>
            </w:tcBorders>
            <w:vAlign w:val="center"/>
          </w:tcPr>
          <w:p w14:paraId="127B105D" w14:textId="490E13DB"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Frequency (n=</w:t>
            </w:r>
            <w:r>
              <w:rPr>
                <w:rFonts w:ascii="Times New Roman" w:hAnsi="Times New Roman" w:cs="Times New Roman"/>
                <w:b/>
                <w:sz w:val="24"/>
                <w:szCs w:val="24"/>
                <w:lang w:val="en-IN"/>
              </w:rPr>
              <w:t>81</w:t>
            </w:r>
            <w:r w:rsidRPr="00C80C0A">
              <w:rPr>
                <w:rFonts w:ascii="Times New Roman" w:hAnsi="Times New Roman" w:cs="Times New Roman"/>
                <w:b/>
                <w:sz w:val="24"/>
                <w:szCs w:val="24"/>
                <w:lang w:val="en-IN"/>
              </w:rPr>
              <w:t>)</w:t>
            </w:r>
          </w:p>
        </w:tc>
        <w:tc>
          <w:tcPr>
            <w:tcW w:w="2470" w:type="dxa"/>
            <w:tcBorders>
              <w:left w:val="nil"/>
              <w:bottom w:val="single" w:sz="4" w:space="0" w:color="000000"/>
              <w:right w:val="nil"/>
            </w:tcBorders>
            <w:vAlign w:val="center"/>
          </w:tcPr>
          <w:p w14:paraId="162F7656" w14:textId="08AF0C68"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Per</w:t>
            </w:r>
            <w:r>
              <w:rPr>
                <w:rFonts w:ascii="Times New Roman" w:hAnsi="Times New Roman" w:cs="Times New Roman"/>
                <w:b/>
                <w:sz w:val="24"/>
                <w:szCs w:val="24"/>
                <w:lang w:val="en-IN"/>
              </w:rPr>
              <w:t xml:space="preserve"> </w:t>
            </w:r>
            <w:r w:rsidRPr="00C80C0A">
              <w:rPr>
                <w:rFonts w:ascii="Times New Roman" w:hAnsi="Times New Roman" w:cs="Times New Roman"/>
                <w:b/>
                <w:sz w:val="24"/>
                <w:szCs w:val="24"/>
                <w:lang w:val="en-IN"/>
              </w:rPr>
              <w:t>cent (%)</w:t>
            </w:r>
          </w:p>
        </w:tc>
      </w:tr>
      <w:tr w:rsidR="00C80C0A" w:rsidRPr="00C80C0A" w14:paraId="32D99533" w14:textId="77777777" w:rsidTr="00C80C0A">
        <w:trPr>
          <w:trHeight w:val="20"/>
          <w:jc w:val="center"/>
        </w:trPr>
        <w:tc>
          <w:tcPr>
            <w:tcW w:w="3840" w:type="dxa"/>
            <w:tcBorders>
              <w:left w:val="nil"/>
              <w:bottom w:val="nil"/>
              <w:right w:val="nil"/>
            </w:tcBorders>
            <w:vAlign w:val="center"/>
          </w:tcPr>
          <w:p w14:paraId="407278FF" w14:textId="77777777" w:rsidR="00C80C0A" w:rsidRPr="00C80C0A" w:rsidRDefault="00C80C0A" w:rsidP="00C80C0A">
            <w:pPr>
              <w:spacing w:before="120" w:after="0" w:line="360" w:lineRule="auto"/>
              <w:jc w:val="both"/>
              <w:rPr>
                <w:rFonts w:ascii="Times New Roman" w:hAnsi="Times New Roman" w:cs="Times New Roman"/>
                <w:sz w:val="24"/>
                <w:szCs w:val="24"/>
                <w:lang w:val="en-IN"/>
              </w:rPr>
            </w:pPr>
            <w:r w:rsidRPr="00C80C0A">
              <w:rPr>
                <w:rFonts w:ascii="Times New Roman" w:hAnsi="Times New Roman" w:cs="Times New Roman"/>
                <w:sz w:val="24"/>
                <w:szCs w:val="24"/>
                <w:lang w:val="en-IN"/>
              </w:rPr>
              <w:t>Anorexia</w:t>
            </w:r>
          </w:p>
        </w:tc>
        <w:tc>
          <w:tcPr>
            <w:tcW w:w="2976" w:type="dxa"/>
            <w:tcBorders>
              <w:left w:val="nil"/>
              <w:bottom w:val="nil"/>
              <w:right w:val="nil"/>
            </w:tcBorders>
            <w:vAlign w:val="center"/>
          </w:tcPr>
          <w:p w14:paraId="0298AC3A" w14:textId="16BB844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81</w:t>
            </w:r>
          </w:p>
        </w:tc>
        <w:tc>
          <w:tcPr>
            <w:tcW w:w="2470" w:type="dxa"/>
            <w:tcBorders>
              <w:left w:val="nil"/>
              <w:bottom w:val="nil"/>
              <w:right w:val="nil"/>
            </w:tcBorders>
            <w:vAlign w:val="center"/>
          </w:tcPr>
          <w:p w14:paraId="3613DB87" w14:textId="0B1ED270"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100</w:t>
            </w:r>
          </w:p>
        </w:tc>
      </w:tr>
      <w:tr w:rsidR="00C80C0A" w:rsidRPr="00C80C0A" w14:paraId="33925222" w14:textId="77777777" w:rsidTr="00C80C0A">
        <w:trPr>
          <w:trHeight w:val="20"/>
          <w:jc w:val="center"/>
        </w:trPr>
        <w:tc>
          <w:tcPr>
            <w:tcW w:w="3840" w:type="dxa"/>
            <w:tcBorders>
              <w:top w:val="nil"/>
              <w:left w:val="nil"/>
              <w:bottom w:val="nil"/>
              <w:right w:val="nil"/>
            </w:tcBorders>
            <w:vAlign w:val="center"/>
          </w:tcPr>
          <w:p w14:paraId="603D971F"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Vomition</w:t>
            </w:r>
          </w:p>
        </w:tc>
        <w:tc>
          <w:tcPr>
            <w:tcW w:w="2976" w:type="dxa"/>
            <w:tcBorders>
              <w:top w:val="nil"/>
              <w:left w:val="nil"/>
              <w:bottom w:val="nil"/>
              <w:right w:val="nil"/>
            </w:tcBorders>
            <w:vAlign w:val="center"/>
          </w:tcPr>
          <w:p w14:paraId="35DB790C" w14:textId="0042C15D"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67</w:t>
            </w:r>
          </w:p>
        </w:tc>
        <w:tc>
          <w:tcPr>
            <w:tcW w:w="2470" w:type="dxa"/>
            <w:tcBorders>
              <w:top w:val="nil"/>
              <w:left w:val="nil"/>
              <w:bottom w:val="nil"/>
              <w:right w:val="nil"/>
            </w:tcBorders>
            <w:vAlign w:val="center"/>
          </w:tcPr>
          <w:p w14:paraId="3FBF93B5" w14:textId="758C78C8"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82.72</w:t>
            </w:r>
          </w:p>
        </w:tc>
      </w:tr>
      <w:tr w:rsidR="00C80C0A" w:rsidRPr="00C80C0A" w14:paraId="3F6FF493" w14:textId="77777777" w:rsidTr="00C80C0A">
        <w:trPr>
          <w:trHeight w:val="20"/>
          <w:jc w:val="center"/>
        </w:trPr>
        <w:tc>
          <w:tcPr>
            <w:tcW w:w="3840" w:type="dxa"/>
            <w:tcBorders>
              <w:top w:val="nil"/>
              <w:left w:val="nil"/>
              <w:bottom w:val="nil"/>
              <w:right w:val="nil"/>
            </w:tcBorders>
            <w:vAlign w:val="center"/>
          </w:tcPr>
          <w:p w14:paraId="0F65B1DB"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Weight loss</w:t>
            </w:r>
          </w:p>
        </w:tc>
        <w:tc>
          <w:tcPr>
            <w:tcW w:w="2976" w:type="dxa"/>
            <w:tcBorders>
              <w:top w:val="nil"/>
              <w:left w:val="nil"/>
              <w:bottom w:val="nil"/>
              <w:right w:val="nil"/>
            </w:tcBorders>
            <w:vAlign w:val="center"/>
          </w:tcPr>
          <w:p w14:paraId="4B64C752" w14:textId="612BC8DF"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49</w:t>
            </w:r>
          </w:p>
        </w:tc>
        <w:tc>
          <w:tcPr>
            <w:tcW w:w="2470" w:type="dxa"/>
            <w:tcBorders>
              <w:top w:val="nil"/>
              <w:left w:val="nil"/>
              <w:bottom w:val="nil"/>
              <w:right w:val="nil"/>
            </w:tcBorders>
            <w:vAlign w:val="center"/>
          </w:tcPr>
          <w:p w14:paraId="743F676F" w14:textId="2562A17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60.49</w:t>
            </w:r>
          </w:p>
        </w:tc>
      </w:tr>
      <w:tr w:rsidR="00C80C0A" w:rsidRPr="00C80C0A" w14:paraId="04012572" w14:textId="77777777" w:rsidTr="00C80C0A">
        <w:trPr>
          <w:trHeight w:val="20"/>
          <w:jc w:val="center"/>
        </w:trPr>
        <w:tc>
          <w:tcPr>
            <w:tcW w:w="3840" w:type="dxa"/>
            <w:tcBorders>
              <w:top w:val="nil"/>
              <w:left w:val="nil"/>
              <w:bottom w:val="nil"/>
              <w:right w:val="nil"/>
            </w:tcBorders>
            <w:vAlign w:val="center"/>
          </w:tcPr>
          <w:p w14:paraId="450690EE" w14:textId="77777777" w:rsidR="00C80C0A" w:rsidRPr="00C80C0A" w:rsidRDefault="00C80C0A" w:rsidP="00C80C0A">
            <w:pPr>
              <w:spacing w:before="120" w:after="0" w:line="360" w:lineRule="auto"/>
              <w:jc w:val="both"/>
              <w:rPr>
                <w:rFonts w:ascii="Times New Roman" w:hAnsi="Times New Roman" w:cs="Times New Roman"/>
                <w:sz w:val="24"/>
                <w:szCs w:val="24"/>
                <w:lang w:val="en-IN"/>
              </w:rPr>
            </w:pPr>
            <w:r w:rsidRPr="00C80C0A">
              <w:rPr>
                <w:rFonts w:ascii="Times New Roman" w:hAnsi="Times New Roman" w:cs="Times New Roman"/>
                <w:sz w:val="24"/>
                <w:szCs w:val="24"/>
                <w:lang w:val="en-IN"/>
              </w:rPr>
              <w:t>Poor oral health</w:t>
            </w:r>
          </w:p>
        </w:tc>
        <w:tc>
          <w:tcPr>
            <w:tcW w:w="2976" w:type="dxa"/>
            <w:tcBorders>
              <w:top w:val="nil"/>
              <w:left w:val="nil"/>
              <w:bottom w:val="nil"/>
              <w:right w:val="nil"/>
            </w:tcBorders>
            <w:vAlign w:val="center"/>
          </w:tcPr>
          <w:p w14:paraId="27F2D906" w14:textId="570D920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37</w:t>
            </w:r>
          </w:p>
        </w:tc>
        <w:tc>
          <w:tcPr>
            <w:tcW w:w="2470" w:type="dxa"/>
            <w:tcBorders>
              <w:top w:val="nil"/>
              <w:left w:val="nil"/>
              <w:bottom w:val="nil"/>
              <w:right w:val="nil"/>
            </w:tcBorders>
            <w:vAlign w:val="center"/>
          </w:tcPr>
          <w:p w14:paraId="2A7C7780" w14:textId="2E40799A"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45.68</w:t>
            </w:r>
          </w:p>
        </w:tc>
      </w:tr>
      <w:tr w:rsidR="00C80C0A" w:rsidRPr="00C80C0A" w14:paraId="51249D92" w14:textId="77777777" w:rsidTr="00C80C0A">
        <w:trPr>
          <w:trHeight w:val="20"/>
          <w:jc w:val="center"/>
        </w:trPr>
        <w:tc>
          <w:tcPr>
            <w:tcW w:w="3840" w:type="dxa"/>
            <w:tcBorders>
              <w:top w:val="nil"/>
              <w:left w:val="nil"/>
              <w:bottom w:val="nil"/>
              <w:right w:val="nil"/>
            </w:tcBorders>
            <w:vAlign w:val="center"/>
          </w:tcPr>
          <w:p w14:paraId="3B0645E1"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Altered posture of urination</w:t>
            </w:r>
          </w:p>
        </w:tc>
        <w:tc>
          <w:tcPr>
            <w:tcW w:w="2976" w:type="dxa"/>
            <w:tcBorders>
              <w:top w:val="nil"/>
              <w:left w:val="nil"/>
              <w:bottom w:val="nil"/>
              <w:right w:val="nil"/>
            </w:tcBorders>
            <w:vAlign w:val="center"/>
          </w:tcPr>
          <w:p w14:paraId="7AB39CCE" w14:textId="7C40575D"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29</w:t>
            </w:r>
          </w:p>
        </w:tc>
        <w:tc>
          <w:tcPr>
            <w:tcW w:w="2470" w:type="dxa"/>
            <w:tcBorders>
              <w:top w:val="nil"/>
              <w:left w:val="nil"/>
              <w:bottom w:val="nil"/>
              <w:right w:val="nil"/>
            </w:tcBorders>
            <w:vAlign w:val="center"/>
          </w:tcPr>
          <w:p w14:paraId="57938365" w14:textId="174F5E8F"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35.80</w:t>
            </w:r>
          </w:p>
        </w:tc>
      </w:tr>
      <w:tr w:rsidR="00C80C0A" w:rsidRPr="00C80C0A" w14:paraId="03BD3454" w14:textId="77777777" w:rsidTr="00C80C0A">
        <w:trPr>
          <w:trHeight w:val="20"/>
          <w:jc w:val="center"/>
        </w:trPr>
        <w:tc>
          <w:tcPr>
            <w:tcW w:w="3840" w:type="dxa"/>
            <w:tcBorders>
              <w:top w:val="nil"/>
              <w:left w:val="nil"/>
              <w:bottom w:val="nil"/>
              <w:right w:val="nil"/>
            </w:tcBorders>
            <w:vAlign w:val="center"/>
          </w:tcPr>
          <w:p w14:paraId="04BDC8C1"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Polyuria</w:t>
            </w:r>
          </w:p>
        </w:tc>
        <w:tc>
          <w:tcPr>
            <w:tcW w:w="2976" w:type="dxa"/>
            <w:tcBorders>
              <w:top w:val="nil"/>
              <w:left w:val="nil"/>
              <w:bottom w:val="nil"/>
              <w:right w:val="nil"/>
            </w:tcBorders>
            <w:vAlign w:val="center"/>
          </w:tcPr>
          <w:p w14:paraId="7FCB3800" w14:textId="1202B10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2470" w:type="dxa"/>
            <w:tcBorders>
              <w:top w:val="nil"/>
              <w:left w:val="nil"/>
              <w:bottom w:val="nil"/>
              <w:right w:val="nil"/>
            </w:tcBorders>
            <w:vAlign w:val="center"/>
          </w:tcPr>
          <w:p w14:paraId="3230586E" w14:textId="3E4B799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18.52</w:t>
            </w:r>
          </w:p>
        </w:tc>
      </w:tr>
      <w:tr w:rsidR="00C80C0A" w:rsidRPr="00C80C0A" w14:paraId="62B0449A" w14:textId="77777777" w:rsidTr="00C80C0A">
        <w:trPr>
          <w:trHeight w:val="20"/>
          <w:jc w:val="center"/>
        </w:trPr>
        <w:tc>
          <w:tcPr>
            <w:tcW w:w="3840" w:type="dxa"/>
            <w:tcBorders>
              <w:top w:val="nil"/>
              <w:left w:val="nil"/>
              <w:bottom w:val="nil"/>
              <w:right w:val="nil"/>
            </w:tcBorders>
            <w:vAlign w:val="center"/>
          </w:tcPr>
          <w:p w14:paraId="0C8D2F1E"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Polydipsia</w:t>
            </w:r>
          </w:p>
        </w:tc>
        <w:tc>
          <w:tcPr>
            <w:tcW w:w="2976" w:type="dxa"/>
            <w:tcBorders>
              <w:top w:val="nil"/>
              <w:left w:val="nil"/>
              <w:bottom w:val="nil"/>
              <w:right w:val="nil"/>
            </w:tcBorders>
            <w:vAlign w:val="center"/>
          </w:tcPr>
          <w:p w14:paraId="1F555902" w14:textId="6F6EB9D2"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2470" w:type="dxa"/>
            <w:tcBorders>
              <w:top w:val="nil"/>
              <w:left w:val="nil"/>
              <w:bottom w:val="nil"/>
              <w:right w:val="nil"/>
            </w:tcBorders>
            <w:vAlign w:val="center"/>
          </w:tcPr>
          <w:p w14:paraId="284463AA" w14:textId="378B4FA5"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18.52</w:t>
            </w:r>
          </w:p>
        </w:tc>
      </w:tr>
      <w:tr w:rsidR="00C80C0A" w:rsidRPr="00C80C0A" w14:paraId="05A17718" w14:textId="77777777" w:rsidTr="00C80C0A">
        <w:trPr>
          <w:trHeight w:val="20"/>
          <w:jc w:val="center"/>
        </w:trPr>
        <w:tc>
          <w:tcPr>
            <w:tcW w:w="3840" w:type="dxa"/>
            <w:tcBorders>
              <w:top w:val="nil"/>
              <w:left w:val="nil"/>
              <w:right w:val="nil"/>
            </w:tcBorders>
            <w:vAlign w:val="center"/>
          </w:tcPr>
          <w:p w14:paraId="1F44AB9A"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Dribbling of urine</w:t>
            </w:r>
          </w:p>
        </w:tc>
        <w:tc>
          <w:tcPr>
            <w:tcW w:w="2976" w:type="dxa"/>
            <w:tcBorders>
              <w:top w:val="nil"/>
              <w:left w:val="nil"/>
              <w:right w:val="nil"/>
            </w:tcBorders>
            <w:vAlign w:val="center"/>
          </w:tcPr>
          <w:p w14:paraId="2877FCC0" w14:textId="568798EF"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12</w:t>
            </w:r>
          </w:p>
        </w:tc>
        <w:tc>
          <w:tcPr>
            <w:tcW w:w="2470" w:type="dxa"/>
            <w:tcBorders>
              <w:top w:val="nil"/>
              <w:left w:val="nil"/>
              <w:right w:val="nil"/>
            </w:tcBorders>
            <w:vAlign w:val="center"/>
          </w:tcPr>
          <w:p w14:paraId="1E28285F" w14:textId="66518DA0"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14.81</w:t>
            </w:r>
          </w:p>
        </w:tc>
      </w:tr>
    </w:tbl>
    <w:p w14:paraId="12809941" w14:textId="1EBCF132"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The clinical abnormalities observed in CKD-affected dogs in the present study are in close agreement with the findings of previous researchers. </w:t>
      </w:r>
      <w:proofErr w:type="spellStart"/>
      <w:r w:rsidRPr="00DE222D">
        <w:rPr>
          <w:rFonts w:ascii="Times New Roman" w:hAnsi="Times New Roman" w:cs="Times New Roman"/>
          <w:sz w:val="24"/>
          <w:szCs w:val="24"/>
        </w:rPr>
        <w:t>Oburai</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reported frequent signs such as anorexia (64.5%), vomiting (48.38%), and weight loss (45.16%), followed by oral ulcers (38.7%) and polyuria/polydipsia (16.12%). Similarly, </w:t>
      </w:r>
      <w:proofErr w:type="spellStart"/>
      <w:r w:rsidRPr="00DE222D">
        <w:rPr>
          <w:rFonts w:ascii="Times New Roman" w:hAnsi="Times New Roman" w:cs="Times New Roman"/>
          <w:sz w:val="24"/>
          <w:szCs w:val="24"/>
        </w:rPr>
        <w:t>Karunanithy</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(2019) recorded comparable observations including vomiting (93.50%), anorexia (65.30%), oliguria (29.40%), polyuria (28.20%), oral ulcers (21.7%), and weight loss (3.80%). O’Neill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(2013) also documented vomiting (50.0%), polyuria/polydipsia (43.9%), and anorexia (39.5%) as the most common clinical signs, followed by weight loss (28.9%), urinary incontinence (19.7%), and halitosis (11.8%). Kumar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(2011) noted anorexia, vomiting, progressive weight loss, polyuria/polydipsia, dribbling of urine, and halitosis as major clinical findings, whereas Ramesh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(2018) reported vomiting, melena, diarrhea, progressive weight loss, polyuria, and polydipsia with varying levels of physical activity among affected dogs. </w:t>
      </w:r>
    </w:p>
    <w:p w14:paraId="667A2B8F" w14:textId="610FDF5A"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lastRenderedPageBreak/>
        <w:t xml:space="preserve">The variation in the frequency and severity of these clinical signs can be attributed to differences in the degree of renal impairment, the level of azotemia, and the overall health status of the affected animals. Anorexia and vomiting are primarily associated with hypergastrinemia and the activation of the chemoreceptor trigger zone by uremic toxins (Forrester and Lees, 1994). Weight loss and lethargy result from insufficient caloric intake, the catabolic impact of uremia, and intestinal malabsorption (Liao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2012). Polyuria and polydipsia develop due to glomerular hyperfiltration and systemic hypertension (Bartges, 2012). Meanwhile, halitosis and poor oral health are often consequences of alterations in oral microflora caused by the presence of uremic toxins, which promote </w:t>
      </w:r>
      <w:proofErr w:type="spellStart"/>
      <w:r w:rsidRPr="00DE222D">
        <w:rPr>
          <w:rFonts w:ascii="Times New Roman" w:hAnsi="Times New Roman" w:cs="Times New Roman"/>
          <w:sz w:val="24"/>
          <w:szCs w:val="24"/>
        </w:rPr>
        <w:t>ammoniagenesis</w:t>
      </w:r>
      <w:proofErr w:type="spellEnd"/>
      <w:r w:rsidRPr="00DE222D">
        <w:rPr>
          <w:rFonts w:ascii="Times New Roman" w:hAnsi="Times New Roman" w:cs="Times New Roman"/>
          <w:sz w:val="24"/>
          <w:szCs w:val="24"/>
        </w:rPr>
        <w:t xml:space="preserve"> and local tissue irritation (Brown, 2003). </w:t>
      </w:r>
    </w:p>
    <w:p w14:paraId="4D5FFC30"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Overall, the clinical profile observed in this study reflects the chronic and progressive nature of CKD in dogs. The predominance of nonspecific signs such as anorexia, vomiting, and weight loss emphasizes the importance of early diagnostic screening, as these signs often become apparent only after significant nephron loss has occurred. Early recognition and staging of CKD are therefore essential for timely therapeutic intervention and improved prognosis in canine patients. </w:t>
      </w:r>
    </w:p>
    <w:p w14:paraId="0CAF4D5D"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Staging of chronic kidney disease in affected dogs </w:t>
      </w:r>
    </w:p>
    <w:p w14:paraId="3ED3EC98" w14:textId="15E819A4"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A total of 81 dogs affected with chronic kidney disease (CKD) were classified into four stages based on serum creatinine concentration, following the four-tier CKD staging system developed by the International Renal Interest Society (IRIS). Among the affected dogs, 9 (11.11%) were categorized in stage I, 15 (18.52%) in stage II, 22 (27.16%) in stage III, and 35 (43.21%) in stage IV. The highest number of dogs were observed in stage IV, followed by stage III, stage II, and stage I. The results are presented in Table 04. </w:t>
      </w:r>
    </w:p>
    <w:p w14:paraId="308202C9" w14:textId="77777777" w:rsidR="00C80C0A"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Table 04: Stages of chronic kidney disease in dogs Stage of CKD</w:t>
      </w:r>
    </w:p>
    <w:tbl>
      <w:tblPr>
        <w:tblW w:w="9229"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18"/>
        <w:gridCol w:w="2759"/>
        <w:gridCol w:w="2684"/>
        <w:gridCol w:w="2268"/>
      </w:tblGrid>
      <w:tr w:rsidR="00C80C0A" w:rsidRPr="00C80C0A" w14:paraId="2CD1B498" w14:textId="77777777" w:rsidTr="00C80C0A">
        <w:trPr>
          <w:trHeight w:val="182"/>
          <w:jc w:val="center"/>
        </w:trPr>
        <w:tc>
          <w:tcPr>
            <w:tcW w:w="1518" w:type="dxa"/>
            <w:vAlign w:val="center"/>
          </w:tcPr>
          <w:p w14:paraId="585E0CC2" w14:textId="77777777"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Stage of CKD</w:t>
            </w:r>
          </w:p>
        </w:tc>
        <w:tc>
          <w:tcPr>
            <w:tcW w:w="2759" w:type="dxa"/>
            <w:vAlign w:val="center"/>
          </w:tcPr>
          <w:p w14:paraId="2B1C56DA" w14:textId="16A366AB"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Serum creatinine range (mg/dL)</w:t>
            </w:r>
          </w:p>
        </w:tc>
        <w:tc>
          <w:tcPr>
            <w:tcW w:w="2684" w:type="dxa"/>
            <w:vAlign w:val="center"/>
          </w:tcPr>
          <w:p w14:paraId="793CC401" w14:textId="32383644"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No.  of affected dogs (n=</w:t>
            </w:r>
            <w:r>
              <w:rPr>
                <w:rFonts w:ascii="Times New Roman" w:hAnsi="Times New Roman" w:cs="Times New Roman"/>
                <w:b/>
                <w:sz w:val="24"/>
                <w:szCs w:val="24"/>
                <w:lang w:val="en-IN"/>
              </w:rPr>
              <w:t>81</w:t>
            </w:r>
            <w:r w:rsidRPr="00C80C0A">
              <w:rPr>
                <w:rFonts w:ascii="Times New Roman" w:hAnsi="Times New Roman" w:cs="Times New Roman"/>
                <w:b/>
                <w:sz w:val="24"/>
                <w:szCs w:val="24"/>
                <w:lang w:val="en-IN"/>
              </w:rPr>
              <w:t>)</w:t>
            </w:r>
          </w:p>
        </w:tc>
        <w:tc>
          <w:tcPr>
            <w:tcW w:w="2268" w:type="dxa"/>
            <w:vAlign w:val="center"/>
          </w:tcPr>
          <w:p w14:paraId="2B386043" w14:textId="4E9246C9"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Per</w:t>
            </w:r>
            <w:r>
              <w:rPr>
                <w:rFonts w:ascii="Times New Roman" w:hAnsi="Times New Roman" w:cs="Times New Roman"/>
                <w:b/>
                <w:sz w:val="24"/>
                <w:szCs w:val="24"/>
                <w:lang w:val="en-IN"/>
              </w:rPr>
              <w:t xml:space="preserve"> </w:t>
            </w:r>
            <w:r w:rsidRPr="00C80C0A">
              <w:rPr>
                <w:rFonts w:ascii="Times New Roman" w:hAnsi="Times New Roman" w:cs="Times New Roman"/>
                <w:b/>
                <w:sz w:val="24"/>
                <w:szCs w:val="24"/>
                <w:lang w:val="en-IN"/>
              </w:rPr>
              <w:t>cen</w:t>
            </w:r>
            <w:r>
              <w:rPr>
                <w:rFonts w:ascii="Times New Roman" w:hAnsi="Times New Roman" w:cs="Times New Roman"/>
                <w:b/>
                <w:sz w:val="24"/>
                <w:szCs w:val="24"/>
                <w:lang w:val="en-IN"/>
              </w:rPr>
              <w:t>t</w:t>
            </w:r>
            <w:r w:rsidRPr="00C80C0A">
              <w:rPr>
                <w:rFonts w:ascii="Times New Roman" w:hAnsi="Times New Roman" w:cs="Times New Roman"/>
                <w:b/>
                <w:sz w:val="24"/>
                <w:szCs w:val="24"/>
                <w:lang w:val="en-IN"/>
              </w:rPr>
              <w:t xml:space="preserve"> (%)</w:t>
            </w:r>
          </w:p>
        </w:tc>
      </w:tr>
      <w:tr w:rsidR="00C80C0A" w:rsidRPr="00C80C0A" w14:paraId="19CDFF0E" w14:textId="77777777" w:rsidTr="00C80C0A">
        <w:trPr>
          <w:trHeight w:val="527"/>
          <w:jc w:val="center"/>
        </w:trPr>
        <w:tc>
          <w:tcPr>
            <w:tcW w:w="1518" w:type="dxa"/>
            <w:vAlign w:val="center"/>
          </w:tcPr>
          <w:p w14:paraId="040A0549"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I</w:t>
            </w:r>
          </w:p>
        </w:tc>
        <w:tc>
          <w:tcPr>
            <w:tcW w:w="2759" w:type="dxa"/>
            <w:vAlign w:val="center"/>
          </w:tcPr>
          <w:p w14:paraId="0F7981BD"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&lt;1.4</w:t>
            </w:r>
          </w:p>
        </w:tc>
        <w:tc>
          <w:tcPr>
            <w:tcW w:w="2684" w:type="dxa"/>
            <w:vAlign w:val="center"/>
          </w:tcPr>
          <w:p w14:paraId="4372D653" w14:textId="6CD53EA5"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9</w:t>
            </w:r>
          </w:p>
        </w:tc>
        <w:tc>
          <w:tcPr>
            <w:tcW w:w="2268" w:type="dxa"/>
            <w:vAlign w:val="center"/>
          </w:tcPr>
          <w:p w14:paraId="2794FD81" w14:textId="464F504C"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11.11</w:t>
            </w:r>
          </w:p>
        </w:tc>
      </w:tr>
      <w:tr w:rsidR="00C80C0A" w:rsidRPr="00C80C0A" w14:paraId="5F7C1A6D" w14:textId="77777777" w:rsidTr="00C80C0A">
        <w:trPr>
          <w:trHeight w:val="527"/>
          <w:jc w:val="center"/>
        </w:trPr>
        <w:tc>
          <w:tcPr>
            <w:tcW w:w="1518" w:type="dxa"/>
            <w:vAlign w:val="center"/>
          </w:tcPr>
          <w:p w14:paraId="0EBE709D"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II</w:t>
            </w:r>
          </w:p>
        </w:tc>
        <w:tc>
          <w:tcPr>
            <w:tcW w:w="2759" w:type="dxa"/>
            <w:vAlign w:val="center"/>
          </w:tcPr>
          <w:p w14:paraId="3AF2F72D"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1.4-2.0</w:t>
            </w:r>
          </w:p>
        </w:tc>
        <w:tc>
          <w:tcPr>
            <w:tcW w:w="2684" w:type="dxa"/>
            <w:vAlign w:val="center"/>
          </w:tcPr>
          <w:p w14:paraId="16013F69" w14:textId="7C16E00D"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2268" w:type="dxa"/>
            <w:vAlign w:val="center"/>
          </w:tcPr>
          <w:p w14:paraId="48EA4C40" w14:textId="5DF00DB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18.52</w:t>
            </w:r>
          </w:p>
        </w:tc>
      </w:tr>
      <w:tr w:rsidR="00C80C0A" w:rsidRPr="00C80C0A" w14:paraId="708D7CA4" w14:textId="77777777" w:rsidTr="00C80C0A">
        <w:trPr>
          <w:trHeight w:val="527"/>
          <w:jc w:val="center"/>
        </w:trPr>
        <w:tc>
          <w:tcPr>
            <w:tcW w:w="1518" w:type="dxa"/>
            <w:vAlign w:val="center"/>
          </w:tcPr>
          <w:p w14:paraId="370EA602"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III</w:t>
            </w:r>
          </w:p>
        </w:tc>
        <w:tc>
          <w:tcPr>
            <w:tcW w:w="2759" w:type="dxa"/>
            <w:vAlign w:val="center"/>
          </w:tcPr>
          <w:p w14:paraId="48036F78"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2.1-5.0</w:t>
            </w:r>
          </w:p>
        </w:tc>
        <w:tc>
          <w:tcPr>
            <w:tcW w:w="2684" w:type="dxa"/>
            <w:vAlign w:val="center"/>
          </w:tcPr>
          <w:p w14:paraId="46D83924" w14:textId="1FCA352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22</w:t>
            </w:r>
          </w:p>
        </w:tc>
        <w:tc>
          <w:tcPr>
            <w:tcW w:w="2268" w:type="dxa"/>
            <w:vAlign w:val="center"/>
          </w:tcPr>
          <w:p w14:paraId="7014FF27" w14:textId="31AE4EB5"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27.16</w:t>
            </w:r>
          </w:p>
        </w:tc>
      </w:tr>
      <w:tr w:rsidR="00C80C0A" w:rsidRPr="00C80C0A" w14:paraId="30E01B9C" w14:textId="77777777" w:rsidTr="00C80C0A">
        <w:trPr>
          <w:trHeight w:val="544"/>
          <w:jc w:val="center"/>
        </w:trPr>
        <w:tc>
          <w:tcPr>
            <w:tcW w:w="1518" w:type="dxa"/>
            <w:vAlign w:val="center"/>
          </w:tcPr>
          <w:p w14:paraId="7EF39AFB"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lastRenderedPageBreak/>
              <w:t>IV</w:t>
            </w:r>
          </w:p>
        </w:tc>
        <w:tc>
          <w:tcPr>
            <w:tcW w:w="2759" w:type="dxa"/>
            <w:vAlign w:val="center"/>
          </w:tcPr>
          <w:p w14:paraId="628D95AE"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&gt;5.0</w:t>
            </w:r>
          </w:p>
        </w:tc>
        <w:tc>
          <w:tcPr>
            <w:tcW w:w="2684" w:type="dxa"/>
            <w:vAlign w:val="center"/>
          </w:tcPr>
          <w:p w14:paraId="6CB40FD9" w14:textId="49D41A1E"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35</w:t>
            </w:r>
          </w:p>
        </w:tc>
        <w:tc>
          <w:tcPr>
            <w:tcW w:w="2268" w:type="dxa"/>
            <w:vAlign w:val="center"/>
          </w:tcPr>
          <w:p w14:paraId="52D0D74A" w14:textId="13F49CF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43.21</w:t>
            </w:r>
          </w:p>
        </w:tc>
      </w:tr>
    </w:tbl>
    <w:p w14:paraId="5615DFB3" w14:textId="2ED3DEB0" w:rsidR="00DE222D" w:rsidRDefault="00DE222D" w:rsidP="00C80C0A">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 Chronic kidney disease (CKD) is a progressive and irreversible condition; therefore, early detection of renal impairment is crucial for assessing prognosis and initiating timely management. The diagnosis, prognosis, and therapeutic approach to CKD in dogs largely depend on the stage of the disease. In the present study, the staging pattern of CKD closely aligns with the observations of Sharma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and Ramesh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(2018), who also reported the highest number of dogs in stage IV, followed by stages III, II, and I. Similarly, Sonu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(2019) recorded the majority of CKD-affected dogs (58.33%) in stage IV with serum creatinine values exceeding 5.0 mg/dL, followed by 29.16% in stage III (2.0–5.0 mg/dL), 8.32% in stage II (1.4–2.0 mg/dL), and 4.16% in stage I (&lt;1.4 mg/dL). Lucero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(2019) also reported a comparable distribution, categorizing most dogs (53) in stage IV, followed by 44 in stage III, 27 in stage II, and 26 in stage I, with corresponding mean plasma creatinine concentrations of 8.5, 3.53, 1.76, and 1.28 mg/dL, respectively. In contrast, Lippi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(2014) found 29.54% of dogs in stage I, 15.90% in stage II, 29.54% in stage III, and 25.00% in stage IV, indicating variability in staging distribution possibly due to differences in population characteristics and diagnostic inclusion criteria. </w:t>
      </w:r>
    </w:p>
    <w:p w14:paraId="7C16907D" w14:textId="36E24501" w:rsid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CONCLUSION </w:t>
      </w:r>
    </w:p>
    <w:p w14:paraId="217DFD59" w14:textId="1DF40C26" w:rsidR="00DE222D" w:rsidRP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The present study revealed that chronic kidney disease (CKD) is a significant health concern among dogs presented to the Veterinary Clinical Complex, Jabalpur, with an overall occurrence of 10.60% among suspected renal cases. Most affected dogs exhibited nonspecific clinical signs such as anorexia, vomiting, and weight loss, which often appear only after substantial renal damage has occurred. A majority of the cases were diagnosed in advanced stages (III and IV), indicating delayed clinical presentation and diagnosis. These findings underscore the importance of early screening, routine renal function monitoring, and timely therapeutic intervention to slow disease progression, improve quality of life, and enhance survival outcomes in canine patients.</w:t>
      </w:r>
    </w:p>
    <w:p w14:paraId="2DCB41F2"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DISCLAIMER (ARTIFICIALINTELLIGENCE) </w:t>
      </w:r>
    </w:p>
    <w:p w14:paraId="44396575" w14:textId="77777777" w:rsidR="00DE222D" w:rsidRDefault="00DE222D" w:rsidP="00DE222D">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lastRenderedPageBreak/>
        <w:t xml:space="preserve">Author(s) hereby declares that no AI technologies such as Large Language Models (ChatGPT, COPILOT, etc.) and text-to-image generators have been used during the writing or editing of this manuscript. </w:t>
      </w:r>
    </w:p>
    <w:p w14:paraId="1EDDF190" w14:textId="761E1B1C" w:rsidR="00411B43" w:rsidRPr="00411B43" w:rsidRDefault="00411B43" w:rsidP="00411B43">
      <w:pPr>
        <w:spacing w:before="120" w:after="0" w:line="360" w:lineRule="auto"/>
        <w:ind w:firstLine="1440"/>
        <w:jc w:val="both"/>
        <w:rPr>
          <w:rFonts w:ascii="Times New Roman" w:hAnsi="Times New Roman" w:cs="Times New Roman"/>
          <w:b/>
          <w:bCs/>
          <w:sz w:val="24"/>
          <w:szCs w:val="24"/>
        </w:rPr>
      </w:pPr>
      <w:bookmarkStart w:id="0" w:name="_GoBack"/>
      <w:bookmarkEnd w:id="0"/>
    </w:p>
    <w:p w14:paraId="57EDB37F" w14:textId="6695EFE9" w:rsidR="00C80C0A" w:rsidRDefault="00C80C0A" w:rsidP="00C80C0A">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1DF94A9"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Polzin, D.J. (2011). Chronic kidney disease in small animals. </w:t>
      </w:r>
      <w:r w:rsidRPr="00335B2B">
        <w:rPr>
          <w:rFonts w:ascii="Times New Roman" w:eastAsia="Arial" w:hAnsi="Times New Roman" w:cs="Times New Roman"/>
          <w:i/>
          <w:sz w:val="24"/>
          <w:szCs w:val="24"/>
          <w:highlight w:val="white"/>
        </w:rPr>
        <w:t>Veterinary Clinics: Small Animal Practice</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41</w:t>
      </w:r>
      <w:r w:rsidRPr="00335B2B">
        <w:rPr>
          <w:rFonts w:ascii="Times New Roman" w:eastAsia="Arial" w:hAnsi="Times New Roman" w:cs="Times New Roman"/>
          <w:sz w:val="24"/>
          <w:szCs w:val="24"/>
          <w:highlight w:val="white"/>
        </w:rPr>
        <w:t>(1): 15-30.</w:t>
      </w:r>
    </w:p>
    <w:p w14:paraId="1956D031"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Brown, S.A. (2003). Chronic renal failure. </w:t>
      </w:r>
      <w:r w:rsidRPr="00335B2B">
        <w:rPr>
          <w:rFonts w:ascii="Times New Roman" w:eastAsia="Arial" w:hAnsi="Times New Roman" w:cs="Times New Roman"/>
          <w:i/>
          <w:sz w:val="24"/>
          <w:szCs w:val="24"/>
        </w:rPr>
        <w:t>In</w:t>
      </w:r>
      <w:r w:rsidRPr="00335B2B">
        <w:rPr>
          <w:rFonts w:ascii="Times New Roman" w:eastAsia="Arial" w:hAnsi="Times New Roman" w:cs="Times New Roman"/>
          <w:sz w:val="24"/>
          <w:szCs w:val="24"/>
        </w:rPr>
        <w:t>: Morgan, R.V. (ed.). Handbook of Small Animal Practice, 3</w:t>
      </w:r>
      <w:r w:rsidRPr="00335B2B">
        <w:rPr>
          <w:rFonts w:ascii="Times New Roman" w:eastAsia="Arial" w:hAnsi="Times New Roman" w:cs="Times New Roman"/>
          <w:sz w:val="24"/>
          <w:szCs w:val="24"/>
          <w:vertAlign w:val="superscript"/>
        </w:rPr>
        <w:t>rd</w:t>
      </w:r>
      <w:r w:rsidRPr="00335B2B">
        <w:rPr>
          <w:rFonts w:ascii="Times New Roman" w:eastAsia="Arial" w:hAnsi="Times New Roman" w:cs="Times New Roman"/>
          <w:sz w:val="24"/>
          <w:szCs w:val="24"/>
        </w:rPr>
        <w:t xml:space="preserve"> </w:t>
      </w:r>
      <w:proofErr w:type="spellStart"/>
      <w:r w:rsidRPr="00335B2B">
        <w:rPr>
          <w:rFonts w:ascii="Times New Roman" w:eastAsia="Arial" w:hAnsi="Times New Roman" w:cs="Times New Roman"/>
          <w:sz w:val="24"/>
          <w:szCs w:val="24"/>
        </w:rPr>
        <w:t>Edn</w:t>
      </w:r>
      <w:proofErr w:type="spellEnd"/>
      <w:r w:rsidRPr="00335B2B">
        <w:rPr>
          <w:rFonts w:ascii="Times New Roman" w:eastAsia="Arial" w:hAnsi="Times New Roman" w:cs="Times New Roman"/>
          <w:sz w:val="24"/>
          <w:szCs w:val="24"/>
        </w:rPr>
        <w:t>., WB Saunders, Philadelphia, USA, pp 513.</w:t>
      </w:r>
    </w:p>
    <w:p w14:paraId="327DB581"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McGrotty, Y. (2008). Diagnosis and management of chronic kidney disease in dogs and cats. </w:t>
      </w:r>
      <w:r w:rsidRPr="00335B2B">
        <w:rPr>
          <w:rFonts w:ascii="Times New Roman" w:eastAsia="Arial" w:hAnsi="Times New Roman" w:cs="Times New Roman"/>
          <w:i/>
          <w:sz w:val="24"/>
          <w:szCs w:val="24"/>
          <w:highlight w:val="white"/>
        </w:rPr>
        <w:t>In Practice</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30</w:t>
      </w:r>
      <w:r w:rsidRPr="00335B2B">
        <w:rPr>
          <w:rFonts w:ascii="Times New Roman" w:eastAsia="Arial" w:hAnsi="Times New Roman" w:cs="Times New Roman"/>
          <w:sz w:val="24"/>
          <w:szCs w:val="24"/>
          <w:highlight w:val="white"/>
        </w:rPr>
        <w:t>(9): 502.</w:t>
      </w:r>
    </w:p>
    <w:p w14:paraId="1BA8D734"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highlight w:val="white"/>
        </w:rPr>
        <w:t xml:space="preserve">Devarajan, P. (2010). The use of targeted biomarkers for chronic kidney disease. </w:t>
      </w:r>
      <w:r w:rsidRPr="00335B2B">
        <w:rPr>
          <w:rFonts w:ascii="Times New Roman" w:eastAsia="Arial" w:hAnsi="Times New Roman" w:cs="Times New Roman"/>
          <w:i/>
          <w:sz w:val="24"/>
          <w:szCs w:val="24"/>
          <w:highlight w:val="white"/>
        </w:rPr>
        <w:t>Advance Chronic Kidney Disease,</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6</w:t>
      </w:r>
      <w:r w:rsidRPr="00335B2B">
        <w:rPr>
          <w:rFonts w:ascii="Times New Roman" w:eastAsia="Arial" w:hAnsi="Times New Roman" w:cs="Times New Roman"/>
          <w:sz w:val="24"/>
          <w:szCs w:val="24"/>
          <w:highlight w:val="white"/>
        </w:rPr>
        <w:t>: 469-479.</w:t>
      </w:r>
    </w:p>
    <w:p w14:paraId="3754A85A"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proofErr w:type="spellStart"/>
      <w:r w:rsidRPr="00335B2B">
        <w:rPr>
          <w:rFonts w:ascii="Times New Roman" w:eastAsia="Arial" w:hAnsi="Times New Roman" w:cs="Times New Roman"/>
          <w:sz w:val="24"/>
          <w:szCs w:val="24"/>
        </w:rPr>
        <w:t>Oburai</w:t>
      </w:r>
      <w:proofErr w:type="spellEnd"/>
      <w:r w:rsidRPr="00335B2B">
        <w:rPr>
          <w:rFonts w:ascii="Times New Roman" w:eastAsia="Arial" w:hAnsi="Times New Roman" w:cs="Times New Roman"/>
          <w:sz w:val="24"/>
          <w:szCs w:val="24"/>
        </w:rPr>
        <w:t xml:space="preserve">, L.N., Rao, V. and Naik, B.R. (2015). Clinical and nephrosonographic findings in canine chronic renal failure: a prospective study. </w:t>
      </w:r>
      <w:r w:rsidRPr="00335B2B">
        <w:rPr>
          <w:rFonts w:ascii="Times New Roman" w:eastAsia="Arial" w:hAnsi="Times New Roman" w:cs="Times New Roman"/>
          <w:i/>
          <w:sz w:val="24"/>
          <w:szCs w:val="24"/>
        </w:rPr>
        <w:t>Journal of Agriculture and Veterinary Science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8</w:t>
      </w:r>
      <w:r w:rsidRPr="00335B2B">
        <w:rPr>
          <w:rFonts w:ascii="Times New Roman" w:eastAsia="Arial" w:hAnsi="Times New Roman" w:cs="Times New Roman"/>
          <w:sz w:val="24"/>
          <w:szCs w:val="24"/>
        </w:rPr>
        <w:t xml:space="preserve">(6): 11-16. </w:t>
      </w:r>
    </w:p>
    <w:p w14:paraId="45CB62F4" w14:textId="30EBADD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Bartlett, P.C., </w:t>
      </w:r>
      <w:proofErr w:type="spellStart"/>
      <w:r w:rsidRPr="00335B2B">
        <w:rPr>
          <w:rFonts w:ascii="Times New Roman" w:eastAsia="Arial" w:hAnsi="Times New Roman" w:cs="Times New Roman"/>
          <w:sz w:val="24"/>
          <w:szCs w:val="24"/>
          <w:highlight w:val="white"/>
        </w:rPr>
        <w:t>Vanburen</w:t>
      </w:r>
      <w:proofErr w:type="spellEnd"/>
      <w:r w:rsidRPr="00335B2B">
        <w:rPr>
          <w:rFonts w:ascii="Times New Roman" w:eastAsia="Arial" w:hAnsi="Times New Roman" w:cs="Times New Roman"/>
          <w:sz w:val="24"/>
          <w:szCs w:val="24"/>
          <w:highlight w:val="white"/>
        </w:rPr>
        <w:t xml:space="preserve">, J.W., Bartlett, A.D. and Zhou, C. (2010). Case-control study of risk factors associated with feline and canine chronic kidney disease. </w:t>
      </w:r>
      <w:r w:rsidRPr="00335B2B">
        <w:rPr>
          <w:rFonts w:ascii="Times New Roman" w:eastAsia="Arial" w:hAnsi="Times New Roman" w:cs="Times New Roman"/>
          <w:i/>
          <w:sz w:val="24"/>
          <w:szCs w:val="24"/>
          <w:highlight w:val="white"/>
        </w:rPr>
        <w:t>Veterinary Medicine international,</w:t>
      </w:r>
      <w:r w:rsidRPr="00335B2B">
        <w:rPr>
          <w:rFonts w:ascii="Times New Roman" w:eastAsia="Arial" w:hAnsi="Times New Roman" w:cs="Times New Roman"/>
          <w:b/>
          <w:sz w:val="24"/>
          <w:szCs w:val="24"/>
          <w:highlight w:val="white"/>
        </w:rPr>
        <w:t>12</w:t>
      </w:r>
      <w:r w:rsidRPr="00335B2B">
        <w:rPr>
          <w:rFonts w:ascii="Times New Roman" w:eastAsia="Arial" w:hAnsi="Times New Roman" w:cs="Times New Roman"/>
          <w:sz w:val="24"/>
          <w:szCs w:val="24"/>
          <w:highlight w:val="white"/>
        </w:rPr>
        <w:t>: 1-9.</w:t>
      </w:r>
    </w:p>
    <w:p w14:paraId="26A017D0"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rPr>
        <w:t xml:space="preserve">Pradhan, N.R. and Roy, S. (2012). Chronic renal failure in dogs and its management. </w:t>
      </w:r>
      <w:r w:rsidRPr="00335B2B">
        <w:rPr>
          <w:rFonts w:ascii="Times New Roman" w:eastAsia="Arial" w:hAnsi="Times New Roman" w:cs="Times New Roman"/>
          <w:i/>
          <w:sz w:val="24"/>
          <w:szCs w:val="24"/>
        </w:rPr>
        <w:t>Indian Journal of Canine Practice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4</w:t>
      </w:r>
      <w:r w:rsidRPr="00335B2B">
        <w:rPr>
          <w:rFonts w:ascii="Times New Roman" w:eastAsia="Arial" w:hAnsi="Times New Roman" w:cs="Times New Roman"/>
          <w:sz w:val="24"/>
          <w:szCs w:val="24"/>
        </w:rPr>
        <w:t>(2): 88-92.</w:t>
      </w:r>
    </w:p>
    <w:p w14:paraId="66BE52FD"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Boyd, L.M., Langston, C., Thompson, K., Zivin, K. and Imanishi, M. (2008). Survival in cats with naturally occurring chronic kidney disease. </w:t>
      </w:r>
      <w:r w:rsidRPr="00335B2B">
        <w:rPr>
          <w:rFonts w:ascii="Times New Roman" w:eastAsia="Arial" w:hAnsi="Times New Roman" w:cs="Times New Roman"/>
          <w:i/>
          <w:sz w:val="24"/>
          <w:szCs w:val="24"/>
        </w:rPr>
        <w:t>Journal of Veterinary Internal Medicine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22</w:t>
      </w:r>
      <w:r w:rsidRPr="00335B2B">
        <w:rPr>
          <w:rFonts w:ascii="Times New Roman" w:eastAsia="Arial" w:hAnsi="Times New Roman" w:cs="Times New Roman"/>
          <w:sz w:val="24"/>
          <w:szCs w:val="24"/>
        </w:rPr>
        <w:t>(5): 1111–1117.</w:t>
      </w:r>
    </w:p>
    <w:p w14:paraId="2E82983E"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highlight w:val="white"/>
        </w:rPr>
        <w:t xml:space="preserve">Polzin, D.J. (2013). Evidence-based step-wise approach to managing chronic kidney disease in dogs and cats. </w:t>
      </w:r>
      <w:r w:rsidRPr="00335B2B">
        <w:rPr>
          <w:rFonts w:ascii="Times New Roman" w:eastAsia="Arial" w:hAnsi="Times New Roman" w:cs="Times New Roman"/>
          <w:i/>
          <w:sz w:val="24"/>
          <w:szCs w:val="24"/>
          <w:highlight w:val="white"/>
        </w:rPr>
        <w:t xml:space="preserve">Journal of Veterinary </w:t>
      </w:r>
      <w:proofErr w:type="spellStart"/>
      <w:r w:rsidRPr="00335B2B">
        <w:rPr>
          <w:rFonts w:ascii="Times New Roman" w:eastAsia="Arial" w:hAnsi="Times New Roman" w:cs="Times New Roman"/>
          <w:i/>
          <w:sz w:val="24"/>
          <w:szCs w:val="24"/>
          <w:highlight w:val="white"/>
        </w:rPr>
        <w:t>Emergenc</w:t>
      </w:r>
      <w:proofErr w:type="spellEnd"/>
      <w:r w:rsidRPr="00335B2B">
        <w:rPr>
          <w:rFonts w:ascii="Times New Roman" w:eastAsia="Arial" w:hAnsi="Times New Roman" w:cs="Times New Roman"/>
          <w:i/>
          <w:sz w:val="24"/>
          <w:szCs w:val="24"/>
          <w:highlight w:val="white"/>
        </w:rPr>
        <w:t xml:space="preserve"> and Critical Care, </w:t>
      </w:r>
      <w:r w:rsidRPr="00335B2B">
        <w:rPr>
          <w:rFonts w:ascii="Times New Roman" w:eastAsia="Arial" w:hAnsi="Times New Roman" w:cs="Times New Roman"/>
          <w:b/>
          <w:sz w:val="24"/>
          <w:szCs w:val="24"/>
          <w:highlight w:val="white"/>
        </w:rPr>
        <w:t>23</w:t>
      </w:r>
      <w:r w:rsidRPr="00335B2B">
        <w:rPr>
          <w:rFonts w:ascii="Times New Roman" w:eastAsia="Arial" w:hAnsi="Times New Roman" w:cs="Times New Roman"/>
          <w:sz w:val="24"/>
          <w:szCs w:val="24"/>
          <w:highlight w:val="white"/>
        </w:rPr>
        <w:t>(2): 205-215.</w:t>
      </w:r>
    </w:p>
    <w:p w14:paraId="63173E50"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Nabi, S.U., Dey, S., Shah, O.S., Hussain, T., Amin, U., Vala, J. and Beigh, S.A. (2018). Incidence of renal disorders in canines and its relation with age breed and sex. </w:t>
      </w:r>
      <w:r w:rsidRPr="00335B2B">
        <w:rPr>
          <w:rFonts w:ascii="Times New Roman" w:eastAsia="Arial" w:hAnsi="Times New Roman" w:cs="Times New Roman"/>
          <w:i/>
          <w:sz w:val="24"/>
          <w:szCs w:val="24"/>
          <w:highlight w:val="white"/>
        </w:rPr>
        <w:t>The Pharma Innovation Journal,</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7</w:t>
      </w:r>
      <w:r w:rsidRPr="00335B2B">
        <w:rPr>
          <w:rFonts w:ascii="Times New Roman" w:eastAsia="Arial" w:hAnsi="Times New Roman" w:cs="Times New Roman"/>
          <w:sz w:val="24"/>
          <w:szCs w:val="24"/>
          <w:highlight w:val="white"/>
        </w:rPr>
        <w:t>(1): 87-89.</w:t>
      </w:r>
    </w:p>
    <w:p w14:paraId="0DBE8152"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Guidi, G., Rossini, C., Cinelli, C., Meucci, V. and Lippi, I. (2012). Canine chronic kidney disease: retrospective study of a 10-year period of clinical activity. </w:t>
      </w:r>
      <w:r w:rsidRPr="00335B2B">
        <w:rPr>
          <w:rFonts w:ascii="Times New Roman" w:eastAsia="Arial" w:hAnsi="Times New Roman" w:cs="Times New Roman"/>
          <w:i/>
          <w:sz w:val="24"/>
          <w:szCs w:val="24"/>
          <w:highlight w:val="white"/>
        </w:rPr>
        <w:t>In</w:t>
      </w:r>
      <w:r w:rsidRPr="00335B2B">
        <w:rPr>
          <w:rFonts w:ascii="Times New Roman" w:eastAsia="Arial" w:hAnsi="Times New Roman" w:cs="Times New Roman"/>
          <w:sz w:val="24"/>
          <w:szCs w:val="24"/>
          <w:highlight w:val="white"/>
        </w:rPr>
        <w:t>: Pugliese et al. Veterinary Science. Springer, Berlin, pp115-118.</w:t>
      </w:r>
    </w:p>
    <w:p w14:paraId="6073DCBC"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Tufani, N.A., Singh, J.L., Kumar, M., Gupta, D., Shekhar, P. and </w:t>
      </w:r>
      <w:proofErr w:type="spellStart"/>
      <w:r w:rsidRPr="00335B2B">
        <w:rPr>
          <w:rFonts w:ascii="Times New Roman" w:eastAsia="Arial" w:hAnsi="Times New Roman" w:cs="Times New Roman"/>
          <w:sz w:val="24"/>
          <w:szCs w:val="24"/>
        </w:rPr>
        <w:t>Rajora</w:t>
      </w:r>
      <w:proofErr w:type="spellEnd"/>
      <w:r w:rsidRPr="00335B2B">
        <w:rPr>
          <w:rFonts w:ascii="Times New Roman" w:eastAsia="Arial" w:hAnsi="Times New Roman" w:cs="Times New Roman"/>
          <w:sz w:val="24"/>
          <w:szCs w:val="24"/>
        </w:rPr>
        <w:t xml:space="preserve">, V.S. (2015). Renal failure in Indian dogs: an epidemiological study. </w:t>
      </w:r>
      <w:r w:rsidRPr="00335B2B">
        <w:rPr>
          <w:rFonts w:ascii="Times New Roman" w:eastAsia="Arial" w:hAnsi="Times New Roman" w:cs="Times New Roman"/>
          <w:i/>
          <w:sz w:val="24"/>
          <w:szCs w:val="24"/>
        </w:rPr>
        <w:t xml:space="preserve">Indian Journal of Veterinary Medicine, </w:t>
      </w:r>
      <w:r w:rsidRPr="00335B2B">
        <w:rPr>
          <w:rFonts w:ascii="Times New Roman" w:eastAsia="Arial" w:hAnsi="Times New Roman" w:cs="Times New Roman"/>
          <w:b/>
          <w:sz w:val="24"/>
          <w:szCs w:val="24"/>
        </w:rPr>
        <w:t>35</w:t>
      </w:r>
      <w:r w:rsidRPr="00335B2B">
        <w:rPr>
          <w:rFonts w:ascii="Times New Roman" w:eastAsia="Arial" w:hAnsi="Times New Roman" w:cs="Times New Roman"/>
          <w:sz w:val="24"/>
          <w:szCs w:val="24"/>
        </w:rPr>
        <w:t>(1): 7–11.</w:t>
      </w:r>
    </w:p>
    <w:p w14:paraId="57E8101B"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lastRenderedPageBreak/>
        <w:t xml:space="preserve">Singh, S.P., Shekhar, P., Singh, G.D., Singh, V.K., Kumar, A. and Prasad, J.K. (2020). An epidemiological and ultrasonographic study of renal failure in canine. </w:t>
      </w:r>
      <w:r w:rsidRPr="00335B2B">
        <w:rPr>
          <w:rFonts w:ascii="Times New Roman" w:eastAsia="Arial" w:hAnsi="Times New Roman" w:cs="Times New Roman"/>
          <w:i/>
          <w:sz w:val="24"/>
          <w:szCs w:val="24"/>
          <w:highlight w:val="white"/>
        </w:rPr>
        <w:t>The Pharma Innovation Journal</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9</w:t>
      </w:r>
      <w:r w:rsidRPr="00335B2B">
        <w:rPr>
          <w:rFonts w:ascii="Times New Roman" w:eastAsia="Arial" w:hAnsi="Times New Roman" w:cs="Times New Roman"/>
          <w:sz w:val="24"/>
          <w:szCs w:val="24"/>
          <w:highlight w:val="white"/>
        </w:rPr>
        <w:t>(6): 121-127.</w:t>
      </w:r>
    </w:p>
    <w:p w14:paraId="7CBEC6A7"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proofErr w:type="spellStart"/>
      <w:r w:rsidRPr="00335B2B">
        <w:rPr>
          <w:rFonts w:ascii="Times New Roman" w:eastAsia="Arial" w:hAnsi="Times New Roman" w:cs="Times New Roman"/>
          <w:sz w:val="24"/>
          <w:szCs w:val="24"/>
          <w:highlight w:val="white"/>
        </w:rPr>
        <w:t>Karunanithy</w:t>
      </w:r>
      <w:proofErr w:type="spellEnd"/>
      <w:r w:rsidRPr="00335B2B">
        <w:rPr>
          <w:rFonts w:ascii="Times New Roman" w:eastAsia="Arial" w:hAnsi="Times New Roman" w:cs="Times New Roman"/>
          <w:sz w:val="24"/>
          <w:szCs w:val="24"/>
          <w:highlight w:val="white"/>
        </w:rPr>
        <w:t>, M., Thakur, N. and Dey, S. (2019). Prevalence of renal disorders in dogs of Bareilly area of Uttar Pradesh, India. </w:t>
      </w:r>
      <w:r w:rsidRPr="00335B2B">
        <w:rPr>
          <w:rFonts w:ascii="Times New Roman" w:eastAsia="Arial" w:hAnsi="Times New Roman" w:cs="Times New Roman"/>
          <w:i/>
          <w:sz w:val="24"/>
          <w:szCs w:val="24"/>
          <w:highlight w:val="white"/>
        </w:rPr>
        <w:t>Biological Rhythm Research</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4</w:t>
      </w:r>
      <w:r w:rsidRPr="00335B2B">
        <w:rPr>
          <w:rFonts w:ascii="Times New Roman" w:eastAsia="Arial" w:hAnsi="Times New Roman" w:cs="Times New Roman"/>
          <w:sz w:val="24"/>
          <w:szCs w:val="24"/>
          <w:highlight w:val="white"/>
        </w:rPr>
        <w:t>:1-11.</w:t>
      </w:r>
    </w:p>
    <w:p w14:paraId="3DD7F59F"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Kumar, V., Kumar, A. and Varshney, A.C. (2011). Ultrasonographic imaging for structural characterization of renal affections and diagnosis of associated chronic renal failure in 10 dogs. </w:t>
      </w:r>
      <w:r w:rsidRPr="00335B2B">
        <w:rPr>
          <w:rFonts w:ascii="Times New Roman" w:eastAsia="Arial" w:hAnsi="Times New Roman" w:cs="Times New Roman"/>
          <w:i/>
          <w:sz w:val="24"/>
          <w:szCs w:val="24"/>
          <w:highlight w:val="white"/>
        </w:rPr>
        <w:t>International Scholarly Research Network Veterinary Science</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11</w:t>
      </w:r>
      <w:r w:rsidRPr="00335B2B">
        <w:rPr>
          <w:rFonts w:ascii="Times New Roman" w:eastAsia="Arial" w:hAnsi="Times New Roman" w:cs="Times New Roman"/>
          <w:sz w:val="24"/>
          <w:szCs w:val="24"/>
          <w:highlight w:val="white"/>
        </w:rPr>
        <w:t>:1-11.</w:t>
      </w:r>
    </w:p>
    <w:p w14:paraId="20F69F78"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Ramesh, P., Sumathi, D., Gopalakrishnan, A., Vairamuthu, S. and </w:t>
      </w:r>
      <w:proofErr w:type="spellStart"/>
      <w:r w:rsidRPr="00335B2B">
        <w:rPr>
          <w:rFonts w:ascii="Times New Roman" w:eastAsia="Arial" w:hAnsi="Times New Roman" w:cs="Times New Roman"/>
          <w:sz w:val="24"/>
          <w:szCs w:val="24"/>
          <w:highlight w:val="white"/>
        </w:rPr>
        <w:t>Jayathangaraj</w:t>
      </w:r>
      <w:proofErr w:type="spellEnd"/>
      <w:r w:rsidRPr="00335B2B">
        <w:rPr>
          <w:rFonts w:ascii="Times New Roman" w:eastAsia="Arial" w:hAnsi="Times New Roman" w:cs="Times New Roman"/>
          <w:sz w:val="24"/>
          <w:szCs w:val="24"/>
          <w:highlight w:val="white"/>
        </w:rPr>
        <w:t xml:space="preserve">, M.G. (2018). </w:t>
      </w:r>
      <w:proofErr w:type="spellStart"/>
      <w:r w:rsidRPr="00335B2B">
        <w:rPr>
          <w:rFonts w:ascii="Times New Roman" w:eastAsia="Arial" w:hAnsi="Times New Roman" w:cs="Times New Roman"/>
          <w:sz w:val="24"/>
          <w:szCs w:val="24"/>
          <w:highlight w:val="white"/>
        </w:rPr>
        <w:t>Hemato</w:t>
      </w:r>
      <w:proofErr w:type="spellEnd"/>
      <w:r w:rsidRPr="00335B2B">
        <w:rPr>
          <w:rFonts w:ascii="Times New Roman" w:eastAsia="Arial" w:hAnsi="Times New Roman" w:cs="Times New Roman"/>
          <w:sz w:val="24"/>
          <w:szCs w:val="24"/>
          <w:highlight w:val="white"/>
        </w:rPr>
        <w:t xml:space="preserve"> - biochemical evaluation - a prognostic tool for chronic kidney disease (CKD) in canines. </w:t>
      </w:r>
      <w:proofErr w:type="spellStart"/>
      <w:r w:rsidRPr="00335B2B">
        <w:rPr>
          <w:rFonts w:ascii="Times New Roman" w:eastAsia="Arial" w:hAnsi="Times New Roman" w:cs="Times New Roman"/>
          <w:i/>
          <w:sz w:val="24"/>
          <w:szCs w:val="24"/>
          <w:highlight w:val="white"/>
        </w:rPr>
        <w:t>Intas</w:t>
      </w:r>
      <w:proofErr w:type="spellEnd"/>
      <w:r w:rsidRPr="00335B2B">
        <w:rPr>
          <w:rFonts w:ascii="Times New Roman" w:eastAsia="Arial" w:hAnsi="Times New Roman" w:cs="Times New Roman"/>
          <w:i/>
          <w:sz w:val="24"/>
          <w:szCs w:val="24"/>
          <w:highlight w:val="white"/>
        </w:rPr>
        <w:t xml:space="preserve"> </w:t>
      </w:r>
      <w:proofErr w:type="spellStart"/>
      <w:r w:rsidRPr="00335B2B">
        <w:rPr>
          <w:rFonts w:ascii="Times New Roman" w:eastAsia="Arial" w:hAnsi="Times New Roman" w:cs="Times New Roman"/>
          <w:i/>
          <w:sz w:val="24"/>
          <w:szCs w:val="24"/>
          <w:highlight w:val="white"/>
        </w:rPr>
        <w:t>Polivet</w:t>
      </w:r>
      <w:proofErr w:type="spellEnd"/>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19</w:t>
      </w:r>
      <w:r w:rsidRPr="00335B2B">
        <w:rPr>
          <w:rFonts w:ascii="Times New Roman" w:eastAsia="Arial" w:hAnsi="Times New Roman" w:cs="Times New Roman"/>
          <w:sz w:val="24"/>
          <w:szCs w:val="24"/>
          <w:highlight w:val="white"/>
        </w:rPr>
        <w:t>(2): 217-219.</w:t>
      </w:r>
    </w:p>
    <w:p w14:paraId="305075BE"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Forrester, D.S. and Lees, G.E. (1994). Diseases of the kidney and ureter, </w:t>
      </w:r>
      <w:r w:rsidRPr="00335B2B">
        <w:rPr>
          <w:rFonts w:ascii="Times New Roman" w:eastAsia="Arial" w:hAnsi="Times New Roman" w:cs="Times New Roman"/>
          <w:i/>
          <w:sz w:val="24"/>
          <w:szCs w:val="24"/>
        </w:rPr>
        <w:t>In</w:t>
      </w:r>
      <w:r w:rsidRPr="00335B2B">
        <w:rPr>
          <w:rFonts w:ascii="Times New Roman" w:eastAsia="Arial" w:hAnsi="Times New Roman" w:cs="Times New Roman"/>
          <w:sz w:val="24"/>
          <w:szCs w:val="24"/>
        </w:rPr>
        <w:t>: Saunders Manual of Small Animal Practice, WB Saunders, Philadelphia, USA, pp 803.</w:t>
      </w:r>
    </w:p>
    <w:p w14:paraId="19C1C7E0"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Liao, M.T., Sung, C.C., Hung, K.C., Wu, C.C., Lo, L. and Lu, K.C. (2012). Insulin resistance in patients with chronic kidney disease. </w:t>
      </w:r>
      <w:r w:rsidRPr="00335B2B">
        <w:rPr>
          <w:rFonts w:ascii="Times New Roman" w:eastAsia="Arial" w:hAnsi="Times New Roman" w:cs="Times New Roman"/>
          <w:i/>
          <w:sz w:val="24"/>
          <w:szCs w:val="24"/>
        </w:rPr>
        <w:t>Journal of Biomedicine and Biotechnology</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26</w:t>
      </w:r>
      <w:r w:rsidRPr="00335B2B">
        <w:rPr>
          <w:rFonts w:ascii="Times New Roman" w:eastAsia="Arial" w:hAnsi="Times New Roman" w:cs="Times New Roman"/>
          <w:sz w:val="24"/>
          <w:szCs w:val="24"/>
        </w:rPr>
        <w:t>:</w:t>
      </w:r>
      <w:r w:rsidRPr="00335B2B">
        <w:rPr>
          <w:rFonts w:ascii="Times New Roman" w:eastAsia="Arial" w:hAnsi="Times New Roman" w:cs="Times New Roman"/>
          <w:b/>
          <w:sz w:val="24"/>
          <w:szCs w:val="24"/>
        </w:rPr>
        <w:t xml:space="preserve"> </w:t>
      </w:r>
      <w:r w:rsidRPr="00335B2B">
        <w:rPr>
          <w:rFonts w:ascii="Times New Roman" w:eastAsia="Arial" w:hAnsi="Times New Roman" w:cs="Times New Roman"/>
          <w:sz w:val="24"/>
          <w:szCs w:val="24"/>
        </w:rPr>
        <w:t>1-12.</w:t>
      </w:r>
    </w:p>
    <w:p w14:paraId="3A1DABA6"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Bartges, J.W. (2012). Chronic kidney disease in dogs and cats. </w:t>
      </w:r>
      <w:r w:rsidRPr="00335B2B">
        <w:rPr>
          <w:rFonts w:ascii="Times New Roman" w:eastAsia="Arial" w:hAnsi="Times New Roman" w:cs="Times New Roman"/>
          <w:i/>
          <w:sz w:val="24"/>
          <w:szCs w:val="24"/>
        </w:rPr>
        <w:t>Veterinary Clinics of North America: Small Animal Practice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42</w:t>
      </w:r>
      <w:r w:rsidRPr="00335B2B">
        <w:rPr>
          <w:rFonts w:ascii="Times New Roman" w:eastAsia="Arial" w:hAnsi="Times New Roman" w:cs="Times New Roman"/>
          <w:sz w:val="24"/>
          <w:szCs w:val="24"/>
        </w:rPr>
        <w:t xml:space="preserve">(4): 669–692. </w:t>
      </w:r>
    </w:p>
    <w:p w14:paraId="1F4EDFE4"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Brown, S.A. (2003). Chronic renal failure. </w:t>
      </w:r>
      <w:r w:rsidRPr="00335B2B">
        <w:rPr>
          <w:rFonts w:ascii="Times New Roman" w:eastAsia="Arial" w:hAnsi="Times New Roman" w:cs="Times New Roman"/>
          <w:i/>
          <w:sz w:val="24"/>
          <w:szCs w:val="24"/>
        </w:rPr>
        <w:t>In</w:t>
      </w:r>
      <w:r w:rsidRPr="00335B2B">
        <w:rPr>
          <w:rFonts w:ascii="Times New Roman" w:eastAsia="Arial" w:hAnsi="Times New Roman" w:cs="Times New Roman"/>
          <w:sz w:val="24"/>
          <w:szCs w:val="24"/>
        </w:rPr>
        <w:t>: Morgan, R.V. (ed.). Handbook of Small Animal Practice, 3</w:t>
      </w:r>
      <w:r w:rsidRPr="00335B2B">
        <w:rPr>
          <w:rFonts w:ascii="Times New Roman" w:eastAsia="Arial" w:hAnsi="Times New Roman" w:cs="Times New Roman"/>
          <w:sz w:val="24"/>
          <w:szCs w:val="24"/>
          <w:vertAlign w:val="superscript"/>
        </w:rPr>
        <w:t>rd</w:t>
      </w:r>
      <w:r w:rsidRPr="00335B2B">
        <w:rPr>
          <w:rFonts w:ascii="Times New Roman" w:eastAsia="Arial" w:hAnsi="Times New Roman" w:cs="Times New Roman"/>
          <w:sz w:val="24"/>
          <w:szCs w:val="24"/>
        </w:rPr>
        <w:t xml:space="preserve"> </w:t>
      </w:r>
      <w:proofErr w:type="spellStart"/>
      <w:r w:rsidRPr="00335B2B">
        <w:rPr>
          <w:rFonts w:ascii="Times New Roman" w:eastAsia="Arial" w:hAnsi="Times New Roman" w:cs="Times New Roman"/>
          <w:sz w:val="24"/>
          <w:szCs w:val="24"/>
        </w:rPr>
        <w:t>Edn</w:t>
      </w:r>
      <w:proofErr w:type="spellEnd"/>
      <w:r w:rsidRPr="00335B2B">
        <w:rPr>
          <w:rFonts w:ascii="Times New Roman" w:eastAsia="Arial" w:hAnsi="Times New Roman" w:cs="Times New Roman"/>
          <w:sz w:val="24"/>
          <w:szCs w:val="24"/>
        </w:rPr>
        <w:t>., WB Saunders, Philadelphia, USA, pp 513.</w:t>
      </w:r>
    </w:p>
    <w:p w14:paraId="2FEFE67A"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Sharma, A., Ahuja, A., Srivastava, M. and </w:t>
      </w:r>
      <w:proofErr w:type="spellStart"/>
      <w:r w:rsidRPr="00335B2B">
        <w:rPr>
          <w:rFonts w:ascii="Times New Roman" w:eastAsia="Arial" w:hAnsi="Times New Roman" w:cs="Times New Roman"/>
          <w:sz w:val="24"/>
          <w:szCs w:val="24"/>
        </w:rPr>
        <w:t>Kachhawa</w:t>
      </w:r>
      <w:proofErr w:type="spellEnd"/>
      <w:r w:rsidRPr="00335B2B">
        <w:rPr>
          <w:rFonts w:ascii="Times New Roman" w:eastAsia="Arial" w:hAnsi="Times New Roman" w:cs="Times New Roman"/>
          <w:sz w:val="24"/>
          <w:szCs w:val="24"/>
        </w:rPr>
        <w:t xml:space="preserve">, J.P. (2015). Haemato-biochemical changes in Dogs suffering from chronic renal failure. </w:t>
      </w:r>
      <w:r w:rsidRPr="00335B2B">
        <w:rPr>
          <w:rFonts w:ascii="Times New Roman" w:eastAsia="Arial" w:hAnsi="Times New Roman" w:cs="Times New Roman"/>
          <w:i/>
          <w:sz w:val="24"/>
          <w:szCs w:val="24"/>
        </w:rPr>
        <w:t>Indian Journal of Canine Practice,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7</w:t>
      </w:r>
      <w:r w:rsidRPr="00335B2B">
        <w:rPr>
          <w:rFonts w:ascii="Times New Roman" w:eastAsia="Arial" w:hAnsi="Times New Roman" w:cs="Times New Roman"/>
          <w:sz w:val="24"/>
          <w:szCs w:val="24"/>
        </w:rPr>
        <w:t>(2): 102-107.</w:t>
      </w:r>
    </w:p>
    <w:p w14:paraId="21699616"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Lucero, M.C., Duque, F.J., Gil, M., Ruiz, P., Macías-García, B., Cristobal, J.I. and Barrera, R. (2019). A plasma calcium-phosphorus product can be used to predict the lifespan of dogs with chronic kidney disease. </w:t>
      </w:r>
      <w:r w:rsidRPr="00335B2B">
        <w:rPr>
          <w:rFonts w:ascii="Times New Roman" w:eastAsia="Arial" w:hAnsi="Times New Roman" w:cs="Times New Roman"/>
          <w:i/>
          <w:sz w:val="24"/>
          <w:szCs w:val="24"/>
          <w:highlight w:val="white"/>
        </w:rPr>
        <w:t xml:space="preserve">The Canadian Veterinary </w:t>
      </w:r>
      <w:r w:rsidRPr="00335B2B">
        <w:rPr>
          <w:rFonts w:ascii="Times New Roman" w:eastAsia="Arial" w:hAnsi="Times New Roman" w:cs="Times New Roman"/>
          <w:i/>
          <w:sz w:val="24"/>
          <w:szCs w:val="24"/>
          <w:highlight w:val="white"/>
        </w:rPr>
        <w:tab/>
        <w:t>Journal</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60</w:t>
      </w:r>
      <w:r w:rsidRPr="00335B2B">
        <w:rPr>
          <w:rFonts w:ascii="Times New Roman" w:eastAsia="Arial" w:hAnsi="Times New Roman" w:cs="Times New Roman"/>
          <w:sz w:val="24"/>
          <w:szCs w:val="24"/>
          <w:highlight w:val="white"/>
        </w:rPr>
        <w:t>(12): 1319-1325.</w:t>
      </w:r>
    </w:p>
    <w:p w14:paraId="6AAF9392"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Lippi, I., Guidi, G., Marchetti, V., Tognetti, R. and Meucci, V. (2014). Prognostic role of the product of serum calcium and phosphorus concentrations in dogs with chronic kidney disease: 31 cases (2008–2010). </w:t>
      </w:r>
      <w:r w:rsidRPr="00335B2B">
        <w:rPr>
          <w:rFonts w:ascii="Times New Roman" w:eastAsia="Arial" w:hAnsi="Times New Roman" w:cs="Times New Roman"/>
          <w:i/>
          <w:sz w:val="24"/>
          <w:szCs w:val="24"/>
          <w:highlight w:val="white"/>
        </w:rPr>
        <w:t>Journal of the American Veterinary Medical Association</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245</w:t>
      </w:r>
      <w:r w:rsidRPr="00335B2B">
        <w:rPr>
          <w:rFonts w:ascii="Times New Roman" w:eastAsia="Arial" w:hAnsi="Times New Roman" w:cs="Times New Roman"/>
          <w:sz w:val="24"/>
          <w:szCs w:val="24"/>
          <w:highlight w:val="white"/>
        </w:rPr>
        <w:t>(10): 1135-1140.</w:t>
      </w:r>
    </w:p>
    <w:p w14:paraId="6CBD301D" w14:textId="77777777" w:rsidR="000373B5" w:rsidRPr="00335B2B" w:rsidRDefault="000373B5" w:rsidP="000373B5">
      <w:pPr>
        <w:spacing w:before="120" w:after="0" w:line="276" w:lineRule="auto"/>
        <w:ind w:left="720" w:hanging="720"/>
        <w:jc w:val="both"/>
        <w:rPr>
          <w:rFonts w:ascii="Times New Roman" w:eastAsia="Arial" w:hAnsi="Times New Roman" w:cs="Times New Roman"/>
          <w:sz w:val="24"/>
          <w:szCs w:val="24"/>
          <w:highlight w:val="white"/>
        </w:rPr>
      </w:pPr>
    </w:p>
    <w:p w14:paraId="21219F0E" w14:textId="77777777" w:rsidR="000373B5" w:rsidRPr="00DE222D" w:rsidRDefault="000373B5" w:rsidP="00C80C0A">
      <w:pPr>
        <w:spacing w:before="120" w:after="0" w:line="360" w:lineRule="auto"/>
        <w:jc w:val="both"/>
        <w:rPr>
          <w:rFonts w:ascii="Times New Roman" w:hAnsi="Times New Roman" w:cs="Times New Roman"/>
          <w:b/>
          <w:bCs/>
          <w:sz w:val="24"/>
          <w:szCs w:val="24"/>
        </w:rPr>
      </w:pPr>
    </w:p>
    <w:sectPr w:rsidR="000373B5" w:rsidRPr="00DE222D" w:rsidSect="00EE1B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B656F" w14:textId="77777777" w:rsidR="005E56C2" w:rsidRDefault="005E56C2" w:rsidP="00411B43">
      <w:pPr>
        <w:spacing w:after="0" w:line="240" w:lineRule="auto"/>
      </w:pPr>
      <w:r>
        <w:separator/>
      </w:r>
    </w:p>
  </w:endnote>
  <w:endnote w:type="continuationSeparator" w:id="0">
    <w:p w14:paraId="6AB85501" w14:textId="77777777" w:rsidR="005E56C2" w:rsidRDefault="005E56C2" w:rsidP="0041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D1516" w14:textId="77777777" w:rsidR="00411B43" w:rsidRDefault="00411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6CEE" w14:textId="77777777" w:rsidR="00411B43" w:rsidRDefault="00411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7E23" w14:textId="77777777" w:rsidR="00411B43" w:rsidRDefault="0041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C3BA9" w14:textId="77777777" w:rsidR="005E56C2" w:rsidRDefault="005E56C2" w:rsidP="00411B43">
      <w:pPr>
        <w:spacing w:after="0" w:line="240" w:lineRule="auto"/>
      </w:pPr>
      <w:r>
        <w:separator/>
      </w:r>
    </w:p>
  </w:footnote>
  <w:footnote w:type="continuationSeparator" w:id="0">
    <w:p w14:paraId="623E109F" w14:textId="77777777" w:rsidR="005E56C2" w:rsidRDefault="005E56C2" w:rsidP="0041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BCA6" w14:textId="4BEC0CBF" w:rsidR="00411B43" w:rsidRDefault="00411B43">
    <w:pPr>
      <w:pStyle w:val="Header"/>
    </w:pPr>
    <w:r>
      <w:rPr>
        <w:noProof/>
      </w:rPr>
      <w:pict w14:anchorId="34C38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1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DAE5" w14:textId="15F8CA5F" w:rsidR="00411B43" w:rsidRDefault="00411B43">
    <w:pPr>
      <w:pStyle w:val="Header"/>
    </w:pPr>
    <w:r>
      <w:rPr>
        <w:noProof/>
      </w:rPr>
      <w:pict w14:anchorId="2F457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1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408E9" w14:textId="56283248" w:rsidR="00411B43" w:rsidRDefault="00411B43">
    <w:pPr>
      <w:pStyle w:val="Header"/>
    </w:pPr>
    <w:r>
      <w:rPr>
        <w:noProof/>
      </w:rPr>
      <w:pict w14:anchorId="00CD1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1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5275D"/>
    <w:multiLevelType w:val="hybridMultilevel"/>
    <w:tmpl w:val="8E9C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03"/>
    <w:rsid w:val="000350DB"/>
    <w:rsid w:val="000373B5"/>
    <w:rsid w:val="00042BCC"/>
    <w:rsid w:val="00172670"/>
    <w:rsid w:val="002145CF"/>
    <w:rsid w:val="003C10EE"/>
    <w:rsid w:val="00411B43"/>
    <w:rsid w:val="00466827"/>
    <w:rsid w:val="005E56C2"/>
    <w:rsid w:val="006B40CC"/>
    <w:rsid w:val="00855ADB"/>
    <w:rsid w:val="00870DD7"/>
    <w:rsid w:val="00941203"/>
    <w:rsid w:val="00A836B1"/>
    <w:rsid w:val="00C80C0A"/>
    <w:rsid w:val="00D72B56"/>
    <w:rsid w:val="00DC635E"/>
    <w:rsid w:val="00DE222D"/>
    <w:rsid w:val="00E63393"/>
    <w:rsid w:val="00EE1B46"/>
    <w:rsid w:val="00FF299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5724C2"/>
  <w15:chartTrackingRefBased/>
  <w15:docId w15:val="{403CF9D5-29EF-49B7-9C0F-2615187D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C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6B40CC"/>
    <w:rPr>
      <w:b/>
      <w:bCs/>
    </w:rPr>
  </w:style>
  <w:style w:type="paragraph" w:styleId="ListParagraph">
    <w:name w:val="List Paragraph"/>
    <w:basedOn w:val="Normal"/>
    <w:uiPriority w:val="34"/>
    <w:qFormat/>
    <w:rsid w:val="000373B5"/>
    <w:pPr>
      <w:ind w:left="720"/>
      <w:contextualSpacing/>
    </w:pPr>
  </w:style>
  <w:style w:type="character" w:styleId="Hyperlink">
    <w:name w:val="Hyperlink"/>
    <w:basedOn w:val="DefaultParagraphFont"/>
    <w:uiPriority w:val="99"/>
    <w:unhideWhenUsed/>
    <w:rsid w:val="000373B5"/>
    <w:rPr>
      <w:color w:val="0563C1" w:themeColor="hyperlink"/>
      <w:u w:val="single"/>
    </w:rPr>
  </w:style>
  <w:style w:type="character" w:styleId="UnresolvedMention">
    <w:name w:val="Unresolved Mention"/>
    <w:basedOn w:val="DefaultParagraphFont"/>
    <w:uiPriority w:val="99"/>
    <w:semiHidden/>
    <w:unhideWhenUsed/>
    <w:rsid w:val="000373B5"/>
    <w:rPr>
      <w:color w:val="605E5C"/>
      <w:shd w:val="clear" w:color="auto" w:fill="E1DFDD"/>
    </w:rPr>
  </w:style>
  <w:style w:type="paragraph" w:customStyle="1" w:styleId="Affiliation">
    <w:name w:val="Affiliation"/>
    <w:basedOn w:val="Normal"/>
    <w:rsid w:val="00855ADB"/>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411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43"/>
  </w:style>
  <w:style w:type="paragraph" w:styleId="Footer">
    <w:name w:val="footer"/>
    <w:basedOn w:val="Normal"/>
    <w:link w:val="FooterChar"/>
    <w:uiPriority w:val="99"/>
    <w:unhideWhenUsed/>
    <w:rsid w:val="0041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4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10</Pages>
  <Words>3171</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10</cp:revision>
  <dcterms:created xsi:type="dcterms:W3CDTF">2025-07-31T09:46:00Z</dcterms:created>
  <dcterms:modified xsi:type="dcterms:W3CDTF">2025-10-30T12:01:00Z</dcterms:modified>
</cp:coreProperties>
</file>