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C41B9" w14:textId="77777777" w:rsidR="00754C9A" w:rsidRPr="00CE68D4" w:rsidRDefault="00754C9A" w:rsidP="00441B6F">
      <w:pPr>
        <w:pStyle w:val="Title"/>
        <w:spacing w:after="0"/>
        <w:jc w:val="both"/>
        <w:rPr>
          <w:rFonts w:ascii="Arial" w:hAnsi="Arial" w:cs="Arial"/>
          <w:sz w:val="20"/>
        </w:rPr>
      </w:pPr>
    </w:p>
    <w:p w14:paraId="11190506" w14:textId="77777777" w:rsidR="00E9092E" w:rsidRDefault="00E9092E" w:rsidP="00E9092E">
      <w:pPr>
        <w:pStyle w:val="Author"/>
        <w:jc w:val="both"/>
        <w:rPr>
          <w:rFonts w:ascii="Arial" w:hAnsi="Arial" w:cs="Arial"/>
          <w:bCs/>
          <w:i/>
          <w:iCs/>
          <w:sz w:val="22"/>
          <w:u w:val="single"/>
          <w:lang w:eastAsia="en-IN"/>
        </w:rPr>
      </w:pPr>
      <w:r w:rsidRPr="00E9092E">
        <w:rPr>
          <w:rFonts w:ascii="Arial" w:hAnsi="Arial" w:cs="Arial"/>
          <w:bCs/>
          <w:i/>
          <w:iCs/>
          <w:sz w:val="22"/>
          <w:u w:val="single"/>
          <w:lang w:eastAsia="en-IN"/>
        </w:rPr>
        <w:t>Review Article</w:t>
      </w:r>
    </w:p>
    <w:p w14:paraId="436AA3C2" w14:textId="77777777" w:rsidR="00E9092E" w:rsidRPr="00E9092E" w:rsidRDefault="00E9092E" w:rsidP="00E9092E">
      <w:pPr>
        <w:pStyle w:val="Author"/>
        <w:jc w:val="both"/>
        <w:rPr>
          <w:rFonts w:ascii="Arial" w:hAnsi="Arial" w:cs="Arial"/>
          <w:bCs/>
          <w:i/>
          <w:iCs/>
          <w:sz w:val="22"/>
          <w:u w:val="single"/>
          <w:lang w:eastAsia="en-IN"/>
        </w:rPr>
      </w:pPr>
    </w:p>
    <w:p w14:paraId="387200D8" w14:textId="77777777" w:rsidR="00A258C3" w:rsidRPr="008D3E33" w:rsidRDefault="00E14A7D" w:rsidP="00441B6F">
      <w:pPr>
        <w:pStyle w:val="Author"/>
        <w:spacing w:line="240" w:lineRule="auto"/>
        <w:jc w:val="both"/>
        <w:rPr>
          <w:rFonts w:ascii="Arial" w:hAnsi="Arial" w:cs="Arial"/>
          <w:sz w:val="22"/>
        </w:rPr>
      </w:pPr>
      <w:r w:rsidRPr="008D3E33">
        <w:rPr>
          <w:rFonts w:ascii="Arial" w:hAnsi="Arial" w:cs="Arial"/>
          <w:bCs/>
          <w:sz w:val="22"/>
          <w:lang w:eastAsia="en-IN"/>
        </w:rPr>
        <w:t xml:space="preserve">Exploring the Nutritional, Functional, and Agronomic Potential of </w:t>
      </w:r>
      <w:proofErr w:type="spellStart"/>
      <w:r w:rsidRPr="008D3E33">
        <w:rPr>
          <w:rFonts w:ascii="Arial" w:hAnsi="Arial" w:cs="Arial"/>
          <w:bCs/>
          <w:sz w:val="22"/>
          <w:lang w:eastAsia="en-IN"/>
        </w:rPr>
        <w:t>Mestha</w:t>
      </w:r>
      <w:proofErr w:type="spellEnd"/>
      <w:r w:rsidRPr="008D3E33">
        <w:rPr>
          <w:rFonts w:ascii="Arial" w:hAnsi="Arial" w:cs="Arial"/>
          <w:bCs/>
          <w:sz w:val="22"/>
          <w:lang w:eastAsia="en-IN"/>
        </w:rPr>
        <w:t xml:space="preserve"> (</w:t>
      </w:r>
      <w:r w:rsidRPr="008D3E33">
        <w:rPr>
          <w:rFonts w:ascii="Arial" w:hAnsi="Arial" w:cs="Arial"/>
          <w:bCs/>
          <w:i/>
          <w:iCs/>
          <w:sz w:val="22"/>
          <w:lang w:eastAsia="en-IN"/>
        </w:rPr>
        <w:t xml:space="preserve">Hibiscus </w:t>
      </w:r>
      <w:proofErr w:type="spellStart"/>
      <w:r w:rsidRPr="008D3E33">
        <w:rPr>
          <w:rFonts w:ascii="Arial" w:hAnsi="Arial" w:cs="Arial"/>
          <w:bCs/>
          <w:i/>
          <w:iCs/>
          <w:sz w:val="22"/>
          <w:lang w:eastAsia="en-IN"/>
        </w:rPr>
        <w:t>cannabinus</w:t>
      </w:r>
      <w:proofErr w:type="spellEnd"/>
      <w:r w:rsidRPr="008D3E33">
        <w:rPr>
          <w:rFonts w:ascii="Arial" w:hAnsi="Arial" w:cs="Arial"/>
          <w:bCs/>
          <w:sz w:val="22"/>
          <w:lang w:eastAsia="en-IN"/>
        </w:rPr>
        <w:t xml:space="preserve"> L.): An Underutilized Leafy Vegetable for Sustainable Food Systems</w:t>
      </w:r>
    </w:p>
    <w:p w14:paraId="2620AEF5" w14:textId="77777777" w:rsidR="00EB1AD1" w:rsidRDefault="00EB1AD1" w:rsidP="00441B6F">
      <w:pPr>
        <w:pStyle w:val="AbstHead"/>
        <w:spacing w:after="0"/>
        <w:jc w:val="both"/>
        <w:rPr>
          <w:rFonts w:ascii="Arial" w:hAnsi="Arial" w:cs="Arial"/>
          <w:sz w:val="20"/>
        </w:rPr>
      </w:pPr>
    </w:p>
    <w:p w14:paraId="729AAFEC" w14:textId="7282FC94" w:rsidR="00B01FCD" w:rsidRPr="00CE68D4" w:rsidRDefault="00B01FCD" w:rsidP="00441B6F">
      <w:pPr>
        <w:pStyle w:val="AbstHead"/>
        <w:spacing w:after="0"/>
        <w:jc w:val="both"/>
        <w:rPr>
          <w:rFonts w:ascii="Arial" w:hAnsi="Arial" w:cs="Arial"/>
          <w:sz w:val="20"/>
        </w:rPr>
      </w:pPr>
      <w:r w:rsidRPr="00CE68D4">
        <w:rPr>
          <w:rFonts w:ascii="Arial" w:hAnsi="Arial" w:cs="Arial"/>
          <w:sz w:val="20"/>
        </w:rPr>
        <w:t>ABSTRACT</w:t>
      </w:r>
      <w:r w:rsidR="00A9420E">
        <w:rPr>
          <w:rFonts w:ascii="Arial" w:hAnsi="Arial" w:cs="Arial"/>
          <w:sz w:val="20"/>
        </w:rPr>
        <w:t xml:space="preserve"> </w:t>
      </w:r>
    </w:p>
    <w:p w14:paraId="335BEAB8" w14:textId="77777777" w:rsidR="00790ADA" w:rsidRPr="00CE68D4" w:rsidRDefault="00790ADA"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CE68D4" w14:paraId="6F466F75" w14:textId="77777777" w:rsidTr="001E44FE">
        <w:tc>
          <w:tcPr>
            <w:tcW w:w="9576" w:type="dxa"/>
            <w:shd w:val="clear" w:color="auto" w:fill="F2F2F2"/>
          </w:tcPr>
          <w:p w14:paraId="68486397" w14:textId="77777777" w:rsidR="006213BA" w:rsidRPr="00CE68D4" w:rsidRDefault="006213BA" w:rsidP="006213BA">
            <w:pPr>
              <w:pStyle w:val="NormalWeb"/>
              <w:spacing w:before="0" w:beforeAutospacing="0" w:after="0" w:afterAutospacing="0" w:line="360" w:lineRule="auto"/>
              <w:jc w:val="both"/>
              <w:rPr>
                <w:rFonts w:ascii="Arial" w:hAnsi="Arial" w:cs="Arial"/>
                <w:sz w:val="20"/>
                <w:szCs w:val="20"/>
              </w:rPr>
            </w:pPr>
            <w:r w:rsidRPr="00CE68D4">
              <w:rPr>
                <w:rStyle w:val="Emphasis"/>
                <w:rFonts w:ascii="Arial" w:hAnsi="Arial" w:cs="Arial"/>
                <w:sz w:val="20"/>
                <w:szCs w:val="20"/>
              </w:rPr>
              <w:tab/>
              <w:t>Hibiscus cannabinus</w:t>
            </w:r>
            <w:r w:rsidRPr="00CE68D4">
              <w:rPr>
                <w:rFonts w:ascii="Arial" w:hAnsi="Arial" w:cs="Arial"/>
                <w:sz w:val="20"/>
                <w:szCs w:val="20"/>
              </w:rPr>
              <w:t xml:space="preserve"> L.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is an underutilized multipurpose crop of the </w:t>
            </w:r>
            <w:proofErr w:type="spellStart"/>
            <w:r w:rsidRPr="00CE68D4">
              <w:rPr>
                <w:rFonts w:ascii="Arial" w:hAnsi="Arial" w:cs="Arial"/>
                <w:sz w:val="20"/>
                <w:szCs w:val="20"/>
              </w:rPr>
              <w:t>Malvaceae</w:t>
            </w:r>
            <w:proofErr w:type="spellEnd"/>
            <w:r w:rsidRPr="00CE68D4">
              <w:rPr>
                <w:rFonts w:ascii="Arial" w:hAnsi="Arial" w:cs="Arial"/>
                <w:sz w:val="20"/>
                <w:szCs w:val="20"/>
              </w:rPr>
              <w:t xml:space="preserve"> family, traditionally cultivated for its </w:t>
            </w:r>
            <w:proofErr w:type="spellStart"/>
            <w:r w:rsidRPr="00CE68D4">
              <w:rPr>
                <w:rFonts w:ascii="Arial" w:hAnsi="Arial" w:cs="Arial"/>
                <w:sz w:val="20"/>
                <w:szCs w:val="20"/>
              </w:rPr>
              <w:t>bast</w:t>
            </w:r>
            <w:proofErr w:type="spellEnd"/>
            <w:r w:rsidRPr="00CE68D4">
              <w:rPr>
                <w:rFonts w:ascii="Arial" w:hAnsi="Arial" w:cs="Arial"/>
                <w:sz w:val="20"/>
                <w:szCs w:val="20"/>
              </w:rPr>
              <w:t xml:space="preserve"> </w:t>
            </w:r>
            <w:proofErr w:type="spellStart"/>
            <w:r w:rsidRPr="00CE68D4">
              <w:rPr>
                <w:rFonts w:ascii="Arial" w:hAnsi="Arial" w:cs="Arial"/>
                <w:sz w:val="20"/>
                <w:szCs w:val="20"/>
              </w:rPr>
              <w:t>fiber</w:t>
            </w:r>
            <w:proofErr w:type="spellEnd"/>
            <w:r w:rsidRPr="00CE68D4">
              <w:rPr>
                <w:rFonts w:ascii="Arial" w:hAnsi="Arial" w:cs="Arial"/>
                <w:sz w:val="20"/>
                <w:szCs w:val="20"/>
              </w:rPr>
              <w:t xml:space="preserve"> but increasingly recognized for its nutritional, medicinal, and industrial potential. The growing challenges of global food insecurity and climate change have renewed interest in resilient crops such as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which thrives under diverse agroecological conditions and offers substantial nutritional and economic benefits.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leaves and seeds are rich in proteins, minerals, vitamins, and bioactive compounds such as phenolics, flavonoids, and saponins, conferring antioxidant, anti-inflammatory, and hepatoprotective properties. The crop’s adaptability to low-input systems and high biomass productivity make it suitable for sustainable agric</w:t>
            </w:r>
            <w:bookmarkStart w:id="0" w:name="_GoBack"/>
            <w:bookmarkEnd w:id="0"/>
            <w:r w:rsidRPr="00CE68D4">
              <w:rPr>
                <w:rFonts w:ascii="Arial" w:hAnsi="Arial" w:cs="Arial"/>
                <w:sz w:val="20"/>
                <w:szCs w:val="20"/>
              </w:rPr>
              <w:t xml:space="preserve">ulture and bioresource utilization. Beyond </w:t>
            </w:r>
            <w:proofErr w:type="spellStart"/>
            <w:r w:rsidRPr="00CE68D4">
              <w:rPr>
                <w:rFonts w:ascii="Arial" w:hAnsi="Arial" w:cs="Arial"/>
                <w:sz w:val="20"/>
                <w:szCs w:val="20"/>
              </w:rPr>
              <w:t>fiber</w:t>
            </w:r>
            <w:proofErr w:type="spellEnd"/>
            <w:r w:rsidRPr="00CE68D4">
              <w:rPr>
                <w:rFonts w:ascii="Arial" w:hAnsi="Arial" w:cs="Arial"/>
                <w:sz w:val="20"/>
                <w:szCs w:val="20"/>
              </w:rPr>
              <w:t xml:space="preserve"> production,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serves as a leafy vegetable, functional food ingredient, and feed source, with emerging applications in nutraceutical, pharmaceutical, and cosmetic industries. Its lignocellulosic biomass also holds promise for bioenergy, bioplastics, and eco-friendly packaging. Despite these advantages,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remains underexploited due to limited awareness and research. Future research priorities include genetic improvement, value-added product development, and policy support to enhance commercialization. Promoting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as a food, feed, and industrial crop can contribute significantly to food security, climate resilience, and sustainable development.</w:t>
            </w:r>
          </w:p>
          <w:p w14:paraId="3C219463" w14:textId="77777777" w:rsidR="00505F06" w:rsidRPr="00CE68D4" w:rsidRDefault="00505F06" w:rsidP="006213BA">
            <w:pPr>
              <w:pStyle w:val="Heading3"/>
              <w:spacing w:before="0" w:line="360" w:lineRule="auto"/>
              <w:rPr>
                <w:rFonts w:ascii="Arial" w:eastAsia="Times New Roman" w:hAnsi="Arial" w:cs="Arial"/>
              </w:rPr>
            </w:pPr>
          </w:p>
        </w:tc>
      </w:tr>
    </w:tbl>
    <w:p w14:paraId="7C2EBF01" w14:textId="77777777" w:rsidR="00636EB2" w:rsidRPr="00CE68D4" w:rsidRDefault="00636EB2" w:rsidP="00441B6F">
      <w:pPr>
        <w:pStyle w:val="Body"/>
        <w:spacing w:after="0"/>
        <w:rPr>
          <w:rFonts w:ascii="Arial" w:hAnsi="Arial" w:cs="Arial"/>
          <w:i/>
        </w:rPr>
      </w:pPr>
    </w:p>
    <w:p w14:paraId="286291F6" w14:textId="77777777" w:rsidR="00A24E7E" w:rsidRPr="00CE68D4" w:rsidRDefault="006213BA" w:rsidP="00441B6F">
      <w:pPr>
        <w:pStyle w:val="Body"/>
        <w:spacing w:after="0"/>
        <w:rPr>
          <w:rFonts w:ascii="Arial" w:hAnsi="Arial" w:cs="Arial"/>
          <w:i/>
        </w:rPr>
      </w:pPr>
      <w:r w:rsidRPr="00CE68D4">
        <w:rPr>
          <w:rFonts w:ascii="Arial" w:hAnsi="Arial" w:cs="Arial"/>
          <w:i/>
        </w:rPr>
        <w:t>Keywords: Hibiscus cannabinus,</w:t>
      </w:r>
      <w:r w:rsidRPr="00CE68D4">
        <w:rPr>
          <w:rFonts w:ascii="Arial" w:hAnsi="Arial" w:cs="Arial"/>
        </w:rPr>
        <w:t xml:space="preserve"> underutilized crop, functional food, sustainable agriculture, bioenergy</w:t>
      </w:r>
      <w:r w:rsidR="0066510A" w:rsidRPr="00CE68D4">
        <w:rPr>
          <w:rFonts w:ascii="Arial" w:hAnsi="Arial" w:cs="Arial"/>
          <w:i/>
        </w:rPr>
        <w:t xml:space="preserve"> </w:t>
      </w:r>
    </w:p>
    <w:p w14:paraId="688642F0" w14:textId="77777777" w:rsidR="0024282C" w:rsidRPr="00CE68D4" w:rsidRDefault="0024282C" w:rsidP="00441B6F">
      <w:pPr>
        <w:pStyle w:val="Body"/>
        <w:spacing w:after="0"/>
        <w:rPr>
          <w:rFonts w:ascii="Arial" w:hAnsi="Arial" w:cs="Arial"/>
          <w:i/>
        </w:rPr>
      </w:pPr>
    </w:p>
    <w:p w14:paraId="01C2D05A" w14:textId="77777777" w:rsidR="00505F06" w:rsidRPr="00CE68D4" w:rsidRDefault="00505F06" w:rsidP="00441B6F">
      <w:pPr>
        <w:pStyle w:val="Body"/>
        <w:spacing w:after="0"/>
        <w:rPr>
          <w:rFonts w:ascii="Arial" w:hAnsi="Arial" w:cs="Arial"/>
          <w:i/>
        </w:rPr>
      </w:pPr>
    </w:p>
    <w:p w14:paraId="29BFB409" w14:textId="77777777" w:rsidR="007F7B32" w:rsidRPr="00CE68D4" w:rsidRDefault="00902823" w:rsidP="00441B6F">
      <w:pPr>
        <w:pStyle w:val="AbstHead"/>
        <w:spacing w:after="0"/>
        <w:jc w:val="both"/>
        <w:rPr>
          <w:rFonts w:ascii="Arial" w:hAnsi="Arial" w:cs="Arial"/>
          <w:sz w:val="20"/>
        </w:rPr>
      </w:pPr>
      <w:r w:rsidRPr="00CE68D4">
        <w:rPr>
          <w:rFonts w:ascii="Arial" w:hAnsi="Arial" w:cs="Arial"/>
          <w:sz w:val="20"/>
        </w:rPr>
        <w:t xml:space="preserve">1. </w:t>
      </w:r>
      <w:r w:rsidR="00B01FCD" w:rsidRPr="00CE68D4">
        <w:rPr>
          <w:rFonts w:ascii="Arial" w:hAnsi="Arial" w:cs="Arial"/>
          <w:sz w:val="20"/>
        </w:rPr>
        <w:t>INTRODUCTION</w:t>
      </w:r>
    </w:p>
    <w:p w14:paraId="3A6A7E9C" w14:textId="77777777" w:rsidR="00790ADA" w:rsidRPr="00CE68D4" w:rsidRDefault="00790ADA" w:rsidP="00441B6F">
      <w:pPr>
        <w:pStyle w:val="AbstHead"/>
        <w:spacing w:after="0"/>
        <w:jc w:val="both"/>
        <w:rPr>
          <w:rFonts w:ascii="Arial" w:hAnsi="Arial" w:cs="Arial"/>
          <w:sz w:val="20"/>
        </w:rPr>
      </w:pPr>
    </w:p>
    <w:p w14:paraId="22880023" w14:textId="77777777" w:rsidR="006213BA" w:rsidRPr="00CE68D4" w:rsidRDefault="006213BA" w:rsidP="006213BA">
      <w:pPr>
        <w:spacing w:line="360" w:lineRule="auto"/>
        <w:ind w:firstLine="360"/>
        <w:jc w:val="both"/>
        <w:rPr>
          <w:rFonts w:ascii="Arial" w:hAnsi="Arial" w:cs="Arial"/>
          <w:lang w:eastAsia="en-IN"/>
        </w:rPr>
      </w:pPr>
      <w:r w:rsidRPr="00CE68D4">
        <w:rPr>
          <w:rFonts w:ascii="Arial" w:hAnsi="Arial" w:cs="Arial"/>
          <w:lang w:eastAsia="en-IN"/>
        </w:rPr>
        <w:tab/>
        <w:t>For agricultural sectors, reducing the combined effects of population increase and patterns of global climate change has emerged as a top priority. Since climate change already has a negative impact on the production of food and feed (Masipa, 2017), resulting in food insecurity and declines in human health (Intergovernmental Panel on Climate Change (IPCC), 2007; Liliana, 2005; Vogel, 2005; World Bank, 2016), the focus of the global sustainable development goals has shifted to addressing hunger and malnutrition (S. Lin et al., 2002; Okello et al., 2017).</w:t>
      </w:r>
    </w:p>
    <w:p w14:paraId="567A13E8" w14:textId="77777777" w:rsidR="006213BA" w:rsidRPr="00CE68D4" w:rsidRDefault="006213BA" w:rsidP="006213BA">
      <w:pPr>
        <w:spacing w:line="360" w:lineRule="auto"/>
        <w:ind w:firstLine="360"/>
        <w:jc w:val="both"/>
        <w:rPr>
          <w:rFonts w:ascii="Arial" w:hAnsi="Arial" w:cs="Arial"/>
          <w:lang w:eastAsia="en-IN"/>
        </w:rPr>
      </w:pPr>
      <w:proofErr w:type="spellStart"/>
      <w:r w:rsidRPr="00CE68D4">
        <w:rPr>
          <w:rFonts w:ascii="Arial" w:hAnsi="Arial" w:cs="Arial"/>
          <w:lang w:eastAsia="en-IN"/>
        </w:rPr>
        <w:t>Mestha</w:t>
      </w:r>
      <w:proofErr w:type="spellEnd"/>
      <w:r w:rsidRPr="00CE68D4">
        <w:rPr>
          <w:rFonts w:ascii="Arial" w:hAnsi="Arial" w:cs="Arial"/>
          <w:lang w:eastAsia="en-IN"/>
        </w:rPr>
        <w:t xml:space="preserve"> is recognized as a valuable fodder plant with promising potential as a feed resource (Oh et al., 2018). It serves as a rich protein source in </w:t>
      </w:r>
      <w:proofErr w:type="spellStart"/>
      <w:r w:rsidRPr="00CE68D4">
        <w:rPr>
          <w:rFonts w:ascii="Arial" w:hAnsi="Arial" w:cs="Arial"/>
          <w:lang w:eastAsia="en-IN"/>
        </w:rPr>
        <w:t>mestha</w:t>
      </w:r>
      <w:proofErr w:type="spellEnd"/>
      <w:r w:rsidRPr="00CE68D4">
        <w:rPr>
          <w:rFonts w:ascii="Arial" w:hAnsi="Arial" w:cs="Arial"/>
          <w:lang w:eastAsia="en-IN"/>
        </w:rPr>
        <w:t xml:space="preserve">-based diets, contributing to improved animal productivity and offering a means to combat malnutrition in humans (Cheng et al., 2016). In addition to its use as an alternative food crop, </w:t>
      </w:r>
      <w:proofErr w:type="spellStart"/>
      <w:r w:rsidRPr="00CE68D4">
        <w:rPr>
          <w:rFonts w:ascii="Arial" w:hAnsi="Arial" w:cs="Arial"/>
          <w:lang w:eastAsia="en-IN"/>
        </w:rPr>
        <w:t>mestha</w:t>
      </w:r>
      <w:proofErr w:type="spellEnd"/>
      <w:r w:rsidRPr="00CE68D4">
        <w:rPr>
          <w:rFonts w:ascii="Arial" w:hAnsi="Arial" w:cs="Arial"/>
          <w:lang w:eastAsia="en-IN"/>
        </w:rPr>
        <w:t xml:space="preserve"> is also consumed as a leafy vegetable due to the abundance of nutritional and phytochemical compounds present in its seeds and leaves (</w:t>
      </w:r>
      <w:proofErr w:type="spellStart"/>
      <w:r w:rsidRPr="00CE68D4">
        <w:rPr>
          <w:rFonts w:ascii="Arial" w:hAnsi="Arial" w:cs="Arial"/>
          <w:lang w:eastAsia="en-IN"/>
        </w:rPr>
        <w:t>Obouayeba</w:t>
      </w:r>
      <w:proofErr w:type="spellEnd"/>
      <w:r w:rsidRPr="00CE68D4">
        <w:rPr>
          <w:rFonts w:ascii="Arial" w:hAnsi="Arial" w:cs="Arial"/>
          <w:lang w:eastAsia="en-IN"/>
        </w:rPr>
        <w:t xml:space="preserve"> et al., 2015; Ryu et al., 2017).</w:t>
      </w:r>
    </w:p>
    <w:p w14:paraId="245A9947" w14:textId="77777777" w:rsidR="006213BA" w:rsidRPr="00CE68D4" w:rsidRDefault="006213BA" w:rsidP="006213BA">
      <w:pPr>
        <w:spacing w:line="360" w:lineRule="auto"/>
        <w:ind w:firstLine="360"/>
        <w:jc w:val="both"/>
        <w:rPr>
          <w:rFonts w:ascii="Arial" w:hAnsi="Arial" w:cs="Arial"/>
          <w:lang w:eastAsia="en-IN"/>
        </w:rPr>
      </w:pPr>
      <w:r w:rsidRPr="00CE68D4">
        <w:rPr>
          <w:rFonts w:ascii="Arial" w:hAnsi="Arial" w:cs="Arial"/>
          <w:lang w:eastAsia="en-IN"/>
        </w:rPr>
        <w:t xml:space="preserve">The plant is known to contain a wide array of bioactive constituents, including phenolics, saponins, tocopherols, phytosterols, crude proteins, fatty acids, alkaloids, and phospholipids (Hossain et al., 2011). Furthermore, it is rich in essential nutrients such as vitamin C, phosphorus, iron, calcium, and nitrogen (Chan &amp; Ismail, 2009). Owing to these bioactive components, </w:t>
      </w:r>
      <w:proofErr w:type="spellStart"/>
      <w:r w:rsidRPr="00CE68D4">
        <w:rPr>
          <w:rFonts w:ascii="Arial" w:hAnsi="Arial" w:cs="Arial"/>
          <w:lang w:eastAsia="en-IN"/>
        </w:rPr>
        <w:t>mestha</w:t>
      </w:r>
      <w:proofErr w:type="spellEnd"/>
      <w:r w:rsidRPr="00CE68D4">
        <w:rPr>
          <w:rFonts w:ascii="Arial" w:hAnsi="Arial" w:cs="Arial"/>
          <w:lang w:eastAsia="en-IN"/>
        </w:rPr>
        <w:t xml:space="preserve"> exhibits multiple medicinal properties beneficial to both human and animal health, including </w:t>
      </w:r>
      <w:r w:rsidRPr="00CE68D4">
        <w:rPr>
          <w:rFonts w:ascii="Arial" w:hAnsi="Arial" w:cs="Arial"/>
          <w:lang w:eastAsia="en-IN"/>
        </w:rPr>
        <w:lastRenderedPageBreak/>
        <w:t>anticancer, antioxidant, analgesic, anti-inflammatory, aphrodisiac, and hepatoprotective activities (</w:t>
      </w:r>
      <w:proofErr w:type="spellStart"/>
      <w:r w:rsidRPr="00CE68D4">
        <w:rPr>
          <w:rFonts w:ascii="Arial" w:hAnsi="Arial" w:cs="Arial"/>
          <w:lang w:eastAsia="en-IN"/>
        </w:rPr>
        <w:t>Kubmarawa</w:t>
      </w:r>
      <w:proofErr w:type="spellEnd"/>
      <w:r w:rsidRPr="00CE68D4">
        <w:rPr>
          <w:rFonts w:ascii="Arial" w:hAnsi="Arial" w:cs="Arial"/>
          <w:lang w:eastAsia="en-IN"/>
        </w:rPr>
        <w:t xml:space="preserve"> et al., 2009; Monti &amp; Alexopoulou, 2013)</w:t>
      </w:r>
    </w:p>
    <w:p w14:paraId="42B70525" w14:textId="77777777" w:rsidR="006213BA" w:rsidRPr="00CE68D4" w:rsidRDefault="006213BA" w:rsidP="006213BA">
      <w:pPr>
        <w:spacing w:line="360" w:lineRule="auto"/>
        <w:ind w:firstLine="360"/>
        <w:jc w:val="both"/>
        <w:rPr>
          <w:rFonts w:ascii="Arial" w:hAnsi="Arial" w:cs="Arial"/>
          <w:lang w:eastAsia="en-IN"/>
        </w:rPr>
      </w:pPr>
      <w:proofErr w:type="spellStart"/>
      <w:r w:rsidRPr="00CE68D4">
        <w:rPr>
          <w:rFonts w:ascii="Arial" w:hAnsi="Arial" w:cs="Arial"/>
        </w:rPr>
        <w:t>Mestha</w:t>
      </w:r>
      <w:proofErr w:type="spellEnd"/>
      <w:r w:rsidRPr="00CE68D4">
        <w:rPr>
          <w:rFonts w:ascii="Arial" w:hAnsi="Arial" w:cs="Arial"/>
        </w:rPr>
        <w:t xml:space="preserve"> holds great promise as a versatile ingredient for developing various food and health-related products, including appetizers, food </w:t>
      </w:r>
      <w:proofErr w:type="spellStart"/>
      <w:r w:rsidRPr="00CE68D4">
        <w:rPr>
          <w:rFonts w:ascii="Arial" w:hAnsi="Arial" w:cs="Arial"/>
        </w:rPr>
        <w:t>fortificants</w:t>
      </w:r>
      <w:proofErr w:type="spellEnd"/>
      <w:r w:rsidRPr="00CE68D4">
        <w:rPr>
          <w:rFonts w:ascii="Arial" w:hAnsi="Arial" w:cs="Arial"/>
        </w:rPr>
        <w:t xml:space="preserve">, antioxidants, aphrodisiacs, nutraceuticals, and other functional applications (Alexopoulou et al., 2013; </w:t>
      </w:r>
      <w:proofErr w:type="spellStart"/>
      <w:r w:rsidRPr="00CE68D4">
        <w:rPr>
          <w:rFonts w:ascii="Arial" w:hAnsi="Arial" w:cs="Arial"/>
        </w:rPr>
        <w:t>Khare</w:t>
      </w:r>
      <w:proofErr w:type="spellEnd"/>
      <w:r w:rsidRPr="00CE68D4">
        <w:rPr>
          <w:rFonts w:ascii="Arial" w:hAnsi="Arial" w:cs="Arial"/>
        </w:rPr>
        <w:t xml:space="preserve">, 2007; </w:t>
      </w:r>
      <w:proofErr w:type="spellStart"/>
      <w:r w:rsidRPr="00CE68D4">
        <w:rPr>
          <w:rFonts w:ascii="Arial" w:hAnsi="Arial" w:cs="Arial"/>
        </w:rPr>
        <w:t>Kubmarawa</w:t>
      </w:r>
      <w:proofErr w:type="spellEnd"/>
      <w:r w:rsidRPr="00CE68D4">
        <w:rPr>
          <w:rFonts w:ascii="Arial" w:hAnsi="Arial" w:cs="Arial"/>
        </w:rPr>
        <w:t xml:space="preserve"> et al., 2009). Given its adaptability to diverse climatic conditions and its high nutritional value, the continuous cultivation of crops like </w:t>
      </w:r>
      <w:proofErr w:type="spellStart"/>
      <w:r w:rsidRPr="00CE68D4">
        <w:rPr>
          <w:rFonts w:ascii="Arial" w:hAnsi="Arial" w:cs="Arial"/>
        </w:rPr>
        <w:t>mestha</w:t>
      </w:r>
      <w:proofErr w:type="spellEnd"/>
      <w:r w:rsidRPr="00CE68D4">
        <w:rPr>
          <w:rFonts w:ascii="Arial" w:hAnsi="Arial" w:cs="Arial"/>
        </w:rPr>
        <w:t xml:space="preserve"> is essential on a global scale (Saba et al., 2015). Despite its potential, </w:t>
      </w:r>
      <w:proofErr w:type="spellStart"/>
      <w:r w:rsidRPr="00CE68D4">
        <w:rPr>
          <w:rFonts w:ascii="Arial" w:hAnsi="Arial" w:cs="Arial"/>
        </w:rPr>
        <w:t>mestha</w:t>
      </w:r>
      <w:proofErr w:type="spellEnd"/>
      <w:r w:rsidRPr="00CE68D4">
        <w:rPr>
          <w:rFonts w:ascii="Arial" w:hAnsi="Arial" w:cs="Arial"/>
        </w:rPr>
        <w:t xml:space="preserve"> has long been underutilized and often neglected as a food and feed resource for both humans and animals (</w:t>
      </w:r>
      <w:proofErr w:type="spellStart"/>
      <w:r w:rsidRPr="00CE68D4">
        <w:rPr>
          <w:rFonts w:ascii="Arial" w:hAnsi="Arial" w:cs="Arial"/>
        </w:rPr>
        <w:t>Kujoana</w:t>
      </w:r>
      <w:proofErr w:type="spellEnd"/>
      <w:r w:rsidRPr="00CE68D4">
        <w:rPr>
          <w:rFonts w:ascii="Arial" w:hAnsi="Arial" w:cs="Arial"/>
        </w:rPr>
        <w:t xml:space="preserve"> et al., 2023).</w:t>
      </w:r>
    </w:p>
    <w:p w14:paraId="024D39CE" w14:textId="77777777" w:rsidR="006213BA" w:rsidRPr="00CE68D4" w:rsidRDefault="006213BA" w:rsidP="006213BA">
      <w:pPr>
        <w:spacing w:line="360" w:lineRule="auto"/>
        <w:ind w:firstLine="360"/>
        <w:jc w:val="both"/>
        <w:rPr>
          <w:rFonts w:ascii="Arial" w:hAnsi="Arial" w:cs="Arial"/>
          <w:lang w:eastAsia="en-IN"/>
        </w:rPr>
      </w:pPr>
      <w:r w:rsidRPr="00CE68D4">
        <w:rPr>
          <w:rFonts w:ascii="Arial" w:hAnsi="Arial" w:cs="Arial"/>
        </w:rPr>
        <w:t>Underutilized vegetables represent an important group of food crops that have long been intertwined with the cultural heritage and traditional diets of various communities. In recent years, these crops have gained increasing scientific and commercial attention due to their remarkable nutritional and health-promoting properties. Many underutilized leafy vegetables exhibit superior nutritional profiles, particularly in terms of micronutrient content and phytochemical composition, when compared to conventional vegetables. Their resilience to adverse environmental conditions and ability to thrive under low-input, rain-fed systems make them ideal climate-smart crops for sustainable agricultural development, especially in developing regions. The long-standing perception of these vegetables as “poor man’s food” is steadily changing, driven by growing consumer awareness of their nutritional and functional benefits. Consequently, their production and consumption are expanding, with rising market demand offering better economic returns to farmers. This renewed interest highlights the potential of underutilized vegetables to contribute significantly to food and nutritional security, climate resilience, and sustainable livelihood enhancement.</w:t>
      </w:r>
    </w:p>
    <w:p w14:paraId="67AF53BF" w14:textId="77777777" w:rsidR="006213BA" w:rsidRPr="007040A1" w:rsidRDefault="007040A1" w:rsidP="006213BA">
      <w:pPr>
        <w:spacing w:line="360" w:lineRule="auto"/>
        <w:jc w:val="both"/>
        <w:outlineLvl w:val="3"/>
        <w:rPr>
          <w:rFonts w:ascii="Arial" w:hAnsi="Arial" w:cs="Arial"/>
          <w:b/>
          <w:bCs/>
          <w:sz w:val="22"/>
          <w:lang w:eastAsia="en-IN"/>
        </w:rPr>
      </w:pPr>
      <w:r>
        <w:rPr>
          <w:rFonts w:ascii="Arial" w:hAnsi="Arial" w:cs="Arial"/>
          <w:b/>
          <w:bCs/>
          <w:sz w:val="22"/>
          <w:lang w:eastAsia="en-IN"/>
        </w:rPr>
        <w:t xml:space="preserve">2. </w:t>
      </w:r>
      <w:r w:rsidRPr="007040A1">
        <w:rPr>
          <w:rFonts w:ascii="Arial" w:hAnsi="Arial" w:cs="Arial"/>
          <w:b/>
          <w:bCs/>
          <w:sz w:val="22"/>
          <w:lang w:eastAsia="en-IN"/>
        </w:rPr>
        <w:t>BOTANICAL DESCRIPTION AND CLASSIFICATION</w:t>
      </w:r>
    </w:p>
    <w:p w14:paraId="4C2CC445" w14:textId="77777777" w:rsidR="006213BA" w:rsidRPr="00CE68D4" w:rsidRDefault="006213BA" w:rsidP="006213BA">
      <w:pPr>
        <w:spacing w:line="360" w:lineRule="auto"/>
        <w:jc w:val="both"/>
        <w:rPr>
          <w:rFonts w:ascii="Arial" w:hAnsi="Arial" w:cs="Arial"/>
          <w:lang w:eastAsia="en-IN"/>
        </w:rPr>
      </w:pPr>
      <w:r w:rsidRPr="00CE68D4">
        <w:rPr>
          <w:rStyle w:val="Emphasis"/>
          <w:rFonts w:ascii="Arial" w:hAnsi="Arial" w:cs="Arial"/>
        </w:rPr>
        <w:tab/>
        <w:t xml:space="preserve">Hibiscus </w:t>
      </w:r>
      <w:proofErr w:type="spellStart"/>
      <w:r w:rsidRPr="00CE68D4">
        <w:rPr>
          <w:rStyle w:val="Emphasis"/>
          <w:rFonts w:ascii="Arial" w:hAnsi="Arial" w:cs="Arial"/>
        </w:rPr>
        <w:t>cannabinus</w:t>
      </w:r>
      <w:proofErr w:type="spellEnd"/>
      <w:r w:rsidRPr="00CE68D4">
        <w:rPr>
          <w:rFonts w:ascii="Arial" w:hAnsi="Arial" w:cs="Arial"/>
        </w:rPr>
        <w:t xml:space="preserve"> (</w:t>
      </w:r>
      <w:proofErr w:type="spellStart"/>
      <w:r w:rsidRPr="00CE68D4">
        <w:rPr>
          <w:rFonts w:ascii="Arial" w:hAnsi="Arial" w:cs="Arial"/>
        </w:rPr>
        <w:t>mestha</w:t>
      </w:r>
      <w:proofErr w:type="spellEnd"/>
      <w:r w:rsidRPr="00CE68D4">
        <w:rPr>
          <w:rFonts w:ascii="Arial" w:hAnsi="Arial" w:cs="Arial"/>
        </w:rPr>
        <w:t xml:space="preserve">), belonging to the family </w:t>
      </w:r>
      <w:proofErr w:type="spellStart"/>
      <w:r w:rsidRPr="001C75D2">
        <w:rPr>
          <w:rStyle w:val="Strong"/>
          <w:rFonts w:ascii="Arial" w:hAnsi="Arial" w:cs="Arial"/>
          <w:b w:val="0"/>
        </w:rPr>
        <w:t>Malvaceae</w:t>
      </w:r>
      <w:proofErr w:type="spellEnd"/>
      <w:r w:rsidRPr="001C75D2">
        <w:rPr>
          <w:rFonts w:ascii="Arial" w:hAnsi="Arial" w:cs="Arial"/>
          <w:b/>
        </w:rPr>
        <w:t>,</w:t>
      </w:r>
      <w:r w:rsidRPr="00CE68D4">
        <w:rPr>
          <w:rFonts w:ascii="Arial" w:hAnsi="Arial" w:cs="Arial"/>
        </w:rPr>
        <w:t xml:space="preserve"> is an annual herbaceous plant characterized by its tall growth habit and notable richness in fiber, energy, and feedstock potential (Shika et al., 2023). </w:t>
      </w:r>
      <w:r w:rsidRPr="00CE68D4">
        <w:rPr>
          <w:rFonts w:ascii="Arial" w:hAnsi="Arial" w:cs="Arial"/>
          <w:lang w:eastAsia="en-IN"/>
        </w:rPr>
        <w:t xml:space="preserve">The annual herb </w:t>
      </w:r>
      <w:proofErr w:type="spellStart"/>
      <w:r w:rsidRPr="00CE68D4">
        <w:rPr>
          <w:rFonts w:ascii="Arial" w:hAnsi="Arial" w:cs="Arial"/>
          <w:lang w:eastAsia="en-IN"/>
        </w:rPr>
        <w:t>mestha</w:t>
      </w:r>
      <w:proofErr w:type="spellEnd"/>
      <w:r w:rsidRPr="00CE68D4">
        <w:rPr>
          <w:rFonts w:ascii="Arial" w:hAnsi="Arial" w:cs="Arial"/>
          <w:lang w:eastAsia="en-IN"/>
        </w:rPr>
        <w:t xml:space="preserve"> has a slender, cylindrical shape, thorns wild accessions, and a stem height of 2 to 5 meters. The </w:t>
      </w:r>
      <w:proofErr w:type="spellStart"/>
      <w:r w:rsidRPr="00CE68D4">
        <w:rPr>
          <w:rFonts w:ascii="Arial" w:hAnsi="Arial" w:cs="Arial"/>
          <w:lang w:eastAsia="en-IN"/>
        </w:rPr>
        <w:t>mestha</w:t>
      </w:r>
      <w:proofErr w:type="spellEnd"/>
      <w:r w:rsidRPr="00CE68D4">
        <w:rPr>
          <w:rFonts w:ascii="Arial" w:hAnsi="Arial" w:cs="Arial"/>
          <w:lang w:eastAsia="en-IN"/>
        </w:rPr>
        <w:t xml:space="preserve"> plant has pubescent, alternating, simple leaves that range in length from 5 to 8 mm and have filiform stipules. The plant's petioles range in length from 3 to 30 cm. The </w:t>
      </w:r>
      <w:proofErr w:type="spellStart"/>
      <w:r w:rsidRPr="00CE68D4">
        <w:rPr>
          <w:rFonts w:ascii="Arial" w:hAnsi="Arial" w:cs="Arial"/>
          <w:lang w:eastAsia="en-IN"/>
        </w:rPr>
        <w:t>mestha</w:t>
      </w:r>
      <w:proofErr w:type="spellEnd"/>
      <w:r w:rsidRPr="00CE68D4">
        <w:rPr>
          <w:rFonts w:ascii="Arial" w:hAnsi="Arial" w:cs="Arial"/>
          <w:lang w:eastAsia="en-IN"/>
        </w:rPr>
        <w:t xml:space="preserve"> plant's leaves vary in width from 0.1 to 20 cm and in length from 1 to 19 cm. The bottom portion of the plant has a blade with three to seven lobes, whereas the upper portion is typically not lobed or may resemble bracts close to the tip. The base of the blade is cuneate to cordate with dentate or serrate borders, while the apex is acuminate. The blade's upper surface is glabrous, and near the base of the midrib, there is a prominent nectary that is about 3 mm long. Along the veins, the blade's lower surface is hairy. </w:t>
      </w:r>
      <w:proofErr w:type="spellStart"/>
      <w:r w:rsidRPr="00CE68D4">
        <w:rPr>
          <w:rFonts w:ascii="Arial" w:hAnsi="Arial" w:cs="Arial"/>
          <w:lang w:eastAsia="en-IN"/>
        </w:rPr>
        <w:t>Mestha</w:t>
      </w:r>
      <w:proofErr w:type="spellEnd"/>
      <w:r w:rsidRPr="00CE68D4">
        <w:rPr>
          <w:rFonts w:ascii="Arial" w:hAnsi="Arial" w:cs="Arial"/>
          <w:lang w:eastAsia="en-IN"/>
        </w:rPr>
        <w:t xml:space="preserve"> plants have solitary, axillary flowers with seven to eight bracteoles, a stiff epicalyx, and short pedicels. The bracteoles have a crimson or purple center petal and are large, spreading, yellow or pale yellow. Additionally, it features a superior ovary with five carpels and a staminal column with many stamens. Five stigmatic branches emerge from the style of the </w:t>
      </w:r>
      <w:proofErr w:type="spellStart"/>
      <w:r w:rsidRPr="00CE68D4">
        <w:rPr>
          <w:rFonts w:ascii="Arial" w:hAnsi="Arial" w:cs="Arial"/>
          <w:lang w:eastAsia="en-IN"/>
        </w:rPr>
        <w:t>mestha</w:t>
      </w:r>
      <w:proofErr w:type="spellEnd"/>
      <w:r w:rsidRPr="00CE68D4">
        <w:rPr>
          <w:rFonts w:ascii="Arial" w:hAnsi="Arial" w:cs="Arial"/>
          <w:lang w:eastAsia="en-IN"/>
        </w:rPr>
        <w:t xml:space="preserve"> plant flower after it has passed through the staminal column. Each of the five locules in the fruit capsule contains four to five seeds. Self-pollination is the main characteristic of </w:t>
      </w:r>
      <w:proofErr w:type="spellStart"/>
      <w:r w:rsidRPr="00CE68D4">
        <w:rPr>
          <w:rFonts w:ascii="Arial" w:hAnsi="Arial" w:cs="Arial"/>
          <w:lang w:eastAsia="en-IN"/>
        </w:rPr>
        <w:t>mestha</w:t>
      </w:r>
      <w:proofErr w:type="spellEnd"/>
      <w:r w:rsidRPr="00CE68D4">
        <w:rPr>
          <w:rFonts w:ascii="Arial" w:hAnsi="Arial" w:cs="Arial"/>
          <w:lang w:eastAsia="en-IN"/>
        </w:rPr>
        <w:t xml:space="preserve"> (Islam et al, 2019; </w:t>
      </w:r>
      <w:proofErr w:type="spellStart"/>
      <w:r w:rsidRPr="00CE68D4">
        <w:rPr>
          <w:rFonts w:ascii="Arial" w:hAnsi="Arial" w:cs="Arial"/>
        </w:rPr>
        <w:t>Vayabari</w:t>
      </w:r>
      <w:proofErr w:type="spellEnd"/>
      <w:r w:rsidRPr="00CE68D4">
        <w:rPr>
          <w:rFonts w:ascii="Arial" w:hAnsi="Arial" w:cs="Arial"/>
        </w:rPr>
        <w:t xml:space="preserve"> et al., 2023</w:t>
      </w:r>
      <w:r w:rsidRPr="00CE68D4">
        <w:rPr>
          <w:rFonts w:ascii="Arial" w:hAnsi="Arial" w:cs="Arial"/>
          <w:lang w:eastAsia="en-IN"/>
        </w:rPr>
        <w:t xml:space="preserve">). </w:t>
      </w:r>
    </w:p>
    <w:p w14:paraId="6C725B89" w14:textId="77777777" w:rsidR="006213BA" w:rsidRPr="00CE68D4" w:rsidRDefault="006213BA" w:rsidP="006213BA">
      <w:pPr>
        <w:spacing w:line="360" w:lineRule="auto"/>
        <w:jc w:val="both"/>
        <w:rPr>
          <w:rFonts w:ascii="Arial" w:hAnsi="Arial" w:cs="Arial"/>
        </w:rPr>
      </w:pPr>
      <w:proofErr w:type="spellStart"/>
      <w:r w:rsidRPr="00CE68D4">
        <w:rPr>
          <w:rFonts w:ascii="Arial" w:hAnsi="Arial" w:cs="Arial"/>
          <w:lang w:eastAsia="en-IN"/>
        </w:rPr>
        <w:t>Mestha</w:t>
      </w:r>
      <w:proofErr w:type="spellEnd"/>
      <w:r w:rsidRPr="00CE68D4">
        <w:rPr>
          <w:rFonts w:ascii="Arial" w:hAnsi="Arial" w:cs="Arial"/>
          <w:lang w:eastAsia="en-IN"/>
        </w:rPr>
        <w:t xml:space="preserve"> seeds come in a variety of forms, including kidney, sub-kidney, and triangle. It takes four to five weeks for </w:t>
      </w:r>
      <w:proofErr w:type="spellStart"/>
      <w:r w:rsidRPr="00CE68D4">
        <w:rPr>
          <w:rFonts w:ascii="Arial" w:hAnsi="Arial" w:cs="Arial"/>
          <w:lang w:eastAsia="en-IN"/>
        </w:rPr>
        <w:t>mestha</w:t>
      </w:r>
      <w:proofErr w:type="spellEnd"/>
      <w:r w:rsidRPr="00CE68D4">
        <w:rPr>
          <w:rFonts w:ascii="Arial" w:hAnsi="Arial" w:cs="Arial"/>
          <w:lang w:eastAsia="en-IN"/>
        </w:rPr>
        <w:t xml:space="preserve"> seeds to reach maturity. Serrated edges can be seen on the stem and branches of simple </w:t>
      </w:r>
      <w:proofErr w:type="spellStart"/>
      <w:r w:rsidRPr="00CE68D4">
        <w:rPr>
          <w:rFonts w:ascii="Arial" w:hAnsi="Arial" w:cs="Arial"/>
          <w:lang w:eastAsia="en-IN"/>
        </w:rPr>
        <w:t>mestha</w:t>
      </w:r>
      <w:proofErr w:type="spellEnd"/>
      <w:r w:rsidRPr="00CE68D4">
        <w:rPr>
          <w:rFonts w:ascii="Arial" w:hAnsi="Arial" w:cs="Arial"/>
          <w:lang w:eastAsia="en-IN"/>
        </w:rPr>
        <w:t xml:space="preserve"> leaves. As the </w:t>
      </w:r>
      <w:proofErr w:type="spellStart"/>
      <w:r w:rsidRPr="00CE68D4">
        <w:rPr>
          <w:rFonts w:ascii="Arial" w:hAnsi="Arial" w:cs="Arial"/>
          <w:lang w:eastAsia="en-IN"/>
        </w:rPr>
        <w:t>mestha</w:t>
      </w:r>
      <w:proofErr w:type="spellEnd"/>
      <w:r w:rsidRPr="00CE68D4">
        <w:rPr>
          <w:rFonts w:ascii="Arial" w:hAnsi="Arial" w:cs="Arial"/>
          <w:lang w:eastAsia="en-IN"/>
        </w:rPr>
        <w:t xml:space="preserve"> plant ages, its leaves begin to take on the cultivar-specific leaf morphology (whole or split). </w:t>
      </w:r>
      <w:r w:rsidRPr="00CE68D4">
        <w:rPr>
          <w:rStyle w:val="Emphasis"/>
          <w:rFonts w:ascii="Arial" w:hAnsi="Arial" w:cs="Arial"/>
        </w:rPr>
        <w:t xml:space="preserve">Hibiscus </w:t>
      </w:r>
      <w:proofErr w:type="spellStart"/>
      <w:r w:rsidRPr="00CE68D4">
        <w:rPr>
          <w:rStyle w:val="Emphasis"/>
          <w:rFonts w:ascii="Arial" w:hAnsi="Arial" w:cs="Arial"/>
        </w:rPr>
        <w:t>cannabinus</w:t>
      </w:r>
      <w:proofErr w:type="spellEnd"/>
      <w:r w:rsidRPr="00CE68D4">
        <w:rPr>
          <w:rFonts w:ascii="Arial" w:hAnsi="Arial" w:cs="Arial"/>
        </w:rPr>
        <w:t xml:space="preserve"> (</w:t>
      </w:r>
      <w:proofErr w:type="spellStart"/>
      <w:r w:rsidRPr="00CE68D4">
        <w:rPr>
          <w:rFonts w:ascii="Arial" w:hAnsi="Arial" w:cs="Arial"/>
        </w:rPr>
        <w:t>mestha</w:t>
      </w:r>
      <w:proofErr w:type="spellEnd"/>
      <w:r w:rsidRPr="00CE68D4">
        <w:rPr>
          <w:rFonts w:ascii="Arial" w:hAnsi="Arial" w:cs="Arial"/>
        </w:rPr>
        <w:t xml:space="preserve">) and </w:t>
      </w:r>
      <w:r w:rsidRPr="00CE68D4">
        <w:rPr>
          <w:rStyle w:val="Emphasis"/>
          <w:rFonts w:ascii="Arial" w:hAnsi="Arial" w:cs="Arial"/>
        </w:rPr>
        <w:t>Hibiscus sabdariffa</w:t>
      </w:r>
      <w:r w:rsidRPr="00CE68D4">
        <w:rPr>
          <w:rFonts w:ascii="Arial" w:hAnsi="Arial" w:cs="Arial"/>
        </w:rPr>
        <w:t xml:space="preserve"> (roselle) are two closely related species of the family </w:t>
      </w:r>
      <w:proofErr w:type="spellStart"/>
      <w:r w:rsidRPr="001C75D2">
        <w:rPr>
          <w:rStyle w:val="Strong"/>
          <w:rFonts w:ascii="Arial" w:hAnsi="Arial" w:cs="Arial"/>
          <w:b w:val="0"/>
        </w:rPr>
        <w:t>Malvaceae</w:t>
      </w:r>
      <w:proofErr w:type="spellEnd"/>
      <w:r w:rsidRPr="001C75D2">
        <w:rPr>
          <w:rFonts w:ascii="Arial" w:hAnsi="Arial" w:cs="Arial"/>
          <w:b/>
        </w:rPr>
        <w:t>,</w:t>
      </w:r>
      <w:r w:rsidRPr="00CE68D4">
        <w:rPr>
          <w:rFonts w:ascii="Arial" w:hAnsi="Arial" w:cs="Arial"/>
        </w:rPr>
        <w:t xml:space="preserve"> differing in their morphology, fiber characteristics, and uses. </w:t>
      </w:r>
      <w:proofErr w:type="spellStart"/>
      <w:r w:rsidRPr="00CE68D4">
        <w:rPr>
          <w:rFonts w:ascii="Arial" w:hAnsi="Arial" w:cs="Arial"/>
        </w:rPr>
        <w:t>Mestha</w:t>
      </w:r>
      <w:proofErr w:type="spellEnd"/>
      <w:r w:rsidRPr="00CE68D4">
        <w:rPr>
          <w:rFonts w:ascii="Arial" w:hAnsi="Arial" w:cs="Arial"/>
        </w:rPr>
        <w:t xml:space="preserve"> is an annual herbaceous plant primarily cultivated for its high fiber yield, producing three fiber types- </w:t>
      </w:r>
      <w:r w:rsidRPr="00CE68D4">
        <w:rPr>
          <w:rFonts w:ascii="Arial" w:hAnsi="Arial" w:cs="Arial"/>
          <w:i/>
        </w:rPr>
        <w:t xml:space="preserve">viz., </w:t>
      </w:r>
      <w:r w:rsidRPr="00CE68D4">
        <w:rPr>
          <w:rFonts w:ascii="Arial" w:hAnsi="Arial" w:cs="Arial"/>
        </w:rPr>
        <w:t xml:space="preserve">bast, core, and pith while roselle is grown mainly for its fleshy red calyces used in food and </w:t>
      </w:r>
      <w:r w:rsidRPr="00CE68D4">
        <w:rPr>
          <w:rFonts w:ascii="Arial" w:hAnsi="Arial" w:cs="Arial"/>
        </w:rPr>
        <w:lastRenderedPageBreak/>
        <w:t xml:space="preserve">beverages. </w:t>
      </w:r>
      <w:proofErr w:type="spellStart"/>
      <w:r w:rsidRPr="00CE68D4">
        <w:rPr>
          <w:rFonts w:ascii="Arial" w:hAnsi="Arial" w:cs="Arial"/>
        </w:rPr>
        <w:t>Mestha</w:t>
      </w:r>
      <w:proofErr w:type="spellEnd"/>
      <w:r w:rsidRPr="00CE68D4">
        <w:rPr>
          <w:rFonts w:ascii="Arial" w:hAnsi="Arial" w:cs="Arial"/>
        </w:rPr>
        <w:t xml:space="preserve"> leaves occur in both entire and divided forms, whereas roselle leaves are alternate, serrated, and typically 3–5 lobed with reddish veins. The stems of </w:t>
      </w:r>
      <w:proofErr w:type="spellStart"/>
      <w:r w:rsidRPr="00CE68D4">
        <w:rPr>
          <w:rFonts w:ascii="Arial" w:hAnsi="Arial" w:cs="Arial"/>
        </w:rPr>
        <w:t>mestha</w:t>
      </w:r>
      <w:proofErr w:type="spellEnd"/>
      <w:r w:rsidRPr="00CE68D4">
        <w:rPr>
          <w:rFonts w:ascii="Arial" w:hAnsi="Arial" w:cs="Arial"/>
        </w:rPr>
        <w:t xml:space="preserve"> are green and fibrous, while roselle stems are woody, cylindrical, and often red to purple. </w:t>
      </w:r>
      <w:proofErr w:type="spellStart"/>
      <w:r w:rsidRPr="00CE68D4">
        <w:rPr>
          <w:rFonts w:ascii="Arial" w:hAnsi="Arial" w:cs="Arial"/>
        </w:rPr>
        <w:t>Mestha</w:t>
      </w:r>
      <w:proofErr w:type="spellEnd"/>
      <w:r w:rsidRPr="00CE68D4">
        <w:rPr>
          <w:rFonts w:ascii="Arial" w:hAnsi="Arial" w:cs="Arial"/>
        </w:rPr>
        <w:t xml:space="preserve"> flowers are large, bell-shaped, and creamy-yellow with a dark red center, while roselle flowers are buff-yellow with a maroon eye that turns pink before withering. Both species bear capsule-type fruits, but </w:t>
      </w:r>
      <w:proofErr w:type="spellStart"/>
      <w:r w:rsidRPr="00CE68D4">
        <w:rPr>
          <w:rFonts w:ascii="Arial" w:hAnsi="Arial" w:cs="Arial"/>
        </w:rPr>
        <w:t>mestha</w:t>
      </w:r>
      <w:proofErr w:type="spellEnd"/>
      <w:r w:rsidRPr="00CE68D4">
        <w:rPr>
          <w:rFonts w:ascii="Arial" w:hAnsi="Arial" w:cs="Arial"/>
        </w:rPr>
        <w:t xml:space="preserve"> capsules are hairy and many-seeded, whereas roselle capsules are velvety, turning brown and dehiscent when mature. Seeds of </w:t>
      </w:r>
      <w:proofErr w:type="spellStart"/>
      <w:r w:rsidRPr="00CE68D4">
        <w:rPr>
          <w:rFonts w:ascii="Arial" w:hAnsi="Arial" w:cs="Arial"/>
        </w:rPr>
        <w:t>mestha</w:t>
      </w:r>
      <w:proofErr w:type="spellEnd"/>
      <w:r w:rsidRPr="00CE68D4">
        <w:rPr>
          <w:rFonts w:ascii="Arial" w:hAnsi="Arial" w:cs="Arial"/>
        </w:rPr>
        <w:t xml:space="preserve"> are smooth and wedge-shaped, while those of roselle are wrinkled and kidney-shaped. Both species have deep taproot systems with lateral roots aiding in moisture absorption. Traditionally, </w:t>
      </w:r>
      <w:proofErr w:type="spellStart"/>
      <w:r w:rsidRPr="00CE68D4">
        <w:rPr>
          <w:rFonts w:ascii="Arial" w:hAnsi="Arial" w:cs="Arial"/>
        </w:rPr>
        <w:t>mestha</w:t>
      </w:r>
      <w:proofErr w:type="spellEnd"/>
      <w:r w:rsidRPr="00CE68D4">
        <w:rPr>
          <w:rFonts w:ascii="Arial" w:hAnsi="Arial" w:cs="Arial"/>
        </w:rPr>
        <w:t xml:space="preserve"> is valued for its fiber and medicinal uses treating ailments like coughs, fever, and stomach disorders while roselle is prized for its edible calyces, rich in organic acids and antioxidants, commonly used in herbal drinks, jams, and traditional medicine (Vasavi et al., 2019).</w:t>
      </w:r>
    </w:p>
    <w:p w14:paraId="7A2E9A1E" w14:textId="77777777" w:rsidR="006213BA" w:rsidRPr="001C75D2" w:rsidRDefault="007040A1" w:rsidP="006213BA">
      <w:pPr>
        <w:spacing w:line="360" w:lineRule="auto"/>
        <w:jc w:val="both"/>
        <w:rPr>
          <w:rFonts w:ascii="Arial" w:hAnsi="Arial" w:cs="Arial"/>
          <w:b/>
          <w:bCs/>
          <w:sz w:val="22"/>
          <w:lang w:eastAsia="en-IN"/>
        </w:rPr>
      </w:pPr>
      <w:r>
        <w:rPr>
          <w:rFonts w:ascii="Arial" w:hAnsi="Arial" w:cs="Arial"/>
          <w:b/>
          <w:bCs/>
          <w:sz w:val="22"/>
          <w:lang w:eastAsia="en-IN"/>
        </w:rPr>
        <w:t xml:space="preserve">3. </w:t>
      </w:r>
      <w:r w:rsidRPr="001C75D2">
        <w:rPr>
          <w:rFonts w:ascii="Arial" w:hAnsi="Arial" w:cs="Arial"/>
          <w:b/>
          <w:bCs/>
          <w:sz w:val="22"/>
          <w:lang w:eastAsia="en-IN"/>
        </w:rPr>
        <w:t>AGRONOMIC ASPECTS</w:t>
      </w:r>
    </w:p>
    <w:p w14:paraId="68DB5AC5" w14:textId="77777777" w:rsidR="006213BA" w:rsidRPr="00CE68D4" w:rsidRDefault="006213BA" w:rsidP="006213BA">
      <w:pPr>
        <w:spacing w:line="360" w:lineRule="auto"/>
        <w:jc w:val="both"/>
        <w:rPr>
          <w:rFonts w:ascii="Arial" w:hAnsi="Arial" w:cs="Arial"/>
          <w:lang w:eastAsia="en-IN"/>
        </w:rPr>
      </w:pPr>
      <w:r w:rsidRPr="00CE68D4">
        <w:rPr>
          <w:rFonts w:ascii="Arial" w:hAnsi="Arial" w:cs="Arial"/>
          <w:lang w:eastAsia="en-IN"/>
        </w:rPr>
        <w:tab/>
        <w:t xml:space="preserve">Short days promote </w:t>
      </w:r>
      <w:proofErr w:type="spellStart"/>
      <w:r w:rsidRPr="00CE68D4">
        <w:rPr>
          <w:rFonts w:ascii="Arial" w:hAnsi="Arial" w:cs="Arial"/>
          <w:lang w:eastAsia="en-IN"/>
        </w:rPr>
        <w:t>mestha</w:t>
      </w:r>
      <w:proofErr w:type="spellEnd"/>
      <w:r w:rsidRPr="00CE68D4">
        <w:rPr>
          <w:rFonts w:ascii="Arial" w:hAnsi="Arial" w:cs="Arial"/>
          <w:lang w:eastAsia="en-IN"/>
        </w:rPr>
        <w:t xml:space="preserve"> growth, and the plant thrives in temperate and tropical regions with plenty of sunshine and precipitation (Afzal et al., 2020). Because of its ability to grow quickly, </w:t>
      </w:r>
      <w:proofErr w:type="spellStart"/>
      <w:r w:rsidRPr="00CE68D4">
        <w:rPr>
          <w:rFonts w:ascii="Arial" w:hAnsi="Arial" w:cs="Arial"/>
          <w:lang w:eastAsia="en-IN"/>
        </w:rPr>
        <w:t>mestha</w:t>
      </w:r>
      <w:proofErr w:type="spellEnd"/>
      <w:r w:rsidRPr="00CE68D4">
        <w:rPr>
          <w:rFonts w:ascii="Arial" w:hAnsi="Arial" w:cs="Arial"/>
          <w:lang w:eastAsia="en-IN"/>
        </w:rPr>
        <w:t xml:space="preserve"> can grow up to 6 meters tall and have a stem diameter of 25 to 51 mm in around 5 months. As a summer crop, </w:t>
      </w:r>
      <w:proofErr w:type="spellStart"/>
      <w:r w:rsidRPr="00CE68D4">
        <w:rPr>
          <w:rFonts w:ascii="Arial" w:hAnsi="Arial" w:cs="Arial"/>
          <w:lang w:eastAsia="en-IN"/>
        </w:rPr>
        <w:t>mestha</w:t>
      </w:r>
      <w:proofErr w:type="spellEnd"/>
      <w:r w:rsidRPr="00CE68D4">
        <w:rPr>
          <w:rFonts w:ascii="Arial" w:hAnsi="Arial" w:cs="Arial"/>
          <w:lang w:eastAsia="en-IN"/>
        </w:rPr>
        <w:t xml:space="preserve"> is typically planted in the spring and harvested in the early fall. In tropical regions, </w:t>
      </w:r>
      <w:proofErr w:type="spellStart"/>
      <w:r w:rsidRPr="00CE68D4">
        <w:rPr>
          <w:rFonts w:ascii="Arial" w:hAnsi="Arial" w:cs="Arial"/>
          <w:lang w:eastAsia="en-IN"/>
        </w:rPr>
        <w:t>mestha</w:t>
      </w:r>
      <w:proofErr w:type="spellEnd"/>
      <w:r w:rsidRPr="00CE68D4">
        <w:rPr>
          <w:rFonts w:ascii="Arial" w:hAnsi="Arial" w:cs="Arial"/>
          <w:lang w:eastAsia="en-IN"/>
        </w:rPr>
        <w:t xml:space="preserve"> can be harvested three to four months after seeding due to its rapid growth (Adebisi et al., 2014). When seeds are maintained at room temperature and humidity, they can last for around eight months </w:t>
      </w:r>
      <w:r w:rsidRPr="00CE68D4">
        <w:rPr>
          <w:rFonts w:ascii="Arial" w:hAnsi="Arial" w:cs="Arial"/>
        </w:rPr>
        <w:t>(</w:t>
      </w:r>
      <w:proofErr w:type="spellStart"/>
      <w:r w:rsidRPr="00CE68D4">
        <w:rPr>
          <w:rFonts w:ascii="Arial" w:hAnsi="Arial" w:cs="Arial"/>
        </w:rPr>
        <w:t>Rekaya</w:t>
      </w:r>
      <w:proofErr w:type="spellEnd"/>
      <w:r w:rsidRPr="00CE68D4">
        <w:rPr>
          <w:rFonts w:ascii="Arial" w:hAnsi="Arial" w:cs="Arial"/>
        </w:rPr>
        <w:t xml:space="preserve"> et al., 2016, </w:t>
      </w:r>
      <w:proofErr w:type="spellStart"/>
      <w:r w:rsidRPr="00CE68D4">
        <w:rPr>
          <w:rFonts w:ascii="Arial" w:hAnsi="Arial" w:cs="Arial"/>
        </w:rPr>
        <w:t>Vayabari</w:t>
      </w:r>
      <w:proofErr w:type="spellEnd"/>
      <w:r w:rsidRPr="00CE68D4">
        <w:rPr>
          <w:rFonts w:ascii="Arial" w:hAnsi="Arial" w:cs="Arial"/>
        </w:rPr>
        <w:t xml:space="preserve"> et al., 2023)</w:t>
      </w:r>
      <w:r w:rsidRPr="00CE68D4">
        <w:rPr>
          <w:rFonts w:ascii="Arial" w:hAnsi="Arial" w:cs="Arial"/>
          <w:lang w:eastAsia="en-IN"/>
        </w:rPr>
        <w:t xml:space="preserve">. </w:t>
      </w:r>
    </w:p>
    <w:p w14:paraId="42362ABB" w14:textId="77777777" w:rsidR="006213BA" w:rsidRPr="00CE68D4" w:rsidRDefault="006213BA" w:rsidP="006213BA">
      <w:pPr>
        <w:spacing w:line="360" w:lineRule="auto"/>
        <w:jc w:val="both"/>
        <w:rPr>
          <w:rFonts w:ascii="Arial" w:hAnsi="Arial" w:cs="Arial"/>
          <w:lang w:eastAsia="en-IN"/>
        </w:rPr>
      </w:pPr>
      <w:r w:rsidRPr="00CE68D4">
        <w:rPr>
          <w:rFonts w:ascii="Arial" w:hAnsi="Arial" w:cs="Arial"/>
        </w:rPr>
        <w:tab/>
        <w:t xml:space="preserve">Sunlight, temperature, moisture, air, and nutrients are essential for normal plant growth. According to (Mohammed et al., 2017), factors such as cultivar, photosynthesis, sowing date, plant density, growing period, and maturity influence </w:t>
      </w:r>
      <w:proofErr w:type="spellStart"/>
      <w:r w:rsidRPr="00CE68D4">
        <w:rPr>
          <w:rFonts w:ascii="Arial" w:hAnsi="Arial" w:cs="Arial"/>
        </w:rPr>
        <w:t>mestha</w:t>
      </w:r>
      <w:proofErr w:type="spellEnd"/>
      <w:r w:rsidRPr="00CE68D4">
        <w:rPr>
          <w:rFonts w:ascii="Arial" w:hAnsi="Arial" w:cs="Arial"/>
        </w:rPr>
        <w:t xml:space="preserve"> growth. Compared to other fiber crops, </w:t>
      </w:r>
      <w:proofErr w:type="spellStart"/>
      <w:r w:rsidRPr="00CE68D4">
        <w:rPr>
          <w:rFonts w:ascii="Arial" w:hAnsi="Arial" w:cs="Arial"/>
        </w:rPr>
        <w:t>mestha</w:t>
      </w:r>
      <w:proofErr w:type="spellEnd"/>
      <w:r w:rsidRPr="00CE68D4">
        <w:rPr>
          <w:rFonts w:ascii="Arial" w:hAnsi="Arial" w:cs="Arial"/>
        </w:rPr>
        <w:t xml:space="preserve"> shows greater adaptability to diverse soils and climates, thriving in both temperate and tropical regions with high rainfall and sunlight. Its deep and spreading root system enables good response to soil moisture variations. While </w:t>
      </w:r>
      <w:proofErr w:type="spellStart"/>
      <w:r w:rsidRPr="00CE68D4">
        <w:rPr>
          <w:rFonts w:ascii="Arial" w:hAnsi="Arial" w:cs="Arial"/>
        </w:rPr>
        <w:t>mestha</w:t>
      </w:r>
      <w:proofErr w:type="spellEnd"/>
      <w:r w:rsidRPr="00CE68D4">
        <w:rPr>
          <w:rFonts w:ascii="Arial" w:hAnsi="Arial" w:cs="Arial"/>
        </w:rPr>
        <w:t xml:space="preserve"> favors warm and moist conditions and can tolerate some salinity and drought, excessive water especially during the seedling stage can hinder growth. Although it is water-intensive, the crop adjusts its transpiration and stomatal conductance according to water availability (</w:t>
      </w:r>
      <w:proofErr w:type="spellStart"/>
      <w:r w:rsidRPr="00CE68D4">
        <w:rPr>
          <w:rFonts w:ascii="Arial" w:hAnsi="Arial" w:cs="Arial"/>
        </w:rPr>
        <w:t>Rekaya</w:t>
      </w:r>
      <w:proofErr w:type="spellEnd"/>
      <w:r w:rsidRPr="00CE68D4">
        <w:rPr>
          <w:rFonts w:ascii="Arial" w:hAnsi="Arial" w:cs="Arial"/>
        </w:rPr>
        <w:t xml:space="preserve"> et al., 2016; </w:t>
      </w:r>
      <w:proofErr w:type="spellStart"/>
      <w:r w:rsidRPr="00CE68D4">
        <w:rPr>
          <w:rFonts w:ascii="Arial" w:hAnsi="Arial" w:cs="Arial"/>
        </w:rPr>
        <w:t>Vayabari</w:t>
      </w:r>
      <w:proofErr w:type="spellEnd"/>
      <w:r w:rsidRPr="00CE68D4">
        <w:rPr>
          <w:rFonts w:ascii="Arial" w:hAnsi="Arial" w:cs="Arial"/>
        </w:rPr>
        <w:t xml:space="preserve"> et al., 2023; </w:t>
      </w:r>
      <w:proofErr w:type="spellStart"/>
      <w:r w:rsidRPr="00CE68D4">
        <w:rPr>
          <w:rFonts w:ascii="Arial" w:hAnsi="Arial" w:cs="Arial"/>
          <w:color w:val="000000" w:themeColor="text1"/>
          <w:shd w:val="clear" w:color="auto" w:fill="FFFFFF"/>
        </w:rPr>
        <w:t>Danalatos</w:t>
      </w:r>
      <w:proofErr w:type="spellEnd"/>
      <w:r w:rsidRPr="00CE68D4">
        <w:rPr>
          <w:rFonts w:ascii="Arial" w:hAnsi="Arial" w:cs="Arial"/>
          <w:color w:val="000000" w:themeColor="text1"/>
          <w:shd w:val="clear" w:color="auto" w:fill="FFFFFF"/>
        </w:rPr>
        <w:t xml:space="preserve"> and </w:t>
      </w:r>
      <w:proofErr w:type="spellStart"/>
      <w:r w:rsidRPr="00CE68D4">
        <w:rPr>
          <w:rFonts w:ascii="Arial" w:hAnsi="Arial" w:cs="Arial"/>
          <w:color w:val="000000" w:themeColor="text1"/>
          <w:shd w:val="clear" w:color="auto" w:fill="FFFFFF"/>
        </w:rPr>
        <w:t>Archontoulis</w:t>
      </w:r>
      <w:proofErr w:type="spellEnd"/>
      <w:r w:rsidRPr="00CE68D4">
        <w:rPr>
          <w:rFonts w:ascii="Arial" w:hAnsi="Arial" w:cs="Arial"/>
          <w:color w:val="000000" w:themeColor="text1"/>
          <w:shd w:val="clear" w:color="auto" w:fill="FFFFFF"/>
        </w:rPr>
        <w:t>, 2010</w:t>
      </w:r>
      <w:r w:rsidRPr="00CE68D4">
        <w:rPr>
          <w:rFonts w:ascii="Arial" w:hAnsi="Arial" w:cs="Arial"/>
        </w:rPr>
        <w:t>).</w:t>
      </w:r>
      <w:r w:rsidRPr="00CE68D4">
        <w:rPr>
          <w:rFonts w:ascii="Arial" w:hAnsi="Arial" w:cs="Arial"/>
          <w:lang w:eastAsia="en-IN"/>
        </w:rPr>
        <w:t xml:space="preserve"> </w:t>
      </w:r>
      <w:r w:rsidRPr="00CE68D4">
        <w:rPr>
          <w:rFonts w:ascii="Arial" w:hAnsi="Arial" w:cs="Arial"/>
        </w:rPr>
        <w:t xml:space="preserve">Climate and soil properties influence a crop’s nutrient requirements, and </w:t>
      </w:r>
      <w:proofErr w:type="spellStart"/>
      <w:r w:rsidRPr="00CE68D4">
        <w:rPr>
          <w:rFonts w:ascii="Arial" w:hAnsi="Arial" w:cs="Arial"/>
        </w:rPr>
        <w:t>mestha</w:t>
      </w:r>
      <w:proofErr w:type="spellEnd"/>
      <w:r w:rsidRPr="00CE68D4">
        <w:rPr>
          <w:rFonts w:ascii="Arial" w:hAnsi="Arial" w:cs="Arial"/>
        </w:rPr>
        <w:t xml:space="preserve"> is considered nutrient-demanding. Studies on macronutrient intake show that nitrogen (N) alone has little effect on plant growth, biomass, or leaf production. However, applying nitrogen and phosphorus (N and P) together at 100 N and 200 P kg/ha significantly enhances growth and yield. In Malaysia, recommended rates are 80–100 kg N/ha, 150–200 kg P/ha, and 100 kg K/ha (Mohd et al. 2014). While N alone has minimal impact on fiber yield and quality, combined N and P application produces modest improvements. Differences in soil characteristics across regions also influence </w:t>
      </w:r>
      <w:proofErr w:type="spellStart"/>
      <w:r w:rsidRPr="00CE68D4">
        <w:rPr>
          <w:rFonts w:ascii="Arial" w:hAnsi="Arial" w:cs="Arial"/>
        </w:rPr>
        <w:t>mestha’s</w:t>
      </w:r>
      <w:proofErr w:type="spellEnd"/>
      <w:r w:rsidRPr="00CE68D4">
        <w:rPr>
          <w:rFonts w:ascii="Arial" w:hAnsi="Arial" w:cs="Arial"/>
        </w:rPr>
        <w:t xml:space="preserve"> nutrient requirements (</w:t>
      </w:r>
      <w:proofErr w:type="spellStart"/>
      <w:r w:rsidRPr="00CE68D4">
        <w:rPr>
          <w:rFonts w:ascii="Arial" w:hAnsi="Arial" w:cs="Arial"/>
        </w:rPr>
        <w:t>Rekaya</w:t>
      </w:r>
      <w:proofErr w:type="spellEnd"/>
      <w:r w:rsidRPr="00CE68D4">
        <w:rPr>
          <w:rFonts w:ascii="Arial" w:hAnsi="Arial" w:cs="Arial"/>
        </w:rPr>
        <w:t xml:space="preserve"> et al., 2016, </w:t>
      </w:r>
      <w:proofErr w:type="spellStart"/>
      <w:r w:rsidRPr="00CE68D4">
        <w:rPr>
          <w:rFonts w:ascii="Arial" w:hAnsi="Arial" w:cs="Arial"/>
        </w:rPr>
        <w:t>Vayabari</w:t>
      </w:r>
      <w:proofErr w:type="spellEnd"/>
      <w:r w:rsidRPr="00CE68D4">
        <w:rPr>
          <w:rFonts w:ascii="Arial" w:hAnsi="Arial" w:cs="Arial"/>
        </w:rPr>
        <w:t xml:space="preserve"> et al., 2023).</w:t>
      </w:r>
    </w:p>
    <w:p w14:paraId="331228BE" w14:textId="77777777" w:rsidR="006213BA" w:rsidRPr="001C75D2" w:rsidRDefault="007040A1" w:rsidP="006213BA">
      <w:pPr>
        <w:spacing w:line="360" w:lineRule="auto"/>
        <w:jc w:val="both"/>
        <w:outlineLvl w:val="3"/>
        <w:rPr>
          <w:rFonts w:ascii="Arial" w:hAnsi="Arial" w:cs="Arial"/>
          <w:b/>
          <w:bCs/>
          <w:sz w:val="22"/>
          <w:lang w:eastAsia="en-IN"/>
        </w:rPr>
      </w:pPr>
      <w:r>
        <w:rPr>
          <w:rFonts w:ascii="Arial" w:hAnsi="Arial" w:cs="Arial"/>
          <w:b/>
          <w:bCs/>
          <w:sz w:val="22"/>
          <w:lang w:eastAsia="en-IN"/>
        </w:rPr>
        <w:t xml:space="preserve">4. </w:t>
      </w:r>
      <w:r w:rsidRPr="001C75D2">
        <w:rPr>
          <w:rFonts w:ascii="Arial" w:hAnsi="Arial" w:cs="Arial"/>
          <w:b/>
          <w:bCs/>
          <w:sz w:val="22"/>
          <w:lang w:eastAsia="en-IN"/>
        </w:rPr>
        <w:t>NUTRITIONAL COMPOSITION</w:t>
      </w:r>
    </w:p>
    <w:p w14:paraId="5AB1CE93" w14:textId="77777777" w:rsidR="006213BA" w:rsidRPr="00CE68D4" w:rsidRDefault="006213BA" w:rsidP="006213BA">
      <w:pPr>
        <w:spacing w:line="360" w:lineRule="auto"/>
        <w:jc w:val="both"/>
        <w:outlineLvl w:val="3"/>
        <w:rPr>
          <w:rFonts w:ascii="Arial" w:hAnsi="Arial" w:cs="Arial"/>
          <w:b/>
          <w:bCs/>
          <w:lang w:eastAsia="en-IN"/>
        </w:rPr>
      </w:pPr>
      <w:r w:rsidRPr="00CE68D4">
        <w:rPr>
          <w:rFonts w:ascii="Arial" w:hAnsi="Arial" w:cs="Arial"/>
          <w:b/>
          <w:bCs/>
          <w:lang w:eastAsia="en-IN"/>
        </w:rPr>
        <w:tab/>
      </w:r>
      <w:r w:rsidRPr="00CE68D4">
        <w:rPr>
          <w:rFonts w:ascii="Arial" w:hAnsi="Arial" w:cs="Arial"/>
        </w:rPr>
        <w:t xml:space="preserve">In certain parts of the world, </w:t>
      </w:r>
      <w:proofErr w:type="spellStart"/>
      <w:r w:rsidRPr="00CE68D4">
        <w:rPr>
          <w:rFonts w:ascii="Arial" w:hAnsi="Arial" w:cs="Arial"/>
        </w:rPr>
        <w:t>mestha</w:t>
      </w:r>
      <w:proofErr w:type="spellEnd"/>
      <w:r w:rsidRPr="00CE68D4">
        <w:rPr>
          <w:rFonts w:ascii="Arial" w:hAnsi="Arial" w:cs="Arial"/>
        </w:rPr>
        <w:t xml:space="preserve"> leaves are consumed as a vegetable and are known to exhibit erythrocyte-protective effects against drug-induced oxidative stress (</w:t>
      </w:r>
      <w:proofErr w:type="spellStart"/>
      <w:r w:rsidRPr="00CE68D4">
        <w:rPr>
          <w:rFonts w:ascii="Arial" w:hAnsi="Arial" w:cs="Arial"/>
        </w:rPr>
        <w:t>Alnadif</w:t>
      </w:r>
      <w:proofErr w:type="spellEnd"/>
      <w:r w:rsidRPr="00CE68D4">
        <w:rPr>
          <w:rFonts w:ascii="Arial" w:hAnsi="Arial" w:cs="Arial"/>
        </w:rPr>
        <w:t xml:space="preserve"> et al., 2017). Quispe et al. (2012) and Chong and Nyam (2021) reported that incorporating dried </w:t>
      </w:r>
      <w:proofErr w:type="spellStart"/>
      <w:r w:rsidRPr="00CE68D4">
        <w:rPr>
          <w:rFonts w:ascii="Arial" w:hAnsi="Arial" w:cs="Arial"/>
        </w:rPr>
        <w:t>mestha</w:t>
      </w:r>
      <w:proofErr w:type="spellEnd"/>
      <w:r w:rsidRPr="00CE68D4">
        <w:rPr>
          <w:rFonts w:ascii="Arial" w:hAnsi="Arial" w:cs="Arial"/>
        </w:rPr>
        <w:t xml:space="preserve"> leaf powder into various food products enhanced calcium and fiber content without altering the flavor. The growing popularity of tea consumption worldwide is attributed to its strong antioxidant properties and associated health benefits. According to Dian-</w:t>
      </w:r>
      <w:proofErr w:type="spellStart"/>
      <w:r w:rsidRPr="00CE68D4">
        <w:rPr>
          <w:rFonts w:ascii="Arial" w:hAnsi="Arial" w:cs="Arial"/>
        </w:rPr>
        <w:t>Nashiela</w:t>
      </w:r>
      <w:proofErr w:type="spellEnd"/>
      <w:r w:rsidRPr="00CE68D4">
        <w:rPr>
          <w:rFonts w:ascii="Arial" w:hAnsi="Arial" w:cs="Arial"/>
        </w:rPr>
        <w:t xml:space="preserve"> et al. (2015), tea has become a prominent product in the health care sector due to its ease of preparation, convenience, and affordability. Sim and Nyam (2019) demonstrated that </w:t>
      </w:r>
      <w:proofErr w:type="spellStart"/>
      <w:r w:rsidRPr="00CE68D4">
        <w:rPr>
          <w:rFonts w:ascii="Arial" w:hAnsi="Arial" w:cs="Arial"/>
        </w:rPr>
        <w:t>mestha</w:t>
      </w:r>
      <w:proofErr w:type="spellEnd"/>
      <w:r w:rsidRPr="00CE68D4">
        <w:rPr>
          <w:rFonts w:ascii="Arial" w:hAnsi="Arial" w:cs="Arial"/>
        </w:rPr>
        <w:t xml:space="preserve"> leaf extract could serve as a potential natural source of antioxidants, antibacterial, and anti-tyrosinase agents, suggesting applications in food, cosmetic, and pharmaceutical industries. Personal care products, </w:t>
      </w:r>
      <w:r w:rsidRPr="00CE68D4">
        <w:rPr>
          <w:rFonts w:ascii="Arial" w:hAnsi="Arial" w:cs="Arial"/>
        </w:rPr>
        <w:lastRenderedPageBreak/>
        <w:t xml:space="preserve">including skin and hair care formulations, are increasingly incorporating natural ingredients due to rising consumer concerns about the safety of synthetic components (Emerald et al., 2016). Kaul et al. (2018) emphasized that naturally derived cosmetic products possess measurable therapeutic effects on the skin and are used to manage various conditions such as hair damage, photoaging, wrinkles, skin dryness, uneven tone, and pigmentation. Traditionally, </w:t>
      </w:r>
      <w:proofErr w:type="spellStart"/>
      <w:r w:rsidRPr="00CE68D4">
        <w:rPr>
          <w:rFonts w:ascii="Arial" w:hAnsi="Arial" w:cs="Arial"/>
        </w:rPr>
        <w:t>mestha</w:t>
      </w:r>
      <w:proofErr w:type="spellEnd"/>
      <w:r w:rsidRPr="00CE68D4">
        <w:rPr>
          <w:rFonts w:ascii="Arial" w:hAnsi="Arial" w:cs="Arial"/>
        </w:rPr>
        <w:t xml:space="preserve"> leaves have also been used in herbal medicine for the treatment of ailments such as blood disorders, bilious conditions, coughs, diabetes, and throat infections. Additionally, </w:t>
      </w:r>
      <w:proofErr w:type="spellStart"/>
      <w:r w:rsidRPr="00CE68D4">
        <w:rPr>
          <w:rFonts w:ascii="Arial" w:hAnsi="Arial" w:cs="Arial"/>
        </w:rPr>
        <w:t>mestha</w:t>
      </w:r>
      <w:proofErr w:type="spellEnd"/>
      <w:r w:rsidRPr="00CE68D4">
        <w:rPr>
          <w:rFonts w:ascii="Arial" w:hAnsi="Arial" w:cs="Arial"/>
        </w:rPr>
        <w:t xml:space="preserve"> leaves have been reported to exhibit analgesic, appetizing, antioxidant, anti-inflammatory, and aphrodisiac properties (Jin et al., 2013; Sim and Nyam, 2019). </w:t>
      </w:r>
      <w:proofErr w:type="spellStart"/>
      <w:r w:rsidRPr="00CE68D4">
        <w:rPr>
          <w:rFonts w:ascii="Arial" w:hAnsi="Arial" w:cs="Arial"/>
        </w:rPr>
        <w:t>Omenna</w:t>
      </w:r>
      <w:proofErr w:type="spellEnd"/>
      <w:r w:rsidRPr="00CE68D4">
        <w:rPr>
          <w:rFonts w:ascii="Arial" w:hAnsi="Arial" w:cs="Arial"/>
        </w:rPr>
        <w:t xml:space="preserve"> and </w:t>
      </w:r>
      <w:proofErr w:type="spellStart"/>
      <w:r w:rsidRPr="00CE68D4">
        <w:rPr>
          <w:rFonts w:ascii="Arial" w:hAnsi="Arial" w:cs="Arial"/>
        </w:rPr>
        <w:t>Ojo</w:t>
      </w:r>
      <w:proofErr w:type="spellEnd"/>
      <w:r w:rsidRPr="00CE68D4">
        <w:rPr>
          <w:rFonts w:ascii="Arial" w:hAnsi="Arial" w:cs="Arial"/>
        </w:rPr>
        <w:t xml:space="preserve"> (2018) noted that the presence of tannins, alkaloids, and saponins in </w:t>
      </w:r>
      <w:proofErr w:type="spellStart"/>
      <w:r w:rsidRPr="00CE68D4">
        <w:rPr>
          <w:rFonts w:ascii="Arial" w:hAnsi="Arial" w:cs="Arial"/>
        </w:rPr>
        <w:t>mestha</w:t>
      </w:r>
      <w:proofErr w:type="spellEnd"/>
      <w:r w:rsidRPr="00CE68D4">
        <w:rPr>
          <w:rFonts w:ascii="Arial" w:hAnsi="Arial" w:cs="Arial"/>
        </w:rPr>
        <w:t xml:space="preserve"> leaves contributes to their antibacterial activity. The flavonoids and carotenoids present in the leaves act as antioxidants, inhibiting free radical chain reactions and thereby reducing inflammation and viral activity. Several studies have highlighted the medicinal potential of </w:t>
      </w:r>
      <w:proofErr w:type="spellStart"/>
      <w:r w:rsidRPr="00CE68D4">
        <w:rPr>
          <w:rFonts w:ascii="Arial" w:hAnsi="Arial" w:cs="Arial"/>
        </w:rPr>
        <w:t>mestha</w:t>
      </w:r>
      <w:proofErr w:type="spellEnd"/>
      <w:r w:rsidRPr="00CE68D4">
        <w:rPr>
          <w:rFonts w:ascii="Arial" w:hAnsi="Arial" w:cs="Arial"/>
        </w:rPr>
        <w:t xml:space="preserve"> leaves, particularly their antioxidant, hepatoprotective, and anti-hyperlipidemic effects. However, limited research has explored the fortification of bread with </w:t>
      </w:r>
      <w:proofErr w:type="spellStart"/>
      <w:r w:rsidRPr="00CE68D4">
        <w:rPr>
          <w:rFonts w:ascii="Arial" w:hAnsi="Arial" w:cs="Arial"/>
        </w:rPr>
        <w:t>mestha</w:t>
      </w:r>
      <w:proofErr w:type="spellEnd"/>
      <w:r w:rsidRPr="00CE68D4">
        <w:rPr>
          <w:rFonts w:ascii="Arial" w:hAnsi="Arial" w:cs="Arial"/>
        </w:rPr>
        <w:t xml:space="preserve"> leaves to enhance nutritional quality, and no studies have specifically examined the antioxidant properties of such fortified bread (Agbor et al., 2005). Lim et al. (2020) further observed that </w:t>
      </w:r>
      <w:proofErr w:type="spellStart"/>
      <w:r w:rsidRPr="00CE68D4">
        <w:rPr>
          <w:rFonts w:ascii="Arial" w:hAnsi="Arial" w:cs="Arial"/>
        </w:rPr>
        <w:t>mestha</w:t>
      </w:r>
      <w:proofErr w:type="spellEnd"/>
      <w:r w:rsidRPr="00CE68D4">
        <w:rPr>
          <w:rFonts w:ascii="Arial" w:hAnsi="Arial" w:cs="Arial"/>
        </w:rPr>
        <w:t xml:space="preserve"> leaf powder, characterized by high antioxidant content and </w:t>
      </w:r>
      <w:proofErr w:type="gramStart"/>
      <w:r w:rsidRPr="00CE68D4">
        <w:rPr>
          <w:rFonts w:ascii="Arial" w:hAnsi="Arial" w:cs="Arial"/>
        </w:rPr>
        <w:t>low fat</w:t>
      </w:r>
      <w:proofErr w:type="gramEnd"/>
      <w:r w:rsidRPr="00CE68D4">
        <w:rPr>
          <w:rFonts w:ascii="Arial" w:hAnsi="Arial" w:cs="Arial"/>
        </w:rPr>
        <w:t xml:space="preserve"> levels, plays a crucial role in the functional food industry aimed at preventing chronic diseases linked to poor diet and lifestyle. The addition of </w:t>
      </w:r>
      <w:proofErr w:type="spellStart"/>
      <w:r w:rsidRPr="00CE68D4">
        <w:rPr>
          <w:rFonts w:ascii="Arial" w:hAnsi="Arial" w:cs="Arial"/>
        </w:rPr>
        <w:t>mestha</w:t>
      </w:r>
      <w:proofErr w:type="spellEnd"/>
      <w:r w:rsidRPr="00CE68D4">
        <w:rPr>
          <w:rFonts w:ascii="Arial" w:hAnsi="Arial" w:cs="Arial"/>
        </w:rPr>
        <w:t xml:space="preserve"> leaf powder to bread has been shown to increase total dietary fiber compared to commercial white bread, thereby assisting in the reduction of cholesterol and constipation. Incorporation of 4% </w:t>
      </w:r>
      <w:proofErr w:type="spellStart"/>
      <w:r w:rsidRPr="00CE68D4">
        <w:rPr>
          <w:rFonts w:ascii="Arial" w:hAnsi="Arial" w:cs="Arial"/>
        </w:rPr>
        <w:t>mestha</w:t>
      </w:r>
      <w:proofErr w:type="spellEnd"/>
      <w:r w:rsidRPr="00CE68D4">
        <w:rPr>
          <w:rFonts w:ascii="Arial" w:hAnsi="Arial" w:cs="Arial"/>
        </w:rPr>
        <w:t xml:space="preserve"> leaf powder yielded the highest overall sensory acceptability. The growing global consumption of </w:t>
      </w:r>
      <w:proofErr w:type="spellStart"/>
      <w:r w:rsidRPr="00CE68D4">
        <w:rPr>
          <w:rFonts w:ascii="Arial" w:hAnsi="Arial" w:cs="Arial"/>
        </w:rPr>
        <w:t>mestha</w:t>
      </w:r>
      <w:proofErr w:type="spellEnd"/>
      <w:r w:rsidRPr="00CE68D4">
        <w:rPr>
          <w:rFonts w:ascii="Arial" w:hAnsi="Arial" w:cs="Arial"/>
        </w:rPr>
        <w:t xml:space="preserve"> leaf tea reflects its recognition as a rich source of antioxidant compounds that support human health (Quispe et al., 2012; </w:t>
      </w:r>
      <w:proofErr w:type="spellStart"/>
      <w:r w:rsidRPr="00CE68D4">
        <w:rPr>
          <w:rFonts w:ascii="Arial" w:hAnsi="Arial" w:cs="Arial"/>
        </w:rPr>
        <w:t>Ezzadin</w:t>
      </w:r>
      <w:proofErr w:type="spellEnd"/>
      <w:r w:rsidRPr="00CE68D4">
        <w:rPr>
          <w:rFonts w:ascii="Arial" w:hAnsi="Arial" w:cs="Arial"/>
        </w:rPr>
        <w:t xml:space="preserve"> et al., 2022). In Ayurvedic medicine, </w:t>
      </w:r>
      <w:proofErr w:type="spellStart"/>
      <w:r w:rsidRPr="00CE68D4">
        <w:rPr>
          <w:rFonts w:ascii="Arial" w:hAnsi="Arial" w:cs="Arial"/>
        </w:rPr>
        <w:t>mestha</w:t>
      </w:r>
      <w:proofErr w:type="spellEnd"/>
      <w:r w:rsidRPr="00CE68D4">
        <w:rPr>
          <w:rFonts w:ascii="Arial" w:hAnsi="Arial" w:cs="Arial"/>
        </w:rPr>
        <w:t xml:space="preserve"> leaves are traditionally used to treat blood and bilious disorders, diabetes, coughs, and throat diseases. Similarly, in African traditional medicine, a paste made from </w:t>
      </w:r>
      <w:proofErr w:type="spellStart"/>
      <w:r w:rsidRPr="00CE68D4">
        <w:rPr>
          <w:rFonts w:ascii="Arial" w:hAnsi="Arial" w:cs="Arial"/>
        </w:rPr>
        <w:t>mestha</w:t>
      </w:r>
      <w:proofErr w:type="spellEnd"/>
      <w:r w:rsidRPr="00CE68D4">
        <w:rPr>
          <w:rFonts w:ascii="Arial" w:hAnsi="Arial" w:cs="Arial"/>
        </w:rPr>
        <w:t xml:space="preserve"> leaves and stems is applied to treat Guinea worm disease and anemia (Monti, 2013; Jin et al., 2013; </w:t>
      </w:r>
      <w:proofErr w:type="spellStart"/>
      <w:r w:rsidRPr="00CE68D4">
        <w:rPr>
          <w:rFonts w:ascii="Arial" w:hAnsi="Arial" w:cs="Arial"/>
        </w:rPr>
        <w:t>Omenna</w:t>
      </w:r>
      <w:proofErr w:type="spellEnd"/>
      <w:r w:rsidRPr="00CE68D4">
        <w:rPr>
          <w:rFonts w:ascii="Arial" w:hAnsi="Arial" w:cs="Arial"/>
        </w:rPr>
        <w:t xml:space="preserve"> and </w:t>
      </w:r>
      <w:proofErr w:type="spellStart"/>
      <w:r w:rsidRPr="00CE68D4">
        <w:rPr>
          <w:rFonts w:ascii="Arial" w:hAnsi="Arial" w:cs="Arial"/>
        </w:rPr>
        <w:t>Ojo</w:t>
      </w:r>
      <w:proofErr w:type="spellEnd"/>
      <w:r w:rsidRPr="00CE68D4">
        <w:rPr>
          <w:rFonts w:ascii="Arial" w:hAnsi="Arial" w:cs="Arial"/>
        </w:rPr>
        <w:t xml:space="preserve">, 2018). Furthermore, analysis of the Everglades 41 and </w:t>
      </w:r>
      <w:proofErr w:type="spellStart"/>
      <w:r w:rsidRPr="00CE68D4">
        <w:rPr>
          <w:rFonts w:ascii="Arial" w:hAnsi="Arial" w:cs="Arial"/>
        </w:rPr>
        <w:t>Tainung</w:t>
      </w:r>
      <w:proofErr w:type="spellEnd"/>
      <w:r w:rsidRPr="00CE68D4">
        <w:rPr>
          <w:rFonts w:ascii="Arial" w:hAnsi="Arial" w:cs="Arial"/>
        </w:rPr>
        <w:t xml:space="preserve"> 2 </w:t>
      </w:r>
      <w:proofErr w:type="spellStart"/>
      <w:r w:rsidRPr="00CE68D4">
        <w:rPr>
          <w:rFonts w:ascii="Arial" w:hAnsi="Arial" w:cs="Arial"/>
        </w:rPr>
        <w:t>mestha</w:t>
      </w:r>
      <w:proofErr w:type="spellEnd"/>
      <w:r w:rsidRPr="00CE68D4">
        <w:rPr>
          <w:rFonts w:ascii="Arial" w:hAnsi="Arial" w:cs="Arial"/>
        </w:rPr>
        <w:t xml:space="preserve"> varieties revealed the presence of 29 phenolic compounds, with chlorogenic acid, quercetin, and kaempferol being the most abundant. These bioactive compounds possess diverse biological activities, including antioxidant, </w:t>
      </w:r>
      <w:proofErr w:type="spellStart"/>
      <w:r w:rsidRPr="00CE68D4">
        <w:rPr>
          <w:rFonts w:ascii="Arial" w:hAnsi="Arial" w:cs="Arial"/>
        </w:rPr>
        <w:t>vasoprotective</w:t>
      </w:r>
      <w:proofErr w:type="spellEnd"/>
      <w:r w:rsidRPr="00CE68D4">
        <w:rPr>
          <w:rFonts w:ascii="Arial" w:hAnsi="Arial" w:cs="Arial"/>
        </w:rPr>
        <w:t>, anti-carcinogenic, anti-diabetic, anti-inflammatory, anti-platelet, and neuroprotective effects (</w:t>
      </w:r>
      <w:proofErr w:type="spellStart"/>
      <w:r w:rsidRPr="00CE68D4">
        <w:rPr>
          <w:rFonts w:ascii="Arial" w:hAnsi="Arial" w:cs="Arial"/>
        </w:rPr>
        <w:t>Ezzadin</w:t>
      </w:r>
      <w:proofErr w:type="spellEnd"/>
      <w:r w:rsidRPr="00CE68D4">
        <w:rPr>
          <w:rFonts w:ascii="Arial" w:hAnsi="Arial" w:cs="Arial"/>
        </w:rPr>
        <w:t xml:space="preserve"> et al., 2022)</w:t>
      </w:r>
    </w:p>
    <w:p w14:paraId="724EB72A" w14:textId="77777777" w:rsidR="006213BA" w:rsidRPr="001C75D2" w:rsidRDefault="007040A1" w:rsidP="006213BA">
      <w:pPr>
        <w:pStyle w:val="NormalWeb"/>
        <w:spacing w:before="0" w:beforeAutospacing="0" w:after="0" w:afterAutospacing="0" w:line="360" w:lineRule="auto"/>
        <w:jc w:val="both"/>
        <w:rPr>
          <w:rFonts w:ascii="Arial" w:hAnsi="Arial" w:cs="Arial"/>
          <w:b/>
          <w:bCs/>
          <w:sz w:val="22"/>
          <w:szCs w:val="20"/>
        </w:rPr>
      </w:pPr>
      <w:r>
        <w:rPr>
          <w:rFonts w:ascii="Arial" w:hAnsi="Arial" w:cs="Arial"/>
          <w:b/>
          <w:bCs/>
          <w:sz w:val="22"/>
          <w:szCs w:val="20"/>
        </w:rPr>
        <w:t xml:space="preserve">5. </w:t>
      </w:r>
      <w:r w:rsidRPr="001C75D2">
        <w:rPr>
          <w:rFonts w:ascii="Arial" w:hAnsi="Arial" w:cs="Arial"/>
          <w:b/>
          <w:bCs/>
          <w:sz w:val="22"/>
          <w:szCs w:val="20"/>
        </w:rPr>
        <w:t>CULINARY AND ETHNOBOTANICAL USES</w:t>
      </w:r>
    </w:p>
    <w:p w14:paraId="50D5B753" w14:textId="77777777" w:rsidR="006213BA" w:rsidRPr="00CE68D4" w:rsidRDefault="006213BA" w:rsidP="006213BA">
      <w:pPr>
        <w:pStyle w:val="NormalWeb"/>
        <w:spacing w:before="0" w:beforeAutospacing="0" w:after="0" w:afterAutospacing="0" w:line="360" w:lineRule="auto"/>
        <w:jc w:val="both"/>
        <w:rPr>
          <w:rFonts w:ascii="Arial" w:hAnsi="Arial" w:cs="Arial"/>
          <w:sz w:val="20"/>
          <w:szCs w:val="20"/>
        </w:rPr>
      </w:pPr>
      <w:r w:rsidRPr="00CE68D4">
        <w:rPr>
          <w:rFonts w:ascii="Arial" w:hAnsi="Arial" w:cs="Arial"/>
          <w:sz w:val="20"/>
          <w:szCs w:val="20"/>
        </w:rPr>
        <w:tab/>
        <w:t xml:space="preserve">Traditionally, </w:t>
      </w:r>
      <w:r w:rsidRPr="00CE68D4">
        <w:rPr>
          <w:rStyle w:val="Emphasis"/>
          <w:rFonts w:ascii="Arial" w:hAnsi="Arial" w:cs="Arial"/>
          <w:sz w:val="20"/>
          <w:szCs w:val="20"/>
        </w:rPr>
        <w:t>Hibiscus cannabinus</w:t>
      </w:r>
      <w:r w:rsidRPr="00CE68D4">
        <w:rPr>
          <w:rFonts w:ascii="Arial" w:hAnsi="Arial" w:cs="Arial"/>
          <w:sz w:val="20"/>
          <w:szCs w:val="20"/>
        </w:rPr>
        <w:t xml:space="preserve"> has been utilized in herbal medicine, as a natural </w:t>
      </w:r>
      <w:proofErr w:type="spellStart"/>
      <w:r w:rsidRPr="00CE68D4">
        <w:rPr>
          <w:rFonts w:ascii="Arial" w:hAnsi="Arial" w:cs="Arial"/>
          <w:sz w:val="20"/>
          <w:szCs w:val="20"/>
        </w:rPr>
        <w:t>flavoring</w:t>
      </w:r>
      <w:proofErr w:type="spellEnd"/>
      <w:r w:rsidRPr="00CE68D4">
        <w:rPr>
          <w:rFonts w:ascii="Arial" w:hAnsi="Arial" w:cs="Arial"/>
          <w:sz w:val="20"/>
          <w:szCs w:val="20"/>
        </w:rPr>
        <w:t xml:space="preserve"> agent in the food industry, and as an ingredient in various herbal beverages. With growing consumer preference for natural, plant-based foods with health-promoting properties,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and its components particularly the seeds have gained attention as rich sources of essential nutrients and promising ingredients for value-added functional foods. Beyond its nutritional value,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w:t>
      </w:r>
      <w:proofErr w:type="spellStart"/>
      <w:r w:rsidRPr="00CE68D4">
        <w:rPr>
          <w:rFonts w:ascii="Arial" w:hAnsi="Arial" w:cs="Arial"/>
          <w:sz w:val="20"/>
          <w:szCs w:val="20"/>
        </w:rPr>
        <w:t>fibers</w:t>
      </w:r>
      <w:proofErr w:type="spellEnd"/>
      <w:r w:rsidRPr="00CE68D4">
        <w:rPr>
          <w:rFonts w:ascii="Arial" w:hAnsi="Arial" w:cs="Arial"/>
          <w:sz w:val="20"/>
          <w:szCs w:val="20"/>
        </w:rPr>
        <w:t xml:space="preserve"> are widely used for paper pulping and cordage, while also serving as a potential lignocellulosic feedstock for bioenergy production. Additionally, the seed oil holds potential for both culinary and industrial applications (Shika et al., 2023). The seeds offer a number of advantages and can be utilized to produce biodiesels or edible oil (Afzal et al., 2020). Studies on </w:t>
      </w:r>
      <w:r w:rsidRPr="00CE68D4">
        <w:rPr>
          <w:rStyle w:val="Emphasis"/>
          <w:rFonts w:ascii="Arial" w:hAnsi="Arial" w:cs="Arial"/>
          <w:sz w:val="20"/>
          <w:szCs w:val="20"/>
        </w:rPr>
        <w:t>Hibiscus cannabinus</w:t>
      </w:r>
      <w:r w:rsidRPr="00CE68D4">
        <w:rPr>
          <w:rFonts w:ascii="Arial" w:hAnsi="Arial" w:cs="Arial"/>
          <w:sz w:val="20"/>
          <w:szCs w:val="20"/>
        </w:rPr>
        <w:t xml:space="preserve"> L.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have demonstrated marked variations in chemical composition and in vitro digestibility during different growth stages. The crude protein content of leaves is more than twice that of stems, with a progressive decline observed as the plant matures. In contrast, stems exhibit consistently higher concentrations of structural carbohydrates and lignin, contributing to reduced digestibility. The highest in vitro dry matter digestibility is recorded in leaves around 50 days after planting, whereas mature stems display the lowest values. These findings suggest that harvesting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at approximately 50 days after planting ensures superior forage quality characterized by elevated protein content and enhanced digestibility (Ammar et al., 2020).</w:t>
      </w:r>
    </w:p>
    <w:p w14:paraId="31E6C8BD" w14:textId="77777777" w:rsidR="006213BA" w:rsidRPr="001C75D2" w:rsidRDefault="007040A1" w:rsidP="006213BA">
      <w:pPr>
        <w:pStyle w:val="Heading3"/>
        <w:spacing w:before="0" w:line="360" w:lineRule="auto"/>
        <w:jc w:val="both"/>
        <w:rPr>
          <w:rFonts w:ascii="Arial" w:hAnsi="Arial" w:cs="Arial"/>
          <w:b w:val="0"/>
          <w:color w:val="000000" w:themeColor="text1"/>
          <w:sz w:val="22"/>
        </w:rPr>
      </w:pPr>
      <w:r>
        <w:rPr>
          <w:rStyle w:val="Strong"/>
          <w:rFonts w:ascii="Arial" w:hAnsi="Arial" w:cs="Arial"/>
          <w:b/>
          <w:color w:val="000000" w:themeColor="text1"/>
          <w:sz w:val="22"/>
        </w:rPr>
        <w:lastRenderedPageBreak/>
        <w:t xml:space="preserve">6. </w:t>
      </w:r>
      <w:r w:rsidRPr="001C75D2">
        <w:rPr>
          <w:rStyle w:val="Strong"/>
          <w:rFonts w:ascii="Arial" w:hAnsi="Arial" w:cs="Arial"/>
          <w:b/>
          <w:color w:val="000000" w:themeColor="text1"/>
          <w:sz w:val="22"/>
        </w:rPr>
        <w:t>MESTHA SEED IN FOOD APPLICATIONS</w:t>
      </w:r>
    </w:p>
    <w:p w14:paraId="7DAFCF7A" w14:textId="77777777" w:rsidR="006213BA" w:rsidRPr="00CE68D4" w:rsidRDefault="006213BA" w:rsidP="006213BA">
      <w:pPr>
        <w:pStyle w:val="NormalWeb"/>
        <w:spacing w:before="0" w:beforeAutospacing="0" w:after="0" w:afterAutospacing="0" w:line="360" w:lineRule="auto"/>
        <w:jc w:val="both"/>
        <w:rPr>
          <w:rFonts w:ascii="Arial" w:hAnsi="Arial" w:cs="Arial"/>
          <w:sz w:val="20"/>
          <w:szCs w:val="20"/>
        </w:rPr>
      </w:pPr>
      <w:r w:rsidRPr="00CE68D4">
        <w:rPr>
          <w:rFonts w:ascii="Arial" w:hAnsi="Arial" w:cs="Arial"/>
          <w:sz w:val="20"/>
          <w:szCs w:val="20"/>
        </w:rPr>
        <w:tab/>
        <w:t xml:space="preserve">The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seed, owing to its superior nutritional composition, has attracted increasing attention as a potential ingredient in food applications. It can be utilized either as whole seed or processed into flour, oil, protein concentrates, and isolates for diverse uses.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seed flour is produced by grinding the seeds into various particle sizes based on the intended application. Defatting the flour enhances its protein content, making it suitable for nutritional enrichment. Different extraction methods have been evaluated for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seed oil, including Soxhlet extraction (</w:t>
      </w:r>
      <w:proofErr w:type="spellStart"/>
      <w:r w:rsidRPr="00CE68D4">
        <w:rPr>
          <w:rFonts w:ascii="Arial" w:hAnsi="Arial" w:cs="Arial"/>
          <w:color w:val="000000" w:themeColor="text1"/>
          <w:sz w:val="20"/>
          <w:szCs w:val="20"/>
        </w:rPr>
        <w:t>Mariod</w:t>
      </w:r>
      <w:proofErr w:type="spellEnd"/>
      <w:r w:rsidRPr="00CE68D4">
        <w:rPr>
          <w:rFonts w:ascii="Arial" w:hAnsi="Arial" w:cs="Arial"/>
          <w:color w:val="000000" w:themeColor="text1"/>
          <w:sz w:val="20"/>
          <w:szCs w:val="20"/>
        </w:rPr>
        <w:t xml:space="preserve"> et al., 2010), sonication (Zawawi et al., 2014), and supercritical fluid extraction (SFE) (Abd Ghafar et al., 2013). Among these, SFE is considered the most efficient and eco-friendly technique due to its solvent-free and time-saving nature (Chan &amp; Ismail, 2009), although Soxhlet extraction may yield </w:t>
      </w:r>
      <w:r w:rsidRPr="00CE68D4">
        <w:rPr>
          <w:rFonts w:ascii="Arial" w:hAnsi="Arial" w:cs="Arial"/>
          <w:sz w:val="20"/>
          <w:szCs w:val="20"/>
        </w:rPr>
        <w:t>higher oil quantities.</w:t>
      </w:r>
    </w:p>
    <w:p w14:paraId="5CB76CD6" w14:textId="77777777" w:rsidR="006213BA" w:rsidRPr="00CE68D4" w:rsidRDefault="006213BA" w:rsidP="006213BA">
      <w:pPr>
        <w:pStyle w:val="NormalWeb"/>
        <w:spacing w:before="0" w:beforeAutospacing="0" w:after="0" w:afterAutospacing="0" w:line="360" w:lineRule="auto"/>
        <w:jc w:val="both"/>
        <w:rPr>
          <w:rFonts w:ascii="Arial" w:hAnsi="Arial" w:cs="Arial"/>
          <w:sz w:val="20"/>
          <w:szCs w:val="20"/>
        </w:rPr>
      </w:pPr>
      <w:r w:rsidRPr="00CE68D4">
        <w:rPr>
          <w:rFonts w:ascii="Arial" w:hAnsi="Arial" w:cs="Arial"/>
          <w:sz w:val="20"/>
          <w:szCs w:val="20"/>
        </w:rPr>
        <w:tab/>
        <w:t xml:space="preserve">Protein concentrates, typically derived from defatted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flour, contain more than 70% protein and are prepared by removing saccharides, ash, and minor components through alcohol washing, acid precipitation, or moist-heat treatment (Singh et al., 2008; </w:t>
      </w:r>
      <w:proofErr w:type="spellStart"/>
      <w:r w:rsidRPr="00CE68D4">
        <w:rPr>
          <w:rFonts w:ascii="Arial" w:hAnsi="Arial" w:cs="Arial"/>
          <w:sz w:val="20"/>
          <w:szCs w:val="20"/>
        </w:rPr>
        <w:t>Mariod</w:t>
      </w:r>
      <w:proofErr w:type="spellEnd"/>
      <w:r w:rsidRPr="00CE68D4">
        <w:rPr>
          <w:rFonts w:ascii="Arial" w:hAnsi="Arial" w:cs="Arial"/>
          <w:sz w:val="20"/>
          <w:szCs w:val="20"/>
        </w:rPr>
        <w:t xml:space="preserve"> et al., 2010; Junejo et al., 2014). Further refinement yields protein isolates with protein contents exceeding 90%, providing superior amino acid profiles and functional properties suitable for food formulation. These protein-rich derivatives offer reduced </w:t>
      </w:r>
      <w:proofErr w:type="spellStart"/>
      <w:r w:rsidRPr="00CE68D4">
        <w:rPr>
          <w:rFonts w:ascii="Arial" w:hAnsi="Arial" w:cs="Arial"/>
          <w:sz w:val="20"/>
          <w:szCs w:val="20"/>
        </w:rPr>
        <w:t>flavor</w:t>
      </w:r>
      <w:proofErr w:type="spellEnd"/>
      <w:r w:rsidRPr="00CE68D4">
        <w:rPr>
          <w:rFonts w:ascii="Arial" w:hAnsi="Arial" w:cs="Arial"/>
          <w:sz w:val="20"/>
          <w:szCs w:val="20"/>
        </w:rPr>
        <w:t xml:space="preserve"> intensity, improved digestibility, and enhanced product acceptability.</w:t>
      </w:r>
    </w:p>
    <w:p w14:paraId="03D72EC7" w14:textId="77777777" w:rsidR="006213BA" w:rsidRPr="008B2B7D" w:rsidRDefault="007040A1" w:rsidP="006213BA">
      <w:pPr>
        <w:pStyle w:val="Heading3"/>
        <w:spacing w:before="0" w:line="360" w:lineRule="auto"/>
        <w:jc w:val="both"/>
        <w:rPr>
          <w:rFonts w:ascii="Arial" w:hAnsi="Arial" w:cs="Arial"/>
          <w:b w:val="0"/>
          <w:color w:val="000000" w:themeColor="text1"/>
          <w:sz w:val="22"/>
        </w:rPr>
      </w:pPr>
      <w:r>
        <w:rPr>
          <w:rStyle w:val="Strong"/>
          <w:rFonts w:ascii="Arial" w:hAnsi="Arial" w:cs="Arial"/>
          <w:b/>
          <w:color w:val="000000" w:themeColor="text1"/>
          <w:sz w:val="22"/>
        </w:rPr>
        <w:t xml:space="preserve">7. </w:t>
      </w:r>
      <w:r w:rsidRPr="008B2B7D">
        <w:rPr>
          <w:rStyle w:val="Strong"/>
          <w:rFonts w:ascii="Arial" w:hAnsi="Arial" w:cs="Arial"/>
          <w:b/>
          <w:color w:val="000000" w:themeColor="text1"/>
          <w:sz w:val="22"/>
        </w:rPr>
        <w:t>POTENTIAL FOOD APPLICATIONS OF MESTHA SEED</w:t>
      </w:r>
    </w:p>
    <w:p w14:paraId="712A4462" w14:textId="77777777" w:rsidR="006213BA" w:rsidRPr="008B2B7D" w:rsidRDefault="007040A1" w:rsidP="006213BA">
      <w:pPr>
        <w:pStyle w:val="Heading4"/>
        <w:spacing w:before="0" w:line="360" w:lineRule="auto"/>
        <w:jc w:val="both"/>
        <w:rPr>
          <w:rFonts w:ascii="Arial" w:hAnsi="Arial" w:cs="Arial"/>
          <w:b w:val="0"/>
          <w:i w:val="0"/>
          <w:color w:val="000000" w:themeColor="text1"/>
          <w:sz w:val="22"/>
        </w:rPr>
      </w:pPr>
      <w:r>
        <w:rPr>
          <w:rStyle w:val="Strong"/>
          <w:rFonts w:ascii="Arial" w:hAnsi="Arial" w:cs="Arial"/>
          <w:b/>
          <w:i w:val="0"/>
          <w:color w:val="000000" w:themeColor="text1"/>
          <w:sz w:val="22"/>
        </w:rPr>
        <w:t xml:space="preserve">a) </w:t>
      </w:r>
      <w:proofErr w:type="spellStart"/>
      <w:r w:rsidR="006213BA" w:rsidRPr="008B2B7D">
        <w:rPr>
          <w:rStyle w:val="Strong"/>
          <w:rFonts w:ascii="Arial" w:hAnsi="Arial" w:cs="Arial"/>
          <w:b/>
          <w:i w:val="0"/>
          <w:color w:val="000000" w:themeColor="text1"/>
          <w:sz w:val="22"/>
        </w:rPr>
        <w:t>Mestha</w:t>
      </w:r>
      <w:proofErr w:type="spellEnd"/>
      <w:r w:rsidR="006213BA" w:rsidRPr="008B2B7D">
        <w:rPr>
          <w:rStyle w:val="Strong"/>
          <w:rFonts w:ascii="Arial" w:hAnsi="Arial" w:cs="Arial"/>
          <w:b/>
          <w:i w:val="0"/>
          <w:color w:val="000000" w:themeColor="text1"/>
          <w:sz w:val="22"/>
        </w:rPr>
        <w:t xml:space="preserve"> Seed as a Source of Bioactive Compounds</w:t>
      </w:r>
    </w:p>
    <w:p w14:paraId="7D8E575D" w14:textId="77777777" w:rsidR="006213BA" w:rsidRPr="00CE68D4" w:rsidRDefault="006213BA" w:rsidP="006213BA">
      <w:pPr>
        <w:pStyle w:val="NormalWeb"/>
        <w:spacing w:before="0" w:beforeAutospacing="0" w:after="0" w:afterAutospacing="0" w:line="360" w:lineRule="auto"/>
        <w:jc w:val="both"/>
        <w:rPr>
          <w:rFonts w:ascii="Arial" w:hAnsi="Arial" w:cs="Arial"/>
          <w:sz w:val="20"/>
          <w:szCs w:val="20"/>
        </w:rPr>
      </w:pPr>
      <w:r w:rsidRPr="00CE68D4">
        <w:rPr>
          <w:rFonts w:ascii="Arial" w:hAnsi="Arial" w:cs="Arial"/>
          <w:sz w:val="20"/>
          <w:szCs w:val="20"/>
        </w:rPr>
        <w:tab/>
      </w:r>
      <w:proofErr w:type="spellStart"/>
      <w:r w:rsidRPr="00CE68D4">
        <w:rPr>
          <w:rFonts w:ascii="Arial" w:hAnsi="Arial" w:cs="Arial"/>
          <w:sz w:val="20"/>
          <w:szCs w:val="20"/>
        </w:rPr>
        <w:t>Mestha</w:t>
      </w:r>
      <w:proofErr w:type="spellEnd"/>
      <w:r w:rsidRPr="00CE68D4">
        <w:rPr>
          <w:rFonts w:ascii="Arial" w:hAnsi="Arial" w:cs="Arial"/>
          <w:sz w:val="20"/>
          <w:szCs w:val="20"/>
        </w:rPr>
        <w:t xml:space="preserve"> seeds are abundant in phenolic acids and flavonoids that exhibit strong antioxidant activities (Sroka and Cisowski, 2003; Jeon et al., 2007; Chan et al., 2013; Ryu et al., 2017). These </w:t>
      </w:r>
      <w:proofErr w:type="spellStart"/>
      <w:r w:rsidRPr="00CE68D4">
        <w:rPr>
          <w:rFonts w:ascii="Arial" w:hAnsi="Arial" w:cs="Arial"/>
          <w:sz w:val="20"/>
          <w:szCs w:val="20"/>
        </w:rPr>
        <w:t>bioactives</w:t>
      </w:r>
      <w:proofErr w:type="spellEnd"/>
      <w:r w:rsidRPr="00CE68D4">
        <w:rPr>
          <w:rFonts w:ascii="Arial" w:hAnsi="Arial" w:cs="Arial"/>
          <w:sz w:val="20"/>
          <w:szCs w:val="20"/>
        </w:rPr>
        <w:t xml:space="preserve"> inhibit polyphenol oxidase activity, thus preventing enzymatic browning and improving food stability (Ibrahim et al., 2019). Despite their promising antioxidant potential, limited studies have explored their direct incorporation into food products.</w:t>
      </w:r>
    </w:p>
    <w:p w14:paraId="58BA7D0D" w14:textId="77777777" w:rsidR="006213BA" w:rsidRPr="008B2B7D" w:rsidRDefault="007040A1" w:rsidP="006213BA">
      <w:pPr>
        <w:pStyle w:val="Heading4"/>
        <w:spacing w:before="0" w:line="360" w:lineRule="auto"/>
        <w:jc w:val="both"/>
        <w:rPr>
          <w:rFonts w:ascii="Arial" w:hAnsi="Arial" w:cs="Arial"/>
          <w:b w:val="0"/>
          <w:i w:val="0"/>
          <w:color w:val="000000" w:themeColor="text1"/>
          <w:sz w:val="22"/>
        </w:rPr>
      </w:pPr>
      <w:r>
        <w:rPr>
          <w:rStyle w:val="Strong"/>
          <w:rFonts w:ascii="Arial" w:hAnsi="Arial" w:cs="Arial"/>
          <w:b/>
          <w:i w:val="0"/>
          <w:color w:val="000000" w:themeColor="text1"/>
          <w:sz w:val="22"/>
        </w:rPr>
        <w:t xml:space="preserve">b) </w:t>
      </w:r>
      <w:r w:rsidR="006213BA" w:rsidRPr="008B2B7D">
        <w:rPr>
          <w:rStyle w:val="Strong"/>
          <w:rFonts w:ascii="Arial" w:hAnsi="Arial" w:cs="Arial"/>
          <w:b/>
          <w:i w:val="0"/>
          <w:color w:val="000000" w:themeColor="text1"/>
          <w:sz w:val="22"/>
        </w:rPr>
        <w:t>Antioxidant Enrichment in Bakery Products</w:t>
      </w:r>
    </w:p>
    <w:p w14:paraId="055C35B7" w14:textId="77777777" w:rsidR="006213BA" w:rsidRPr="00CE68D4" w:rsidRDefault="006213BA" w:rsidP="006213BA">
      <w:pPr>
        <w:pStyle w:val="NormalWeb"/>
        <w:spacing w:before="0" w:beforeAutospacing="0" w:after="0" w:afterAutospacing="0" w:line="360" w:lineRule="auto"/>
        <w:jc w:val="both"/>
        <w:rPr>
          <w:rFonts w:ascii="Arial" w:hAnsi="Arial" w:cs="Arial"/>
          <w:sz w:val="20"/>
          <w:szCs w:val="20"/>
        </w:rPr>
      </w:pPr>
      <w:r w:rsidRPr="00CE68D4">
        <w:rPr>
          <w:rFonts w:ascii="Arial" w:hAnsi="Arial" w:cs="Arial"/>
          <w:sz w:val="20"/>
          <w:szCs w:val="20"/>
        </w:rPr>
        <w:tab/>
        <w:t xml:space="preserve">Several studies have demonstrated the successful use of non-cereal seeds and vegetable flours as antioxidant-enriched ingredients in bakery formulations, including sunflower (Nadeem et al., 2010), flaxseed (Meral and Dogan, 2013), and barley (Dhingra and Jood, 2002). Similarly,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seed meal, with its high phenolic content and nutritional value (Chan &amp; Ismail, 2009; </w:t>
      </w:r>
      <w:proofErr w:type="spellStart"/>
      <w:r w:rsidRPr="00CE68D4">
        <w:rPr>
          <w:rFonts w:ascii="Arial" w:hAnsi="Arial" w:cs="Arial"/>
          <w:sz w:val="20"/>
          <w:szCs w:val="20"/>
        </w:rPr>
        <w:t>Mariod</w:t>
      </w:r>
      <w:proofErr w:type="spellEnd"/>
      <w:r w:rsidRPr="00CE68D4">
        <w:rPr>
          <w:rFonts w:ascii="Arial" w:hAnsi="Arial" w:cs="Arial"/>
          <w:sz w:val="20"/>
          <w:szCs w:val="20"/>
        </w:rPr>
        <w:t xml:space="preserve"> et al., 2010; Kim et al., 2018; Ibrahim et al., 2019), could serve as a functional additive for bread fortification and value addition.</w:t>
      </w:r>
    </w:p>
    <w:p w14:paraId="3D8566BA" w14:textId="77777777" w:rsidR="006213BA" w:rsidRPr="008B2B7D" w:rsidRDefault="007040A1" w:rsidP="006213BA">
      <w:pPr>
        <w:pStyle w:val="Heading4"/>
        <w:spacing w:before="0" w:line="360" w:lineRule="auto"/>
        <w:jc w:val="both"/>
        <w:rPr>
          <w:rFonts w:ascii="Arial" w:hAnsi="Arial" w:cs="Arial"/>
          <w:b w:val="0"/>
          <w:i w:val="0"/>
          <w:color w:val="000000" w:themeColor="text1"/>
          <w:sz w:val="22"/>
        </w:rPr>
      </w:pPr>
      <w:r>
        <w:rPr>
          <w:rStyle w:val="Strong"/>
          <w:rFonts w:ascii="Arial" w:hAnsi="Arial" w:cs="Arial"/>
          <w:b/>
          <w:i w:val="0"/>
          <w:color w:val="000000" w:themeColor="text1"/>
          <w:sz w:val="22"/>
        </w:rPr>
        <w:t xml:space="preserve">c) </w:t>
      </w:r>
      <w:proofErr w:type="spellStart"/>
      <w:r w:rsidR="006213BA" w:rsidRPr="008B2B7D">
        <w:rPr>
          <w:rStyle w:val="Strong"/>
          <w:rFonts w:ascii="Arial" w:hAnsi="Arial" w:cs="Arial"/>
          <w:b/>
          <w:i w:val="0"/>
          <w:color w:val="000000" w:themeColor="text1"/>
          <w:sz w:val="22"/>
        </w:rPr>
        <w:t>Mestha</w:t>
      </w:r>
      <w:proofErr w:type="spellEnd"/>
      <w:r w:rsidR="006213BA" w:rsidRPr="008B2B7D">
        <w:rPr>
          <w:rStyle w:val="Strong"/>
          <w:rFonts w:ascii="Arial" w:hAnsi="Arial" w:cs="Arial"/>
          <w:b/>
          <w:i w:val="0"/>
          <w:color w:val="000000" w:themeColor="text1"/>
          <w:sz w:val="22"/>
        </w:rPr>
        <w:t xml:space="preserve"> Seed as a Natural Antimicrobial Agent</w:t>
      </w:r>
    </w:p>
    <w:p w14:paraId="41C2BEB8" w14:textId="77777777" w:rsidR="006213BA" w:rsidRPr="00CE68D4" w:rsidRDefault="006213BA" w:rsidP="006213BA">
      <w:pPr>
        <w:pStyle w:val="NormalWeb"/>
        <w:spacing w:before="0" w:beforeAutospacing="0" w:after="0" w:afterAutospacing="0" w:line="360" w:lineRule="auto"/>
        <w:jc w:val="both"/>
        <w:rPr>
          <w:rFonts w:ascii="Arial" w:hAnsi="Arial" w:cs="Arial"/>
          <w:sz w:val="20"/>
          <w:szCs w:val="20"/>
        </w:rPr>
      </w:pPr>
      <w:r w:rsidRPr="00CE68D4">
        <w:rPr>
          <w:rFonts w:ascii="Arial" w:hAnsi="Arial" w:cs="Arial"/>
          <w:sz w:val="20"/>
          <w:szCs w:val="20"/>
        </w:rPr>
        <w:tab/>
        <w:t xml:space="preserve">Plant-derived antimicrobials offer a safe alternative to synthetic preservatives. Phytol, a major compound in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(Ryu et al., 2017), exhibits antibacterial activity against </w:t>
      </w:r>
      <w:r w:rsidRPr="00CE68D4">
        <w:rPr>
          <w:rStyle w:val="Emphasis"/>
          <w:rFonts w:ascii="Arial" w:hAnsi="Arial" w:cs="Arial"/>
          <w:sz w:val="20"/>
          <w:szCs w:val="20"/>
        </w:rPr>
        <w:t>Staphylococcus aureus</w:t>
      </w:r>
      <w:r w:rsidRPr="00CE68D4">
        <w:rPr>
          <w:rFonts w:ascii="Arial" w:hAnsi="Arial" w:cs="Arial"/>
          <w:sz w:val="20"/>
          <w:szCs w:val="20"/>
        </w:rPr>
        <w:t xml:space="preserve"> and </w:t>
      </w:r>
      <w:r w:rsidRPr="00CE68D4">
        <w:rPr>
          <w:rStyle w:val="Emphasis"/>
          <w:rFonts w:ascii="Arial" w:hAnsi="Arial" w:cs="Arial"/>
          <w:sz w:val="20"/>
          <w:szCs w:val="20"/>
        </w:rPr>
        <w:t>Colletotrichum</w:t>
      </w:r>
      <w:r w:rsidRPr="00CE68D4">
        <w:rPr>
          <w:rFonts w:ascii="Arial" w:hAnsi="Arial" w:cs="Arial"/>
          <w:sz w:val="20"/>
          <w:szCs w:val="20"/>
        </w:rPr>
        <w:t xml:space="preserve"> spp. (</w:t>
      </w:r>
      <w:proofErr w:type="spellStart"/>
      <w:r w:rsidRPr="00CE68D4">
        <w:rPr>
          <w:rFonts w:ascii="Arial" w:hAnsi="Arial" w:cs="Arial"/>
          <w:sz w:val="20"/>
          <w:szCs w:val="20"/>
        </w:rPr>
        <w:t>Kobaisy</w:t>
      </w:r>
      <w:proofErr w:type="spellEnd"/>
      <w:r w:rsidRPr="00CE68D4">
        <w:rPr>
          <w:rFonts w:ascii="Arial" w:hAnsi="Arial" w:cs="Arial"/>
          <w:sz w:val="20"/>
          <w:szCs w:val="20"/>
        </w:rPr>
        <w:t xml:space="preserve"> et al., 2001; Inoue et al., 2005), while </w:t>
      </w:r>
      <w:proofErr w:type="spellStart"/>
      <w:r w:rsidRPr="00CE68D4">
        <w:rPr>
          <w:rFonts w:ascii="Arial" w:hAnsi="Arial" w:cs="Arial"/>
          <w:sz w:val="20"/>
          <w:szCs w:val="20"/>
        </w:rPr>
        <w:t>hexadecanoic</w:t>
      </w:r>
      <w:proofErr w:type="spellEnd"/>
      <w:r w:rsidRPr="00CE68D4">
        <w:rPr>
          <w:rFonts w:ascii="Arial" w:hAnsi="Arial" w:cs="Arial"/>
          <w:sz w:val="20"/>
          <w:szCs w:val="20"/>
        </w:rPr>
        <w:t xml:space="preserve"> acid in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seed oil has been identified as a potent antimicrobial compound (</w:t>
      </w:r>
      <w:proofErr w:type="spellStart"/>
      <w:r w:rsidRPr="00CE68D4">
        <w:rPr>
          <w:rFonts w:ascii="Arial" w:hAnsi="Arial" w:cs="Arial"/>
          <w:sz w:val="20"/>
          <w:szCs w:val="20"/>
        </w:rPr>
        <w:t>Ebije</w:t>
      </w:r>
      <w:proofErr w:type="spellEnd"/>
      <w:r w:rsidRPr="00CE68D4">
        <w:rPr>
          <w:rFonts w:ascii="Arial" w:hAnsi="Arial" w:cs="Arial"/>
          <w:sz w:val="20"/>
          <w:szCs w:val="20"/>
        </w:rPr>
        <w:t xml:space="preserve"> et al., 2014, Ibrahim et al., 2019). These findings suggest that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seed oil or powder could be developed as a natural preservative in food systems.</w:t>
      </w:r>
    </w:p>
    <w:p w14:paraId="671B67D1" w14:textId="77777777" w:rsidR="006213BA" w:rsidRPr="0006555C" w:rsidRDefault="007040A1" w:rsidP="006213BA">
      <w:pPr>
        <w:pStyle w:val="Heading4"/>
        <w:spacing w:before="0" w:line="360" w:lineRule="auto"/>
        <w:jc w:val="both"/>
        <w:rPr>
          <w:rFonts w:ascii="Arial" w:hAnsi="Arial" w:cs="Arial"/>
          <w:b w:val="0"/>
          <w:i w:val="0"/>
          <w:color w:val="000000" w:themeColor="text1"/>
          <w:sz w:val="22"/>
        </w:rPr>
      </w:pPr>
      <w:r>
        <w:rPr>
          <w:rStyle w:val="Strong"/>
          <w:rFonts w:ascii="Arial" w:hAnsi="Arial" w:cs="Arial"/>
          <w:b/>
          <w:i w:val="0"/>
          <w:color w:val="000000" w:themeColor="text1"/>
          <w:sz w:val="22"/>
        </w:rPr>
        <w:t xml:space="preserve">d) </w:t>
      </w:r>
      <w:r w:rsidR="006213BA" w:rsidRPr="0006555C">
        <w:rPr>
          <w:rStyle w:val="Strong"/>
          <w:rFonts w:ascii="Arial" w:hAnsi="Arial" w:cs="Arial"/>
          <w:b/>
          <w:i w:val="0"/>
          <w:color w:val="000000" w:themeColor="text1"/>
          <w:sz w:val="22"/>
        </w:rPr>
        <w:t xml:space="preserve">Defatted </w:t>
      </w:r>
      <w:proofErr w:type="spellStart"/>
      <w:r w:rsidR="006213BA" w:rsidRPr="0006555C">
        <w:rPr>
          <w:rStyle w:val="Strong"/>
          <w:rFonts w:ascii="Arial" w:hAnsi="Arial" w:cs="Arial"/>
          <w:b/>
          <w:i w:val="0"/>
          <w:color w:val="000000" w:themeColor="text1"/>
          <w:sz w:val="22"/>
        </w:rPr>
        <w:t>Mestha</w:t>
      </w:r>
      <w:proofErr w:type="spellEnd"/>
      <w:r w:rsidR="006213BA" w:rsidRPr="0006555C">
        <w:rPr>
          <w:rStyle w:val="Strong"/>
          <w:rFonts w:ascii="Arial" w:hAnsi="Arial" w:cs="Arial"/>
          <w:b/>
          <w:i w:val="0"/>
          <w:color w:val="000000" w:themeColor="text1"/>
          <w:sz w:val="22"/>
        </w:rPr>
        <w:t xml:space="preserve"> Seed Flour</w:t>
      </w:r>
    </w:p>
    <w:p w14:paraId="216AA800" w14:textId="77777777" w:rsidR="006213BA" w:rsidRPr="00CE68D4" w:rsidRDefault="006213BA" w:rsidP="006213BA">
      <w:pPr>
        <w:pStyle w:val="NormalWeb"/>
        <w:spacing w:before="0" w:beforeAutospacing="0" w:after="0" w:afterAutospacing="0" w:line="360" w:lineRule="auto"/>
        <w:jc w:val="both"/>
        <w:rPr>
          <w:rFonts w:ascii="Arial" w:hAnsi="Arial" w:cs="Arial"/>
          <w:sz w:val="20"/>
          <w:szCs w:val="20"/>
        </w:rPr>
      </w:pPr>
      <w:r w:rsidRPr="00CE68D4">
        <w:rPr>
          <w:rFonts w:ascii="Arial" w:hAnsi="Arial" w:cs="Arial"/>
          <w:sz w:val="20"/>
          <w:szCs w:val="20"/>
        </w:rPr>
        <w:tab/>
        <w:t xml:space="preserve">Defatted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seed meal (DKSM) possesses excellent nutritional value, containing approximately 57% carbohydrates, 26% protein, and 6.6% ash (Chan et al., 2013). Its incorporation into wheat-based products, such as noodles, enhances </w:t>
      </w:r>
      <w:proofErr w:type="spellStart"/>
      <w:r w:rsidRPr="00CE68D4">
        <w:rPr>
          <w:rFonts w:ascii="Arial" w:hAnsi="Arial" w:cs="Arial"/>
          <w:sz w:val="20"/>
          <w:szCs w:val="20"/>
        </w:rPr>
        <w:t>fiber</w:t>
      </w:r>
      <w:proofErr w:type="spellEnd"/>
      <w:r w:rsidRPr="00CE68D4">
        <w:rPr>
          <w:rFonts w:ascii="Arial" w:hAnsi="Arial" w:cs="Arial"/>
          <w:sz w:val="20"/>
          <w:szCs w:val="20"/>
        </w:rPr>
        <w:t xml:space="preserve"> and phenolic contents but may affect sensory qualities (Zawawi et al., 2014). Given its high antioxidant and anticancer potential (Ghafar et al., 2012; Foo et al., 2011, Ibrahim et al., 2019), DKSM may serve as a promising functional flour in health-oriented foods.</w:t>
      </w:r>
    </w:p>
    <w:p w14:paraId="13BBD122" w14:textId="77777777" w:rsidR="006213BA" w:rsidRPr="0006555C" w:rsidRDefault="001F29A3" w:rsidP="006213BA">
      <w:pPr>
        <w:pStyle w:val="Heading4"/>
        <w:spacing w:before="0" w:line="360" w:lineRule="auto"/>
        <w:jc w:val="both"/>
        <w:rPr>
          <w:rFonts w:ascii="Arial" w:hAnsi="Arial" w:cs="Arial"/>
          <w:b w:val="0"/>
          <w:i w:val="0"/>
          <w:color w:val="000000" w:themeColor="text1"/>
          <w:sz w:val="22"/>
        </w:rPr>
      </w:pPr>
      <w:r>
        <w:rPr>
          <w:rStyle w:val="Strong"/>
          <w:rFonts w:ascii="Arial" w:hAnsi="Arial" w:cs="Arial"/>
          <w:b/>
          <w:i w:val="0"/>
          <w:color w:val="000000" w:themeColor="text1"/>
          <w:sz w:val="22"/>
        </w:rPr>
        <w:lastRenderedPageBreak/>
        <w:t xml:space="preserve">e) </w:t>
      </w:r>
      <w:proofErr w:type="spellStart"/>
      <w:r w:rsidR="006213BA" w:rsidRPr="0006555C">
        <w:rPr>
          <w:rStyle w:val="Strong"/>
          <w:rFonts w:ascii="Arial" w:hAnsi="Arial" w:cs="Arial"/>
          <w:b/>
          <w:i w:val="0"/>
          <w:color w:val="000000" w:themeColor="text1"/>
          <w:sz w:val="22"/>
        </w:rPr>
        <w:t>Mestha</w:t>
      </w:r>
      <w:proofErr w:type="spellEnd"/>
      <w:r w:rsidR="006213BA" w:rsidRPr="0006555C">
        <w:rPr>
          <w:rStyle w:val="Strong"/>
          <w:rFonts w:ascii="Arial" w:hAnsi="Arial" w:cs="Arial"/>
          <w:b/>
          <w:i w:val="0"/>
          <w:color w:val="000000" w:themeColor="text1"/>
          <w:sz w:val="22"/>
        </w:rPr>
        <w:t xml:space="preserve"> Seed Oil as Edible Oil</w:t>
      </w:r>
    </w:p>
    <w:p w14:paraId="2752C39E" w14:textId="77777777" w:rsidR="006213BA" w:rsidRPr="00CE68D4" w:rsidRDefault="006213BA" w:rsidP="006213BA">
      <w:pPr>
        <w:pStyle w:val="NormalWeb"/>
        <w:spacing w:before="0" w:beforeAutospacing="0" w:after="0" w:afterAutospacing="0" w:line="360" w:lineRule="auto"/>
        <w:jc w:val="both"/>
        <w:rPr>
          <w:rFonts w:ascii="Arial" w:hAnsi="Arial" w:cs="Arial"/>
          <w:sz w:val="20"/>
          <w:szCs w:val="20"/>
        </w:rPr>
      </w:pPr>
      <w:r w:rsidRPr="00CE68D4">
        <w:rPr>
          <w:rFonts w:ascii="Arial" w:hAnsi="Arial" w:cs="Arial"/>
          <w:sz w:val="20"/>
          <w:szCs w:val="20"/>
        </w:rPr>
        <w:tab/>
      </w:r>
      <w:proofErr w:type="spellStart"/>
      <w:r w:rsidRPr="00CE68D4">
        <w:rPr>
          <w:rFonts w:ascii="Arial" w:hAnsi="Arial" w:cs="Arial"/>
          <w:sz w:val="20"/>
          <w:szCs w:val="20"/>
        </w:rPr>
        <w:t>Mestha</w:t>
      </w:r>
      <w:proofErr w:type="spellEnd"/>
      <w:r w:rsidRPr="00CE68D4">
        <w:rPr>
          <w:rFonts w:ascii="Arial" w:hAnsi="Arial" w:cs="Arial"/>
          <w:sz w:val="20"/>
          <w:szCs w:val="20"/>
        </w:rPr>
        <w:t xml:space="preserve"> seed oil is a high-quality vegetable oil comparable to cottonseed and soybean oils, rich in polyunsaturated fatty acids, tocopherols, and phytosterols (Cheng et al., 2016; Ryu et al., 2017). It can be used in cooking, salad dressings, or mayonnaise formulations, benefiting from its </w:t>
      </w:r>
      <w:proofErr w:type="spellStart"/>
      <w:r w:rsidRPr="00CE68D4">
        <w:rPr>
          <w:rFonts w:ascii="Arial" w:hAnsi="Arial" w:cs="Arial"/>
          <w:sz w:val="20"/>
          <w:szCs w:val="20"/>
        </w:rPr>
        <w:t>favorable</w:t>
      </w:r>
      <w:proofErr w:type="spellEnd"/>
      <w:r w:rsidRPr="00CE68D4">
        <w:rPr>
          <w:rFonts w:ascii="Arial" w:hAnsi="Arial" w:cs="Arial"/>
          <w:sz w:val="20"/>
          <w:szCs w:val="20"/>
        </w:rPr>
        <w:t xml:space="preserve"> oxidative stability attributed to its phenolic compounds (Chan and Ismail, 2009; Ng et al., 2013). However, its susceptibility to degradation at high temperatures should be considered in food applications (Whitaker, 2003, Ibrahim et al. 2019).</w:t>
      </w:r>
    </w:p>
    <w:p w14:paraId="2D275C11" w14:textId="77777777" w:rsidR="006213BA" w:rsidRPr="0006555C" w:rsidRDefault="001F29A3" w:rsidP="006213BA">
      <w:pPr>
        <w:pStyle w:val="Heading4"/>
        <w:spacing w:before="0" w:line="360" w:lineRule="auto"/>
        <w:jc w:val="both"/>
        <w:rPr>
          <w:rFonts w:ascii="Arial" w:hAnsi="Arial" w:cs="Arial"/>
          <w:b w:val="0"/>
          <w:i w:val="0"/>
          <w:color w:val="000000" w:themeColor="text1"/>
          <w:sz w:val="22"/>
        </w:rPr>
      </w:pPr>
      <w:r>
        <w:rPr>
          <w:rStyle w:val="Strong"/>
          <w:rFonts w:ascii="Arial" w:hAnsi="Arial" w:cs="Arial"/>
          <w:b/>
          <w:i w:val="0"/>
          <w:color w:val="000000" w:themeColor="text1"/>
          <w:sz w:val="22"/>
        </w:rPr>
        <w:t xml:space="preserve">f) </w:t>
      </w:r>
      <w:proofErr w:type="spellStart"/>
      <w:r w:rsidR="006213BA" w:rsidRPr="0006555C">
        <w:rPr>
          <w:rStyle w:val="Strong"/>
          <w:rFonts w:ascii="Arial" w:hAnsi="Arial" w:cs="Arial"/>
          <w:b/>
          <w:i w:val="0"/>
          <w:color w:val="000000" w:themeColor="text1"/>
          <w:sz w:val="22"/>
        </w:rPr>
        <w:t>Mestha</w:t>
      </w:r>
      <w:proofErr w:type="spellEnd"/>
      <w:r w:rsidR="006213BA" w:rsidRPr="0006555C">
        <w:rPr>
          <w:rStyle w:val="Strong"/>
          <w:rFonts w:ascii="Arial" w:hAnsi="Arial" w:cs="Arial"/>
          <w:b/>
          <w:i w:val="0"/>
          <w:color w:val="000000" w:themeColor="text1"/>
          <w:sz w:val="22"/>
        </w:rPr>
        <w:t xml:space="preserve"> Seed Protein as a Functional Ingredient</w:t>
      </w:r>
    </w:p>
    <w:p w14:paraId="5A03BF95" w14:textId="77777777" w:rsidR="006213BA" w:rsidRPr="00CE68D4" w:rsidRDefault="006213BA" w:rsidP="006213BA">
      <w:pPr>
        <w:pStyle w:val="NormalWeb"/>
        <w:spacing w:before="0" w:beforeAutospacing="0" w:after="0" w:afterAutospacing="0" w:line="360" w:lineRule="auto"/>
        <w:jc w:val="both"/>
        <w:rPr>
          <w:rFonts w:ascii="Arial" w:hAnsi="Arial" w:cs="Arial"/>
          <w:sz w:val="20"/>
          <w:szCs w:val="20"/>
        </w:rPr>
      </w:pPr>
      <w:r w:rsidRPr="00CE68D4">
        <w:rPr>
          <w:rFonts w:ascii="Arial" w:hAnsi="Arial" w:cs="Arial"/>
          <w:sz w:val="20"/>
          <w:szCs w:val="20"/>
        </w:rPr>
        <w:tab/>
      </w:r>
      <w:proofErr w:type="spellStart"/>
      <w:r w:rsidRPr="00CE68D4">
        <w:rPr>
          <w:rFonts w:ascii="Arial" w:hAnsi="Arial" w:cs="Arial"/>
          <w:sz w:val="20"/>
          <w:szCs w:val="20"/>
        </w:rPr>
        <w:t>Mestha</w:t>
      </w:r>
      <w:proofErr w:type="spellEnd"/>
      <w:r w:rsidRPr="00CE68D4">
        <w:rPr>
          <w:rFonts w:ascii="Arial" w:hAnsi="Arial" w:cs="Arial"/>
          <w:sz w:val="20"/>
          <w:szCs w:val="20"/>
        </w:rPr>
        <w:t xml:space="preserve"> seed protein concentrate (KSPC) exhibits excellent functional properties, including high water and oil absorption and foaming capacities, making it suitable for use in mayonnaise, salad dressings, and baked products (</w:t>
      </w:r>
      <w:proofErr w:type="spellStart"/>
      <w:r w:rsidRPr="00CE68D4">
        <w:rPr>
          <w:rFonts w:ascii="Arial" w:hAnsi="Arial" w:cs="Arial"/>
          <w:sz w:val="20"/>
          <w:szCs w:val="20"/>
        </w:rPr>
        <w:t>Mariod</w:t>
      </w:r>
      <w:proofErr w:type="spellEnd"/>
      <w:r w:rsidRPr="00CE68D4">
        <w:rPr>
          <w:rFonts w:ascii="Arial" w:hAnsi="Arial" w:cs="Arial"/>
          <w:sz w:val="20"/>
          <w:szCs w:val="20"/>
        </w:rPr>
        <w:t xml:space="preserve"> et al., 2010). Its stability across a wide pH range and variable salt concentrations enhances its versatility as a functional food ingredient. Despite its potential,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seed derivatives remain underutilized compared to similar products like roselle seed powder, which has already been successfully incorporated into cookies with improved nutritional and antioxidant properties (Nyam et al., 2014; Nguyen et al., 2018, Ibrahim et al. 2019).</w:t>
      </w:r>
    </w:p>
    <w:p w14:paraId="5CD994F0" w14:textId="77777777" w:rsidR="006213BA" w:rsidRPr="0006555C" w:rsidRDefault="001F29A3" w:rsidP="006213BA">
      <w:pPr>
        <w:pStyle w:val="Heading4"/>
        <w:spacing w:before="0" w:line="360" w:lineRule="auto"/>
        <w:jc w:val="both"/>
        <w:rPr>
          <w:rFonts w:ascii="Arial" w:hAnsi="Arial" w:cs="Arial"/>
          <w:b w:val="0"/>
          <w:i w:val="0"/>
          <w:color w:val="000000" w:themeColor="text1"/>
          <w:sz w:val="22"/>
        </w:rPr>
      </w:pPr>
      <w:r>
        <w:rPr>
          <w:rStyle w:val="Strong"/>
          <w:rFonts w:ascii="Arial" w:hAnsi="Arial" w:cs="Arial"/>
          <w:b/>
          <w:i w:val="0"/>
          <w:color w:val="000000" w:themeColor="text1"/>
          <w:sz w:val="22"/>
        </w:rPr>
        <w:t xml:space="preserve">g) </w:t>
      </w:r>
      <w:proofErr w:type="spellStart"/>
      <w:r w:rsidR="006213BA" w:rsidRPr="0006555C">
        <w:rPr>
          <w:rStyle w:val="Strong"/>
          <w:rFonts w:ascii="Arial" w:hAnsi="Arial" w:cs="Arial"/>
          <w:b/>
          <w:i w:val="0"/>
          <w:color w:val="000000" w:themeColor="text1"/>
          <w:sz w:val="22"/>
        </w:rPr>
        <w:t>Mestha</w:t>
      </w:r>
      <w:proofErr w:type="spellEnd"/>
      <w:r w:rsidR="006213BA" w:rsidRPr="0006555C">
        <w:rPr>
          <w:rStyle w:val="Strong"/>
          <w:rFonts w:ascii="Arial" w:hAnsi="Arial" w:cs="Arial"/>
          <w:b/>
          <w:i w:val="0"/>
          <w:color w:val="000000" w:themeColor="text1"/>
          <w:sz w:val="22"/>
        </w:rPr>
        <w:t xml:space="preserve"> Seed as a Meat Substitute</w:t>
      </w:r>
    </w:p>
    <w:p w14:paraId="2233A4EA" w14:textId="77777777" w:rsidR="006213BA" w:rsidRPr="00CE68D4" w:rsidRDefault="006213BA" w:rsidP="006213BA">
      <w:pPr>
        <w:pStyle w:val="NormalWeb"/>
        <w:spacing w:before="0" w:beforeAutospacing="0" w:after="0" w:afterAutospacing="0" w:line="360" w:lineRule="auto"/>
        <w:jc w:val="both"/>
        <w:rPr>
          <w:rFonts w:ascii="Arial" w:hAnsi="Arial" w:cs="Arial"/>
          <w:sz w:val="20"/>
          <w:szCs w:val="20"/>
        </w:rPr>
      </w:pPr>
      <w:r w:rsidRPr="00CE68D4">
        <w:rPr>
          <w:rFonts w:ascii="Arial" w:hAnsi="Arial" w:cs="Arial"/>
          <w:sz w:val="20"/>
          <w:szCs w:val="20"/>
        </w:rPr>
        <w:tab/>
        <w:t xml:space="preserve">Given its high protein content,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seed represents a viable plant-based protein source for developing meat analogues. Its low cost and functional properties make it an attractive alternative to animal protein, especially in addressing malnutrition in developing regions (Singh et al., 2008). Applications include texturized protein products, tofu, and tempeh. Defatted or isolated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seed proteins can be extruded to produce textured meat analogues (Lin et al., 2002; Brishti et al., 2017), while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seed milk can be coagulated into tofu or fermented into tempeh using </w:t>
      </w:r>
      <w:r w:rsidRPr="00CE68D4">
        <w:rPr>
          <w:rStyle w:val="Emphasis"/>
          <w:rFonts w:ascii="Arial" w:hAnsi="Arial" w:cs="Arial"/>
          <w:sz w:val="20"/>
          <w:szCs w:val="20"/>
        </w:rPr>
        <w:t xml:space="preserve">Rhizopus </w:t>
      </w:r>
      <w:proofErr w:type="spellStart"/>
      <w:r w:rsidRPr="00CE68D4">
        <w:rPr>
          <w:rStyle w:val="Emphasis"/>
          <w:rFonts w:ascii="Arial" w:hAnsi="Arial" w:cs="Arial"/>
          <w:sz w:val="20"/>
          <w:szCs w:val="20"/>
        </w:rPr>
        <w:t>oligosporus</w:t>
      </w:r>
      <w:proofErr w:type="spellEnd"/>
      <w:r w:rsidRPr="00CE68D4">
        <w:rPr>
          <w:rFonts w:ascii="Arial" w:hAnsi="Arial" w:cs="Arial"/>
          <w:sz w:val="20"/>
          <w:szCs w:val="20"/>
        </w:rPr>
        <w:t xml:space="preserve"> (Vital et al., 2018), providing nutritious and culturally adaptable meat substitutes.</w:t>
      </w:r>
    </w:p>
    <w:p w14:paraId="324A63CD" w14:textId="77777777" w:rsidR="006213BA" w:rsidRPr="0006555C" w:rsidRDefault="001F29A3" w:rsidP="006213BA">
      <w:pPr>
        <w:spacing w:line="360" w:lineRule="auto"/>
        <w:jc w:val="both"/>
        <w:outlineLvl w:val="3"/>
        <w:rPr>
          <w:rFonts w:ascii="Arial" w:hAnsi="Arial" w:cs="Arial"/>
          <w:b/>
          <w:bCs/>
          <w:sz w:val="22"/>
          <w:lang w:eastAsia="en-IN"/>
        </w:rPr>
      </w:pPr>
      <w:r>
        <w:rPr>
          <w:rFonts w:ascii="Arial" w:hAnsi="Arial" w:cs="Arial"/>
          <w:b/>
          <w:bCs/>
          <w:sz w:val="22"/>
          <w:lang w:eastAsia="en-IN"/>
        </w:rPr>
        <w:t xml:space="preserve">8. </w:t>
      </w:r>
      <w:r w:rsidRPr="0006555C">
        <w:rPr>
          <w:rFonts w:ascii="Arial" w:hAnsi="Arial" w:cs="Arial"/>
          <w:b/>
          <w:bCs/>
          <w:sz w:val="22"/>
          <w:lang w:eastAsia="en-IN"/>
        </w:rPr>
        <w:t>FUTURE PROSPECTS AND RESEARCH OPPORTUNITIES</w:t>
      </w:r>
    </w:p>
    <w:p w14:paraId="6AE36B30" w14:textId="77777777" w:rsidR="006213BA" w:rsidRPr="00CE68D4" w:rsidRDefault="006213BA" w:rsidP="006213BA">
      <w:pPr>
        <w:spacing w:line="360" w:lineRule="auto"/>
        <w:jc w:val="both"/>
        <w:rPr>
          <w:rFonts w:ascii="Arial" w:hAnsi="Arial" w:cs="Arial"/>
          <w:lang w:eastAsia="en-IN"/>
        </w:rPr>
      </w:pPr>
      <w:r w:rsidRPr="00CE68D4">
        <w:rPr>
          <w:rFonts w:ascii="Arial" w:hAnsi="Arial" w:cs="Arial"/>
        </w:rPr>
        <w:tab/>
      </w:r>
      <w:r w:rsidRPr="00CE68D4">
        <w:rPr>
          <w:rFonts w:ascii="Arial" w:hAnsi="Arial" w:cs="Arial"/>
          <w:lang w:eastAsia="en-IN"/>
        </w:rPr>
        <w:t xml:space="preserve">Although </w:t>
      </w:r>
      <w:proofErr w:type="spellStart"/>
      <w:r w:rsidRPr="00CE68D4">
        <w:rPr>
          <w:rFonts w:ascii="Arial" w:hAnsi="Arial" w:cs="Arial"/>
          <w:lang w:eastAsia="en-IN"/>
        </w:rPr>
        <w:t>mestha</w:t>
      </w:r>
      <w:proofErr w:type="spellEnd"/>
      <w:r w:rsidRPr="00CE68D4">
        <w:rPr>
          <w:rFonts w:ascii="Arial" w:hAnsi="Arial" w:cs="Arial"/>
          <w:lang w:eastAsia="en-IN"/>
        </w:rPr>
        <w:t xml:space="preserve"> has historically been valued for its fiber, its high nutritional and bioactive compound profile has made it a promising candidate for diversification in both the food and feed industries. Improvements in food technology, plant breeding, and value-added product development can significantly increase the utilization of </w:t>
      </w:r>
      <w:proofErr w:type="spellStart"/>
      <w:r w:rsidRPr="00CE68D4">
        <w:rPr>
          <w:rFonts w:ascii="Arial" w:hAnsi="Arial" w:cs="Arial"/>
          <w:lang w:eastAsia="en-IN"/>
        </w:rPr>
        <w:t>mestha</w:t>
      </w:r>
      <w:proofErr w:type="spellEnd"/>
      <w:r w:rsidRPr="00CE68D4">
        <w:rPr>
          <w:rFonts w:ascii="Arial" w:hAnsi="Arial" w:cs="Arial"/>
          <w:lang w:eastAsia="en-IN"/>
        </w:rPr>
        <w:t xml:space="preserve"> leaves and seeds for human consumption and industrial purposes. The future of Hibiscus </w:t>
      </w:r>
      <w:proofErr w:type="spellStart"/>
      <w:r w:rsidRPr="00CE68D4">
        <w:rPr>
          <w:rFonts w:ascii="Arial" w:hAnsi="Arial" w:cs="Arial"/>
          <w:lang w:eastAsia="en-IN"/>
        </w:rPr>
        <w:t>cannabinus</w:t>
      </w:r>
      <w:proofErr w:type="spellEnd"/>
      <w:r w:rsidRPr="00CE68D4">
        <w:rPr>
          <w:rFonts w:ascii="Arial" w:hAnsi="Arial" w:cs="Arial"/>
          <w:lang w:eastAsia="en-IN"/>
        </w:rPr>
        <w:t xml:space="preserve"> (</w:t>
      </w:r>
      <w:proofErr w:type="spellStart"/>
      <w:r w:rsidRPr="00CE68D4">
        <w:rPr>
          <w:rFonts w:ascii="Arial" w:hAnsi="Arial" w:cs="Arial"/>
          <w:lang w:eastAsia="en-IN"/>
        </w:rPr>
        <w:t>mestha</w:t>
      </w:r>
      <w:proofErr w:type="spellEnd"/>
      <w:r w:rsidRPr="00CE68D4">
        <w:rPr>
          <w:rFonts w:ascii="Arial" w:hAnsi="Arial" w:cs="Arial"/>
          <w:lang w:eastAsia="en-IN"/>
        </w:rPr>
        <w:t xml:space="preserve">) as a multifaceted crop lies in its potential to address the global challenges of food insecurity, malnutrition, and environmental sustainability. To create </w:t>
      </w:r>
      <w:proofErr w:type="spellStart"/>
      <w:r w:rsidRPr="00CE68D4">
        <w:rPr>
          <w:rFonts w:ascii="Arial" w:hAnsi="Arial" w:cs="Arial"/>
          <w:lang w:eastAsia="en-IN"/>
        </w:rPr>
        <w:t>mestha</w:t>
      </w:r>
      <w:proofErr w:type="spellEnd"/>
      <w:r w:rsidRPr="00CE68D4">
        <w:rPr>
          <w:rFonts w:ascii="Arial" w:hAnsi="Arial" w:cs="Arial"/>
          <w:lang w:eastAsia="en-IN"/>
        </w:rPr>
        <w:t xml:space="preserve"> cultivars that are high-yielding, nutrient-dense, and climate-resilient, more research should concentrate on agronomic optimization and genetic enhancement. Through improved productivity under low-input systems and increased resilience to changing agroecological circumstances, </w:t>
      </w:r>
      <w:proofErr w:type="spellStart"/>
      <w:r w:rsidRPr="00CE68D4">
        <w:rPr>
          <w:rFonts w:ascii="Arial" w:hAnsi="Arial" w:cs="Arial"/>
          <w:lang w:eastAsia="en-IN"/>
        </w:rPr>
        <w:t>mestha</w:t>
      </w:r>
      <w:proofErr w:type="spellEnd"/>
      <w:r w:rsidRPr="00CE68D4">
        <w:rPr>
          <w:rFonts w:ascii="Arial" w:hAnsi="Arial" w:cs="Arial"/>
          <w:lang w:eastAsia="en-IN"/>
        </w:rPr>
        <w:t xml:space="preserve"> would become a feasible choice for smallholder and sustainable farming systems. To find and improve desirable features like biomass yield, disease resistance, and antioxidant capacity, molecular breeding and biotechnological techniques could be used. As a natural source of antioxidants, vitamins, minerals, and dietary fiber, </w:t>
      </w:r>
      <w:proofErr w:type="spellStart"/>
      <w:r w:rsidRPr="00CE68D4">
        <w:rPr>
          <w:rFonts w:ascii="Arial" w:hAnsi="Arial" w:cs="Arial"/>
          <w:lang w:eastAsia="en-IN"/>
        </w:rPr>
        <w:t>mestha</w:t>
      </w:r>
      <w:proofErr w:type="spellEnd"/>
      <w:r w:rsidRPr="00CE68D4">
        <w:rPr>
          <w:rFonts w:ascii="Arial" w:hAnsi="Arial" w:cs="Arial"/>
          <w:lang w:eastAsia="en-IN"/>
        </w:rPr>
        <w:t xml:space="preserve"> holds considerable promise from the standpoint of nutrition and functional foods. A novel strategy for enhancing dietary quality and preventing non-communicable illnesses is the addition of </w:t>
      </w:r>
      <w:proofErr w:type="spellStart"/>
      <w:r w:rsidRPr="00CE68D4">
        <w:rPr>
          <w:rFonts w:ascii="Arial" w:hAnsi="Arial" w:cs="Arial"/>
          <w:lang w:eastAsia="en-IN"/>
        </w:rPr>
        <w:t>mestha</w:t>
      </w:r>
      <w:proofErr w:type="spellEnd"/>
      <w:r w:rsidRPr="00CE68D4">
        <w:rPr>
          <w:rFonts w:ascii="Arial" w:hAnsi="Arial" w:cs="Arial"/>
          <w:lang w:eastAsia="en-IN"/>
        </w:rPr>
        <w:t xml:space="preserve"> leaf powder to common foods, drinks, and nutraceutical formulations. To promote broader consumer acceptance and commercial scalability, research should examine the bioavailability, safety, and sensory acceptability of food products made from </w:t>
      </w:r>
      <w:proofErr w:type="spellStart"/>
      <w:r w:rsidRPr="00CE68D4">
        <w:rPr>
          <w:rFonts w:ascii="Arial" w:hAnsi="Arial" w:cs="Arial"/>
          <w:lang w:eastAsia="en-IN"/>
        </w:rPr>
        <w:t>mestha</w:t>
      </w:r>
      <w:proofErr w:type="spellEnd"/>
      <w:r w:rsidRPr="00CE68D4">
        <w:rPr>
          <w:rFonts w:ascii="Arial" w:hAnsi="Arial" w:cs="Arial"/>
          <w:lang w:eastAsia="en-IN"/>
        </w:rPr>
        <w:t xml:space="preserve">. Furthermore, thorough research on its pharmacological characteristics and phytochemical makeup may yield new medicinal molecules for the cosmetics and pharmaceutical sectors. The lignocellulosic biomass from </w:t>
      </w:r>
      <w:proofErr w:type="spellStart"/>
      <w:r w:rsidRPr="00CE68D4">
        <w:rPr>
          <w:rFonts w:ascii="Arial" w:hAnsi="Arial" w:cs="Arial"/>
          <w:lang w:eastAsia="en-IN"/>
        </w:rPr>
        <w:t>mestha</w:t>
      </w:r>
      <w:proofErr w:type="spellEnd"/>
      <w:r w:rsidRPr="00CE68D4">
        <w:rPr>
          <w:rFonts w:ascii="Arial" w:hAnsi="Arial" w:cs="Arial"/>
          <w:lang w:eastAsia="en-IN"/>
        </w:rPr>
        <w:t xml:space="preserve"> has enormous potential for use in industry and the environment as a renewable raw material for bioenergy, bioplastics, and environmentally friendly packaging. </w:t>
      </w:r>
      <w:proofErr w:type="spellStart"/>
      <w:r w:rsidRPr="00CE68D4">
        <w:rPr>
          <w:rFonts w:ascii="Arial" w:hAnsi="Arial" w:cs="Arial"/>
          <w:lang w:eastAsia="en-IN"/>
        </w:rPr>
        <w:t>Mestha</w:t>
      </w:r>
      <w:proofErr w:type="spellEnd"/>
      <w:r w:rsidRPr="00CE68D4">
        <w:rPr>
          <w:rFonts w:ascii="Arial" w:hAnsi="Arial" w:cs="Arial"/>
          <w:lang w:eastAsia="en-IN"/>
        </w:rPr>
        <w:t xml:space="preserve"> is positioned as a sustainable resource within the circular bioeconomy due to its quick growth rate and capacity to store carbon, which helps mitigate the </w:t>
      </w:r>
      <w:r w:rsidRPr="00CE68D4">
        <w:rPr>
          <w:rFonts w:ascii="Arial" w:hAnsi="Arial" w:cs="Arial"/>
          <w:lang w:eastAsia="en-IN"/>
        </w:rPr>
        <w:lastRenderedPageBreak/>
        <w:t xml:space="preserve">effects of climate change. Policy assistance, market development, and farmer awareness initiatives encouraging </w:t>
      </w:r>
      <w:proofErr w:type="spellStart"/>
      <w:r w:rsidRPr="00CE68D4">
        <w:rPr>
          <w:rFonts w:ascii="Arial" w:hAnsi="Arial" w:cs="Arial"/>
          <w:lang w:eastAsia="en-IN"/>
        </w:rPr>
        <w:t>mestha</w:t>
      </w:r>
      <w:proofErr w:type="spellEnd"/>
      <w:r w:rsidRPr="00CE68D4">
        <w:rPr>
          <w:rFonts w:ascii="Arial" w:hAnsi="Arial" w:cs="Arial"/>
          <w:lang w:eastAsia="en-IN"/>
        </w:rPr>
        <w:t xml:space="preserve"> cultivation and use are urgently needed to fully exploit these prospects. Rural communities can benefit economically from the establishment of value chains for </w:t>
      </w:r>
      <w:proofErr w:type="spellStart"/>
      <w:r w:rsidRPr="00CE68D4">
        <w:rPr>
          <w:rFonts w:ascii="Arial" w:hAnsi="Arial" w:cs="Arial"/>
          <w:lang w:eastAsia="en-IN"/>
        </w:rPr>
        <w:t>mestha</w:t>
      </w:r>
      <w:proofErr w:type="spellEnd"/>
      <w:r w:rsidRPr="00CE68D4">
        <w:rPr>
          <w:rFonts w:ascii="Arial" w:hAnsi="Arial" w:cs="Arial"/>
          <w:lang w:eastAsia="en-IN"/>
        </w:rPr>
        <w:t xml:space="preserve">-based goods and the strengthening of research-industry relationships, both of which contribute to global sustainability objectives. All things considered, the future of </w:t>
      </w:r>
      <w:proofErr w:type="spellStart"/>
      <w:r w:rsidRPr="00CE68D4">
        <w:rPr>
          <w:rFonts w:ascii="Arial" w:hAnsi="Arial" w:cs="Arial"/>
          <w:lang w:eastAsia="en-IN"/>
        </w:rPr>
        <w:t>mestha</w:t>
      </w:r>
      <w:proofErr w:type="spellEnd"/>
      <w:r w:rsidRPr="00CE68D4">
        <w:rPr>
          <w:rFonts w:ascii="Arial" w:hAnsi="Arial" w:cs="Arial"/>
          <w:lang w:eastAsia="en-IN"/>
        </w:rPr>
        <w:t xml:space="preserve"> rests in a comprehensive strategy that blends market diversification, sustainable production, and scientific innovation, turning this neglected crop into a significant contribution to environmental preservation, food security, and health enhancement.</w:t>
      </w:r>
    </w:p>
    <w:p w14:paraId="319407B9" w14:textId="77777777" w:rsidR="006213BA" w:rsidRPr="00CE68D4" w:rsidRDefault="00BA1F19" w:rsidP="006213BA">
      <w:pPr>
        <w:spacing w:line="360" w:lineRule="auto"/>
        <w:jc w:val="both"/>
        <w:outlineLvl w:val="3"/>
        <w:rPr>
          <w:rFonts w:ascii="Arial" w:hAnsi="Arial" w:cs="Arial"/>
          <w:b/>
          <w:bCs/>
          <w:lang w:eastAsia="en-IN"/>
        </w:rPr>
      </w:pPr>
      <w:r>
        <w:rPr>
          <w:rFonts w:ascii="Arial" w:hAnsi="Arial" w:cs="Arial"/>
          <w:b/>
          <w:bCs/>
          <w:sz w:val="22"/>
          <w:lang w:eastAsia="en-IN"/>
        </w:rPr>
        <w:t xml:space="preserve">9. </w:t>
      </w:r>
      <w:r w:rsidRPr="0006555C">
        <w:rPr>
          <w:rFonts w:ascii="Arial" w:hAnsi="Arial" w:cs="Arial"/>
          <w:b/>
          <w:bCs/>
          <w:sz w:val="22"/>
          <w:lang w:eastAsia="en-IN"/>
        </w:rPr>
        <w:t>CONCLUSION</w:t>
      </w:r>
    </w:p>
    <w:p w14:paraId="16F924A4" w14:textId="77777777" w:rsidR="006213BA" w:rsidRPr="00CE68D4" w:rsidRDefault="006213BA" w:rsidP="006213BA">
      <w:pPr>
        <w:spacing w:line="360" w:lineRule="auto"/>
        <w:jc w:val="both"/>
        <w:rPr>
          <w:rFonts w:ascii="Arial" w:hAnsi="Arial" w:cs="Arial"/>
          <w:lang w:eastAsia="en-IN"/>
        </w:rPr>
      </w:pPr>
      <w:r w:rsidRPr="00CE68D4">
        <w:rPr>
          <w:rFonts w:ascii="Arial" w:hAnsi="Arial" w:cs="Arial"/>
          <w:i/>
          <w:iCs/>
          <w:lang w:eastAsia="en-IN"/>
        </w:rPr>
        <w:tab/>
        <w:t>Hibiscus cannabinus</w:t>
      </w:r>
      <w:r w:rsidRPr="00CE68D4">
        <w:rPr>
          <w:rFonts w:ascii="Arial" w:hAnsi="Arial" w:cs="Arial"/>
          <w:lang w:eastAsia="en-IN"/>
        </w:rPr>
        <w:t xml:space="preserve"> L. (</w:t>
      </w:r>
      <w:proofErr w:type="spellStart"/>
      <w:r w:rsidRPr="00CE68D4">
        <w:rPr>
          <w:rFonts w:ascii="Arial" w:hAnsi="Arial" w:cs="Arial"/>
          <w:lang w:eastAsia="en-IN"/>
        </w:rPr>
        <w:t>mestha</w:t>
      </w:r>
      <w:proofErr w:type="spellEnd"/>
      <w:r w:rsidRPr="00CE68D4">
        <w:rPr>
          <w:rFonts w:ascii="Arial" w:hAnsi="Arial" w:cs="Arial"/>
          <w:lang w:eastAsia="en-IN"/>
        </w:rPr>
        <w:t xml:space="preserve">) represents a highly versatile and underutilized crop with significant potential to contribute to global food, feed, and fiber security. Traditionally cultivated for its high-quality </w:t>
      </w:r>
      <w:proofErr w:type="spellStart"/>
      <w:r w:rsidRPr="00CE68D4">
        <w:rPr>
          <w:rFonts w:ascii="Arial" w:hAnsi="Arial" w:cs="Arial"/>
          <w:lang w:eastAsia="en-IN"/>
        </w:rPr>
        <w:t>bast</w:t>
      </w:r>
      <w:proofErr w:type="spellEnd"/>
      <w:r w:rsidRPr="00CE68D4">
        <w:rPr>
          <w:rFonts w:ascii="Arial" w:hAnsi="Arial" w:cs="Arial"/>
          <w:lang w:eastAsia="en-IN"/>
        </w:rPr>
        <w:t xml:space="preserve"> fiber, </w:t>
      </w:r>
      <w:proofErr w:type="spellStart"/>
      <w:r w:rsidRPr="00CE68D4">
        <w:rPr>
          <w:rFonts w:ascii="Arial" w:hAnsi="Arial" w:cs="Arial"/>
          <w:lang w:eastAsia="en-IN"/>
        </w:rPr>
        <w:t>mestha</w:t>
      </w:r>
      <w:proofErr w:type="spellEnd"/>
      <w:r w:rsidRPr="00CE68D4">
        <w:rPr>
          <w:rFonts w:ascii="Arial" w:hAnsi="Arial" w:cs="Arial"/>
          <w:lang w:eastAsia="en-IN"/>
        </w:rPr>
        <w:t xml:space="preserve"> is now gaining recognition for its nutritional, medicinal, and functional value. The leaves and seeds are rich in essential nutrients, proteins, minerals, and bioactive compounds such as phenolics and flavonoids, which exhibit strong antioxidant, anti-inflammatory, and hepatoprotective activities. These attributes make </w:t>
      </w:r>
      <w:proofErr w:type="spellStart"/>
      <w:r w:rsidRPr="00CE68D4">
        <w:rPr>
          <w:rFonts w:ascii="Arial" w:hAnsi="Arial" w:cs="Arial"/>
          <w:lang w:eastAsia="en-IN"/>
        </w:rPr>
        <w:t>mestha</w:t>
      </w:r>
      <w:proofErr w:type="spellEnd"/>
      <w:r w:rsidRPr="00CE68D4">
        <w:rPr>
          <w:rFonts w:ascii="Arial" w:hAnsi="Arial" w:cs="Arial"/>
          <w:lang w:eastAsia="en-IN"/>
        </w:rPr>
        <w:t xml:space="preserve"> a promising ingredient for the development of functional foods, nutraceuticals, and herbal formulations aimed at improving human and animal health.</w:t>
      </w:r>
    </w:p>
    <w:p w14:paraId="6EFF78A6" w14:textId="77777777" w:rsidR="006213BA" w:rsidRPr="00CE68D4" w:rsidRDefault="006213BA" w:rsidP="006213BA">
      <w:pPr>
        <w:spacing w:line="360" w:lineRule="auto"/>
        <w:jc w:val="both"/>
        <w:rPr>
          <w:rFonts w:ascii="Arial" w:hAnsi="Arial" w:cs="Arial"/>
          <w:lang w:eastAsia="en-IN"/>
        </w:rPr>
      </w:pPr>
      <w:r w:rsidRPr="00CE68D4">
        <w:rPr>
          <w:rFonts w:ascii="Arial" w:hAnsi="Arial" w:cs="Arial"/>
          <w:lang w:eastAsia="en-IN"/>
        </w:rPr>
        <w:tab/>
        <w:t xml:space="preserve">Agronomically, </w:t>
      </w:r>
      <w:proofErr w:type="spellStart"/>
      <w:r w:rsidRPr="00CE68D4">
        <w:rPr>
          <w:rFonts w:ascii="Arial" w:hAnsi="Arial" w:cs="Arial"/>
          <w:lang w:eastAsia="en-IN"/>
        </w:rPr>
        <w:t>mestha</w:t>
      </w:r>
      <w:proofErr w:type="spellEnd"/>
      <w:r w:rsidRPr="00CE68D4">
        <w:rPr>
          <w:rFonts w:ascii="Arial" w:hAnsi="Arial" w:cs="Arial"/>
          <w:lang w:eastAsia="en-IN"/>
        </w:rPr>
        <w:t xml:space="preserve"> demonstrates remarkable adaptability to a wide range of climatic and soil conditions, making it suitable for sustainable cultivation in both tropical and subtropical regions. Its rapid growth rate, high biomass production, and ability to thrive under low-input systems further enhance its value as a climate-resilient crop. Despite these advantages, </w:t>
      </w:r>
      <w:proofErr w:type="spellStart"/>
      <w:r w:rsidRPr="00CE68D4">
        <w:rPr>
          <w:rFonts w:ascii="Arial" w:hAnsi="Arial" w:cs="Arial"/>
          <w:lang w:eastAsia="en-IN"/>
        </w:rPr>
        <w:t>mestha</w:t>
      </w:r>
      <w:proofErr w:type="spellEnd"/>
      <w:r w:rsidRPr="00CE68D4">
        <w:rPr>
          <w:rFonts w:ascii="Arial" w:hAnsi="Arial" w:cs="Arial"/>
          <w:lang w:eastAsia="en-IN"/>
        </w:rPr>
        <w:t xml:space="preserve"> remains underexploited as a food and feed resource, largely due to limited awareness, research, and commercialization efforts.</w:t>
      </w:r>
    </w:p>
    <w:p w14:paraId="59C466AC" w14:textId="77777777" w:rsidR="006213BA" w:rsidRPr="00CE68D4" w:rsidRDefault="006213BA" w:rsidP="006213BA">
      <w:pPr>
        <w:spacing w:line="360" w:lineRule="auto"/>
        <w:jc w:val="both"/>
        <w:rPr>
          <w:rFonts w:ascii="Arial" w:hAnsi="Arial" w:cs="Arial"/>
          <w:lang w:eastAsia="en-IN"/>
        </w:rPr>
      </w:pPr>
      <w:r w:rsidRPr="00CE68D4">
        <w:rPr>
          <w:rFonts w:ascii="Arial" w:hAnsi="Arial" w:cs="Arial"/>
          <w:lang w:eastAsia="en-IN"/>
        </w:rPr>
        <w:tab/>
        <w:t xml:space="preserve">To unlock its full potential, integrated strategies focusing on genetic improvement, nutritional characterization, product innovation, and market development are essential. Promoting </w:t>
      </w:r>
      <w:proofErr w:type="spellStart"/>
      <w:r w:rsidRPr="00CE68D4">
        <w:rPr>
          <w:rFonts w:ascii="Arial" w:hAnsi="Arial" w:cs="Arial"/>
          <w:lang w:eastAsia="en-IN"/>
        </w:rPr>
        <w:t>mestha</w:t>
      </w:r>
      <w:proofErr w:type="spellEnd"/>
      <w:r w:rsidRPr="00CE68D4">
        <w:rPr>
          <w:rFonts w:ascii="Arial" w:hAnsi="Arial" w:cs="Arial"/>
          <w:lang w:eastAsia="en-IN"/>
        </w:rPr>
        <w:t xml:space="preserve"> as a leafy vegetable and functional ingredient can play a vital role in enhancing food diversity, combating malnutrition, and supporting sustainable agricultural practices. In conclusion, </w:t>
      </w:r>
      <w:proofErr w:type="spellStart"/>
      <w:r w:rsidRPr="00CE68D4">
        <w:rPr>
          <w:rFonts w:ascii="Arial" w:hAnsi="Arial" w:cs="Arial"/>
          <w:lang w:eastAsia="en-IN"/>
        </w:rPr>
        <w:t>mestha</w:t>
      </w:r>
      <w:proofErr w:type="spellEnd"/>
      <w:r w:rsidRPr="00CE68D4">
        <w:rPr>
          <w:rFonts w:ascii="Arial" w:hAnsi="Arial" w:cs="Arial"/>
          <w:lang w:eastAsia="en-IN"/>
        </w:rPr>
        <w:t xml:space="preserve"> stands as a multipurpose crop of the future—offering solutions not only for nutritional and health challenges but also for environmental and economic sustainability.</w:t>
      </w:r>
    </w:p>
    <w:p w14:paraId="1DC02A87" w14:textId="77777777" w:rsidR="00B01FCD" w:rsidRPr="0006555C" w:rsidRDefault="0006555C" w:rsidP="00441B6F">
      <w:pPr>
        <w:pStyle w:val="ReferHead"/>
        <w:spacing w:after="0"/>
        <w:jc w:val="both"/>
        <w:rPr>
          <w:rFonts w:ascii="Arial" w:hAnsi="Arial" w:cs="Arial"/>
        </w:rPr>
      </w:pPr>
      <w:r w:rsidRPr="0006555C">
        <w:rPr>
          <w:rFonts w:ascii="Arial" w:hAnsi="Arial" w:cs="Arial"/>
          <w:caps w:val="0"/>
        </w:rPr>
        <w:t>References</w:t>
      </w:r>
    </w:p>
    <w:p w14:paraId="702C4738"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t xml:space="preserve">Afzal, M., Ibrahim, A., Xu, Y., </w:t>
      </w:r>
      <w:proofErr w:type="spellStart"/>
      <w:r w:rsidRPr="00CE68D4">
        <w:rPr>
          <w:rFonts w:ascii="Arial" w:hAnsi="Arial" w:cs="Arial"/>
          <w:sz w:val="20"/>
          <w:szCs w:val="20"/>
        </w:rPr>
        <w:t>Niyitanga</w:t>
      </w:r>
      <w:proofErr w:type="spellEnd"/>
      <w:r w:rsidRPr="00CE68D4">
        <w:rPr>
          <w:rFonts w:ascii="Arial" w:hAnsi="Arial" w:cs="Arial"/>
          <w:sz w:val="20"/>
          <w:szCs w:val="20"/>
        </w:rPr>
        <w:t xml:space="preserve">, S., Li, Y., Li, D., Yang, X., &amp; Zhang, L. (2020).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w:t>
      </w:r>
      <w:r w:rsidRPr="00CE68D4">
        <w:rPr>
          <w:rStyle w:val="Emphasis"/>
          <w:rFonts w:ascii="Arial" w:hAnsi="Arial" w:cs="Arial"/>
          <w:sz w:val="20"/>
          <w:szCs w:val="20"/>
        </w:rPr>
        <w:t xml:space="preserve">Hibiscus </w:t>
      </w:r>
      <w:proofErr w:type="spellStart"/>
      <w:r w:rsidRPr="00CE68D4">
        <w:rPr>
          <w:rStyle w:val="Emphasis"/>
          <w:rFonts w:ascii="Arial" w:hAnsi="Arial" w:cs="Arial"/>
          <w:sz w:val="20"/>
          <w:szCs w:val="20"/>
        </w:rPr>
        <w:t>cannabinus</w:t>
      </w:r>
      <w:proofErr w:type="spellEnd"/>
      <w:r w:rsidRPr="00CE68D4">
        <w:rPr>
          <w:rFonts w:ascii="Arial" w:hAnsi="Arial" w:cs="Arial"/>
          <w:sz w:val="20"/>
          <w:szCs w:val="20"/>
        </w:rPr>
        <w:t xml:space="preserve"> L.) breeding. </w:t>
      </w:r>
      <w:r w:rsidRPr="00CE68D4">
        <w:rPr>
          <w:rStyle w:val="Emphasis"/>
          <w:rFonts w:ascii="Arial" w:hAnsi="Arial" w:cs="Arial"/>
          <w:sz w:val="20"/>
          <w:szCs w:val="20"/>
        </w:rPr>
        <w:t>Journal of Natural Fibers, 19</w:t>
      </w:r>
      <w:r w:rsidRPr="00CE68D4">
        <w:rPr>
          <w:rFonts w:ascii="Arial" w:hAnsi="Arial" w:cs="Arial"/>
          <w:sz w:val="20"/>
          <w:szCs w:val="20"/>
        </w:rPr>
        <w:t>(15), 4063–4081.</w:t>
      </w:r>
    </w:p>
    <w:p w14:paraId="6DB528CD"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t xml:space="preserve">Adebisi, M., Esuruoso, O., Adetumbi, J., Abdul-Rafiu, A., Kehinde, T., Ajani, O., &amp; Agboola, D. (2014). Shelf life of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w:t>
      </w:r>
      <w:r w:rsidRPr="00CE68D4">
        <w:rPr>
          <w:rStyle w:val="Emphasis"/>
          <w:rFonts w:ascii="Arial" w:hAnsi="Arial" w:cs="Arial"/>
          <w:sz w:val="20"/>
          <w:szCs w:val="20"/>
        </w:rPr>
        <w:t xml:space="preserve">Hibiscus </w:t>
      </w:r>
      <w:proofErr w:type="spellStart"/>
      <w:r w:rsidRPr="00CE68D4">
        <w:rPr>
          <w:rStyle w:val="Emphasis"/>
          <w:rFonts w:ascii="Arial" w:hAnsi="Arial" w:cs="Arial"/>
          <w:sz w:val="20"/>
          <w:szCs w:val="20"/>
        </w:rPr>
        <w:t>cannabinus</w:t>
      </w:r>
      <w:proofErr w:type="spellEnd"/>
      <w:r w:rsidRPr="00CE68D4">
        <w:rPr>
          <w:rFonts w:ascii="Arial" w:hAnsi="Arial" w:cs="Arial"/>
          <w:sz w:val="20"/>
          <w:szCs w:val="20"/>
        </w:rPr>
        <w:t xml:space="preserve"> L.) seed stored under humid tropical conditions. </w:t>
      </w:r>
      <w:r w:rsidRPr="00CE68D4">
        <w:rPr>
          <w:rStyle w:val="Emphasis"/>
          <w:rFonts w:ascii="Arial" w:hAnsi="Arial" w:cs="Arial"/>
          <w:sz w:val="20"/>
          <w:szCs w:val="20"/>
        </w:rPr>
        <w:t>Plant Breeding and Seed Science, 67</w:t>
      </w:r>
      <w:r w:rsidRPr="00CE68D4">
        <w:rPr>
          <w:rFonts w:ascii="Arial" w:hAnsi="Arial" w:cs="Arial"/>
          <w:sz w:val="20"/>
          <w:szCs w:val="20"/>
        </w:rPr>
        <w:t>, 75.</w:t>
      </w:r>
    </w:p>
    <w:p w14:paraId="59EB2B3F"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t xml:space="preserve">Agbor, G. A., Oben, J. E., </w:t>
      </w:r>
      <w:proofErr w:type="spellStart"/>
      <w:r w:rsidRPr="00CE68D4">
        <w:rPr>
          <w:rFonts w:ascii="Arial" w:hAnsi="Arial" w:cs="Arial"/>
          <w:sz w:val="20"/>
          <w:szCs w:val="20"/>
        </w:rPr>
        <w:t>Nkegoum</w:t>
      </w:r>
      <w:proofErr w:type="spellEnd"/>
      <w:r w:rsidRPr="00CE68D4">
        <w:rPr>
          <w:rFonts w:ascii="Arial" w:hAnsi="Arial" w:cs="Arial"/>
          <w:sz w:val="20"/>
          <w:szCs w:val="20"/>
        </w:rPr>
        <w:t xml:space="preserve">, B., Takala, J. P., &amp; </w:t>
      </w:r>
      <w:proofErr w:type="spellStart"/>
      <w:r w:rsidRPr="00CE68D4">
        <w:rPr>
          <w:rFonts w:ascii="Arial" w:hAnsi="Arial" w:cs="Arial"/>
          <w:sz w:val="20"/>
          <w:szCs w:val="20"/>
        </w:rPr>
        <w:t>Ngogang</w:t>
      </w:r>
      <w:proofErr w:type="spellEnd"/>
      <w:r w:rsidRPr="00CE68D4">
        <w:rPr>
          <w:rFonts w:ascii="Arial" w:hAnsi="Arial" w:cs="Arial"/>
          <w:sz w:val="20"/>
          <w:szCs w:val="20"/>
        </w:rPr>
        <w:t xml:space="preserve">, J. Y. (2005). Hepatoprotective activity of </w:t>
      </w:r>
      <w:r w:rsidRPr="00CE68D4">
        <w:rPr>
          <w:rStyle w:val="Emphasis"/>
          <w:rFonts w:ascii="Arial" w:hAnsi="Arial" w:cs="Arial"/>
          <w:sz w:val="20"/>
          <w:szCs w:val="20"/>
        </w:rPr>
        <w:t>Hibiscus cannabinus</w:t>
      </w:r>
      <w:r w:rsidRPr="00CE68D4">
        <w:rPr>
          <w:rFonts w:ascii="Arial" w:hAnsi="Arial" w:cs="Arial"/>
          <w:sz w:val="20"/>
          <w:szCs w:val="20"/>
        </w:rPr>
        <w:t xml:space="preserve"> (Linn.) against carbon tetrachloride and paracetamol induced liver damage in rats. </w:t>
      </w:r>
      <w:r w:rsidRPr="00CE68D4">
        <w:rPr>
          <w:rStyle w:val="Emphasis"/>
          <w:rFonts w:ascii="Arial" w:hAnsi="Arial" w:cs="Arial"/>
          <w:sz w:val="20"/>
          <w:szCs w:val="20"/>
        </w:rPr>
        <w:t>Pakistan Journal of Biological Sciences, 8</w:t>
      </w:r>
      <w:r w:rsidRPr="00CE68D4">
        <w:rPr>
          <w:rFonts w:ascii="Arial" w:hAnsi="Arial" w:cs="Arial"/>
          <w:sz w:val="20"/>
          <w:szCs w:val="20"/>
        </w:rPr>
        <w:t>(10), 1397–1401.</w:t>
      </w:r>
    </w:p>
    <w:p w14:paraId="2DE6E395"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proofErr w:type="spellStart"/>
      <w:r w:rsidRPr="00CE68D4">
        <w:rPr>
          <w:rFonts w:ascii="Arial" w:hAnsi="Arial" w:cs="Arial"/>
          <w:sz w:val="20"/>
          <w:szCs w:val="20"/>
        </w:rPr>
        <w:t>Alnadif</w:t>
      </w:r>
      <w:proofErr w:type="spellEnd"/>
      <w:r w:rsidRPr="00CE68D4">
        <w:rPr>
          <w:rFonts w:ascii="Arial" w:hAnsi="Arial" w:cs="Arial"/>
          <w:sz w:val="20"/>
          <w:szCs w:val="20"/>
        </w:rPr>
        <w:t xml:space="preserve">, A. A. M., Mirghani, M. E. S., &amp; Hussein, I. H. (2017). </w:t>
      </w:r>
      <w:r w:rsidRPr="00CE68D4">
        <w:rPr>
          <w:rStyle w:val="Emphasis"/>
          <w:rFonts w:ascii="Arial" w:hAnsi="Arial" w:cs="Arial"/>
          <w:sz w:val="20"/>
          <w:szCs w:val="20"/>
        </w:rPr>
        <w:t>Unconventional oilseeds and oil sources.</w:t>
      </w:r>
      <w:r w:rsidRPr="00CE68D4">
        <w:rPr>
          <w:rFonts w:ascii="Arial" w:hAnsi="Arial" w:cs="Arial"/>
          <w:sz w:val="20"/>
          <w:szCs w:val="20"/>
        </w:rPr>
        <w:t xml:space="preserve"> Academic Press.</w:t>
      </w:r>
    </w:p>
    <w:p w14:paraId="0DB5A0DA"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t xml:space="preserve">Ammar, H., </w:t>
      </w:r>
      <w:proofErr w:type="spellStart"/>
      <w:r w:rsidRPr="00CE68D4">
        <w:rPr>
          <w:rFonts w:ascii="Arial" w:hAnsi="Arial" w:cs="Arial"/>
          <w:sz w:val="20"/>
          <w:szCs w:val="20"/>
        </w:rPr>
        <w:t>Ismaïl</w:t>
      </w:r>
      <w:proofErr w:type="spellEnd"/>
      <w:r w:rsidRPr="00CE68D4">
        <w:rPr>
          <w:rFonts w:ascii="Arial" w:hAnsi="Arial" w:cs="Arial"/>
          <w:sz w:val="20"/>
          <w:szCs w:val="20"/>
        </w:rPr>
        <w:t xml:space="preserve">, Y., </w:t>
      </w:r>
      <w:proofErr w:type="spellStart"/>
      <w:r w:rsidRPr="00CE68D4">
        <w:rPr>
          <w:rFonts w:ascii="Arial" w:hAnsi="Arial" w:cs="Arial"/>
          <w:sz w:val="20"/>
          <w:szCs w:val="20"/>
        </w:rPr>
        <w:t>Lehiani</w:t>
      </w:r>
      <w:proofErr w:type="spellEnd"/>
      <w:r w:rsidRPr="00CE68D4">
        <w:rPr>
          <w:rFonts w:ascii="Arial" w:hAnsi="Arial" w:cs="Arial"/>
          <w:sz w:val="20"/>
          <w:szCs w:val="20"/>
        </w:rPr>
        <w:t xml:space="preserve">, M. A., </w:t>
      </w:r>
      <w:proofErr w:type="spellStart"/>
      <w:r w:rsidRPr="00CE68D4">
        <w:rPr>
          <w:rFonts w:ascii="Arial" w:hAnsi="Arial" w:cs="Arial"/>
          <w:sz w:val="20"/>
          <w:szCs w:val="20"/>
        </w:rPr>
        <w:t>Tejido</w:t>
      </w:r>
      <w:proofErr w:type="spellEnd"/>
      <w:r w:rsidRPr="00CE68D4">
        <w:rPr>
          <w:rFonts w:ascii="Arial" w:hAnsi="Arial" w:cs="Arial"/>
          <w:sz w:val="20"/>
          <w:szCs w:val="20"/>
        </w:rPr>
        <w:t xml:space="preserve">, M. L., Bodas, R., </w:t>
      </w:r>
      <w:proofErr w:type="spellStart"/>
      <w:r w:rsidRPr="00CE68D4">
        <w:rPr>
          <w:rFonts w:ascii="Arial" w:hAnsi="Arial" w:cs="Arial"/>
          <w:sz w:val="20"/>
          <w:szCs w:val="20"/>
        </w:rPr>
        <w:t>Giráldez</w:t>
      </w:r>
      <w:proofErr w:type="spellEnd"/>
      <w:r w:rsidRPr="00CE68D4">
        <w:rPr>
          <w:rFonts w:ascii="Arial" w:hAnsi="Arial" w:cs="Arial"/>
          <w:sz w:val="20"/>
          <w:szCs w:val="20"/>
        </w:rPr>
        <w:t xml:space="preserve">, F. J., &amp; López, S. (2020). Biomass production and nutritive value of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w:t>
      </w:r>
      <w:r w:rsidRPr="00CE68D4">
        <w:rPr>
          <w:rStyle w:val="Emphasis"/>
          <w:rFonts w:ascii="Arial" w:hAnsi="Arial" w:cs="Arial"/>
          <w:sz w:val="20"/>
          <w:szCs w:val="20"/>
        </w:rPr>
        <w:t xml:space="preserve">Hibiscus </w:t>
      </w:r>
      <w:proofErr w:type="spellStart"/>
      <w:r w:rsidRPr="00CE68D4">
        <w:rPr>
          <w:rStyle w:val="Emphasis"/>
          <w:rFonts w:ascii="Arial" w:hAnsi="Arial" w:cs="Arial"/>
          <w:sz w:val="20"/>
          <w:szCs w:val="20"/>
        </w:rPr>
        <w:t>cannabinus</w:t>
      </w:r>
      <w:proofErr w:type="spellEnd"/>
      <w:r w:rsidRPr="00CE68D4">
        <w:rPr>
          <w:rFonts w:ascii="Arial" w:hAnsi="Arial" w:cs="Arial"/>
          <w:sz w:val="20"/>
          <w:szCs w:val="20"/>
        </w:rPr>
        <w:t xml:space="preserve">) at various stages of growth. </w:t>
      </w:r>
      <w:r w:rsidRPr="00CE68D4">
        <w:rPr>
          <w:rStyle w:val="Emphasis"/>
          <w:rFonts w:ascii="Arial" w:hAnsi="Arial" w:cs="Arial"/>
          <w:sz w:val="20"/>
          <w:szCs w:val="20"/>
        </w:rPr>
        <w:t>Agroforestry Systems, 94</w:t>
      </w:r>
      <w:r w:rsidRPr="00CE68D4">
        <w:rPr>
          <w:rFonts w:ascii="Arial" w:hAnsi="Arial" w:cs="Arial"/>
          <w:sz w:val="20"/>
          <w:szCs w:val="20"/>
        </w:rPr>
        <w:t>(4), 1171–1178.</w:t>
      </w:r>
    </w:p>
    <w:p w14:paraId="0BE876E2"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t xml:space="preserve">Brishti, F. H., Zarei, M., Muhammad, S. K. S., Ismail-Fitry, M. R., Shukri, R., &amp; Saari, N. (2017). Evaluation of the functional properties of mung bean protein isolate for development of textured vegetable protein. </w:t>
      </w:r>
      <w:r w:rsidRPr="00CE68D4">
        <w:rPr>
          <w:rStyle w:val="Emphasis"/>
          <w:rFonts w:ascii="Arial" w:hAnsi="Arial" w:cs="Arial"/>
          <w:sz w:val="20"/>
          <w:szCs w:val="20"/>
        </w:rPr>
        <w:t>International Food Research Journal, 24</w:t>
      </w:r>
      <w:r w:rsidRPr="00CE68D4">
        <w:rPr>
          <w:rFonts w:ascii="Arial" w:hAnsi="Arial" w:cs="Arial"/>
          <w:sz w:val="20"/>
          <w:szCs w:val="20"/>
        </w:rPr>
        <w:t>(4), 1595–1605.</w:t>
      </w:r>
    </w:p>
    <w:p w14:paraId="70256B9A"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lastRenderedPageBreak/>
        <w:t xml:space="preserve">Chan, K. W., &amp; Ismail, M. (2009). Supercritical carbon dioxide fluid extraction of </w:t>
      </w:r>
      <w:r w:rsidRPr="00CE68D4">
        <w:rPr>
          <w:rStyle w:val="Emphasis"/>
          <w:rFonts w:ascii="Arial" w:hAnsi="Arial" w:cs="Arial"/>
          <w:sz w:val="20"/>
          <w:szCs w:val="20"/>
        </w:rPr>
        <w:t>Hibiscus cannabinus</w:t>
      </w:r>
      <w:r w:rsidRPr="00CE68D4">
        <w:rPr>
          <w:rFonts w:ascii="Arial" w:hAnsi="Arial" w:cs="Arial"/>
          <w:sz w:val="20"/>
          <w:szCs w:val="20"/>
        </w:rPr>
        <w:t xml:space="preserve"> L. seed oil: A potential solvent-free and high antioxidative edible oil. </w:t>
      </w:r>
      <w:r w:rsidRPr="00CE68D4">
        <w:rPr>
          <w:rStyle w:val="Emphasis"/>
          <w:rFonts w:ascii="Arial" w:hAnsi="Arial" w:cs="Arial"/>
          <w:sz w:val="20"/>
          <w:szCs w:val="20"/>
        </w:rPr>
        <w:t>Food Chemistry, 114</w:t>
      </w:r>
      <w:r w:rsidRPr="00CE68D4">
        <w:rPr>
          <w:rFonts w:ascii="Arial" w:hAnsi="Arial" w:cs="Arial"/>
          <w:sz w:val="20"/>
          <w:szCs w:val="20"/>
        </w:rPr>
        <w:t xml:space="preserve">(3), 970–975. </w:t>
      </w:r>
    </w:p>
    <w:p w14:paraId="669DF94A"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t xml:space="preserve">Chan, K. W., Khong, N. M., Iqbal, S., Mansor, S. M., &amp; Ismail, M. (2013). Defatted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seed meal (DKSM): Prospective edible flour from agricultural waste with high antioxidant activity. </w:t>
      </w:r>
      <w:r w:rsidRPr="00CE68D4">
        <w:rPr>
          <w:rStyle w:val="Emphasis"/>
          <w:rFonts w:ascii="Arial" w:hAnsi="Arial" w:cs="Arial"/>
          <w:sz w:val="20"/>
          <w:szCs w:val="20"/>
        </w:rPr>
        <w:t>LWT–Food Science and Technology, 53</w:t>
      </w:r>
      <w:r w:rsidRPr="00CE68D4">
        <w:rPr>
          <w:rFonts w:ascii="Arial" w:hAnsi="Arial" w:cs="Arial"/>
          <w:sz w:val="20"/>
          <w:szCs w:val="20"/>
        </w:rPr>
        <w:t xml:space="preserve">(1), 308–313. </w:t>
      </w:r>
    </w:p>
    <w:p w14:paraId="55717FF2"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t xml:space="preserve">Chong, Y. K., &amp; Nyam, K. L. (2022). Effect of brewing time and temperature on the physical properties, antioxidant activities and sensory of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leaves tea. </w:t>
      </w:r>
      <w:r w:rsidRPr="00CE68D4">
        <w:rPr>
          <w:rStyle w:val="Emphasis"/>
          <w:rFonts w:ascii="Arial" w:hAnsi="Arial" w:cs="Arial"/>
          <w:sz w:val="20"/>
          <w:szCs w:val="20"/>
        </w:rPr>
        <w:t>Journal of Food Science and Technology, 59</w:t>
      </w:r>
      <w:r w:rsidRPr="00CE68D4">
        <w:rPr>
          <w:rFonts w:ascii="Arial" w:hAnsi="Arial" w:cs="Arial"/>
          <w:sz w:val="20"/>
          <w:szCs w:val="20"/>
        </w:rPr>
        <w:t>(2), 510-517.</w:t>
      </w:r>
    </w:p>
    <w:p w14:paraId="7E464E9D"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t xml:space="preserve">Dhingra, S., &amp; Jood, S. (2002). Organoleptic and nutritional evaluation of wheat breads supplemented with soybean and barley flour. </w:t>
      </w:r>
      <w:r w:rsidRPr="00CE68D4">
        <w:rPr>
          <w:rStyle w:val="Emphasis"/>
          <w:rFonts w:ascii="Arial" w:hAnsi="Arial" w:cs="Arial"/>
          <w:sz w:val="20"/>
          <w:szCs w:val="20"/>
        </w:rPr>
        <w:t>Food Chemistry, 77</w:t>
      </w:r>
      <w:r w:rsidRPr="00CE68D4">
        <w:rPr>
          <w:rFonts w:ascii="Arial" w:hAnsi="Arial" w:cs="Arial"/>
          <w:sz w:val="20"/>
          <w:szCs w:val="20"/>
        </w:rPr>
        <w:t xml:space="preserve">(4), 479–488. </w:t>
      </w:r>
    </w:p>
    <w:p w14:paraId="6A42C5DC"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t xml:space="preserve">Dian-Nashiela, F., </w:t>
      </w:r>
      <w:proofErr w:type="spellStart"/>
      <w:r w:rsidRPr="00CE68D4">
        <w:rPr>
          <w:rFonts w:ascii="Arial" w:hAnsi="Arial" w:cs="Arial"/>
          <w:sz w:val="20"/>
          <w:szCs w:val="20"/>
        </w:rPr>
        <w:t>Noriham</w:t>
      </w:r>
      <w:proofErr w:type="spellEnd"/>
      <w:r w:rsidRPr="00CE68D4">
        <w:rPr>
          <w:rFonts w:ascii="Arial" w:hAnsi="Arial" w:cs="Arial"/>
          <w:sz w:val="20"/>
          <w:szCs w:val="20"/>
        </w:rPr>
        <w:t xml:space="preserve">, A., </w:t>
      </w:r>
      <w:proofErr w:type="spellStart"/>
      <w:r w:rsidRPr="00CE68D4">
        <w:rPr>
          <w:rFonts w:ascii="Arial" w:hAnsi="Arial" w:cs="Arial"/>
          <w:sz w:val="20"/>
          <w:szCs w:val="20"/>
        </w:rPr>
        <w:t>Nooraain</w:t>
      </w:r>
      <w:proofErr w:type="spellEnd"/>
      <w:r w:rsidRPr="00CE68D4">
        <w:rPr>
          <w:rFonts w:ascii="Arial" w:hAnsi="Arial" w:cs="Arial"/>
          <w:sz w:val="20"/>
          <w:szCs w:val="20"/>
        </w:rPr>
        <w:t xml:space="preserve">, H., &amp; Azizah, A. H. (2015). Antioxidant activity of herbal tea prepared from </w:t>
      </w:r>
      <w:r w:rsidRPr="00CE68D4">
        <w:rPr>
          <w:rStyle w:val="Emphasis"/>
          <w:rFonts w:ascii="Arial" w:hAnsi="Arial" w:cs="Arial"/>
          <w:sz w:val="20"/>
          <w:szCs w:val="20"/>
        </w:rPr>
        <w:t>Cosmos caudatus</w:t>
      </w:r>
      <w:r w:rsidRPr="00CE68D4">
        <w:rPr>
          <w:rFonts w:ascii="Arial" w:hAnsi="Arial" w:cs="Arial"/>
          <w:sz w:val="20"/>
          <w:szCs w:val="20"/>
        </w:rPr>
        <w:t xml:space="preserve"> leaves at different maturity stages.</w:t>
      </w:r>
    </w:p>
    <w:p w14:paraId="1EAD6742" w14:textId="77777777" w:rsidR="006213BA" w:rsidRPr="00CE68D4" w:rsidRDefault="006213BA" w:rsidP="006213BA">
      <w:pPr>
        <w:pStyle w:val="NormalWeb"/>
        <w:numPr>
          <w:ilvl w:val="0"/>
          <w:numId w:val="31"/>
        </w:numPr>
        <w:spacing w:line="360" w:lineRule="auto"/>
        <w:jc w:val="both"/>
        <w:rPr>
          <w:rFonts w:ascii="Arial" w:hAnsi="Arial" w:cs="Arial"/>
          <w:color w:val="000000" w:themeColor="text1"/>
          <w:sz w:val="20"/>
          <w:szCs w:val="20"/>
        </w:rPr>
      </w:pPr>
      <w:proofErr w:type="spellStart"/>
      <w:r w:rsidRPr="00CE68D4">
        <w:rPr>
          <w:rFonts w:ascii="Arial" w:hAnsi="Arial" w:cs="Arial"/>
          <w:color w:val="000000" w:themeColor="text1"/>
          <w:sz w:val="20"/>
          <w:szCs w:val="20"/>
          <w:shd w:val="clear" w:color="auto" w:fill="FFFFFF"/>
        </w:rPr>
        <w:t>Danalatos</w:t>
      </w:r>
      <w:proofErr w:type="spellEnd"/>
      <w:r w:rsidRPr="00CE68D4">
        <w:rPr>
          <w:rFonts w:ascii="Arial" w:hAnsi="Arial" w:cs="Arial"/>
          <w:color w:val="000000" w:themeColor="text1"/>
          <w:sz w:val="20"/>
          <w:szCs w:val="20"/>
          <w:shd w:val="clear" w:color="auto" w:fill="FFFFFF"/>
        </w:rPr>
        <w:t xml:space="preserve">, N. G., &amp; </w:t>
      </w:r>
      <w:proofErr w:type="spellStart"/>
      <w:r w:rsidRPr="00CE68D4">
        <w:rPr>
          <w:rFonts w:ascii="Arial" w:hAnsi="Arial" w:cs="Arial"/>
          <w:color w:val="000000" w:themeColor="text1"/>
          <w:sz w:val="20"/>
          <w:szCs w:val="20"/>
          <w:shd w:val="clear" w:color="auto" w:fill="FFFFFF"/>
        </w:rPr>
        <w:t>Archontoulis</w:t>
      </w:r>
      <w:proofErr w:type="spellEnd"/>
      <w:r w:rsidRPr="00CE68D4">
        <w:rPr>
          <w:rFonts w:ascii="Arial" w:hAnsi="Arial" w:cs="Arial"/>
          <w:color w:val="000000" w:themeColor="text1"/>
          <w:sz w:val="20"/>
          <w:szCs w:val="20"/>
          <w:shd w:val="clear" w:color="auto" w:fill="FFFFFF"/>
        </w:rPr>
        <w:t>, S. V. (2010). Growth and biomass productivity of kenaf (</w:t>
      </w:r>
      <w:r w:rsidRPr="00CE68D4">
        <w:rPr>
          <w:rFonts w:ascii="Arial" w:hAnsi="Arial" w:cs="Arial"/>
          <w:i/>
          <w:color w:val="000000" w:themeColor="text1"/>
          <w:sz w:val="20"/>
          <w:szCs w:val="20"/>
          <w:shd w:val="clear" w:color="auto" w:fill="FFFFFF"/>
        </w:rPr>
        <w:t>Hibiscus cannabinus</w:t>
      </w:r>
      <w:r w:rsidRPr="00CE68D4">
        <w:rPr>
          <w:rFonts w:ascii="Arial" w:hAnsi="Arial" w:cs="Arial"/>
          <w:color w:val="000000" w:themeColor="text1"/>
          <w:sz w:val="20"/>
          <w:szCs w:val="20"/>
          <w:shd w:val="clear" w:color="auto" w:fill="FFFFFF"/>
        </w:rPr>
        <w:t xml:space="preserve"> L.) under different agricultural inputs and management practices in central Greece. </w:t>
      </w:r>
      <w:r w:rsidRPr="00CE68D4">
        <w:rPr>
          <w:rFonts w:ascii="Arial" w:hAnsi="Arial" w:cs="Arial"/>
          <w:i/>
          <w:iCs/>
          <w:color w:val="000000" w:themeColor="text1"/>
          <w:sz w:val="20"/>
          <w:szCs w:val="20"/>
          <w:shd w:val="clear" w:color="auto" w:fill="FFFFFF"/>
        </w:rPr>
        <w:t>Industrial Crops and Products</w:t>
      </w:r>
      <w:r w:rsidRPr="00CE68D4">
        <w:rPr>
          <w:rFonts w:ascii="Arial" w:hAnsi="Arial" w:cs="Arial"/>
          <w:color w:val="000000" w:themeColor="text1"/>
          <w:sz w:val="20"/>
          <w:szCs w:val="20"/>
          <w:shd w:val="clear" w:color="auto" w:fill="FFFFFF"/>
        </w:rPr>
        <w:t>, </w:t>
      </w:r>
      <w:r w:rsidRPr="00CE68D4">
        <w:rPr>
          <w:rFonts w:ascii="Arial" w:hAnsi="Arial" w:cs="Arial"/>
          <w:i/>
          <w:iCs/>
          <w:color w:val="000000" w:themeColor="text1"/>
          <w:sz w:val="20"/>
          <w:szCs w:val="20"/>
          <w:shd w:val="clear" w:color="auto" w:fill="FFFFFF"/>
        </w:rPr>
        <w:t>32</w:t>
      </w:r>
      <w:r w:rsidRPr="00CE68D4">
        <w:rPr>
          <w:rFonts w:ascii="Arial" w:hAnsi="Arial" w:cs="Arial"/>
          <w:color w:val="000000" w:themeColor="text1"/>
          <w:sz w:val="20"/>
          <w:szCs w:val="20"/>
          <w:shd w:val="clear" w:color="auto" w:fill="FFFFFF"/>
        </w:rPr>
        <w:t>(3), 231-240.</w:t>
      </w:r>
    </w:p>
    <w:p w14:paraId="7D5F1CC0"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t xml:space="preserve">Ebije, I., Oladipupo, A., Lawal, A. O. O., &amp; Isiaka, A. O. (2014). Volatile composition of the floral essential oil of </w:t>
      </w:r>
      <w:r w:rsidRPr="00CE68D4">
        <w:rPr>
          <w:rStyle w:val="Emphasis"/>
          <w:rFonts w:ascii="Arial" w:hAnsi="Arial" w:cs="Arial"/>
          <w:sz w:val="20"/>
          <w:szCs w:val="20"/>
        </w:rPr>
        <w:t>Hibiscus sabdariffa</w:t>
      </w:r>
      <w:r w:rsidRPr="00CE68D4">
        <w:rPr>
          <w:rFonts w:ascii="Arial" w:hAnsi="Arial" w:cs="Arial"/>
          <w:sz w:val="20"/>
          <w:szCs w:val="20"/>
        </w:rPr>
        <w:t xml:space="preserve"> L. from Nigeria. </w:t>
      </w:r>
      <w:r w:rsidRPr="00CE68D4">
        <w:rPr>
          <w:rStyle w:val="Emphasis"/>
          <w:rFonts w:ascii="Arial" w:hAnsi="Arial" w:cs="Arial"/>
          <w:sz w:val="20"/>
          <w:szCs w:val="20"/>
        </w:rPr>
        <w:t>American Journal of Essential Oil and Natural Products, 2</w:t>
      </w:r>
      <w:r w:rsidRPr="00CE68D4">
        <w:rPr>
          <w:rFonts w:ascii="Arial" w:hAnsi="Arial" w:cs="Arial"/>
          <w:sz w:val="20"/>
          <w:szCs w:val="20"/>
        </w:rPr>
        <w:t>(1), 4–7.</w:t>
      </w:r>
    </w:p>
    <w:p w14:paraId="44DEE06B"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t xml:space="preserve">Emerald, M., Emerald, A., Emerald, L., &amp; Kumar, V. (2016). Perspective of natural products in skincare. </w:t>
      </w:r>
      <w:r w:rsidRPr="00CE68D4">
        <w:rPr>
          <w:rStyle w:val="Emphasis"/>
          <w:rFonts w:ascii="Arial" w:hAnsi="Arial" w:cs="Arial"/>
          <w:sz w:val="20"/>
          <w:szCs w:val="20"/>
        </w:rPr>
        <w:t>Pharmacy &amp; Pharmacology International Journal, 4</w:t>
      </w:r>
      <w:r w:rsidRPr="00CE68D4">
        <w:rPr>
          <w:rFonts w:ascii="Arial" w:hAnsi="Arial" w:cs="Arial"/>
          <w:sz w:val="20"/>
          <w:szCs w:val="20"/>
        </w:rPr>
        <w:t>(3), 1–3.</w:t>
      </w:r>
    </w:p>
    <w:p w14:paraId="35544DA7"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t xml:space="preserve">Ezzadin, N. A., Salih, R. F., &amp; Sultan, D. M. (2022). A comprehensive review on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seeds and leaves for medicine. </w:t>
      </w:r>
      <w:r w:rsidRPr="00CE68D4">
        <w:rPr>
          <w:rStyle w:val="Emphasis"/>
          <w:rFonts w:ascii="Arial" w:hAnsi="Arial" w:cs="Arial"/>
          <w:sz w:val="20"/>
          <w:szCs w:val="20"/>
        </w:rPr>
        <w:t>Journal of Medicinal Plants Studies, 10</w:t>
      </w:r>
      <w:r w:rsidRPr="00CE68D4">
        <w:rPr>
          <w:rFonts w:ascii="Arial" w:hAnsi="Arial" w:cs="Arial"/>
          <w:sz w:val="20"/>
          <w:szCs w:val="20"/>
        </w:rPr>
        <w:t>(5), 26–33.</w:t>
      </w:r>
    </w:p>
    <w:p w14:paraId="7E33BEE7"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t xml:space="preserve">Foo, J. B., Yazan, L. S., Chan, K. W., Tahir, P. M., &amp; Ismail, M. (2011).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seed oil from supercritical carbon dioxide fluid extraction induced G1 phase cell cycle arrest and apoptosis in </w:t>
      </w:r>
      <w:proofErr w:type="spellStart"/>
      <w:r w:rsidRPr="00CE68D4">
        <w:rPr>
          <w:rFonts w:ascii="Arial" w:hAnsi="Arial" w:cs="Arial"/>
          <w:sz w:val="20"/>
          <w:szCs w:val="20"/>
        </w:rPr>
        <w:t>leukemia</w:t>
      </w:r>
      <w:proofErr w:type="spellEnd"/>
      <w:r w:rsidRPr="00CE68D4">
        <w:rPr>
          <w:rFonts w:ascii="Arial" w:hAnsi="Arial" w:cs="Arial"/>
          <w:sz w:val="20"/>
          <w:szCs w:val="20"/>
        </w:rPr>
        <w:t xml:space="preserve"> cells. </w:t>
      </w:r>
      <w:r w:rsidRPr="00CE68D4">
        <w:rPr>
          <w:rStyle w:val="Emphasis"/>
          <w:rFonts w:ascii="Arial" w:hAnsi="Arial" w:cs="Arial"/>
          <w:sz w:val="20"/>
          <w:szCs w:val="20"/>
        </w:rPr>
        <w:t>African Journal of Biotechnology, 10</w:t>
      </w:r>
      <w:r w:rsidRPr="00CE68D4">
        <w:rPr>
          <w:rFonts w:ascii="Arial" w:hAnsi="Arial" w:cs="Arial"/>
          <w:sz w:val="20"/>
          <w:szCs w:val="20"/>
        </w:rPr>
        <w:t>(27), 5389–5397.</w:t>
      </w:r>
    </w:p>
    <w:p w14:paraId="222FAFD0"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t xml:space="preserve">Ghafar, S. A. A., Yazan, L. S., Tahir, P. M., &amp; Ismail, M. (2012).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seed supercritical fluid extract reduces aberrant crypt foci formation in azoxymethane-induced rats. </w:t>
      </w:r>
      <w:r w:rsidRPr="00CE68D4">
        <w:rPr>
          <w:rStyle w:val="Emphasis"/>
          <w:rFonts w:ascii="Arial" w:hAnsi="Arial" w:cs="Arial"/>
          <w:sz w:val="20"/>
          <w:szCs w:val="20"/>
        </w:rPr>
        <w:t>Experimental and Toxicologic Pathology, 64</w:t>
      </w:r>
      <w:r w:rsidRPr="00CE68D4">
        <w:rPr>
          <w:rFonts w:ascii="Arial" w:hAnsi="Arial" w:cs="Arial"/>
          <w:sz w:val="20"/>
          <w:szCs w:val="20"/>
        </w:rPr>
        <w:t xml:space="preserve">(3), 247–251. </w:t>
      </w:r>
    </w:p>
    <w:p w14:paraId="1A7876D6"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t xml:space="preserve">Giwa Ibrahim, S. A., Karim, R., Saari, N., Wan Abdullah, W. Z., Zawawi, N., Ab Razak, A. F., &amp; Umar, R. U. A. (2019).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w:t>
      </w:r>
      <w:r w:rsidRPr="00CE68D4">
        <w:rPr>
          <w:rStyle w:val="Emphasis"/>
          <w:rFonts w:ascii="Arial" w:hAnsi="Arial" w:cs="Arial"/>
          <w:sz w:val="20"/>
          <w:szCs w:val="20"/>
        </w:rPr>
        <w:t xml:space="preserve">Hibiscus </w:t>
      </w:r>
      <w:proofErr w:type="spellStart"/>
      <w:r w:rsidRPr="00CE68D4">
        <w:rPr>
          <w:rStyle w:val="Emphasis"/>
          <w:rFonts w:ascii="Arial" w:hAnsi="Arial" w:cs="Arial"/>
          <w:sz w:val="20"/>
          <w:szCs w:val="20"/>
        </w:rPr>
        <w:t>cannabinus</w:t>
      </w:r>
      <w:proofErr w:type="spellEnd"/>
      <w:r w:rsidRPr="00CE68D4">
        <w:rPr>
          <w:rFonts w:ascii="Arial" w:hAnsi="Arial" w:cs="Arial"/>
          <w:sz w:val="20"/>
          <w:szCs w:val="20"/>
        </w:rPr>
        <w:t xml:space="preserve"> L.) seed and its potential food applications: A review. </w:t>
      </w:r>
      <w:r w:rsidRPr="00CE68D4">
        <w:rPr>
          <w:rStyle w:val="Emphasis"/>
          <w:rFonts w:ascii="Arial" w:hAnsi="Arial" w:cs="Arial"/>
          <w:sz w:val="20"/>
          <w:szCs w:val="20"/>
        </w:rPr>
        <w:t>Journal of Food Science, 84</w:t>
      </w:r>
      <w:r w:rsidRPr="00CE68D4">
        <w:rPr>
          <w:rFonts w:ascii="Arial" w:hAnsi="Arial" w:cs="Arial"/>
          <w:sz w:val="20"/>
          <w:szCs w:val="20"/>
        </w:rPr>
        <w:t>(8), 2015–2023.</w:t>
      </w:r>
    </w:p>
    <w:p w14:paraId="1A73B308"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t xml:space="preserve">Imathiu, S. (2021). Neglected and underutilized cultivated crops with respect to indigenous African leafy vegetables for food and nutrition security. </w:t>
      </w:r>
      <w:r w:rsidRPr="00CE68D4">
        <w:rPr>
          <w:rStyle w:val="Emphasis"/>
          <w:rFonts w:ascii="Arial" w:hAnsi="Arial" w:cs="Arial"/>
          <w:sz w:val="20"/>
          <w:szCs w:val="20"/>
        </w:rPr>
        <w:t>Journal of Food Security, 9</w:t>
      </w:r>
      <w:r w:rsidRPr="00CE68D4">
        <w:rPr>
          <w:rFonts w:ascii="Arial" w:hAnsi="Arial" w:cs="Arial"/>
          <w:sz w:val="20"/>
          <w:szCs w:val="20"/>
        </w:rPr>
        <w:t>(3), 115–125.</w:t>
      </w:r>
    </w:p>
    <w:p w14:paraId="63A7F1BA"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t xml:space="preserve">Inoue, Y., Hada, T., Shiraishi, A., </w:t>
      </w:r>
      <w:proofErr w:type="spellStart"/>
      <w:r w:rsidRPr="00CE68D4">
        <w:rPr>
          <w:rFonts w:ascii="Arial" w:hAnsi="Arial" w:cs="Arial"/>
          <w:sz w:val="20"/>
          <w:szCs w:val="20"/>
        </w:rPr>
        <w:t>Hirore</w:t>
      </w:r>
      <w:proofErr w:type="spellEnd"/>
      <w:r w:rsidRPr="00CE68D4">
        <w:rPr>
          <w:rFonts w:ascii="Arial" w:hAnsi="Arial" w:cs="Arial"/>
          <w:sz w:val="20"/>
          <w:szCs w:val="20"/>
        </w:rPr>
        <w:t xml:space="preserve">, K., </w:t>
      </w:r>
      <w:proofErr w:type="spellStart"/>
      <w:r w:rsidRPr="00CE68D4">
        <w:rPr>
          <w:rFonts w:ascii="Arial" w:hAnsi="Arial" w:cs="Arial"/>
          <w:sz w:val="20"/>
          <w:szCs w:val="20"/>
        </w:rPr>
        <w:t>Hamashima</w:t>
      </w:r>
      <w:proofErr w:type="spellEnd"/>
      <w:r w:rsidRPr="00CE68D4">
        <w:rPr>
          <w:rFonts w:ascii="Arial" w:hAnsi="Arial" w:cs="Arial"/>
          <w:sz w:val="20"/>
          <w:szCs w:val="20"/>
        </w:rPr>
        <w:t xml:space="preserve">, H., &amp; Kobayashi, S. (2005). Biphasic effects of geranylgeraniol, teprenone, and phytol on the growth of </w:t>
      </w:r>
      <w:r w:rsidRPr="00CE68D4">
        <w:rPr>
          <w:rStyle w:val="Emphasis"/>
          <w:rFonts w:ascii="Arial" w:hAnsi="Arial" w:cs="Arial"/>
          <w:sz w:val="20"/>
          <w:szCs w:val="20"/>
        </w:rPr>
        <w:t>Staphylococcus aureus</w:t>
      </w:r>
      <w:r w:rsidRPr="00CE68D4">
        <w:rPr>
          <w:rFonts w:ascii="Arial" w:hAnsi="Arial" w:cs="Arial"/>
          <w:sz w:val="20"/>
          <w:szCs w:val="20"/>
        </w:rPr>
        <w:t xml:space="preserve">. </w:t>
      </w:r>
      <w:r w:rsidRPr="00CE68D4">
        <w:rPr>
          <w:rStyle w:val="Emphasis"/>
          <w:rFonts w:ascii="Arial" w:hAnsi="Arial" w:cs="Arial"/>
          <w:sz w:val="20"/>
          <w:szCs w:val="20"/>
        </w:rPr>
        <w:t>Antimicrobial Agents and Chemotherapy, 49</w:t>
      </w:r>
      <w:r w:rsidRPr="00CE68D4">
        <w:rPr>
          <w:rFonts w:ascii="Arial" w:hAnsi="Arial" w:cs="Arial"/>
          <w:sz w:val="20"/>
          <w:szCs w:val="20"/>
        </w:rPr>
        <w:t>(5), 1770–1774. https://doi.org/10.1128/AAC.49.5.1770-1774.2005</w:t>
      </w:r>
    </w:p>
    <w:p w14:paraId="3CF152C6"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t xml:space="preserve">Islam, M. (2019).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w:t>
      </w:r>
      <w:r w:rsidRPr="00CE68D4">
        <w:rPr>
          <w:rStyle w:val="Emphasis"/>
          <w:rFonts w:ascii="Arial" w:hAnsi="Arial" w:cs="Arial"/>
          <w:sz w:val="20"/>
          <w:szCs w:val="20"/>
        </w:rPr>
        <w:t xml:space="preserve">Hibiscus </w:t>
      </w:r>
      <w:proofErr w:type="spellStart"/>
      <w:r w:rsidRPr="00CE68D4">
        <w:rPr>
          <w:rStyle w:val="Emphasis"/>
          <w:rFonts w:ascii="Arial" w:hAnsi="Arial" w:cs="Arial"/>
          <w:sz w:val="20"/>
          <w:szCs w:val="20"/>
        </w:rPr>
        <w:t>cannabinus</w:t>
      </w:r>
      <w:proofErr w:type="spellEnd"/>
      <w:r w:rsidRPr="00CE68D4">
        <w:rPr>
          <w:rFonts w:ascii="Arial" w:hAnsi="Arial" w:cs="Arial"/>
          <w:sz w:val="20"/>
          <w:szCs w:val="20"/>
        </w:rPr>
        <w:t xml:space="preserve"> L., </w:t>
      </w:r>
      <w:proofErr w:type="spellStart"/>
      <w:r w:rsidRPr="00CE68D4">
        <w:rPr>
          <w:rFonts w:ascii="Arial" w:hAnsi="Arial" w:cs="Arial"/>
          <w:sz w:val="20"/>
          <w:szCs w:val="20"/>
        </w:rPr>
        <w:t>Malvaceae</w:t>
      </w:r>
      <w:proofErr w:type="spellEnd"/>
      <w:r w:rsidRPr="00CE68D4">
        <w:rPr>
          <w:rFonts w:ascii="Arial" w:hAnsi="Arial" w:cs="Arial"/>
          <w:sz w:val="20"/>
          <w:szCs w:val="20"/>
        </w:rPr>
        <w:t xml:space="preserve">) research and development advances in Bangladesh. </w:t>
      </w:r>
      <w:r w:rsidRPr="00CE68D4">
        <w:rPr>
          <w:rStyle w:val="Emphasis"/>
          <w:rFonts w:ascii="Arial" w:hAnsi="Arial" w:cs="Arial"/>
          <w:sz w:val="20"/>
          <w:szCs w:val="20"/>
        </w:rPr>
        <w:t>A. Nutrition &amp; Food Processing, 2</w:t>
      </w:r>
      <w:r w:rsidRPr="00CE68D4">
        <w:rPr>
          <w:rFonts w:ascii="Arial" w:hAnsi="Arial" w:cs="Arial"/>
          <w:sz w:val="20"/>
          <w:szCs w:val="20"/>
        </w:rPr>
        <w:t>(1).</w:t>
      </w:r>
    </w:p>
    <w:p w14:paraId="1101467B"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t xml:space="preserve">Jeon, S. M., Kim, H. K., Kim, H. J., Do, G. M., Jeong, T. S., Park, Y. B., &amp; Choi, M. S. (2007). </w:t>
      </w:r>
      <w:proofErr w:type="spellStart"/>
      <w:r w:rsidRPr="00CE68D4">
        <w:rPr>
          <w:rFonts w:ascii="Arial" w:hAnsi="Arial" w:cs="Arial"/>
          <w:sz w:val="20"/>
          <w:szCs w:val="20"/>
        </w:rPr>
        <w:t>Hypocholesterolemic</w:t>
      </w:r>
      <w:proofErr w:type="spellEnd"/>
      <w:r w:rsidRPr="00CE68D4">
        <w:rPr>
          <w:rFonts w:ascii="Arial" w:hAnsi="Arial" w:cs="Arial"/>
          <w:sz w:val="20"/>
          <w:szCs w:val="20"/>
        </w:rPr>
        <w:t xml:space="preserve"> and antioxidative effects of naringenin and its two metabolites in high-cholesterol fed rats. </w:t>
      </w:r>
      <w:r w:rsidRPr="00CE68D4">
        <w:rPr>
          <w:rStyle w:val="Emphasis"/>
          <w:rFonts w:ascii="Arial" w:hAnsi="Arial" w:cs="Arial"/>
          <w:sz w:val="20"/>
          <w:szCs w:val="20"/>
        </w:rPr>
        <w:t>Translational Research, 149</w:t>
      </w:r>
      <w:r w:rsidRPr="00CE68D4">
        <w:rPr>
          <w:rFonts w:ascii="Arial" w:hAnsi="Arial" w:cs="Arial"/>
          <w:sz w:val="20"/>
          <w:szCs w:val="20"/>
        </w:rPr>
        <w:t xml:space="preserve">(1), 15–21. </w:t>
      </w:r>
    </w:p>
    <w:p w14:paraId="78F99A46"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lastRenderedPageBreak/>
        <w:t xml:space="preserve">Jin, C. W., </w:t>
      </w:r>
      <w:proofErr w:type="spellStart"/>
      <w:r w:rsidRPr="00CE68D4">
        <w:rPr>
          <w:rFonts w:ascii="Arial" w:hAnsi="Arial" w:cs="Arial"/>
          <w:sz w:val="20"/>
          <w:szCs w:val="20"/>
        </w:rPr>
        <w:t>Ghimeray</w:t>
      </w:r>
      <w:proofErr w:type="spellEnd"/>
      <w:r w:rsidRPr="00CE68D4">
        <w:rPr>
          <w:rFonts w:ascii="Arial" w:hAnsi="Arial" w:cs="Arial"/>
          <w:sz w:val="20"/>
          <w:szCs w:val="20"/>
        </w:rPr>
        <w:t xml:space="preserve">, A. K., Wang, L., Xu, M. L., Piao, J. P., &amp; Cho, D. H. (2013). Far infrared assisted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leaf tea preparation and its effect on phenolic compounds, antioxidant and ACE inhibitory activity. </w:t>
      </w:r>
      <w:r w:rsidRPr="00CE68D4">
        <w:rPr>
          <w:rStyle w:val="Emphasis"/>
          <w:rFonts w:ascii="Arial" w:hAnsi="Arial" w:cs="Arial"/>
          <w:sz w:val="20"/>
          <w:szCs w:val="20"/>
        </w:rPr>
        <w:t>Journal of Medicinal Plants Research, 7</w:t>
      </w:r>
      <w:r w:rsidRPr="00CE68D4">
        <w:rPr>
          <w:rFonts w:ascii="Arial" w:hAnsi="Arial" w:cs="Arial"/>
          <w:sz w:val="20"/>
          <w:szCs w:val="20"/>
        </w:rPr>
        <w:t>(17), 1121–1128.</w:t>
      </w:r>
    </w:p>
    <w:p w14:paraId="1AA0551C"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color w:val="000000" w:themeColor="text1"/>
          <w:sz w:val="20"/>
          <w:szCs w:val="20"/>
          <w:shd w:val="clear" w:color="auto" w:fill="FFFFFF"/>
        </w:rPr>
        <w:t>Junejo, N., Abdu, A., Hamid, H. A., Ahmed, K., &amp; Akber, M. H. (2014). Journey of kenaf in Malaysia: A Review. </w:t>
      </w:r>
      <w:r w:rsidRPr="00CE68D4">
        <w:rPr>
          <w:rFonts w:ascii="Arial" w:hAnsi="Arial" w:cs="Arial"/>
          <w:i/>
          <w:iCs/>
          <w:color w:val="000000" w:themeColor="text1"/>
          <w:sz w:val="20"/>
          <w:szCs w:val="20"/>
          <w:shd w:val="clear" w:color="auto" w:fill="FFFFFF"/>
        </w:rPr>
        <w:t>Scientific Res Essays</w:t>
      </w:r>
      <w:r w:rsidRPr="00CE68D4">
        <w:rPr>
          <w:rFonts w:ascii="Arial" w:hAnsi="Arial" w:cs="Arial"/>
          <w:color w:val="000000" w:themeColor="text1"/>
          <w:sz w:val="20"/>
          <w:szCs w:val="20"/>
          <w:shd w:val="clear" w:color="auto" w:fill="FFFFFF"/>
        </w:rPr>
        <w:t>, </w:t>
      </w:r>
      <w:r w:rsidRPr="00CE68D4">
        <w:rPr>
          <w:rFonts w:ascii="Arial" w:hAnsi="Arial" w:cs="Arial"/>
          <w:i/>
          <w:iCs/>
          <w:color w:val="000000" w:themeColor="text1"/>
          <w:sz w:val="20"/>
          <w:szCs w:val="20"/>
          <w:shd w:val="clear" w:color="auto" w:fill="FFFFFF"/>
        </w:rPr>
        <w:t>9</w:t>
      </w:r>
      <w:r w:rsidRPr="00CE68D4">
        <w:rPr>
          <w:rFonts w:ascii="Arial" w:hAnsi="Arial" w:cs="Arial"/>
          <w:color w:val="000000" w:themeColor="text1"/>
          <w:sz w:val="20"/>
          <w:szCs w:val="20"/>
          <w:shd w:val="clear" w:color="auto" w:fill="FFFFFF"/>
        </w:rPr>
        <w:t>, 458-470.</w:t>
      </w:r>
    </w:p>
    <w:p w14:paraId="13EDD962"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t xml:space="preserve">Kaul, S., Gulati, N., Verma, D., Mukherjee, S., &amp; Nagaich, U. (2018). Role of nanotechnology in cosmeceuticals: A review of recent advances. </w:t>
      </w:r>
      <w:r w:rsidRPr="00CE68D4">
        <w:rPr>
          <w:rStyle w:val="Emphasis"/>
          <w:rFonts w:ascii="Arial" w:hAnsi="Arial" w:cs="Arial"/>
          <w:sz w:val="20"/>
          <w:szCs w:val="20"/>
        </w:rPr>
        <w:t>Journal of Pharmaceutics.</w:t>
      </w:r>
    </w:p>
    <w:p w14:paraId="26B93FA6"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t xml:space="preserve">Kim, D. G., Ryu, J., Lee, M. K., Kim, J. M., Ahn, J. W., Kim, J. B., &amp; Kwon, S. J. (2018). Nutritional properties of various tissues from new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cultivars. </w:t>
      </w:r>
      <w:r w:rsidRPr="00CE68D4">
        <w:rPr>
          <w:rStyle w:val="Emphasis"/>
          <w:rFonts w:ascii="Arial" w:hAnsi="Arial" w:cs="Arial"/>
          <w:sz w:val="20"/>
          <w:szCs w:val="20"/>
        </w:rPr>
        <w:t>Journal of Crop Science and Biotechnology, 21</w:t>
      </w:r>
      <w:r w:rsidRPr="00CE68D4">
        <w:rPr>
          <w:rFonts w:ascii="Arial" w:hAnsi="Arial" w:cs="Arial"/>
          <w:sz w:val="20"/>
          <w:szCs w:val="20"/>
        </w:rPr>
        <w:t>(3), 229–239.</w:t>
      </w:r>
    </w:p>
    <w:p w14:paraId="2BCB7BE1"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proofErr w:type="spellStart"/>
      <w:r w:rsidRPr="00CE68D4">
        <w:rPr>
          <w:rFonts w:ascii="Arial" w:hAnsi="Arial" w:cs="Arial"/>
          <w:sz w:val="20"/>
          <w:szCs w:val="20"/>
        </w:rPr>
        <w:t>Kobaisy</w:t>
      </w:r>
      <w:proofErr w:type="spellEnd"/>
      <w:r w:rsidRPr="00CE68D4">
        <w:rPr>
          <w:rFonts w:ascii="Arial" w:hAnsi="Arial" w:cs="Arial"/>
          <w:sz w:val="20"/>
          <w:szCs w:val="20"/>
        </w:rPr>
        <w:t xml:space="preserve">, M., Tellez, M. R., Webber, C. L., Dayan, F. E., Schrader, K. K., &amp; Wedge, D. E. (2001). Phytotoxic and fungitoxic activities of the essential oil of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w:t>
      </w:r>
      <w:r w:rsidRPr="00CE68D4">
        <w:rPr>
          <w:rStyle w:val="Emphasis"/>
          <w:rFonts w:ascii="Arial" w:hAnsi="Arial" w:cs="Arial"/>
          <w:sz w:val="20"/>
          <w:szCs w:val="20"/>
        </w:rPr>
        <w:t xml:space="preserve">Hibiscus </w:t>
      </w:r>
      <w:proofErr w:type="spellStart"/>
      <w:r w:rsidRPr="00CE68D4">
        <w:rPr>
          <w:rStyle w:val="Emphasis"/>
          <w:rFonts w:ascii="Arial" w:hAnsi="Arial" w:cs="Arial"/>
          <w:sz w:val="20"/>
          <w:szCs w:val="20"/>
        </w:rPr>
        <w:t>cannabinus</w:t>
      </w:r>
      <w:proofErr w:type="spellEnd"/>
      <w:r w:rsidRPr="00CE68D4">
        <w:rPr>
          <w:rFonts w:ascii="Arial" w:hAnsi="Arial" w:cs="Arial"/>
          <w:sz w:val="20"/>
          <w:szCs w:val="20"/>
        </w:rPr>
        <w:t xml:space="preserve"> L.) leaves and its composition. </w:t>
      </w:r>
      <w:r w:rsidRPr="00CE68D4">
        <w:rPr>
          <w:rStyle w:val="Emphasis"/>
          <w:rFonts w:ascii="Arial" w:hAnsi="Arial" w:cs="Arial"/>
          <w:sz w:val="20"/>
          <w:szCs w:val="20"/>
        </w:rPr>
        <w:t>Journal of Agricultural and Food Chemistry, 49</w:t>
      </w:r>
      <w:r w:rsidRPr="00CE68D4">
        <w:rPr>
          <w:rFonts w:ascii="Arial" w:hAnsi="Arial" w:cs="Arial"/>
          <w:sz w:val="20"/>
          <w:szCs w:val="20"/>
        </w:rPr>
        <w:t>(8), 3768–3771.</w:t>
      </w:r>
    </w:p>
    <w:p w14:paraId="385C1F89"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proofErr w:type="spellStart"/>
      <w:r w:rsidRPr="00CE68D4">
        <w:rPr>
          <w:rFonts w:ascii="Arial" w:hAnsi="Arial" w:cs="Arial"/>
          <w:sz w:val="20"/>
          <w:szCs w:val="20"/>
        </w:rPr>
        <w:t>Kujoana</w:t>
      </w:r>
      <w:proofErr w:type="spellEnd"/>
      <w:r w:rsidRPr="00CE68D4">
        <w:rPr>
          <w:rFonts w:ascii="Arial" w:hAnsi="Arial" w:cs="Arial"/>
          <w:sz w:val="20"/>
          <w:szCs w:val="20"/>
        </w:rPr>
        <w:t xml:space="preserve">, T. C., Weeks, W. J., Van der Westhuizen, M. M., </w:t>
      </w:r>
      <w:proofErr w:type="spellStart"/>
      <w:r w:rsidRPr="00CE68D4">
        <w:rPr>
          <w:rFonts w:ascii="Arial" w:hAnsi="Arial" w:cs="Arial"/>
          <w:sz w:val="20"/>
          <w:szCs w:val="20"/>
        </w:rPr>
        <w:t>Mabelebele</w:t>
      </w:r>
      <w:proofErr w:type="spellEnd"/>
      <w:r w:rsidRPr="00CE68D4">
        <w:rPr>
          <w:rFonts w:ascii="Arial" w:hAnsi="Arial" w:cs="Arial"/>
          <w:sz w:val="20"/>
          <w:szCs w:val="20"/>
        </w:rPr>
        <w:t xml:space="preserve">, M., &amp; Sebola, N. A. (2023). Potential significance of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w:t>
      </w:r>
      <w:r w:rsidRPr="00CE68D4">
        <w:rPr>
          <w:rStyle w:val="Emphasis"/>
          <w:rFonts w:ascii="Arial" w:hAnsi="Arial" w:cs="Arial"/>
          <w:sz w:val="20"/>
          <w:szCs w:val="20"/>
        </w:rPr>
        <w:t xml:space="preserve">Hibiscus </w:t>
      </w:r>
      <w:proofErr w:type="spellStart"/>
      <w:r w:rsidRPr="00CE68D4">
        <w:rPr>
          <w:rStyle w:val="Emphasis"/>
          <w:rFonts w:ascii="Arial" w:hAnsi="Arial" w:cs="Arial"/>
          <w:sz w:val="20"/>
          <w:szCs w:val="20"/>
        </w:rPr>
        <w:t>cannabinus</w:t>
      </w:r>
      <w:proofErr w:type="spellEnd"/>
      <w:r w:rsidRPr="00CE68D4">
        <w:rPr>
          <w:rFonts w:ascii="Arial" w:hAnsi="Arial" w:cs="Arial"/>
          <w:sz w:val="20"/>
          <w:szCs w:val="20"/>
        </w:rPr>
        <w:t xml:space="preserve"> L.) to global food and feed industries. </w:t>
      </w:r>
      <w:r w:rsidRPr="00CE68D4">
        <w:rPr>
          <w:rStyle w:val="Emphasis"/>
          <w:rFonts w:ascii="Arial" w:hAnsi="Arial" w:cs="Arial"/>
          <w:sz w:val="20"/>
          <w:szCs w:val="20"/>
        </w:rPr>
        <w:t>Cogent Food &amp; Agriculture, 9</w:t>
      </w:r>
      <w:r w:rsidRPr="00CE68D4">
        <w:rPr>
          <w:rFonts w:ascii="Arial" w:hAnsi="Arial" w:cs="Arial"/>
          <w:sz w:val="20"/>
          <w:szCs w:val="20"/>
        </w:rPr>
        <w:t>(1), 2184014.</w:t>
      </w:r>
    </w:p>
    <w:p w14:paraId="41329878"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t xml:space="preserve">Lim, P. Y., Sim, Y. Y., &amp; Nyam, K. L. (2020). Influence of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w:t>
      </w:r>
      <w:r w:rsidRPr="00CE68D4">
        <w:rPr>
          <w:rStyle w:val="Emphasis"/>
          <w:rFonts w:ascii="Arial" w:hAnsi="Arial" w:cs="Arial"/>
          <w:sz w:val="20"/>
          <w:szCs w:val="20"/>
        </w:rPr>
        <w:t xml:space="preserve">Hibiscus </w:t>
      </w:r>
      <w:proofErr w:type="spellStart"/>
      <w:r w:rsidRPr="00CE68D4">
        <w:rPr>
          <w:rStyle w:val="Emphasis"/>
          <w:rFonts w:ascii="Arial" w:hAnsi="Arial" w:cs="Arial"/>
          <w:sz w:val="20"/>
          <w:szCs w:val="20"/>
        </w:rPr>
        <w:t>cannabinus</w:t>
      </w:r>
      <w:proofErr w:type="spellEnd"/>
      <w:r w:rsidRPr="00CE68D4">
        <w:rPr>
          <w:rFonts w:ascii="Arial" w:hAnsi="Arial" w:cs="Arial"/>
          <w:sz w:val="20"/>
          <w:szCs w:val="20"/>
        </w:rPr>
        <w:t xml:space="preserve"> L.) leaves powder on the physicochemical, antioxidant and sensorial properties of wheat bread. </w:t>
      </w:r>
      <w:r w:rsidRPr="00CE68D4">
        <w:rPr>
          <w:rStyle w:val="Emphasis"/>
          <w:rFonts w:ascii="Arial" w:hAnsi="Arial" w:cs="Arial"/>
          <w:sz w:val="20"/>
          <w:szCs w:val="20"/>
        </w:rPr>
        <w:t>Journal of Food Measurement and Characterization, 14</w:t>
      </w:r>
      <w:r w:rsidRPr="00CE68D4">
        <w:rPr>
          <w:rFonts w:ascii="Arial" w:hAnsi="Arial" w:cs="Arial"/>
          <w:sz w:val="20"/>
          <w:szCs w:val="20"/>
        </w:rPr>
        <w:t>(5), 2425–2432.</w:t>
      </w:r>
    </w:p>
    <w:p w14:paraId="4D101B4B"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proofErr w:type="spellStart"/>
      <w:r w:rsidRPr="00CE68D4">
        <w:rPr>
          <w:rFonts w:ascii="Arial" w:hAnsi="Arial" w:cs="Arial"/>
          <w:sz w:val="20"/>
          <w:szCs w:val="20"/>
        </w:rPr>
        <w:t>Mariod</w:t>
      </w:r>
      <w:proofErr w:type="spellEnd"/>
      <w:r w:rsidRPr="00CE68D4">
        <w:rPr>
          <w:rFonts w:ascii="Arial" w:hAnsi="Arial" w:cs="Arial"/>
          <w:sz w:val="20"/>
          <w:szCs w:val="20"/>
        </w:rPr>
        <w:t xml:space="preserve">, A. A., Fathy, S. F., &amp; Ismail, M. (2010). Preparation and characterization of protein concentrates from defatted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seed. </w:t>
      </w:r>
      <w:r w:rsidRPr="00CE68D4">
        <w:rPr>
          <w:rStyle w:val="Emphasis"/>
          <w:rFonts w:ascii="Arial" w:hAnsi="Arial" w:cs="Arial"/>
          <w:sz w:val="20"/>
          <w:szCs w:val="20"/>
        </w:rPr>
        <w:t>Food Chemistry, 123</w:t>
      </w:r>
      <w:r w:rsidRPr="00CE68D4">
        <w:rPr>
          <w:rFonts w:ascii="Arial" w:hAnsi="Arial" w:cs="Arial"/>
          <w:sz w:val="20"/>
          <w:szCs w:val="20"/>
        </w:rPr>
        <w:t xml:space="preserve">(3), 747–752. </w:t>
      </w:r>
    </w:p>
    <w:p w14:paraId="7DF3F511"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t xml:space="preserve">Meral, R., &amp; Dogan, I. (2013). Quality and antioxidant activity of bread fortified with flaxseed. </w:t>
      </w:r>
      <w:r w:rsidRPr="00CE68D4">
        <w:rPr>
          <w:rStyle w:val="Emphasis"/>
          <w:rFonts w:ascii="Arial" w:hAnsi="Arial" w:cs="Arial"/>
          <w:sz w:val="20"/>
          <w:szCs w:val="20"/>
        </w:rPr>
        <w:t>Italian Journal of Food Science, 25</w:t>
      </w:r>
      <w:r w:rsidRPr="00CE68D4">
        <w:rPr>
          <w:rFonts w:ascii="Arial" w:hAnsi="Arial" w:cs="Arial"/>
          <w:sz w:val="20"/>
          <w:szCs w:val="20"/>
        </w:rPr>
        <w:t>(1), 51–56.</w:t>
      </w:r>
    </w:p>
    <w:p w14:paraId="130D91CD"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t xml:space="preserve">Mohammed, H. (2017). Cost benefit analysis of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cultivation for producing </w:t>
      </w:r>
      <w:proofErr w:type="spellStart"/>
      <w:r w:rsidRPr="00CE68D4">
        <w:rPr>
          <w:rFonts w:ascii="Arial" w:hAnsi="Arial" w:cs="Arial"/>
          <w:sz w:val="20"/>
          <w:szCs w:val="20"/>
        </w:rPr>
        <w:t>fiber</w:t>
      </w:r>
      <w:proofErr w:type="spellEnd"/>
      <w:r w:rsidRPr="00CE68D4">
        <w:rPr>
          <w:rFonts w:ascii="Arial" w:hAnsi="Arial" w:cs="Arial"/>
          <w:sz w:val="20"/>
          <w:szCs w:val="20"/>
        </w:rPr>
        <w:t xml:space="preserve"> in Malaysia. </w:t>
      </w:r>
      <w:r w:rsidRPr="00CE68D4">
        <w:rPr>
          <w:rStyle w:val="Emphasis"/>
          <w:rFonts w:ascii="Arial" w:hAnsi="Arial" w:cs="Arial"/>
          <w:sz w:val="20"/>
          <w:szCs w:val="20"/>
        </w:rPr>
        <w:t>Arabian Journal of Business and Management Review, 7</w:t>
      </w:r>
      <w:r w:rsidRPr="00CE68D4">
        <w:rPr>
          <w:rFonts w:ascii="Arial" w:hAnsi="Arial" w:cs="Arial"/>
          <w:sz w:val="20"/>
          <w:szCs w:val="20"/>
        </w:rPr>
        <w:t>(1), 1–4.</w:t>
      </w:r>
    </w:p>
    <w:p w14:paraId="0A9F2C6F"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t xml:space="preserve">Monti, A. (2013). </w:t>
      </w:r>
      <w:proofErr w:type="spellStart"/>
      <w:r w:rsidRPr="00CE68D4">
        <w:rPr>
          <w:rStyle w:val="Emphasis"/>
          <w:rFonts w:ascii="Arial" w:hAnsi="Arial" w:cs="Arial"/>
          <w:sz w:val="20"/>
          <w:szCs w:val="20"/>
        </w:rPr>
        <w:t>Mestha</w:t>
      </w:r>
      <w:proofErr w:type="spellEnd"/>
      <w:r w:rsidRPr="00CE68D4">
        <w:rPr>
          <w:rStyle w:val="Emphasis"/>
          <w:rFonts w:ascii="Arial" w:hAnsi="Arial" w:cs="Arial"/>
          <w:sz w:val="20"/>
          <w:szCs w:val="20"/>
        </w:rPr>
        <w:t>: A multi-purpose crop for several industrial applications.</w:t>
      </w:r>
      <w:r w:rsidRPr="00CE68D4">
        <w:rPr>
          <w:rFonts w:ascii="Arial" w:hAnsi="Arial" w:cs="Arial"/>
          <w:sz w:val="20"/>
          <w:szCs w:val="20"/>
        </w:rPr>
        <w:t xml:space="preserve"> Springer-Verlag Berlin Heidelberg.</w:t>
      </w:r>
    </w:p>
    <w:p w14:paraId="17785254"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t xml:space="preserve">Ng, S. K., Jessie, L. Y. L., Tan, C. P., Long, K., &amp; Nyam, K. L. (2013). Effect of accelerated storage on microencapsulated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seed oil. </w:t>
      </w:r>
      <w:r w:rsidRPr="00CE68D4">
        <w:rPr>
          <w:rStyle w:val="Emphasis"/>
          <w:rFonts w:ascii="Arial" w:hAnsi="Arial" w:cs="Arial"/>
          <w:sz w:val="20"/>
          <w:szCs w:val="20"/>
        </w:rPr>
        <w:t>Journal of the American Oil Chemists’ Society, 90</w:t>
      </w:r>
      <w:r w:rsidRPr="00CE68D4">
        <w:rPr>
          <w:rFonts w:ascii="Arial" w:hAnsi="Arial" w:cs="Arial"/>
          <w:sz w:val="20"/>
          <w:szCs w:val="20"/>
        </w:rPr>
        <w:t xml:space="preserve">(7), 1023–1029. </w:t>
      </w:r>
    </w:p>
    <w:p w14:paraId="7DFB163C"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t xml:space="preserve">Nguyen, N. T. T., Le, H. A. V., Pham, D. A., &amp; Tran, T. N. Y. (2018). Evaluation of physical, nutritional and sensorial properties of cookies supplied with </w:t>
      </w:r>
      <w:r w:rsidRPr="00CE68D4">
        <w:rPr>
          <w:rStyle w:val="Emphasis"/>
          <w:rFonts w:ascii="Arial" w:hAnsi="Arial" w:cs="Arial"/>
          <w:sz w:val="20"/>
          <w:szCs w:val="20"/>
        </w:rPr>
        <w:t>Hibiscus sabdariffa</w:t>
      </w:r>
      <w:r w:rsidRPr="00CE68D4">
        <w:rPr>
          <w:rFonts w:ascii="Arial" w:hAnsi="Arial" w:cs="Arial"/>
          <w:sz w:val="20"/>
          <w:szCs w:val="20"/>
        </w:rPr>
        <w:t xml:space="preserve"> L. seed powder (without shell). </w:t>
      </w:r>
      <w:r w:rsidRPr="00CE68D4">
        <w:rPr>
          <w:rStyle w:val="Emphasis"/>
          <w:rFonts w:ascii="Arial" w:hAnsi="Arial" w:cs="Arial"/>
          <w:sz w:val="20"/>
          <w:szCs w:val="20"/>
        </w:rPr>
        <w:t>International Food Research Journal, 25</w:t>
      </w:r>
      <w:r w:rsidRPr="00CE68D4">
        <w:rPr>
          <w:rFonts w:ascii="Arial" w:hAnsi="Arial" w:cs="Arial"/>
          <w:sz w:val="20"/>
          <w:szCs w:val="20"/>
        </w:rPr>
        <w:t>(3), 1281–1287.</w:t>
      </w:r>
    </w:p>
    <w:p w14:paraId="24910511"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t>Nyam, K. L., Leao, S. Y., Tan, C. P., &amp; Long, K. (2014). Functional properties of roselle (</w:t>
      </w:r>
      <w:r w:rsidRPr="00CE68D4">
        <w:rPr>
          <w:rStyle w:val="Emphasis"/>
          <w:rFonts w:ascii="Arial" w:hAnsi="Arial" w:cs="Arial"/>
          <w:sz w:val="20"/>
          <w:szCs w:val="20"/>
        </w:rPr>
        <w:t>Hibiscus sabdariffa</w:t>
      </w:r>
      <w:r w:rsidRPr="00CE68D4">
        <w:rPr>
          <w:rFonts w:ascii="Arial" w:hAnsi="Arial" w:cs="Arial"/>
          <w:sz w:val="20"/>
          <w:szCs w:val="20"/>
        </w:rPr>
        <w:t xml:space="preserve"> L.) seed and its application as a bakery product. </w:t>
      </w:r>
      <w:r w:rsidRPr="00CE68D4">
        <w:rPr>
          <w:rStyle w:val="Emphasis"/>
          <w:rFonts w:ascii="Arial" w:hAnsi="Arial" w:cs="Arial"/>
          <w:sz w:val="20"/>
          <w:szCs w:val="20"/>
        </w:rPr>
        <w:t>Journal of Food Science and Technology, 51</w:t>
      </w:r>
      <w:r w:rsidRPr="00CE68D4">
        <w:rPr>
          <w:rFonts w:ascii="Arial" w:hAnsi="Arial" w:cs="Arial"/>
          <w:sz w:val="20"/>
          <w:szCs w:val="20"/>
        </w:rPr>
        <w:t>(12), 3830–3837.</w:t>
      </w:r>
    </w:p>
    <w:p w14:paraId="6A7C2E05"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proofErr w:type="spellStart"/>
      <w:r w:rsidRPr="00CE68D4">
        <w:rPr>
          <w:rFonts w:ascii="Arial" w:hAnsi="Arial" w:cs="Arial"/>
          <w:sz w:val="20"/>
          <w:szCs w:val="20"/>
        </w:rPr>
        <w:t>Omenna</w:t>
      </w:r>
      <w:proofErr w:type="spellEnd"/>
      <w:r w:rsidRPr="00CE68D4">
        <w:rPr>
          <w:rFonts w:ascii="Arial" w:hAnsi="Arial" w:cs="Arial"/>
          <w:sz w:val="20"/>
          <w:szCs w:val="20"/>
        </w:rPr>
        <w:t xml:space="preserve">, E. C., &amp; Ojo, A. I. (2018). Comparative phytochemical screening of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and jute leaves. </w:t>
      </w:r>
      <w:r w:rsidRPr="00CE68D4">
        <w:rPr>
          <w:rStyle w:val="Emphasis"/>
          <w:rFonts w:ascii="Arial" w:hAnsi="Arial" w:cs="Arial"/>
          <w:sz w:val="20"/>
          <w:szCs w:val="20"/>
        </w:rPr>
        <w:t>Journal of Nutrition, Health and Food Engineering, 8</w:t>
      </w:r>
      <w:r w:rsidRPr="00CE68D4">
        <w:rPr>
          <w:rFonts w:ascii="Arial" w:hAnsi="Arial" w:cs="Arial"/>
          <w:sz w:val="20"/>
          <w:szCs w:val="20"/>
        </w:rPr>
        <w:t>(5), 366–369.</w:t>
      </w:r>
    </w:p>
    <w:p w14:paraId="38FE75A5"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t xml:space="preserve">Quispe, C., Viveros-Valdez, E., &amp; Schmeda-Hirschmann, G. (2012). Phenolic constituents of the Chilean herbal tea </w:t>
      </w:r>
      <w:r w:rsidRPr="00CE68D4">
        <w:rPr>
          <w:rStyle w:val="Emphasis"/>
          <w:rFonts w:ascii="Arial" w:hAnsi="Arial" w:cs="Arial"/>
          <w:sz w:val="20"/>
          <w:szCs w:val="20"/>
        </w:rPr>
        <w:t>Fabiana imbricata</w:t>
      </w:r>
      <w:r w:rsidRPr="00CE68D4">
        <w:rPr>
          <w:rFonts w:ascii="Arial" w:hAnsi="Arial" w:cs="Arial"/>
          <w:sz w:val="20"/>
          <w:szCs w:val="20"/>
        </w:rPr>
        <w:t xml:space="preserve"> R. et P. </w:t>
      </w:r>
      <w:r w:rsidRPr="00CE68D4">
        <w:rPr>
          <w:rStyle w:val="Emphasis"/>
          <w:rFonts w:ascii="Arial" w:hAnsi="Arial" w:cs="Arial"/>
          <w:sz w:val="20"/>
          <w:szCs w:val="20"/>
        </w:rPr>
        <w:t>Plant Foods for Human Nutrition, 67</w:t>
      </w:r>
      <w:r w:rsidRPr="00CE68D4">
        <w:rPr>
          <w:rFonts w:ascii="Arial" w:hAnsi="Arial" w:cs="Arial"/>
          <w:sz w:val="20"/>
          <w:szCs w:val="20"/>
        </w:rPr>
        <w:t>(3), 242–246.</w:t>
      </w:r>
    </w:p>
    <w:p w14:paraId="14F41023"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proofErr w:type="spellStart"/>
      <w:r w:rsidRPr="00CE68D4">
        <w:rPr>
          <w:rFonts w:ascii="Arial" w:hAnsi="Arial" w:cs="Arial"/>
          <w:sz w:val="20"/>
          <w:szCs w:val="20"/>
        </w:rPr>
        <w:t>Rekaya</w:t>
      </w:r>
      <w:proofErr w:type="spellEnd"/>
      <w:r w:rsidRPr="00CE68D4">
        <w:rPr>
          <w:rFonts w:ascii="Arial" w:hAnsi="Arial" w:cs="Arial"/>
          <w:sz w:val="20"/>
          <w:szCs w:val="20"/>
        </w:rPr>
        <w:t xml:space="preserve">, A., Hanana, M., Mzid, R., Hamrouni, L., Khouja, M. L., &amp; Hanachi, A. (2016). </w:t>
      </w:r>
      <w:r w:rsidRPr="00CE68D4">
        <w:rPr>
          <w:rStyle w:val="Emphasis"/>
          <w:rFonts w:ascii="Arial" w:hAnsi="Arial" w:cs="Arial"/>
          <w:sz w:val="20"/>
          <w:szCs w:val="20"/>
        </w:rPr>
        <w:t>Hibiscus cannabinus</w:t>
      </w:r>
      <w:r w:rsidRPr="00CE68D4">
        <w:rPr>
          <w:rFonts w:ascii="Arial" w:hAnsi="Arial" w:cs="Arial"/>
          <w:sz w:val="20"/>
          <w:szCs w:val="20"/>
        </w:rPr>
        <w:t xml:space="preserve"> L.—</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A review paper. </w:t>
      </w:r>
      <w:r w:rsidRPr="00CE68D4">
        <w:rPr>
          <w:rStyle w:val="Emphasis"/>
          <w:rFonts w:ascii="Arial" w:hAnsi="Arial" w:cs="Arial"/>
          <w:sz w:val="20"/>
          <w:szCs w:val="20"/>
        </w:rPr>
        <w:t>Journal of Natural Fibers, 14</w:t>
      </w:r>
      <w:r w:rsidRPr="00CE68D4">
        <w:rPr>
          <w:rFonts w:ascii="Arial" w:hAnsi="Arial" w:cs="Arial"/>
          <w:sz w:val="20"/>
          <w:szCs w:val="20"/>
        </w:rPr>
        <w:t>(1), 1–19.</w:t>
      </w:r>
    </w:p>
    <w:p w14:paraId="721BD658"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lastRenderedPageBreak/>
        <w:t xml:space="preserve">Ryu, J., Ha, B. K., Kim, D. S., Kim, J. B., Kim, S. H., &amp; Kang, S. Y. (2013). Assessment of growth and seed oil composition of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w:t>
      </w:r>
      <w:r w:rsidRPr="00CE68D4">
        <w:rPr>
          <w:rStyle w:val="Emphasis"/>
          <w:rFonts w:ascii="Arial" w:hAnsi="Arial" w:cs="Arial"/>
          <w:sz w:val="20"/>
          <w:szCs w:val="20"/>
        </w:rPr>
        <w:t xml:space="preserve">Hibiscus </w:t>
      </w:r>
      <w:proofErr w:type="spellStart"/>
      <w:r w:rsidRPr="00CE68D4">
        <w:rPr>
          <w:rStyle w:val="Emphasis"/>
          <w:rFonts w:ascii="Arial" w:hAnsi="Arial" w:cs="Arial"/>
          <w:sz w:val="20"/>
          <w:szCs w:val="20"/>
        </w:rPr>
        <w:t>cannabinus</w:t>
      </w:r>
      <w:proofErr w:type="spellEnd"/>
      <w:r w:rsidRPr="00CE68D4">
        <w:rPr>
          <w:rFonts w:ascii="Arial" w:hAnsi="Arial" w:cs="Arial"/>
          <w:sz w:val="20"/>
          <w:szCs w:val="20"/>
        </w:rPr>
        <w:t xml:space="preserve"> L.) germplasm. </w:t>
      </w:r>
      <w:r w:rsidRPr="00CE68D4">
        <w:rPr>
          <w:rStyle w:val="Emphasis"/>
          <w:rFonts w:ascii="Arial" w:hAnsi="Arial" w:cs="Arial"/>
          <w:sz w:val="20"/>
          <w:szCs w:val="20"/>
        </w:rPr>
        <w:t>Journal of Crop Science and Biotechnology, 16</w:t>
      </w:r>
      <w:r w:rsidRPr="00CE68D4">
        <w:rPr>
          <w:rFonts w:ascii="Arial" w:hAnsi="Arial" w:cs="Arial"/>
          <w:sz w:val="20"/>
          <w:szCs w:val="20"/>
        </w:rPr>
        <w:t>(4), 297–302.</w:t>
      </w:r>
    </w:p>
    <w:p w14:paraId="30FAE0AF"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t xml:space="preserve">Ryu, J., Kwon, S. J., Ahn, J. W., Jo, Y. D., Kim, S. H., Jeong, S. W., &amp; Kang, S. Y. (2017). Phytochemicals and antioxidant activity in the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plant (</w:t>
      </w:r>
      <w:r w:rsidRPr="00CE68D4">
        <w:rPr>
          <w:rStyle w:val="Emphasis"/>
          <w:rFonts w:ascii="Arial" w:hAnsi="Arial" w:cs="Arial"/>
          <w:sz w:val="20"/>
          <w:szCs w:val="20"/>
        </w:rPr>
        <w:t xml:space="preserve">Hibiscus </w:t>
      </w:r>
      <w:proofErr w:type="spellStart"/>
      <w:r w:rsidRPr="00CE68D4">
        <w:rPr>
          <w:rStyle w:val="Emphasis"/>
          <w:rFonts w:ascii="Arial" w:hAnsi="Arial" w:cs="Arial"/>
          <w:sz w:val="20"/>
          <w:szCs w:val="20"/>
        </w:rPr>
        <w:t>cannabinus</w:t>
      </w:r>
      <w:proofErr w:type="spellEnd"/>
      <w:r w:rsidRPr="00CE68D4">
        <w:rPr>
          <w:rFonts w:ascii="Arial" w:hAnsi="Arial" w:cs="Arial"/>
          <w:sz w:val="20"/>
          <w:szCs w:val="20"/>
        </w:rPr>
        <w:t xml:space="preserve"> L.). </w:t>
      </w:r>
      <w:r w:rsidRPr="00CE68D4">
        <w:rPr>
          <w:rStyle w:val="Emphasis"/>
          <w:rFonts w:ascii="Arial" w:hAnsi="Arial" w:cs="Arial"/>
          <w:sz w:val="20"/>
          <w:szCs w:val="20"/>
        </w:rPr>
        <w:t>Journal of Plant Biotechnology, 44</w:t>
      </w:r>
      <w:r w:rsidRPr="00CE68D4">
        <w:rPr>
          <w:rFonts w:ascii="Arial" w:hAnsi="Arial" w:cs="Arial"/>
          <w:sz w:val="20"/>
          <w:szCs w:val="20"/>
        </w:rPr>
        <w:t xml:space="preserve">(2), 191–202. </w:t>
      </w:r>
    </w:p>
    <w:p w14:paraId="238A7703"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t xml:space="preserve">Shikha, D., Kashyap, P., Thakur, A., &amp; Sharma, M. (2023). </w:t>
      </w:r>
      <w:r w:rsidRPr="00CE68D4">
        <w:rPr>
          <w:rStyle w:val="Emphasis"/>
          <w:rFonts w:ascii="Arial" w:hAnsi="Arial" w:cs="Arial"/>
          <w:sz w:val="20"/>
          <w:szCs w:val="20"/>
        </w:rPr>
        <w:t>Hibiscus cannabinus.</w:t>
      </w:r>
      <w:r w:rsidRPr="00CE68D4">
        <w:rPr>
          <w:rFonts w:ascii="Arial" w:hAnsi="Arial" w:cs="Arial"/>
          <w:sz w:val="20"/>
          <w:szCs w:val="20"/>
        </w:rPr>
        <w:t xml:space="preserve"> In </w:t>
      </w:r>
      <w:r w:rsidRPr="00CE68D4">
        <w:rPr>
          <w:rStyle w:val="Emphasis"/>
          <w:rFonts w:ascii="Arial" w:hAnsi="Arial" w:cs="Arial"/>
          <w:sz w:val="20"/>
          <w:szCs w:val="20"/>
        </w:rPr>
        <w:t>Harvesting Food from Weeds</w:t>
      </w:r>
      <w:r w:rsidRPr="00CE68D4">
        <w:rPr>
          <w:rFonts w:ascii="Arial" w:hAnsi="Arial" w:cs="Arial"/>
          <w:sz w:val="20"/>
          <w:szCs w:val="20"/>
        </w:rPr>
        <w:t xml:space="preserve"> (pp. 267–326).</w:t>
      </w:r>
    </w:p>
    <w:p w14:paraId="120474FA"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t xml:space="preserve">Sim, Y. Y., &amp; Nyam, K. L. (2021). </w:t>
      </w:r>
      <w:r w:rsidRPr="00CE68D4">
        <w:rPr>
          <w:rStyle w:val="Emphasis"/>
          <w:rFonts w:ascii="Arial" w:hAnsi="Arial" w:cs="Arial"/>
          <w:sz w:val="20"/>
          <w:szCs w:val="20"/>
        </w:rPr>
        <w:t>Hibiscus cannabinus</w:t>
      </w:r>
      <w:r w:rsidRPr="00CE68D4">
        <w:rPr>
          <w:rFonts w:ascii="Arial" w:hAnsi="Arial" w:cs="Arial"/>
          <w:sz w:val="20"/>
          <w:szCs w:val="20"/>
        </w:rPr>
        <w:t xml:space="preserve"> L.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studies: Nutritional composition, phytochemistry, pharmacology, and potential applications. </w:t>
      </w:r>
      <w:r w:rsidRPr="00CE68D4">
        <w:rPr>
          <w:rStyle w:val="Emphasis"/>
          <w:rFonts w:ascii="Arial" w:hAnsi="Arial" w:cs="Arial"/>
          <w:sz w:val="20"/>
          <w:szCs w:val="20"/>
        </w:rPr>
        <w:t>Food Chemistry, 344</w:t>
      </w:r>
      <w:r w:rsidRPr="00CE68D4">
        <w:rPr>
          <w:rFonts w:ascii="Arial" w:hAnsi="Arial" w:cs="Arial"/>
          <w:sz w:val="20"/>
          <w:szCs w:val="20"/>
        </w:rPr>
        <w:t>, 128582.</w:t>
      </w:r>
    </w:p>
    <w:p w14:paraId="500847DA"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t xml:space="preserve">Singh, P., Kumar, R., Sabapathy, S. N., &amp; Bawa, A. S. (2008). Functional and edible uses of soy protein products. </w:t>
      </w:r>
      <w:r w:rsidRPr="00CE68D4">
        <w:rPr>
          <w:rStyle w:val="Emphasis"/>
          <w:rFonts w:ascii="Arial" w:hAnsi="Arial" w:cs="Arial"/>
          <w:sz w:val="20"/>
          <w:szCs w:val="20"/>
        </w:rPr>
        <w:t>Comprehensive Reviews in Food Science and Food Safety, 7</w:t>
      </w:r>
      <w:r w:rsidRPr="00CE68D4">
        <w:rPr>
          <w:rFonts w:ascii="Arial" w:hAnsi="Arial" w:cs="Arial"/>
          <w:sz w:val="20"/>
          <w:szCs w:val="20"/>
        </w:rPr>
        <w:t xml:space="preserve">(1), 14–28. </w:t>
      </w:r>
    </w:p>
    <w:p w14:paraId="68B95667"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t xml:space="preserve">Sroka, Z., &amp; Cisowski, W. (2003). Hydrogen peroxide scavenging, antioxidant and antiradical activity of some phenolic acids. </w:t>
      </w:r>
      <w:r w:rsidRPr="00CE68D4">
        <w:rPr>
          <w:rStyle w:val="Emphasis"/>
          <w:rFonts w:ascii="Arial" w:hAnsi="Arial" w:cs="Arial"/>
          <w:sz w:val="20"/>
          <w:szCs w:val="20"/>
        </w:rPr>
        <w:t>Food and Chemical Toxicology, 41</w:t>
      </w:r>
      <w:r w:rsidRPr="00CE68D4">
        <w:rPr>
          <w:rFonts w:ascii="Arial" w:hAnsi="Arial" w:cs="Arial"/>
          <w:sz w:val="20"/>
          <w:szCs w:val="20"/>
        </w:rPr>
        <w:t xml:space="preserve">(6), 753–758. </w:t>
      </w:r>
    </w:p>
    <w:p w14:paraId="29348FF3"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t xml:space="preserve">Vasavi, C. L., Jyothi, A. S., Sravani, P., Chand, T. P., Adil, S. K., Raja, R. R., &amp; Baba, K. H. (2019). </w:t>
      </w:r>
      <w:r w:rsidRPr="00CE68D4">
        <w:rPr>
          <w:rStyle w:val="Emphasis"/>
          <w:rFonts w:ascii="Arial" w:hAnsi="Arial" w:cs="Arial"/>
          <w:sz w:val="20"/>
          <w:szCs w:val="20"/>
        </w:rPr>
        <w:t>Hibiscus cannabinus</w:t>
      </w:r>
      <w:r w:rsidRPr="00CE68D4">
        <w:rPr>
          <w:rFonts w:ascii="Arial" w:hAnsi="Arial" w:cs="Arial"/>
          <w:sz w:val="20"/>
          <w:szCs w:val="20"/>
        </w:rPr>
        <w:t xml:space="preserve"> and </w:t>
      </w:r>
      <w:r w:rsidRPr="00CE68D4">
        <w:rPr>
          <w:rStyle w:val="Emphasis"/>
          <w:rFonts w:ascii="Arial" w:hAnsi="Arial" w:cs="Arial"/>
          <w:sz w:val="20"/>
          <w:szCs w:val="20"/>
        </w:rPr>
        <w:t>Hibiscus sabdariffa</w:t>
      </w:r>
      <w:r w:rsidRPr="00CE68D4">
        <w:rPr>
          <w:rFonts w:ascii="Arial" w:hAnsi="Arial" w:cs="Arial"/>
          <w:sz w:val="20"/>
          <w:szCs w:val="20"/>
        </w:rPr>
        <w:t xml:space="preserve"> </w:t>
      </w:r>
      <w:proofErr w:type="spellStart"/>
      <w:r w:rsidRPr="00CE68D4">
        <w:rPr>
          <w:rFonts w:ascii="Arial" w:hAnsi="Arial" w:cs="Arial"/>
          <w:sz w:val="20"/>
          <w:szCs w:val="20"/>
        </w:rPr>
        <w:t>phytopharmacognostical</w:t>
      </w:r>
      <w:proofErr w:type="spellEnd"/>
      <w:r w:rsidRPr="00CE68D4">
        <w:rPr>
          <w:rFonts w:ascii="Arial" w:hAnsi="Arial" w:cs="Arial"/>
          <w:sz w:val="20"/>
          <w:szCs w:val="20"/>
        </w:rPr>
        <w:t xml:space="preserve"> review. </w:t>
      </w:r>
      <w:r w:rsidRPr="00CE68D4">
        <w:rPr>
          <w:rStyle w:val="Emphasis"/>
          <w:rFonts w:ascii="Arial" w:hAnsi="Arial" w:cs="Arial"/>
          <w:sz w:val="20"/>
          <w:szCs w:val="20"/>
        </w:rPr>
        <w:t>Journal of Pharmacognosy and Phytochemistry, 8</w:t>
      </w:r>
      <w:r w:rsidRPr="00CE68D4">
        <w:rPr>
          <w:rFonts w:ascii="Arial" w:hAnsi="Arial" w:cs="Arial"/>
          <w:sz w:val="20"/>
          <w:szCs w:val="20"/>
        </w:rPr>
        <w:t>(1), 313–318.</w:t>
      </w:r>
    </w:p>
    <w:p w14:paraId="608331A5"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proofErr w:type="spellStart"/>
      <w:r w:rsidRPr="00CE68D4">
        <w:rPr>
          <w:rFonts w:ascii="Arial" w:hAnsi="Arial" w:cs="Arial"/>
          <w:sz w:val="20"/>
          <w:szCs w:val="20"/>
        </w:rPr>
        <w:t>Vayabari</w:t>
      </w:r>
      <w:proofErr w:type="spellEnd"/>
      <w:r w:rsidRPr="00CE68D4">
        <w:rPr>
          <w:rFonts w:ascii="Arial" w:hAnsi="Arial" w:cs="Arial"/>
          <w:sz w:val="20"/>
          <w:szCs w:val="20"/>
        </w:rPr>
        <w:t xml:space="preserve">, D. A., Ilham, Z., Md Saad, N., </w:t>
      </w:r>
      <w:proofErr w:type="spellStart"/>
      <w:r w:rsidRPr="00CE68D4">
        <w:rPr>
          <w:rFonts w:ascii="Arial" w:hAnsi="Arial" w:cs="Arial"/>
          <w:sz w:val="20"/>
          <w:szCs w:val="20"/>
        </w:rPr>
        <w:t>Usuldin</w:t>
      </w:r>
      <w:proofErr w:type="spellEnd"/>
      <w:r w:rsidRPr="00CE68D4">
        <w:rPr>
          <w:rFonts w:ascii="Arial" w:hAnsi="Arial" w:cs="Arial"/>
          <w:sz w:val="20"/>
          <w:szCs w:val="20"/>
        </w:rPr>
        <w:t xml:space="preserve">, S. R. A., </w:t>
      </w:r>
      <w:proofErr w:type="spellStart"/>
      <w:r w:rsidRPr="00CE68D4">
        <w:rPr>
          <w:rFonts w:ascii="Arial" w:hAnsi="Arial" w:cs="Arial"/>
          <w:sz w:val="20"/>
          <w:szCs w:val="20"/>
        </w:rPr>
        <w:t>Norhisham</w:t>
      </w:r>
      <w:proofErr w:type="spellEnd"/>
      <w:r w:rsidRPr="00CE68D4">
        <w:rPr>
          <w:rFonts w:ascii="Arial" w:hAnsi="Arial" w:cs="Arial"/>
          <w:sz w:val="20"/>
          <w:szCs w:val="20"/>
        </w:rPr>
        <w:t>, D. A., Abd Rahim, M. H., &amp; Wan-</w:t>
      </w:r>
      <w:proofErr w:type="spellStart"/>
      <w:r w:rsidRPr="00CE68D4">
        <w:rPr>
          <w:rFonts w:ascii="Arial" w:hAnsi="Arial" w:cs="Arial"/>
          <w:sz w:val="20"/>
          <w:szCs w:val="20"/>
        </w:rPr>
        <w:t>Mohtar</w:t>
      </w:r>
      <w:proofErr w:type="spellEnd"/>
      <w:r w:rsidRPr="00CE68D4">
        <w:rPr>
          <w:rFonts w:ascii="Arial" w:hAnsi="Arial" w:cs="Arial"/>
          <w:sz w:val="20"/>
          <w:szCs w:val="20"/>
        </w:rPr>
        <w:t xml:space="preserve">, W. A. A. Q. I. (2023). Cultivation strategies of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w:t>
      </w:r>
      <w:r w:rsidRPr="00CE68D4">
        <w:rPr>
          <w:rStyle w:val="Emphasis"/>
          <w:rFonts w:ascii="Arial" w:hAnsi="Arial" w:cs="Arial"/>
          <w:sz w:val="20"/>
          <w:szCs w:val="20"/>
        </w:rPr>
        <w:t xml:space="preserve">Hibiscus </w:t>
      </w:r>
      <w:proofErr w:type="spellStart"/>
      <w:r w:rsidRPr="00CE68D4">
        <w:rPr>
          <w:rStyle w:val="Emphasis"/>
          <w:rFonts w:ascii="Arial" w:hAnsi="Arial" w:cs="Arial"/>
          <w:sz w:val="20"/>
          <w:szCs w:val="20"/>
        </w:rPr>
        <w:t>cannabinus</w:t>
      </w:r>
      <w:proofErr w:type="spellEnd"/>
      <w:r w:rsidRPr="00CE68D4">
        <w:rPr>
          <w:rFonts w:ascii="Arial" w:hAnsi="Arial" w:cs="Arial"/>
          <w:sz w:val="20"/>
          <w:szCs w:val="20"/>
        </w:rPr>
        <w:t xml:space="preserve"> L.) as a future approach in Malaysian agriculture industry. </w:t>
      </w:r>
      <w:proofErr w:type="spellStart"/>
      <w:r w:rsidRPr="00CE68D4">
        <w:rPr>
          <w:rStyle w:val="Emphasis"/>
          <w:rFonts w:ascii="Arial" w:hAnsi="Arial" w:cs="Arial"/>
          <w:sz w:val="20"/>
          <w:szCs w:val="20"/>
        </w:rPr>
        <w:t>Horticulturae</w:t>
      </w:r>
      <w:proofErr w:type="spellEnd"/>
      <w:r w:rsidRPr="00CE68D4">
        <w:rPr>
          <w:rStyle w:val="Emphasis"/>
          <w:rFonts w:ascii="Arial" w:hAnsi="Arial" w:cs="Arial"/>
          <w:sz w:val="20"/>
          <w:szCs w:val="20"/>
        </w:rPr>
        <w:t>, 9</w:t>
      </w:r>
      <w:r w:rsidRPr="00CE68D4">
        <w:rPr>
          <w:rFonts w:ascii="Arial" w:hAnsi="Arial" w:cs="Arial"/>
          <w:sz w:val="20"/>
          <w:szCs w:val="20"/>
        </w:rPr>
        <w:t>(8), 925.</w:t>
      </w:r>
    </w:p>
    <w:p w14:paraId="24147503"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t xml:space="preserve">Vital, R., </w:t>
      </w:r>
      <w:proofErr w:type="spellStart"/>
      <w:r w:rsidRPr="00CE68D4">
        <w:rPr>
          <w:rFonts w:ascii="Arial" w:hAnsi="Arial" w:cs="Arial"/>
          <w:sz w:val="20"/>
          <w:szCs w:val="20"/>
        </w:rPr>
        <w:t>Bassinello</w:t>
      </w:r>
      <w:proofErr w:type="spellEnd"/>
      <w:r w:rsidRPr="00CE68D4">
        <w:rPr>
          <w:rFonts w:ascii="Arial" w:hAnsi="Arial" w:cs="Arial"/>
          <w:sz w:val="20"/>
          <w:szCs w:val="20"/>
        </w:rPr>
        <w:t xml:space="preserve">, P., Cruz, Q., Carvalho, R., de Paiva, J., &amp; Colombo, A. (2018). Production, quality, and acceptance of tempeh and white bean tempeh burgers. </w:t>
      </w:r>
      <w:r w:rsidRPr="00CE68D4">
        <w:rPr>
          <w:rStyle w:val="Emphasis"/>
          <w:rFonts w:ascii="Arial" w:hAnsi="Arial" w:cs="Arial"/>
          <w:sz w:val="20"/>
          <w:szCs w:val="20"/>
        </w:rPr>
        <w:t>Foods, 7</w:t>
      </w:r>
      <w:r w:rsidRPr="00CE68D4">
        <w:rPr>
          <w:rFonts w:ascii="Arial" w:hAnsi="Arial" w:cs="Arial"/>
          <w:sz w:val="20"/>
          <w:szCs w:val="20"/>
        </w:rPr>
        <w:t xml:space="preserve">(9), 136. </w:t>
      </w:r>
    </w:p>
    <w:p w14:paraId="3FD9C769" w14:textId="77777777" w:rsidR="006213B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t xml:space="preserve">Whitaker, J. M. (2003). </w:t>
      </w:r>
      <w:r w:rsidRPr="00CE68D4">
        <w:rPr>
          <w:rStyle w:val="Emphasis"/>
          <w:rFonts w:ascii="Arial" w:hAnsi="Arial" w:cs="Arial"/>
          <w:sz w:val="20"/>
          <w:szCs w:val="20"/>
        </w:rPr>
        <w:t>Quick &amp; health: Recipes for vibrant living</w:t>
      </w:r>
      <w:r w:rsidRPr="00CE68D4">
        <w:rPr>
          <w:rFonts w:ascii="Arial" w:hAnsi="Arial" w:cs="Arial"/>
          <w:sz w:val="20"/>
          <w:szCs w:val="20"/>
        </w:rPr>
        <w:t xml:space="preserve"> (p. 19). Silverback Books.</w:t>
      </w:r>
    </w:p>
    <w:p w14:paraId="20C3E063" w14:textId="77777777" w:rsidR="00790ADA" w:rsidRPr="00CE68D4" w:rsidRDefault="006213BA" w:rsidP="006213BA">
      <w:pPr>
        <w:pStyle w:val="NormalWeb"/>
        <w:numPr>
          <w:ilvl w:val="0"/>
          <w:numId w:val="31"/>
        </w:numPr>
        <w:spacing w:line="360" w:lineRule="auto"/>
        <w:jc w:val="both"/>
        <w:rPr>
          <w:rFonts w:ascii="Arial" w:hAnsi="Arial" w:cs="Arial"/>
          <w:sz w:val="20"/>
          <w:szCs w:val="20"/>
        </w:rPr>
      </w:pPr>
      <w:r w:rsidRPr="00CE68D4">
        <w:rPr>
          <w:rFonts w:ascii="Arial" w:hAnsi="Arial" w:cs="Arial"/>
          <w:sz w:val="20"/>
          <w:szCs w:val="20"/>
        </w:rPr>
        <w:t xml:space="preserve">Zawawi, N., Gangadharan, P., Zaini, R. A., Samsudin, M. G., Karim, R., &amp; </w:t>
      </w:r>
      <w:proofErr w:type="spellStart"/>
      <w:r w:rsidRPr="00CE68D4">
        <w:rPr>
          <w:rFonts w:ascii="Arial" w:hAnsi="Arial" w:cs="Arial"/>
          <w:sz w:val="20"/>
          <w:szCs w:val="20"/>
        </w:rPr>
        <w:t>Maznah</w:t>
      </w:r>
      <w:proofErr w:type="spellEnd"/>
      <w:r w:rsidRPr="00CE68D4">
        <w:rPr>
          <w:rFonts w:ascii="Arial" w:hAnsi="Arial" w:cs="Arial"/>
          <w:sz w:val="20"/>
          <w:szCs w:val="20"/>
        </w:rPr>
        <w:t xml:space="preserve">, I. (2014). Nutritional values and cooking quality of defatted </w:t>
      </w:r>
      <w:proofErr w:type="spellStart"/>
      <w:r w:rsidRPr="00CE68D4">
        <w:rPr>
          <w:rFonts w:ascii="Arial" w:hAnsi="Arial" w:cs="Arial"/>
          <w:sz w:val="20"/>
          <w:szCs w:val="20"/>
        </w:rPr>
        <w:t>mestha</w:t>
      </w:r>
      <w:proofErr w:type="spellEnd"/>
      <w:r w:rsidRPr="00CE68D4">
        <w:rPr>
          <w:rFonts w:ascii="Arial" w:hAnsi="Arial" w:cs="Arial"/>
          <w:sz w:val="20"/>
          <w:szCs w:val="20"/>
        </w:rPr>
        <w:t xml:space="preserve"> seeds yellow (DKSY) noodles. </w:t>
      </w:r>
      <w:r w:rsidRPr="00CE68D4">
        <w:rPr>
          <w:rStyle w:val="Emphasis"/>
          <w:rFonts w:ascii="Arial" w:hAnsi="Arial" w:cs="Arial"/>
          <w:sz w:val="20"/>
          <w:szCs w:val="20"/>
        </w:rPr>
        <w:t>International Food Research Journal, 21</w:t>
      </w:r>
      <w:r w:rsidRPr="00CE68D4">
        <w:rPr>
          <w:rFonts w:ascii="Arial" w:hAnsi="Arial" w:cs="Arial"/>
          <w:sz w:val="20"/>
          <w:szCs w:val="20"/>
        </w:rPr>
        <w:t>(2), 603–608.</w:t>
      </w:r>
    </w:p>
    <w:p w14:paraId="1583F642" w14:textId="77777777" w:rsidR="00790ADA" w:rsidRPr="00CE68D4" w:rsidRDefault="00790ADA" w:rsidP="00441B6F">
      <w:pPr>
        <w:pStyle w:val="Body"/>
        <w:spacing w:after="0"/>
        <w:rPr>
          <w:rFonts w:ascii="Arial" w:hAnsi="Arial" w:cs="Arial"/>
        </w:rPr>
      </w:pPr>
    </w:p>
    <w:p w14:paraId="028AEF9D" w14:textId="77777777" w:rsidR="00B01FCD" w:rsidRPr="00CE68D4" w:rsidRDefault="00B01FCD" w:rsidP="00441B6F">
      <w:pPr>
        <w:pStyle w:val="Appendix"/>
        <w:spacing w:after="0"/>
        <w:jc w:val="both"/>
        <w:rPr>
          <w:rFonts w:ascii="Arial" w:hAnsi="Arial" w:cs="Arial"/>
          <w:b w:val="0"/>
          <w:sz w:val="20"/>
        </w:rPr>
      </w:pPr>
    </w:p>
    <w:sectPr w:rsidR="00B01FCD" w:rsidRPr="00CE68D4" w:rsidSect="00021C8C">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F2B3A" w14:textId="77777777" w:rsidR="009477F8" w:rsidRDefault="009477F8" w:rsidP="00C37E61">
      <w:r>
        <w:separator/>
      </w:r>
    </w:p>
  </w:endnote>
  <w:endnote w:type="continuationSeparator" w:id="0">
    <w:p w14:paraId="6A6E2D36" w14:textId="77777777" w:rsidR="009477F8" w:rsidRDefault="009477F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1036A" w14:textId="77777777" w:rsidR="00FD51A8" w:rsidRDefault="00FD51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3C93C"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0D276" w14:textId="77777777" w:rsidR="00FD51A8" w:rsidRDefault="00FD5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6E8D9" w14:textId="77777777" w:rsidR="009477F8" w:rsidRDefault="009477F8" w:rsidP="00C37E61">
      <w:r>
        <w:separator/>
      </w:r>
    </w:p>
  </w:footnote>
  <w:footnote w:type="continuationSeparator" w:id="0">
    <w:p w14:paraId="3CDC85B6" w14:textId="77777777" w:rsidR="009477F8" w:rsidRDefault="009477F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B7DEF" w14:textId="0E5982EB" w:rsidR="00FD51A8" w:rsidRDefault="00FD51A8">
    <w:pPr>
      <w:pStyle w:val="Header"/>
    </w:pPr>
    <w:r>
      <w:rPr>
        <w:noProof/>
      </w:rPr>
      <w:pict w14:anchorId="7F878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97046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BF632" w14:textId="5EB02304" w:rsidR="00FD51A8" w:rsidRDefault="00FD51A8">
    <w:pPr>
      <w:pStyle w:val="Header"/>
    </w:pPr>
    <w:r>
      <w:rPr>
        <w:noProof/>
      </w:rPr>
      <w:pict w14:anchorId="3EDDD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97047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1AED1" w14:textId="13C06693" w:rsidR="00FD51A8" w:rsidRDefault="00FD51A8">
    <w:pPr>
      <w:pStyle w:val="Header"/>
    </w:pPr>
    <w:r>
      <w:rPr>
        <w:noProof/>
      </w:rPr>
      <w:pict w14:anchorId="2F70C1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970468"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D5F79"/>
    <w:multiLevelType w:val="hybridMultilevel"/>
    <w:tmpl w:val="E698F1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2F60"/>
    <w:rsid w:val="00021C8C"/>
    <w:rsid w:val="00030174"/>
    <w:rsid w:val="0004579C"/>
    <w:rsid w:val="0006555C"/>
    <w:rsid w:val="00094AD7"/>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75D2"/>
    <w:rsid w:val="001D3A51"/>
    <w:rsid w:val="001E10D2"/>
    <w:rsid w:val="001E25B4"/>
    <w:rsid w:val="001E44FE"/>
    <w:rsid w:val="001F29A3"/>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4279"/>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D7596"/>
    <w:rsid w:val="00502516"/>
    <w:rsid w:val="00505F06"/>
    <w:rsid w:val="00506828"/>
    <w:rsid w:val="0053056E"/>
    <w:rsid w:val="00554FDA"/>
    <w:rsid w:val="00567B3C"/>
    <w:rsid w:val="005C784C"/>
    <w:rsid w:val="005D17F6"/>
    <w:rsid w:val="005E5539"/>
    <w:rsid w:val="00602BF5"/>
    <w:rsid w:val="00617FDD"/>
    <w:rsid w:val="006213BA"/>
    <w:rsid w:val="00633614"/>
    <w:rsid w:val="00633F68"/>
    <w:rsid w:val="00636EB2"/>
    <w:rsid w:val="006375B8"/>
    <w:rsid w:val="0066510A"/>
    <w:rsid w:val="00673F9F"/>
    <w:rsid w:val="006844E5"/>
    <w:rsid w:val="00686953"/>
    <w:rsid w:val="00687DEA"/>
    <w:rsid w:val="00687E67"/>
    <w:rsid w:val="006967F7"/>
    <w:rsid w:val="006A250C"/>
    <w:rsid w:val="006B21D3"/>
    <w:rsid w:val="006B57D0"/>
    <w:rsid w:val="006D30FF"/>
    <w:rsid w:val="006D6940"/>
    <w:rsid w:val="006F11EC"/>
    <w:rsid w:val="0070082C"/>
    <w:rsid w:val="007040A1"/>
    <w:rsid w:val="007258A2"/>
    <w:rsid w:val="007369E6"/>
    <w:rsid w:val="00746E59"/>
    <w:rsid w:val="00754C9A"/>
    <w:rsid w:val="007551E2"/>
    <w:rsid w:val="0075599A"/>
    <w:rsid w:val="00761D52"/>
    <w:rsid w:val="0077749E"/>
    <w:rsid w:val="00790ADA"/>
    <w:rsid w:val="007D2288"/>
    <w:rsid w:val="007E088F"/>
    <w:rsid w:val="007F7B32"/>
    <w:rsid w:val="00804BC2"/>
    <w:rsid w:val="0081431A"/>
    <w:rsid w:val="00820870"/>
    <w:rsid w:val="0083216F"/>
    <w:rsid w:val="00860000"/>
    <w:rsid w:val="00863BD3"/>
    <w:rsid w:val="008641ED"/>
    <w:rsid w:val="00866D66"/>
    <w:rsid w:val="008671C6"/>
    <w:rsid w:val="00875803"/>
    <w:rsid w:val="008B2B7D"/>
    <w:rsid w:val="008B459E"/>
    <w:rsid w:val="008D3E33"/>
    <w:rsid w:val="008E13AE"/>
    <w:rsid w:val="008E1506"/>
    <w:rsid w:val="008E710C"/>
    <w:rsid w:val="008F69D6"/>
    <w:rsid w:val="00902823"/>
    <w:rsid w:val="00915CA6"/>
    <w:rsid w:val="00927834"/>
    <w:rsid w:val="009477F8"/>
    <w:rsid w:val="009500A6"/>
    <w:rsid w:val="00957C18"/>
    <w:rsid w:val="009659BA"/>
    <w:rsid w:val="00983040"/>
    <w:rsid w:val="009B3FB9"/>
    <w:rsid w:val="009C2465"/>
    <w:rsid w:val="009D35A0"/>
    <w:rsid w:val="009D7EB7"/>
    <w:rsid w:val="009E048A"/>
    <w:rsid w:val="009E08E9"/>
    <w:rsid w:val="009E3DB9"/>
    <w:rsid w:val="009E6E35"/>
    <w:rsid w:val="009F0EDA"/>
    <w:rsid w:val="009F59BC"/>
    <w:rsid w:val="00A03B96"/>
    <w:rsid w:val="00A05B19"/>
    <w:rsid w:val="00A1134E"/>
    <w:rsid w:val="00A24E7E"/>
    <w:rsid w:val="00A258C3"/>
    <w:rsid w:val="00A347C0"/>
    <w:rsid w:val="00A51431"/>
    <w:rsid w:val="00A539AD"/>
    <w:rsid w:val="00A94063"/>
    <w:rsid w:val="00A9420E"/>
    <w:rsid w:val="00AA6219"/>
    <w:rsid w:val="00AA74E0"/>
    <w:rsid w:val="00AB703F"/>
    <w:rsid w:val="00AC3749"/>
    <w:rsid w:val="00AC6BB8"/>
    <w:rsid w:val="00AE008F"/>
    <w:rsid w:val="00B01FCD"/>
    <w:rsid w:val="00B1776C"/>
    <w:rsid w:val="00B52583"/>
    <w:rsid w:val="00B52896"/>
    <w:rsid w:val="00B95236"/>
    <w:rsid w:val="00B96BD9"/>
    <w:rsid w:val="00BA1B01"/>
    <w:rsid w:val="00BA1F19"/>
    <w:rsid w:val="00BA2641"/>
    <w:rsid w:val="00BB37AA"/>
    <w:rsid w:val="00BC53A0"/>
    <w:rsid w:val="00BE62AD"/>
    <w:rsid w:val="00BE65C7"/>
    <w:rsid w:val="00BF121F"/>
    <w:rsid w:val="00BF1F80"/>
    <w:rsid w:val="00C166EF"/>
    <w:rsid w:val="00C17EB0"/>
    <w:rsid w:val="00C231DA"/>
    <w:rsid w:val="00C27F5F"/>
    <w:rsid w:val="00C30A0F"/>
    <w:rsid w:val="00C37E61"/>
    <w:rsid w:val="00C70F1B"/>
    <w:rsid w:val="00C71A47"/>
    <w:rsid w:val="00C7464C"/>
    <w:rsid w:val="00C85588"/>
    <w:rsid w:val="00CD6755"/>
    <w:rsid w:val="00CD6856"/>
    <w:rsid w:val="00CE0089"/>
    <w:rsid w:val="00CE68D4"/>
    <w:rsid w:val="00CE793C"/>
    <w:rsid w:val="00CF193C"/>
    <w:rsid w:val="00D173F1"/>
    <w:rsid w:val="00D74CB0"/>
    <w:rsid w:val="00D8295D"/>
    <w:rsid w:val="00DC2A65"/>
    <w:rsid w:val="00DE15F0"/>
    <w:rsid w:val="00DE5663"/>
    <w:rsid w:val="00DE78AA"/>
    <w:rsid w:val="00E053D0"/>
    <w:rsid w:val="00E14A7D"/>
    <w:rsid w:val="00E15994"/>
    <w:rsid w:val="00E3114E"/>
    <w:rsid w:val="00E31A70"/>
    <w:rsid w:val="00E35B02"/>
    <w:rsid w:val="00E66496"/>
    <w:rsid w:val="00E66B35"/>
    <w:rsid w:val="00E66E10"/>
    <w:rsid w:val="00E769F6"/>
    <w:rsid w:val="00E8407C"/>
    <w:rsid w:val="00E84F3C"/>
    <w:rsid w:val="00E9092E"/>
    <w:rsid w:val="00EA012C"/>
    <w:rsid w:val="00EB1AD1"/>
    <w:rsid w:val="00EC6A55"/>
    <w:rsid w:val="00ED0288"/>
    <w:rsid w:val="00EE52CB"/>
    <w:rsid w:val="00EF581D"/>
    <w:rsid w:val="00EF7FD8"/>
    <w:rsid w:val="00F06F59"/>
    <w:rsid w:val="00F17988"/>
    <w:rsid w:val="00F469F0"/>
    <w:rsid w:val="00F53273"/>
    <w:rsid w:val="00F755E4"/>
    <w:rsid w:val="00F77D02"/>
    <w:rsid w:val="00FB3A86"/>
    <w:rsid w:val="00FD36C8"/>
    <w:rsid w:val="00FD5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EC6EAEE"/>
  <w15:docId w15:val="{633D61F4-AB6D-4860-8821-5800D659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213B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213B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6213B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213BA"/>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6213BA"/>
    <w:rPr>
      <w:b/>
      <w:bCs/>
    </w:rPr>
  </w:style>
  <w:style w:type="character" w:customStyle="1" w:styleId="Heading4Char">
    <w:name w:val="Heading 4 Char"/>
    <w:basedOn w:val="DefaultParagraphFont"/>
    <w:link w:val="Heading4"/>
    <w:semiHidden/>
    <w:rsid w:val="006213BA"/>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6213BA"/>
    <w:pPr>
      <w:spacing w:after="200" w:line="276" w:lineRule="auto"/>
      <w:ind w:left="720"/>
      <w:contextualSpacing/>
    </w:pPr>
    <w:rPr>
      <w:rFonts w:asciiTheme="minorHAnsi" w:eastAsiaTheme="minorHAnsi" w:hAnsiTheme="minorHAnsi" w:cstheme="minorBidi"/>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DD1AA-2D4E-4CAB-9CC6-CDB816EC9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TotalTime>
  <Pages>10</Pages>
  <Words>5626</Words>
  <Characters>32070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37621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16</cp:revision>
  <cp:lastPrinted>1999-07-06T11:00:00Z</cp:lastPrinted>
  <dcterms:created xsi:type="dcterms:W3CDTF">2025-10-29T16:53:00Z</dcterms:created>
  <dcterms:modified xsi:type="dcterms:W3CDTF">2025-10-30T07:46:00Z</dcterms:modified>
</cp:coreProperties>
</file>