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F201B" w14:textId="77777777" w:rsidR="00754C9A" w:rsidRDefault="00754C9A" w:rsidP="00441B6F">
      <w:pPr>
        <w:pStyle w:val="Title"/>
        <w:spacing w:after="0"/>
        <w:jc w:val="both"/>
        <w:rPr>
          <w:rFonts w:ascii="Arial" w:hAnsi="Arial" w:cs="Arial"/>
        </w:rPr>
      </w:pPr>
    </w:p>
    <w:p w14:paraId="6D05ECBE" w14:textId="77777777" w:rsidR="004C7E77" w:rsidRDefault="004C7E77" w:rsidP="00441B6F">
      <w:pPr>
        <w:pStyle w:val="Author"/>
        <w:spacing w:line="240" w:lineRule="auto"/>
        <w:rPr>
          <w:rFonts w:ascii="Arial" w:hAnsi="Arial" w:cs="Arial"/>
          <w:bCs/>
          <w:iCs/>
          <w:kern w:val="28"/>
          <w:sz w:val="36"/>
        </w:rPr>
      </w:pPr>
      <w:r w:rsidRPr="004C7E77">
        <w:rPr>
          <w:rFonts w:ascii="Arial" w:hAnsi="Arial" w:cs="Arial"/>
          <w:bCs/>
          <w:iCs/>
          <w:kern w:val="28"/>
          <w:sz w:val="36"/>
        </w:rPr>
        <w:t xml:space="preserve">Targeting TGF-β1/MMP-9/α-SMA signaling axes using </w:t>
      </w:r>
      <w:proofErr w:type="spellStart"/>
      <w:r w:rsidRPr="004C7E77">
        <w:rPr>
          <w:rFonts w:ascii="Arial" w:hAnsi="Arial" w:cs="Arial"/>
          <w:bCs/>
          <w:iCs/>
          <w:kern w:val="28"/>
          <w:sz w:val="36"/>
        </w:rPr>
        <w:t>piperine</w:t>
      </w:r>
      <w:proofErr w:type="spellEnd"/>
      <w:r w:rsidRPr="004C7E77">
        <w:rPr>
          <w:rFonts w:ascii="Arial" w:hAnsi="Arial" w:cs="Arial"/>
          <w:bCs/>
          <w:iCs/>
          <w:kern w:val="28"/>
          <w:sz w:val="36"/>
        </w:rPr>
        <w:t xml:space="preserve"> and </w:t>
      </w:r>
      <w:proofErr w:type="spellStart"/>
      <w:r w:rsidRPr="004C7E77">
        <w:rPr>
          <w:rFonts w:ascii="Arial" w:hAnsi="Arial" w:cs="Arial"/>
          <w:bCs/>
          <w:iCs/>
          <w:kern w:val="28"/>
          <w:sz w:val="36"/>
        </w:rPr>
        <w:t>galangin</w:t>
      </w:r>
      <w:proofErr w:type="spellEnd"/>
      <w:r w:rsidRPr="004C7E77">
        <w:rPr>
          <w:rFonts w:ascii="Arial" w:hAnsi="Arial" w:cs="Arial"/>
          <w:bCs/>
          <w:iCs/>
          <w:kern w:val="28"/>
          <w:sz w:val="36"/>
        </w:rPr>
        <w:t xml:space="preserve"> in bleomycin induced pulmonary fibrosis model.</w:t>
      </w:r>
    </w:p>
    <w:p w14:paraId="43574076" w14:textId="0BDDA570" w:rsidR="007F656D" w:rsidRDefault="007F656D" w:rsidP="00441B6F">
      <w:pPr>
        <w:pStyle w:val="Affiliation"/>
        <w:spacing w:after="0" w:line="240" w:lineRule="auto"/>
        <w:jc w:val="both"/>
        <w:rPr>
          <w:rFonts w:ascii="Arial" w:hAnsi="Arial" w:cs="Arial"/>
        </w:rPr>
      </w:pPr>
    </w:p>
    <w:p w14:paraId="51207D59" w14:textId="77777777" w:rsidR="00B9383E" w:rsidRPr="00FB3A86" w:rsidRDefault="00B9383E" w:rsidP="00441B6F">
      <w:pPr>
        <w:pStyle w:val="Affiliation"/>
        <w:spacing w:after="0" w:line="240" w:lineRule="auto"/>
        <w:jc w:val="both"/>
        <w:rPr>
          <w:rFonts w:ascii="Arial" w:hAnsi="Arial" w:cs="Arial"/>
        </w:rPr>
      </w:pPr>
    </w:p>
    <w:p w14:paraId="45FB4D45" w14:textId="77777777" w:rsidR="00B01FCD" w:rsidRPr="00FB3A86" w:rsidRDefault="00C62507" w:rsidP="00441B6F">
      <w:pPr>
        <w:pStyle w:val="Copyright"/>
        <w:spacing w:after="0" w:line="240" w:lineRule="auto"/>
        <w:jc w:val="both"/>
        <w:rPr>
          <w:rFonts w:ascii="Arial" w:hAnsi="Arial" w:cs="Arial"/>
        </w:rPr>
        <w:sectPr w:rsidR="00B01FCD" w:rsidRPr="00FB3A86" w:rsidSect="007F65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E4718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4D03D29" w14:textId="470801C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3C739B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7C1FF71" w14:textId="77777777" w:rsidTr="001E44FE">
        <w:tc>
          <w:tcPr>
            <w:tcW w:w="9576" w:type="dxa"/>
            <w:shd w:val="clear" w:color="auto" w:fill="F2F2F2"/>
          </w:tcPr>
          <w:p w14:paraId="02AECEAE" w14:textId="75884CA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A0E27" w:rsidRPr="003A0E27">
              <w:rPr>
                <w:rFonts w:ascii="Arial" w:eastAsia="Calibri" w:hAnsi="Arial" w:cs="Arial"/>
                <w:szCs w:val="22"/>
              </w:rPr>
              <w:t xml:space="preserve">To evaluate and compare the anti-fibrotic efficacy of </w:t>
            </w:r>
            <w:proofErr w:type="spellStart"/>
            <w:r w:rsidR="003A0E27" w:rsidRPr="003A0E27">
              <w:rPr>
                <w:rFonts w:ascii="Arial" w:eastAsia="Calibri" w:hAnsi="Arial" w:cs="Arial"/>
                <w:szCs w:val="22"/>
              </w:rPr>
              <w:t>galangin</w:t>
            </w:r>
            <w:proofErr w:type="spellEnd"/>
            <w:r w:rsidR="003A0E27" w:rsidRPr="003A0E27">
              <w:rPr>
                <w:rFonts w:ascii="Arial" w:eastAsia="Calibri" w:hAnsi="Arial" w:cs="Arial"/>
                <w:szCs w:val="22"/>
              </w:rPr>
              <w:t xml:space="preserve"> and </w:t>
            </w:r>
            <w:proofErr w:type="spellStart"/>
            <w:r w:rsidR="003A0E27" w:rsidRPr="003A0E27">
              <w:rPr>
                <w:rFonts w:ascii="Arial" w:eastAsia="Calibri" w:hAnsi="Arial" w:cs="Arial"/>
                <w:szCs w:val="22"/>
              </w:rPr>
              <w:t>piperine</w:t>
            </w:r>
            <w:proofErr w:type="spellEnd"/>
            <w:r w:rsidR="003A0E27">
              <w:rPr>
                <w:rFonts w:ascii="Arial" w:eastAsia="Calibri" w:hAnsi="Arial" w:cs="Arial"/>
                <w:szCs w:val="22"/>
              </w:rPr>
              <w:t xml:space="preserve"> </w:t>
            </w:r>
            <w:r w:rsidR="003A0E27" w:rsidRPr="003A0E27">
              <w:rPr>
                <w:rFonts w:ascii="Arial" w:eastAsia="Calibri" w:hAnsi="Arial" w:cs="Arial"/>
                <w:szCs w:val="22"/>
              </w:rPr>
              <w:t>alone and in combination</w:t>
            </w:r>
            <w:r w:rsidR="003A0E27">
              <w:rPr>
                <w:rFonts w:ascii="Arial" w:eastAsia="Calibri" w:hAnsi="Arial" w:cs="Arial"/>
                <w:szCs w:val="22"/>
              </w:rPr>
              <w:t xml:space="preserve"> </w:t>
            </w:r>
            <w:r w:rsidR="003A0E27" w:rsidRPr="003A0E27">
              <w:rPr>
                <w:rFonts w:ascii="Arial" w:eastAsia="Calibri" w:hAnsi="Arial" w:cs="Arial"/>
                <w:szCs w:val="22"/>
              </w:rPr>
              <w:t>against bleomycin-induced pulmonary fibrosis in C57BL/6 mice, using biochemical (hydroxyproline, TGF-β1), histological (Masson’s trichrome), and immunohistochemical (MMP-9, α-SMA) endpoints.</w:t>
            </w:r>
          </w:p>
          <w:p w14:paraId="3763464E" w14:textId="1ADA2F15" w:rsidR="003A0E27"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CC1EAC">
              <w:rPr>
                <w:rFonts w:ascii="Arial" w:eastAsia="Calibri" w:hAnsi="Arial" w:cs="Arial"/>
                <w:b/>
                <w:szCs w:val="22"/>
              </w:rPr>
              <w:t xml:space="preserve"> </w:t>
            </w:r>
            <w:r w:rsidR="003A0E27" w:rsidRPr="003A0E27">
              <w:rPr>
                <w:rFonts w:ascii="Arial" w:eastAsia="Calibri" w:hAnsi="Arial" w:cs="Arial"/>
                <w:szCs w:val="22"/>
              </w:rPr>
              <w:t>Controlled, randomized, experimental animal study with seven parallel groups.</w:t>
            </w:r>
          </w:p>
          <w:p w14:paraId="1344D125" w14:textId="4CB45BE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A0E27" w:rsidRPr="003A0E27">
              <w:rPr>
                <w:rFonts w:ascii="Arial" w:eastAsia="Calibri" w:hAnsi="Arial" w:cs="Arial"/>
                <w:szCs w:val="22"/>
              </w:rPr>
              <w:t>Department of Veterinary Pharmacology and Toxicology, College of Veterinary Science, Hyderabad, India. Experiments were conducted under IAEC approval using a 21-day protocol.</w:t>
            </w:r>
          </w:p>
          <w:p w14:paraId="4D2C7EF6" w14:textId="77777777" w:rsidR="003A0E27" w:rsidRDefault="00BA1B01" w:rsidP="003A0E27">
            <w:pPr>
              <w:pStyle w:val="Body"/>
              <w:spacing w:after="0"/>
              <w:rPr>
                <w:rFonts w:ascii="Arial" w:eastAsia="Calibri" w:hAnsi="Arial" w:cs="Arial"/>
                <w:szCs w:val="22"/>
                <w:lang w:val="en-IN"/>
              </w:rPr>
            </w:pPr>
            <w:r w:rsidRPr="00BA1B01">
              <w:rPr>
                <w:rFonts w:ascii="Arial" w:eastAsia="Calibri" w:hAnsi="Arial" w:cs="Arial"/>
                <w:b/>
                <w:bCs/>
                <w:szCs w:val="22"/>
              </w:rPr>
              <w:t>Methodology:</w:t>
            </w:r>
            <w:r w:rsidRPr="00BA1B01">
              <w:rPr>
                <w:rFonts w:ascii="Arial" w:eastAsia="Calibri" w:hAnsi="Arial" w:cs="Arial"/>
                <w:szCs w:val="22"/>
              </w:rPr>
              <w:t xml:space="preserve"> </w:t>
            </w:r>
            <w:r w:rsidR="003A0E27" w:rsidRPr="003A0E27">
              <w:rPr>
                <w:rFonts w:ascii="Arial" w:eastAsia="Calibri" w:hAnsi="Arial" w:cs="Arial"/>
                <w:szCs w:val="22"/>
                <w:lang w:val="en-IN"/>
              </w:rPr>
              <w:t xml:space="preserve">Fifty male C57BL/6 mice (6–7 weeks) were randomized to seven groups (n per group: 6 or 8; ≥6 </w:t>
            </w:r>
            <w:proofErr w:type="spellStart"/>
            <w:r w:rsidR="003A0E27" w:rsidRPr="003A0E27">
              <w:rPr>
                <w:rFonts w:ascii="Arial" w:eastAsia="Calibri" w:hAnsi="Arial" w:cs="Arial"/>
                <w:szCs w:val="22"/>
                <w:lang w:val="en-IN"/>
              </w:rPr>
              <w:t>analyzed</w:t>
            </w:r>
            <w:proofErr w:type="spellEnd"/>
            <w:r w:rsidR="003A0E27" w:rsidRPr="003A0E27">
              <w:rPr>
                <w:rFonts w:ascii="Arial" w:eastAsia="Calibri" w:hAnsi="Arial" w:cs="Arial"/>
                <w:szCs w:val="22"/>
                <w:lang w:val="en-IN"/>
              </w:rPr>
              <w:t>):</w:t>
            </w:r>
            <w:r w:rsidR="003A0E27">
              <w:rPr>
                <w:rFonts w:ascii="Arial" w:eastAsia="Calibri" w:hAnsi="Arial" w:cs="Arial"/>
                <w:szCs w:val="22"/>
                <w:lang w:val="en-IN"/>
              </w:rPr>
              <w:t xml:space="preserve"> </w:t>
            </w:r>
            <w:r w:rsidR="003A0E27" w:rsidRPr="003A0E27">
              <w:rPr>
                <w:rFonts w:ascii="Arial" w:eastAsia="Calibri" w:hAnsi="Arial" w:cs="Arial"/>
                <w:szCs w:val="22"/>
                <w:lang w:val="en-IN"/>
              </w:rPr>
              <w:t xml:space="preserve">Control (saline, day 0); 2) Bleomycin (BLM) 1.5 U/kg, oropharyngeal, day 0; 3) </w:t>
            </w:r>
            <w:proofErr w:type="spellStart"/>
            <w:r w:rsidR="003A0E27" w:rsidRPr="003A0E27">
              <w:rPr>
                <w:rFonts w:ascii="Arial" w:eastAsia="Calibri" w:hAnsi="Arial" w:cs="Arial"/>
                <w:szCs w:val="22"/>
                <w:lang w:val="en-IN"/>
              </w:rPr>
              <w:t>Galangin</w:t>
            </w:r>
            <w:proofErr w:type="spellEnd"/>
            <w:r w:rsidR="003A0E27" w:rsidRPr="003A0E27">
              <w:rPr>
                <w:rFonts w:ascii="Arial" w:eastAsia="Calibri" w:hAnsi="Arial" w:cs="Arial"/>
                <w:szCs w:val="22"/>
                <w:lang w:val="en-IN"/>
              </w:rPr>
              <w:t xml:space="preserve"> (GA) 5 mg/kg p.o. daily; 4) Piperine (PIP) 50 mg/kg p.o. daily; 5) BLM+GA; 6) BLM+PIP; 7) BLM+GA (2.5 mg/kg)+PIP (25 mg/kg) p.o. daily. On day 21, lungs were collected for ELISA (hydroxyproline, TGF-β1), Masson’s trichrome (collagen), and IHC (MMP-9, α-SMA). Statistics: one-way ANOVA with Tukey’s post-hoc; significance at P&lt;0.05.</w:t>
            </w:r>
          </w:p>
          <w:p w14:paraId="30526325" w14:textId="77777777" w:rsidR="003A0E2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A0E27" w:rsidRPr="003A0E27">
              <w:rPr>
                <w:rFonts w:ascii="Arial" w:eastAsia="Calibri" w:hAnsi="Arial" w:cs="Arial"/>
                <w:szCs w:val="22"/>
              </w:rPr>
              <w:t xml:space="preserve">BLM significantly increased hydroxyproline vs control (171.41±6.46 vs 27.35±2.57 </w:t>
            </w:r>
            <w:proofErr w:type="spellStart"/>
            <w:r w:rsidR="003A0E27" w:rsidRPr="003A0E27">
              <w:rPr>
                <w:rFonts w:ascii="Arial" w:eastAsia="Calibri" w:hAnsi="Arial" w:cs="Arial"/>
                <w:szCs w:val="22"/>
              </w:rPr>
              <w:t>pg</w:t>
            </w:r>
            <w:proofErr w:type="spellEnd"/>
            <w:r w:rsidR="003A0E27" w:rsidRPr="003A0E27">
              <w:rPr>
                <w:rFonts w:ascii="Arial" w:eastAsia="Calibri" w:hAnsi="Arial" w:cs="Arial"/>
                <w:szCs w:val="22"/>
              </w:rPr>
              <w:t xml:space="preserve">/mg protein; P&lt;0.05) and TGF-β1 (129.24±2.87 vs 16.61±2.09 </w:t>
            </w:r>
            <w:proofErr w:type="spellStart"/>
            <w:r w:rsidR="003A0E27" w:rsidRPr="003A0E27">
              <w:rPr>
                <w:rFonts w:ascii="Arial" w:eastAsia="Calibri" w:hAnsi="Arial" w:cs="Arial"/>
                <w:szCs w:val="22"/>
              </w:rPr>
              <w:t>pg</w:t>
            </w:r>
            <w:proofErr w:type="spellEnd"/>
            <w:r w:rsidR="003A0E27" w:rsidRPr="003A0E27">
              <w:rPr>
                <w:rFonts w:ascii="Arial" w:eastAsia="Calibri" w:hAnsi="Arial" w:cs="Arial"/>
                <w:szCs w:val="22"/>
              </w:rPr>
              <w:t>/mg; P&lt;0.05). Treatment reduced both biomarkers vs BLM: GA (hydroxyproline 110.87±2.84; TGF-β1 64.17±2.87), PIP (97.68±3.22; 58.73±2.56), and combination (65.82±5.22; 42.15±2.41), with the combination superior to monotherapies (all P&lt;0.05). Per se GA and PIP (groups 3–4) did not differ from control for either marker (P&gt;0.05). Masson’s trichrome showed marked collagen deposition in BLM lungs, attenuated to mild (GA, PIP) and very mild (combination) fibrosis. IHC demonstrated strong MMP-9 and α-SMA expression in BLM lungs, reduced with GA or PIP and minimal with combination therapy.</w:t>
            </w:r>
          </w:p>
          <w:p w14:paraId="03D0AE79" w14:textId="5EF169A9"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3A0E27" w:rsidRPr="003A0E27">
              <w:rPr>
                <w:rFonts w:ascii="Arial" w:eastAsia="Calibri" w:hAnsi="Arial" w:cs="Arial"/>
                <w:szCs w:val="22"/>
              </w:rPr>
              <w:t>Galangin</w:t>
            </w:r>
            <w:proofErr w:type="spellEnd"/>
            <w:r w:rsidR="003A0E27" w:rsidRPr="003A0E27">
              <w:rPr>
                <w:rFonts w:ascii="Arial" w:eastAsia="Calibri" w:hAnsi="Arial" w:cs="Arial"/>
                <w:szCs w:val="22"/>
              </w:rPr>
              <w:t xml:space="preserve"> and </w:t>
            </w:r>
            <w:proofErr w:type="spellStart"/>
            <w:r w:rsidR="003A0E27" w:rsidRPr="003A0E27">
              <w:rPr>
                <w:rFonts w:ascii="Arial" w:eastAsia="Calibri" w:hAnsi="Arial" w:cs="Arial"/>
                <w:szCs w:val="22"/>
              </w:rPr>
              <w:t>piperine</w:t>
            </w:r>
            <w:proofErr w:type="spellEnd"/>
            <w:r w:rsidR="003A0E27" w:rsidRPr="003A0E27">
              <w:rPr>
                <w:rFonts w:ascii="Arial" w:eastAsia="Calibri" w:hAnsi="Arial" w:cs="Arial"/>
                <w:szCs w:val="22"/>
              </w:rPr>
              <w:t xml:space="preserve"> mitigate bleomycin-induced lung fibrosis, with combination therapy yielding the greatest improvement across biochemical, histological, and immunohistochemical endpoints. Benefits likely arise from dampening profibrotic signaling (TGF-β1/α-SMA/MMP-9) alongside antioxidant/anti-inflammatory actions, supporting these phytochemicals</w:t>
            </w:r>
            <w:r w:rsidR="00CC1EAC">
              <w:rPr>
                <w:rFonts w:ascii="Arial" w:eastAsia="Calibri" w:hAnsi="Arial" w:cs="Arial"/>
                <w:szCs w:val="22"/>
              </w:rPr>
              <w:t xml:space="preserve"> </w:t>
            </w:r>
            <w:r w:rsidR="003A0E27" w:rsidRPr="003A0E27">
              <w:rPr>
                <w:rFonts w:ascii="Arial" w:eastAsia="Calibri" w:hAnsi="Arial" w:cs="Arial"/>
                <w:szCs w:val="22"/>
              </w:rPr>
              <w:t>particularly in combination</w:t>
            </w:r>
            <w:r w:rsidR="00CC1EAC">
              <w:rPr>
                <w:rFonts w:ascii="Arial" w:eastAsia="Calibri" w:hAnsi="Arial" w:cs="Arial"/>
                <w:szCs w:val="22"/>
              </w:rPr>
              <w:t xml:space="preserve"> </w:t>
            </w:r>
            <w:r w:rsidR="003A0E27" w:rsidRPr="003A0E27">
              <w:rPr>
                <w:rFonts w:ascii="Arial" w:eastAsia="Calibri" w:hAnsi="Arial" w:cs="Arial"/>
                <w:szCs w:val="22"/>
              </w:rPr>
              <w:t>as promising candidates for anti-fibrotic intervention.</w:t>
            </w:r>
          </w:p>
        </w:tc>
      </w:tr>
    </w:tbl>
    <w:p w14:paraId="687187B0" w14:textId="77777777" w:rsidR="00636EB2" w:rsidRDefault="00636EB2" w:rsidP="00441B6F">
      <w:pPr>
        <w:pStyle w:val="Body"/>
        <w:spacing w:after="0"/>
        <w:rPr>
          <w:rFonts w:ascii="Arial" w:hAnsi="Arial" w:cs="Arial"/>
          <w:i/>
        </w:rPr>
      </w:pPr>
    </w:p>
    <w:p w14:paraId="666F4BAB" w14:textId="60ECC5AB" w:rsidR="00A24E7E" w:rsidRPr="000577B9" w:rsidRDefault="00A24E7E" w:rsidP="00441B6F">
      <w:pPr>
        <w:pStyle w:val="Body"/>
        <w:spacing w:after="0"/>
        <w:rPr>
          <w:rFonts w:ascii="Arial" w:hAnsi="Arial" w:cs="Arial"/>
          <w:i/>
        </w:rPr>
      </w:pPr>
      <w:r>
        <w:rPr>
          <w:rFonts w:ascii="Arial" w:hAnsi="Arial" w:cs="Arial"/>
          <w:i/>
        </w:rPr>
        <w:t xml:space="preserve">Keywords: </w:t>
      </w:r>
      <w:r w:rsidR="000577B9" w:rsidRPr="000577B9">
        <w:rPr>
          <w:rFonts w:ascii="Arial" w:hAnsi="Arial" w:cs="Arial"/>
          <w:i/>
        </w:rPr>
        <w:t xml:space="preserve">Bleomycin, </w:t>
      </w:r>
      <w:proofErr w:type="spellStart"/>
      <w:r w:rsidR="000577B9" w:rsidRPr="000577B9">
        <w:rPr>
          <w:rFonts w:ascii="Arial" w:hAnsi="Arial" w:cs="Arial"/>
          <w:i/>
        </w:rPr>
        <w:t>Piperine</w:t>
      </w:r>
      <w:proofErr w:type="spellEnd"/>
      <w:r w:rsidR="000577B9" w:rsidRPr="000577B9">
        <w:rPr>
          <w:rFonts w:ascii="Arial" w:hAnsi="Arial" w:cs="Arial"/>
          <w:i/>
        </w:rPr>
        <w:t xml:space="preserve">, </w:t>
      </w:r>
      <w:proofErr w:type="spellStart"/>
      <w:r w:rsidR="000577B9" w:rsidRPr="000577B9">
        <w:rPr>
          <w:rFonts w:ascii="Arial" w:hAnsi="Arial" w:cs="Arial"/>
          <w:i/>
        </w:rPr>
        <w:t>Galangin</w:t>
      </w:r>
      <w:proofErr w:type="spellEnd"/>
      <w:r w:rsidR="000577B9" w:rsidRPr="000577B9">
        <w:rPr>
          <w:rFonts w:ascii="Arial" w:hAnsi="Arial" w:cs="Arial"/>
          <w:i/>
        </w:rPr>
        <w:t xml:space="preserve">, </w:t>
      </w:r>
      <w:r w:rsidR="000577B9" w:rsidRPr="000577B9">
        <w:rPr>
          <w:rFonts w:ascii="Arial" w:eastAsia="Calibri" w:hAnsi="Arial" w:cs="Arial"/>
          <w:i/>
          <w:szCs w:val="22"/>
          <w:lang w:val="en-IN"/>
        </w:rPr>
        <w:t>H</w:t>
      </w:r>
      <w:r w:rsidR="000577B9" w:rsidRPr="003A0E27">
        <w:rPr>
          <w:rFonts w:ascii="Arial" w:eastAsia="Calibri" w:hAnsi="Arial" w:cs="Arial"/>
          <w:i/>
          <w:szCs w:val="22"/>
          <w:lang w:val="en-IN"/>
        </w:rPr>
        <w:t>ydroxyproline</w:t>
      </w:r>
      <w:r w:rsidR="000577B9">
        <w:rPr>
          <w:rFonts w:ascii="Arial" w:eastAsia="Calibri" w:hAnsi="Arial" w:cs="Arial"/>
          <w:i/>
          <w:szCs w:val="22"/>
          <w:lang w:val="en-IN"/>
        </w:rPr>
        <w:t>, Fibrosis</w:t>
      </w:r>
    </w:p>
    <w:p w14:paraId="56B6CC11" w14:textId="77777777" w:rsidR="00790ADA" w:rsidRPr="000577B9" w:rsidRDefault="00790ADA" w:rsidP="00441B6F">
      <w:pPr>
        <w:pStyle w:val="Body"/>
        <w:spacing w:after="0"/>
        <w:rPr>
          <w:rFonts w:ascii="Arial" w:hAnsi="Arial" w:cs="Arial"/>
          <w:i/>
        </w:rPr>
      </w:pPr>
    </w:p>
    <w:p w14:paraId="02EAD32F" w14:textId="3F533562"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B1F1DD4" w14:textId="7BEC38B2" w:rsidR="000577B9" w:rsidRPr="000577B9" w:rsidRDefault="000577B9" w:rsidP="000577B9">
      <w:pPr>
        <w:ind w:firstLine="720"/>
        <w:jc w:val="both"/>
        <w:rPr>
          <w:rFonts w:ascii="Arial" w:hAnsi="Arial" w:cs="Arial"/>
        </w:rPr>
      </w:pPr>
      <w:r w:rsidRPr="000577B9">
        <w:rPr>
          <w:rFonts w:ascii="Arial" w:hAnsi="Arial" w:cs="Arial"/>
        </w:rPr>
        <w:t>Pulmonary fibrosis is a chronic, progressive and often fatal interstitial lung disease characterized by excessive deposition of extracellular matrix (ECM) components such as collagen and fibronectin, resulting in irreversible scarring, stiffening of lung tissue and progressive loss of respiratory function (</w:t>
      </w:r>
      <w:proofErr w:type="spellStart"/>
      <w:r w:rsidRPr="000577B9">
        <w:rPr>
          <w:rFonts w:ascii="Arial" w:hAnsi="Arial" w:cs="Arial"/>
        </w:rPr>
        <w:t>Faverio</w:t>
      </w:r>
      <w:proofErr w:type="spellEnd"/>
      <w:r w:rsidRPr="000577B9">
        <w:rPr>
          <w:rFonts w:ascii="Arial" w:hAnsi="Arial" w:cs="Arial"/>
        </w:rPr>
        <w:t xml:space="preserve"> et al., 2018; </w:t>
      </w:r>
      <w:r w:rsidR="00175FE5" w:rsidRPr="00175FE5">
        <w:rPr>
          <w:rFonts w:ascii="Arial" w:hAnsi="Arial" w:cs="Arial"/>
        </w:rPr>
        <w:t>Marinescu</w:t>
      </w:r>
      <w:r w:rsidRPr="000577B9">
        <w:rPr>
          <w:rFonts w:ascii="Arial" w:hAnsi="Arial" w:cs="Arial"/>
        </w:rPr>
        <w:t xml:space="preserve"> et al., 2022). It commonly develops as a pathological consequence of several inflammatory airway diseases, including idiopathic pulmonary fibrosis (IPF), acute respiratory distress syndrome </w:t>
      </w:r>
      <w:r w:rsidRPr="000577B9">
        <w:rPr>
          <w:rFonts w:ascii="Arial" w:hAnsi="Arial" w:cs="Arial"/>
        </w:rPr>
        <w:lastRenderedPageBreak/>
        <w:t>(ARDS) and interstitial pneumonitis. Despite differences in etiology, these conditions share common pathophysiological features such as epithelial injury, oxidative stress, fibroblast activation and chronic inflammation, ultimately leading to fibrotic remodeling and poor clinical outcomes (</w:t>
      </w:r>
      <w:proofErr w:type="spellStart"/>
      <w:r w:rsidRPr="000577B9">
        <w:rPr>
          <w:rFonts w:ascii="Arial" w:hAnsi="Arial" w:cs="Arial"/>
        </w:rPr>
        <w:t>Nadrous</w:t>
      </w:r>
      <w:proofErr w:type="spellEnd"/>
      <w:r w:rsidRPr="000577B9">
        <w:rPr>
          <w:rFonts w:ascii="Arial" w:hAnsi="Arial" w:cs="Arial"/>
        </w:rPr>
        <w:t xml:space="preserve"> et al., 2005; Wang et al., 2021).</w:t>
      </w:r>
    </w:p>
    <w:p w14:paraId="43C7FF8B" w14:textId="52CB1F67" w:rsidR="000577B9" w:rsidRPr="000577B9" w:rsidRDefault="000577B9" w:rsidP="000577B9">
      <w:pPr>
        <w:ind w:firstLine="720"/>
        <w:jc w:val="both"/>
        <w:rPr>
          <w:rFonts w:ascii="Arial" w:hAnsi="Arial" w:cs="Arial"/>
        </w:rPr>
      </w:pPr>
      <w:r w:rsidRPr="000577B9">
        <w:rPr>
          <w:rFonts w:ascii="Arial" w:hAnsi="Arial" w:cs="Arial"/>
        </w:rPr>
        <w:t>A hallmark of pulmonary fibrosis is the abnormal activation and proliferation of fibroblasts and their differentiation into myofibroblasts, which are the key effector cells responsible for ECM accumulation. Myofibroblasts are characterized by the expression of alpha-smooth muscle actin (α-SMA) and have enhanced contractile and secretory properties. They produce large amounts of collagen, fibronectin and other ECM proteins that contribute to tissue stiffening and impaired gas exchange (Guo et al., 2022). Among the various profibrotic mediators, transforming growth factor-beta 1 (TGF-β1) plays a central role in the initiation and progression of fibrosis. TGF-β1 induces fibroblast proliferation, myofibroblast differentiation, and ECM synthesis while suppressing the expression of matrix-degrading enzymes, thereby tipping the balance toward tissue scarring (Kim et al., 2</w:t>
      </w:r>
      <w:r w:rsidR="00000B26">
        <w:rPr>
          <w:rFonts w:ascii="Arial" w:hAnsi="Arial" w:cs="Arial"/>
        </w:rPr>
        <w:t>021</w:t>
      </w:r>
      <w:r w:rsidRPr="000577B9">
        <w:rPr>
          <w:rFonts w:ascii="Arial" w:hAnsi="Arial" w:cs="Arial"/>
        </w:rPr>
        <w:t>; Wang et al., 2021).</w:t>
      </w:r>
    </w:p>
    <w:p w14:paraId="6AA353CE" w14:textId="647DE384" w:rsidR="000577B9" w:rsidRPr="000577B9" w:rsidRDefault="000577B9" w:rsidP="000577B9">
      <w:pPr>
        <w:ind w:firstLine="720"/>
        <w:jc w:val="both"/>
        <w:rPr>
          <w:rFonts w:ascii="Arial" w:hAnsi="Arial" w:cs="Arial"/>
        </w:rPr>
      </w:pPr>
      <w:r w:rsidRPr="000577B9">
        <w:rPr>
          <w:rFonts w:ascii="Arial" w:hAnsi="Arial" w:cs="Arial"/>
        </w:rPr>
        <w:t xml:space="preserve">The biochemical quantification of fibrosis often involves the measurement of hydroxyproline, a major amino acid component of collagen. Elevated hydroxyproline levels are indicative of increased collagen content and serve as a reliable marker of fibrotic severity in lung tissue </w:t>
      </w:r>
      <w:r w:rsidRPr="009C5164">
        <w:rPr>
          <w:rFonts w:ascii="Arial" w:hAnsi="Arial" w:cs="Arial"/>
        </w:rPr>
        <w:t>(Zh</w:t>
      </w:r>
      <w:r w:rsidR="009C5164" w:rsidRPr="009C5164">
        <w:rPr>
          <w:rFonts w:ascii="Arial" w:hAnsi="Arial" w:cs="Arial"/>
        </w:rPr>
        <w:t>ao</w:t>
      </w:r>
      <w:r w:rsidRPr="009C5164">
        <w:rPr>
          <w:rFonts w:ascii="Arial" w:hAnsi="Arial" w:cs="Arial"/>
        </w:rPr>
        <w:t xml:space="preserve"> et al., 202</w:t>
      </w:r>
      <w:r w:rsidR="009C5164" w:rsidRPr="009C5164">
        <w:rPr>
          <w:rFonts w:ascii="Arial" w:hAnsi="Arial" w:cs="Arial"/>
        </w:rPr>
        <w:t>2</w:t>
      </w:r>
      <w:r w:rsidRPr="009C5164">
        <w:rPr>
          <w:rFonts w:ascii="Arial" w:hAnsi="Arial" w:cs="Arial"/>
        </w:rPr>
        <w:t>).</w:t>
      </w:r>
      <w:r w:rsidRPr="000577B9">
        <w:rPr>
          <w:rFonts w:ascii="Arial" w:hAnsi="Arial" w:cs="Arial"/>
        </w:rPr>
        <w:t xml:space="preserve"> In parallel, matrix metalloproteinase-9 (MMP-9), an ECM-degrading enzyme, contributes to both tissue remodeling and fibrosis. Dysregulated MMP-9 activity disrupts epithelial integrity, promotes epithelial–mesenchymal transition (EMT), and facilitates further fibroblast activation (Arpino et al., 2015). The imbalance between TGF-β1 signaling and MMP-9 activity perpetuates abnormal ECM turnover and fibrogenesis.</w:t>
      </w:r>
      <w:r>
        <w:rPr>
          <w:rFonts w:ascii="Arial" w:hAnsi="Arial" w:cs="Arial"/>
        </w:rPr>
        <w:t xml:space="preserve"> </w:t>
      </w:r>
      <w:r w:rsidRPr="000577B9">
        <w:rPr>
          <w:rFonts w:ascii="Arial" w:hAnsi="Arial" w:cs="Arial"/>
        </w:rPr>
        <w:t>Histologically, pulmonary fibrosis is confirmed through Masson’s trichrome staining, which distinctly highlights collagen fibers as blue-stained regions within the lung parenchyma, enabling qualitative and quantitative assessment of fibrotic lesions (Khalil</w:t>
      </w:r>
      <w:r w:rsidR="00200990">
        <w:rPr>
          <w:rFonts w:ascii="Arial" w:hAnsi="Arial" w:cs="Arial"/>
        </w:rPr>
        <w:t>i</w:t>
      </w:r>
      <w:r w:rsidRPr="000577B9">
        <w:rPr>
          <w:rFonts w:ascii="Arial" w:hAnsi="Arial" w:cs="Arial"/>
        </w:rPr>
        <w:t xml:space="preserve"> et al., 201</w:t>
      </w:r>
      <w:r w:rsidR="00000B26">
        <w:rPr>
          <w:rFonts w:ascii="Arial" w:hAnsi="Arial" w:cs="Arial"/>
        </w:rPr>
        <w:t>8</w:t>
      </w:r>
      <w:r w:rsidRPr="000577B9">
        <w:rPr>
          <w:rFonts w:ascii="Arial" w:hAnsi="Arial" w:cs="Arial"/>
        </w:rPr>
        <w:t>).</w:t>
      </w:r>
    </w:p>
    <w:p w14:paraId="16D2FDA6" w14:textId="31C76BE3" w:rsidR="000577B9" w:rsidRPr="000577B9" w:rsidRDefault="000577B9" w:rsidP="000577B9">
      <w:pPr>
        <w:ind w:firstLine="720"/>
        <w:jc w:val="both"/>
        <w:rPr>
          <w:rFonts w:ascii="Arial" w:hAnsi="Arial" w:cs="Arial"/>
        </w:rPr>
      </w:pPr>
      <w:r w:rsidRPr="000577B9">
        <w:rPr>
          <w:rFonts w:ascii="Arial" w:hAnsi="Arial" w:cs="Arial"/>
        </w:rPr>
        <w:t>Experimental models have been extensively developed to mimic human pulmonary fibrosis, with bleomycin-induced fibrosis being the most widely used due to its reproducibility and pathophysiological relevance. Bleomycin, a chemotherapeutic antibiotic, induces DNA strand breaks and generates reactive oxygen species (ROS), leading to epithelial injury, inflammation, and fibroblast activation (</w:t>
      </w:r>
      <w:r w:rsidR="009C5164">
        <w:rPr>
          <w:rFonts w:ascii="Arial" w:hAnsi="Arial" w:cs="Arial"/>
        </w:rPr>
        <w:t>Song</w:t>
      </w:r>
      <w:r w:rsidRPr="000577B9">
        <w:rPr>
          <w:rFonts w:ascii="Arial" w:hAnsi="Arial" w:cs="Arial"/>
        </w:rPr>
        <w:t xml:space="preserve"> et al., 202</w:t>
      </w:r>
      <w:r w:rsidR="009C5164">
        <w:rPr>
          <w:rFonts w:ascii="Arial" w:hAnsi="Arial" w:cs="Arial"/>
        </w:rPr>
        <w:t>2</w:t>
      </w:r>
      <w:r w:rsidRPr="000577B9">
        <w:rPr>
          <w:rFonts w:ascii="Arial" w:hAnsi="Arial" w:cs="Arial"/>
        </w:rPr>
        <w:t>). The lungs are particularly susceptible to bleomycin-induced toxicity due to low levels of bleomycin hydrolase, an enzyme responsible for its inactivation (Ferrando et al., 1997).</w:t>
      </w:r>
    </w:p>
    <w:p w14:paraId="37598DCA" w14:textId="77777777" w:rsidR="000577B9" w:rsidRPr="000577B9" w:rsidRDefault="000577B9" w:rsidP="000577B9">
      <w:pPr>
        <w:ind w:firstLine="720"/>
        <w:jc w:val="both"/>
        <w:rPr>
          <w:rFonts w:ascii="Arial" w:hAnsi="Arial" w:cs="Arial"/>
        </w:rPr>
      </w:pPr>
      <w:r w:rsidRPr="000577B9">
        <w:rPr>
          <w:rFonts w:ascii="Arial" w:hAnsi="Arial" w:cs="Arial"/>
        </w:rPr>
        <w:t xml:space="preserve">Given the multifactorial nature of fibrosis involving oxidative stress, inflammation, and dysregulated cytokine signaling, phytochemicals with antioxidant and anti-inflammatory potential are being actively investigated. </w:t>
      </w:r>
      <w:proofErr w:type="spellStart"/>
      <w:r w:rsidRPr="000577B9">
        <w:rPr>
          <w:rFonts w:ascii="Arial" w:hAnsi="Arial" w:cs="Arial"/>
        </w:rPr>
        <w:t>Galangin</w:t>
      </w:r>
      <w:proofErr w:type="spellEnd"/>
      <w:r w:rsidRPr="000577B9">
        <w:rPr>
          <w:rFonts w:ascii="Arial" w:hAnsi="Arial" w:cs="Arial"/>
        </w:rPr>
        <w:t xml:space="preserve">, a natural flavonoid found in </w:t>
      </w:r>
      <w:r w:rsidRPr="000577B9">
        <w:rPr>
          <w:rFonts w:ascii="Arial" w:hAnsi="Arial" w:cs="Arial"/>
          <w:i/>
          <w:iCs/>
        </w:rPr>
        <w:t>Alpinia officinarum</w:t>
      </w:r>
      <w:r w:rsidRPr="000577B9">
        <w:rPr>
          <w:rFonts w:ascii="Arial" w:hAnsi="Arial" w:cs="Arial"/>
        </w:rPr>
        <w:t xml:space="preserve"> and honey, has demonstrated antifibrotic and antioxidant effects through activation of the Nrf2 pathway and inhibition of TGF-β1/NF-κB signaling (Thangaiyan et al., 2020; </w:t>
      </w:r>
      <w:proofErr w:type="spellStart"/>
      <w:r w:rsidRPr="000577B9">
        <w:rPr>
          <w:rFonts w:ascii="Arial" w:hAnsi="Arial" w:cs="Arial"/>
        </w:rPr>
        <w:t>Aladaileh</w:t>
      </w:r>
      <w:proofErr w:type="spellEnd"/>
      <w:r w:rsidRPr="000577B9">
        <w:rPr>
          <w:rFonts w:ascii="Arial" w:hAnsi="Arial" w:cs="Arial"/>
        </w:rPr>
        <w:t xml:space="preserve"> et al., 2019). Similarly, </w:t>
      </w:r>
      <w:proofErr w:type="spellStart"/>
      <w:r w:rsidRPr="000577B9">
        <w:rPr>
          <w:rFonts w:ascii="Arial" w:hAnsi="Arial" w:cs="Arial"/>
        </w:rPr>
        <w:t>piperine</w:t>
      </w:r>
      <w:proofErr w:type="spellEnd"/>
      <w:r w:rsidRPr="000577B9">
        <w:rPr>
          <w:rFonts w:ascii="Arial" w:hAnsi="Arial" w:cs="Arial"/>
        </w:rPr>
        <w:t xml:space="preserve">, a bioactive alkaloid from </w:t>
      </w:r>
      <w:r w:rsidRPr="000577B9">
        <w:rPr>
          <w:rFonts w:ascii="Arial" w:hAnsi="Arial" w:cs="Arial"/>
          <w:i/>
          <w:iCs/>
        </w:rPr>
        <w:t>Piper nigrum</w:t>
      </w:r>
      <w:r w:rsidRPr="000577B9">
        <w:rPr>
          <w:rFonts w:ascii="Arial" w:hAnsi="Arial" w:cs="Arial"/>
        </w:rPr>
        <w:t>, enhances the bioavailability of therapeutic agents and exhibits strong antioxidant, anti-inflammatory and antifibrotic properties by modulating cellular redox and inflammatory pathways (Meghwal and Goswami, 2013).</w:t>
      </w:r>
    </w:p>
    <w:p w14:paraId="01A158FA" w14:textId="77777777" w:rsidR="000577B9" w:rsidRPr="000577B9" w:rsidRDefault="000577B9" w:rsidP="000577B9">
      <w:pPr>
        <w:ind w:firstLine="720"/>
        <w:jc w:val="both"/>
        <w:rPr>
          <w:rFonts w:ascii="Arial" w:hAnsi="Arial" w:cs="Arial"/>
        </w:rPr>
      </w:pPr>
      <w:r w:rsidRPr="000577B9">
        <w:rPr>
          <w:rFonts w:ascii="Arial" w:hAnsi="Arial" w:cs="Arial"/>
        </w:rPr>
        <w:t xml:space="preserve">Collectively, these observations suggest that targeting oxidative stress and TGF-β1/MMP-9/α-SMA signaling axes using naturally derived compounds such as </w:t>
      </w: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may represent a promising therapeutic approach for the prevention and management of pulmonary fibrosis.</w:t>
      </w:r>
    </w:p>
    <w:p w14:paraId="1A4FFA2B" w14:textId="77777777" w:rsidR="00790ADA" w:rsidRPr="00FB3A86" w:rsidRDefault="00790ADA" w:rsidP="00441B6F">
      <w:pPr>
        <w:pStyle w:val="Body"/>
        <w:spacing w:after="0"/>
        <w:rPr>
          <w:rFonts w:ascii="Arial" w:hAnsi="Arial" w:cs="Arial"/>
        </w:rPr>
      </w:pPr>
    </w:p>
    <w:p w14:paraId="06E27D97" w14:textId="54EA3F24"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298AC85" w14:textId="77777777" w:rsidR="000577B9" w:rsidRPr="000577B9" w:rsidRDefault="000577B9" w:rsidP="000577B9">
      <w:pPr>
        <w:jc w:val="both"/>
        <w:rPr>
          <w:rFonts w:ascii="Arial" w:hAnsi="Arial" w:cs="Arial"/>
          <w:b/>
          <w:bCs/>
        </w:rPr>
      </w:pPr>
      <w:r w:rsidRPr="000577B9">
        <w:rPr>
          <w:rFonts w:ascii="Arial" w:hAnsi="Arial" w:cs="Arial"/>
          <w:b/>
          <w:bCs/>
        </w:rPr>
        <w:t>2.1 Chemicals and Reagents</w:t>
      </w:r>
    </w:p>
    <w:p w14:paraId="661F71DC" w14:textId="77777777" w:rsidR="000577B9" w:rsidRPr="000577B9" w:rsidRDefault="000577B9" w:rsidP="000577B9">
      <w:pPr>
        <w:jc w:val="both"/>
        <w:rPr>
          <w:rFonts w:ascii="Arial" w:hAnsi="Arial" w:cs="Arial"/>
        </w:rPr>
      </w:pP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were obtained from Tokyo Chemical Industry (TCI), Japan, and bleomycin from Cipla Ltd., India. ELISA kits for TGF-β and Hydroxyproline were purchased from </w:t>
      </w:r>
      <w:proofErr w:type="spellStart"/>
      <w:r w:rsidRPr="000577B9">
        <w:rPr>
          <w:rFonts w:ascii="Arial" w:hAnsi="Arial" w:cs="Arial"/>
        </w:rPr>
        <w:t>Krishgen</w:t>
      </w:r>
      <w:proofErr w:type="spellEnd"/>
      <w:r w:rsidRPr="000577B9">
        <w:rPr>
          <w:rFonts w:ascii="Arial" w:hAnsi="Arial" w:cs="Arial"/>
        </w:rPr>
        <w:t xml:space="preserve"> Biosystems, Mumbai. MMP-9 and α-SMA antibodies are procured from </w:t>
      </w:r>
      <w:proofErr w:type="spellStart"/>
      <w:r w:rsidRPr="000577B9">
        <w:rPr>
          <w:rFonts w:ascii="Arial" w:hAnsi="Arial" w:cs="Arial"/>
        </w:rPr>
        <w:t>Thermoscientific</w:t>
      </w:r>
      <w:proofErr w:type="spellEnd"/>
      <w:r w:rsidRPr="000577B9">
        <w:rPr>
          <w:rFonts w:ascii="Arial" w:hAnsi="Arial" w:cs="Arial"/>
        </w:rPr>
        <w:t xml:space="preserve">, </w:t>
      </w:r>
      <w:proofErr w:type="spellStart"/>
      <w:r w:rsidRPr="000577B9">
        <w:rPr>
          <w:rFonts w:ascii="Arial" w:hAnsi="Arial" w:cs="Arial"/>
        </w:rPr>
        <w:t>Hyderabad.All</w:t>
      </w:r>
      <w:proofErr w:type="spellEnd"/>
      <w:r w:rsidRPr="000577B9">
        <w:rPr>
          <w:rFonts w:ascii="Arial" w:hAnsi="Arial" w:cs="Arial"/>
        </w:rPr>
        <w:t xml:space="preserve"> other reagents used were of analytical grade.</w:t>
      </w:r>
    </w:p>
    <w:p w14:paraId="5F5FF563" w14:textId="77777777" w:rsidR="000577B9" w:rsidRPr="000577B9" w:rsidRDefault="000577B9" w:rsidP="000577B9">
      <w:pPr>
        <w:jc w:val="both"/>
        <w:rPr>
          <w:rFonts w:ascii="Arial" w:hAnsi="Arial" w:cs="Arial"/>
          <w:b/>
          <w:bCs/>
        </w:rPr>
      </w:pPr>
      <w:r w:rsidRPr="000577B9">
        <w:rPr>
          <w:rFonts w:ascii="Arial" w:hAnsi="Arial" w:cs="Arial"/>
          <w:b/>
          <w:bCs/>
        </w:rPr>
        <w:lastRenderedPageBreak/>
        <w:t>2.2 Animals</w:t>
      </w:r>
    </w:p>
    <w:p w14:paraId="7F55C974" w14:textId="77777777" w:rsidR="000577B9" w:rsidRPr="000577B9" w:rsidRDefault="000577B9" w:rsidP="000577B9">
      <w:pPr>
        <w:jc w:val="both"/>
        <w:rPr>
          <w:rFonts w:ascii="Arial" w:hAnsi="Arial" w:cs="Arial"/>
        </w:rPr>
      </w:pPr>
      <w:r w:rsidRPr="000577B9">
        <w:rPr>
          <w:rFonts w:ascii="Arial" w:hAnsi="Arial" w:cs="Arial"/>
        </w:rPr>
        <w:t>Fifty healthy male C57BL/6 mice (6–7 weeks old) were acclimatized for 15 days under standard laboratory conditions (22–24 °C, 12 h light/dark cycle) with free access to food and water. The animals were randomly allocated into seven groups: groups 1, 3, and 4 had six mice each, while groups 2, 5, 6, and 7 had eight mice each. A minimum of six animals per group was used for statistical analysis. Treatments were administered for three weeks according to group protocols. All procedures were approved by the Institutional Animal Ethics Committee (Approval No. 40/24/</w:t>
      </w:r>
      <w:proofErr w:type="spellStart"/>
      <w:r w:rsidRPr="000577B9">
        <w:rPr>
          <w:rFonts w:ascii="Arial" w:hAnsi="Arial" w:cs="Arial"/>
        </w:rPr>
        <w:t>C.V.Sc</w:t>
      </w:r>
      <w:proofErr w:type="spellEnd"/>
      <w:r w:rsidRPr="000577B9">
        <w:rPr>
          <w:rFonts w:ascii="Arial" w:hAnsi="Arial" w:cs="Arial"/>
        </w:rPr>
        <w:t>., Hyd. IAEC-mice/12.06.2021).</w:t>
      </w:r>
    </w:p>
    <w:p w14:paraId="191E55F6" w14:textId="77777777" w:rsidR="000577B9" w:rsidRDefault="000577B9" w:rsidP="000577B9">
      <w:pPr>
        <w:jc w:val="both"/>
        <w:rPr>
          <w:rFonts w:ascii="Arial" w:hAnsi="Arial" w:cs="Arial"/>
          <w:b/>
          <w:bCs/>
        </w:rPr>
      </w:pPr>
      <w:r w:rsidRPr="000577B9">
        <w:rPr>
          <w:rFonts w:ascii="Arial" w:hAnsi="Arial" w:cs="Arial"/>
          <w:b/>
          <w:bCs/>
        </w:rPr>
        <w:t>2.3 Experimental Design</w:t>
      </w:r>
    </w:p>
    <w:p w14:paraId="75DB73B2" w14:textId="77777777" w:rsidR="007F656D" w:rsidRDefault="007F656D" w:rsidP="000577B9">
      <w:pPr>
        <w:jc w:val="both"/>
        <w:rPr>
          <w:rFonts w:ascii="Arial" w:hAnsi="Arial" w:cs="Arial"/>
          <w:b/>
          <w:bCs/>
        </w:rPr>
      </w:pPr>
    </w:p>
    <w:p w14:paraId="2C2A1206" w14:textId="69E42748" w:rsidR="007F656D" w:rsidRPr="000577B9" w:rsidRDefault="007F656D" w:rsidP="000577B9">
      <w:pPr>
        <w:jc w:val="both"/>
        <w:rPr>
          <w:rFonts w:ascii="Arial" w:hAnsi="Arial" w:cs="Arial"/>
          <w:b/>
          <w:bCs/>
        </w:rPr>
      </w:pPr>
      <w:r>
        <w:rPr>
          <w:rFonts w:ascii="Arial" w:hAnsi="Arial" w:cs="Arial"/>
          <w:b/>
          <w:bCs/>
        </w:rPr>
        <w:t xml:space="preserve">List </w:t>
      </w:r>
      <w:proofErr w:type="gramStart"/>
      <w:r>
        <w:rPr>
          <w:rFonts w:ascii="Arial" w:hAnsi="Arial" w:cs="Arial"/>
          <w:b/>
          <w:bCs/>
        </w:rPr>
        <w:t>1 :</w:t>
      </w:r>
      <w:proofErr w:type="gramEnd"/>
      <w:r>
        <w:rPr>
          <w:rFonts w:ascii="Arial" w:hAnsi="Arial" w:cs="Arial"/>
          <w:b/>
          <w:bCs/>
        </w:rPr>
        <w:t xml:space="preserve"> </w:t>
      </w:r>
      <w:r w:rsidR="003E79A2">
        <w:rPr>
          <w:rFonts w:ascii="Arial" w:hAnsi="Arial" w:cs="Arial"/>
          <w:b/>
          <w:bCs/>
        </w:rPr>
        <w:t xml:space="preserve"> </w:t>
      </w:r>
      <w:r w:rsidR="003E79A2" w:rsidRPr="003E79A2">
        <w:rPr>
          <w:rFonts w:ascii="Arial" w:hAnsi="Arial" w:cs="Arial"/>
          <w:b/>
          <w:bCs/>
        </w:rPr>
        <w:t xml:space="preserve">Experimental Design for Evaluating the Protective Effects of </w:t>
      </w:r>
      <w:proofErr w:type="spellStart"/>
      <w:r w:rsidR="003E79A2" w:rsidRPr="003E79A2">
        <w:rPr>
          <w:rFonts w:ascii="Arial" w:hAnsi="Arial" w:cs="Arial"/>
          <w:b/>
          <w:bCs/>
        </w:rPr>
        <w:t>Galangin</w:t>
      </w:r>
      <w:proofErr w:type="spellEnd"/>
      <w:r w:rsidR="003E79A2" w:rsidRPr="003E79A2">
        <w:rPr>
          <w:rFonts w:ascii="Arial" w:hAnsi="Arial" w:cs="Arial"/>
          <w:b/>
          <w:bCs/>
        </w:rPr>
        <w:t xml:space="preserve"> and </w:t>
      </w:r>
      <w:proofErr w:type="spellStart"/>
      <w:r w:rsidR="003E79A2" w:rsidRPr="003E79A2">
        <w:rPr>
          <w:rFonts w:ascii="Arial" w:hAnsi="Arial" w:cs="Arial"/>
          <w:b/>
          <w:bCs/>
        </w:rPr>
        <w:t>Piperine</w:t>
      </w:r>
      <w:proofErr w:type="spellEnd"/>
      <w:r w:rsidR="003E79A2" w:rsidRPr="003E79A2">
        <w:rPr>
          <w:rFonts w:ascii="Arial" w:hAnsi="Arial" w:cs="Arial"/>
          <w:b/>
          <w:bCs/>
        </w:rPr>
        <w:t xml:space="preserve"> on Bleomycin-Induced Pulmonary Fibrosis in Mice</w:t>
      </w:r>
    </w:p>
    <w:tbl>
      <w:tblPr>
        <w:tblW w:w="8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
        <w:gridCol w:w="5918"/>
        <w:gridCol w:w="1829"/>
      </w:tblGrid>
      <w:tr w:rsidR="000577B9" w:rsidRPr="000577B9" w14:paraId="36443823" w14:textId="77777777" w:rsidTr="00702D4A">
        <w:trPr>
          <w:trHeight w:val="257"/>
        </w:trPr>
        <w:tc>
          <w:tcPr>
            <w:tcW w:w="1013" w:type="dxa"/>
          </w:tcPr>
          <w:p w14:paraId="3BD48AB8" w14:textId="77777777" w:rsidR="000577B9" w:rsidRPr="000577B9" w:rsidRDefault="000577B9" w:rsidP="00702D4A">
            <w:pPr>
              <w:spacing w:line="360" w:lineRule="auto"/>
              <w:rPr>
                <w:rFonts w:ascii="Arial" w:hAnsi="Arial" w:cs="Arial"/>
                <w:b/>
              </w:rPr>
            </w:pPr>
            <w:r w:rsidRPr="000577B9">
              <w:rPr>
                <w:rFonts w:ascii="Arial" w:hAnsi="Arial" w:cs="Arial"/>
                <w:b/>
              </w:rPr>
              <w:t>Group</w:t>
            </w:r>
          </w:p>
        </w:tc>
        <w:tc>
          <w:tcPr>
            <w:tcW w:w="5918" w:type="dxa"/>
          </w:tcPr>
          <w:p w14:paraId="63DA9234" w14:textId="77777777" w:rsidR="000577B9" w:rsidRPr="000577B9" w:rsidRDefault="000577B9" w:rsidP="00702D4A">
            <w:pPr>
              <w:spacing w:line="360" w:lineRule="auto"/>
              <w:rPr>
                <w:rFonts w:ascii="Arial" w:hAnsi="Arial" w:cs="Arial"/>
                <w:b/>
              </w:rPr>
            </w:pPr>
            <w:r w:rsidRPr="000577B9">
              <w:rPr>
                <w:rFonts w:ascii="Arial" w:hAnsi="Arial" w:cs="Arial"/>
                <w:b/>
              </w:rPr>
              <w:t xml:space="preserve">                     Treatment</w:t>
            </w:r>
          </w:p>
        </w:tc>
        <w:tc>
          <w:tcPr>
            <w:tcW w:w="1829" w:type="dxa"/>
          </w:tcPr>
          <w:p w14:paraId="5327BB2B" w14:textId="77777777" w:rsidR="000577B9" w:rsidRPr="000577B9" w:rsidRDefault="000577B9" w:rsidP="00702D4A">
            <w:pPr>
              <w:spacing w:line="360" w:lineRule="auto"/>
              <w:rPr>
                <w:rFonts w:ascii="Arial" w:hAnsi="Arial" w:cs="Arial"/>
                <w:b/>
              </w:rPr>
            </w:pPr>
            <w:r w:rsidRPr="000577B9">
              <w:rPr>
                <w:rFonts w:ascii="Arial" w:hAnsi="Arial" w:cs="Arial"/>
                <w:b/>
              </w:rPr>
              <w:t>No. of Mice</w:t>
            </w:r>
          </w:p>
        </w:tc>
      </w:tr>
      <w:tr w:rsidR="000577B9" w:rsidRPr="000577B9" w14:paraId="7FD375ED" w14:textId="77777777" w:rsidTr="00702D4A">
        <w:trPr>
          <w:trHeight w:val="176"/>
        </w:trPr>
        <w:tc>
          <w:tcPr>
            <w:tcW w:w="1013" w:type="dxa"/>
          </w:tcPr>
          <w:p w14:paraId="722A768C" w14:textId="77777777" w:rsidR="000577B9" w:rsidRPr="000577B9" w:rsidRDefault="000577B9" w:rsidP="00702D4A">
            <w:pPr>
              <w:spacing w:line="360" w:lineRule="auto"/>
              <w:rPr>
                <w:rFonts w:ascii="Arial" w:hAnsi="Arial" w:cs="Arial"/>
              </w:rPr>
            </w:pPr>
            <w:r w:rsidRPr="000577B9">
              <w:rPr>
                <w:rFonts w:ascii="Arial" w:hAnsi="Arial" w:cs="Arial"/>
              </w:rPr>
              <w:t>1.</w:t>
            </w:r>
          </w:p>
        </w:tc>
        <w:tc>
          <w:tcPr>
            <w:tcW w:w="5918" w:type="dxa"/>
          </w:tcPr>
          <w:p w14:paraId="6212BEE9" w14:textId="77777777" w:rsidR="000577B9" w:rsidRPr="000577B9" w:rsidRDefault="000577B9" w:rsidP="00702D4A">
            <w:pPr>
              <w:rPr>
                <w:rFonts w:ascii="Arial" w:hAnsi="Arial" w:cs="Arial"/>
              </w:rPr>
            </w:pPr>
            <w:r w:rsidRPr="000577B9">
              <w:rPr>
                <w:rFonts w:ascii="Arial" w:hAnsi="Arial" w:cs="Arial"/>
              </w:rPr>
              <w:t xml:space="preserve">Control </w:t>
            </w:r>
            <w:proofErr w:type="gramStart"/>
            <w:r w:rsidRPr="000577B9">
              <w:rPr>
                <w:rFonts w:ascii="Arial" w:hAnsi="Arial" w:cs="Arial"/>
              </w:rPr>
              <w:t>( 0.9</w:t>
            </w:r>
            <w:proofErr w:type="gramEnd"/>
            <w:r w:rsidRPr="000577B9">
              <w:rPr>
                <w:rFonts w:ascii="Arial" w:hAnsi="Arial" w:cs="Arial"/>
              </w:rPr>
              <w:t>% saline) oropharyngeal route, Single dose on 0</w:t>
            </w:r>
            <w:r w:rsidRPr="000577B9">
              <w:rPr>
                <w:rFonts w:ascii="Arial" w:hAnsi="Arial" w:cs="Arial"/>
                <w:vertAlign w:val="superscript"/>
              </w:rPr>
              <w:t>th</w:t>
            </w:r>
            <w:r w:rsidRPr="000577B9">
              <w:rPr>
                <w:rFonts w:ascii="Arial" w:hAnsi="Arial" w:cs="Arial"/>
              </w:rPr>
              <w:t xml:space="preserve"> day</w:t>
            </w:r>
          </w:p>
        </w:tc>
        <w:tc>
          <w:tcPr>
            <w:tcW w:w="1829" w:type="dxa"/>
          </w:tcPr>
          <w:p w14:paraId="0432D9C6" w14:textId="77777777" w:rsidR="000577B9" w:rsidRPr="000577B9" w:rsidRDefault="000577B9" w:rsidP="00702D4A">
            <w:pPr>
              <w:rPr>
                <w:rFonts w:ascii="Arial" w:hAnsi="Arial" w:cs="Arial"/>
              </w:rPr>
            </w:pPr>
          </w:p>
          <w:p w14:paraId="2DD92E56" w14:textId="77777777" w:rsidR="000577B9" w:rsidRPr="000577B9" w:rsidRDefault="000577B9" w:rsidP="00702D4A">
            <w:pPr>
              <w:rPr>
                <w:rFonts w:ascii="Arial" w:hAnsi="Arial" w:cs="Arial"/>
              </w:rPr>
            </w:pPr>
            <w:r w:rsidRPr="000577B9">
              <w:rPr>
                <w:rFonts w:ascii="Arial" w:hAnsi="Arial" w:cs="Arial"/>
              </w:rPr>
              <w:t>6</w:t>
            </w:r>
          </w:p>
        </w:tc>
      </w:tr>
      <w:tr w:rsidR="000577B9" w:rsidRPr="000577B9" w14:paraId="375E23A7" w14:textId="77777777" w:rsidTr="00702D4A">
        <w:trPr>
          <w:trHeight w:val="176"/>
        </w:trPr>
        <w:tc>
          <w:tcPr>
            <w:tcW w:w="1013" w:type="dxa"/>
          </w:tcPr>
          <w:p w14:paraId="6E5FF962" w14:textId="77777777" w:rsidR="000577B9" w:rsidRPr="000577B9" w:rsidRDefault="000577B9" w:rsidP="00702D4A">
            <w:pPr>
              <w:spacing w:line="360" w:lineRule="auto"/>
              <w:rPr>
                <w:rFonts w:ascii="Arial" w:hAnsi="Arial" w:cs="Arial"/>
              </w:rPr>
            </w:pPr>
            <w:r w:rsidRPr="000577B9">
              <w:rPr>
                <w:rFonts w:ascii="Arial" w:hAnsi="Arial" w:cs="Arial"/>
              </w:rPr>
              <w:t>2.</w:t>
            </w:r>
          </w:p>
        </w:tc>
        <w:tc>
          <w:tcPr>
            <w:tcW w:w="5918" w:type="dxa"/>
          </w:tcPr>
          <w:p w14:paraId="72EF2134" w14:textId="77777777" w:rsidR="000577B9" w:rsidRPr="000577B9" w:rsidRDefault="000577B9" w:rsidP="00702D4A">
            <w:pPr>
              <w:rPr>
                <w:rFonts w:ascii="Arial" w:hAnsi="Arial" w:cs="Arial"/>
              </w:rPr>
            </w:pPr>
            <w:r w:rsidRPr="000577B9">
              <w:rPr>
                <w:rFonts w:ascii="Arial" w:hAnsi="Arial" w:cs="Arial"/>
              </w:rPr>
              <w:t xml:space="preserve">Bleomycin sulphate @ 1.5 U/Kg </w:t>
            </w:r>
            <w:proofErr w:type="spellStart"/>
            <w:proofErr w:type="gramStart"/>
            <w:r w:rsidRPr="000577B9">
              <w:rPr>
                <w:rFonts w:ascii="Arial" w:hAnsi="Arial" w:cs="Arial"/>
              </w:rPr>
              <w:t>bwt</w:t>
            </w:r>
            <w:proofErr w:type="spellEnd"/>
            <w:r w:rsidRPr="000577B9">
              <w:rPr>
                <w:rFonts w:ascii="Arial" w:hAnsi="Arial" w:cs="Arial"/>
              </w:rPr>
              <w:t>,  oropharyngeal</w:t>
            </w:r>
            <w:proofErr w:type="gramEnd"/>
            <w:r w:rsidRPr="000577B9">
              <w:rPr>
                <w:rFonts w:ascii="Arial" w:hAnsi="Arial" w:cs="Arial"/>
              </w:rPr>
              <w:t xml:space="preserve"> route, Single dose on 0</w:t>
            </w:r>
            <w:r w:rsidRPr="000577B9">
              <w:rPr>
                <w:rFonts w:ascii="Arial" w:hAnsi="Arial" w:cs="Arial"/>
                <w:vertAlign w:val="superscript"/>
              </w:rPr>
              <w:t>th</w:t>
            </w:r>
            <w:r w:rsidRPr="000577B9">
              <w:rPr>
                <w:rFonts w:ascii="Arial" w:hAnsi="Arial" w:cs="Arial"/>
              </w:rPr>
              <w:t xml:space="preserve"> day </w:t>
            </w:r>
          </w:p>
        </w:tc>
        <w:tc>
          <w:tcPr>
            <w:tcW w:w="1829" w:type="dxa"/>
          </w:tcPr>
          <w:p w14:paraId="5AD9CACA" w14:textId="77777777" w:rsidR="000577B9" w:rsidRPr="000577B9" w:rsidRDefault="000577B9" w:rsidP="00702D4A">
            <w:pPr>
              <w:rPr>
                <w:rFonts w:ascii="Arial" w:hAnsi="Arial" w:cs="Arial"/>
              </w:rPr>
            </w:pPr>
          </w:p>
          <w:p w14:paraId="70458DCF" w14:textId="77777777" w:rsidR="000577B9" w:rsidRPr="000577B9" w:rsidRDefault="000577B9" w:rsidP="00702D4A">
            <w:pPr>
              <w:rPr>
                <w:rFonts w:ascii="Arial" w:hAnsi="Arial" w:cs="Arial"/>
              </w:rPr>
            </w:pPr>
            <w:r w:rsidRPr="000577B9">
              <w:rPr>
                <w:rFonts w:ascii="Arial" w:hAnsi="Arial" w:cs="Arial"/>
              </w:rPr>
              <w:t>8</w:t>
            </w:r>
          </w:p>
        </w:tc>
      </w:tr>
      <w:tr w:rsidR="000577B9" w:rsidRPr="000577B9" w14:paraId="300CFB77" w14:textId="77777777" w:rsidTr="00702D4A">
        <w:trPr>
          <w:trHeight w:val="176"/>
        </w:trPr>
        <w:tc>
          <w:tcPr>
            <w:tcW w:w="1013" w:type="dxa"/>
          </w:tcPr>
          <w:p w14:paraId="318A9569" w14:textId="77777777" w:rsidR="000577B9" w:rsidRPr="000577B9" w:rsidRDefault="000577B9" w:rsidP="00702D4A">
            <w:pPr>
              <w:spacing w:line="360" w:lineRule="auto"/>
              <w:rPr>
                <w:rFonts w:ascii="Arial" w:hAnsi="Arial" w:cs="Arial"/>
              </w:rPr>
            </w:pPr>
            <w:r w:rsidRPr="000577B9">
              <w:rPr>
                <w:rFonts w:ascii="Arial" w:hAnsi="Arial" w:cs="Arial"/>
              </w:rPr>
              <w:t>3.</w:t>
            </w:r>
          </w:p>
        </w:tc>
        <w:tc>
          <w:tcPr>
            <w:tcW w:w="5918" w:type="dxa"/>
          </w:tcPr>
          <w:p w14:paraId="2C92AB85" w14:textId="77777777" w:rsidR="000577B9" w:rsidRPr="000577B9" w:rsidRDefault="000577B9" w:rsidP="00702D4A">
            <w:pPr>
              <w:rPr>
                <w:rFonts w:ascii="Arial" w:hAnsi="Arial" w:cs="Arial"/>
              </w:rPr>
            </w:pP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11CAE702" w14:textId="77777777" w:rsidR="000577B9" w:rsidRPr="000577B9" w:rsidRDefault="000577B9" w:rsidP="00702D4A">
            <w:pPr>
              <w:rPr>
                <w:rFonts w:ascii="Arial" w:hAnsi="Arial" w:cs="Arial"/>
              </w:rPr>
            </w:pPr>
            <w:r w:rsidRPr="000577B9">
              <w:rPr>
                <w:rFonts w:ascii="Arial" w:hAnsi="Arial" w:cs="Arial"/>
              </w:rPr>
              <w:t>6</w:t>
            </w:r>
          </w:p>
        </w:tc>
      </w:tr>
      <w:tr w:rsidR="000577B9" w:rsidRPr="000577B9" w14:paraId="0C5E8EF8" w14:textId="77777777" w:rsidTr="00702D4A">
        <w:trPr>
          <w:trHeight w:val="578"/>
        </w:trPr>
        <w:tc>
          <w:tcPr>
            <w:tcW w:w="1013" w:type="dxa"/>
          </w:tcPr>
          <w:p w14:paraId="7D17BF7F" w14:textId="77777777" w:rsidR="000577B9" w:rsidRPr="000577B9" w:rsidRDefault="000577B9" w:rsidP="00702D4A">
            <w:pPr>
              <w:spacing w:line="360" w:lineRule="auto"/>
              <w:rPr>
                <w:rFonts w:ascii="Arial" w:hAnsi="Arial" w:cs="Arial"/>
              </w:rPr>
            </w:pPr>
            <w:r w:rsidRPr="000577B9">
              <w:rPr>
                <w:rFonts w:ascii="Arial" w:hAnsi="Arial" w:cs="Arial"/>
              </w:rPr>
              <w:t>4.</w:t>
            </w:r>
          </w:p>
        </w:tc>
        <w:tc>
          <w:tcPr>
            <w:tcW w:w="5918" w:type="dxa"/>
          </w:tcPr>
          <w:p w14:paraId="131A5EFB" w14:textId="77777777" w:rsidR="000577B9" w:rsidRPr="000577B9" w:rsidRDefault="000577B9" w:rsidP="00702D4A">
            <w:pPr>
              <w:rPr>
                <w:rFonts w:ascii="Arial" w:hAnsi="Arial" w:cs="Arial"/>
              </w:rPr>
            </w:pPr>
            <w:proofErr w:type="spellStart"/>
            <w:r w:rsidRPr="000577B9">
              <w:rPr>
                <w:rFonts w:ascii="Arial" w:hAnsi="Arial" w:cs="Arial"/>
              </w:rPr>
              <w:t>Piperine</w:t>
            </w:r>
            <w:proofErr w:type="spellEnd"/>
            <w:r w:rsidRPr="000577B9">
              <w:rPr>
                <w:rFonts w:ascii="Arial" w:hAnsi="Arial" w:cs="Arial"/>
              </w:rPr>
              <w:t xml:space="preserve">@ 50mg/kg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75BA6FC3" w14:textId="77777777" w:rsidR="000577B9" w:rsidRPr="000577B9" w:rsidRDefault="000577B9" w:rsidP="00702D4A">
            <w:pPr>
              <w:rPr>
                <w:rFonts w:ascii="Arial" w:hAnsi="Arial" w:cs="Arial"/>
              </w:rPr>
            </w:pPr>
            <w:r w:rsidRPr="000577B9">
              <w:rPr>
                <w:rFonts w:ascii="Arial" w:hAnsi="Arial" w:cs="Arial"/>
              </w:rPr>
              <w:t>6</w:t>
            </w:r>
          </w:p>
        </w:tc>
      </w:tr>
      <w:tr w:rsidR="000577B9" w:rsidRPr="000577B9" w14:paraId="5BD68079" w14:textId="77777777" w:rsidTr="00702D4A">
        <w:trPr>
          <w:trHeight w:val="266"/>
        </w:trPr>
        <w:tc>
          <w:tcPr>
            <w:tcW w:w="1013" w:type="dxa"/>
          </w:tcPr>
          <w:p w14:paraId="229F6EC7" w14:textId="77777777" w:rsidR="000577B9" w:rsidRPr="000577B9" w:rsidRDefault="000577B9" w:rsidP="00702D4A">
            <w:pPr>
              <w:spacing w:line="360" w:lineRule="auto"/>
              <w:rPr>
                <w:rFonts w:ascii="Arial" w:hAnsi="Arial" w:cs="Arial"/>
              </w:rPr>
            </w:pPr>
            <w:r w:rsidRPr="000577B9">
              <w:rPr>
                <w:rFonts w:ascii="Arial" w:hAnsi="Arial" w:cs="Arial"/>
              </w:rPr>
              <w:t>5.</w:t>
            </w:r>
          </w:p>
        </w:tc>
        <w:tc>
          <w:tcPr>
            <w:tcW w:w="5918" w:type="dxa"/>
          </w:tcPr>
          <w:p w14:paraId="596981FD" w14:textId="77777777" w:rsidR="000577B9" w:rsidRPr="000577B9" w:rsidRDefault="000577B9" w:rsidP="00702D4A">
            <w:pPr>
              <w:rPr>
                <w:rFonts w:ascii="Arial" w:hAnsi="Arial" w:cs="Arial"/>
              </w:rPr>
            </w:pPr>
            <w:r w:rsidRPr="000577B9">
              <w:rPr>
                <w:rFonts w:ascii="Arial" w:hAnsi="Arial" w:cs="Arial"/>
              </w:rPr>
              <w:t xml:space="preserve">Bleomycin sulphate + </w:t>
            </w: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3FAC9B81" w14:textId="77777777" w:rsidR="000577B9" w:rsidRPr="000577B9" w:rsidRDefault="000577B9" w:rsidP="00702D4A">
            <w:pPr>
              <w:rPr>
                <w:rFonts w:ascii="Arial" w:hAnsi="Arial" w:cs="Arial"/>
              </w:rPr>
            </w:pPr>
            <w:r w:rsidRPr="000577B9">
              <w:rPr>
                <w:rFonts w:ascii="Arial" w:hAnsi="Arial" w:cs="Arial"/>
              </w:rPr>
              <w:t>8</w:t>
            </w:r>
          </w:p>
        </w:tc>
      </w:tr>
      <w:tr w:rsidR="000577B9" w:rsidRPr="000577B9" w14:paraId="4CC37B4E" w14:textId="77777777" w:rsidTr="00702D4A">
        <w:trPr>
          <w:trHeight w:val="257"/>
        </w:trPr>
        <w:tc>
          <w:tcPr>
            <w:tcW w:w="1013" w:type="dxa"/>
          </w:tcPr>
          <w:p w14:paraId="4F0B8F47" w14:textId="77777777" w:rsidR="000577B9" w:rsidRPr="000577B9" w:rsidRDefault="000577B9" w:rsidP="00702D4A">
            <w:pPr>
              <w:spacing w:line="360" w:lineRule="auto"/>
              <w:rPr>
                <w:rFonts w:ascii="Arial" w:hAnsi="Arial" w:cs="Arial"/>
              </w:rPr>
            </w:pPr>
            <w:r w:rsidRPr="000577B9">
              <w:rPr>
                <w:rFonts w:ascii="Arial" w:hAnsi="Arial" w:cs="Arial"/>
              </w:rPr>
              <w:t>6.</w:t>
            </w:r>
          </w:p>
        </w:tc>
        <w:tc>
          <w:tcPr>
            <w:tcW w:w="5918" w:type="dxa"/>
          </w:tcPr>
          <w:p w14:paraId="09847129" w14:textId="77777777" w:rsidR="000577B9" w:rsidRPr="000577B9" w:rsidRDefault="000577B9" w:rsidP="00702D4A">
            <w:pPr>
              <w:rPr>
                <w:rFonts w:ascii="Arial" w:hAnsi="Arial" w:cs="Arial"/>
              </w:rPr>
            </w:pPr>
            <w:r w:rsidRPr="000577B9">
              <w:rPr>
                <w:rFonts w:ascii="Arial" w:hAnsi="Arial" w:cs="Arial"/>
              </w:rPr>
              <w:t xml:space="preserve">Bleomycin sulphate + </w:t>
            </w:r>
            <w:proofErr w:type="spellStart"/>
            <w:r w:rsidRPr="000577B9">
              <w:rPr>
                <w:rFonts w:ascii="Arial" w:hAnsi="Arial" w:cs="Arial"/>
              </w:rPr>
              <w:t>Piperine</w:t>
            </w:r>
            <w:proofErr w:type="spellEnd"/>
            <w:r w:rsidRPr="000577B9">
              <w:rPr>
                <w:rFonts w:ascii="Arial" w:hAnsi="Arial" w:cs="Arial"/>
              </w:rPr>
              <w:t xml:space="preserve">@ 50mg/kg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38F5E79E" w14:textId="77777777" w:rsidR="000577B9" w:rsidRPr="000577B9" w:rsidRDefault="000577B9" w:rsidP="00702D4A">
            <w:pPr>
              <w:rPr>
                <w:rFonts w:ascii="Arial" w:hAnsi="Arial" w:cs="Arial"/>
              </w:rPr>
            </w:pPr>
            <w:r w:rsidRPr="000577B9">
              <w:rPr>
                <w:rFonts w:ascii="Arial" w:hAnsi="Arial" w:cs="Arial"/>
              </w:rPr>
              <w:t>8</w:t>
            </w:r>
          </w:p>
        </w:tc>
      </w:tr>
      <w:tr w:rsidR="000577B9" w:rsidRPr="000577B9" w14:paraId="546F9B74" w14:textId="77777777" w:rsidTr="00702D4A">
        <w:trPr>
          <w:trHeight w:val="45"/>
        </w:trPr>
        <w:tc>
          <w:tcPr>
            <w:tcW w:w="1013" w:type="dxa"/>
          </w:tcPr>
          <w:p w14:paraId="025E3030" w14:textId="77777777" w:rsidR="000577B9" w:rsidRPr="000577B9" w:rsidRDefault="000577B9" w:rsidP="00702D4A">
            <w:pPr>
              <w:spacing w:line="360" w:lineRule="auto"/>
              <w:rPr>
                <w:rFonts w:ascii="Arial" w:hAnsi="Arial" w:cs="Arial"/>
              </w:rPr>
            </w:pPr>
            <w:r w:rsidRPr="000577B9">
              <w:rPr>
                <w:rFonts w:ascii="Arial" w:hAnsi="Arial" w:cs="Arial"/>
              </w:rPr>
              <w:t>7.</w:t>
            </w:r>
          </w:p>
        </w:tc>
        <w:tc>
          <w:tcPr>
            <w:tcW w:w="5918" w:type="dxa"/>
          </w:tcPr>
          <w:p w14:paraId="726B5489" w14:textId="77777777" w:rsidR="000577B9" w:rsidRPr="000577B9" w:rsidRDefault="000577B9" w:rsidP="00702D4A">
            <w:pPr>
              <w:rPr>
                <w:rFonts w:ascii="Arial" w:hAnsi="Arial" w:cs="Arial"/>
              </w:rPr>
            </w:pPr>
            <w:r w:rsidRPr="000577B9">
              <w:rPr>
                <w:rFonts w:ascii="Arial" w:hAnsi="Arial" w:cs="Arial"/>
              </w:rPr>
              <w:t xml:space="preserve">Bleomycin sulphate + </w:t>
            </w:r>
            <w:proofErr w:type="spellStart"/>
            <w:r w:rsidRPr="000577B9">
              <w:rPr>
                <w:rFonts w:ascii="Arial" w:hAnsi="Arial" w:cs="Arial"/>
              </w:rPr>
              <w:t>Galangin</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 xml:space="preserve">/orally/daily + </w:t>
            </w:r>
            <w:proofErr w:type="spellStart"/>
            <w:r w:rsidRPr="000577B9">
              <w:rPr>
                <w:rFonts w:ascii="Arial" w:hAnsi="Arial" w:cs="Arial"/>
              </w:rPr>
              <w:t>Piperine</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1A970755" w14:textId="77777777" w:rsidR="000577B9" w:rsidRPr="000577B9" w:rsidRDefault="000577B9" w:rsidP="00702D4A">
            <w:pPr>
              <w:rPr>
                <w:rFonts w:ascii="Arial" w:hAnsi="Arial" w:cs="Arial"/>
              </w:rPr>
            </w:pPr>
          </w:p>
          <w:p w14:paraId="2F010027" w14:textId="77777777" w:rsidR="000577B9" w:rsidRPr="000577B9" w:rsidRDefault="000577B9" w:rsidP="00702D4A">
            <w:pPr>
              <w:rPr>
                <w:rFonts w:ascii="Arial" w:hAnsi="Arial" w:cs="Arial"/>
              </w:rPr>
            </w:pPr>
            <w:r w:rsidRPr="000577B9">
              <w:rPr>
                <w:rFonts w:ascii="Arial" w:hAnsi="Arial" w:cs="Arial"/>
              </w:rPr>
              <w:t>8</w:t>
            </w:r>
          </w:p>
        </w:tc>
      </w:tr>
    </w:tbl>
    <w:p w14:paraId="58AB8F53" w14:textId="77777777" w:rsidR="000577B9" w:rsidRPr="000577B9" w:rsidRDefault="000577B9" w:rsidP="000577B9">
      <w:pPr>
        <w:jc w:val="both"/>
        <w:rPr>
          <w:rFonts w:ascii="Arial" w:hAnsi="Arial" w:cs="Arial"/>
        </w:rPr>
      </w:pPr>
    </w:p>
    <w:p w14:paraId="48A6495B" w14:textId="77777777" w:rsidR="000577B9" w:rsidRPr="000577B9" w:rsidRDefault="000577B9" w:rsidP="000577B9">
      <w:pPr>
        <w:jc w:val="both"/>
        <w:rPr>
          <w:rFonts w:ascii="Arial" w:hAnsi="Arial" w:cs="Arial"/>
        </w:rPr>
      </w:pPr>
      <w:r w:rsidRPr="000577B9">
        <w:rPr>
          <w:rFonts w:ascii="Arial" w:hAnsi="Arial" w:cs="Arial"/>
          <w:noProof/>
          <w:lang w:bidi="te-IN"/>
        </w:rPr>
        <w:drawing>
          <wp:inline distT="0" distB="0" distL="0" distR="0" wp14:anchorId="0C3B8CD0" wp14:editId="4A458C01">
            <wp:extent cx="5158740" cy="3386785"/>
            <wp:effectExtent l="0" t="0" r="0" b="0"/>
            <wp:docPr id="6384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66" t="10062" r="9162"/>
                    <a:stretch>
                      <a:fillRect/>
                    </a:stretch>
                  </pic:blipFill>
                  <pic:spPr bwMode="auto">
                    <a:xfrm>
                      <a:off x="0" y="0"/>
                      <a:ext cx="5251239" cy="3447512"/>
                    </a:xfrm>
                    <a:prstGeom prst="rect">
                      <a:avLst/>
                    </a:prstGeom>
                    <a:noFill/>
                    <a:ln>
                      <a:noFill/>
                    </a:ln>
                    <a:extLst>
                      <a:ext uri="{53640926-AAD7-44D8-BBD7-CCE9431645EC}">
                        <a14:shadowObscured xmlns:a14="http://schemas.microsoft.com/office/drawing/2010/main"/>
                      </a:ext>
                    </a:extLst>
                  </pic:spPr>
                </pic:pic>
              </a:graphicData>
            </a:graphic>
          </wp:inline>
        </w:drawing>
      </w:r>
    </w:p>
    <w:p w14:paraId="2E58F89C" w14:textId="77777777" w:rsidR="000577B9" w:rsidRPr="000577B9" w:rsidRDefault="000577B9" w:rsidP="000577B9">
      <w:pPr>
        <w:jc w:val="both"/>
        <w:rPr>
          <w:rFonts w:ascii="Arial" w:hAnsi="Arial" w:cs="Arial"/>
        </w:rPr>
      </w:pPr>
      <w:r w:rsidRPr="000577B9">
        <w:rPr>
          <w:rFonts w:ascii="Arial" w:hAnsi="Arial" w:cs="Arial"/>
          <w:b/>
          <w:bCs/>
        </w:rPr>
        <w:t>Fig.1:</w:t>
      </w:r>
      <w:r w:rsidRPr="000577B9">
        <w:rPr>
          <w:rFonts w:ascii="Arial" w:hAnsi="Arial" w:cs="Arial"/>
        </w:rPr>
        <w:t xml:space="preserve"> Experimental design</w:t>
      </w:r>
    </w:p>
    <w:p w14:paraId="26463644" w14:textId="77777777" w:rsidR="000577B9" w:rsidRPr="000577B9" w:rsidRDefault="000577B9" w:rsidP="000577B9">
      <w:pPr>
        <w:jc w:val="both"/>
        <w:rPr>
          <w:rFonts w:ascii="Arial" w:hAnsi="Arial" w:cs="Arial"/>
          <w:b/>
          <w:bCs/>
        </w:rPr>
      </w:pPr>
      <w:r w:rsidRPr="000577B9">
        <w:rPr>
          <w:rFonts w:ascii="Arial" w:hAnsi="Arial" w:cs="Arial"/>
          <w:b/>
          <w:bCs/>
        </w:rPr>
        <w:t>2.4 Preparation of Tissue Homogenates</w:t>
      </w:r>
    </w:p>
    <w:p w14:paraId="6E9C8E04" w14:textId="77777777" w:rsidR="000577B9" w:rsidRPr="000577B9" w:rsidRDefault="000577B9" w:rsidP="000577B9">
      <w:pPr>
        <w:jc w:val="both"/>
        <w:rPr>
          <w:rFonts w:ascii="Arial" w:hAnsi="Arial" w:cs="Arial"/>
        </w:rPr>
      </w:pPr>
      <w:r w:rsidRPr="000577B9">
        <w:rPr>
          <w:rFonts w:ascii="Arial" w:hAnsi="Arial" w:cs="Arial"/>
        </w:rPr>
        <w:lastRenderedPageBreak/>
        <w:t>Following euthanasia by CO</w:t>
      </w:r>
      <w:r w:rsidRPr="000577B9">
        <w:rPr>
          <w:rFonts w:ascii="Cambria Math" w:hAnsi="Cambria Math" w:cs="Cambria Math"/>
        </w:rPr>
        <w:t>₂</w:t>
      </w:r>
      <w:r w:rsidRPr="000577B9">
        <w:rPr>
          <w:rFonts w:ascii="Arial" w:hAnsi="Arial" w:cs="Arial"/>
        </w:rPr>
        <w:t xml:space="preserve"> inhalation on day 21, lung tissues were immediately excised and divided into portions for subsequent analyses. For ELISA-based assessments, </w:t>
      </w:r>
      <w:r w:rsidRPr="000577B9">
        <w:rPr>
          <w:rFonts w:ascii="Arial" w:hAnsi="Arial" w:cs="Arial"/>
          <w:color w:val="212121"/>
        </w:rPr>
        <w:t xml:space="preserve">lung tissue </w:t>
      </w:r>
      <w:r w:rsidRPr="000577B9">
        <w:rPr>
          <w:rFonts w:ascii="Arial" w:hAnsi="Arial" w:cs="Arial"/>
        </w:rPr>
        <w:t>was homogenized in Tris-Triton buffer (pH 7.4) at 4 °C. All homogenates were prepared under cold conditions to preserve protein integrity and stored appropriately until further analysis.</w:t>
      </w:r>
    </w:p>
    <w:p w14:paraId="07011BF4" w14:textId="77777777" w:rsidR="000577B9" w:rsidRPr="000577B9" w:rsidRDefault="000577B9" w:rsidP="000577B9">
      <w:pPr>
        <w:jc w:val="both"/>
        <w:rPr>
          <w:rFonts w:ascii="Arial" w:hAnsi="Arial" w:cs="Arial"/>
          <w:b/>
          <w:bCs/>
        </w:rPr>
      </w:pPr>
      <w:r w:rsidRPr="000577B9">
        <w:rPr>
          <w:rFonts w:ascii="Arial" w:hAnsi="Arial" w:cs="Arial"/>
          <w:b/>
          <w:bCs/>
        </w:rPr>
        <w:t>2.5 Immunohistochemistry and Masson Trichrome staining:</w:t>
      </w:r>
    </w:p>
    <w:p w14:paraId="509A13B7" w14:textId="77777777" w:rsidR="000577B9" w:rsidRPr="000577B9" w:rsidRDefault="000577B9" w:rsidP="000577B9">
      <w:pPr>
        <w:jc w:val="both"/>
        <w:rPr>
          <w:rFonts w:ascii="Arial" w:hAnsi="Arial" w:cs="Arial"/>
        </w:rPr>
      </w:pPr>
      <w:r w:rsidRPr="000577B9">
        <w:rPr>
          <w:rFonts w:ascii="Arial" w:hAnsi="Arial" w:cs="Arial"/>
        </w:rPr>
        <w:t>Immunohistochemistry was performed on lung sections using the standard kit protocol. After deparaffinization, rehydration, antigen retrieval and blocking, tissues were incubated with primary antibodies (1:100 dilution) overnight at 4 °C, followed by DAB visualization and hematoxylin counterstaining. Immunoreactivity was examined under a light microscope (100×). Masson’s trichrome staining was also performed to evaluate collagen deposition and assess the degree of fibrosis in lung tissues.</w:t>
      </w:r>
    </w:p>
    <w:p w14:paraId="41F33689" w14:textId="77777777" w:rsidR="000577B9" w:rsidRPr="000577B9" w:rsidRDefault="000577B9" w:rsidP="000577B9">
      <w:pPr>
        <w:jc w:val="both"/>
        <w:rPr>
          <w:rFonts w:ascii="Arial" w:hAnsi="Arial" w:cs="Arial"/>
          <w:b/>
          <w:bCs/>
        </w:rPr>
      </w:pPr>
      <w:r w:rsidRPr="000577B9">
        <w:rPr>
          <w:rFonts w:ascii="Arial" w:hAnsi="Arial" w:cs="Arial"/>
          <w:b/>
          <w:bCs/>
        </w:rPr>
        <w:t>2.6 Analytical statistics</w:t>
      </w:r>
    </w:p>
    <w:p w14:paraId="207002F6" w14:textId="27A8B3D8" w:rsidR="00790ADA" w:rsidRPr="000577B9" w:rsidRDefault="000577B9" w:rsidP="000577B9">
      <w:pPr>
        <w:jc w:val="both"/>
        <w:rPr>
          <w:rFonts w:ascii="Arial" w:hAnsi="Arial" w:cs="Arial"/>
        </w:rPr>
      </w:pPr>
      <w:r w:rsidRPr="000577B9">
        <w:rPr>
          <w:rFonts w:ascii="Arial" w:hAnsi="Arial" w:cs="Arial"/>
        </w:rPr>
        <w:t>The experiment findings are presented as mean ± standard error values. For the statistical study, a one-way analysis of variance followed by Tukey's multiple comparison test P &lt;0.05 was used to determine the significance of the findings.</w:t>
      </w:r>
    </w:p>
    <w:p w14:paraId="7F560E00" w14:textId="6D906AA9"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B02020E" w14:textId="77777777" w:rsidR="000577B9" w:rsidRPr="000577B9" w:rsidRDefault="000577B9" w:rsidP="000577B9">
      <w:pPr>
        <w:rPr>
          <w:rFonts w:ascii="Arial" w:hAnsi="Arial" w:cs="Arial"/>
          <w:b/>
          <w:bCs/>
          <w:lang w:val="en-GB"/>
        </w:rPr>
      </w:pPr>
      <w:r w:rsidRPr="000577B9">
        <w:rPr>
          <w:rFonts w:ascii="Arial" w:hAnsi="Arial" w:cs="Arial"/>
          <w:b/>
          <w:bCs/>
          <w:lang w:val="en-GB"/>
        </w:rPr>
        <w:t xml:space="preserve">3.1 Hydroxyproline </w:t>
      </w:r>
    </w:p>
    <w:p w14:paraId="1CC2D420" w14:textId="09EA00B5" w:rsidR="000577B9" w:rsidRPr="000577B9" w:rsidRDefault="000577B9" w:rsidP="000577B9">
      <w:pPr>
        <w:ind w:firstLineChars="366" w:firstLine="732"/>
        <w:jc w:val="both"/>
        <w:rPr>
          <w:rFonts w:ascii="Arial" w:hAnsi="Arial" w:cs="Arial"/>
          <w:lang w:val="en-GB"/>
        </w:rPr>
      </w:pPr>
      <w:r w:rsidRPr="000577B9">
        <w:rPr>
          <w:rFonts w:ascii="Arial" w:hAnsi="Arial" w:cs="Arial"/>
          <w:lang w:val="en-GB"/>
        </w:rPr>
        <w:t>In bleomycin control i.e., group 2 (171.41±6.46), hydroxyproline (</w:t>
      </w:r>
      <w:proofErr w:type="spellStart"/>
      <w:r w:rsidRPr="000577B9">
        <w:rPr>
          <w:rFonts w:ascii="Arial" w:hAnsi="Arial" w:cs="Arial"/>
          <w:lang w:val="en-GB"/>
        </w:rPr>
        <w:t>pg</w:t>
      </w:r>
      <w:proofErr w:type="spellEnd"/>
      <w:r w:rsidRPr="000577B9">
        <w:rPr>
          <w:rFonts w:ascii="Arial" w:hAnsi="Arial" w:cs="Arial"/>
          <w:lang w:val="en-GB"/>
        </w:rPr>
        <w:t xml:space="preserve">/mg protein) was significantly (P&lt;0.05) increased when compared with normal control i.e., group 1 (27.35±2.57). The treatment groups 5 (110.87±2.84) and 6 (97.68±3.22) showed a significant (P&lt;0.05) decrease as compared to </w:t>
      </w:r>
      <w:r w:rsidRPr="000577B9">
        <w:rPr>
          <w:rFonts w:ascii="Arial" w:hAnsi="Arial" w:cs="Arial"/>
        </w:rPr>
        <w:t>group 2</w:t>
      </w:r>
      <w:r w:rsidRPr="000577B9">
        <w:rPr>
          <w:rFonts w:ascii="Arial" w:hAnsi="Arial" w:cs="Arial"/>
          <w:lang w:val="en-GB"/>
        </w:rPr>
        <w:t xml:space="preserve">, while the combination group 7 (65.82±5.22) showed a significant (P&lt;0.05) decrease in hydroxyproline when compared to </w:t>
      </w:r>
      <w:r w:rsidRPr="000577B9">
        <w:rPr>
          <w:rFonts w:ascii="Arial" w:hAnsi="Arial" w:cs="Arial"/>
        </w:rPr>
        <w:t>group 2</w:t>
      </w:r>
      <w:r w:rsidRPr="000577B9">
        <w:rPr>
          <w:rFonts w:ascii="Arial" w:hAnsi="Arial" w:cs="Arial"/>
          <w:lang w:val="en-GB"/>
        </w:rPr>
        <w:t xml:space="preserve"> and other treatment groups. On comparison with </w:t>
      </w:r>
      <w:r w:rsidRPr="000577B9">
        <w:rPr>
          <w:rFonts w:ascii="Arial" w:hAnsi="Arial" w:cs="Arial"/>
        </w:rPr>
        <w:t>group 1</w:t>
      </w:r>
      <w:r w:rsidRPr="000577B9">
        <w:rPr>
          <w:rFonts w:ascii="Arial" w:hAnsi="Arial" w:cs="Arial"/>
          <w:lang w:val="en-GB"/>
        </w:rPr>
        <w:t xml:space="preserve">, groups 3 (25.51±1.52) and 4 (26.58±2.30) did not show any significant (P&lt;0.05) difference. </w:t>
      </w:r>
    </w:p>
    <w:p w14:paraId="7950A15E" w14:textId="77777777" w:rsidR="000577B9" w:rsidRPr="000577B9" w:rsidRDefault="000577B9" w:rsidP="000577B9">
      <w:pPr>
        <w:spacing w:line="20" w:lineRule="atLeast"/>
        <w:rPr>
          <w:rFonts w:ascii="Arial" w:hAnsi="Arial" w:cs="Arial"/>
          <w:lang w:val="en-GB"/>
        </w:rPr>
      </w:pPr>
      <w:r w:rsidRPr="000577B9">
        <w:rPr>
          <w:rFonts w:ascii="Arial" w:hAnsi="Arial" w:cs="Arial"/>
          <w:b/>
          <w:bCs/>
          <w:lang w:val="en-GB"/>
        </w:rPr>
        <w:t xml:space="preserve">3.2 Transforming </w:t>
      </w:r>
      <w:r w:rsidRPr="000577B9">
        <w:rPr>
          <w:rFonts w:ascii="Arial" w:eastAsia="Arial" w:hAnsi="Arial" w:cs="Arial"/>
          <w:b/>
          <w:lang w:val="en-GB"/>
        </w:rPr>
        <w:t>growth factor (TGFβ</w:t>
      </w:r>
      <w:r w:rsidRPr="000577B9">
        <w:rPr>
          <w:rFonts w:ascii="Arial" w:eastAsia="Arial" w:hAnsi="Arial" w:cs="Arial"/>
          <w:b/>
          <w:vertAlign w:val="subscript"/>
          <w:lang w:val="en-GB"/>
        </w:rPr>
        <w:t>1</w:t>
      </w:r>
      <w:r w:rsidRPr="000577B9">
        <w:rPr>
          <w:rFonts w:ascii="Arial" w:eastAsia="Arial" w:hAnsi="Arial" w:cs="Arial"/>
          <w:b/>
          <w:lang w:val="en-GB"/>
        </w:rPr>
        <w:t>)</w:t>
      </w:r>
      <w:r w:rsidRPr="000577B9">
        <w:rPr>
          <w:rFonts w:ascii="Arial" w:hAnsi="Arial" w:cs="Arial"/>
          <w:lang w:val="en-GB"/>
        </w:rPr>
        <w:t>:</w:t>
      </w:r>
    </w:p>
    <w:p w14:paraId="254B99DF" w14:textId="77777777" w:rsidR="000577B9" w:rsidRDefault="000577B9" w:rsidP="000577B9">
      <w:pPr>
        <w:spacing w:line="20" w:lineRule="atLeast"/>
        <w:ind w:firstLine="720"/>
        <w:jc w:val="both"/>
        <w:rPr>
          <w:rFonts w:ascii="Arial" w:hAnsi="Arial" w:cs="Arial"/>
          <w:lang w:val="en-GB"/>
        </w:rPr>
      </w:pPr>
      <w:r w:rsidRPr="000577B9">
        <w:rPr>
          <w:rFonts w:ascii="Arial" w:hAnsi="Arial" w:cs="Arial"/>
          <w:lang w:val="en-GB"/>
        </w:rPr>
        <w:t>The TGFβ</w:t>
      </w:r>
      <w:r w:rsidRPr="000577B9">
        <w:rPr>
          <w:rFonts w:ascii="Arial" w:hAnsi="Arial" w:cs="Arial"/>
          <w:vertAlign w:val="subscript"/>
          <w:lang w:val="en-GB"/>
        </w:rPr>
        <w:t xml:space="preserve">1 </w:t>
      </w:r>
      <w:r w:rsidRPr="000577B9">
        <w:rPr>
          <w:rFonts w:ascii="Arial" w:hAnsi="Arial" w:cs="Arial"/>
          <w:lang w:val="en-GB"/>
        </w:rPr>
        <w:t>concentration (</w:t>
      </w:r>
      <w:proofErr w:type="spellStart"/>
      <w:r w:rsidRPr="000577B9">
        <w:rPr>
          <w:rFonts w:ascii="Arial" w:hAnsi="Arial" w:cs="Arial"/>
          <w:lang w:val="en-GB"/>
        </w:rPr>
        <w:t>pg</w:t>
      </w:r>
      <w:proofErr w:type="spellEnd"/>
      <w:r w:rsidRPr="000577B9">
        <w:rPr>
          <w:rFonts w:ascii="Arial" w:hAnsi="Arial" w:cs="Arial"/>
          <w:lang w:val="en-GB"/>
        </w:rPr>
        <w:t>/mg protein) of bleomycin control i.e., group 2 (</w:t>
      </w:r>
      <w:r w:rsidRPr="000577B9">
        <w:rPr>
          <w:rFonts w:ascii="Arial" w:hAnsi="Arial" w:cs="Arial"/>
          <w:color w:val="000000"/>
        </w:rPr>
        <w:t>129.24±2.87</w:t>
      </w:r>
      <w:r w:rsidRPr="000577B9">
        <w:rPr>
          <w:rFonts w:ascii="Arial" w:hAnsi="Arial" w:cs="Arial"/>
          <w:lang w:val="en-GB"/>
        </w:rPr>
        <w:t>) was significantly (P&lt;0.05) increased when compared with normal control i.e., group 1 (</w:t>
      </w:r>
      <w:r w:rsidRPr="000577B9">
        <w:rPr>
          <w:rFonts w:ascii="Arial" w:hAnsi="Arial" w:cs="Arial"/>
          <w:color w:val="000000"/>
        </w:rPr>
        <w:t>16.61±2.09</w:t>
      </w:r>
      <w:r w:rsidRPr="000577B9">
        <w:rPr>
          <w:rFonts w:ascii="Arial" w:hAnsi="Arial" w:cs="Arial"/>
          <w:lang w:val="en-GB"/>
        </w:rPr>
        <w:t>). In contrast, there is a significant (P&lt;0.05) decrease in the treatment groups 5 (</w:t>
      </w:r>
      <w:r w:rsidRPr="000577B9">
        <w:rPr>
          <w:rFonts w:ascii="Arial" w:hAnsi="Arial" w:cs="Arial"/>
          <w:color w:val="000000"/>
        </w:rPr>
        <w:t>64.17±2.87</w:t>
      </w:r>
      <w:r w:rsidRPr="000577B9">
        <w:rPr>
          <w:rFonts w:ascii="Arial" w:hAnsi="Arial" w:cs="Arial"/>
          <w:lang w:val="en-GB"/>
        </w:rPr>
        <w:t>) and 6 (</w:t>
      </w:r>
      <w:r w:rsidRPr="000577B9">
        <w:rPr>
          <w:rFonts w:ascii="Arial" w:hAnsi="Arial" w:cs="Arial"/>
          <w:color w:val="000000"/>
        </w:rPr>
        <w:t>58.73±2.56</w:t>
      </w:r>
      <w:r w:rsidRPr="000577B9">
        <w:rPr>
          <w:rFonts w:ascii="Arial" w:hAnsi="Arial" w:cs="Arial"/>
          <w:lang w:val="en-GB"/>
        </w:rPr>
        <w:t>). The combination group 7 (</w:t>
      </w:r>
      <w:r w:rsidRPr="000577B9">
        <w:rPr>
          <w:rFonts w:ascii="Arial" w:hAnsi="Arial" w:cs="Arial"/>
          <w:color w:val="000000"/>
          <w:lang w:val="en-GB"/>
        </w:rPr>
        <w:t>4</w:t>
      </w:r>
      <w:r w:rsidRPr="000577B9">
        <w:rPr>
          <w:rFonts w:ascii="Arial" w:hAnsi="Arial" w:cs="Arial"/>
          <w:color w:val="000000"/>
        </w:rPr>
        <w:t>2.15±2.41</w:t>
      </w:r>
      <w:r w:rsidRPr="000577B9">
        <w:rPr>
          <w:rFonts w:ascii="Arial" w:hAnsi="Arial" w:cs="Arial"/>
          <w:lang w:val="en-GB"/>
        </w:rPr>
        <w:t xml:space="preserve">) showed significant (P&lt;0.05) decrease when compared to </w:t>
      </w:r>
      <w:r w:rsidRPr="000577B9">
        <w:rPr>
          <w:rFonts w:ascii="Arial" w:hAnsi="Arial" w:cs="Arial"/>
        </w:rPr>
        <w:t>group 2</w:t>
      </w:r>
      <w:r w:rsidRPr="000577B9">
        <w:rPr>
          <w:rFonts w:ascii="Arial" w:hAnsi="Arial" w:cs="Arial"/>
          <w:lang w:val="en-GB"/>
        </w:rPr>
        <w:t xml:space="preserve"> and other treatment groups. On the other hand, groups 3 (</w:t>
      </w:r>
      <w:r w:rsidRPr="000577B9">
        <w:rPr>
          <w:rFonts w:ascii="Arial" w:hAnsi="Arial" w:cs="Arial"/>
          <w:color w:val="000000"/>
          <w:lang w:val="en-GB"/>
        </w:rPr>
        <w:t>17</w:t>
      </w:r>
      <w:r w:rsidRPr="000577B9">
        <w:rPr>
          <w:rFonts w:ascii="Arial" w:hAnsi="Arial" w:cs="Arial"/>
          <w:color w:val="000000"/>
        </w:rPr>
        <w:t>.25±2.36</w:t>
      </w:r>
      <w:r w:rsidRPr="000577B9">
        <w:rPr>
          <w:rFonts w:ascii="Arial" w:hAnsi="Arial" w:cs="Arial"/>
          <w:lang w:val="en-GB"/>
        </w:rPr>
        <w:t>) and 4 (</w:t>
      </w:r>
      <w:r w:rsidRPr="000577B9">
        <w:rPr>
          <w:rFonts w:ascii="Arial" w:hAnsi="Arial" w:cs="Arial"/>
          <w:color w:val="000000"/>
          <w:lang w:val="en-GB"/>
        </w:rPr>
        <w:t>16.62</w:t>
      </w:r>
      <w:r w:rsidRPr="000577B9">
        <w:rPr>
          <w:rFonts w:ascii="Arial" w:hAnsi="Arial" w:cs="Arial"/>
          <w:color w:val="000000"/>
        </w:rPr>
        <w:t>±2.27</w:t>
      </w:r>
      <w:r w:rsidRPr="000577B9">
        <w:rPr>
          <w:rFonts w:ascii="Arial" w:hAnsi="Arial" w:cs="Arial"/>
          <w:lang w:val="en-GB"/>
        </w:rPr>
        <w:t xml:space="preserve">) did not show any significant (P&lt;0.05) difference when compared to </w:t>
      </w:r>
      <w:r w:rsidRPr="000577B9">
        <w:rPr>
          <w:rFonts w:ascii="Arial" w:hAnsi="Arial" w:cs="Arial"/>
        </w:rPr>
        <w:t>group 1</w:t>
      </w:r>
      <w:r w:rsidRPr="000577B9">
        <w:rPr>
          <w:rFonts w:ascii="Arial" w:hAnsi="Arial" w:cs="Arial"/>
          <w:lang w:val="en-GB"/>
        </w:rPr>
        <w:t xml:space="preserve">. </w:t>
      </w:r>
    </w:p>
    <w:p w14:paraId="14E61C92" w14:textId="7C2C7DCC" w:rsidR="007F656D" w:rsidRPr="000577B9" w:rsidRDefault="007F656D" w:rsidP="000577B9">
      <w:pPr>
        <w:spacing w:line="20" w:lineRule="atLeast"/>
        <w:ind w:firstLine="720"/>
        <w:jc w:val="both"/>
        <w:rPr>
          <w:rFonts w:ascii="Arial" w:hAnsi="Arial" w:cs="Arial"/>
          <w:lang w:val="en-GB"/>
        </w:rPr>
      </w:pPr>
      <w:r>
        <w:rPr>
          <w:rFonts w:ascii="Arial" w:hAnsi="Arial" w:cs="Arial"/>
          <w:lang w:val="en-GB"/>
        </w:rPr>
        <w:t xml:space="preserve">Table </w:t>
      </w:r>
      <w:proofErr w:type="gramStart"/>
      <w:r>
        <w:rPr>
          <w:rFonts w:ascii="Arial" w:hAnsi="Arial" w:cs="Arial"/>
          <w:lang w:val="en-GB"/>
        </w:rPr>
        <w:t>1 :</w:t>
      </w:r>
      <w:proofErr w:type="gramEnd"/>
      <w:r>
        <w:rPr>
          <w:rFonts w:ascii="Arial" w:hAnsi="Arial" w:cs="Arial"/>
          <w:lang w:val="en-GB"/>
        </w:rPr>
        <w:t xml:space="preserve"> </w:t>
      </w:r>
      <w:r w:rsidR="003E79A2">
        <w:rPr>
          <w:rFonts w:ascii="Arial" w:hAnsi="Arial" w:cs="Arial"/>
          <w:lang w:val="en-GB"/>
        </w:rPr>
        <w:t xml:space="preserve"> </w:t>
      </w:r>
      <w:r w:rsidR="003E79A2" w:rsidRPr="003E79A2">
        <w:rPr>
          <w:rFonts w:ascii="Arial" w:hAnsi="Arial" w:cs="Arial"/>
          <w:b/>
          <w:bCs/>
          <w:lang w:val="en-GB"/>
        </w:rPr>
        <w:t xml:space="preserve">Effect of </w:t>
      </w:r>
      <w:proofErr w:type="spellStart"/>
      <w:r w:rsidR="003E79A2" w:rsidRPr="003E79A2">
        <w:rPr>
          <w:rFonts w:ascii="Arial" w:hAnsi="Arial" w:cs="Arial"/>
          <w:b/>
          <w:bCs/>
          <w:lang w:val="en-GB"/>
        </w:rPr>
        <w:t>Galangin</w:t>
      </w:r>
      <w:proofErr w:type="spellEnd"/>
      <w:r w:rsidR="003E79A2" w:rsidRPr="003E79A2">
        <w:rPr>
          <w:rFonts w:ascii="Arial" w:hAnsi="Arial" w:cs="Arial"/>
          <w:b/>
          <w:bCs/>
          <w:lang w:val="en-GB"/>
        </w:rPr>
        <w:t xml:space="preserve"> and </w:t>
      </w:r>
      <w:proofErr w:type="spellStart"/>
      <w:r w:rsidR="003E79A2" w:rsidRPr="003E79A2">
        <w:rPr>
          <w:rFonts w:ascii="Arial" w:hAnsi="Arial" w:cs="Arial"/>
          <w:b/>
          <w:bCs/>
          <w:lang w:val="en-GB"/>
        </w:rPr>
        <w:t>Piperine</w:t>
      </w:r>
      <w:proofErr w:type="spellEnd"/>
      <w:r w:rsidR="003E79A2" w:rsidRPr="003E79A2">
        <w:rPr>
          <w:rFonts w:ascii="Arial" w:hAnsi="Arial" w:cs="Arial"/>
          <w:b/>
          <w:bCs/>
          <w:lang w:val="en-GB"/>
        </w:rPr>
        <w:t xml:space="preserve"> on Hydroxyproline and TGF-β1 Levels in Bleomycin-Induced Pulmonary Fibrosis in Mice</w:t>
      </w:r>
    </w:p>
    <w:tbl>
      <w:tblPr>
        <w:tblpPr w:leftFromText="180" w:rightFromText="180" w:vertAnchor="text" w:horzAnchor="margin" w:tblpY="182"/>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4871"/>
        <w:gridCol w:w="1848"/>
        <w:gridCol w:w="1428"/>
      </w:tblGrid>
      <w:tr w:rsidR="000577B9" w:rsidRPr="000577B9" w14:paraId="0DB7E2ED" w14:textId="77777777" w:rsidTr="00702D4A">
        <w:trPr>
          <w:trHeight w:val="332"/>
        </w:trPr>
        <w:tc>
          <w:tcPr>
            <w:tcW w:w="869" w:type="dxa"/>
          </w:tcPr>
          <w:p w14:paraId="605ACA44" w14:textId="77777777" w:rsidR="000577B9" w:rsidRPr="000577B9" w:rsidRDefault="000577B9" w:rsidP="00702D4A">
            <w:pPr>
              <w:ind w:leftChars="-50" w:left="-12" w:rightChars="-76" w:right="-152" w:hangingChars="44" w:hanging="88"/>
              <w:jc w:val="both"/>
              <w:rPr>
                <w:rFonts w:ascii="Arial" w:hAnsi="Arial" w:cs="Arial"/>
                <w:b/>
                <w:bCs/>
                <w:lang w:val="en-GB"/>
              </w:rPr>
            </w:pPr>
            <w:r w:rsidRPr="000577B9">
              <w:rPr>
                <w:rFonts w:ascii="Arial" w:hAnsi="Arial" w:cs="Arial"/>
                <w:b/>
                <w:bCs/>
                <w:lang w:val="en-GB"/>
              </w:rPr>
              <w:t>Group</w:t>
            </w:r>
          </w:p>
        </w:tc>
        <w:tc>
          <w:tcPr>
            <w:tcW w:w="4871" w:type="dxa"/>
          </w:tcPr>
          <w:p w14:paraId="160E6CC5" w14:textId="77777777" w:rsidR="000577B9" w:rsidRPr="000577B9" w:rsidRDefault="000577B9" w:rsidP="00702D4A">
            <w:pPr>
              <w:jc w:val="both"/>
              <w:rPr>
                <w:rFonts w:ascii="Arial" w:hAnsi="Arial" w:cs="Arial"/>
                <w:b/>
                <w:bCs/>
              </w:rPr>
            </w:pPr>
            <w:r w:rsidRPr="000577B9">
              <w:rPr>
                <w:rFonts w:ascii="Arial" w:hAnsi="Arial" w:cs="Arial"/>
                <w:b/>
                <w:bCs/>
              </w:rPr>
              <w:t xml:space="preserve">Treatment </w:t>
            </w:r>
          </w:p>
        </w:tc>
        <w:tc>
          <w:tcPr>
            <w:tcW w:w="1848" w:type="dxa"/>
          </w:tcPr>
          <w:p w14:paraId="426F81C8" w14:textId="77777777" w:rsidR="000577B9" w:rsidRPr="000577B9" w:rsidRDefault="000577B9" w:rsidP="00702D4A">
            <w:pPr>
              <w:jc w:val="both"/>
              <w:rPr>
                <w:rFonts w:ascii="Arial" w:hAnsi="Arial" w:cs="Arial"/>
                <w:b/>
                <w:bCs/>
              </w:rPr>
            </w:pPr>
            <w:r w:rsidRPr="000577B9">
              <w:rPr>
                <w:rFonts w:ascii="Arial" w:hAnsi="Arial" w:cs="Arial"/>
                <w:b/>
                <w:bCs/>
              </w:rPr>
              <w:t>Hydroxyproline</w:t>
            </w:r>
          </w:p>
        </w:tc>
        <w:tc>
          <w:tcPr>
            <w:tcW w:w="1428" w:type="dxa"/>
          </w:tcPr>
          <w:p w14:paraId="4AD2A2AF" w14:textId="77777777" w:rsidR="000577B9" w:rsidRPr="000577B9" w:rsidRDefault="000577B9" w:rsidP="00702D4A">
            <w:pPr>
              <w:jc w:val="both"/>
              <w:rPr>
                <w:rFonts w:ascii="Arial" w:hAnsi="Arial" w:cs="Arial"/>
                <w:b/>
                <w:bCs/>
              </w:rPr>
            </w:pPr>
            <w:r w:rsidRPr="000577B9">
              <w:rPr>
                <w:rFonts w:ascii="Arial" w:hAnsi="Arial" w:cs="Arial"/>
                <w:b/>
                <w:bCs/>
              </w:rPr>
              <w:t>TGF-β1</w:t>
            </w:r>
          </w:p>
        </w:tc>
      </w:tr>
      <w:tr w:rsidR="000577B9" w:rsidRPr="000577B9" w14:paraId="531C013C" w14:textId="77777777" w:rsidTr="00702D4A">
        <w:trPr>
          <w:trHeight w:val="251"/>
        </w:trPr>
        <w:tc>
          <w:tcPr>
            <w:tcW w:w="869" w:type="dxa"/>
          </w:tcPr>
          <w:p w14:paraId="62895F49" w14:textId="77777777" w:rsidR="000577B9" w:rsidRPr="000577B9" w:rsidRDefault="000577B9" w:rsidP="00702D4A">
            <w:pPr>
              <w:jc w:val="both"/>
              <w:rPr>
                <w:rFonts w:ascii="Arial" w:hAnsi="Arial" w:cs="Arial"/>
              </w:rPr>
            </w:pPr>
            <w:r w:rsidRPr="000577B9">
              <w:rPr>
                <w:rFonts w:ascii="Arial" w:hAnsi="Arial" w:cs="Arial"/>
                <w:lang w:val="en-GB"/>
              </w:rPr>
              <w:t>1.</w:t>
            </w:r>
          </w:p>
        </w:tc>
        <w:tc>
          <w:tcPr>
            <w:tcW w:w="4871" w:type="dxa"/>
            <w:vAlign w:val="bottom"/>
          </w:tcPr>
          <w:p w14:paraId="4B194E68" w14:textId="77777777" w:rsidR="000577B9" w:rsidRPr="000577B9" w:rsidRDefault="000577B9" w:rsidP="00702D4A">
            <w:pPr>
              <w:jc w:val="both"/>
              <w:rPr>
                <w:rFonts w:ascii="Arial" w:hAnsi="Arial" w:cs="Arial"/>
              </w:rPr>
            </w:pPr>
            <w:r w:rsidRPr="000577B9">
              <w:rPr>
                <w:rFonts w:ascii="Arial" w:hAnsi="Arial" w:cs="Arial"/>
              </w:rPr>
              <w:t>Control</w:t>
            </w:r>
            <w:r w:rsidRPr="000577B9">
              <w:rPr>
                <w:rFonts w:ascii="Arial" w:hAnsi="Arial" w:cs="Arial"/>
                <w:lang w:val="en-GB"/>
              </w:rPr>
              <w:t xml:space="preserve"> </w:t>
            </w:r>
          </w:p>
        </w:tc>
        <w:tc>
          <w:tcPr>
            <w:tcW w:w="1848" w:type="dxa"/>
            <w:vAlign w:val="bottom"/>
          </w:tcPr>
          <w:p w14:paraId="24E1D249"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27.35±2.57</w:t>
            </w:r>
            <w:r w:rsidRPr="000577B9">
              <w:rPr>
                <w:rFonts w:ascii="Arial" w:hAnsi="Arial" w:cs="Arial"/>
                <w:vertAlign w:val="superscript"/>
                <w:lang w:val="en-GB"/>
              </w:rPr>
              <w:t>a</w:t>
            </w:r>
          </w:p>
        </w:tc>
        <w:tc>
          <w:tcPr>
            <w:tcW w:w="1428" w:type="dxa"/>
            <w:vAlign w:val="bottom"/>
          </w:tcPr>
          <w:p w14:paraId="064D0095" w14:textId="77777777" w:rsidR="000577B9" w:rsidRPr="000577B9" w:rsidRDefault="000577B9" w:rsidP="00702D4A">
            <w:pPr>
              <w:jc w:val="both"/>
              <w:rPr>
                <w:rFonts w:ascii="Arial" w:hAnsi="Arial" w:cs="Arial"/>
              </w:rPr>
            </w:pPr>
            <w:r w:rsidRPr="000577B9">
              <w:rPr>
                <w:rFonts w:ascii="Arial" w:hAnsi="Arial" w:cs="Arial"/>
                <w:color w:val="000000"/>
              </w:rPr>
              <w:t>16.61±2.09</w:t>
            </w:r>
            <w:r w:rsidRPr="000577B9">
              <w:rPr>
                <w:rFonts w:ascii="Arial" w:hAnsi="Arial" w:cs="Arial"/>
                <w:color w:val="000000"/>
                <w:vertAlign w:val="superscript"/>
                <w:lang w:val="en-GB"/>
              </w:rPr>
              <w:t>a</w:t>
            </w:r>
          </w:p>
        </w:tc>
      </w:tr>
      <w:tr w:rsidR="000577B9" w:rsidRPr="000577B9" w14:paraId="604A9C74" w14:textId="77777777" w:rsidTr="00702D4A">
        <w:trPr>
          <w:trHeight w:val="251"/>
        </w:trPr>
        <w:tc>
          <w:tcPr>
            <w:tcW w:w="869" w:type="dxa"/>
          </w:tcPr>
          <w:p w14:paraId="746841F8" w14:textId="77777777" w:rsidR="000577B9" w:rsidRPr="000577B9" w:rsidRDefault="000577B9" w:rsidP="00702D4A">
            <w:pPr>
              <w:jc w:val="both"/>
              <w:rPr>
                <w:rFonts w:ascii="Arial" w:hAnsi="Arial" w:cs="Arial"/>
              </w:rPr>
            </w:pPr>
            <w:r w:rsidRPr="000577B9">
              <w:rPr>
                <w:rFonts w:ascii="Arial" w:hAnsi="Arial" w:cs="Arial"/>
                <w:lang w:val="en-GB"/>
              </w:rPr>
              <w:t>2.</w:t>
            </w:r>
          </w:p>
        </w:tc>
        <w:tc>
          <w:tcPr>
            <w:tcW w:w="4871" w:type="dxa"/>
            <w:vAlign w:val="bottom"/>
          </w:tcPr>
          <w:p w14:paraId="5EB7CBDD" w14:textId="77777777" w:rsidR="000577B9" w:rsidRPr="000577B9" w:rsidRDefault="000577B9" w:rsidP="00702D4A">
            <w:pPr>
              <w:jc w:val="both"/>
              <w:rPr>
                <w:rFonts w:ascii="Arial" w:hAnsi="Arial" w:cs="Arial"/>
              </w:rPr>
            </w:pPr>
            <w:r w:rsidRPr="000577B9">
              <w:rPr>
                <w:rFonts w:ascii="Arial" w:hAnsi="Arial" w:cs="Arial"/>
              </w:rPr>
              <w:t xml:space="preserve">Bleomycin sulphate @1.5U/kg </w:t>
            </w:r>
            <w:proofErr w:type="spellStart"/>
            <w:r w:rsidRPr="000577B9">
              <w:rPr>
                <w:rFonts w:ascii="Arial" w:hAnsi="Arial" w:cs="Arial"/>
              </w:rPr>
              <w:t>Bwt</w:t>
            </w:r>
            <w:proofErr w:type="spellEnd"/>
            <w:r w:rsidRPr="000577B9">
              <w:rPr>
                <w:rFonts w:ascii="Arial" w:hAnsi="Arial" w:cs="Arial"/>
                <w:lang w:val="en-GB"/>
              </w:rPr>
              <w:t xml:space="preserve"> </w:t>
            </w:r>
          </w:p>
        </w:tc>
        <w:tc>
          <w:tcPr>
            <w:tcW w:w="1848" w:type="dxa"/>
            <w:vAlign w:val="bottom"/>
          </w:tcPr>
          <w:p w14:paraId="4C14D864"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171.41±6.46</w:t>
            </w:r>
            <w:r w:rsidRPr="000577B9">
              <w:rPr>
                <w:rFonts w:ascii="Arial" w:hAnsi="Arial" w:cs="Arial"/>
                <w:vertAlign w:val="superscript"/>
                <w:lang w:val="en-GB"/>
              </w:rPr>
              <w:t>b</w:t>
            </w:r>
          </w:p>
        </w:tc>
        <w:tc>
          <w:tcPr>
            <w:tcW w:w="1428" w:type="dxa"/>
            <w:vAlign w:val="bottom"/>
          </w:tcPr>
          <w:p w14:paraId="56BE5EE0" w14:textId="77777777" w:rsidR="000577B9" w:rsidRPr="000577B9" w:rsidRDefault="000577B9" w:rsidP="00702D4A">
            <w:pPr>
              <w:jc w:val="both"/>
              <w:rPr>
                <w:rFonts w:ascii="Arial" w:hAnsi="Arial" w:cs="Arial"/>
              </w:rPr>
            </w:pPr>
            <w:r w:rsidRPr="000577B9">
              <w:rPr>
                <w:rFonts w:ascii="Arial" w:hAnsi="Arial" w:cs="Arial"/>
                <w:color w:val="000000"/>
              </w:rPr>
              <w:t>129.24±2.87</w:t>
            </w:r>
            <w:r w:rsidRPr="000577B9">
              <w:rPr>
                <w:rFonts w:ascii="Arial" w:hAnsi="Arial" w:cs="Arial"/>
                <w:color w:val="000000"/>
                <w:vertAlign w:val="superscript"/>
                <w:lang w:val="en-GB"/>
              </w:rPr>
              <w:t>b</w:t>
            </w:r>
          </w:p>
        </w:tc>
      </w:tr>
      <w:tr w:rsidR="000577B9" w:rsidRPr="000577B9" w14:paraId="5B55FCE3" w14:textId="77777777" w:rsidTr="00702D4A">
        <w:trPr>
          <w:trHeight w:val="251"/>
        </w:trPr>
        <w:tc>
          <w:tcPr>
            <w:tcW w:w="869" w:type="dxa"/>
          </w:tcPr>
          <w:p w14:paraId="2960E941" w14:textId="77777777" w:rsidR="000577B9" w:rsidRPr="000577B9" w:rsidRDefault="000577B9" w:rsidP="00702D4A">
            <w:pPr>
              <w:jc w:val="both"/>
              <w:rPr>
                <w:rFonts w:ascii="Arial" w:hAnsi="Arial" w:cs="Arial"/>
              </w:rPr>
            </w:pPr>
            <w:r w:rsidRPr="000577B9">
              <w:rPr>
                <w:rFonts w:ascii="Arial" w:hAnsi="Arial" w:cs="Arial"/>
                <w:lang w:val="en-GB"/>
              </w:rPr>
              <w:t>3.</w:t>
            </w:r>
          </w:p>
        </w:tc>
        <w:tc>
          <w:tcPr>
            <w:tcW w:w="4871" w:type="dxa"/>
            <w:vAlign w:val="bottom"/>
          </w:tcPr>
          <w:p w14:paraId="05E137A9" w14:textId="77777777" w:rsidR="000577B9" w:rsidRPr="000577B9" w:rsidRDefault="000577B9" w:rsidP="00702D4A">
            <w:pPr>
              <w:jc w:val="both"/>
              <w:rPr>
                <w:rFonts w:ascii="Arial" w:hAnsi="Arial" w:cs="Arial"/>
              </w:rPr>
            </w:pP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2C210817" w14:textId="77777777" w:rsidR="000577B9" w:rsidRPr="000577B9" w:rsidRDefault="000577B9" w:rsidP="00702D4A">
            <w:pPr>
              <w:jc w:val="both"/>
              <w:rPr>
                <w:rFonts w:ascii="Arial" w:hAnsi="Arial" w:cs="Arial"/>
                <w:b/>
                <w:bCs/>
                <w:vertAlign w:val="superscript"/>
                <w:lang w:val="en-GB"/>
              </w:rPr>
            </w:pPr>
            <w:r w:rsidRPr="000577B9">
              <w:rPr>
                <w:rFonts w:ascii="Arial" w:hAnsi="Arial" w:cs="Arial"/>
                <w:lang w:val="en-GB"/>
              </w:rPr>
              <w:t>2</w:t>
            </w:r>
            <w:r w:rsidRPr="000577B9">
              <w:rPr>
                <w:rFonts w:ascii="Arial" w:hAnsi="Arial" w:cs="Arial"/>
              </w:rPr>
              <w:t>5.51±1.52</w:t>
            </w:r>
            <w:r w:rsidRPr="000577B9">
              <w:rPr>
                <w:rFonts w:ascii="Arial" w:hAnsi="Arial" w:cs="Arial"/>
                <w:vertAlign w:val="superscript"/>
                <w:lang w:val="en-GB"/>
              </w:rPr>
              <w:t>a</w:t>
            </w:r>
          </w:p>
        </w:tc>
        <w:tc>
          <w:tcPr>
            <w:tcW w:w="1428" w:type="dxa"/>
            <w:vAlign w:val="bottom"/>
          </w:tcPr>
          <w:p w14:paraId="0A402EF4" w14:textId="77777777" w:rsidR="000577B9" w:rsidRPr="000577B9" w:rsidRDefault="000577B9" w:rsidP="00702D4A">
            <w:pPr>
              <w:jc w:val="both"/>
              <w:rPr>
                <w:rFonts w:ascii="Arial" w:hAnsi="Arial" w:cs="Arial"/>
                <w:lang w:val="en-GB"/>
              </w:rPr>
            </w:pPr>
            <w:r w:rsidRPr="000577B9">
              <w:rPr>
                <w:rFonts w:ascii="Arial" w:hAnsi="Arial" w:cs="Arial"/>
                <w:color w:val="000000"/>
              </w:rPr>
              <w:t>1</w:t>
            </w:r>
            <w:r w:rsidRPr="000577B9">
              <w:rPr>
                <w:rFonts w:ascii="Arial" w:hAnsi="Arial" w:cs="Arial"/>
                <w:color w:val="000000"/>
                <w:lang w:val="en-GB"/>
              </w:rPr>
              <w:t>7</w:t>
            </w:r>
            <w:r w:rsidRPr="000577B9">
              <w:rPr>
                <w:rFonts w:ascii="Arial" w:hAnsi="Arial" w:cs="Arial"/>
                <w:color w:val="000000"/>
              </w:rPr>
              <w:t>.25±2.36</w:t>
            </w:r>
            <w:r w:rsidRPr="000577B9">
              <w:rPr>
                <w:rFonts w:ascii="Arial" w:hAnsi="Arial" w:cs="Arial"/>
                <w:color w:val="000000"/>
                <w:vertAlign w:val="superscript"/>
                <w:lang w:val="en-GB"/>
              </w:rPr>
              <w:t>a</w:t>
            </w:r>
          </w:p>
        </w:tc>
      </w:tr>
      <w:tr w:rsidR="000577B9" w:rsidRPr="000577B9" w14:paraId="24CE3652" w14:textId="77777777" w:rsidTr="00702D4A">
        <w:trPr>
          <w:trHeight w:val="251"/>
        </w:trPr>
        <w:tc>
          <w:tcPr>
            <w:tcW w:w="869" w:type="dxa"/>
          </w:tcPr>
          <w:p w14:paraId="0CD37DCA" w14:textId="77777777" w:rsidR="000577B9" w:rsidRPr="000577B9" w:rsidRDefault="000577B9" w:rsidP="00702D4A">
            <w:pPr>
              <w:jc w:val="both"/>
              <w:rPr>
                <w:rFonts w:ascii="Arial" w:hAnsi="Arial" w:cs="Arial"/>
              </w:rPr>
            </w:pPr>
            <w:r w:rsidRPr="000577B9">
              <w:rPr>
                <w:rFonts w:ascii="Arial" w:hAnsi="Arial" w:cs="Arial"/>
                <w:lang w:val="en-GB"/>
              </w:rPr>
              <w:t>4.</w:t>
            </w:r>
          </w:p>
        </w:tc>
        <w:tc>
          <w:tcPr>
            <w:tcW w:w="4871" w:type="dxa"/>
            <w:vAlign w:val="bottom"/>
          </w:tcPr>
          <w:p w14:paraId="288D6263" w14:textId="77777777" w:rsidR="000577B9" w:rsidRPr="000577B9" w:rsidRDefault="000577B9" w:rsidP="00702D4A">
            <w:pPr>
              <w:jc w:val="both"/>
              <w:rPr>
                <w:rFonts w:ascii="Arial" w:hAnsi="Arial" w:cs="Arial"/>
              </w:rPr>
            </w:pPr>
            <w:proofErr w:type="spellStart"/>
            <w:r w:rsidRPr="000577B9">
              <w:rPr>
                <w:rFonts w:ascii="Arial" w:hAnsi="Arial" w:cs="Arial"/>
              </w:rPr>
              <w:t>Piperine</w:t>
            </w:r>
            <w:proofErr w:type="spellEnd"/>
            <w:r w:rsidRPr="000577B9">
              <w:rPr>
                <w:rFonts w:ascii="Arial" w:hAnsi="Arial" w:cs="Arial"/>
              </w:rPr>
              <w:t xml:space="preserve">@ 50mg/kg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530425B0" w14:textId="77777777" w:rsidR="000577B9" w:rsidRPr="000577B9" w:rsidRDefault="000577B9" w:rsidP="00702D4A">
            <w:pPr>
              <w:jc w:val="both"/>
              <w:rPr>
                <w:rFonts w:ascii="Arial" w:eastAsia="Arial" w:hAnsi="Arial" w:cs="Arial"/>
                <w:b/>
                <w:bCs/>
                <w:vertAlign w:val="superscript"/>
                <w:lang w:val="en-GB"/>
              </w:rPr>
            </w:pPr>
            <w:r w:rsidRPr="000577B9">
              <w:rPr>
                <w:rFonts w:ascii="Arial" w:hAnsi="Arial" w:cs="Arial"/>
                <w:lang w:val="en-GB"/>
              </w:rPr>
              <w:t>26</w:t>
            </w:r>
            <w:r w:rsidRPr="000577B9">
              <w:rPr>
                <w:rFonts w:ascii="Arial" w:hAnsi="Arial" w:cs="Arial"/>
              </w:rPr>
              <w:t>.58±2.30</w:t>
            </w:r>
            <w:r w:rsidRPr="000577B9">
              <w:rPr>
                <w:rFonts w:ascii="Arial" w:hAnsi="Arial" w:cs="Arial"/>
                <w:vertAlign w:val="superscript"/>
                <w:lang w:val="en-GB"/>
              </w:rPr>
              <w:t>a</w:t>
            </w:r>
          </w:p>
        </w:tc>
        <w:tc>
          <w:tcPr>
            <w:tcW w:w="1428" w:type="dxa"/>
            <w:vAlign w:val="bottom"/>
          </w:tcPr>
          <w:p w14:paraId="6126B3D7" w14:textId="77777777" w:rsidR="000577B9" w:rsidRPr="000577B9" w:rsidRDefault="000577B9" w:rsidP="00702D4A">
            <w:pPr>
              <w:jc w:val="both"/>
              <w:rPr>
                <w:rFonts w:ascii="Arial" w:hAnsi="Arial" w:cs="Arial"/>
                <w:lang w:val="en-GB"/>
              </w:rPr>
            </w:pPr>
            <w:r w:rsidRPr="000577B9">
              <w:rPr>
                <w:rFonts w:ascii="Arial" w:hAnsi="Arial" w:cs="Arial"/>
                <w:color w:val="000000"/>
                <w:lang w:val="en-GB"/>
              </w:rPr>
              <w:t>16</w:t>
            </w:r>
            <w:r w:rsidRPr="000577B9">
              <w:rPr>
                <w:rFonts w:ascii="Arial" w:hAnsi="Arial" w:cs="Arial"/>
                <w:color w:val="000000"/>
              </w:rPr>
              <w:t>.62±2.27</w:t>
            </w:r>
            <w:r w:rsidRPr="000577B9">
              <w:rPr>
                <w:rFonts w:ascii="Arial" w:hAnsi="Arial" w:cs="Arial"/>
                <w:color w:val="000000"/>
                <w:vertAlign w:val="superscript"/>
                <w:lang w:val="en-GB"/>
              </w:rPr>
              <w:t>a</w:t>
            </w:r>
          </w:p>
        </w:tc>
      </w:tr>
      <w:tr w:rsidR="000577B9" w:rsidRPr="000577B9" w14:paraId="0D8D385F" w14:textId="77777777" w:rsidTr="00702D4A">
        <w:trPr>
          <w:trHeight w:val="386"/>
        </w:trPr>
        <w:tc>
          <w:tcPr>
            <w:tcW w:w="869" w:type="dxa"/>
          </w:tcPr>
          <w:p w14:paraId="16069AE5" w14:textId="77777777" w:rsidR="000577B9" w:rsidRPr="000577B9" w:rsidRDefault="000577B9" w:rsidP="00702D4A">
            <w:pPr>
              <w:jc w:val="both"/>
              <w:rPr>
                <w:rFonts w:ascii="Arial" w:hAnsi="Arial" w:cs="Arial"/>
              </w:rPr>
            </w:pPr>
            <w:r w:rsidRPr="000577B9">
              <w:rPr>
                <w:rFonts w:ascii="Arial" w:hAnsi="Arial" w:cs="Arial"/>
                <w:lang w:val="en-GB"/>
              </w:rPr>
              <w:t>5.</w:t>
            </w:r>
          </w:p>
        </w:tc>
        <w:tc>
          <w:tcPr>
            <w:tcW w:w="4871" w:type="dxa"/>
            <w:vAlign w:val="bottom"/>
          </w:tcPr>
          <w:p w14:paraId="1670F206" w14:textId="77777777" w:rsidR="000577B9" w:rsidRPr="000577B9" w:rsidRDefault="000577B9" w:rsidP="00702D4A">
            <w:pPr>
              <w:jc w:val="both"/>
              <w:rPr>
                <w:rFonts w:ascii="Arial" w:hAnsi="Arial" w:cs="Arial"/>
              </w:rPr>
            </w:pPr>
            <w:r w:rsidRPr="000577B9">
              <w:rPr>
                <w:rFonts w:ascii="Arial" w:hAnsi="Arial" w:cs="Arial"/>
              </w:rPr>
              <w:t xml:space="preserve">Bleomycin sulphate + </w:t>
            </w: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060197D1"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110.87±2.84</w:t>
            </w:r>
            <w:r w:rsidRPr="000577B9">
              <w:rPr>
                <w:rFonts w:ascii="Arial" w:hAnsi="Arial" w:cs="Arial"/>
                <w:vertAlign w:val="superscript"/>
                <w:lang w:val="en-GB"/>
              </w:rPr>
              <w:t>c</w:t>
            </w:r>
          </w:p>
        </w:tc>
        <w:tc>
          <w:tcPr>
            <w:tcW w:w="1428" w:type="dxa"/>
            <w:vAlign w:val="bottom"/>
          </w:tcPr>
          <w:p w14:paraId="0629D2EB" w14:textId="77777777" w:rsidR="000577B9" w:rsidRPr="000577B9" w:rsidRDefault="000577B9" w:rsidP="00702D4A">
            <w:pPr>
              <w:jc w:val="both"/>
              <w:rPr>
                <w:rFonts w:ascii="Arial" w:hAnsi="Arial" w:cs="Arial"/>
              </w:rPr>
            </w:pPr>
            <w:r w:rsidRPr="000577B9">
              <w:rPr>
                <w:rFonts w:ascii="Arial" w:hAnsi="Arial" w:cs="Arial"/>
                <w:color w:val="000000"/>
              </w:rPr>
              <w:t>64.17±2.87</w:t>
            </w:r>
            <w:r w:rsidRPr="000577B9">
              <w:rPr>
                <w:rFonts w:ascii="Arial" w:hAnsi="Arial" w:cs="Arial"/>
                <w:color w:val="000000"/>
                <w:vertAlign w:val="superscript"/>
                <w:lang w:val="en-GB"/>
              </w:rPr>
              <w:t>c</w:t>
            </w:r>
          </w:p>
        </w:tc>
      </w:tr>
      <w:tr w:rsidR="000577B9" w:rsidRPr="000577B9" w14:paraId="6B298680" w14:textId="77777777" w:rsidTr="00702D4A">
        <w:trPr>
          <w:trHeight w:val="386"/>
        </w:trPr>
        <w:tc>
          <w:tcPr>
            <w:tcW w:w="869" w:type="dxa"/>
          </w:tcPr>
          <w:p w14:paraId="7DB8546C" w14:textId="77777777" w:rsidR="000577B9" w:rsidRPr="000577B9" w:rsidRDefault="000577B9" w:rsidP="00702D4A">
            <w:pPr>
              <w:jc w:val="both"/>
              <w:rPr>
                <w:rFonts w:ascii="Arial" w:hAnsi="Arial" w:cs="Arial"/>
              </w:rPr>
            </w:pPr>
            <w:r w:rsidRPr="000577B9">
              <w:rPr>
                <w:rFonts w:ascii="Arial" w:hAnsi="Arial" w:cs="Arial"/>
                <w:lang w:val="en-GB"/>
              </w:rPr>
              <w:t>6.</w:t>
            </w:r>
          </w:p>
        </w:tc>
        <w:tc>
          <w:tcPr>
            <w:tcW w:w="4871" w:type="dxa"/>
            <w:vAlign w:val="bottom"/>
          </w:tcPr>
          <w:p w14:paraId="238BB11E" w14:textId="77777777" w:rsidR="000577B9" w:rsidRPr="000577B9" w:rsidRDefault="000577B9" w:rsidP="00702D4A">
            <w:pPr>
              <w:jc w:val="both"/>
              <w:rPr>
                <w:rFonts w:ascii="Arial" w:hAnsi="Arial" w:cs="Arial"/>
              </w:rPr>
            </w:pPr>
            <w:r w:rsidRPr="000577B9">
              <w:rPr>
                <w:rFonts w:ascii="Arial" w:hAnsi="Arial" w:cs="Arial"/>
              </w:rPr>
              <w:t xml:space="preserve">Bleomycin sulphate + </w:t>
            </w:r>
            <w:proofErr w:type="spellStart"/>
            <w:r w:rsidRPr="000577B9">
              <w:rPr>
                <w:rFonts w:ascii="Arial" w:hAnsi="Arial" w:cs="Arial"/>
              </w:rPr>
              <w:t>Piperine</w:t>
            </w:r>
            <w:proofErr w:type="spellEnd"/>
            <w:r w:rsidRPr="000577B9">
              <w:rPr>
                <w:rFonts w:ascii="Arial" w:hAnsi="Arial" w:cs="Arial"/>
              </w:rPr>
              <w:t xml:space="preserve"> @ 50mg/kg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4116855E"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97.68±3.22</w:t>
            </w:r>
            <w:r w:rsidRPr="000577B9">
              <w:rPr>
                <w:rFonts w:ascii="Arial" w:hAnsi="Arial" w:cs="Arial"/>
                <w:vertAlign w:val="superscript"/>
                <w:lang w:val="en-GB"/>
              </w:rPr>
              <w:t>c</w:t>
            </w:r>
          </w:p>
        </w:tc>
        <w:tc>
          <w:tcPr>
            <w:tcW w:w="1428" w:type="dxa"/>
            <w:vAlign w:val="bottom"/>
          </w:tcPr>
          <w:p w14:paraId="18074D34" w14:textId="77777777" w:rsidR="000577B9" w:rsidRPr="000577B9" w:rsidRDefault="000577B9" w:rsidP="00702D4A">
            <w:pPr>
              <w:jc w:val="both"/>
              <w:rPr>
                <w:rFonts w:ascii="Arial" w:hAnsi="Arial" w:cs="Arial"/>
              </w:rPr>
            </w:pPr>
            <w:r w:rsidRPr="000577B9">
              <w:rPr>
                <w:rFonts w:ascii="Arial" w:hAnsi="Arial" w:cs="Arial"/>
                <w:color w:val="000000"/>
              </w:rPr>
              <w:t>58.73±2.56</w:t>
            </w:r>
            <w:r w:rsidRPr="000577B9">
              <w:rPr>
                <w:rFonts w:ascii="Arial" w:hAnsi="Arial" w:cs="Arial"/>
                <w:color w:val="000000"/>
                <w:vertAlign w:val="superscript"/>
              </w:rPr>
              <w:t>c</w:t>
            </w:r>
          </w:p>
        </w:tc>
      </w:tr>
      <w:tr w:rsidR="000577B9" w:rsidRPr="000577B9" w14:paraId="270309DF" w14:textId="77777777" w:rsidTr="00702D4A">
        <w:trPr>
          <w:trHeight w:val="584"/>
        </w:trPr>
        <w:tc>
          <w:tcPr>
            <w:tcW w:w="869" w:type="dxa"/>
          </w:tcPr>
          <w:p w14:paraId="3319C8B3" w14:textId="77777777" w:rsidR="000577B9" w:rsidRPr="000577B9" w:rsidRDefault="000577B9" w:rsidP="00702D4A">
            <w:pPr>
              <w:jc w:val="both"/>
              <w:rPr>
                <w:rFonts w:ascii="Arial" w:hAnsi="Arial" w:cs="Arial"/>
              </w:rPr>
            </w:pPr>
            <w:r w:rsidRPr="000577B9">
              <w:rPr>
                <w:rFonts w:ascii="Arial" w:hAnsi="Arial" w:cs="Arial"/>
                <w:lang w:val="en-GB"/>
              </w:rPr>
              <w:t>7.</w:t>
            </w:r>
          </w:p>
        </w:tc>
        <w:tc>
          <w:tcPr>
            <w:tcW w:w="4871" w:type="dxa"/>
            <w:vAlign w:val="bottom"/>
          </w:tcPr>
          <w:p w14:paraId="7F353997" w14:textId="77777777" w:rsidR="000577B9" w:rsidRPr="000577B9" w:rsidRDefault="000577B9" w:rsidP="00702D4A">
            <w:pPr>
              <w:jc w:val="both"/>
              <w:rPr>
                <w:rFonts w:ascii="Arial" w:hAnsi="Arial" w:cs="Arial"/>
              </w:rPr>
            </w:pPr>
            <w:r w:rsidRPr="000577B9">
              <w:rPr>
                <w:rFonts w:ascii="Arial" w:hAnsi="Arial" w:cs="Arial"/>
              </w:rPr>
              <w:t>Bleomycin sulphate</w:t>
            </w:r>
            <w:r w:rsidRPr="000577B9">
              <w:rPr>
                <w:rFonts w:ascii="Arial" w:hAnsi="Arial" w:cs="Arial"/>
                <w:lang w:val="en-GB"/>
              </w:rPr>
              <w:t xml:space="preserve"> </w:t>
            </w:r>
            <w:r w:rsidRPr="000577B9">
              <w:rPr>
                <w:rFonts w:ascii="Arial" w:hAnsi="Arial" w:cs="Arial"/>
              </w:rPr>
              <w:t xml:space="preserve">+ </w:t>
            </w:r>
            <w:proofErr w:type="spellStart"/>
            <w:r w:rsidRPr="000577B9">
              <w:rPr>
                <w:rFonts w:ascii="Arial" w:hAnsi="Arial" w:cs="Arial"/>
              </w:rPr>
              <w:t>Galangin</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 xml:space="preserve">/daily + </w:t>
            </w:r>
            <w:proofErr w:type="spellStart"/>
            <w:r w:rsidRPr="000577B9">
              <w:rPr>
                <w:rFonts w:ascii="Arial" w:hAnsi="Arial" w:cs="Arial"/>
              </w:rPr>
              <w:t>Piperine</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w:t>
            </w:r>
            <w:proofErr w:type="spellStart"/>
            <w:r w:rsidRPr="000577B9">
              <w:rPr>
                <w:rFonts w:ascii="Arial" w:hAnsi="Arial" w:cs="Arial"/>
              </w:rPr>
              <w:t>p.o</w:t>
            </w:r>
            <w:proofErr w:type="spellEnd"/>
            <w:r w:rsidRPr="000577B9">
              <w:rPr>
                <w:rFonts w:ascii="Arial" w:hAnsi="Arial" w:cs="Arial"/>
              </w:rPr>
              <w:t>/daily</w:t>
            </w:r>
            <w:r w:rsidRPr="000577B9">
              <w:rPr>
                <w:rFonts w:ascii="Arial" w:hAnsi="Arial" w:cs="Arial"/>
                <w:lang w:val="en-GB"/>
              </w:rPr>
              <w:t xml:space="preserve"> </w:t>
            </w:r>
          </w:p>
        </w:tc>
        <w:tc>
          <w:tcPr>
            <w:tcW w:w="1848" w:type="dxa"/>
            <w:vAlign w:val="bottom"/>
          </w:tcPr>
          <w:p w14:paraId="37EF4965"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6</w:t>
            </w:r>
            <w:r w:rsidRPr="000577B9">
              <w:rPr>
                <w:rFonts w:ascii="Arial" w:hAnsi="Arial" w:cs="Arial"/>
                <w:lang w:val="en-GB"/>
              </w:rPr>
              <w:t>5</w:t>
            </w:r>
            <w:r w:rsidRPr="000577B9">
              <w:rPr>
                <w:rFonts w:ascii="Arial" w:hAnsi="Arial" w:cs="Arial"/>
              </w:rPr>
              <w:t>.82±5.22</w:t>
            </w:r>
            <w:r w:rsidRPr="000577B9">
              <w:rPr>
                <w:rFonts w:ascii="Arial" w:hAnsi="Arial" w:cs="Arial"/>
                <w:vertAlign w:val="superscript"/>
                <w:lang w:val="en-GB"/>
              </w:rPr>
              <w:t>d</w:t>
            </w:r>
          </w:p>
        </w:tc>
        <w:tc>
          <w:tcPr>
            <w:tcW w:w="1428" w:type="dxa"/>
            <w:vAlign w:val="bottom"/>
          </w:tcPr>
          <w:p w14:paraId="71DF8520" w14:textId="77777777" w:rsidR="000577B9" w:rsidRPr="000577B9" w:rsidRDefault="000577B9" w:rsidP="00702D4A">
            <w:pPr>
              <w:jc w:val="both"/>
              <w:rPr>
                <w:rFonts w:ascii="Arial" w:hAnsi="Arial" w:cs="Arial"/>
              </w:rPr>
            </w:pPr>
            <w:r w:rsidRPr="000577B9">
              <w:rPr>
                <w:rFonts w:ascii="Arial" w:hAnsi="Arial" w:cs="Arial"/>
                <w:color w:val="000000"/>
                <w:lang w:val="en-GB"/>
              </w:rPr>
              <w:t>4</w:t>
            </w:r>
            <w:r w:rsidRPr="000577B9">
              <w:rPr>
                <w:rFonts w:ascii="Arial" w:hAnsi="Arial" w:cs="Arial"/>
                <w:color w:val="000000"/>
              </w:rPr>
              <w:t>2.15±2.41</w:t>
            </w:r>
            <w:r w:rsidRPr="000577B9">
              <w:rPr>
                <w:rFonts w:ascii="Arial" w:hAnsi="Arial" w:cs="Arial"/>
                <w:color w:val="000000"/>
                <w:vertAlign w:val="superscript"/>
                <w:lang w:val="en-GB"/>
              </w:rPr>
              <w:t>d</w:t>
            </w:r>
          </w:p>
        </w:tc>
      </w:tr>
    </w:tbl>
    <w:p w14:paraId="3A9E838F" w14:textId="77777777" w:rsidR="000577B9" w:rsidRPr="000577B9" w:rsidRDefault="000577B9" w:rsidP="000577B9">
      <w:pPr>
        <w:jc w:val="both"/>
        <w:rPr>
          <w:rFonts w:ascii="Arial" w:hAnsi="Arial" w:cs="Arial"/>
        </w:rPr>
      </w:pPr>
    </w:p>
    <w:p w14:paraId="549FFC39" w14:textId="6F535756" w:rsidR="000577B9" w:rsidRPr="000577B9" w:rsidRDefault="000577B9" w:rsidP="000577B9">
      <w:pPr>
        <w:jc w:val="both"/>
        <w:rPr>
          <w:rFonts w:ascii="Arial" w:hAnsi="Arial" w:cs="Arial"/>
        </w:rPr>
      </w:pPr>
      <w:r w:rsidRPr="000577B9">
        <w:rPr>
          <w:rFonts w:ascii="Arial" w:hAnsi="Arial" w:cs="Arial"/>
          <w:noProof/>
          <w:lang w:bidi="te-IN"/>
        </w:rPr>
        <w:lastRenderedPageBreak/>
        <w:drawing>
          <wp:inline distT="0" distB="0" distL="0" distR="0" wp14:anchorId="04DE71F0" wp14:editId="64C5BE11">
            <wp:extent cx="5781224" cy="1887105"/>
            <wp:effectExtent l="0" t="0" r="0" b="0"/>
            <wp:docPr id="564912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7092" b="34366"/>
                    <a:stretch>
                      <a:fillRect/>
                    </a:stretch>
                  </pic:blipFill>
                  <pic:spPr bwMode="auto">
                    <a:xfrm>
                      <a:off x="0" y="0"/>
                      <a:ext cx="5920212" cy="1932474"/>
                    </a:xfrm>
                    <a:prstGeom prst="rect">
                      <a:avLst/>
                    </a:prstGeom>
                    <a:noFill/>
                    <a:ln>
                      <a:noFill/>
                    </a:ln>
                    <a:extLst>
                      <a:ext uri="{53640926-AAD7-44D8-BBD7-CCE9431645EC}">
                        <a14:shadowObscured xmlns:a14="http://schemas.microsoft.com/office/drawing/2010/main"/>
                      </a:ext>
                    </a:extLst>
                  </pic:spPr>
                </pic:pic>
              </a:graphicData>
            </a:graphic>
          </wp:inline>
        </w:drawing>
      </w:r>
    </w:p>
    <w:p w14:paraId="189BEBE7" w14:textId="77777777" w:rsidR="000577B9" w:rsidRPr="000577B9" w:rsidRDefault="000577B9" w:rsidP="000577B9">
      <w:pPr>
        <w:autoSpaceDE w:val="0"/>
        <w:autoSpaceDN w:val="0"/>
        <w:adjustRightInd w:val="0"/>
        <w:jc w:val="both"/>
        <w:rPr>
          <w:rFonts w:ascii="Arial" w:hAnsi="Arial" w:cs="Arial"/>
        </w:rPr>
      </w:pPr>
      <w:r w:rsidRPr="000577B9">
        <w:rPr>
          <w:rFonts w:ascii="Arial" w:hAnsi="Arial" w:cs="Arial"/>
          <w:b/>
        </w:rPr>
        <w:t>Fig. 2.</w:t>
      </w:r>
      <w:r w:rsidRPr="000577B9">
        <w:rPr>
          <w:rFonts w:ascii="Arial" w:hAnsi="Arial" w:cs="Arial"/>
        </w:rPr>
        <w:t xml:space="preserve"> </w:t>
      </w: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effect on fibrotic parameters. Hydroxyproline (A), TGFβ</w:t>
      </w:r>
      <w:r w:rsidRPr="000577B9">
        <w:rPr>
          <w:rFonts w:ascii="Arial" w:hAnsi="Arial" w:cs="Arial"/>
          <w:vertAlign w:val="subscript"/>
        </w:rPr>
        <w:t xml:space="preserve">1 </w:t>
      </w:r>
      <w:r w:rsidRPr="000577B9">
        <w:rPr>
          <w:rFonts w:ascii="Arial" w:hAnsi="Arial" w:cs="Arial"/>
        </w:rPr>
        <w:t xml:space="preserve">(B). </w:t>
      </w:r>
    </w:p>
    <w:p w14:paraId="30B5C48D" w14:textId="77777777" w:rsidR="000577B9" w:rsidRPr="000577B9" w:rsidRDefault="000577B9" w:rsidP="000577B9">
      <w:pPr>
        <w:jc w:val="both"/>
        <w:rPr>
          <w:rFonts w:ascii="Arial" w:hAnsi="Arial" w:cs="Arial"/>
        </w:rPr>
      </w:pPr>
    </w:p>
    <w:p w14:paraId="48422193" w14:textId="68437B56" w:rsidR="000577B9" w:rsidRPr="000577B9" w:rsidRDefault="000577B9" w:rsidP="000577B9">
      <w:pPr>
        <w:jc w:val="both"/>
        <w:rPr>
          <w:rFonts w:ascii="Arial" w:eastAsia="Arial" w:hAnsi="Arial" w:cs="Arial"/>
          <w:b/>
          <w:bCs/>
        </w:rPr>
      </w:pPr>
      <w:r w:rsidRPr="000577B9">
        <w:rPr>
          <w:rFonts w:ascii="Arial" w:eastAsia="Arial" w:hAnsi="Arial" w:cs="Arial"/>
          <w:b/>
          <w:bCs/>
        </w:rPr>
        <w:t xml:space="preserve">3.3 Special staining- </w:t>
      </w:r>
      <w:bookmarkStart w:id="1" w:name="_Hlk212052979"/>
      <w:r w:rsidRPr="000577B9">
        <w:rPr>
          <w:rFonts w:ascii="Arial" w:eastAsia="Arial" w:hAnsi="Arial" w:cs="Arial"/>
          <w:b/>
          <w:bCs/>
        </w:rPr>
        <w:t xml:space="preserve">Masson’s Trichome Staining </w:t>
      </w:r>
      <w:bookmarkEnd w:id="1"/>
      <w:r w:rsidRPr="000577B9">
        <w:rPr>
          <w:rFonts w:ascii="Arial" w:eastAsia="Arial" w:hAnsi="Arial" w:cs="Arial"/>
          <w:b/>
          <w:bCs/>
        </w:rPr>
        <w:t xml:space="preserve">(MTS): </w:t>
      </w:r>
      <w:r w:rsidRPr="000577B9">
        <w:rPr>
          <w:rFonts w:ascii="Arial" w:eastAsia="Arial" w:hAnsi="Arial" w:cs="Arial"/>
          <w:bCs/>
        </w:rPr>
        <w:t xml:space="preserve">The MTS-stained lung sections of group 2 showed moderate fibrous tissue proliferation around peribronchiolar and perivascular areas whereas the lung section of group 5 and 6 revealed mild proliferation of fibrous tissue. The lung sections of group 7 showed very mild evidence of fibrous connective tissue. There was no evidence of fibrous tissue proliferation in the lungs of </w:t>
      </w:r>
      <w:r w:rsidRPr="000577B9">
        <w:rPr>
          <w:rFonts w:ascii="Arial" w:eastAsia="Arial" w:hAnsi="Arial" w:cs="Arial"/>
          <w:bCs/>
          <w:i/>
        </w:rPr>
        <w:t>per se</w:t>
      </w:r>
      <w:r w:rsidRPr="000577B9">
        <w:rPr>
          <w:rFonts w:ascii="Arial" w:eastAsia="Arial" w:hAnsi="Arial" w:cs="Arial"/>
          <w:bCs/>
        </w:rPr>
        <w:t xml:space="preserve"> groups, 6 and 7.</w:t>
      </w:r>
    </w:p>
    <w:p w14:paraId="2C0EE1C4" w14:textId="5481F951" w:rsidR="000577B9" w:rsidRPr="000577B9" w:rsidRDefault="000577B9" w:rsidP="000577B9">
      <w:pPr>
        <w:jc w:val="both"/>
        <w:rPr>
          <w:rFonts w:ascii="Arial" w:eastAsia="Arial" w:hAnsi="Arial" w:cs="Arial"/>
          <w:bCs/>
        </w:rPr>
      </w:pPr>
      <w:r w:rsidRPr="000577B9">
        <w:rPr>
          <w:rFonts w:ascii="Arial" w:eastAsia="Arial" w:hAnsi="Arial" w:cs="Arial"/>
          <w:b/>
          <w:bCs/>
        </w:rPr>
        <w:t xml:space="preserve">3.4 </w:t>
      </w:r>
      <w:r>
        <w:rPr>
          <w:rFonts w:ascii="Arial" w:eastAsia="Arial" w:hAnsi="Arial" w:cs="Arial"/>
          <w:b/>
          <w:bCs/>
        </w:rPr>
        <w:t>I</w:t>
      </w:r>
      <w:r w:rsidRPr="000577B9">
        <w:rPr>
          <w:rFonts w:ascii="Arial" w:eastAsia="Arial" w:hAnsi="Arial" w:cs="Arial"/>
          <w:b/>
          <w:bCs/>
        </w:rPr>
        <w:t>mmunohistochemistry:  </w:t>
      </w:r>
      <w:r w:rsidRPr="000577B9">
        <w:rPr>
          <w:rFonts w:ascii="Arial" w:eastAsia="Arial" w:hAnsi="Arial" w:cs="Arial"/>
          <w:bCs/>
        </w:rPr>
        <w:t xml:space="preserve">The immunohistochemistry was performed to assess the expression of MMP 9 and α- SMA (immunohistochemistry measured by the degree of intensity for the brown color) against bleomycin induced pulmonary toxicity and therapeutic effect of </w:t>
      </w:r>
      <w:proofErr w:type="spellStart"/>
      <w:r w:rsidRPr="000577B9">
        <w:rPr>
          <w:rFonts w:ascii="Arial" w:eastAsia="Arial" w:hAnsi="Arial" w:cs="Arial"/>
          <w:bCs/>
        </w:rPr>
        <w:t>galangin</w:t>
      </w:r>
      <w:proofErr w:type="spellEnd"/>
      <w:r w:rsidRPr="000577B9">
        <w:rPr>
          <w:rFonts w:ascii="Arial" w:eastAsia="Arial" w:hAnsi="Arial" w:cs="Arial"/>
          <w:bCs/>
        </w:rPr>
        <w:t xml:space="preserve"> and </w:t>
      </w:r>
      <w:proofErr w:type="spellStart"/>
      <w:r w:rsidRPr="000577B9">
        <w:rPr>
          <w:rFonts w:ascii="Arial" w:eastAsia="Arial" w:hAnsi="Arial" w:cs="Arial"/>
          <w:bCs/>
        </w:rPr>
        <w:t>piperine</w:t>
      </w:r>
      <w:proofErr w:type="spellEnd"/>
      <w:r w:rsidRPr="000577B9">
        <w:rPr>
          <w:rFonts w:ascii="Arial" w:eastAsia="Arial" w:hAnsi="Arial" w:cs="Arial"/>
          <w:bCs/>
        </w:rPr>
        <w:t>.</w:t>
      </w:r>
    </w:p>
    <w:p w14:paraId="51F7DC1E" w14:textId="77777777" w:rsidR="000577B9" w:rsidRPr="000577B9" w:rsidRDefault="000577B9" w:rsidP="000577B9">
      <w:pPr>
        <w:jc w:val="both"/>
        <w:rPr>
          <w:rFonts w:ascii="Arial" w:eastAsia="Arial" w:hAnsi="Arial" w:cs="Arial"/>
          <w:bCs/>
        </w:rPr>
      </w:pPr>
      <w:r w:rsidRPr="000577B9">
        <w:rPr>
          <w:rFonts w:ascii="Arial" w:eastAsia="Arial" w:hAnsi="Arial" w:cs="Arial"/>
          <w:b/>
          <w:bCs/>
        </w:rPr>
        <w:t xml:space="preserve">3.4.1 Expression of </w:t>
      </w:r>
      <w:bookmarkStart w:id="2" w:name="_Hlk212053014"/>
      <w:r w:rsidRPr="000577B9">
        <w:rPr>
          <w:rFonts w:ascii="Arial" w:eastAsia="Arial" w:hAnsi="Arial" w:cs="Arial"/>
          <w:b/>
          <w:bCs/>
        </w:rPr>
        <w:t xml:space="preserve">Matrix </w:t>
      </w:r>
      <w:proofErr w:type="spellStart"/>
      <w:r w:rsidRPr="000577B9">
        <w:rPr>
          <w:rFonts w:ascii="Arial" w:eastAsia="Arial" w:hAnsi="Arial" w:cs="Arial"/>
          <w:b/>
          <w:bCs/>
        </w:rPr>
        <w:t>metallo</w:t>
      </w:r>
      <w:proofErr w:type="spellEnd"/>
      <w:r w:rsidRPr="000577B9">
        <w:rPr>
          <w:rFonts w:ascii="Arial" w:eastAsia="Arial" w:hAnsi="Arial" w:cs="Arial"/>
          <w:b/>
          <w:bCs/>
        </w:rPr>
        <w:t xml:space="preserve"> proteinase 9</w:t>
      </w:r>
      <w:bookmarkEnd w:id="2"/>
      <w:r w:rsidRPr="000577B9">
        <w:rPr>
          <w:rFonts w:ascii="Arial" w:eastAsia="Arial" w:hAnsi="Arial" w:cs="Arial"/>
          <w:b/>
          <w:bCs/>
        </w:rPr>
        <w:t xml:space="preserve"> (MMP 9)</w:t>
      </w:r>
    </w:p>
    <w:p w14:paraId="2CC4426B" w14:textId="77777777" w:rsidR="000577B9" w:rsidRPr="000577B9" w:rsidRDefault="000577B9" w:rsidP="000577B9">
      <w:pPr>
        <w:jc w:val="both"/>
        <w:rPr>
          <w:rFonts w:ascii="Arial" w:eastAsia="Arial" w:hAnsi="Arial" w:cs="Arial"/>
          <w:bCs/>
        </w:rPr>
      </w:pPr>
      <w:r w:rsidRPr="000577B9">
        <w:rPr>
          <w:rFonts w:ascii="Arial" w:eastAsia="Arial" w:hAnsi="Arial" w:cs="Arial"/>
          <w:b/>
          <w:bCs/>
        </w:rPr>
        <w:t>         </w:t>
      </w:r>
      <w:r w:rsidRPr="000577B9">
        <w:rPr>
          <w:rFonts w:ascii="Arial" w:eastAsia="Arial" w:hAnsi="Arial" w:cs="Arial"/>
          <w:bCs/>
        </w:rPr>
        <w:t xml:space="preserve"> The immunohistochemical staining of lung sections of group 2 revealed intense positivity for MMP 9 expression </w:t>
      </w:r>
      <w:proofErr w:type="spellStart"/>
      <w:r w:rsidRPr="000577B9">
        <w:rPr>
          <w:rFonts w:ascii="Arial" w:eastAsia="Arial" w:hAnsi="Arial" w:cs="Arial"/>
          <w:bCs/>
        </w:rPr>
        <w:t>i.e</w:t>
      </w:r>
      <w:proofErr w:type="spellEnd"/>
      <w:r w:rsidRPr="000577B9">
        <w:rPr>
          <w:rFonts w:ascii="Arial" w:eastAsia="Arial" w:hAnsi="Arial" w:cs="Arial"/>
          <w:bCs/>
        </w:rPr>
        <w:t xml:space="preserve">, high intensity of brown color compared to section from group 1. The group 5 and 6 lung sections showed moderate positivity. Expression of MMP 9 in group 7 lung sections was very mild. The lung sections of group 1, 3 and 5 stained </w:t>
      </w:r>
      <w:proofErr w:type="gramStart"/>
      <w:r w:rsidRPr="000577B9">
        <w:rPr>
          <w:rFonts w:ascii="Arial" w:eastAsia="Arial" w:hAnsi="Arial" w:cs="Arial"/>
          <w:bCs/>
        </w:rPr>
        <w:t>negative</w:t>
      </w:r>
      <w:proofErr w:type="gramEnd"/>
      <w:r w:rsidRPr="000577B9">
        <w:rPr>
          <w:rFonts w:ascii="Arial" w:eastAsia="Arial" w:hAnsi="Arial" w:cs="Arial"/>
          <w:bCs/>
        </w:rPr>
        <w:t xml:space="preserve"> for MMP 9.</w:t>
      </w:r>
    </w:p>
    <w:p w14:paraId="0034BC58" w14:textId="77777777" w:rsidR="000577B9" w:rsidRPr="000577B9" w:rsidRDefault="000577B9" w:rsidP="000577B9">
      <w:pPr>
        <w:jc w:val="both"/>
        <w:rPr>
          <w:rFonts w:ascii="Arial" w:eastAsia="Arial" w:hAnsi="Arial" w:cs="Arial"/>
          <w:bCs/>
        </w:rPr>
      </w:pPr>
      <w:r w:rsidRPr="000577B9">
        <w:rPr>
          <w:rFonts w:ascii="Arial" w:eastAsia="Arial" w:hAnsi="Arial" w:cs="Arial"/>
          <w:b/>
          <w:bCs/>
        </w:rPr>
        <w:t xml:space="preserve">3.4.2 Expression of </w:t>
      </w:r>
      <w:bookmarkStart w:id="3" w:name="_Hlk212053047"/>
      <w:r w:rsidRPr="000577B9">
        <w:rPr>
          <w:rFonts w:ascii="Arial" w:eastAsia="Arial" w:hAnsi="Arial" w:cs="Arial"/>
          <w:b/>
          <w:bCs/>
        </w:rPr>
        <w:t>Alpha- smooth muscle actin</w:t>
      </w:r>
      <w:bookmarkEnd w:id="3"/>
      <w:r w:rsidRPr="000577B9">
        <w:rPr>
          <w:rFonts w:ascii="Arial" w:eastAsia="Arial" w:hAnsi="Arial" w:cs="Arial"/>
          <w:b/>
          <w:bCs/>
        </w:rPr>
        <w:t xml:space="preserve"> (α-SMA)</w:t>
      </w:r>
      <w:r w:rsidRPr="000577B9">
        <w:rPr>
          <w:rFonts w:ascii="Arial" w:eastAsia="Arial" w:hAnsi="Arial" w:cs="Arial"/>
          <w:bCs/>
        </w:rPr>
        <w:t xml:space="preserve">: The immunohistochemistry of lung tissue sections of bleomycin control mice i.e., group 2 revealed positive immunoreactivity for α-SMA protein. The sections of group 1 and 7 stained </w:t>
      </w:r>
      <w:proofErr w:type="gramStart"/>
      <w:r w:rsidRPr="000577B9">
        <w:rPr>
          <w:rFonts w:ascii="Arial" w:eastAsia="Arial" w:hAnsi="Arial" w:cs="Arial"/>
          <w:bCs/>
        </w:rPr>
        <w:t>negative</w:t>
      </w:r>
      <w:proofErr w:type="gramEnd"/>
      <w:r w:rsidRPr="000577B9">
        <w:rPr>
          <w:rFonts w:ascii="Arial" w:eastAsia="Arial" w:hAnsi="Arial" w:cs="Arial"/>
          <w:bCs/>
        </w:rPr>
        <w:t xml:space="preserve"> for α-SMA protein. Expression of α-SMA in groups 5 and 6 revealed mild </w:t>
      </w:r>
      <w:proofErr w:type="gramStart"/>
      <w:r w:rsidRPr="000577B9">
        <w:rPr>
          <w:rFonts w:ascii="Arial" w:eastAsia="Arial" w:hAnsi="Arial" w:cs="Arial"/>
          <w:bCs/>
        </w:rPr>
        <w:t>immunoreactivity</w:t>
      </w:r>
      <w:proofErr w:type="gramEnd"/>
      <w:r w:rsidRPr="000577B9">
        <w:rPr>
          <w:rFonts w:ascii="Arial" w:eastAsia="Arial" w:hAnsi="Arial" w:cs="Arial"/>
          <w:bCs/>
        </w:rPr>
        <w:t xml:space="preserve"> for α-SMA protein. The lung sections of group 3 and 5 stained negatives for α-SMA protein.</w:t>
      </w:r>
    </w:p>
    <w:p w14:paraId="022A3BA9" w14:textId="77777777" w:rsidR="000577B9" w:rsidRPr="000577B9" w:rsidRDefault="000577B9" w:rsidP="000577B9">
      <w:pPr>
        <w:spacing w:line="480" w:lineRule="auto"/>
        <w:jc w:val="both"/>
        <w:rPr>
          <w:rFonts w:ascii="Arial" w:eastAsia="Arial" w:hAnsi="Arial" w:cs="Arial"/>
          <w:bCs/>
        </w:rPr>
      </w:pPr>
      <w:r w:rsidRPr="000577B9">
        <w:rPr>
          <w:rFonts w:ascii="Arial" w:hAnsi="Arial" w:cs="Arial"/>
          <w:noProof/>
          <w:lang w:bidi="te-IN"/>
        </w:rPr>
        <w:drawing>
          <wp:inline distT="0" distB="0" distL="0" distR="0" wp14:anchorId="11198B60" wp14:editId="1C04A0F8">
            <wp:extent cx="5731510" cy="2400300"/>
            <wp:effectExtent l="0" t="0" r="2540" b="0"/>
            <wp:docPr id="101119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164" b="15383"/>
                    <a:stretch>
                      <a:fillRect/>
                    </a:stretch>
                  </pic:blipFill>
                  <pic:spPr bwMode="auto">
                    <a:xfrm>
                      <a:off x="0" y="0"/>
                      <a:ext cx="573151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293F8502" w14:textId="03E9EA1F" w:rsidR="000577B9" w:rsidRDefault="000577B9" w:rsidP="000577B9">
      <w:pPr>
        <w:autoSpaceDE w:val="0"/>
        <w:autoSpaceDN w:val="0"/>
        <w:adjustRightInd w:val="0"/>
        <w:jc w:val="both"/>
        <w:rPr>
          <w:rFonts w:ascii="Arial" w:hAnsi="Arial" w:cs="Arial"/>
        </w:rPr>
      </w:pPr>
      <w:r w:rsidRPr="000577B9">
        <w:rPr>
          <w:rFonts w:ascii="Arial" w:hAnsi="Arial" w:cs="Arial"/>
          <w:b/>
        </w:rPr>
        <w:lastRenderedPageBreak/>
        <w:t xml:space="preserve">Fig. </w:t>
      </w:r>
      <w:r w:rsidR="007F656D">
        <w:rPr>
          <w:rFonts w:ascii="Arial" w:hAnsi="Arial" w:cs="Arial"/>
          <w:b/>
        </w:rPr>
        <w:t>3</w:t>
      </w:r>
      <w:r w:rsidRPr="000577B9">
        <w:rPr>
          <w:rFonts w:ascii="Arial" w:hAnsi="Arial" w:cs="Arial"/>
          <w:b/>
        </w:rPr>
        <w:t>.</w:t>
      </w:r>
      <w:r w:rsidRPr="000577B9">
        <w:rPr>
          <w:rFonts w:ascii="Arial" w:hAnsi="Arial" w:cs="Arial"/>
        </w:rPr>
        <w:t xml:space="preserve"> </w:t>
      </w: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effect on fibrotic parameters. Masson’s Trichome Staining (a), Matrix </w:t>
      </w:r>
      <w:proofErr w:type="spellStart"/>
      <w:r w:rsidRPr="000577B9">
        <w:rPr>
          <w:rFonts w:ascii="Arial" w:hAnsi="Arial" w:cs="Arial"/>
        </w:rPr>
        <w:t>metallo</w:t>
      </w:r>
      <w:proofErr w:type="spellEnd"/>
      <w:r w:rsidRPr="000577B9">
        <w:rPr>
          <w:rFonts w:ascii="Arial" w:hAnsi="Arial" w:cs="Arial"/>
        </w:rPr>
        <w:t xml:space="preserve"> proteinase 9 (b), Alpha- smooth muscle actin (c).</w:t>
      </w:r>
    </w:p>
    <w:p w14:paraId="5A1B3F34" w14:textId="77777777" w:rsidR="00F32B1C" w:rsidRDefault="00F32B1C" w:rsidP="00F32B1C">
      <w:pPr>
        <w:ind w:firstLine="720"/>
        <w:jc w:val="both"/>
        <w:rPr>
          <w:rFonts w:ascii="Times New Roman" w:hAnsi="Times New Roman"/>
          <w:sz w:val="24"/>
          <w:szCs w:val="24"/>
        </w:rPr>
      </w:pPr>
    </w:p>
    <w:p w14:paraId="6CB2C978" w14:textId="71587680" w:rsidR="00F32B1C" w:rsidRPr="00F32B1C" w:rsidRDefault="00F32B1C" w:rsidP="00F32B1C">
      <w:pPr>
        <w:ind w:firstLine="720"/>
        <w:jc w:val="both"/>
        <w:rPr>
          <w:rFonts w:ascii="Arial" w:hAnsi="Arial" w:cs="Arial"/>
        </w:rPr>
      </w:pPr>
      <w:r w:rsidRPr="00F32B1C">
        <w:rPr>
          <w:rFonts w:ascii="Arial" w:hAnsi="Arial" w:cs="Arial"/>
        </w:rPr>
        <w:t>Pulmonary fibrosis represents a chronic, progressive interstitial lung disease marked by persistent epithelial injury, aberrant wound healing, fibroblast activation, and excessive deposition of extracellular matrix (ECM) components, particularly collagen. These pathological processes culminate in irreversible architectural remodeling of the lung parenchyma, reduced elasticity, and impaired gas exchange (Lederer and Martinez, 2018). The disease involves a complex interplay of oxidative stress, inflammatory cytokines, and profibrotic mediators such as transforming growth factor-β1 (TGF-β1), which regulate fibroblast proliferation, myofibroblast differentiation and ECM turnover.</w:t>
      </w:r>
    </w:p>
    <w:p w14:paraId="21E7F57C" w14:textId="092DD735" w:rsidR="00F32B1C" w:rsidRPr="00F32B1C" w:rsidRDefault="00F32B1C" w:rsidP="00F32B1C">
      <w:pPr>
        <w:ind w:firstLine="720"/>
        <w:jc w:val="both"/>
        <w:rPr>
          <w:rFonts w:ascii="Arial" w:hAnsi="Arial" w:cs="Arial"/>
        </w:rPr>
      </w:pPr>
      <w:r w:rsidRPr="00F32B1C">
        <w:rPr>
          <w:rFonts w:ascii="Arial" w:hAnsi="Arial" w:cs="Arial"/>
        </w:rPr>
        <w:t xml:space="preserve">Bleomycin (BLM), an antineoplastic antibiotic, has been widely used to induce experimental pulmonary fibrosis due to its ability to mimic the histopathological and biochemical features of human idiopathic pulmonary fibrosis (IPF) (Fyfe and McKay, 2010). BLM triggers reactive oxygen species (ROS) generation and DNA strand breaks, initiating epithelial damage, inflammation, and fibrogenesis. In the present study, pulmonary fibrosis was successfully induced in C57BL/6 mice by oropharyngeal administration of BLM, resulting in characteristic increases in collagen deposition and fibrotic </w:t>
      </w:r>
      <w:proofErr w:type="spellStart"/>
      <w:r w:rsidRPr="00F32B1C">
        <w:rPr>
          <w:rFonts w:ascii="Arial" w:hAnsi="Arial" w:cs="Arial"/>
        </w:rPr>
        <w:t>remodelling</w:t>
      </w:r>
      <w:proofErr w:type="spellEnd"/>
      <w:r w:rsidRPr="00F32B1C">
        <w:rPr>
          <w:rFonts w:ascii="Arial" w:hAnsi="Arial" w:cs="Arial"/>
        </w:rPr>
        <w:t>.</w:t>
      </w:r>
    </w:p>
    <w:p w14:paraId="5AC1574F" w14:textId="5EF8321B" w:rsidR="00F32B1C" w:rsidRPr="00F32B1C" w:rsidRDefault="00F32B1C" w:rsidP="00F32B1C">
      <w:pPr>
        <w:ind w:firstLine="720"/>
        <w:jc w:val="both"/>
        <w:rPr>
          <w:rFonts w:ascii="Arial" w:hAnsi="Arial" w:cs="Arial"/>
        </w:rPr>
      </w:pPr>
      <w:r w:rsidRPr="00F32B1C">
        <w:rPr>
          <w:rFonts w:ascii="Arial" w:hAnsi="Arial" w:cs="Arial"/>
        </w:rPr>
        <w:t xml:space="preserve">Hydroxyproline, a major amino acid component of collagen, is widely used as a biochemical index of ECM deposition and fibrosis severity. The present study revealed a marked elevation of hydroxyproline in the BLM control group, confirming excessive collagen synthesis and tissue scarring. These findings align with the reports by </w:t>
      </w:r>
      <w:r w:rsidRPr="006645E8">
        <w:rPr>
          <w:rFonts w:ascii="Arial" w:hAnsi="Arial" w:cs="Arial"/>
        </w:rPr>
        <w:t>Zh</w:t>
      </w:r>
      <w:r w:rsidR="006645E8" w:rsidRPr="006645E8">
        <w:rPr>
          <w:rFonts w:ascii="Arial" w:hAnsi="Arial" w:cs="Arial"/>
        </w:rPr>
        <w:t>ao</w:t>
      </w:r>
      <w:r w:rsidRPr="006645E8">
        <w:rPr>
          <w:rFonts w:ascii="Arial" w:hAnsi="Arial" w:cs="Arial"/>
        </w:rPr>
        <w:t xml:space="preserve"> et al. (202</w:t>
      </w:r>
      <w:r w:rsidR="006645E8" w:rsidRPr="006645E8">
        <w:rPr>
          <w:rFonts w:ascii="Arial" w:hAnsi="Arial" w:cs="Arial"/>
        </w:rPr>
        <w:t>2</w:t>
      </w:r>
      <w:r w:rsidRPr="006645E8">
        <w:rPr>
          <w:rFonts w:ascii="Arial" w:hAnsi="Arial" w:cs="Arial"/>
        </w:rPr>
        <w:t>),</w:t>
      </w:r>
      <w:r w:rsidRPr="00F32B1C">
        <w:rPr>
          <w:rFonts w:ascii="Arial" w:hAnsi="Arial" w:cs="Arial"/>
        </w:rPr>
        <w:t xml:space="preserve"> who described hydroxyproline elevation as a hallmark of experimental and clinical pulmonary fibrosis. Treatment with </w:t>
      </w:r>
      <w:proofErr w:type="spellStart"/>
      <w:r w:rsidRPr="00F32B1C">
        <w:rPr>
          <w:rFonts w:ascii="Arial" w:hAnsi="Arial" w:cs="Arial"/>
        </w:rPr>
        <w:t>galangin</w:t>
      </w:r>
      <w:proofErr w:type="spellEnd"/>
      <w:r w:rsidRPr="00F32B1C">
        <w:rPr>
          <w:rFonts w:ascii="Arial" w:hAnsi="Arial" w:cs="Arial"/>
        </w:rPr>
        <w:t xml:space="preserve"> or </w:t>
      </w:r>
      <w:proofErr w:type="spellStart"/>
      <w:r w:rsidRPr="00F32B1C">
        <w:rPr>
          <w:rFonts w:ascii="Arial" w:hAnsi="Arial" w:cs="Arial"/>
        </w:rPr>
        <w:t>piperine</w:t>
      </w:r>
      <w:proofErr w:type="spellEnd"/>
      <w:r w:rsidRPr="00F32B1C">
        <w:rPr>
          <w:rFonts w:ascii="Arial" w:hAnsi="Arial" w:cs="Arial"/>
        </w:rPr>
        <w:t xml:space="preserve"> significantly reduced hydroxyproline content compared with the BLM group, while their combination showed the most pronounced decrease, approaching nearly-normal levels. Histologically, this biochemical improvement corresponded to minimal collagen staining in the Masson’s trichrome sections of treated lungs. The reduction in collagen accumulation can be attributed to the compounds’ ability to counter oxidative stress and inhibit profibrotic </w:t>
      </w:r>
      <w:proofErr w:type="spellStart"/>
      <w:r w:rsidRPr="00F32B1C">
        <w:rPr>
          <w:rFonts w:ascii="Arial" w:hAnsi="Arial" w:cs="Arial"/>
        </w:rPr>
        <w:t>signalling</w:t>
      </w:r>
      <w:proofErr w:type="spellEnd"/>
      <w:r w:rsidRPr="00F32B1C">
        <w:rPr>
          <w:rFonts w:ascii="Arial" w:hAnsi="Arial" w:cs="Arial"/>
        </w:rPr>
        <w:t xml:space="preserve">. The combination therapy demonstrated a synergistic interaction, possibly due to </w:t>
      </w:r>
      <w:proofErr w:type="spellStart"/>
      <w:r w:rsidRPr="00F32B1C">
        <w:rPr>
          <w:rFonts w:ascii="Arial" w:hAnsi="Arial" w:cs="Arial"/>
        </w:rPr>
        <w:t>piperine’s</w:t>
      </w:r>
      <w:proofErr w:type="spellEnd"/>
      <w:r w:rsidRPr="00F32B1C">
        <w:rPr>
          <w:rFonts w:ascii="Arial" w:hAnsi="Arial" w:cs="Arial"/>
        </w:rPr>
        <w:t xml:space="preserve"> </w:t>
      </w:r>
      <w:proofErr w:type="spellStart"/>
      <w:r w:rsidRPr="00F32B1C">
        <w:rPr>
          <w:rFonts w:ascii="Arial" w:hAnsi="Arial" w:cs="Arial"/>
        </w:rPr>
        <w:t>bioenhancing</w:t>
      </w:r>
      <w:proofErr w:type="spellEnd"/>
      <w:r w:rsidRPr="00F32B1C">
        <w:rPr>
          <w:rFonts w:ascii="Arial" w:hAnsi="Arial" w:cs="Arial"/>
        </w:rPr>
        <w:t xml:space="preserve"> effect, which prolongs </w:t>
      </w:r>
      <w:proofErr w:type="spellStart"/>
      <w:r w:rsidRPr="00F32B1C">
        <w:rPr>
          <w:rFonts w:ascii="Arial" w:hAnsi="Arial" w:cs="Arial"/>
        </w:rPr>
        <w:t>galangin’s</w:t>
      </w:r>
      <w:proofErr w:type="spellEnd"/>
      <w:r w:rsidRPr="00F32B1C">
        <w:rPr>
          <w:rFonts w:ascii="Arial" w:hAnsi="Arial" w:cs="Arial"/>
        </w:rPr>
        <w:t xml:space="preserve"> systemic retention. Similar synergistic antifibrotic effects of combined phytochemicals have been reported by Choi et al. (2019) and Xin et al. (2019), emphasizing the role of multitargeted therapy in fibrosis modulation.</w:t>
      </w:r>
    </w:p>
    <w:p w14:paraId="463F538E" w14:textId="64F028D3" w:rsidR="00F32B1C" w:rsidRPr="00F32B1C" w:rsidRDefault="00F32B1C" w:rsidP="00F32B1C">
      <w:pPr>
        <w:ind w:firstLine="720"/>
        <w:jc w:val="both"/>
        <w:rPr>
          <w:rFonts w:ascii="Arial" w:hAnsi="Arial" w:cs="Arial"/>
        </w:rPr>
      </w:pPr>
      <w:r w:rsidRPr="00F32B1C">
        <w:rPr>
          <w:rFonts w:ascii="Arial" w:hAnsi="Arial" w:cs="Arial"/>
        </w:rPr>
        <w:t>TGF-β1 is regarded as the master regulator of fibrosis and plays a crucial role in promoting fibroblast to myofibroblast differentiation, ECM synthesis and inhibition of matrix degradation. It acts through canonical Smad2/3 signaling and non-Smad pathways such as PI3K/AKT and MAPK (Kim et al., 2018). In the present study, TGF-β1 levels were markedly elevated in the BLM control group, consistent with previous studies (Reinert et al., 2013). Overexpression of TGF-β1 leads to the upregulation of α-smooth muscle actin (α-SMA), collagen type I, and fibronectin, while simultaneously suppressing matrix metalloproteinases (MMPs), thereby tipping the balance toward fibrogenesis.</w:t>
      </w:r>
    </w:p>
    <w:p w14:paraId="067550F8" w14:textId="77777777" w:rsidR="00F32B1C" w:rsidRPr="00F32B1C" w:rsidRDefault="00F32B1C" w:rsidP="00F32B1C">
      <w:pPr>
        <w:ind w:firstLine="720"/>
        <w:jc w:val="both"/>
        <w:rPr>
          <w:rFonts w:ascii="Arial" w:hAnsi="Arial" w:cs="Arial"/>
        </w:rPr>
      </w:pPr>
      <w:r w:rsidRPr="00F32B1C">
        <w:rPr>
          <w:rFonts w:ascii="Arial" w:hAnsi="Arial" w:cs="Arial"/>
        </w:rPr>
        <w:t xml:space="preserve">Administration of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either alone or in combination, significantly downregulated TGF-β1 levels. The combination treatment produced the most substantial decrease, indicating effective inhibition of the TGF-β1 signaling axis. This is supported by Liu et al. (2015) and Zha et al. (2013), who reported that </w:t>
      </w:r>
      <w:proofErr w:type="spellStart"/>
      <w:r w:rsidRPr="00F32B1C">
        <w:rPr>
          <w:rFonts w:ascii="Arial" w:hAnsi="Arial" w:cs="Arial"/>
        </w:rPr>
        <w:t>galangin</w:t>
      </w:r>
      <w:proofErr w:type="spellEnd"/>
      <w:r w:rsidRPr="00F32B1C">
        <w:rPr>
          <w:rFonts w:ascii="Arial" w:hAnsi="Arial" w:cs="Arial"/>
        </w:rPr>
        <w:t xml:space="preserve"> attenuates airway remodeling and inflammation through suppression of the TGF-β1/ROS/MAPK and NF-κB pathways. Piperine has also been shown to inhibit TGF-β1 in macrophages, reducing fibroblast proliferation and ECM accumulation (Ying et al., 2013; </w:t>
      </w:r>
      <w:proofErr w:type="spellStart"/>
      <w:r w:rsidRPr="00F32B1C">
        <w:rPr>
          <w:rFonts w:ascii="Arial" w:hAnsi="Arial" w:cs="Arial"/>
        </w:rPr>
        <w:t>Damanhouri</w:t>
      </w:r>
      <w:proofErr w:type="spellEnd"/>
      <w:r w:rsidRPr="00F32B1C">
        <w:rPr>
          <w:rFonts w:ascii="Arial" w:hAnsi="Arial" w:cs="Arial"/>
        </w:rPr>
        <w:t xml:space="preserve">, 2014). By attenuating TGF-β1 signaling, both compounds disrupt the feed-forward cycle of epithelial injury, cytokine release, and fibroblast activation that perpetuates fibrosis. These findings indicate that TGF-β1 suppression is one of the primary mechanisms through which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exert their antifibrotic actions.</w:t>
      </w:r>
    </w:p>
    <w:p w14:paraId="5DB00086" w14:textId="77777777" w:rsidR="00F32B1C" w:rsidRPr="00F32B1C" w:rsidRDefault="00F32B1C" w:rsidP="00F32B1C">
      <w:pPr>
        <w:ind w:firstLine="720"/>
        <w:jc w:val="both"/>
        <w:rPr>
          <w:rFonts w:ascii="Arial" w:hAnsi="Arial" w:cs="Arial"/>
        </w:rPr>
      </w:pPr>
      <w:r w:rsidRPr="00F32B1C">
        <w:rPr>
          <w:rFonts w:ascii="Arial" w:hAnsi="Arial" w:cs="Arial"/>
        </w:rPr>
        <w:lastRenderedPageBreak/>
        <w:t>The transformation of fibroblasts into contractile myofibroblasts expressing α-SMA is a key event in the pathogenesis of fibrosis. α-SMA serves as a marker for myofibroblast activation and correlates with ECM production and tissue stiffness (</w:t>
      </w:r>
      <w:r w:rsidRPr="006645E8">
        <w:rPr>
          <w:rFonts w:ascii="Arial" w:hAnsi="Arial" w:cs="Arial"/>
        </w:rPr>
        <w:t>Guo et al</w:t>
      </w:r>
      <w:r w:rsidRPr="00F32B1C">
        <w:rPr>
          <w:rFonts w:ascii="Arial" w:hAnsi="Arial" w:cs="Arial"/>
        </w:rPr>
        <w:t xml:space="preserve">., 2022). In the present study, immunohistochemical analysis revealed intense α-SMA expression in the BLM control group, indicating abundant myofibroblast presence and active fibrogenesis. In contrast,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treatments significantly reduced α-SMA expression, and the combination group displayed only mild staining comparable to usual tissue architecture. These findings align with the reports of Tseng et al. (2013) and </w:t>
      </w:r>
      <w:r w:rsidRPr="006645E8">
        <w:rPr>
          <w:rFonts w:ascii="Arial" w:hAnsi="Arial" w:cs="Arial"/>
        </w:rPr>
        <w:t>Xin et al.</w:t>
      </w:r>
      <w:r w:rsidRPr="00F32B1C">
        <w:rPr>
          <w:rFonts w:ascii="Arial" w:hAnsi="Arial" w:cs="Arial"/>
        </w:rPr>
        <w:t xml:space="preserve"> (2019), who observed reduced α-SMA immunoreactivity following inhibition of TGF-β1. The suppression of α-SMA in the present study may result from direct interference with TGF-β1-mediated </w:t>
      </w:r>
      <w:proofErr w:type="spellStart"/>
      <w:r w:rsidRPr="00F32B1C">
        <w:rPr>
          <w:rFonts w:ascii="Arial" w:hAnsi="Arial" w:cs="Arial"/>
        </w:rPr>
        <w:t>Smad</w:t>
      </w:r>
      <w:proofErr w:type="spellEnd"/>
      <w:r w:rsidRPr="00F32B1C">
        <w:rPr>
          <w:rFonts w:ascii="Arial" w:hAnsi="Arial" w:cs="Arial"/>
        </w:rPr>
        <w:t xml:space="preserve"> </w:t>
      </w:r>
      <w:proofErr w:type="spellStart"/>
      <w:proofErr w:type="gramStart"/>
      <w:r w:rsidRPr="00F32B1C">
        <w:rPr>
          <w:rFonts w:ascii="Arial" w:hAnsi="Arial" w:cs="Arial"/>
        </w:rPr>
        <w:t>signaling.This</w:t>
      </w:r>
      <w:proofErr w:type="spellEnd"/>
      <w:proofErr w:type="gramEnd"/>
      <w:r w:rsidRPr="00F32B1C">
        <w:rPr>
          <w:rFonts w:ascii="Arial" w:hAnsi="Arial" w:cs="Arial"/>
        </w:rPr>
        <w:t xml:space="preserve"> downregulation of α-SMA reflects decreased fibroblast differentiation and reduced contractile activity, both of which are essential for limiting ECM deposition and promoting tissue recovery.</w:t>
      </w:r>
    </w:p>
    <w:p w14:paraId="44110AFE" w14:textId="134EB632" w:rsidR="00F32B1C" w:rsidRPr="00F32B1C" w:rsidRDefault="00F32B1C" w:rsidP="00F32B1C">
      <w:pPr>
        <w:ind w:firstLine="720"/>
        <w:jc w:val="both"/>
        <w:rPr>
          <w:rFonts w:ascii="Arial" w:hAnsi="Arial" w:cs="Arial"/>
        </w:rPr>
      </w:pPr>
      <w:r w:rsidRPr="00F32B1C">
        <w:rPr>
          <w:rFonts w:ascii="Arial" w:hAnsi="Arial" w:cs="Arial"/>
        </w:rPr>
        <w:t xml:space="preserve">Matrix metalloproteinase-9 (MMP-9) plays a dual role in fibrosis: while physiologically involved in ECM degradation and tissue </w:t>
      </w:r>
      <w:proofErr w:type="spellStart"/>
      <w:r w:rsidRPr="00F32B1C">
        <w:rPr>
          <w:rFonts w:ascii="Arial" w:hAnsi="Arial" w:cs="Arial"/>
        </w:rPr>
        <w:t>remodelling</w:t>
      </w:r>
      <w:proofErr w:type="spellEnd"/>
      <w:r w:rsidRPr="00F32B1C">
        <w:rPr>
          <w:rFonts w:ascii="Arial" w:hAnsi="Arial" w:cs="Arial"/>
        </w:rPr>
        <w:t xml:space="preserve">, its dysregulated expression contributes to inflammation, epithelial–mesenchymal transition (EMT), and basement membrane disruption (Arpino et al., 2015). In BLM-induced fibrosis, persistent MMP-9 activity amplifies tissue injury and perpetuates fibroblast activation. In the current study, strong MMP-9 immunostaining was observed in the BLM control group, signifying elevated matrix turnover and inflammation. However, groups treated with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showed a marked reduction in MMP-9 expression, with the combination therapy producing the most substantial decline. This observation supports the findings of </w:t>
      </w:r>
      <w:r w:rsidRPr="006645E8">
        <w:rPr>
          <w:rFonts w:ascii="Arial" w:hAnsi="Arial" w:cs="Arial"/>
        </w:rPr>
        <w:t>Xin et al.</w:t>
      </w:r>
      <w:r w:rsidRPr="00F32B1C">
        <w:rPr>
          <w:rFonts w:ascii="Arial" w:hAnsi="Arial" w:cs="Arial"/>
        </w:rPr>
        <w:t xml:space="preserve"> (2019), who demonstrated that pharmacological inhibition of MMP-9 reduced collagen accumulation and improved lung architecture in bleomycin-challenged mice. Both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have been previously shown to inhibit MMP-9 expression through suppression of NF-κB and MAPK signaling (Liu et al., 2015; Choi et al., 2019). The normalization of MMP-9 activity observed in this study suggests restoration of balanced ECM turnover, preventing excessive collagen crosslinking and promoting resolution of fibrosis.</w:t>
      </w:r>
    </w:p>
    <w:p w14:paraId="5CDF84D8" w14:textId="77777777" w:rsidR="00F32B1C" w:rsidRPr="00F32B1C" w:rsidRDefault="00F32B1C" w:rsidP="00F32B1C">
      <w:pPr>
        <w:ind w:firstLine="720"/>
        <w:jc w:val="both"/>
        <w:rPr>
          <w:rFonts w:ascii="Arial" w:hAnsi="Arial" w:cs="Arial"/>
        </w:rPr>
      </w:pPr>
      <w:r w:rsidRPr="00F32B1C">
        <w:rPr>
          <w:rFonts w:ascii="Arial" w:hAnsi="Arial" w:cs="Arial"/>
        </w:rPr>
        <w:t xml:space="preserve">The collective modulation of hydroxyproline, TGF-β1, α-SMA, and MMP-9 observed in this study highlights the multifaceted protective actions of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The decline in hydroxyproline and TGF-β1 indicates inhibition of collagen synthesis and fibroblast activation, while the downregulation of α-SMA and MMP-9 suggests attenuation of myofibroblast differentiation and normalization of ECM metabolism. Histopathological findings further corroborate these biochemical outcomes: the BLM control group exhibited distorted alveolar structures, peribronchiolar fibrous thickening, and inflammatory infiltration, whereas treatment groups, especially the combination group, displayed near-normal alveolar architecture with minimal collagen deposition.</w:t>
      </w:r>
    </w:p>
    <w:p w14:paraId="28E3D1B8" w14:textId="34F48EFF" w:rsidR="00F32B1C" w:rsidRPr="000577B9" w:rsidRDefault="00F32B1C" w:rsidP="003452D3">
      <w:pPr>
        <w:ind w:firstLine="720"/>
        <w:jc w:val="both"/>
        <w:rPr>
          <w:rFonts w:ascii="Arial" w:hAnsi="Arial" w:cs="Arial"/>
        </w:rPr>
      </w:pPr>
      <w:r w:rsidRPr="00F32B1C">
        <w:rPr>
          <w:rFonts w:ascii="Arial" w:hAnsi="Arial" w:cs="Arial"/>
        </w:rPr>
        <w:t xml:space="preserve">The observed antifibrotic effects are likely mediated through multiple interconnected pathways like suppression of oxidative stress via Nrf2 activation, inhibition of NF-κB-driven cytokine release, and blockade of TGF-β1/Smad signaling. By concurrently modulating these molecular circuits,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restore redox balance, limit inflammation, and halt </w:t>
      </w:r>
      <w:proofErr w:type="spellStart"/>
      <w:r w:rsidRPr="00F32B1C">
        <w:rPr>
          <w:rFonts w:ascii="Arial" w:hAnsi="Arial" w:cs="Arial"/>
        </w:rPr>
        <w:t>fibrogenic</w:t>
      </w:r>
      <w:proofErr w:type="spellEnd"/>
      <w:r w:rsidRPr="00F32B1C">
        <w:rPr>
          <w:rFonts w:ascii="Arial" w:hAnsi="Arial" w:cs="Arial"/>
        </w:rPr>
        <w:t xml:space="preserve"> progression. These findings are in agreement with studies demonstrating that natural antioxidants exert pleiotropic antifibrotic effects by targeting both inflammatory and profibrotic mediators (</w:t>
      </w:r>
      <w:proofErr w:type="spellStart"/>
      <w:r w:rsidRPr="00F32B1C">
        <w:rPr>
          <w:rFonts w:ascii="Arial" w:hAnsi="Arial" w:cs="Arial"/>
        </w:rPr>
        <w:t>Aladaileh</w:t>
      </w:r>
      <w:proofErr w:type="spellEnd"/>
      <w:r w:rsidRPr="00F32B1C">
        <w:rPr>
          <w:rFonts w:ascii="Arial" w:hAnsi="Arial" w:cs="Arial"/>
        </w:rPr>
        <w:t xml:space="preserve"> et al., 2019).</w:t>
      </w:r>
    </w:p>
    <w:p w14:paraId="1A4F12CA" w14:textId="77777777" w:rsidR="00790ADA" w:rsidRPr="00FB3A86" w:rsidRDefault="00790ADA" w:rsidP="00441B6F">
      <w:pPr>
        <w:pStyle w:val="Body"/>
        <w:spacing w:after="0"/>
        <w:rPr>
          <w:rFonts w:ascii="Arial" w:hAnsi="Arial" w:cs="Arial"/>
        </w:rPr>
      </w:pPr>
    </w:p>
    <w:p w14:paraId="54519D0E" w14:textId="71B64517"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44582FE" w14:textId="77777777" w:rsidR="003452D3" w:rsidRPr="003452D3" w:rsidRDefault="003452D3" w:rsidP="003452D3">
      <w:pPr>
        <w:ind w:firstLine="720"/>
        <w:jc w:val="both"/>
        <w:rPr>
          <w:rFonts w:ascii="Arial" w:hAnsi="Arial" w:cs="Arial"/>
        </w:rPr>
      </w:pPr>
      <w:r w:rsidRPr="003452D3">
        <w:rPr>
          <w:rFonts w:ascii="Arial" w:hAnsi="Arial" w:cs="Arial"/>
        </w:rPr>
        <w:t xml:space="preserve">In summary, the present study demonstrates that </w:t>
      </w:r>
      <w:proofErr w:type="spellStart"/>
      <w:r w:rsidRPr="003452D3">
        <w:rPr>
          <w:rFonts w:ascii="Arial" w:hAnsi="Arial" w:cs="Arial"/>
        </w:rPr>
        <w:t>galangin</w:t>
      </w:r>
      <w:proofErr w:type="spellEnd"/>
      <w:r w:rsidRPr="003452D3">
        <w:rPr>
          <w:rFonts w:ascii="Arial" w:hAnsi="Arial" w:cs="Arial"/>
        </w:rPr>
        <w:t xml:space="preserve"> and </w:t>
      </w:r>
      <w:proofErr w:type="spellStart"/>
      <w:r w:rsidRPr="003452D3">
        <w:rPr>
          <w:rFonts w:ascii="Arial" w:hAnsi="Arial" w:cs="Arial"/>
        </w:rPr>
        <w:t>piperine</w:t>
      </w:r>
      <w:proofErr w:type="spellEnd"/>
      <w:r w:rsidRPr="003452D3">
        <w:rPr>
          <w:rFonts w:ascii="Arial" w:hAnsi="Arial" w:cs="Arial"/>
        </w:rPr>
        <w:t xml:space="preserve">, individually and in combination, confer significant protection against bleomycin-induced pulmonary fibrosis in C57BL/6 mice. Their beneficial effects are reflected by reduced hydroxyproline levels, suppressed TGF-β1 expression, decreased α-SMA and MMP-9 immunoreactivity, and restoration of typical lung histoarchitecture. The combination therapy yielded the most effective response, suggesting synergistic interaction between </w:t>
      </w:r>
      <w:proofErr w:type="spellStart"/>
      <w:r w:rsidRPr="003452D3">
        <w:rPr>
          <w:rFonts w:ascii="Arial" w:hAnsi="Arial" w:cs="Arial"/>
        </w:rPr>
        <w:t>galangin’s</w:t>
      </w:r>
      <w:proofErr w:type="spellEnd"/>
      <w:r w:rsidRPr="003452D3">
        <w:rPr>
          <w:rFonts w:ascii="Arial" w:hAnsi="Arial" w:cs="Arial"/>
        </w:rPr>
        <w:t xml:space="preserve"> antioxidant and anti-inflammatory potential and </w:t>
      </w:r>
      <w:proofErr w:type="spellStart"/>
      <w:r w:rsidRPr="003452D3">
        <w:rPr>
          <w:rFonts w:ascii="Arial" w:hAnsi="Arial" w:cs="Arial"/>
        </w:rPr>
        <w:t>piperine’s</w:t>
      </w:r>
      <w:proofErr w:type="spellEnd"/>
      <w:r w:rsidRPr="003452D3">
        <w:rPr>
          <w:rFonts w:ascii="Arial" w:hAnsi="Arial" w:cs="Arial"/>
        </w:rPr>
        <w:t xml:space="preserve"> </w:t>
      </w:r>
      <w:proofErr w:type="spellStart"/>
      <w:r w:rsidRPr="003452D3">
        <w:rPr>
          <w:rFonts w:ascii="Arial" w:hAnsi="Arial" w:cs="Arial"/>
        </w:rPr>
        <w:t>bioenhancing</w:t>
      </w:r>
      <w:proofErr w:type="spellEnd"/>
      <w:r w:rsidRPr="003452D3">
        <w:rPr>
          <w:rFonts w:ascii="Arial" w:hAnsi="Arial" w:cs="Arial"/>
        </w:rPr>
        <w:t xml:space="preserve"> capacity. Collectively, these findings </w:t>
      </w:r>
      <w:r w:rsidRPr="003452D3">
        <w:rPr>
          <w:rFonts w:ascii="Arial" w:hAnsi="Arial" w:cs="Arial"/>
        </w:rPr>
        <w:lastRenderedPageBreak/>
        <w:t xml:space="preserve">indicate that co-administration of </w:t>
      </w:r>
      <w:proofErr w:type="spellStart"/>
      <w:r w:rsidRPr="003452D3">
        <w:rPr>
          <w:rFonts w:ascii="Arial" w:hAnsi="Arial" w:cs="Arial"/>
        </w:rPr>
        <w:t>galangin</w:t>
      </w:r>
      <w:proofErr w:type="spellEnd"/>
      <w:r w:rsidRPr="003452D3">
        <w:rPr>
          <w:rFonts w:ascii="Arial" w:hAnsi="Arial" w:cs="Arial"/>
        </w:rPr>
        <w:t xml:space="preserve"> and </w:t>
      </w:r>
      <w:proofErr w:type="spellStart"/>
      <w:r w:rsidRPr="003452D3">
        <w:rPr>
          <w:rFonts w:ascii="Arial" w:hAnsi="Arial" w:cs="Arial"/>
        </w:rPr>
        <w:t>piperine</w:t>
      </w:r>
      <w:proofErr w:type="spellEnd"/>
      <w:r w:rsidRPr="003452D3">
        <w:rPr>
          <w:rFonts w:ascii="Arial" w:hAnsi="Arial" w:cs="Arial"/>
        </w:rPr>
        <w:t xml:space="preserve"> mitigates pulmonary fibrosis by inhibiting oxidative stress, downregulating TGF-β1/α-SMA/MMP-9 pathways, and normalizing ECM turnover. This combined </w:t>
      </w:r>
      <w:proofErr w:type="spellStart"/>
      <w:r w:rsidRPr="003452D3">
        <w:rPr>
          <w:rFonts w:ascii="Arial" w:hAnsi="Arial" w:cs="Arial"/>
        </w:rPr>
        <w:t>phytotherapeutic</w:t>
      </w:r>
      <w:proofErr w:type="spellEnd"/>
      <w:r w:rsidRPr="003452D3">
        <w:rPr>
          <w:rFonts w:ascii="Arial" w:hAnsi="Arial" w:cs="Arial"/>
        </w:rPr>
        <w:t xml:space="preserve"> approach may thus serve as a promising strategy for managing fibrotic lung disorders such as idiopathic pulmonary fibrosis.</w:t>
      </w:r>
    </w:p>
    <w:p w14:paraId="3F650652" w14:textId="77777777" w:rsidR="00790ADA" w:rsidRPr="003452D3" w:rsidRDefault="00790ADA" w:rsidP="00441B6F">
      <w:pPr>
        <w:pStyle w:val="Body"/>
        <w:spacing w:after="0"/>
        <w:rPr>
          <w:rFonts w:ascii="Arial" w:hAnsi="Arial" w:cs="Arial"/>
          <w:sz w:val="16"/>
          <w:szCs w:val="16"/>
        </w:rPr>
      </w:pPr>
    </w:p>
    <w:p w14:paraId="278A3BDD" w14:textId="77777777" w:rsidR="002B685A" w:rsidRPr="002B685A" w:rsidRDefault="002B685A" w:rsidP="00441B6F">
      <w:pPr>
        <w:pStyle w:val="ReferHead"/>
        <w:spacing w:after="0"/>
        <w:jc w:val="both"/>
        <w:rPr>
          <w:rFonts w:ascii="Arial" w:hAnsi="Arial" w:cs="Arial"/>
          <w:bCs/>
        </w:rPr>
      </w:pPr>
    </w:p>
    <w:p w14:paraId="287027C0" w14:textId="77777777" w:rsidR="00860000" w:rsidRDefault="00860000" w:rsidP="00441B6F">
      <w:pPr>
        <w:pStyle w:val="ReferHead"/>
        <w:spacing w:after="0"/>
        <w:jc w:val="both"/>
        <w:rPr>
          <w:rFonts w:ascii="Arial" w:hAnsi="Arial" w:cs="Arial"/>
        </w:rPr>
      </w:pPr>
    </w:p>
    <w:p w14:paraId="71B1A74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6BF171" w14:textId="77777777" w:rsidR="00790ADA" w:rsidRPr="00FB3A86" w:rsidRDefault="00790ADA" w:rsidP="00441B6F">
      <w:pPr>
        <w:pStyle w:val="ReferHead"/>
        <w:spacing w:after="0"/>
        <w:jc w:val="both"/>
        <w:rPr>
          <w:rFonts w:ascii="Arial" w:hAnsi="Arial" w:cs="Arial"/>
        </w:rPr>
      </w:pPr>
    </w:p>
    <w:p w14:paraId="1A3E0F22" w14:textId="77777777" w:rsidR="00175FE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Faverio</w:t>
      </w:r>
      <w:proofErr w:type="spellEnd"/>
      <w:r w:rsidRPr="00175FE5">
        <w:rPr>
          <w:rFonts w:ascii="Times New Roman" w:hAnsi="Times New Roman"/>
          <w:sz w:val="24"/>
          <w:szCs w:val="24"/>
        </w:rPr>
        <w:t xml:space="preserve"> P, De </w:t>
      </w:r>
      <w:proofErr w:type="spellStart"/>
      <w:r w:rsidRPr="00175FE5">
        <w:rPr>
          <w:rFonts w:ascii="Times New Roman" w:hAnsi="Times New Roman"/>
          <w:sz w:val="24"/>
          <w:szCs w:val="24"/>
        </w:rPr>
        <w:t>Giacomi</w:t>
      </w:r>
      <w:proofErr w:type="spellEnd"/>
      <w:r w:rsidRPr="00175FE5">
        <w:rPr>
          <w:rFonts w:ascii="Times New Roman" w:hAnsi="Times New Roman"/>
          <w:sz w:val="24"/>
          <w:szCs w:val="24"/>
        </w:rPr>
        <w:t xml:space="preserve"> F, Sardella L, Fiorentino G, Carone M, Salerno F, Ora J, </w:t>
      </w:r>
      <w:proofErr w:type="spellStart"/>
      <w:r w:rsidRPr="00175FE5">
        <w:rPr>
          <w:rFonts w:ascii="Times New Roman" w:hAnsi="Times New Roman"/>
          <w:sz w:val="24"/>
          <w:szCs w:val="24"/>
        </w:rPr>
        <w:t>Rogliani</w:t>
      </w:r>
      <w:proofErr w:type="spellEnd"/>
      <w:r w:rsidRPr="00175FE5">
        <w:rPr>
          <w:rFonts w:ascii="Times New Roman" w:hAnsi="Times New Roman"/>
          <w:sz w:val="24"/>
          <w:szCs w:val="24"/>
        </w:rPr>
        <w:t xml:space="preserve"> P, Pellegrino G, Sferrazza Papa GF, Bini F. (2018). Management of acute respiratory failure in interstitial lung diseases: overview and clinical insights. BMC pulmonary medicine</w:t>
      </w:r>
      <w:r w:rsidR="00CD4BF6" w:rsidRPr="00175FE5">
        <w:rPr>
          <w:rFonts w:ascii="Times New Roman" w:hAnsi="Times New Roman"/>
          <w:sz w:val="24"/>
          <w:szCs w:val="24"/>
        </w:rPr>
        <w:t>,</w:t>
      </w:r>
      <w:r w:rsidRPr="00175FE5">
        <w:rPr>
          <w:rFonts w:ascii="Times New Roman" w:hAnsi="Times New Roman"/>
          <w:sz w:val="24"/>
          <w:szCs w:val="24"/>
        </w:rPr>
        <w:t xml:space="preserve"> 18(1):70.</w:t>
      </w:r>
    </w:p>
    <w:p w14:paraId="7CB91385" w14:textId="77777777" w:rsid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Marinescu DC, Raghu G, Remy-Jardin M, Travis WD, </w:t>
      </w:r>
      <w:proofErr w:type="spellStart"/>
      <w:r w:rsidRPr="00175FE5">
        <w:rPr>
          <w:rFonts w:ascii="Times New Roman" w:hAnsi="Times New Roman"/>
          <w:sz w:val="24"/>
          <w:szCs w:val="24"/>
        </w:rPr>
        <w:t>Adegunsoye</w:t>
      </w:r>
      <w:proofErr w:type="spellEnd"/>
      <w:r w:rsidRPr="00175FE5">
        <w:rPr>
          <w:rFonts w:ascii="Times New Roman" w:hAnsi="Times New Roman"/>
          <w:sz w:val="24"/>
          <w:szCs w:val="24"/>
        </w:rPr>
        <w:t xml:space="preserve"> A, Beasley MB, Chung JH, Churg A, </w:t>
      </w:r>
      <w:proofErr w:type="spellStart"/>
      <w:r w:rsidRPr="00175FE5">
        <w:rPr>
          <w:rFonts w:ascii="Times New Roman" w:hAnsi="Times New Roman"/>
          <w:sz w:val="24"/>
          <w:szCs w:val="24"/>
        </w:rPr>
        <w:t>Cottin</w:t>
      </w:r>
      <w:proofErr w:type="spellEnd"/>
      <w:r w:rsidRPr="00175FE5">
        <w:rPr>
          <w:rFonts w:ascii="Times New Roman" w:hAnsi="Times New Roman"/>
          <w:sz w:val="24"/>
          <w:szCs w:val="24"/>
        </w:rPr>
        <w:t xml:space="preserve"> V, </w:t>
      </w:r>
      <w:proofErr w:type="spellStart"/>
      <w:r w:rsidRPr="00175FE5">
        <w:rPr>
          <w:rFonts w:ascii="Times New Roman" w:hAnsi="Times New Roman"/>
          <w:sz w:val="24"/>
          <w:szCs w:val="24"/>
        </w:rPr>
        <w:t>Egashira</w:t>
      </w:r>
      <w:proofErr w:type="spellEnd"/>
      <w:r w:rsidRPr="00175FE5">
        <w:rPr>
          <w:rFonts w:ascii="Times New Roman" w:hAnsi="Times New Roman"/>
          <w:sz w:val="24"/>
          <w:szCs w:val="24"/>
        </w:rPr>
        <w:t xml:space="preserve"> R, Perez </w:t>
      </w:r>
      <w:proofErr w:type="gramStart"/>
      <w:r w:rsidRPr="00175FE5">
        <w:rPr>
          <w:rFonts w:ascii="Times New Roman" w:hAnsi="Times New Roman"/>
          <w:sz w:val="24"/>
          <w:szCs w:val="24"/>
        </w:rPr>
        <w:t>ER.</w:t>
      </w:r>
      <w:r w:rsidR="00CD4BF6" w:rsidRPr="00175FE5">
        <w:rPr>
          <w:rFonts w:ascii="Times New Roman" w:hAnsi="Times New Roman"/>
          <w:sz w:val="24"/>
          <w:szCs w:val="24"/>
        </w:rPr>
        <w:t>(</w:t>
      </w:r>
      <w:proofErr w:type="gramEnd"/>
      <w:r w:rsidR="00CD4BF6" w:rsidRPr="00175FE5">
        <w:rPr>
          <w:rFonts w:ascii="Times New Roman" w:hAnsi="Times New Roman"/>
          <w:sz w:val="24"/>
          <w:szCs w:val="24"/>
        </w:rPr>
        <w:t>2022)</w:t>
      </w:r>
      <w:r w:rsidRPr="00175FE5">
        <w:rPr>
          <w:rFonts w:ascii="Times New Roman" w:hAnsi="Times New Roman"/>
          <w:sz w:val="24"/>
          <w:szCs w:val="24"/>
        </w:rPr>
        <w:t xml:space="preserve"> Integration and application of clinical practice guidelines for the diagnosis of idiopathic pulmonary fibrosis and fibrotic hypersensitivity pneumonitis. Chest</w:t>
      </w:r>
      <w:r w:rsidR="00CD4BF6" w:rsidRPr="00175FE5">
        <w:rPr>
          <w:rFonts w:ascii="Times New Roman" w:hAnsi="Times New Roman"/>
          <w:sz w:val="24"/>
          <w:szCs w:val="24"/>
        </w:rPr>
        <w:t xml:space="preserve">, </w:t>
      </w:r>
      <w:r w:rsidRPr="00175FE5">
        <w:rPr>
          <w:rFonts w:ascii="Times New Roman" w:hAnsi="Times New Roman"/>
          <w:sz w:val="24"/>
          <w:szCs w:val="24"/>
        </w:rPr>
        <w:t>162(3):614-29.</w:t>
      </w:r>
    </w:p>
    <w:p w14:paraId="09955C97" w14:textId="04D35FEA" w:rsidR="009C5164" w:rsidRPr="009C5164" w:rsidRDefault="009C5164" w:rsidP="009C5164">
      <w:pPr>
        <w:pStyle w:val="ListParagraph"/>
        <w:numPr>
          <w:ilvl w:val="0"/>
          <w:numId w:val="32"/>
        </w:numPr>
        <w:jc w:val="both"/>
        <w:rPr>
          <w:rFonts w:ascii="Times New Roman" w:hAnsi="Times New Roman"/>
          <w:sz w:val="24"/>
          <w:szCs w:val="24"/>
        </w:rPr>
      </w:pPr>
      <w:r w:rsidRPr="009C5164">
        <w:rPr>
          <w:rFonts w:ascii="Times New Roman" w:hAnsi="Times New Roman"/>
          <w:sz w:val="24"/>
          <w:szCs w:val="24"/>
        </w:rPr>
        <w:t>Zhao M, Wang L, Wang M, Zhou S, Lu Y, Cui H, Racanelli AC, Zhang L, Ye T, Ding B, Zhang B.</w:t>
      </w:r>
      <w:r>
        <w:rPr>
          <w:rFonts w:ascii="Times New Roman" w:hAnsi="Times New Roman"/>
          <w:sz w:val="24"/>
          <w:szCs w:val="24"/>
        </w:rPr>
        <w:t xml:space="preserve"> (2022).</w:t>
      </w:r>
      <w:r w:rsidRPr="009C5164">
        <w:rPr>
          <w:rFonts w:ascii="Times New Roman" w:hAnsi="Times New Roman"/>
          <w:sz w:val="24"/>
          <w:szCs w:val="24"/>
        </w:rPr>
        <w:t xml:space="preserve"> Targeting fibrosis: mechanisms and clinical trials. Signal transduction and targeted therapy</w:t>
      </w:r>
      <w:r>
        <w:rPr>
          <w:rFonts w:ascii="Times New Roman" w:hAnsi="Times New Roman"/>
          <w:sz w:val="24"/>
          <w:szCs w:val="24"/>
        </w:rPr>
        <w:t xml:space="preserve">, </w:t>
      </w:r>
      <w:r w:rsidRPr="009C5164">
        <w:rPr>
          <w:rFonts w:ascii="Times New Roman" w:hAnsi="Times New Roman"/>
          <w:sz w:val="24"/>
          <w:szCs w:val="24"/>
        </w:rPr>
        <w:t>7(1):206.</w:t>
      </w:r>
    </w:p>
    <w:p w14:paraId="60CD4B95" w14:textId="77777777" w:rsidR="00000B26" w:rsidRDefault="00962225" w:rsidP="00000B26">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Nadrous</w:t>
      </w:r>
      <w:proofErr w:type="spellEnd"/>
      <w:r w:rsidRPr="00175FE5">
        <w:rPr>
          <w:rFonts w:ascii="Times New Roman" w:hAnsi="Times New Roman"/>
          <w:sz w:val="24"/>
          <w:szCs w:val="24"/>
        </w:rPr>
        <w:t xml:space="preserve"> HF, Myers JL, Decker PA, Ryu JH. </w:t>
      </w:r>
      <w:r w:rsidR="00CD4BF6" w:rsidRPr="00175FE5">
        <w:rPr>
          <w:rFonts w:ascii="Times New Roman" w:hAnsi="Times New Roman"/>
          <w:sz w:val="24"/>
          <w:szCs w:val="24"/>
        </w:rPr>
        <w:t xml:space="preserve">(2005). </w:t>
      </w:r>
      <w:r w:rsidRPr="00175FE5">
        <w:rPr>
          <w:rFonts w:ascii="Times New Roman" w:hAnsi="Times New Roman"/>
          <w:sz w:val="24"/>
          <w:szCs w:val="24"/>
        </w:rPr>
        <w:t xml:space="preserve">Idiopathic pulmonary fibrosis in patients younger than 50 years. </w:t>
      </w:r>
      <w:proofErr w:type="spellStart"/>
      <w:r w:rsidRPr="00175FE5">
        <w:rPr>
          <w:rFonts w:ascii="Times New Roman" w:hAnsi="Times New Roman"/>
          <w:sz w:val="24"/>
          <w:szCs w:val="24"/>
        </w:rPr>
        <w:t>InMayo</w:t>
      </w:r>
      <w:proofErr w:type="spellEnd"/>
      <w:r w:rsidRPr="00175FE5">
        <w:rPr>
          <w:rFonts w:ascii="Times New Roman" w:hAnsi="Times New Roman"/>
          <w:sz w:val="24"/>
          <w:szCs w:val="24"/>
        </w:rPr>
        <w:t xml:space="preserve"> clinic proceedings</w:t>
      </w:r>
      <w:r w:rsidR="00CD4BF6" w:rsidRPr="00175FE5">
        <w:rPr>
          <w:rFonts w:ascii="Times New Roman" w:hAnsi="Times New Roman"/>
          <w:sz w:val="24"/>
          <w:szCs w:val="24"/>
        </w:rPr>
        <w:t xml:space="preserve">, </w:t>
      </w:r>
      <w:r w:rsidRPr="00175FE5">
        <w:rPr>
          <w:rFonts w:ascii="Times New Roman" w:hAnsi="Times New Roman"/>
          <w:sz w:val="24"/>
          <w:szCs w:val="24"/>
        </w:rPr>
        <w:t>80(1):37-40.</w:t>
      </w:r>
    </w:p>
    <w:p w14:paraId="31DB9A38" w14:textId="77777777" w:rsidR="00000B26"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 xml:space="preserve">Wang L, Xue J, Wei F, Zheng G, Cheng M, Liu </w:t>
      </w:r>
      <w:proofErr w:type="gramStart"/>
      <w:r w:rsidRPr="00000B26">
        <w:rPr>
          <w:rFonts w:ascii="Times New Roman" w:hAnsi="Times New Roman"/>
          <w:sz w:val="24"/>
          <w:szCs w:val="24"/>
        </w:rPr>
        <w:t>S.</w:t>
      </w:r>
      <w:r w:rsidR="00CD4BF6" w:rsidRPr="00000B26">
        <w:rPr>
          <w:rFonts w:ascii="Times New Roman" w:hAnsi="Times New Roman"/>
          <w:sz w:val="24"/>
          <w:szCs w:val="24"/>
        </w:rPr>
        <w:t>(</w:t>
      </w:r>
      <w:proofErr w:type="gramEnd"/>
      <w:r w:rsidR="00CD4BF6" w:rsidRPr="00000B26">
        <w:rPr>
          <w:rFonts w:ascii="Times New Roman" w:hAnsi="Times New Roman"/>
          <w:sz w:val="24"/>
          <w:szCs w:val="24"/>
        </w:rPr>
        <w:t>2021).</w:t>
      </w:r>
      <w:r w:rsidRPr="00000B26">
        <w:rPr>
          <w:rFonts w:ascii="Times New Roman" w:hAnsi="Times New Roman"/>
          <w:sz w:val="24"/>
          <w:szCs w:val="24"/>
        </w:rPr>
        <w:t xml:space="preserve"> </w:t>
      </w:r>
      <w:proofErr w:type="spellStart"/>
      <w:r w:rsidRPr="00000B26">
        <w:rPr>
          <w:rFonts w:ascii="Times New Roman" w:hAnsi="Times New Roman"/>
          <w:sz w:val="24"/>
          <w:szCs w:val="24"/>
        </w:rPr>
        <w:t>Chemopreventive</w:t>
      </w:r>
      <w:proofErr w:type="spellEnd"/>
      <w:r w:rsidRPr="00000B26">
        <w:rPr>
          <w:rFonts w:ascii="Times New Roman" w:hAnsi="Times New Roman"/>
          <w:sz w:val="24"/>
          <w:szCs w:val="24"/>
        </w:rPr>
        <w:t xml:space="preserve"> effect of </w:t>
      </w:r>
      <w:proofErr w:type="spellStart"/>
      <w:r w:rsidRPr="00000B26">
        <w:rPr>
          <w:rFonts w:ascii="Times New Roman" w:hAnsi="Times New Roman"/>
          <w:sz w:val="24"/>
          <w:szCs w:val="24"/>
        </w:rPr>
        <w:t>galangin</w:t>
      </w:r>
      <w:proofErr w:type="spellEnd"/>
      <w:r w:rsidRPr="00000B26">
        <w:rPr>
          <w:rFonts w:ascii="Times New Roman" w:hAnsi="Times New Roman"/>
          <w:sz w:val="24"/>
          <w:szCs w:val="24"/>
        </w:rPr>
        <w:t xml:space="preserve"> against benzo (a) pyrene-induced stomach tumorigenesis through modulating aryl hydrocarbon receptor in Swiss albino mice. Human &amp; Experimental Toxicology</w:t>
      </w:r>
      <w:r w:rsidR="00CD4BF6" w:rsidRPr="00000B26">
        <w:rPr>
          <w:rFonts w:ascii="Times New Roman" w:hAnsi="Times New Roman"/>
          <w:sz w:val="24"/>
          <w:szCs w:val="24"/>
        </w:rPr>
        <w:t xml:space="preserve">, </w:t>
      </w:r>
      <w:r w:rsidRPr="00000B26">
        <w:rPr>
          <w:rFonts w:ascii="Times New Roman" w:hAnsi="Times New Roman"/>
          <w:sz w:val="24"/>
          <w:szCs w:val="24"/>
        </w:rPr>
        <w:t>40(9):1434-44.</w:t>
      </w:r>
    </w:p>
    <w:p w14:paraId="320A634B" w14:textId="77777777" w:rsidR="00000B26"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 xml:space="preserve">Guo X, Sunil C, Qian G. </w:t>
      </w:r>
      <w:r w:rsidR="00CD4BF6" w:rsidRPr="00000B26">
        <w:rPr>
          <w:rFonts w:ascii="Times New Roman" w:hAnsi="Times New Roman"/>
          <w:sz w:val="24"/>
          <w:szCs w:val="24"/>
        </w:rPr>
        <w:t xml:space="preserve">(2022). </w:t>
      </w:r>
      <w:r w:rsidRPr="00000B26">
        <w:rPr>
          <w:rFonts w:ascii="Times New Roman" w:hAnsi="Times New Roman"/>
          <w:sz w:val="24"/>
          <w:szCs w:val="24"/>
        </w:rPr>
        <w:t>Obesity and the development of lung fibrosis. Frontiers in pharmacology</w:t>
      </w:r>
      <w:r w:rsidR="00CD4BF6" w:rsidRPr="00000B26">
        <w:rPr>
          <w:rFonts w:ascii="Times New Roman" w:hAnsi="Times New Roman"/>
          <w:sz w:val="24"/>
          <w:szCs w:val="24"/>
        </w:rPr>
        <w:t xml:space="preserve">, </w:t>
      </w:r>
      <w:r w:rsidRPr="00000B26">
        <w:rPr>
          <w:rFonts w:ascii="Times New Roman" w:hAnsi="Times New Roman"/>
          <w:sz w:val="24"/>
          <w:szCs w:val="24"/>
        </w:rPr>
        <w:t>12:812166.</w:t>
      </w:r>
    </w:p>
    <w:p w14:paraId="419C05F9" w14:textId="77777777" w:rsidR="00000B26"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Kim HC, Lee S, Song JW.</w:t>
      </w:r>
      <w:r w:rsidR="00CD4BF6" w:rsidRPr="00000B26">
        <w:rPr>
          <w:rFonts w:ascii="Times New Roman" w:hAnsi="Times New Roman"/>
          <w:sz w:val="24"/>
          <w:szCs w:val="24"/>
        </w:rPr>
        <w:t xml:space="preserve"> (2021).</w:t>
      </w:r>
      <w:r w:rsidRPr="00000B26">
        <w:rPr>
          <w:rFonts w:ascii="Times New Roman" w:hAnsi="Times New Roman"/>
          <w:sz w:val="24"/>
          <w:szCs w:val="24"/>
        </w:rPr>
        <w:t xml:space="preserve"> Impact of idiopathic pulmonary fibrosis on clinical outcomes of lung cancer patients. Scientific reports</w:t>
      </w:r>
      <w:r w:rsidR="00CD4BF6" w:rsidRPr="00000B26">
        <w:rPr>
          <w:rFonts w:ascii="Times New Roman" w:hAnsi="Times New Roman"/>
          <w:sz w:val="24"/>
          <w:szCs w:val="24"/>
        </w:rPr>
        <w:t xml:space="preserve">, </w:t>
      </w:r>
      <w:r w:rsidRPr="00000B26">
        <w:rPr>
          <w:rFonts w:ascii="Times New Roman" w:hAnsi="Times New Roman"/>
          <w:sz w:val="24"/>
          <w:szCs w:val="24"/>
        </w:rPr>
        <w:t>11(1):8312.</w:t>
      </w:r>
    </w:p>
    <w:p w14:paraId="657FE3B7" w14:textId="37C5FD87" w:rsidR="00962225"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 xml:space="preserve">Arpino V, Brock M, Gill SE. </w:t>
      </w:r>
      <w:r w:rsidR="00CD4BF6" w:rsidRPr="00000B26">
        <w:rPr>
          <w:rFonts w:ascii="Times New Roman" w:hAnsi="Times New Roman"/>
          <w:sz w:val="24"/>
          <w:szCs w:val="24"/>
        </w:rPr>
        <w:t xml:space="preserve">(2015). </w:t>
      </w:r>
      <w:r w:rsidRPr="00000B26">
        <w:rPr>
          <w:rFonts w:ascii="Times New Roman" w:hAnsi="Times New Roman"/>
          <w:sz w:val="24"/>
          <w:szCs w:val="24"/>
        </w:rPr>
        <w:t xml:space="preserve">The role of TIMPs in regulation of extracellular matrix proteolysis. Matrix </w:t>
      </w:r>
      <w:proofErr w:type="gramStart"/>
      <w:r w:rsidRPr="00000B26">
        <w:rPr>
          <w:rFonts w:ascii="Times New Roman" w:hAnsi="Times New Roman"/>
          <w:sz w:val="24"/>
          <w:szCs w:val="24"/>
        </w:rPr>
        <w:t>biology</w:t>
      </w:r>
      <w:r w:rsidR="00CD4BF6" w:rsidRPr="00000B26">
        <w:rPr>
          <w:rFonts w:ascii="Times New Roman" w:hAnsi="Times New Roman"/>
          <w:sz w:val="24"/>
          <w:szCs w:val="24"/>
        </w:rPr>
        <w:t xml:space="preserve">, </w:t>
      </w:r>
      <w:r w:rsidRPr="00000B26">
        <w:rPr>
          <w:rFonts w:ascii="Times New Roman" w:hAnsi="Times New Roman"/>
          <w:sz w:val="24"/>
          <w:szCs w:val="24"/>
        </w:rPr>
        <w:t xml:space="preserve"> 44</w:t>
      </w:r>
      <w:proofErr w:type="gramEnd"/>
      <w:r w:rsidRPr="00000B26">
        <w:rPr>
          <w:rFonts w:ascii="Times New Roman" w:hAnsi="Times New Roman"/>
          <w:sz w:val="24"/>
          <w:szCs w:val="24"/>
        </w:rPr>
        <w:t>:247-54.</w:t>
      </w:r>
    </w:p>
    <w:p w14:paraId="72467A43" w14:textId="77777777" w:rsidR="00000B26" w:rsidRDefault="00000B26"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Khalili-</w:t>
      </w:r>
      <w:proofErr w:type="spellStart"/>
      <w:r w:rsidRPr="00000B26">
        <w:rPr>
          <w:rFonts w:ascii="Times New Roman" w:hAnsi="Times New Roman"/>
          <w:sz w:val="24"/>
          <w:szCs w:val="24"/>
        </w:rPr>
        <w:t>Fomeshi</w:t>
      </w:r>
      <w:proofErr w:type="spellEnd"/>
      <w:r w:rsidRPr="00000B26">
        <w:rPr>
          <w:rFonts w:ascii="Times New Roman" w:hAnsi="Times New Roman"/>
          <w:sz w:val="24"/>
          <w:szCs w:val="24"/>
        </w:rPr>
        <w:t xml:space="preserve"> M, Azizi MG, Esmaeili MR, Gol M, </w:t>
      </w:r>
      <w:proofErr w:type="spellStart"/>
      <w:r w:rsidRPr="00000B26">
        <w:rPr>
          <w:rFonts w:ascii="Times New Roman" w:hAnsi="Times New Roman"/>
          <w:sz w:val="24"/>
          <w:szCs w:val="24"/>
        </w:rPr>
        <w:t>Kazemi</w:t>
      </w:r>
      <w:proofErr w:type="spellEnd"/>
      <w:r w:rsidRPr="00000B26">
        <w:rPr>
          <w:rFonts w:ascii="Times New Roman" w:hAnsi="Times New Roman"/>
          <w:sz w:val="24"/>
          <w:szCs w:val="24"/>
        </w:rPr>
        <w:t xml:space="preserve"> S, </w:t>
      </w:r>
      <w:proofErr w:type="spellStart"/>
      <w:r w:rsidRPr="00000B26">
        <w:rPr>
          <w:rFonts w:ascii="Times New Roman" w:hAnsi="Times New Roman"/>
          <w:sz w:val="24"/>
          <w:szCs w:val="24"/>
        </w:rPr>
        <w:t>Ashrafpour</w:t>
      </w:r>
      <w:proofErr w:type="spellEnd"/>
      <w:r w:rsidRPr="00000B26">
        <w:rPr>
          <w:rFonts w:ascii="Times New Roman" w:hAnsi="Times New Roman"/>
          <w:sz w:val="24"/>
          <w:szCs w:val="24"/>
        </w:rPr>
        <w:t xml:space="preserve"> M, </w:t>
      </w:r>
      <w:proofErr w:type="spellStart"/>
      <w:r w:rsidRPr="00000B26">
        <w:rPr>
          <w:rFonts w:ascii="Times New Roman" w:hAnsi="Times New Roman"/>
          <w:sz w:val="24"/>
          <w:szCs w:val="24"/>
        </w:rPr>
        <w:t>Moghadamnia</w:t>
      </w:r>
      <w:proofErr w:type="spellEnd"/>
      <w:r w:rsidRPr="00000B26">
        <w:rPr>
          <w:rFonts w:ascii="Times New Roman" w:hAnsi="Times New Roman"/>
          <w:sz w:val="24"/>
          <w:szCs w:val="24"/>
        </w:rPr>
        <w:t xml:space="preserve"> AA, Hosseinzadeh S.</w:t>
      </w:r>
      <w:r>
        <w:rPr>
          <w:rFonts w:ascii="Times New Roman" w:hAnsi="Times New Roman"/>
          <w:sz w:val="24"/>
          <w:szCs w:val="24"/>
        </w:rPr>
        <w:t xml:space="preserve"> (2018).</w:t>
      </w:r>
      <w:r w:rsidRPr="00000B26">
        <w:rPr>
          <w:rFonts w:ascii="Times New Roman" w:hAnsi="Times New Roman"/>
          <w:sz w:val="24"/>
          <w:szCs w:val="24"/>
        </w:rPr>
        <w:t xml:space="preserve"> Piperine restores streptozotocin-induced cognitive impairments: Insights into oxidative balance in cerebrospinal fluid and hippocampus. </w:t>
      </w:r>
      <w:proofErr w:type="spellStart"/>
      <w:r w:rsidRPr="00000B26">
        <w:rPr>
          <w:rFonts w:ascii="Times New Roman" w:hAnsi="Times New Roman"/>
          <w:sz w:val="24"/>
          <w:szCs w:val="24"/>
        </w:rPr>
        <w:t>Behavioural</w:t>
      </w:r>
      <w:proofErr w:type="spellEnd"/>
      <w:r w:rsidRPr="00000B26">
        <w:rPr>
          <w:rFonts w:ascii="Times New Roman" w:hAnsi="Times New Roman"/>
          <w:sz w:val="24"/>
          <w:szCs w:val="24"/>
        </w:rPr>
        <w:t xml:space="preserve"> Brain Research</w:t>
      </w:r>
      <w:r>
        <w:rPr>
          <w:rFonts w:ascii="Times New Roman" w:hAnsi="Times New Roman"/>
          <w:sz w:val="24"/>
          <w:szCs w:val="24"/>
        </w:rPr>
        <w:t xml:space="preserve">, </w:t>
      </w:r>
      <w:r w:rsidRPr="00000B26">
        <w:rPr>
          <w:rFonts w:ascii="Times New Roman" w:hAnsi="Times New Roman"/>
          <w:sz w:val="24"/>
          <w:szCs w:val="24"/>
        </w:rPr>
        <w:t>337:131-8.</w:t>
      </w:r>
    </w:p>
    <w:p w14:paraId="04CC9015" w14:textId="5CC38275" w:rsidR="009C5164" w:rsidRPr="00B339B5" w:rsidRDefault="009C5164" w:rsidP="00B339B5">
      <w:pPr>
        <w:pStyle w:val="ListParagraph"/>
        <w:numPr>
          <w:ilvl w:val="0"/>
          <w:numId w:val="32"/>
        </w:numPr>
        <w:jc w:val="both"/>
        <w:rPr>
          <w:rFonts w:ascii="Times New Roman" w:hAnsi="Times New Roman"/>
          <w:sz w:val="24"/>
          <w:szCs w:val="24"/>
        </w:rPr>
      </w:pPr>
      <w:r w:rsidRPr="009C5164">
        <w:rPr>
          <w:rFonts w:ascii="Times New Roman" w:hAnsi="Times New Roman"/>
          <w:sz w:val="24"/>
          <w:szCs w:val="24"/>
        </w:rPr>
        <w:t>Song S, Fu Z, Guan R, Zhao J, Yang P, Li Y, Yin H, Lai Y, Gong G, Zhao S, Yu J. (2022). Intracellular hydroxyproline imprinting following resolution of bleomycin-induced pulmonary fibrosis. European Respiratory Journal, 59(5).</w:t>
      </w:r>
    </w:p>
    <w:p w14:paraId="0E426F5E" w14:textId="05F477D9" w:rsidR="00962225" w:rsidRPr="00175FE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Ferrando</w:t>
      </w:r>
      <w:proofErr w:type="spellEnd"/>
      <w:r w:rsidRPr="00175FE5">
        <w:rPr>
          <w:rFonts w:ascii="Times New Roman" w:hAnsi="Times New Roman"/>
          <w:sz w:val="24"/>
          <w:szCs w:val="24"/>
        </w:rPr>
        <w:t xml:space="preserve"> AA, </w:t>
      </w:r>
      <w:proofErr w:type="spellStart"/>
      <w:r w:rsidRPr="00175FE5">
        <w:rPr>
          <w:rFonts w:ascii="Times New Roman" w:hAnsi="Times New Roman"/>
          <w:sz w:val="24"/>
          <w:szCs w:val="24"/>
        </w:rPr>
        <w:t>Pendás</w:t>
      </w:r>
      <w:proofErr w:type="spellEnd"/>
      <w:r w:rsidRPr="00175FE5">
        <w:rPr>
          <w:rFonts w:ascii="Times New Roman" w:hAnsi="Times New Roman"/>
          <w:sz w:val="24"/>
          <w:szCs w:val="24"/>
        </w:rPr>
        <w:t xml:space="preserve"> AM, Llano E, Velasco G, </w:t>
      </w:r>
      <w:proofErr w:type="spellStart"/>
      <w:r w:rsidRPr="00175FE5">
        <w:rPr>
          <w:rFonts w:ascii="Times New Roman" w:hAnsi="Times New Roman"/>
          <w:sz w:val="24"/>
          <w:szCs w:val="24"/>
        </w:rPr>
        <w:t>Lidereau</w:t>
      </w:r>
      <w:proofErr w:type="spellEnd"/>
      <w:r w:rsidRPr="00175FE5">
        <w:rPr>
          <w:rFonts w:ascii="Times New Roman" w:hAnsi="Times New Roman"/>
          <w:sz w:val="24"/>
          <w:szCs w:val="24"/>
        </w:rPr>
        <w:t xml:space="preserve"> R, López-</w:t>
      </w:r>
      <w:proofErr w:type="spellStart"/>
      <w:r w:rsidRPr="00175FE5">
        <w:rPr>
          <w:rFonts w:ascii="Times New Roman" w:hAnsi="Times New Roman"/>
          <w:sz w:val="24"/>
          <w:szCs w:val="24"/>
        </w:rPr>
        <w:t>Otın</w:t>
      </w:r>
      <w:proofErr w:type="spellEnd"/>
      <w:r w:rsidRPr="00175FE5">
        <w:rPr>
          <w:rFonts w:ascii="Times New Roman" w:hAnsi="Times New Roman"/>
          <w:sz w:val="24"/>
          <w:szCs w:val="24"/>
        </w:rPr>
        <w:t xml:space="preserve"> C. </w:t>
      </w:r>
      <w:r w:rsidR="00887D3C" w:rsidRPr="00175FE5">
        <w:rPr>
          <w:rFonts w:ascii="Times New Roman" w:hAnsi="Times New Roman"/>
          <w:sz w:val="24"/>
          <w:szCs w:val="24"/>
        </w:rPr>
        <w:t xml:space="preserve">(1997). </w:t>
      </w:r>
      <w:r w:rsidRPr="00175FE5">
        <w:rPr>
          <w:rFonts w:ascii="Times New Roman" w:hAnsi="Times New Roman"/>
          <w:sz w:val="24"/>
          <w:szCs w:val="24"/>
        </w:rPr>
        <w:t>Gene characterization, promoter analysis, and chromosomal localization of human bleomycin hydrolase. Journal of Biological Chemistry</w:t>
      </w:r>
      <w:r w:rsidR="00887D3C" w:rsidRPr="00175FE5">
        <w:rPr>
          <w:rFonts w:ascii="Times New Roman" w:hAnsi="Times New Roman"/>
          <w:sz w:val="24"/>
          <w:szCs w:val="24"/>
        </w:rPr>
        <w:t xml:space="preserve">, </w:t>
      </w:r>
      <w:r w:rsidRPr="00175FE5">
        <w:rPr>
          <w:rFonts w:ascii="Times New Roman" w:hAnsi="Times New Roman"/>
          <w:sz w:val="24"/>
          <w:szCs w:val="24"/>
        </w:rPr>
        <w:t>272(52):33298-304.</w:t>
      </w:r>
    </w:p>
    <w:p w14:paraId="25B72A1D" w14:textId="3BE69395"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lastRenderedPageBreak/>
        <w:t xml:space="preserve">Thangaiyan R, Arjunan S, Govindasamy K, Khan HA, </w:t>
      </w:r>
      <w:proofErr w:type="spellStart"/>
      <w:r w:rsidRPr="00175FE5">
        <w:rPr>
          <w:rFonts w:ascii="Times New Roman" w:hAnsi="Times New Roman"/>
          <w:sz w:val="24"/>
          <w:szCs w:val="24"/>
        </w:rPr>
        <w:t>Alhomida</w:t>
      </w:r>
      <w:proofErr w:type="spellEnd"/>
      <w:r w:rsidRPr="00175FE5">
        <w:rPr>
          <w:rFonts w:ascii="Times New Roman" w:hAnsi="Times New Roman"/>
          <w:sz w:val="24"/>
          <w:szCs w:val="24"/>
        </w:rPr>
        <w:t xml:space="preserve"> AS, Prasad </w:t>
      </w:r>
      <w:proofErr w:type="gramStart"/>
      <w:r w:rsidRPr="00175FE5">
        <w:rPr>
          <w:rFonts w:ascii="Times New Roman" w:hAnsi="Times New Roman"/>
          <w:sz w:val="24"/>
          <w:szCs w:val="24"/>
        </w:rPr>
        <w:t>NR.</w:t>
      </w:r>
      <w:r w:rsidR="00887D3C" w:rsidRPr="00175FE5">
        <w:rPr>
          <w:rFonts w:ascii="Times New Roman" w:hAnsi="Times New Roman"/>
          <w:sz w:val="24"/>
          <w:szCs w:val="24"/>
        </w:rPr>
        <w:t>(</w:t>
      </w:r>
      <w:proofErr w:type="gramEnd"/>
      <w:r w:rsidR="00887D3C" w:rsidRPr="00175FE5">
        <w:rPr>
          <w:rFonts w:ascii="Times New Roman" w:hAnsi="Times New Roman"/>
          <w:sz w:val="24"/>
          <w:szCs w:val="24"/>
        </w:rPr>
        <w:t>2020).</w:t>
      </w:r>
      <w:r w:rsidRPr="00175FE5">
        <w:rPr>
          <w:rFonts w:ascii="Times New Roman" w:hAnsi="Times New Roman"/>
          <w:sz w:val="24"/>
          <w:szCs w:val="24"/>
        </w:rPr>
        <w:t xml:space="preserve"> </w:t>
      </w:r>
      <w:proofErr w:type="spellStart"/>
      <w:r w:rsidRPr="00175FE5">
        <w:rPr>
          <w:rFonts w:ascii="Times New Roman" w:hAnsi="Times New Roman"/>
          <w:sz w:val="24"/>
          <w:szCs w:val="24"/>
        </w:rPr>
        <w:t>Galangin</w:t>
      </w:r>
      <w:proofErr w:type="spellEnd"/>
      <w:r w:rsidRPr="00175FE5">
        <w:rPr>
          <w:rFonts w:ascii="Times New Roman" w:hAnsi="Times New Roman"/>
          <w:sz w:val="24"/>
          <w:szCs w:val="24"/>
        </w:rPr>
        <w:t xml:space="preserve"> attenuates isoproterenol-induced inflammation and fibrosis in the cardiac tissue of albino </w:t>
      </w:r>
      <w:proofErr w:type="spellStart"/>
      <w:r w:rsidRPr="00175FE5">
        <w:rPr>
          <w:rFonts w:ascii="Times New Roman" w:hAnsi="Times New Roman"/>
          <w:sz w:val="24"/>
          <w:szCs w:val="24"/>
        </w:rPr>
        <w:t>wistar</w:t>
      </w:r>
      <w:proofErr w:type="spellEnd"/>
      <w:r w:rsidRPr="00175FE5">
        <w:rPr>
          <w:rFonts w:ascii="Times New Roman" w:hAnsi="Times New Roman"/>
          <w:sz w:val="24"/>
          <w:szCs w:val="24"/>
        </w:rPr>
        <w:t xml:space="preserve"> rats. Frontiers in </w:t>
      </w:r>
      <w:proofErr w:type="gramStart"/>
      <w:r w:rsidRPr="00175FE5">
        <w:rPr>
          <w:rFonts w:ascii="Times New Roman" w:hAnsi="Times New Roman"/>
          <w:sz w:val="24"/>
          <w:szCs w:val="24"/>
        </w:rPr>
        <w:t>Pharmacology</w:t>
      </w:r>
      <w:r w:rsidR="00887D3C" w:rsidRPr="00175FE5">
        <w:rPr>
          <w:rFonts w:ascii="Times New Roman" w:hAnsi="Times New Roman"/>
          <w:sz w:val="24"/>
          <w:szCs w:val="24"/>
        </w:rPr>
        <w:t xml:space="preserve">, </w:t>
      </w:r>
      <w:r w:rsidRPr="00175FE5">
        <w:rPr>
          <w:rFonts w:ascii="Times New Roman" w:hAnsi="Times New Roman"/>
          <w:sz w:val="24"/>
          <w:szCs w:val="24"/>
        </w:rPr>
        <w:t xml:space="preserve"> 11</w:t>
      </w:r>
      <w:proofErr w:type="gramEnd"/>
      <w:r w:rsidRPr="00175FE5">
        <w:rPr>
          <w:rFonts w:ascii="Times New Roman" w:hAnsi="Times New Roman"/>
          <w:sz w:val="24"/>
          <w:szCs w:val="24"/>
        </w:rPr>
        <w:t>:585163.</w:t>
      </w:r>
    </w:p>
    <w:p w14:paraId="7ED76084" w14:textId="32CC93BB" w:rsidR="00962225" w:rsidRPr="00175FE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Aladaileh</w:t>
      </w:r>
      <w:proofErr w:type="spellEnd"/>
      <w:r w:rsidRPr="00175FE5">
        <w:rPr>
          <w:rFonts w:ascii="Times New Roman" w:hAnsi="Times New Roman"/>
          <w:sz w:val="24"/>
          <w:szCs w:val="24"/>
        </w:rPr>
        <w:t xml:space="preserve"> SH, </w:t>
      </w:r>
      <w:proofErr w:type="spellStart"/>
      <w:r w:rsidRPr="00175FE5">
        <w:rPr>
          <w:rFonts w:ascii="Times New Roman" w:hAnsi="Times New Roman"/>
          <w:sz w:val="24"/>
          <w:szCs w:val="24"/>
        </w:rPr>
        <w:t>Abukhalil</w:t>
      </w:r>
      <w:proofErr w:type="spellEnd"/>
      <w:r w:rsidRPr="00175FE5">
        <w:rPr>
          <w:rFonts w:ascii="Times New Roman" w:hAnsi="Times New Roman"/>
          <w:sz w:val="24"/>
          <w:szCs w:val="24"/>
        </w:rPr>
        <w:t xml:space="preserve"> MH, Saghir SA, </w:t>
      </w:r>
      <w:proofErr w:type="spellStart"/>
      <w:r w:rsidRPr="00175FE5">
        <w:rPr>
          <w:rFonts w:ascii="Times New Roman" w:hAnsi="Times New Roman"/>
          <w:sz w:val="24"/>
          <w:szCs w:val="24"/>
        </w:rPr>
        <w:t>Hanieh</w:t>
      </w:r>
      <w:proofErr w:type="spellEnd"/>
      <w:r w:rsidRPr="00175FE5">
        <w:rPr>
          <w:rFonts w:ascii="Times New Roman" w:hAnsi="Times New Roman"/>
          <w:sz w:val="24"/>
          <w:szCs w:val="24"/>
        </w:rPr>
        <w:t xml:space="preserve"> H, </w:t>
      </w:r>
      <w:proofErr w:type="spellStart"/>
      <w:r w:rsidRPr="00175FE5">
        <w:rPr>
          <w:rFonts w:ascii="Times New Roman" w:hAnsi="Times New Roman"/>
          <w:sz w:val="24"/>
          <w:szCs w:val="24"/>
        </w:rPr>
        <w:t>Alfwuaires</w:t>
      </w:r>
      <w:proofErr w:type="spellEnd"/>
      <w:r w:rsidRPr="00175FE5">
        <w:rPr>
          <w:rFonts w:ascii="Times New Roman" w:hAnsi="Times New Roman"/>
          <w:sz w:val="24"/>
          <w:szCs w:val="24"/>
        </w:rPr>
        <w:t xml:space="preserve"> MA, </w:t>
      </w:r>
      <w:proofErr w:type="spellStart"/>
      <w:r w:rsidRPr="00175FE5">
        <w:rPr>
          <w:rFonts w:ascii="Times New Roman" w:hAnsi="Times New Roman"/>
          <w:sz w:val="24"/>
          <w:szCs w:val="24"/>
        </w:rPr>
        <w:t>Almaiman</w:t>
      </w:r>
      <w:proofErr w:type="spellEnd"/>
      <w:r w:rsidRPr="00175FE5">
        <w:rPr>
          <w:rFonts w:ascii="Times New Roman" w:hAnsi="Times New Roman"/>
          <w:sz w:val="24"/>
          <w:szCs w:val="24"/>
        </w:rPr>
        <w:t xml:space="preserve"> AA, Bin-Jumah M, Mahmoud AM. </w:t>
      </w:r>
      <w:r w:rsidR="00887D3C" w:rsidRPr="00175FE5">
        <w:rPr>
          <w:rFonts w:ascii="Times New Roman" w:hAnsi="Times New Roman"/>
          <w:sz w:val="24"/>
          <w:szCs w:val="24"/>
        </w:rPr>
        <w:t xml:space="preserve">(2019). </w:t>
      </w:r>
      <w:proofErr w:type="spellStart"/>
      <w:r w:rsidRPr="00175FE5">
        <w:rPr>
          <w:rFonts w:ascii="Times New Roman" w:hAnsi="Times New Roman"/>
          <w:sz w:val="24"/>
          <w:szCs w:val="24"/>
        </w:rPr>
        <w:t>Galangin</w:t>
      </w:r>
      <w:proofErr w:type="spellEnd"/>
      <w:r w:rsidRPr="00175FE5">
        <w:rPr>
          <w:rFonts w:ascii="Times New Roman" w:hAnsi="Times New Roman"/>
          <w:sz w:val="24"/>
          <w:szCs w:val="24"/>
        </w:rPr>
        <w:t xml:space="preserve"> activates Nrf2 signaling and attenuates oxidative damage, inflammation, and apoptosis in a rat model of cyclophosphamide-induced hepatotoxicity. Biomolecules</w:t>
      </w:r>
      <w:r w:rsidR="00887D3C" w:rsidRPr="00175FE5">
        <w:rPr>
          <w:rFonts w:ascii="Times New Roman" w:hAnsi="Times New Roman"/>
          <w:sz w:val="24"/>
          <w:szCs w:val="24"/>
        </w:rPr>
        <w:t xml:space="preserve">, </w:t>
      </w:r>
      <w:r w:rsidRPr="00175FE5">
        <w:rPr>
          <w:rFonts w:ascii="Times New Roman" w:hAnsi="Times New Roman"/>
          <w:sz w:val="24"/>
          <w:szCs w:val="24"/>
        </w:rPr>
        <w:t>9(8):346.</w:t>
      </w:r>
    </w:p>
    <w:p w14:paraId="279E9AD2" w14:textId="58E1991D"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Meghwal M, Goswami TK. </w:t>
      </w:r>
      <w:r w:rsidR="00887D3C" w:rsidRPr="00175FE5">
        <w:rPr>
          <w:rFonts w:ascii="Times New Roman" w:hAnsi="Times New Roman"/>
          <w:sz w:val="24"/>
          <w:szCs w:val="24"/>
        </w:rPr>
        <w:t xml:space="preserve">(2013). </w:t>
      </w:r>
      <w:r w:rsidRPr="00175FE5">
        <w:rPr>
          <w:rFonts w:ascii="Times New Roman" w:hAnsi="Times New Roman"/>
          <w:sz w:val="24"/>
          <w:szCs w:val="24"/>
        </w:rPr>
        <w:t xml:space="preserve">Piper nigrum and </w:t>
      </w:r>
      <w:proofErr w:type="spellStart"/>
      <w:r w:rsidRPr="00175FE5">
        <w:rPr>
          <w:rFonts w:ascii="Times New Roman" w:hAnsi="Times New Roman"/>
          <w:sz w:val="24"/>
          <w:szCs w:val="24"/>
        </w:rPr>
        <w:t>piperine</w:t>
      </w:r>
      <w:proofErr w:type="spellEnd"/>
      <w:r w:rsidRPr="00175FE5">
        <w:rPr>
          <w:rFonts w:ascii="Times New Roman" w:hAnsi="Times New Roman"/>
          <w:sz w:val="24"/>
          <w:szCs w:val="24"/>
        </w:rPr>
        <w:t>: an update. Phytotherapy Research</w:t>
      </w:r>
      <w:r w:rsidR="00887D3C" w:rsidRPr="00175FE5">
        <w:rPr>
          <w:rFonts w:ascii="Times New Roman" w:hAnsi="Times New Roman"/>
          <w:sz w:val="24"/>
          <w:szCs w:val="24"/>
        </w:rPr>
        <w:t xml:space="preserve">, </w:t>
      </w:r>
      <w:r w:rsidRPr="00175FE5">
        <w:rPr>
          <w:rFonts w:ascii="Times New Roman" w:hAnsi="Times New Roman"/>
          <w:sz w:val="24"/>
          <w:szCs w:val="24"/>
        </w:rPr>
        <w:t>27(8):1121-30.</w:t>
      </w:r>
    </w:p>
    <w:p w14:paraId="0AA62F4D" w14:textId="14BC107E"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Lederer DJ, Martinez FJ. </w:t>
      </w:r>
      <w:r w:rsidR="00887D3C" w:rsidRPr="00175FE5">
        <w:rPr>
          <w:rFonts w:ascii="Times New Roman" w:hAnsi="Times New Roman"/>
          <w:sz w:val="24"/>
          <w:szCs w:val="24"/>
        </w:rPr>
        <w:t xml:space="preserve">(2018). </w:t>
      </w:r>
      <w:r w:rsidRPr="00175FE5">
        <w:rPr>
          <w:rFonts w:ascii="Times New Roman" w:hAnsi="Times New Roman"/>
          <w:sz w:val="24"/>
          <w:szCs w:val="24"/>
        </w:rPr>
        <w:t>Idiopathic pulmonary fibrosis. New England Journal of Medicine</w:t>
      </w:r>
      <w:r w:rsidR="00887D3C" w:rsidRPr="00175FE5">
        <w:rPr>
          <w:rFonts w:ascii="Times New Roman" w:hAnsi="Times New Roman"/>
          <w:sz w:val="24"/>
          <w:szCs w:val="24"/>
        </w:rPr>
        <w:t xml:space="preserve">, </w:t>
      </w:r>
      <w:r w:rsidRPr="00175FE5">
        <w:rPr>
          <w:rFonts w:ascii="Times New Roman" w:hAnsi="Times New Roman"/>
          <w:sz w:val="24"/>
          <w:szCs w:val="24"/>
        </w:rPr>
        <w:t>378(19):1811-23.</w:t>
      </w:r>
    </w:p>
    <w:p w14:paraId="2BD46A2E" w14:textId="23266816"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Fyfe AJ, McKay </w:t>
      </w:r>
      <w:proofErr w:type="gramStart"/>
      <w:r w:rsidRPr="00175FE5">
        <w:rPr>
          <w:rFonts w:ascii="Times New Roman" w:hAnsi="Times New Roman"/>
          <w:sz w:val="24"/>
          <w:szCs w:val="24"/>
        </w:rPr>
        <w:t>P.</w:t>
      </w:r>
      <w:r w:rsidR="00887D3C" w:rsidRPr="00175FE5">
        <w:rPr>
          <w:rFonts w:ascii="Times New Roman" w:hAnsi="Times New Roman"/>
          <w:sz w:val="24"/>
          <w:szCs w:val="24"/>
        </w:rPr>
        <w:t>(</w:t>
      </w:r>
      <w:proofErr w:type="gramEnd"/>
      <w:r w:rsidR="00887D3C" w:rsidRPr="00175FE5">
        <w:rPr>
          <w:rFonts w:ascii="Times New Roman" w:hAnsi="Times New Roman"/>
          <w:sz w:val="24"/>
          <w:szCs w:val="24"/>
        </w:rPr>
        <w:t>2010).</w:t>
      </w:r>
      <w:r w:rsidRPr="00175FE5">
        <w:rPr>
          <w:rFonts w:ascii="Times New Roman" w:hAnsi="Times New Roman"/>
          <w:sz w:val="24"/>
          <w:szCs w:val="24"/>
        </w:rPr>
        <w:t xml:space="preserve"> Toxicities associated with bleomycin. Journal of the Royal College of Physicians of Edinburgh</w:t>
      </w:r>
      <w:r w:rsidR="00887D3C" w:rsidRPr="00175FE5">
        <w:rPr>
          <w:rFonts w:ascii="Times New Roman" w:hAnsi="Times New Roman"/>
          <w:sz w:val="24"/>
          <w:szCs w:val="24"/>
        </w:rPr>
        <w:t xml:space="preserve">, </w:t>
      </w:r>
      <w:r w:rsidRPr="00175FE5">
        <w:rPr>
          <w:rFonts w:ascii="Times New Roman" w:hAnsi="Times New Roman"/>
          <w:sz w:val="24"/>
          <w:szCs w:val="24"/>
        </w:rPr>
        <w:t>40(3):213-5.</w:t>
      </w:r>
    </w:p>
    <w:p w14:paraId="6895528B" w14:textId="77777777" w:rsidR="00000B26" w:rsidRPr="00175FE5" w:rsidRDefault="00000B26" w:rsidP="00000B26">
      <w:pPr>
        <w:pStyle w:val="ListParagraph"/>
        <w:numPr>
          <w:ilvl w:val="0"/>
          <w:numId w:val="32"/>
        </w:numPr>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Choi JW, Lee SK, Kim MJ, Kim DG, Shin JY, Zhou Z, Jo IJ, Song HJ, Bae GS, Park </w:t>
      </w:r>
      <w:proofErr w:type="gramStart"/>
      <w:r w:rsidRPr="00175FE5">
        <w:rPr>
          <w:rFonts w:ascii="Times New Roman" w:hAnsi="Times New Roman"/>
          <w:sz w:val="24"/>
          <w:szCs w:val="24"/>
          <w:shd w:val="clear" w:color="auto" w:fill="FFFFFF"/>
        </w:rPr>
        <w:t>SJ.(</w:t>
      </w:r>
      <w:proofErr w:type="gramEnd"/>
      <w:r w:rsidRPr="00175FE5">
        <w:rPr>
          <w:rFonts w:ascii="Times New Roman" w:hAnsi="Times New Roman"/>
          <w:sz w:val="24"/>
          <w:szCs w:val="24"/>
          <w:shd w:val="clear" w:color="auto" w:fill="FFFFFF"/>
        </w:rPr>
        <w:t>2019). Piperine ameliorates the severity of fibrosis via inhibition of TGF-β/SMAD signaling in a mouse model of chronic pancreatitis. Molecular medicine reports, 20(4):3709-18.</w:t>
      </w:r>
    </w:p>
    <w:p w14:paraId="12137406" w14:textId="77777777" w:rsidR="00000B26" w:rsidRPr="00175FE5" w:rsidRDefault="00000B26" w:rsidP="00000B26">
      <w:pPr>
        <w:pStyle w:val="ListParagraph"/>
        <w:numPr>
          <w:ilvl w:val="0"/>
          <w:numId w:val="32"/>
        </w:numPr>
        <w:spacing w:after="120"/>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Xin X, Yao D, Zhang K, Han S, Liu D, Wang H, Liu X, Li G, Huang J, Wang J. (2019). Protective effects of Rosavin on bleomycin-induced pulmonary fibrosis via suppressing fibrotic and inflammatory signaling pathways in mice. Biomedicine &amp; </w:t>
      </w:r>
      <w:proofErr w:type="gramStart"/>
      <w:r w:rsidRPr="00175FE5">
        <w:rPr>
          <w:rFonts w:ascii="Times New Roman" w:hAnsi="Times New Roman"/>
          <w:sz w:val="24"/>
          <w:szCs w:val="24"/>
          <w:shd w:val="clear" w:color="auto" w:fill="FFFFFF"/>
        </w:rPr>
        <w:t>Pharmacotherapy,  115</w:t>
      </w:r>
      <w:proofErr w:type="gramEnd"/>
      <w:r w:rsidRPr="00175FE5">
        <w:rPr>
          <w:rFonts w:ascii="Times New Roman" w:hAnsi="Times New Roman"/>
          <w:sz w:val="24"/>
          <w:szCs w:val="24"/>
          <w:shd w:val="clear" w:color="auto" w:fill="FFFFFF"/>
        </w:rPr>
        <w:t>:108870.</w:t>
      </w:r>
    </w:p>
    <w:p w14:paraId="5F142A7D" w14:textId="6B99DFE5" w:rsidR="00962225" w:rsidRPr="00175FE5" w:rsidRDefault="00962225" w:rsidP="00175FE5">
      <w:pPr>
        <w:pStyle w:val="ListParagraph"/>
        <w:numPr>
          <w:ilvl w:val="0"/>
          <w:numId w:val="32"/>
        </w:numPr>
        <w:jc w:val="both"/>
        <w:rPr>
          <w:rFonts w:ascii="Times New Roman" w:hAnsi="Times New Roman"/>
          <w:bCs/>
          <w:sz w:val="24"/>
          <w:szCs w:val="24"/>
          <w:shd w:val="clear" w:color="auto" w:fill="FFFFFF"/>
        </w:rPr>
      </w:pPr>
      <w:r w:rsidRPr="00175FE5">
        <w:rPr>
          <w:rFonts w:ascii="Times New Roman" w:hAnsi="Times New Roman"/>
          <w:bCs/>
          <w:sz w:val="24"/>
          <w:szCs w:val="24"/>
          <w:shd w:val="clear" w:color="auto" w:fill="FFFFFF"/>
        </w:rPr>
        <w:t xml:space="preserve">Kim HR, Chung KH. </w:t>
      </w:r>
      <w:r w:rsidR="00175FE5" w:rsidRPr="00175FE5">
        <w:rPr>
          <w:rFonts w:ascii="Times New Roman" w:hAnsi="Times New Roman"/>
          <w:bCs/>
          <w:sz w:val="24"/>
          <w:szCs w:val="24"/>
          <w:shd w:val="clear" w:color="auto" w:fill="FFFFFF"/>
        </w:rPr>
        <w:t xml:space="preserve">(2018). </w:t>
      </w:r>
      <w:r w:rsidRPr="00175FE5">
        <w:rPr>
          <w:rFonts w:ascii="Times New Roman" w:hAnsi="Times New Roman"/>
          <w:bCs/>
          <w:sz w:val="24"/>
          <w:szCs w:val="24"/>
          <w:shd w:val="clear" w:color="auto" w:fill="FFFFFF"/>
        </w:rPr>
        <w:t>A review of current studies on cellular and molecular mechanisms underlying pulmonary fibrosis induced by chemicals. Environmental health and toxicology</w:t>
      </w:r>
      <w:r w:rsidR="00175FE5" w:rsidRPr="00175FE5">
        <w:rPr>
          <w:rFonts w:ascii="Times New Roman" w:hAnsi="Times New Roman"/>
          <w:bCs/>
          <w:sz w:val="24"/>
          <w:szCs w:val="24"/>
          <w:shd w:val="clear" w:color="auto" w:fill="FFFFFF"/>
        </w:rPr>
        <w:t xml:space="preserve">, </w:t>
      </w:r>
      <w:r w:rsidRPr="00175FE5">
        <w:rPr>
          <w:rFonts w:ascii="Times New Roman" w:hAnsi="Times New Roman"/>
          <w:bCs/>
          <w:sz w:val="24"/>
          <w:szCs w:val="24"/>
          <w:shd w:val="clear" w:color="auto" w:fill="FFFFFF"/>
        </w:rPr>
        <w:t>33(3</w:t>
      </w:r>
      <w:proofErr w:type="gramStart"/>
      <w:r w:rsidRPr="00175FE5">
        <w:rPr>
          <w:rFonts w:ascii="Times New Roman" w:hAnsi="Times New Roman"/>
          <w:bCs/>
          <w:sz w:val="24"/>
          <w:szCs w:val="24"/>
          <w:shd w:val="clear" w:color="auto" w:fill="FFFFFF"/>
        </w:rPr>
        <w:t>):e</w:t>
      </w:r>
      <w:proofErr w:type="gramEnd"/>
      <w:r w:rsidRPr="00175FE5">
        <w:rPr>
          <w:rFonts w:ascii="Times New Roman" w:hAnsi="Times New Roman"/>
          <w:bCs/>
          <w:sz w:val="24"/>
          <w:szCs w:val="24"/>
          <w:shd w:val="clear" w:color="auto" w:fill="FFFFFF"/>
        </w:rPr>
        <w:t>2018014.</w:t>
      </w:r>
    </w:p>
    <w:p w14:paraId="083C24A1" w14:textId="76C4F18F" w:rsidR="00962225" w:rsidRPr="00B339B5" w:rsidRDefault="00962225" w:rsidP="00962225">
      <w:pPr>
        <w:pStyle w:val="ListParagraph"/>
        <w:numPr>
          <w:ilvl w:val="0"/>
          <w:numId w:val="32"/>
        </w:numPr>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Reinert T, Baldotto CS, Nunes FA, Scheliga </w:t>
      </w:r>
      <w:proofErr w:type="gramStart"/>
      <w:r w:rsidRPr="00175FE5">
        <w:rPr>
          <w:rFonts w:ascii="Times New Roman" w:hAnsi="Times New Roman"/>
          <w:sz w:val="24"/>
          <w:szCs w:val="24"/>
          <w:shd w:val="clear" w:color="auto" w:fill="FFFFFF"/>
        </w:rPr>
        <w:t>AA.</w:t>
      </w:r>
      <w:r w:rsidR="00175FE5" w:rsidRPr="00175FE5">
        <w:rPr>
          <w:rFonts w:ascii="Times New Roman" w:hAnsi="Times New Roman"/>
          <w:sz w:val="24"/>
          <w:szCs w:val="24"/>
          <w:shd w:val="clear" w:color="auto" w:fill="FFFFFF"/>
        </w:rPr>
        <w:t>(</w:t>
      </w:r>
      <w:proofErr w:type="gramEnd"/>
      <w:r w:rsidR="00175FE5" w:rsidRPr="00175FE5">
        <w:rPr>
          <w:rFonts w:ascii="Times New Roman" w:hAnsi="Times New Roman"/>
          <w:sz w:val="24"/>
          <w:szCs w:val="24"/>
          <w:shd w:val="clear" w:color="auto" w:fill="FFFFFF"/>
        </w:rPr>
        <w:t>2013).</w:t>
      </w:r>
      <w:r w:rsidRPr="00175FE5">
        <w:rPr>
          <w:rFonts w:ascii="Times New Roman" w:hAnsi="Times New Roman"/>
          <w:sz w:val="24"/>
          <w:szCs w:val="24"/>
          <w:shd w:val="clear" w:color="auto" w:fill="FFFFFF"/>
        </w:rPr>
        <w:t xml:space="preserve"> Bleomycin‐induced lung injury. Journal of Cancer Research</w:t>
      </w:r>
      <w:r w:rsidR="00175FE5" w:rsidRPr="00175FE5">
        <w:rPr>
          <w:rFonts w:ascii="Times New Roman" w:hAnsi="Times New Roman"/>
          <w:sz w:val="24"/>
          <w:szCs w:val="24"/>
          <w:shd w:val="clear" w:color="auto" w:fill="FFFFFF"/>
        </w:rPr>
        <w:t xml:space="preserve">, </w:t>
      </w:r>
      <w:r w:rsidRPr="00175FE5">
        <w:rPr>
          <w:rFonts w:ascii="Times New Roman" w:hAnsi="Times New Roman"/>
          <w:sz w:val="24"/>
          <w:szCs w:val="24"/>
          <w:shd w:val="clear" w:color="auto" w:fill="FFFFFF"/>
        </w:rPr>
        <w:t>2013(1):480608.</w:t>
      </w:r>
    </w:p>
    <w:p w14:paraId="0655E7AB" w14:textId="1C3D0731" w:rsidR="00962225" w:rsidRPr="00175FE5" w:rsidRDefault="00962225" w:rsidP="00175FE5">
      <w:pPr>
        <w:pStyle w:val="ListParagraph"/>
        <w:numPr>
          <w:ilvl w:val="0"/>
          <w:numId w:val="32"/>
        </w:numPr>
        <w:spacing w:after="120"/>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Zha WJ, Qian Y, Shen Y, Du Q, Chen FF, Wu ZZ, Li X, Huang </w:t>
      </w:r>
      <w:proofErr w:type="gramStart"/>
      <w:r w:rsidRPr="00175FE5">
        <w:rPr>
          <w:rFonts w:ascii="Times New Roman" w:hAnsi="Times New Roman"/>
          <w:sz w:val="24"/>
          <w:szCs w:val="24"/>
          <w:shd w:val="clear" w:color="auto" w:fill="FFFFFF"/>
        </w:rPr>
        <w:t>M.</w:t>
      </w:r>
      <w:r w:rsidR="00175FE5" w:rsidRPr="00175FE5">
        <w:rPr>
          <w:rFonts w:ascii="Times New Roman" w:hAnsi="Times New Roman"/>
          <w:sz w:val="24"/>
          <w:szCs w:val="24"/>
          <w:shd w:val="clear" w:color="auto" w:fill="FFFFFF"/>
        </w:rPr>
        <w:t>(</w:t>
      </w:r>
      <w:proofErr w:type="gramEnd"/>
      <w:r w:rsidR="00175FE5" w:rsidRPr="00175FE5">
        <w:rPr>
          <w:rFonts w:ascii="Times New Roman" w:hAnsi="Times New Roman"/>
          <w:sz w:val="24"/>
          <w:szCs w:val="24"/>
          <w:shd w:val="clear" w:color="auto" w:fill="FFFFFF"/>
        </w:rPr>
        <w:t xml:space="preserve">2013). </w:t>
      </w:r>
      <w:r w:rsidRPr="00175FE5">
        <w:rPr>
          <w:rFonts w:ascii="Times New Roman" w:hAnsi="Times New Roman"/>
          <w:sz w:val="24"/>
          <w:szCs w:val="24"/>
          <w:shd w:val="clear" w:color="auto" w:fill="FFFFFF"/>
        </w:rPr>
        <w:t xml:space="preserve"> </w:t>
      </w:r>
      <w:proofErr w:type="spellStart"/>
      <w:r w:rsidRPr="00175FE5">
        <w:rPr>
          <w:rFonts w:ascii="Times New Roman" w:hAnsi="Times New Roman"/>
          <w:sz w:val="24"/>
          <w:szCs w:val="24"/>
          <w:shd w:val="clear" w:color="auto" w:fill="FFFFFF"/>
        </w:rPr>
        <w:t>Galangin</w:t>
      </w:r>
      <w:proofErr w:type="spellEnd"/>
      <w:r w:rsidRPr="00175FE5">
        <w:rPr>
          <w:rFonts w:ascii="Times New Roman" w:hAnsi="Times New Roman"/>
          <w:sz w:val="24"/>
          <w:szCs w:val="24"/>
          <w:shd w:val="clear" w:color="auto" w:fill="FFFFFF"/>
        </w:rPr>
        <w:t xml:space="preserve"> abrogates ovalbumin‐induced airway inflammation via negative regulation of NF‐κB. Evidence‐Based Complementary and Alternative Medicine</w:t>
      </w:r>
      <w:r w:rsidR="00175FE5" w:rsidRPr="00175FE5">
        <w:rPr>
          <w:rFonts w:ascii="Times New Roman" w:hAnsi="Times New Roman"/>
          <w:sz w:val="24"/>
          <w:szCs w:val="24"/>
          <w:shd w:val="clear" w:color="auto" w:fill="FFFFFF"/>
        </w:rPr>
        <w:t xml:space="preserve">, </w:t>
      </w:r>
      <w:r w:rsidRPr="00175FE5">
        <w:rPr>
          <w:rFonts w:ascii="Times New Roman" w:hAnsi="Times New Roman"/>
          <w:sz w:val="24"/>
          <w:szCs w:val="24"/>
          <w:shd w:val="clear" w:color="auto" w:fill="FFFFFF"/>
        </w:rPr>
        <w:t>2013(1):767689.</w:t>
      </w:r>
    </w:p>
    <w:p w14:paraId="28A540EC" w14:textId="183FC217" w:rsidR="00962225" w:rsidRPr="00175FE5" w:rsidRDefault="00962225" w:rsidP="00175FE5">
      <w:pPr>
        <w:pStyle w:val="ListParagraph"/>
        <w:numPr>
          <w:ilvl w:val="0"/>
          <w:numId w:val="32"/>
        </w:numPr>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Liu G, Beri R, Mueller A, Kamp DW. </w:t>
      </w:r>
      <w:r w:rsidR="00175FE5" w:rsidRPr="00175FE5">
        <w:rPr>
          <w:rFonts w:ascii="Times New Roman" w:hAnsi="Times New Roman"/>
          <w:sz w:val="24"/>
          <w:szCs w:val="24"/>
          <w:shd w:val="clear" w:color="auto" w:fill="FFFFFF"/>
        </w:rPr>
        <w:t xml:space="preserve">(2010). </w:t>
      </w:r>
      <w:r w:rsidRPr="00175FE5">
        <w:rPr>
          <w:rFonts w:ascii="Times New Roman" w:hAnsi="Times New Roman"/>
          <w:sz w:val="24"/>
          <w:szCs w:val="24"/>
          <w:shd w:val="clear" w:color="auto" w:fill="FFFFFF"/>
        </w:rPr>
        <w:t xml:space="preserve">Molecular mechanisms of asbestos-induced lung epithelial cell apoptosis. </w:t>
      </w:r>
      <w:proofErr w:type="spellStart"/>
      <w:r w:rsidRPr="00175FE5">
        <w:rPr>
          <w:rFonts w:ascii="Times New Roman" w:hAnsi="Times New Roman"/>
          <w:sz w:val="24"/>
          <w:szCs w:val="24"/>
          <w:shd w:val="clear" w:color="auto" w:fill="FFFFFF"/>
        </w:rPr>
        <w:t>Chemico</w:t>
      </w:r>
      <w:proofErr w:type="spellEnd"/>
      <w:r w:rsidRPr="00175FE5">
        <w:rPr>
          <w:rFonts w:ascii="Times New Roman" w:hAnsi="Times New Roman"/>
          <w:sz w:val="24"/>
          <w:szCs w:val="24"/>
          <w:shd w:val="clear" w:color="auto" w:fill="FFFFFF"/>
        </w:rPr>
        <w:t>-biological interactions</w:t>
      </w:r>
      <w:r w:rsidR="00175FE5" w:rsidRPr="00175FE5">
        <w:rPr>
          <w:rFonts w:ascii="Times New Roman" w:hAnsi="Times New Roman"/>
          <w:sz w:val="24"/>
          <w:szCs w:val="24"/>
          <w:shd w:val="clear" w:color="auto" w:fill="FFFFFF"/>
        </w:rPr>
        <w:t xml:space="preserve">, </w:t>
      </w:r>
      <w:r w:rsidRPr="00175FE5">
        <w:rPr>
          <w:rFonts w:ascii="Times New Roman" w:hAnsi="Times New Roman"/>
          <w:sz w:val="24"/>
          <w:szCs w:val="24"/>
          <w:shd w:val="clear" w:color="auto" w:fill="FFFFFF"/>
        </w:rPr>
        <w:t>188(2):309-18.</w:t>
      </w:r>
    </w:p>
    <w:p w14:paraId="66B8613E" w14:textId="036E371B"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Ying X, Yu K, Chen X, Chen H, Hong J, Cheng S, Peng L. </w:t>
      </w:r>
      <w:r w:rsidR="00175FE5" w:rsidRPr="00175FE5">
        <w:rPr>
          <w:rFonts w:ascii="Times New Roman" w:hAnsi="Times New Roman"/>
          <w:sz w:val="24"/>
          <w:szCs w:val="24"/>
        </w:rPr>
        <w:t xml:space="preserve">(2013). </w:t>
      </w:r>
      <w:r w:rsidRPr="00175FE5">
        <w:rPr>
          <w:rFonts w:ascii="Times New Roman" w:hAnsi="Times New Roman"/>
          <w:sz w:val="24"/>
          <w:szCs w:val="24"/>
        </w:rPr>
        <w:t>Piperine inhibits LPS induced expression of inflammatory mediators in RAW 264.7 cells. Cellular immunology</w:t>
      </w:r>
      <w:r w:rsidR="00175FE5" w:rsidRPr="00175FE5">
        <w:rPr>
          <w:rFonts w:ascii="Times New Roman" w:hAnsi="Times New Roman"/>
          <w:sz w:val="24"/>
          <w:szCs w:val="24"/>
        </w:rPr>
        <w:t xml:space="preserve">, </w:t>
      </w:r>
      <w:r w:rsidRPr="00175FE5">
        <w:rPr>
          <w:rFonts w:ascii="Times New Roman" w:hAnsi="Times New Roman"/>
          <w:sz w:val="24"/>
          <w:szCs w:val="24"/>
        </w:rPr>
        <w:t>285(1-2):49-54.</w:t>
      </w:r>
    </w:p>
    <w:p w14:paraId="4A777A9D" w14:textId="1BA0EBD7" w:rsidR="0096222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Damanhouri</w:t>
      </w:r>
      <w:proofErr w:type="spellEnd"/>
      <w:r w:rsidRPr="00175FE5">
        <w:rPr>
          <w:rFonts w:ascii="Times New Roman" w:hAnsi="Times New Roman"/>
          <w:sz w:val="24"/>
          <w:szCs w:val="24"/>
        </w:rPr>
        <w:t xml:space="preserve"> ZA, Ahmad </w:t>
      </w:r>
      <w:proofErr w:type="gramStart"/>
      <w:r w:rsidRPr="00175FE5">
        <w:rPr>
          <w:rFonts w:ascii="Times New Roman" w:hAnsi="Times New Roman"/>
          <w:sz w:val="24"/>
          <w:szCs w:val="24"/>
        </w:rPr>
        <w:t>A.</w:t>
      </w:r>
      <w:r w:rsidR="00175FE5" w:rsidRPr="00175FE5">
        <w:rPr>
          <w:rFonts w:ascii="Times New Roman" w:hAnsi="Times New Roman"/>
          <w:sz w:val="24"/>
          <w:szCs w:val="24"/>
        </w:rPr>
        <w:t>(</w:t>
      </w:r>
      <w:proofErr w:type="gramEnd"/>
      <w:r w:rsidR="00175FE5" w:rsidRPr="00175FE5">
        <w:rPr>
          <w:rFonts w:ascii="Times New Roman" w:hAnsi="Times New Roman"/>
          <w:sz w:val="24"/>
          <w:szCs w:val="24"/>
        </w:rPr>
        <w:t xml:space="preserve">2014). </w:t>
      </w:r>
      <w:r w:rsidRPr="00175FE5">
        <w:rPr>
          <w:rFonts w:ascii="Times New Roman" w:hAnsi="Times New Roman"/>
          <w:sz w:val="24"/>
          <w:szCs w:val="24"/>
        </w:rPr>
        <w:t xml:space="preserve"> A review on therapeutic potential of Piper nigrum L. Black Pepper): The King of Spices. Med. </w:t>
      </w:r>
      <w:proofErr w:type="spellStart"/>
      <w:r w:rsidRPr="00175FE5">
        <w:rPr>
          <w:rFonts w:ascii="Times New Roman" w:hAnsi="Times New Roman"/>
          <w:sz w:val="24"/>
          <w:szCs w:val="24"/>
        </w:rPr>
        <w:t>Aromat</w:t>
      </w:r>
      <w:proofErr w:type="spellEnd"/>
      <w:r w:rsidRPr="00175FE5">
        <w:rPr>
          <w:rFonts w:ascii="Times New Roman" w:hAnsi="Times New Roman"/>
          <w:sz w:val="24"/>
          <w:szCs w:val="24"/>
        </w:rPr>
        <w:t>. Plants</w:t>
      </w:r>
      <w:r w:rsidR="00175FE5" w:rsidRPr="00175FE5">
        <w:rPr>
          <w:rFonts w:ascii="Times New Roman" w:hAnsi="Times New Roman"/>
          <w:sz w:val="24"/>
          <w:szCs w:val="24"/>
        </w:rPr>
        <w:t xml:space="preserve">, </w:t>
      </w:r>
      <w:r w:rsidRPr="00175FE5">
        <w:rPr>
          <w:rFonts w:ascii="Times New Roman" w:hAnsi="Times New Roman"/>
          <w:sz w:val="24"/>
          <w:szCs w:val="24"/>
        </w:rPr>
        <w:t>3(3):161.</w:t>
      </w:r>
    </w:p>
    <w:p w14:paraId="713773D0" w14:textId="77777777" w:rsidR="006645E8" w:rsidRPr="006645E8" w:rsidRDefault="00962225" w:rsidP="008A7021">
      <w:pPr>
        <w:pStyle w:val="ListParagraph"/>
        <w:numPr>
          <w:ilvl w:val="0"/>
          <w:numId w:val="32"/>
        </w:numPr>
        <w:spacing w:after="120"/>
        <w:jc w:val="both"/>
        <w:rPr>
          <w:rFonts w:ascii="Times New Roman" w:hAnsi="Times New Roman"/>
          <w:bCs/>
          <w:sz w:val="24"/>
          <w:szCs w:val="24"/>
          <w:shd w:val="clear" w:color="auto" w:fill="FFFFFF"/>
        </w:rPr>
      </w:pPr>
      <w:r w:rsidRPr="006645E8">
        <w:rPr>
          <w:rFonts w:ascii="Times New Roman" w:hAnsi="Times New Roman"/>
          <w:bCs/>
          <w:sz w:val="24"/>
          <w:szCs w:val="24"/>
          <w:shd w:val="clear" w:color="auto" w:fill="FFFFFF"/>
        </w:rPr>
        <w:t xml:space="preserve">Tseng CM, Hsiao YH, Su VY, Su KC, Wu YC, Chang KT, Perng DW. </w:t>
      </w:r>
      <w:r w:rsidR="00175FE5" w:rsidRPr="006645E8">
        <w:rPr>
          <w:rFonts w:ascii="Times New Roman" w:hAnsi="Times New Roman"/>
          <w:bCs/>
          <w:sz w:val="24"/>
          <w:szCs w:val="24"/>
          <w:shd w:val="clear" w:color="auto" w:fill="FFFFFF"/>
        </w:rPr>
        <w:t xml:space="preserve">(2013). </w:t>
      </w:r>
      <w:r w:rsidRPr="006645E8">
        <w:rPr>
          <w:rFonts w:ascii="Times New Roman" w:hAnsi="Times New Roman"/>
          <w:bCs/>
          <w:sz w:val="24"/>
          <w:szCs w:val="24"/>
          <w:shd w:val="clear" w:color="auto" w:fill="FFFFFF"/>
        </w:rPr>
        <w:t xml:space="preserve">The suppression effects of thalidomide on human lung fibroblasts: </w:t>
      </w:r>
      <w:r w:rsidRPr="006645E8">
        <w:rPr>
          <w:rFonts w:ascii="Times New Roman" w:hAnsi="Times New Roman"/>
          <w:bCs/>
          <w:sz w:val="24"/>
          <w:szCs w:val="24"/>
          <w:shd w:val="clear" w:color="auto" w:fill="FFFFFF"/>
        </w:rPr>
        <w:lastRenderedPageBreak/>
        <w:t>cell proliferation, vascular endothelial growth factor release, and collagen production. Lung</w:t>
      </w:r>
      <w:r w:rsidR="00175FE5" w:rsidRPr="006645E8">
        <w:rPr>
          <w:rFonts w:ascii="Times New Roman" w:hAnsi="Times New Roman"/>
          <w:bCs/>
          <w:sz w:val="24"/>
          <w:szCs w:val="24"/>
          <w:shd w:val="clear" w:color="auto" w:fill="FFFFFF"/>
        </w:rPr>
        <w:t xml:space="preserve">, </w:t>
      </w:r>
      <w:r w:rsidRPr="006645E8">
        <w:rPr>
          <w:rFonts w:ascii="Times New Roman" w:hAnsi="Times New Roman"/>
          <w:bCs/>
          <w:sz w:val="24"/>
          <w:szCs w:val="24"/>
          <w:shd w:val="clear" w:color="auto" w:fill="FFFFFF"/>
        </w:rPr>
        <w:t>191(4):361-8.</w:t>
      </w:r>
      <w:r w:rsidR="006645E8" w:rsidRPr="006645E8">
        <w:rPr>
          <w:rFonts w:ascii="Arial" w:hAnsi="Arial" w:cs="Arial"/>
          <w:color w:val="222222"/>
          <w:shd w:val="clear" w:color="auto" w:fill="FFFFFF"/>
        </w:rPr>
        <w:t xml:space="preserve"> </w:t>
      </w:r>
    </w:p>
    <w:sectPr w:rsidR="006645E8" w:rsidRPr="006645E8" w:rsidSect="007F656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C2B1E" w14:textId="77777777" w:rsidR="00C62507" w:rsidRDefault="00C62507" w:rsidP="00C37E61">
      <w:r>
        <w:separator/>
      </w:r>
    </w:p>
  </w:endnote>
  <w:endnote w:type="continuationSeparator" w:id="0">
    <w:p w14:paraId="12D07BD8" w14:textId="77777777" w:rsidR="00C62507" w:rsidRDefault="00C625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D294" w14:textId="77777777" w:rsidR="00B9383E" w:rsidRDefault="00B93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5BBB0" w14:textId="10E126E1" w:rsidR="00C37E61" w:rsidRDefault="00C37E61" w:rsidP="00C37E61">
    <w:pPr>
      <w:pStyle w:val="Footer"/>
    </w:pP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8CFC" w14:textId="03B89375" w:rsidR="00754C9A" w:rsidRPr="00255945" w:rsidRDefault="00754C9A" w:rsidP="00255945">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B6B19" w14:textId="77777777" w:rsidR="00C62507" w:rsidRDefault="00C62507" w:rsidP="00C37E61">
      <w:r>
        <w:separator/>
      </w:r>
    </w:p>
  </w:footnote>
  <w:footnote w:type="continuationSeparator" w:id="0">
    <w:p w14:paraId="5AED855C" w14:textId="77777777" w:rsidR="00C62507" w:rsidRDefault="00C625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9D3C" w14:textId="3140800F" w:rsidR="00B9383E" w:rsidRDefault="00B9383E">
    <w:pPr>
      <w:pStyle w:val="Header"/>
    </w:pPr>
    <w:r>
      <w:rPr>
        <w:noProof/>
      </w:rPr>
      <w:pict w14:anchorId="64266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266126" o:spid="_x0000_s2053"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F0BB1" w14:textId="71DA312C" w:rsidR="00B9383E" w:rsidRDefault="00B9383E">
    <w:pPr>
      <w:pStyle w:val="Header"/>
    </w:pPr>
    <w:r>
      <w:rPr>
        <w:noProof/>
      </w:rPr>
      <w:pict w14:anchorId="41D3B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266127" o:spid="_x0000_s2054"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3861" w14:textId="77C0631C" w:rsidR="00296529" w:rsidRPr="00296529" w:rsidRDefault="00B9383E" w:rsidP="00296529">
    <w:pPr>
      <w:ind w:left="2160"/>
      <w:jc w:val="center"/>
      <w:rPr>
        <w:rFonts w:ascii="Times New Roman" w:eastAsia="Calibri" w:hAnsi="Times New Roman"/>
        <w:i/>
        <w:sz w:val="18"/>
        <w:szCs w:val="22"/>
      </w:rPr>
    </w:pPr>
    <w:r>
      <w:rPr>
        <w:noProof/>
      </w:rPr>
      <w:pict w14:anchorId="16709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266125" o:spid="_x0000_s2052"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CEC69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A66C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8AE6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C2C23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A1A4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3E161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C67F7C"/>
    <w:multiLevelType w:val="multilevel"/>
    <w:tmpl w:val="1CBCA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D18518C"/>
    <w:multiLevelType w:val="hybridMultilevel"/>
    <w:tmpl w:val="4E125EB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0MLI0Njc3tjQ1NjNV0lEKTi0uzszPAykwrAUAYTh3hCwAAAA="/>
  </w:docVars>
  <w:rsids>
    <w:rsidRoot w:val="00AA6219"/>
    <w:rsid w:val="00000B26"/>
    <w:rsid w:val="00000F8F"/>
    <w:rsid w:val="00030174"/>
    <w:rsid w:val="0004579C"/>
    <w:rsid w:val="000577B9"/>
    <w:rsid w:val="000A47FA"/>
    <w:rsid w:val="000A65D3"/>
    <w:rsid w:val="000B1E33"/>
    <w:rsid w:val="000C76EC"/>
    <w:rsid w:val="000D689F"/>
    <w:rsid w:val="000E7B7B"/>
    <w:rsid w:val="000E7D62"/>
    <w:rsid w:val="00103357"/>
    <w:rsid w:val="00123C9F"/>
    <w:rsid w:val="00126190"/>
    <w:rsid w:val="00130F17"/>
    <w:rsid w:val="00131505"/>
    <w:rsid w:val="001320BF"/>
    <w:rsid w:val="00163BC4"/>
    <w:rsid w:val="00175FE5"/>
    <w:rsid w:val="00191062"/>
    <w:rsid w:val="00192B72"/>
    <w:rsid w:val="0019424F"/>
    <w:rsid w:val="001A29D8"/>
    <w:rsid w:val="001A5CAA"/>
    <w:rsid w:val="001B0427"/>
    <w:rsid w:val="001D3A51"/>
    <w:rsid w:val="001E10D2"/>
    <w:rsid w:val="001E25B4"/>
    <w:rsid w:val="001E44FE"/>
    <w:rsid w:val="00200595"/>
    <w:rsid w:val="00200990"/>
    <w:rsid w:val="00204835"/>
    <w:rsid w:val="00231920"/>
    <w:rsid w:val="0023195C"/>
    <w:rsid w:val="0024282C"/>
    <w:rsid w:val="002460DC"/>
    <w:rsid w:val="00250985"/>
    <w:rsid w:val="002556F6"/>
    <w:rsid w:val="00255945"/>
    <w:rsid w:val="00283105"/>
    <w:rsid w:val="00284C4C"/>
    <w:rsid w:val="00287E68"/>
    <w:rsid w:val="00296529"/>
    <w:rsid w:val="002B27FB"/>
    <w:rsid w:val="002B685A"/>
    <w:rsid w:val="002C57D2"/>
    <w:rsid w:val="002E0D56"/>
    <w:rsid w:val="00315186"/>
    <w:rsid w:val="0033343E"/>
    <w:rsid w:val="003452D3"/>
    <w:rsid w:val="003512C2"/>
    <w:rsid w:val="00371FB6"/>
    <w:rsid w:val="003763C1"/>
    <w:rsid w:val="00376BBE"/>
    <w:rsid w:val="0039224F"/>
    <w:rsid w:val="003A0E27"/>
    <w:rsid w:val="003A43A4"/>
    <w:rsid w:val="003A7E18"/>
    <w:rsid w:val="003C4C86"/>
    <w:rsid w:val="003C6258"/>
    <w:rsid w:val="003E2904"/>
    <w:rsid w:val="003E79A2"/>
    <w:rsid w:val="00401927"/>
    <w:rsid w:val="0041027F"/>
    <w:rsid w:val="00412475"/>
    <w:rsid w:val="00423789"/>
    <w:rsid w:val="00440F43"/>
    <w:rsid w:val="00441B6F"/>
    <w:rsid w:val="00446221"/>
    <w:rsid w:val="00450E62"/>
    <w:rsid w:val="004539DB"/>
    <w:rsid w:val="00471A80"/>
    <w:rsid w:val="004C7E77"/>
    <w:rsid w:val="004D305E"/>
    <w:rsid w:val="004D4277"/>
    <w:rsid w:val="00502516"/>
    <w:rsid w:val="00505AF8"/>
    <w:rsid w:val="00505F06"/>
    <w:rsid w:val="00506828"/>
    <w:rsid w:val="00526CC4"/>
    <w:rsid w:val="0053056E"/>
    <w:rsid w:val="00554FDA"/>
    <w:rsid w:val="005C784C"/>
    <w:rsid w:val="005D17F6"/>
    <w:rsid w:val="005E5539"/>
    <w:rsid w:val="00602BF5"/>
    <w:rsid w:val="00617FDD"/>
    <w:rsid w:val="00633614"/>
    <w:rsid w:val="00633F68"/>
    <w:rsid w:val="00636EB2"/>
    <w:rsid w:val="006375B8"/>
    <w:rsid w:val="006645E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68B1"/>
    <w:rsid w:val="0077749E"/>
    <w:rsid w:val="00790ADA"/>
    <w:rsid w:val="007D2288"/>
    <w:rsid w:val="007E088F"/>
    <w:rsid w:val="007F656D"/>
    <w:rsid w:val="007F7B32"/>
    <w:rsid w:val="00804BC2"/>
    <w:rsid w:val="0081431A"/>
    <w:rsid w:val="0083216F"/>
    <w:rsid w:val="00835980"/>
    <w:rsid w:val="00851293"/>
    <w:rsid w:val="00860000"/>
    <w:rsid w:val="00863BD3"/>
    <w:rsid w:val="008641ED"/>
    <w:rsid w:val="00866D66"/>
    <w:rsid w:val="008671C6"/>
    <w:rsid w:val="00875803"/>
    <w:rsid w:val="00887D3C"/>
    <w:rsid w:val="008B459E"/>
    <w:rsid w:val="008D2576"/>
    <w:rsid w:val="008E13AE"/>
    <w:rsid w:val="008E1506"/>
    <w:rsid w:val="008E710C"/>
    <w:rsid w:val="008F69D6"/>
    <w:rsid w:val="00902823"/>
    <w:rsid w:val="00915CA6"/>
    <w:rsid w:val="00927834"/>
    <w:rsid w:val="009500A6"/>
    <w:rsid w:val="00957C18"/>
    <w:rsid w:val="00962225"/>
    <w:rsid w:val="009659BA"/>
    <w:rsid w:val="00983040"/>
    <w:rsid w:val="009B3FB9"/>
    <w:rsid w:val="009C2465"/>
    <w:rsid w:val="009C5164"/>
    <w:rsid w:val="009C735D"/>
    <w:rsid w:val="009D35A0"/>
    <w:rsid w:val="009D7EB7"/>
    <w:rsid w:val="009E048A"/>
    <w:rsid w:val="009E08E9"/>
    <w:rsid w:val="009E3DB9"/>
    <w:rsid w:val="009E6E35"/>
    <w:rsid w:val="009F0EDA"/>
    <w:rsid w:val="00A03B96"/>
    <w:rsid w:val="00A05B19"/>
    <w:rsid w:val="00A1134E"/>
    <w:rsid w:val="00A20E73"/>
    <w:rsid w:val="00A2363B"/>
    <w:rsid w:val="00A24E7E"/>
    <w:rsid w:val="00A258C3"/>
    <w:rsid w:val="00A347C0"/>
    <w:rsid w:val="00A40902"/>
    <w:rsid w:val="00A51431"/>
    <w:rsid w:val="00A539AD"/>
    <w:rsid w:val="00A81515"/>
    <w:rsid w:val="00A94063"/>
    <w:rsid w:val="00AA6219"/>
    <w:rsid w:val="00AA74E0"/>
    <w:rsid w:val="00AB703F"/>
    <w:rsid w:val="00AC6BB8"/>
    <w:rsid w:val="00AE008F"/>
    <w:rsid w:val="00AE2A1D"/>
    <w:rsid w:val="00B01FCD"/>
    <w:rsid w:val="00B1776C"/>
    <w:rsid w:val="00B339B5"/>
    <w:rsid w:val="00B52583"/>
    <w:rsid w:val="00B52896"/>
    <w:rsid w:val="00B9383E"/>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2507"/>
    <w:rsid w:val="00C70F1B"/>
    <w:rsid w:val="00C71A47"/>
    <w:rsid w:val="00C7464C"/>
    <w:rsid w:val="00C85588"/>
    <w:rsid w:val="00CC1EAC"/>
    <w:rsid w:val="00CD4BF6"/>
    <w:rsid w:val="00CD6755"/>
    <w:rsid w:val="00CD6856"/>
    <w:rsid w:val="00CE0089"/>
    <w:rsid w:val="00CE793C"/>
    <w:rsid w:val="00CF193C"/>
    <w:rsid w:val="00D173F1"/>
    <w:rsid w:val="00D74CB0"/>
    <w:rsid w:val="00D8295D"/>
    <w:rsid w:val="00DC2A65"/>
    <w:rsid w:val="00DE15F0"/>
    <w:rsid w:val="00DE5663"/>
    <w:rsid w:val="00DE78AA"/>
    <w:rsid w:val="00E053D0"/>
    <w:rsid w:val="00E150D9"/>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B1C"/>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20EEBF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3A0E27"/>
    <w:rPr>
      <w:rFonts w:ascii="Times New Roman" w:hAnsi="Times New Roman"/>
      <w:sz w:val="24"/>
      <w:szCs w:val="24"/>
    </w:rPr>
  </w:style>
  <w:style w:type="paragraph" w:styleId="ListParagraph">
    <w:name w:val="List Paragraph"/>
    <w:basedOn w:val="Normal"/>
    <w:uiPriority w:val="34"/>
    <w:qFormat/>
    <w:rsid w:val="00175FE5"/>
    <w:pPr>
      <w:ind w:left="720"/>
      <w:contextualSpacing/>
    </w:pPr>
  </w:style>
  <w:style w:type="character" w:customStyle="1" w:styleId="FooterChar">
    <w:name w:val="Footer Char"/>
    <w:basedOn w:val="DefaultParagraphFont"/>
    <w:link w:val="Footer"/>
    <w:rsid w:val="00B339B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01183-9409-4D8D-A2CB-1456113CF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269</TotalTime>
  <Pages>10</Pages>
  <Words>4118</Words>
  <Characters>23475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27538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2025-10-28T12:51:00Z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f71f121d-cbd1-44d9-885f-d77da11f2c85</vt:lpwstr>
  </property>
</Properties>
</file>