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49825" w14:textId="58504141" w:rsidR="00345BA6" w:rsidRPr="000E0285" w:rsidRDefault="00333B28" w:rsidP="00763195">
      <w:pPr>
        <w:jc w:val="center"/>
        <w:rPr>
          <w:rFonts w:ascii="Times New Roman" w:hAnsi="Times New Roman" w:cs="Times New Roman"/>
          <w:b/>
          <w:bCs/>
          <w:szCs w:val="24"/>
        </w:rPr>
      </w:pPr>
      <w:r w:rsidRPr="000E0285">
        <w:rPr>
          <w:rFonts w:ascii="Times New Roman" w:hAnsi="Times New Roman" w:cs="Times New Roman"/>
          <w:b/>
          <w:bCs/>
          <w:szCs w:val="24"/>
        </w:rPr>
        <w:t>Efficacy of Various Chemicals Sprays on Plant Growth of Field pea (</w:t>
      </w:r>
      <w:r w:rsidRPr="000E0285">
        <w:rPr>
          <w:rFonts w:ascii="Times New Roman" w:hAnsi="Times New Roman" w:cs="Times New Roman"/>
          <w:b/>
          <w:bCs/>
          <w:i/>
          <w:iCs/>
          <w:szCs w:val="24"/>
        </w:rPr>
        <w:t>Pisum sativum</w:t>
      </w:r>
      <w:r w:rsidRPr="000E0285">
        <w:rPr>
          <w:rFonts w:ascii="Times New Roman" w:hAnsi="Times New Roman" w:cs="Times New Roman"/>
          <w:b/>
          <w:bCs/>
          <w:szCs w:val="24"/>
        </w:rPr>
        <w:t xml:space="preserve"> var. </w:t>
      </w:r>
      <w:r w:rsidRPr="000E0285">
        <w:rPr>
          <w:rFonts w:ascii="Times New Roman" w:hAnsi="Times New Roman" w:cs="Times New Roman"/>
          <w:b/>
          <w:bCs/>
          <w:i/>
          <w:iCs/>
          <w:szCs w:val="24"/>
        </w:rPr>
        <w:t>arvense</w:t>
      </w:r>
      <w:r w:rsidRPr="000E0285">
        <w:rPr>
          <w:rFonts w:ascii="Times New Roman" w:hAnsi="Times New Roman" w:cs="Times New Roman"/>
          <w:b/>
          <w:bCs/>
          <w:szCs w:val="24"/>
        </w:rPr>
        <w:t xml:space="preserve"> L.)</w:t>
      </w:r>
      <w:r w:rsidRPr="000E0285">
        <w:rPr>
          <w:rFonts w:ascii="Times New Roman" w:eastAsia="Times New Roman" w:hAnsi="Times New Roman" w:cs="Times New Roman"/>
          <w:b/>
          <w:bCs/>
          <w:kern w:val="0"/>
          <w:szCs w:val="24"/>
          <w:lang w:eastAsia="en-IN"/>
          <w14:ligatures w14:val="none"/>
        </w:rPr>
        <w:t xml:space="preserve"> </w:t>
      </w:r>
      <w:r w:rsidRPr="000E0285">
        <w:rPr>
          <w:rFonts w:ascii="Times New Roman" w:hAnsi="Times New Roman" w:cs="Times New Roman"/>
          <w:b/>
          <w:bCs/>
          <w:szCs w:val="24"/>
        </w:rPr>
        <w:t>in Terminal Heat Stress Conditions</w:t>
      </w:r>
    </w:p>
    <w:p w14:paraId="118E4F24" w14:textId="77777777" w:rsidR="00E80995" w:rsidRDefault="00E80995" w:rsidP="004E4C77">
      <w:pPr>
        <w:jc w:val="center"/>
        <w:rPr>
          <w:rFonts w:ascii="Times New Roman" w:hAnsi="Times New Roman" w:cs="Times New Roman"/>
          <w:b/>
          <w:bCs/>
          <w:szCs w:val="24"/>
        </w:rPr>
      </w:pPr>
    </w:p>
    <w:p w14:paraId="4BCDF61A" w14:textId="162481A5" w:rsidR="004E4C77" w:rsidRPr="000E0285" w:rsidRDefault="004E4C77" w:rsidP="004E4C77">
      <w:pPr>
        <w:jc w:val="center"/>
        <w:rPr>
          <w:rFonts w:ascii="Times New Roman" w:hAnsi="Times New Roman" w:cs="Times New Roman"/>
          <w:b/>
          <w:bCs/>
          <w:szCs w:val="24"/>
        </w:rPr>
      </w:pPr>
      <w:bookmarkStart w:id="0" w:name="_GoBack"/>
      <w:bookmarkEnd w:id="0"/>
      <w:r w:rsidRPr="000E0285">
        <w:rPr>
          <w:rFonts w:ascii="Times New Roman" w:hAnsi="Times New Roman" w:cs="Times New Roman"/>
          <w:b/>
          <w:bCs/>
          <w:szCs w:val="24"/>
        </w:rPr>
        <w:t>Abstract</w:t>
      </w:r>
    </w:p>
    <w:p w14:paraId="435938B0" w14:textId="57639138" w:rsidR="00592BDF" w:rsidRPr="004B2D10" w:rsidRDefault="00592BDF" w:rsidP="00592BDF">
      <w:pPr>
        <w:spacing w:line="240" w:lineRule="auto"/>
        <w:jc w:val="both"/>
        <w:rPr>
          <w:rFonts w:ascii="Times New Roman" w:hAnsi="Times New Roman" w:cs="Times New Roman"/>
          <w:szCs w:val="24"/>
        </w:rPr>
      </w:pPr>
      <w:r w:rsidRPr="00593B02">
        <w:rPr>
          <w:rFonts w:ascii="Times New Roman" w:hAnsi="Times New Roman" w:cs="Times New Roman"/>
          <w:szCs w:val="24"/>
        </w:rPr>
        <w:t>Heat stress is one of the most important constraints for crop production. Temperature</w:t>
      </w:r>
      <w:r w:rsidRPr="004B2D10">
        <w:rPr>
          <w:rFonts w:ascii="Times New Roman" w:hAnsi="Times New Roman" w:cs="Times New Roman"/>
          <w:szCs w:val="24"/>
        </w:rPr>
        <w:t xml:space="preserve"> </w:t>
      </w:r>
      <w:r w:rsidRPr="00593B02">
        <w:rPr>
          <w:rFonts w:ascii="Times New Roman" w:hAnsi="Times New Roman" w:cs="Times New Roman"/>
          <w:szCs w:val="24"/>
        </w:rPr>
        <w:t>beyond the optimum level leads to heat stress and causes irreversible damage to the growth and</w:t>
      </w:r>
      <w:r w:rsidRPr="004B2D10">
        <w:rPr>
          <w:rFonts w:ascii="Times New Roman" w:hAnsi="Times New Roman" w:cs="Times New Roman"/>
          <w:szCs w:val="24"/>
        </w:rPr>
        <w:t xml:space="preserve"> development of field</w:t>
      </w:r>
      <w:r>
        <w:rPr>
          <w:rFonts w:ascii="Times New Roman" w:hAnsi="Times New Roman" w:cs="Times New Roman"/>
          <w:szCs w:val="24"/>
        </w:rPr>
        <w:t xml:space="preserve"> </w:t>
      </w:r>
      <w:r w:rsidRPr="004B2D10">
        <w:rPr>
          <w:rFonts w:ascii="Times New Roman" w:hAnsi="Times New Roman" w:cs="Times New Roman"/>
          <w:szCs w:val="24"/>
        </w:rPr>
        <w:t xml:space="preserve">pea. Foliar application of various exogenous chemicals a is a viable option to alter heat stress effect, optimizing plant growth, seed yield under heat stress conditions. Therefore, an experiment was conducted </w:t>
      </w:r>
      <w:r w:rsidRPr="00F96E3C">
        <w:rPr>
          <w:rFonts w:ascii="Times New Roman" w:hAnsi="Times New Roman" w:cs="Times New Roman"/>
          <w:szCs w:val="24"/>
        </w:rPr>
        <w:t xml:space="preserve">to identify effective </w:t>
      </w:r>
      <w:r w:rsidRPr="004B2D10">
        <w:rPr>
          <w:rFonts w:ascii="Times New Roman" w:hAnsi="Times New Roman" w:cs="Times New Roman"/>
          <w:szCs w:val="24"/>
        </w:rPr>
        <w:t>exogenous chemicals</w:t>
      </w:r>
      <w:r w:rsidRPr="00F96E3C">
        <w:rPr>
          <w:rFonts w:ascii="Times New Roman" w:hAnsi="Times New Roman" w:cs="Times New Roman"/>
          <w:szCs w:val="24"/>
        </w:rPr>
        <w:t xml:space="preserve"> for </w:t>
      </w:r>
      <w:r w:rsidRPr="004B2D10">
        <w:rPr>
          <w:rFonts w:ascii="Times New Roman" w:hAnsi="Times New Roman" w:cs="Times New Roman"/>
          <w:szCs w:val="24"/>
        </w:rPr>
        <w:t xml:space="preserve">reducing heat stress effect in field pea </w:t>
      </w:r>
      <w:r w:rsidRPr="00F96E3C">
        <w:rPr>
          <w:rFonts w:ascii="Times New Roman" w:hAnsi="Times New Roman" w:cs="Times New Roman"/>
          <w:szCs w:val="24"/>
        </w:rPr>
        <w:t>under high-temperature</w:t>
      </w:r>
      <w:r w:rsidRPr="004B2D10">
        <w:rPr>
          <w:rFonts w:ascii="Times New Roman" w:hAnsi="Times New Roman" w:cs="Times New Roman"/>
          <w:szCs w:val="24"/>
        </w:rPr>
        <w:t xml:space="preserve"> </w:t>
      </w:r>
      <w:r w:rsidRPr="00F96E3C">
        <w:rPr>
          <w:rFonts w:ascii="Times New Roman" w:hAnsi="Times New Roman" w:cs="Times New Roman"/>
          <w:szCs w:val="24"/>
        </w:rPr>
        <w:t xml:space="preserve">stress conditions. </w:t>
      </w:r>
      <w:r w:rsidRPr="004B2D10">
        <w:rPr>
          <w:rFonts w:ascii="Times New Roman" w:hAnsi="Times New Roman" w:cs="Times New Roman"/>
          <w:szCs w:val="24"/>
        </w:rPr>
        <w:t xml:space="preserve">A field experiment was carried out at Chandra Shekhar Azad University of Agriculture &amp; Technology, Kanpur, during 2023-24 and 2024-25 to study the influence of various chemicals spray on plant height, field emergence, days to 50% flowering, days to maturity under stress condition.  The experiment was laid out in Randomized Block Design (RBD) with </w:t>
      </w:r>
      <w:r>
        <w:rPr>
          <w:rFonts w:ascii="Times New Roman" w:hAnsi="Times New Roman" w:cs="Times New Roman"/>
          <w:szCs w:val="24"/>
        </w:rPr>
        <w:t>12</w:t>
      </w:r>
      <w:r w:rsidRPr="004B2D10">
        <w:rPr>
          <w:rFonts w:ascii="Times New Roman" w:hAnsi="Times New Roman" w:cs="Times New Roman"/>
          <w:szCs w:val="24"/>
        </w:rPr>
        <w:t xml:space="preserve"> treatments and three replications. Experimental treatments comprise field pea varieties (KPMR-522) was late sown (28th November) </w:t>
      </w:r>
      <w:r>
        <w:rPr>
          <w:rFonts w:ascii="Times New Roman" w:hAnsi="Times New Roman" w:cs="Times New Roman"/>
          <w:szCs w:val="24"/>
        </w:rPr>
        <w:t xml:space="preserve">in both years </w:t>
      </w:r>
      <w:r w:rsidRPr="004B2D10">
        <w:rPr>
          <w:rFonts w:ascii="Times New Roman" w:hAnsi="Times New Roman" w:cs="Times New Roman"/>
          <w:szCs w:val="24"/>
        </w:rPr>
        <w:t>for exposing the crop to high temperature during vegetative and anthesis stage. Delayed sown high-temperature stress condition reduces plant growth and overall development in untreated plants while treated plants with exogenous chemicals, exhibited better plant performance under same heat stress condition.). The treatments comprised of different concentration of different chemicals including untreated plot</w:t>
      </w:r>
      <w:r w:rsidR="00C74F30">
        <w:rPr>
          <w:rFonts w:ascii="Times New Roman" w:hAnsi="Times New Roman" w:cs="Times New Roman"/>
          <w:szCs w:val="24"/>
        </w:rPr>
        <w:t xml:space="preserve"> </w:t>
      </w:r>
      <w:r w:rsidRPr="004B2D10">
        <w:rPr>
          <w:rFonts w:ascii="Times New Roman" w:hAnsi="Times New Roman" w:cs="Times New Roman"/>
          <w:szCs w:val="24"/>
        </w:rPr>
        <w:t>viz., T</w:t>
      </w:r>
      <w:r w:rsidRPr="00C74F30">
        <w:rPr>
          <w:rFonts w:ascii="Times New Roman" w:hAnsi="Times New Roman" w:cs="Times New Roman"/>
          <w:szCs w:val="24"/>
          <w:vertAlign w:val="subscript"/>
        </w:rPr>
        <w:t>1</w:t>
      </w:r>
      <w:r w:rsidRPr="004B2D10">
        <w:rPr>
          <w:rFonts w:ascii="Times New Roman" w:hAnsi="Times New Roman" w:cs="Times New Roman"/>
          <w:szCs w:val="24"/>
        </w:rPr>
        <w:t xml:space="preserve"> – Control, T</w:t>
      </w:r>
      <w:r w:rsidRPr="00CA7177">
        <w:rPr>
          <w:rFonts w:ascii="Times New Roman" w:hAnsi="Times New Roman" w:cs="Times New Roman"/>
          <w:szCs w:val="24"/>
          <w:vertAlign w:val="subscript"/>
        </w:rPr>
        <w:t>2</w:t>
      </w:r>
      <w:r w:rsidRPr="004B2D10">
        <w:rPr>
          <w:rFonts w:ascii="Times New Roman" w:hAnsi="Times New Roman" w:cs="Times New Roman"/>
          <w:szCs w:val="24"/>
        </w:rPr>
        <w:t xml:space="preserve"> – Thiourea 400, T</w:t>
      </w:r>
      <w:r w:rsidRPr="00CA7177">
        <w:rPr>
          <w:rFonts w:ascii="Times New Roman" w:hAnsi="Times New Roman" w:cs="Times New Roman"/>
          <w:szCs w:val="24"/>
          <w:vertAlign w:val="subscript"/>
        </w:rPr>
        <w:t>3</w:t>
      </w:r>
      <w:r w:rsidRPr="004B2D10">
        <w:rPr>
          <w:rFonts w:ascii="Times New Roman" w:hAnsi="Times New Roman" w:cs="Times New Roman"/>
          <w:szCs w:val="24"/>
        </w:rPr>
        <w:t>- Thiourea 200</w:t>
      </w:r>
      <w:r>
        <w:rPr>
          <w:rFonts w:ascii="Times New Roman" w:hAnsi="Times New Roman" w:cs="Times New Roman"/>
          <w:szCs w:val="24"/>
        </w:rPr>
        <w:t xml:space="preserve"> </w:t>
      </w:r>
      <w:r w:rsidRPr="004B2D10">
        <w:rPr>
          <w:rFonts w:ascii="Times New Roman" w:hAnsi="Times New Roman" w:cs="Times New Roman"/>
          <w:szCs w:val="24"/>
        </w:rPr>
        <w:t>ppm, T</w:t>
      </w:r>
      <w:r w:rsidRPr="00CA7177">
        <w:rPr>
          <w:rFonts w:ascii="Times New Roman" w:hAnsi="Times New Roman" w:cs="Times New Roman"/>
          <w:szCs w:val="24"/>
          <w:vertAlign w:val="subscript"/>
        </w:rPr>
        <w:t>4</w:t>
      </w:r>
      <w:r w:rsidRPr="004B2D10">
        <w:rPr>
          <w:rFonts w:ascii="Times New Roman" w:hAnsi="Times New Roman" w:cs="Times New Roman"/>
          <w:szCs w:val="24"/>
        </w:rPr>
        <w:t xml:space="preserve"> – Salicylic acid 400ppm, T</w:t>
      </w:r>
      <w:r w:rsidRPr="00CA7177">
        <w:rPr>
          <w:rFonts w:ascii="Times New Roman" w:hAnsi="Times New Roman" w:cs="Times New Roman"/>
          <w:szCs w:val="24"/>
          <w:vertAlign w:val="subscript"/>
        </w:rPr>
        <w:t xml:space="preserve">5 </w:t>
      </w:r>
      <w:r w:rsidRPr="004B2D10">
        <w:rPr>
          <w:rFonts w:ascii="Times New Roman" w:hAnsi="Times New Roman" w:cs="Times New Roman"/>
          <w:szCs w:val="24"/>
        </w:rPr>
        <w:t>– Salicylic acid 800ppm, T</w:t>
      </w:r>
      <w:r w:rsidRPr="00CA7177">
        <w:rPr>
          <w:rFonts w:ascii="Times New Roman" w:hAnsi="Times New Roman" w:cs="Times New Roman"/>
          <w:szCs w:val="24"/>
          <w:vertAlign w:val="subscript"/>
        </w:rPr>
        <w:t>6</w:t>
      </w:r>
      <w:r w:rsidRPr="004B2D10">
        <w:rPr>
          <w:rFonts w:ascii="Times New Roman" w:hAnsi="Times New Roman" w:cs="Times New Roman"/>
          <w:szCs w:val="24"/>
        </w:rPr>
        <w:t xml:space="preserve"> – Ascorbic acid – 10ppm.  Results suggested that</w:t>
      </w:r>
      <w:r>
        <w:rPr>
          <w:rFonts w:ascii="Times New Roman" w:hAnsi="Times New Roman" w:cs="Times New Roman"/>
          <w:szCs w:val="24"/>
        </w:rPr>
        <w:t xml:space="preserve"> foliar applied salicylic acid 400ppm exhibited better performance in terms of highest plant height, reduce days taken for 50 % flowering, and also decrease the total number of days taken to reach at maturity.</w:t>
      </w:r>
      <w:r w:rsidRPr="004B2D10">
        <w:rPr>
          <w:rFonts w:ascii="Times New Roman" w:hAnsi="Times New Roman" w:cs="Times New Roman"/>
          <w:szCs w:val="24"/>
        </w:rPr>
        <w:t xml:space="preserve"> heat stress severely reduced the field pea growth and productivity. However, foliar application of salicylic acid and thiourea positively affected the plant growth attributes which ultimately increased the final productivity. Concisely, the foliar spray of chemicals particularly, salicylic acid and thiourea modulated the heat stress induced losses in field pea cultivar, (KPMR-522) by improving their antioxidant defence mechanism and enhanced the productivity</w:t>
      </w:r>
    </w:p>
    <w:p w14:paraId="535CBBA7" w14:textId="77777777" w:rsidR="00592BDF" w:rsidRDefault="004E4C77" w:rsidP="00592BDF">
      <w:pPr>
        <w:jc w:val="both"/>
        <w:rPr>
          <w:rFonts w:ascii="Times New Roman" w:hAnsi="Times New Roman" w:cs="Times New Roman"/>
          <w:szCs w:val="24"/>
        </w:rPr>
      </w:pPr>
      <w:r w:rsidRPr="000E0285">
        <w:rPr>
          <w:rFonts w:ascii="Times New Roman" w:hAnsi="Times New Roman" w:cs="Times New Roman"/>
          <w:szCs w:val="24"/>
        </w:rPr>
        <w:t xml:space="preserve">  </w:t>
      </w:r>
      <w:r w:rsidRPr="000E0285">
        <w:rPr>
          <w:rFonts w:ascii="Times New Roman" w:hAnsi="Times New Roman" w:cs="Times New Roman"/>
          <w:i/>
          <w:iCs/>
          <w:szCs w:val="24"/>
        </w:rPr>
        <w:t>Keywords</w:t>
      </w:r>
      <w:r w:rsidRPr="000E0285">
        <w:rPr>
          <w:rFonts w:ascii="Times New Roman" w:hAnsi="Times New Roman" w:cs="Times New Roman"/>
          <w:szCs w:val="24"/>
        </w:rPr>
        <w:t>: Field pea; plant growth; salicylic acid; thiourea; terminal heat stress</w:t>
      </w:r>
    </w:p>
    <w:p w14:paraId="6C73951C" w14:textId="789DA8AC" w:rsidR="004E4C77" w:rsidRPr="00592BDF" w:rsidRDefault="004E4C77" w:rsidP="00592BDF">
      <w:pPr>
        <w:jc w:val="both"/>
        <w:rPr>
          <w:rFonts w:ascii="Times New Roman" w:hAnsi="Times New Roman" w:cs="Times New Roman"/>
          <w:szCs w:val="24"/>
        </w:rPr>
      </w:pPr>
      <w:r w:rsidRPr="000E0285">
        <w:rPr>
          <w:rFonts w:ascii="Times New Roman" w:hAnsi="Times New Roman" w:cs="Times New Roman"/>
          <w:b/>
          <w:bCs/>
          <w:szCs w:val="24"/>
        </w:rPr>
        <w:t xml:space="preserve">INTRODUCTION </w:t>
      </w:r>
    </w:p>
    <w:p w14:paraId="0F1ECC07" w14:textId="307F552E" w:rsidR="00190651" w:rsidRPr="000E0285" w:rsidRDefault="007064D3" w:rsidP="004E4C77">
      <w:pPr>
        <w:spacing w:before="120" w:after="120" w:line="360" w:lineRule="auto"/>
        <w:ind w:firstLine="720"/>
        <w:jc w:val="both"/>
        <w:rPr>
          <w:rFonts w:ascii="Times New Roman" w:hAnsi="Times New Roman" w:cs="Times New Roman"/>
          <w:b/>
          <w:bCs/>
          <w:szCs w:val="24"/>
        </w:rPr>
      </w:pPr>
      <w:r w:rsidRPr="000E0285">
        <w:rPr>
          <w:rFonts w:ascii="Times New Roman" w:hAnsi="Times New Roman" w:cs="Times New Roman"/>
          <w:szCs w:val="24"/>
        </w:rPr>
        <w:t>Field pea (</w:t>
      </w:r>
      <w:r w:rsidRPr="000E0285">
        <w:rPr>
          <w:rFonts w:ascii="Times New Roman" w:hAnsi="Times New Roman" w:cs="Times New Roman"/>
          <w:i/>
          <w:iCs/>
          <w:szCs w:val="24"/>
        </w:rPr>
        <w:t>Pisum sativum</w:t>
      </w:r>
      <w:r w:rsidRPr="000E0285">
        <w:rPr>
          <w:rFonts w:ascii="Times New Roman" w:hAnsi="Times New Roman" w:cs="Times New Roman"/>
          <w:szCs w:val="24"/>
        </w:rPr>
        <w:t xml:space="preserve"> var. arvense L</w:t>
      </w:r>
      <w:r w:rsidR="00410797" w:rsidRPr="000E0285">
        <w:rPr>
          <w:rFonts w:ascii="Times New Roman" w:hAnsi="Times New Roman" w:cs="Times New Roman"/>
          <w:szCs w:val="24"/>
        </w:rPr>
        <w:t>.)</w:t>
      </w:r>
      <w:r w:rsidRPr="000E0285">
        <w:rPr>
          <w:rFonts w:ascii="Times New Roman" w:eastAsia="Times New Roman" w:hAnsi="Times New Roman" w:cs="Times New Roman"/>
          <w:kern w:val="0"/>
          <w:szCs w:val="24"/>
          <w:lang w:eastAsia="en-IN"/>
          <w14:ligatures w14:val="none"/>
        </w:rPr>
        <w:t xml:space="preserve"> </w:t>
      </w:r>
      <w:r w:rsidRPr="000E0285">
        <w:rPr>
          <w:rFonts w:ascii="Times New Roman" w:hAnsi="Times New Roman" w:cs="Times New Roman"/>
          <w:szCs w:val="24"/>
        </w:rPr>
        <w:t xml:space="preserve">is a self-pollinating </w:t>
      </w:r>
      <w:r w:rsidR="009B0C26" w:rsidRPr="000E0285">
        <w:rPr>
          <w:rFonts w:ascii="Times New Roman" w:hAnsi="Times New Roman" w:cs="Times New Roman"/>
          <w:szCs w:val="24"/>
        </w:rPr>
        <w:t xml:space="preserve">cool season </w:t>
      </w:r>
      <w:r w:rsidRPr="000E0285">
        <w:rPr>
          <w:rFonts w:ascii="Times New Roman" w:hAnsi="Times New Roman" w:cs="Times New Roman"/>
          <w:szCs w:val="24"/>
        </w:rPr>
        <w:t>grain legume crop that grows annually at high</w:t>
      </w:r>
      <w:r w:rsidR="009B0C26" w:rsidRPr="000E0285">
        <w:rPr>
          <w:rFonts w:ascii="Times New Roman" w:hAnsi="Times New Roman" w:cs="Times New Roman"/>
          <w:szCs w:val="24"/>
        </w:rPr>
        <w:t>er</w:t>
      </w:r>
      <w:r w:rsidRPr="000E0285">
        <w:rPr>
          <w:rFonts w:ascii="Times New Roman" w:hAnsi="Times New Roman" w:cs="Times New Roman"/>
          <w:szCs w:val="24"/>
        </w:rPr>
        <w:t xml:space="preserve"> elevations in tropical settings</w:t>
      </w:r>
      <w:r w:rsidR="009B0C26" w:rsidRPr="000E0285">
        <w:rPr>
          <w:rFonts w:ascii="Times New Roman" w:hAnsi="Times New Roman" w:cs="Times New Roman"/>
          <w:szCs w:val="24"/>
        </w:rPr>
        <w:t xml:space="preserve"> with </w:t>
      </w:r>
      <w:r w:rsidRPr="000E0285">
        <w:rPr>
          <w:rFonts w:ascii="Times New Roman" w:hAnsi="Times New Roman" w:cs="Times New Roman"/>
          <w:szCs w:val="24"/>
        </w:rPr>
        <w:t>temperatures ranging from 7 to 30</w:t>
      </w:r>
      <w:r w:rsidR="009B0C26" w:rsidRPr="000E0285">
        <w:rPr>
          <w:rFonts w:ascii="Times New Roman" w:hAnsi="Times New Roman" w:cs="Times New Roman"/>
          <w:szCs w:val="24"/>
        </w:rPr>
        <w:t xml:space="preserve">°C </w:t>
      </w:r>
      <w:r w:rsidRPr="000E0285">
        <w:rPr>
          <w:rFonts w:ascii="Times New Roman" w:hAnsi="Times New Roman" w:cs="Times New Roman"/>
          <w:b/>
          <w:bCs/>
          <w:szCs w:val="24"/>
        </w:rPr>
        <w:t>(</w:t>
      </w:r>
      <w:proofErr w:type="spellStart"/>
      <w:r w:rsidRPr="000E0285">
        <w:rPr>
          <w:rFonts w:ascii="Times New Roman" w:hAnsi="Times New Roman" w:cs="Times New Roman"/>
          <w:b/>
          <w:bCs/>
          <w:szCs w:val="24"/>
        </w:rPr>
        <w:t>Seepal</w:t>
      </w:r>
      <w:proofErr w:type="spellEnd"/>
      <w:r w:rsidRPr="000E0285">
        <w:rPr>
          <w:rFonts w:ascii="Times New Roman" w:hAnsi="Times New Roman" w:cs="Times New Roman"/>
          <w:b/>
          <w:bCs/>
          <w:szCs w:val="24"/>
        </w:rPr>
        <w:t xml:space="preserve"> </w:t>
      </w:r>
      <w:r w:rsidR="005146CE" w:rsidRPr="000E0285">
        <w:rPr>
          <w:rFonts w:ascii="Times New Roman" w:hAnsi="Times New Roman" w:cs="Times New Roman"/>
          <w:b/>
          <w:bCs/>
          <w:i/>
          <w:iCs/>
          <w:szCs w:val="24"/>
        </w:rPr>
        <w:t>et al.</w:t>
      </w:r>
      <w:r w:rsidRPr="000E0285">
        <w:rPr>
          <w:rFonts w:ascii="Times New Roman" w:hAnsi="Times New Roman" w:cs="Times New Roman"/>
          <w:b/>
          <w:bCs/>
          <w:szCs w:val="24"/>
        </w:rPr>
        <w:t>, 2025</w:t>
      </w:r>
      <w:r w:rsidRPr="000E0285">
        <w:rPr>
          <w:rFonts w:ascii="Times New Roman" w:hAnsi="Times New Roman" w:cs="Times New Roman"/>
          <w:szCs w:val="24"/>
        </w:rPr>
        <w:t>).</w:t>
      </w:r>
      <w:r w:rsidR="00B241B9" w:rsidRPr="000E0285">
        <w:rPr>
          <w:rFonts w:ascii="Times New Roman" w:hAnsi="Times New Roman" w:cs="Times New Roman"/>
          <w:szCs w:val="24"/>
        </w:rPr>
        <w:t xml:space="preserve"> It belongs to the Fabaceae family, which has 450 genera and 1200 species, making it the biggest family of flowering plants (</w:t>
      </w:r>
      <w:r w:rsidR="00517EF8" w:rsidRPr="000E0285">
        <w:rPr>
          <w:rFonts w:ascii="Times New Roman" w:hAnsi="Times New Roman" w:cs="Times New Roman"/>
          <w:b/>
          <w:bCs/>
          <w:szCs w:val="24"/>
        </w:rPr>
        <w:t xml:space="preserve">Luitel </w:t>
      </w:r>
      <w:r w:rsidR="005146CE" w:rsidRPr="000E0285">
        <w:rPr>
          <w:rFonts w:ascii="Times New Roman" w:hAnsi="Times New Roman" w:cs="Times New Roman"/>
          <w:b/>
          <w:bCs/>
          <w:i/>
          <w:iCs/>
          <w:szCs w:val="24"/>
        </w:rPr>
        <w:t>et al.</w:t>
      </w:r>
      <w:r w:rsidR="00517EF8" w:rsidRPr="000E0285">
        <w:rPr>
          <w:rFonts w:ascii="Times New Roman" w:hAnsi="Times New Roman" w:cs="Times New Roman"/>
          <w:b/>
          <w:bCs/>
          <w:szCs w:val="24"/>
        </w:rPr>
        <w:t>, 2021)</w:t>
      </w:r>
      <w:r w:rsidR="00517EF8" w:rsidRPr="000E0285">
        <w:rPr>
          <w:rFonts w:ascii="Times New Roman" w:hAnsi="Times New Roman" w:cs="Times New Roman"/>
          <w:szCs w:val="24"/>
        </w:rPr>
        <w:t xml:space="preserve">. </w:t>
      </w:r>
      <w:r w:rsidRPr="000E0285">
        <w:rPr>
          <w:rFonts w:ascii="Times New Roman" w:hAnsi="Times New Roman" w:cs="Times New Roman"/>
          <w:szCs w:val="24"/>
        </w:rPr>
        <w:t>It is the third-</w:t>
      </w:r>
      <w:r w:rsidR="009B0C26" w:rsidRPr="000E0285">
        <w:rPr>
          <w:rFonts w:ascii="Times New Roman" w:hAnsi="Times New Roman" w:cs="Times New Roman"/>
          <w:szCs w:val="24"/>
        </w:rPr>
        <w:t xml:space="preserve">most </w:t>
      </w:r>
      <w:r w:rsidRPr="000E0285">
        <w:rPr>
          <w:rFonts w:ascii="Times New Roman" w:hAnsi="Times New Roman" w:cs="Times New Roman"/>
          <w:szCs w:val="24"/>
        </w:rPr>
        <w:t>produce</w:t>
      </w:r>
      <w:r w:rsidR="009B0C26" w:rsidRPr="000E0285">
        <w:rPr>
          <w:rFonts w:ascii="Times New Roman" w:hAnsi="Times New Roman" w:cs="Times New Roman"/>
          <w:szCs w:val="24"/>
        </w:rPr>
        <w:t>d</w:t>
      </w:r>
      <w:r w:rsidRPr="000E0285">
        <w:rPr>
          <w:rFonts w:ascii="Times New Roman" w:hAnsi="Times New Roman" w:cs="Times New Roman"/>
          <w:szCs w:val="24"/>
        </w:rPr>
        <w:t xml:space="preserve"> legume globally and one of the oldest crops still in cultivation</w:t>
      </w:r>
      <w:r w:rsidRPr="000E0285">
        <w:rPr>
          <w:rFonts w:ascii="Times New Roman" w:hAnsi="Times New Roman" w:cs="Times New Roman"/>
          <w:b/>
          <w:bCs/>
          <w:szCs w:val="24"/>
        </w:rPr>
        <w:t xml:space="preserve"> (</w:t>
      </w:r>
      <w:r w:rsidR="00B84648" w:rsidRPr="000E0285">
        <w:rPr>
          <w:rFonts w:ascii="Times New Roman" w:hAnsi="Times New Roman" w:cs="Times New Roman"/>
          <w:b/>
          <w:bCs/>
          <w:szCs w:val="24"/>
        </w:rPr>
        <w:t xml:space="preserve">Azam </w:t>
      </w:r>
      <w:r w:rsidR="005146CE" w:rsidRPr="000E0285">
        <w:rPr>
          <w:rFonts w:ascii="Times New Roman" w:hAnsi="Times New Roman" w:cs="Times New Roman"/>
          <w:b/>
          <w:bCs/>
          <w:i/>
          <w:iCs/>
          <w:szCs w:val="24"/>
        </w:rPr>
        <w:t>et al.</w:t>
      </w:r>
      <w:r w:rsidR="00B84648" w:rsidRPr="000E0285">
        <w:rPr>
          <w:rFonts w:ascii="Times New Roman" w:hAnsi="Times New Roman" w:cs="Times New Roman"/>
          <w:b/>
          <w:bCs/>
          <w:szCs w:val="24"/>
        </w:rPr>
        <w:t>, 2024</w:t>
      </w:r>
      <w:r w:rsidR="00B84648" w:rsidRPr="000E0285">
        <w:rPr>
          <w:rFonts w:ascii="Times New Roman" w:hAnsi="Times New Roman" w:cs="Times New Roman"/>
          <w:szCs w:val="24"/>
        </w:rPr>
        <w:t xml:space="preserve">). </w:t>
      </w:r>
      <w:r w:rsidR="00D04562" w:rsidRPr="000E0285">
        <w:rPr>
          <w:rFonts w:ascii="Times New Roman" w:hAnsi="Times New Roman" w:cs="Times New Roman"/>
          <w:szCs w:val="24"/>
        </w:rPr>
        <w:t xml:space="preserve">It is acknowledged as one of the most fruitful, nutrient-dense legume </w:t>
      </w:r>
      <w:r w:rsidR="005146CE" w:rsidRPr="000E0285">
        <w:rPr>
          <w:rFonts w:ascii="Times New Roman" w:hAnsi="Times New Roman" w:cs="Times New Roman"/>
          <w:szCs w:val="24"/>
        </w:rPr>
        <w:t>crops</w:t>
      </w:r>
      <w:r w:rsidR="009B0C26" w:rsidRPr="000E0285">
        <w:rPr>
          <w:rFonts w:ascii="Times New Roman" w:hAnsi="Times New Roman" w:cs="Times New Roman"/>
          <w:szCs w:val="24"/>
        </w:rPr>
        <w:t xml:space="preserve"> </w:t>
      </w:r>
      <w:r w:rsidR="00D04562" w:rsidRPr="000E0285">
        <w:rPr>
          <w:rFonts w:ascii="Times New Roman" w:hAnsi="Times New Roman" w:cs="Times New Roman"/>
          <w:szCs w:val="24"/>
        </w:rPr>
        <w:t xml:space="preserve">with significant potential to </w:t>
      </w:r>
      <w:r w:rsidR="009B0C26" w:rsidRPr="000E0285">
        <w:rPr>
          <w:rFonts w:ascii="Times New Roman" w:hAnsi="Times New Roman" w:cs="Times New Roman"/>
          <w:szCs w:val="24"/>
        </w:rPr>
        <w:t xml:space="preserve">combat </w:t>
      </w:r>
      <w:r w:rsidR="00D04562" w:rsidRPr="000E0285">
        <w:rPr>
          <w:rFonts w:ascii="Times New Roman" w:hAnsi="Times New Roman" w:cs="Times New Roman"/>
          <w:szCs w:val="24"/>
        </w:rPr>
        <w:t>protein</w:t>
      </w:r>
      <w:r w:rsidR="009B0C26" w:rsidRPr="000E0285">
        <w:rPr>
          <w:rFonts w:ascii="Times New Roman" w:hAnsi="Times New Roman" w:cs="Times New Roman"/>
          <w:szCs w:val="24"/>
        </w:rPr>
        <w:t xml:space="preserve"> malnutrition</w:t>
      </w:r>
      <w:r w:rsidR="00D04562" w:rsidRPr="000E0285">
        <w:rPr>
          <w:rFonts w:ascii="Times New Roman" w:hAnsi="Times New Roman" w:cs="Times New Roman"/>
          <w:szCs w:val="24"/>
        </w:rPr>
        <w:t xml:space="preserve"> </w:t>
      </w:r>
      <w:r w:rsidR="009B0C26" w:rsidRPr="000E0285">
        <w:rPr>
          <w:rFonts w:ascii="Times New Roman" w:hAnsi="Times New Roman" w:cs="Times New Roman"/>
          <w:szCs w:val="24"/>
        </w:rPr>
        <w:t xml:space="preserve">around the globe </w:t>
      </w:r>
      <w:r w:rsidR="00A57C9D" w:rsidRPr="000E0285">
        <w:rPr>
          <w:rFonts w:ascii="Times New Roman" w:hAnsi="Times New Roman" w:cs="Times New Roman"/>
          <w:b/>
          <w:bCs/>
          <w:szCs w:val="24"/>
        </w:rPr>
        <w:t xml:space="preserve">(Pandey </w:t>
      </w:r>
      <w:r w:rsidR="005146CE" w:rsidRPr="000E0285">
        <w:rPr>
          <w:rFonts w:ascii="Times New Roman" w:hAnsi="Times New Roman" w:cs="Times New Roman"/>
          <w:b/>
          <w:bCs/>
          <w:i/>
          <w:iCs/>
          <w:szCs w:val="24"/>
        </w:rPr>
        <w:t>et al.</w:t>
      </w:r>
      <w:r w:rsidR="00A57C9D" w:rsidRPr="000E0285">
        <w:rPr>
          <w:rFonts w:ascii="Times New Roman" w:hAnsi="Times New Roman" w:cs="Times New Roman"/>
          <w:b/>
          <w:bCs/>
          <w:szCs w:val="24"/>
        </w:rPr>
        <w:t>, 2021)</w:t>
      </w:r>
      <w:r w:rsidR="005146CE" w:rsidRPr="000E0285">
        <w:rPr>
          <w:rFonts w:ascii="Times New Roman" w:hAnsi="Times New Roman" w:cs="Times New Roman"/>
          <w:szCs w:val="24"/>
        </w:rPr>
        <w:t xml:space="preserve">. </w:t>
      </w:r>
      <w:r w:rsidR="00327A0B" w:rsidRPr="000E0285">
        <w:rPr>
          <w:rFonts w:ascii="Times New Roman" w:hAnsi="Times New Roman" w:cs="Times New Roman"/>
          <w:szCs w:val="24"/>
        </w:rPr>
        <w:t xml:space="preserve">The two </w:t>
      </w:r>
      <w:r w:rsidR="009B0C26" w:rsidRPr="000E0285">
        <w:rPr>
          <w:rFonts w:ascii="Times New Roman" w:hAnsi="Times New Roman" w:cs="Times New Roman"/>
          <w:szCs w:val="24"/>
        </w:rPr>
        <w:t xml:space="preserve">types </w:t>
      </w:r>
      <w:r w:rsidR="00327A0B" w:rsidRPr="000E0285">
        <w:rPr>
          <w:rFonts w:ascii="Times New Roman" w:hAnsi="Times New Roman" w:cs="Times New Roman"/>
          <w:szCs w:val="24"/>
        </w:rPr>
        <w:t xml:space="preserve">of peas that are historically </w:t>
      </w:r>
      <w:r w:rsidR="008B4D56" w:rsidRPr="000E0285">
        <w:rPr>
          <w:rFonts w:ascii="Times New Roman" w:hAnsi="Times New Roman" w:cs="Times New Roman"/>
          <w:szCs w:val="24"/>
        </w:rPr>
        <w:t xml:space="preserve">cultivated </w:t>
      </w:r>
      <w:r w:rsidR="00327A0B" w:rsidRPr="000E0285">
        <w:rPr>
          <w:rFonts w:ascii="Times New Roman" w:hAnsi="Times New Roman" w:cs="Times New Roman"/>
          <w:szCs w:val="24"/>
        </w:rPr>
        <w:t>worldwide are field peas and garden peas.</w:t>
      </w:r>
      <w:r w:rsidR="008B4D56" w:rsidRPr="000E0285">
        <w:rPr>
          <w:rFonts w:ascii="Times New Roman" w:hAnsi="Times New Roman" w:cs="Times New Roman"/>
          <w:szCs w:val="24"/>
        </w:rPr>
        <w:t xml:space="preserve"> F</w:t>
      </w:r>
      <w:r w:rsidR="003C0A68" w:rsidRPr="000E0285">
        <w:rPr>
          <w:rFonts w:ascii="Times New Roman" w:hAnsi="Times New Roman" w:cs="Times New Roman"/>
          <w:szCs w:val="24"/>
        </w:rPr>
        <w:t>ield peas can be utilized as dry matter fodder, silage, haylage, immature grain, green manure, straw, and green fodder</w:t>
      </w:r>
      <w:r w:rsidR="008B4D56" w:rsidRPr="000E0285">
        <w:rPr>
          <w:rFonts w:ascii="Times New Roman" w:hAnsi="Times New Roman" w:cs="Times New Roman"/>
          <w:szCs w:val="24"/>
        </w:rPr>
        <w:t xml:space="preserve"> while garden peas are mostly consumed for its edible green seeds for </w:t>
      </w:r>
      <w:r w:rsidR="008B4D56" w:rsidRPr="000E0285">
        <w:rPr>
          <w:rFonts w:ascii="Times New Roman" w:hAnsi="Times New Roman" w:cs="Times New Roman"/>
          <w:szCs w:val="24"/>
        </w:rPr>
        <w:lastRenderedPageBreak/>
        <w:t>culinary purposes</w:t>
      </w:r>
      <w:r w:rsidR="003C0A68" w:rsidRPr="000E0285">
        <w:rPr>
          <w:rFonts w:ascii="Times New Roman" w:hAnsi="Times New Roman" w:cs="Times New Roman"/>
          <w:szCs w:val="24"/>
        </w:rPr>
        <w:t xml:space="preserve"> </w:t>
      </w:r>
      <w:r w:rsidR="003C0A68" w:rsidRPr="000E0285">
        <w:rPr>
          <w:rFonts w:ascii="Times New Roman" w:hAnsi="Times New Roman" w:cs="Times New Roman"/>
          <w:b/>
          <w:bCs/>
          <w:szCs w:val="24"/>
        </w:rPr>
        <w:t xml:space="preserve">(Srivastava </w:t>
      </w:r>
      <w:r w:rsidR="005146CE" w:rsidRPr="000E0285">
        <w:rPr>
          <w:rFonts w:ascii="Times New Roman" w:hAnsi="Times New Roman" w:cs="Times New Roman"/>
          <w:b/>
          <w:bCs/>
          <w:i/>
          <w:iCs/>
          <w:szCs w:val="24"/>
        </w:rPr>
        <w:t>et al.</w:t>
      </w:r>
      <w:r w:rsidR="003C0A68" w:rsidRPr="000E0285">
        <w:rPr>
          <w:rFonts w:ascii="Times New Roman" w:hAnsi="Times New Roman" w:cs="Times New Roman"/>
          <w:b/>
          <w:bCs/>
          <w:szCs w:val="24"/>
        </w:rPr>
        <w:t>, 2025)</w:t>
      </w:r>
      <w:r w:rsidR="003C0A68" w:rsidRPr="000E0285">
        <w:rPr>
          <w:rFonts w:ascii="Times New Roman" w:hAnsi="Times New Roman" w:cs="Times New Roman"/>
          <w:szCs w:val="24"/>
        </w:rPr>
        <w:t>.</w:t>
      </w:r>
      <w:r w:rsidR="008B4D56" w:rsidRPr="000E0285">
        <w:rPr>
          <w:rFonts w:ascii="Times New Roman" w:hAnsi="Times New Roman" w:cs="Times New Roman"/>
          <w:szCs w:val="24"/>
        </w:rPr>
        <w:t xml:space="preserve"> Field peas, however, are valued for its multipurpose usage and its versatility in adapting to diverse climatic conditions.</w:t>
      </w:r>
      <w:r w:rsidR="008B4D56" w:rsidRPr="000E0285">
        <w:rPr>
          <w:rFonts w:ascii="Times New Roman" w:hAnsi="Times New Roman" w:cs="Times New Roman"/>
          <w:b/>
          <w:bCs/>
          <w:szCs w:val="24"/>
        </w:rPr>
        <w:t xml:space="preserve"> </w:t>
      </w:r>
      <w:r w:rsidR="00EC6250" w:rsidRPr="000E0285">
        <w:rPr>
          <w:rFonts w:ascii="Times New Roman" w:hAnsi="Times New Roman" w:cs="Times New Roman"/>
          <w:szCs w:val="24"/>
        </w:rPr>
        <w:t>The crop grows best in well-drained loamy soils with a pH of 6.0 to 7.5, but it is quite vulnerable to waterlogging.</w:t>
      </w:r>
      <w:r w:rsidR="00735F14" w:rsidRPr="000E0285">
        <w:rPr>
          <w:rFonts w:ascii="Times New Roman" w:hAnsi="Times New Roman" w:cs="Times New Roman"/>
          <w:szCs w:val="24"/>
        </w:rPr>
        <w:t xml:space="preserve">  Field peas have exceptional nutritional value that </w:t>
      </w:r>
      <w:r w:rsidR="005A2D0D" w:rsidRPr="000E0285">
        <w:rPr>
          <w:rFonts w:ascii="Times New Roman" w:hAnsi="Times New Roman" w:cs="Times New Roman"/>
          <w:szCs w:val="24"/>
        </w:rPr>
        <w:t xml:space="preserve">include </w:t>
      </w:r>
      <w:r w:rsidR="00735F14" w:rsidRPr="000E0285">
        <w:rPr>
          <w:rFonts w:ascii="Times New Roman" w:hAnsi="Times New Roman" w:cs="Times New Roman"/>
          <w:szCs w:val="24"/>
        </w:rPr>
        <w:t>high protein content (</w:t>
      </w:r>
      <w:r w:rsidR="00881A10" w:rsidRPr="000E0285">
        <w:rPr>
          <w:rFonts w:ascii="Times New Roman" w:hAnsi="Times New Roman" w:cs="Times New Roman"/>
          <w:szCs w:val="24"/>
        </w:rPr>
        <w:t>23%</w:t>
      </w:r>
      <w:r w:rsidR="00735F14" w:rsidRPr="000E0285">
        <w:rPr>
          <w:rFonts w:ascii="Times New Roman" w:hAnsi="Times New Roman" w:cs="Times New Roman"/>
          <w:szCs w:val="24"/>
        </w:rPr>
        <w:t xml:space="preserve">), </w:t>
      </w:r>
      <w:r w:rsidR="005A2D0D" w:rsidRPr="000E0285">
        <w:rPr>
          <w:rFonts w:ascii="Times New Roman" w:hAnsi="Times New Roman" w:cs="Times New Roman"/>
          <w:szCs w:val="24"/>
        </w:rPr>
        <w:t>vital vitamins</w:t>
      </w:r>
      <w:r w:rsidR="00735F14" w:rsidRPr="000E0285">
        <w:rPr>
          <w:rFonts w:ascii="Times New Roman" w:hAnsi="Times New Roman" w:cs="Times New Roman"/>
          <w:szCs w:val="24"/>
        </w:rPr>
        <w:t xml:space="preserve"> like </w:t>
      </w:r>
      <w:r w:rsidR="005A2D0D" w:rsidRPr="000E0285">
        <w:rPr>
          <w:rFonts w:ascii="Times New Roman" w:hAnsi="Times New Roman" w:cs="Times New Roman"/>
          <w:szCs w:val="24"/>
        </w:rPr>
        <w:t>B1</w:t>
      </w:r>
      <w:r w:rsidR="005146CE" w:rsidRPr="000E0285">
        <w:rPr>
          <w:rFonts w:ascii="Times New Roman" w:hAnsi="Times New Roman" w:cs="Times New Roman"/>
          <w:szCs w:val="24"/>
        </w:rPr>
        <w:t xml:space="preserve"> (Thiamine)</w:t>
      </w:r>
      <w:r w:rsidR="005A2D0D" w:rsidRPr="000E0285">
        <w:rPr>
          <w:rFonts w:ascii="Times New Roman" w:hAnsi="Times New Roman" w:cs="Times New Roman"/>
          <w:szCs w:val="24"/>
        </w:rPr>
        <w:t xml:space="preserve"> and B5</w:t>
      </w:r>
      <w:r w:rsidR="005146CE" w:rsidRPr="000E0285">
        <w:rPr>
          <w:rFonts w:ascii="Times New Roman" w:hAnsi="Times New Roman" w:cs="Times New Roman"/>
          <w:szCs w:val="24"/>
        </w:rPr>
        <w:t xml:space="preserve"> (Pantothenic acid)</w:t>
      </w:r>
      <w:r w:rsidR="005A2D0D" w:rsidRPr="000E0285">
        <w:rPr>
          <w:rFonts w:ascii="Times New Roman" w:hAnsi="Times New Roman" w:cs="Times New Roman"/>
          <w:szCs w:val="24"/>
        </w:rPr>
        <w:t xml:space="preserve">, 2.2% minerals, 4.5% </w:t>
      </w:r>
      <w:r w:rsidR="005146CE" w:rsidRPr="000E0285">
        <w:rPr>
          <w:rFonts w:ascii="Times New Roman" w:hAnsi="Times New Roman" w:cs="Times New Roman"/>
          <w:szCs w:val="24"/>
        </w:rPr>
        <w:t>fibres</w:t>
      </w:r>
      <w:r w:rsidR="005A2D0D" w:rsidRPr="000E0285">
        <w:rPr>
          <w:rFonts w:ascii="Times New Roman" w:hAnsi="Times New Roman" w:cs="Times New Roman"/>
          <w:szCs w:val="24"/>
        </w:rPr>
        <w:t xml:space="preserve">, 56.5% carbohydrates, and 1.1% fat </w:t>
      </w:r>
      <w:r w:rsidR="005A2D0D" w:rsidRPr="000E0285">
        <w:rPr>
          <w:rFonts w:ascii="Times New Roman" w:hAnsi="Times New Roman" w:cs="Times New Roman"/>
          <w:b/>
          <w:bCs/>
          <w:szCs w:val="24"/>
        </w:rPr>
        <w:t xml:space="preserve">(Anand </w:t>
      </w:r>
      <w:r w:rsidR="005146CE" w:rsidRPr="000E0285">
        <w:rPr>
          <w:rFonts w:ascii="Times New Roman" w:hAnsi="Times New Roman" w:cs="Times New Roman"/>
          <w:b/>
          <w:bCs/>
          <w:i/>
          <w:iCs/>
          <w:szCs w:val="24"/>
        </w:rPr>
        <w:t>et al.</w:t>
      </w:r>
      <w:r w:rsidR="005A2D0D" w:rsidRPr="000E0285">
        <w:rPr>
          <w:rFonts w:ascii="Times New Roman" w:hAnsi="Times New Roman" w:cs="Times New Roman"/>
          <w:b/>
          <w:bCs/>
          <w:szCs w:val="24"/>
        </w:rPr>
        <w:t>, 2024b)</w:t>
      </w:r>
      <w:r w:rsidR="005A2D0D" w:rsidRPr="000E0285">
        <w:rPr>
          <w:rFonts w:ascii="Times New Roman" w:hAnsi="Times New Roman" w:cs="Times New Roman"/>
          <w:bCs/>
          <w:szCs w:val="24"/>
        </w:rPr>
        <w:t>.</w:t>
      </w:r>
      <w:r w:rsidR="00D80C5E" w:rsidRPr="000E0285">
        <w:rPr>
          <w:rFonts w:ascii="Times New Roman" w:hAnsi="Times New Roman" w:cs="Times New Roman"/>
          <w:b/>
          <w:bCs/>
          <w:szCs w:val="24"/>
        </w:rPr>
        <w:t xml:space="preserve"> </w:t>
      </w:r>
      <w:r w:rsidR="00D80C5E" w:rsidRPr="000E0285">
        <w:rPr>
          <w:rFonts w:ascii="Times New Roman" w:hAnsi="Times New Roman" w:cs="Times New Roman"/>
          <w:szCs w:val="24"/>
        </w:rPr>
        <w:t>It improves soil</w:t>
      </w:r>
      <w:r w:rsidR="00735F14" w:rsidRPr="000E0285">
        <w:rPr>
          <w:rFonts w:ascii="Times New Roman" w:hAnsi="Times New Roman" w:cs="Times New Roman"/>
          <w:szCs w:val="24"/>
        </w:rPr>
        <w:t xml:space="preserve"> health </w:t>
      </w:r>
      <w:r w:rsidR="00D80C5E" w:rsidRPr="000E0285">
        <w:rPr>
          <w:rFonts w:ascii="Times New Roman" w:hAnsi="Times New Roman" w:cs="Times New Roman"/>
          <w:szCs w:val="24"/>
        </w:rPr>
        <w:t>by fixing nitrogen from the environment</w:t>
      </w:r>
      <w:r w:rsidR="00735F14" w:rsidRPr="000E0285">
        <w:rPr>
          <w:rFonts w:ascii="Times New Roman" w:hAnsi="Times New Roman" w:cs="Times New Roman"/>
          <w:szCs w:val="24"/>
        </w:rPr>
        <w:t xml:space="preserve"> </w:t>
      </w:r>
      <w:r w:rsidR="00D80C5E" w:rsidRPr="000E0285">
        <w:rPr>
          <w:rFonts w:ascii="Times New Roman" w:hAnsi="Times New Roman" w:cs="Times New Roman"/>
          <w:b/>
          <w:bCs/>
          <w:szCs w:val="24"/>
        </w:rPr>
        <w:t>(</w:t>
      </w:r>
      <w:proofErr w:type="spellStart"/>
      <w:r w:rsidR="00D80C5E" w:rsidRPr="000E0285">
        <w:rPr>
          <w:rFonts w:ascii="Times New Roman" w:hAnsi="Times New Roman" w:cs="Times New Roman"/>
          <w:b/>
          <w:bCs/>
          <w:szCs w:val="24"/>
        </w:rPr>
        <w:t>Sanwal</w:t>
      </w:r>
      <w:proofErr w:type="spellEnd"/>
      <w:r w:rsidR="00D80C5E" w:rsidRPr="000E0285">
        <w:rPr>
          <w:rFonts w:ascii="Times New Roman" w:hAnsi="Times New Roman" w:cs="Times New Roman"/>
          <w:b/>
          <w:bCs/>
          <w:szCs w:val="24"/>
        </w:rPr>
        <w:t xml:space="preserve"> </w:t>
      </w:r>
      <w:r w:rsidR="005146CE" w:rsidRPr="000E0285">
        <w:rPr>
          <w:rFonts w:ascii="Times New Roman" w:hAnsi="Times New Roman" w:cs="Times New Roman"/>
          <w:b/>
          <w:bCs/>
          <w:i/>
          <w:iCs/>
          <w:szCs w:val="24"/>
        </w:rPr>
        <w:t>et al.</w:t>
      </w:r>
      <w:r w:rsidR="00D80C5E" w:rsidRPr="000E0285">
        <w:rPr>
          <w:rFonts w:ascii="Times New Roman" w:hAnsi="Times New Roman" w:cs="Times New Roman"/>
          <w:b/>
          <w:bCs/>
          <w:szCs w:val="24"/>
        </w:rPr>
        <w:t>, 2024)</w:t>
      </w:r>
      <w:r w:rsidR="00D80C5E" w:rsidRPr="000E0285">
        <w:rPr>
          <w:rFonts w:ascii="Times New Roman" w:hAnsi="Times New Roman" w:cs="Times New Roman"/>
          <w:bCs/>
          <w:szCs w:val="24"/>
        </w:rPr>
        <w:t>.</w:t>
      </w:r>
      <w:r w:rsidR="00D80C5E" w:rsidRPr="000E0285">
        <w:rPr>
          <w:rFonts w:ascii="Times New Roman" w:hAnsi="Times New Roman" w:cs="Times New Roman"/>
          <w:b/>
          <w:bCs/>
          <w:szCs w:val="24"/>
        </w:rPr>
        <w:t xml:space="preserve"> </w:t>
      </w:r>
      <w:r w:rsidR="00D80C5E" w:rsidRPr="000E0285">
        <w:rPr>
          <w:rFonts w:ascii="Times New Roman" w:hAnsi="Times New Roman" w:cs="Times New Roman"/>
          <w:szCs w:val="24"/>
        </w:rPr>
        <w:t xml:space="preserve">In irrigated </w:t>
      </w:r>
      <w:proofErr w:type="spellStart"/>
      <w:r w:rsidR="00D80C5E" w:rsidRPr="000E0285">
        <w:rPr>
          <w:rFonts w:ascii="Times New Roman" w:hAnsi="Times New Roman" w:cs="Times New Roman"/>
          <w:szCs w:val="24"/>
        </w:rPr>
        <w:t>agro</w:t>
      </w:r>
      <w:proofErr w:type="spellEnd"/>
      <w:r w:rsidR="00D80C5E" w:rsidRPr="000E0285">
        <w:rPr>
          <w:rFonts w:ascii="Times New Roman" w:hAnsi="Times New Roman" w:cs="Times New Roman"/>
          <w:szCs w:val="24"/>
        </w:rPr>
        <w:t>-regions, it currently competes as a crop for the diversification of cereal-based cropping systems</w:t>
      </w:r>
      <w:r w:rsidR="00D80C5E" w:rsidRPr="000E0285">
        <w:rPr>
          <w:rFonts w:ascii="Times New Roman" w:hAnsi="Times New Roman" w:cs="Times New Roman"/>
          <w:b/>
          <w:bCs/>
          <w:szCs w:val="24"/>
        </w:rPr>
        <w:t xml:space="preserve"> (Kumar </w:t>
      </w:r>
      <w:r w:rsidR="005146CE" w:rsidRPr="000E0285">
        <w:rPr>
          <w:rFonts w:ascii="Times New Roman" w:hAnsi="Times New Roman" w:cs="Times New Roman"/>
          <w:b/>
          <w:bCs/>
          <w:i/>
          <w:iCs/>
          <w:szCs w:val="24"/>
        </w:rPr>
        <w:t>et al.</w:t>
      </w:r>
      <w:r w:rsidR="00D80C5E" w:rsidRPr="000E0285">
        <w:rPr>
          <w:rFonts w:ascii="Times New Roman" w:hAnsi="Times New Roman" w:cs="Times New Roman"/>
          <w:b/>
          <w:bCs/>
          <w:szCs w:val="24"/>
        </w:rPr>
        <w:t xml:space="preserve"> 2018; Baishya </w:t>
      </w:r>
      <w:r w:rsidR="005146CE" w:rsidRPr="000E0285">
        <w:rPr>
          <w:rFonts w:ascii="Times New Roman" w:hAnsi="Times New Roman" w:cs="Times New Roman"/>
          <w:b/>
          <w:bCs/>
          <w:i/>
          <w:iCs/>
          <w:szCs w:val="24"/>
        </w:rPr>
        <w:t>et al.</w:t>
      </w:r>
      <w:r w:rsidR="00D80C5E" w:rsidRPr="000E0285">
        <w:rPr>
          <w:rFonts w:ascii="Times New Roman" w:hAnsi="Times New Roman" w:cs="Times New Roman"/>
          <w:b/>
          <w:bCs/>
          <w:szCs w:val="24"/>
        </w:rPr>
        <w:t xml:space="preserve"> 2019)</w:t>
      </w:r>
      <w:r w:rsidR="00D80C5E" w:rsidRPr="000E0285">
        <w:rPr>
          <w:rFonts w:ascii="Times New Roman" w:hAnsi="Times New Roman" w:cs="Times New Roman"/>
          <w:bCs/>
          <w:szCs w:val="24"/>
        </w:rPr>
        <w:t>.</w:t>
      </w:r>
      <w:r w:rsidR="00517EF8" w:rsidRPr="000E0285">
        <w:rPr>
          <w:rFonts w:ascii="Times New Roman" w:hAnsi="Times New Roman" w:cs="Times New Roman"/>
          <w:b/>
          <w:bCs/>
          <w:szCs w:val="24"/>
        </w:rPr>
        <w:t xml:space="preserve"> </w:t>
      </w:r>
      <w:r w:rsidR="00517EF8" w:rsidRPr="000E0285">
        <w:rPr>
          <w:rFonts w:ascii="Times New Roman" w:hAnsi="Times New Roman" w:cs="Times New Roman"/>
          <w:szCs w:val="24"/>
        </w:rPr>
        <w:t xml:space="preserve">Many industries, such as Bombay </w:t>
      </w:r>
      <w:proofErr w:type="spellStart"/>
      <w:r w:rsidR="00517EF8" w:rsidRPr="000E0285">
        <w:rPr>
          <w:rFonts w:ascii="Times New Roman" w:hAnsi="Times New Roman" w:cs="Times New Roman"/>
          <w:szCs w:val="24"/>
        </w:rPr>
        <w:t>Chanachur</w:t>
      </w:r>
      <w:proofErr w:type="spellEnd"/>
      <w:r w:rsidR="00517EF8" w:rsidRPr="000E0285">
        <w:rPr>
          <w:rFonts w:ascii="Times New Roman" w:hAnsi="Times New Roman" w:cs="Times New Roman"/>
          <w:szCs w:val="24"/>
        </w:rPr>
        <w:t>, Ruchi, and PRAN Dal Vaja, employ field pea seeds as a raw source to create commodities with added value.</w:t>
      </w:r>
      <w:r w:rsidR="00190651" w:rsidRPr="000E0285">
        <w:rPr>
          <w:rFonts w:ascii="Times New Roman" w:hAnsi="Times New Roman" w:cs="Times New Roman"/>
          <w:b/>
          <w:bCs/>
          <w:szCs w:val="24"/>
        </w:rPr>
        <w:t xml:space="preserve"> </w:t>
      </w:r>
    </w:p>
    <w:p w14:paraId="2D18DC67" w14:textId="2944919C" w:rsidR="004E2939" w:rsidRPr="000E0285" w:rsidRDefault="00CF21AC" w:rsidP="009B0C26">
      <w:pPr>
        <w:spacing w:before="120" w:after="120" w:line="360" w:lineRule="auto"/>
        <w:jc w:val="both"/>
        <w:rPr>
          <w:rFonts w:ascii="Times New Roman" w:hAnsi="Times New Roman" w:cs="Times New Roman"/>
          <w:b/>
          <w:bCs/>
          <w:szCs w:val="24"/>
        </w:rPr>
      </w:pPr>
      <w:r w:rsidRPr="000E0285">
        <w:rPr>
          <w:rFonts w:ascii="Times New Roman" w:hAnsi="Times New Roman" w:cs="Times New Roman"/>
          <w:szCs w:val="24"/>
        </w:rPr>
        <w:t xml:space="preserve">The production of dry peas was </w:t>
      </w:r>
      <w:r w:rsidR="00735F14" w:rsidRPr="000E0285">
        <w:rPr>
          <w:rFonts w:ascii="Times New Roman" w:hAnsi="Times New Roman" w:cs="Times New Roman"/>
          <w:szCs w:val="24"/>
        </w:rPr>
        <w:t xml:space="preserve">cultivated over an area </w:t>
      </w:r>
      <w:r w:rsidR="005146CE" w:rsidRPr="000E0285">
        <w:rPr>
          <w:rFonts w:ascii="Times New Roman" w:hAnsi="Times New Roman" w:cs="Times New Roman"/>
          <w:szCs w:val="24"/>
        </w:rPr>
        <w:t>of 74.08</w:t>
      </w:r>
      <w:r w:rsidR="00A16B92" w:rsidRPr="000E0285">
        <w:rPr>
          <w:rFonts w:ascii="Times New Roman" w:hAnsi="Times New Roman" w:cs="Times New Roman"/>
          <w:szCs w:val="24"/>
        </w:rPr>
        <w:t xml:space="preserve"> lakh</w:t>
      </w:r>
      <w:r w:rsidRPr="000E0285">
        <w:rPr>
          <w:rFonts w:ascii="Times New Roman" w:hAnsi="Times New Roman" w:cs="Times New Roman"/>
          <w:szCs w:val="24"/>
        </w:rPr>
        <w:t xml:space="preserve"> hectares over the world, with</w:t>
      </w:r>
      <w:r w:rsidR="00A16B92" w:rsidRPr="000E0285">
        <w:rPr>
          <w:rFonts w:ascii="Times New Roman" w:hAnsi="Times New Roman" w:cs="Times New Roman"/>
          <w:szCs w:val="24"/>
        </w:rPr>
        <w:t xml:space="preserve"> an </w:t>
      </w:r>
      <w:r w:rsidRPr="000E0285">
        <w:rPr>
          <w:rFonts w:ascii="Times New Roman" w:hAnsi="Times New Roman" w:cs="Times New Roman"/>
          <w:szCs w:val="24"/>
        </w:rPr>
        <w:t>average productivity standing at 1,857.9 kg</w:t>
      </w:r>
      <w:r w:rsidR="005146CE" w:rsidRPr="000E0285">
        <w:rPr>
          <w:rFonts w:ascii="Times New Roman" w:hAnsi="Times New Roman" w:cs="Times New Roman"/>
          <w:szCs w:val="24"/>
        </w:rPr>
        <w:t>/ha</w:t>
      </w:r>
      <w:r w:rsidRPr="000E0285">
        <w:rPr>
          <w:rFonts w:ascii="Times New Roman" w:hAnsi="Times New Roman" w:cs="Times New Roman"/>
          <w:szCs w:val="24"/>
        </w:rPr>
        <w:t>, which resulted in an aggregate production of 137.6 lakh tonnes</w:t>
      </w:r>
      <w:r w:rsidR="00A16B92" w:rsidRPr="000E0285">
        <w:rPr>
          <w:rFonts w:ascii="Times New Roman" w:hAnsi="Times New Roman" w:cs="Times New Roman"/>
          <w:szCs w:val="24"/>
        </w:rPr>
        <w:t xml:space="preserve"> while in</w:t>
      </w:r>
      <w:r w:rsidRPr="000E0285">
        <w:rPr>
          <w:rFonts w:ascii="Times New Roman" w:hAnsi="Times New Roman" w:cs="Times New Roman"/>
          <w:szCs w:val="24"/>
        </w:rPr>
        <w:t xml:space="preserve"> India, the cultivation was done on about 8.39 lakh hectares, with productivity nearly at 1,352 kg/ha, with an approximate</w:t>
      </w:r>
      <w:r w:rsidR="00711DA2" w:rsidRPr="000E0285">
        <w:rPr>
          <w:rFonts w:ascii="Times New Roman" w:hAnsi="Times New Roman" w:cs="Times New Roman"/>
          <w:szCs w:val="24"/>
        </w:rPr>
        <w:t xml:space="preserve"> production of </w:t>
      </w:r>
      <w:r w:rsidRPr="000E0285">
        <w:rPr>
          <w:rFonts w:ascii="Times New Roman" w:hAnsi="Times New Roman" w:cs="Times New Roman"/>
          <w:szCs w:val="24"/>
        </w:rPr>
        <w:t>11.34-lakh-tonne</w:t>
      </w:r>
      <w:r w:rsidR="00711DA2" w:rsidRPr="000E0285">
        <w:rPr>
          <w:rFonts w:ascii="Times New Roman" w:hAnsi="Times New Roman" w:cs="Times New Roman"/>
          <w:szCs w:val="24"/>
        </w:rPr>
        <w:t xml:space="preserve"> </w:t>
      </w:r>
      <w:r w:rsidRPr="000E0285">
        <w:rPr>
          <w:rFonts w:ascii="Times New Roman" w:hAnsi="Times New Roman" w:cs="Times New Roman"/>
          <w:b/>
          <w:bCs/>
          <w:szCs w:val="24"/>
        </w:rPr>
        <w:t>(FAOSTAT, 2023</w:t>
      </w:r>
      <w:r w:rsidR="00881A10" w:rsidRPr="000E0285">
        <w:rPr>
          <w:rFonts w:ascii="Times New Roman" w:hAnsi="Times New Roman" w:cs="Times New Roman"/>
          <w:szCs w:val="24"/>
        </w:rPr>
        <w:t xml:space="preserve">). </w:t>
      </w:r>
      <w:r w:rsidR="007B190B" w:rsidRPr="000E0285">
        <w:rPr>
          <w:rFonts w:ascii="Times New Roman" w:hAnsi="Times New Roman" w:cs="Times New Roman"/>
          <w:szCs w:val="24"/>
        </w:rPr>
        <w:t xml:space="preserve">The current global ambient temperature has increased by 1.2 °C between 1850 and 1900 and is expected to reach 2.7 °C by 2100, according to the Intergovernmental Panel on Climate Change </w:t>
      </w:r>
      <w:r w:rsidR="007B190B" w:rsidRPr="000E0285">
        <w:rPr>
          <w:rFonts w:ascii="Times New Roman" w:hAnsi="Times New Roman" w:cs="Times New Roman"/>
          <w:b/>
          <w:bCs/>
          <w:szCs w:val="24"/>
        </w:rPr>
        <w:t xml:space="preserve">(Reisinger </w:t>
      </w:r>
      <w:r w:rsidR="005146CE" w:rsidRPr="000E0285">
        <w:rPr>
          <w:rFonts w:ascii="Times New Roman" w:hAnsi="Times New Roman" w:cs="Times New Roman"/>
          <w:b/>
          <w:bCs/>
          <w:i/>
          <w:iCs/>
          <w:szCs w:val="24"/>
        </w:rPr>
        <w:t>et al.</w:t>
      </w:r>
      <w:r w:rsidR="007B190B" w:rsidRPr="000E0285">
        <w:rPr>
          <w:rFonts w:ascii="Times New Roman" w:hAnsi="Times New Roman" w:cs="Times New Roman"/>
          <w:b/>
          <w:bCs/>
          <w:szCs w:val="24"/>
        </w:rPr>
        <w:t xml:space="preserve"> 2023)</w:t>
      </w:r>
      <w:r w:rsidR="00BE7992" w:rsidRPr="000E0285">
        <w:rPr>
          <w:rFonts w:ascii="Times New Roman" w:hAnsi="Times New Roman" w:cs="Times New Roman"/>
          <w:szCs w:val="24"/>
        </w:rPr>
        <w:t xml:space="preserve">. </w:t>
      </w:r>
      <w:r w:rsidR="00B36092" w:rsidRPr="000E0285">
        <w:rPr>
          <w:rFonts w:ascii="Times New Roman" w:hAnsi="Times New Roman" w:cs="Times New Roman"/>
          <w:szCs w:val="24"/>
        </w:rPr>
        <w:t xml:space="preserve">Plant physiology, morphology, and biochemistry are all altered by heat stress, which eventually reduces plant production </w:t>
      </w:r>
      <w:r w:rsidR="00B36092" w:rsidRPr="000E0285">
        <w:rPr>
          <w:rFonts w:ascii="Times New Roman" w:hAnsi="Times New Roman" w:cs="Times New Roman"/>
          <w:b/>
          <w:bCs/>
          <w:szCs w:val="24"/>
        </w:rPr>
        <w:t>(</w:t>
      </w:r>
      <w:r w:rsidR="005146CE" w:rsidRPr="000E0285">
        <w:rPr>
          <w:rFonts w:ascii="Times New Roman" w:hAnsi="Times New Roman" w:cs="Times New Roman"/>
          <w:b/>
          <w:bCs/>
          <w:szCs w:val="24"/>
        </w:rPr>
        <w:t>Chen</w:t>
      </w:r>
      <w:r w:rsidR="00B9059B" w:rsidRPr="000E0285">
        <w:rPr>
          <w:rFonts w:ascii="Times New Roman" w:hAnsi="Times New Roman" w:cs="Times New Roman"/>
          <w:b/>
          <w:bCs/>
          <w:szCs w:val="24"/>
        </w:rPr>
        <w:t xml:space="preserve"> </w:t>
      </w:r>
      <w:r w:rsidR="005146CE" w:rsidRPr="000E0285">
        <w:rPr>
          <w:rFonts w:ascii="Times New Roman" w:hAnsi="Times New Roman" w:cs="Times New Roman"/>
          <w:b/>
          <w:bCs/>
          <w:i/>
          <w:iCs/>
          <w:szCs w:val="24"/>
        </w:rPr>
        <w:t>et al.</w:t>
      </w:r>
      <w:r w:rsidR="00B9059B" w:rsidRPr="000E0285">
        <w:rPr>
          <w:rFonts w:ascii="Times New Roman" w:hAnsi="Times New Roman" w:cs="Times New Roman"/>
          <w:b/>
          <w:bCs/>
          <w:szCs w:val="24"/>
        </w:rPr>
        <w:t>,</w:t>
      </w:r>
      <w:r w:rsidR="005146CE" w:rsidRPr="000E0285">
        <w:rPr>
          <w:rFonts w:ascii="Times New Roman" w:hAnsi="Times New Roman" w:cs="Times New Roman"/>
          <w:b/>
          <w:bCs/>
          <w:szCs w:val="24"/>
        </w:rPr>
        <w:t xml:space="preserve"> </w:t>
      </w:r>
      <w:r w:rsidR="00B9059B" w:rsidRPr="000E0285">
        <w:rPr>
          <w:rFonts w:ascii="Times New Roman" w:hAnsi="Times New Roman" w:cs="Times New Roman"/>
          <w:b/>
          <w:bCs/>
          <w:szCs w:val="24"/>
        </w:rPr>
        <w:t>2021)</w:t>
      </w:r>
      <w:r w:rsidR="009C02A4" w:rsidRPr="000E0285">
        <w:rPr>
          <w:rFonts w:ascii="Times New Roman" w:hAnsi="Times New Roman" w:cs="Times New Roman"/>
          <w:bCs/>
          <w:szCs w:val="24"/>
        </w:rPr>
        <w:t>.</w:t>
      </w:r>
      <w:r w:rsidR="009C02A4" w:rsidRPr="000E0285">
        <w:rPr>
          <w:rFonts w:ascii="Times New Roman" w:hAnsi="Times New Roman" w:cs="Times New Roman"/>
          <w:b/>
          <w:bCs/>
          <w:szCs w:val="24"/>
        </w:rPr>
        <w:t xml:space="preserve"> </w:t>
      </w:r>
      <w:r w:rsidR="009C02A4" w:rsidRPr="000E0285">
        <w:rPr>
          <w:rFonts w:ascii="Times New Roman" w:hAnsi="Times New Roman" w:cs="Times New Roman"/>
          <w:szCs w:val="24"/>
        </w:rPr>
        <w:t>When temperatures rise above the optimal range for a plant's healthy development, it is said to be experiencing heat stress (HS)</w:t>
      </w:r>
      <w:r w:rsidR="009C02A4" w:rsidRPr="000E0285">
        <w:rPr>
          <w:rFonts w:ascii="Times New Roman" w:hAnsi="Times New Roman" w:cs="Times New Roman"/>
          <w:b/>
          <w:bCs/>
          <w:szCs w:val="24"/>
        </w:rPr>
        <w:t xml:space="preserve"> (Yan </w:t>
      </w:r>
      <w:r w:rsidR="005146CE" w:rsidRPr="000E0285">
        <w:rPr>
          <w:rFonts w:ascii="Times New Roman" w:hAnsi="Times New Roman" w:cs="Times New Roman"/>
          <w:b/>
          <w:bCs/>
          <w:i/>
          <w:iCs/>
          <w:szCs w:val="24"/>
        </w:rPr>
        <w:t>et al.</w:t>
      </w:r>
      <w:r w:rsidR="009C02A4" w:rsidRPr="000E0285">
        <w:rPr>
          <w:rFonts w:ascii="Times New Roman" w:hAnsi="Times New Roman" w:cs="Times New Roman"/>
          <w:b/>
          <w:bCs/>
          <w:szCs w:val="24"/>
        </w:rPr>
        <w:t>, 2024).</w:t>
      </w:r>
      <w:r w:rsidR="000B0BA5" w:rsidRPr="000E0285">
        <w:rPr>
          <w:rFonts w:ascii="Times New Roman" w:hAnsi="Times New Roman" w:cs="Times New Roman"/>
          <w:b/>
          <w:bCs/>
          <w:szCs w:val="24"/>
        </w:rPr>
        <w:t xml:space="preserve"> </w:t>
      </w:r>
      <w:r w:rsidR="000B0BA5" w:rsidRPr="000E0285">
        <w:rPr>
          <w:rFonts w:ascii="Times New Roman" w:hAnsi="Times New Roman" w:cs="Times New Roman"/>
          <w:szCs w:val="24"/>
        </w:rPr>
        <w:t>There is a significant need for high-quality field pea seeds in India</w:t>
      </w:r>
      <w:r w:rsidR="00BE7992" w:rsidRPr="000E0285">
        <w:rPr>
          <w:rFonts w:ascii="Times New Roman" w:hAnsi="Times New Roman" w:cs="Times New Roman"/>
          <w:szCs w:val="24"/>
        </w:rPr>
        <w:t xml:space="preserve"> </w:t>
      </w:r>
      <w:r w:rsidR="000B0BA5" w:rsidRPr="000E0285">
        <w:rPr>
          <w:rFonts w:ascii="Times New Roman" w:hAnsi="Times New Roman" w:cs="Times New Roman"/>
          <w:b/>
          <w:bCs/>
          <w:szCs w:val="24"/>
        </w:rPr>
        <w:t xml:space="preserve">(FAOSTAT, 2019). </w:t>
      </w:r>
      <w:r w:rsidR="000B0BA5" w:rsidRPr="000E0285">
        <w:rPr>
          <w:rFonts w:ascii="Times New Roman" w:hAnsi="Times New Roman" w:cs="Times New Roman"/>
          <w:szCs w:val="24"/>
        </w:rPr>
        <w:t>Compared to warm-season grain legumes, field peas and other cool-season grain legumes are more sensitive to high temperatures</w:t>
      </w:r>
      <w:r w:rsidR="000B0BA5" w:rsidRPr="000E0285">
        <w:rPr>
          <w:rFonts w:ascii="Times New Roman" w:hAnsi="Times New Roman" w:cs="Times New Roman"/>
          <w:b/>
          <w:bCs/>
          <w:szCs w:val="24"/>
        </w:rPr>
        <w:t xml:space="preserve"> (Hall, 2001)</w:t>
      </w:r>
      <w:r w:rsidR="000B0BA5" w:rsidRPr="000E0285">
        <w:rPr>
          <w:rFonts w:ascii="Times New Roman" w:hAnsi="Times New Roman" w:cs="Times New Roman"/>
          <w:szCs w:val="24"/>
        </w:rPr>
        <w:t>.</w:t>
      </w:r>
      <w:r w:rsidR="000B0BA5" w:rsidRPr="000E0285">
        <w:rPr>
          <w:rFonts w:ascii="Times New Roman" w:hAnsi="Times New Roman" w:cs="Times New Roman"/>
          <w:b/>
          <w:bCs/>
          <w:szCs w:val="24"/>
        </w:rPr>
        <w:t xml:space="preserve"> </w:t>
      </w:r>
      <w:r w:rsidR="00FF3952" w:rsidRPr="000E0285">
        <w:rPr>
          <w:rFonts w:ascii="Times New Roman" w:hAnsi="Times New Roman" w:cs="Times New Roman"/>
          <w:szCs w:val="24"/>
        </w:rPr>
        <w:t>Additionally, compared to other winter legumes like chickpeas and lentils, field peas have a lower tolerance for heat</w:t>
      </w:r>
      <w:r w:rsidR="00FF3952" w:rsidRPr="000E0285">
        <w:rPr>
          <w:rFonts w:ascii="Times New Roman" w:hAnsi="Times New Roman" w:cs="Times New Roman"/>
          <w:b/>
          <w:bCs/>
          <w:szCs w:val="24"/>
        </w:rPr>
        <w:t xml:space="preserve"> (Siddique, 1999), </w:t>
      </w:r>
      <w:r w:rsidR="00FF3952" w:rsidRPr="000E0285">
        <w:rPr>
          <w:rFonts w:ascii="Times New Roman" w:hAnsi="Times New Roman" w:cs="Times New Roman"/>
          <w:szCs w:val="24"/>
        </w:rPr>
        <w:t>hence production frequently decreases when the maximum day</w:t>
      </w:r>
      <w:r w:rsidR="00BE7992" w:rsidRPr="000E0285">
        <w:rPr>
          <w:rFonts w:ascii="Times New Roman" w:hAnsi="Times New Roman" w:cs="Times New Roman"/>
          <w:szCs w:val="24"/>
        </w:rPr>
        <w:t xml:space="preserve"> temperature goes o</w:t>
      </w:r>
      <w:r w:rsidR="00FF3952" w:rsidRPr="000E0285">
        <w:rPr>
          <w:rFonts w:ascii="Times New Roman" w:hAnsi="Times New Roman" w:cs="Times New Roman"/>
          <w:szCs w:val="24"/>
        </w:rPr>
        <w:t xml:space="preserve">ver 25°C during </w:t>
      </w:r>
      <w:r w:rsidR="00BE7992" w:rsidRPr="000E0285">
        <w:rPr>
          <w:rFonts w:ascii="Times New Roman" w:hAnsi="Times New Roman" w:cs="Times New Roman"/>
          <w:szCs w:val="24"/>
        </w:rPr>
        <w:t xml:space="preserve">the </w:t>
      </w:r>
      <w:r w:rsidR="00FF3952" w:rsidRPr="000E0285">
        <w:rPr>
          <w:rFonts w:ascii="Times New Roman" w:hAnsi="Times New Roman" w:cs="Times New Roman"/>
          <w:szCs w:val="24"/>
        </w:rPr>
        <w:t>flowering</w:t>
      </w:r>
      <w:r w:rsidR="00BE7992" w:rsidRPr="000E0285">
        <w:rPr>
          <w:rFonts w:ascii="Times New Roman" w:hAnsi="Times New Roman" w:cs="Times New Roman"/>
          <w:szCs w:val="24"/>
        </w:rPr>
        <w:t xml:space="preserve"> stage</w:t>
      </w:r>
      <w:r w:rsidR="00FF3952" w:rsidRPr="000E0285">
        <w:rPr>
          <w:rFonts w:ascii="Times New Roman" w:hAnsi="Times New Roman" w:cs="Times New Roman"/>
          <w:b/>
          <w:bCs/>
          <w:szCs w:val="24"/>
        </w:rPr>
        <w:t xml:space="preserve"> (</w:t>
      </w:r>
      <w:proofErr w:type="spellStart"/>
      <w:r w:rsidR="00FF3952" w:rsidRPr="000E0285">
        <w:rPr>
          <w:rFonts w:ascii="Times New Roman" w:hAnsi="Times New Roman" w:cs="Times New Roman"/>
          <w:b/>
          <w:bCs/>
          <w:szCs w:val="24"/>
        </w:rPr>
        <w:t>Guilioni</w:t>
      </w:r>
      <w:proofErr w:type="spellEnd"/>
      <w:r w:rsidR="00FF3952" w:rsidRPr="000E0285">
        <w:rPr>
          <w:rFonts w:ascii="Times New Roman" w:hAnsi="Times New Roman" w:cs="Times New Roman"/>
          <w:b/>
          <w:bCs/>
          <w:szCs w:val="24"/>
        </w:rPr>
        <w:t xml:space="preserve"> </w:t>
      </w:r>
      <w:r w:rsidR="005146CE" w:rsidRPr="000E0285">
        <w:rPr>
          <w:rFonts w:ascii="Times New Roman" w:hAnsi="Times New Roman" w:cs="Times New Roman"/>
          <w:b/>
          <w:bCs/>
          <w:i/>
          <w:iCs/>
          <w:szCs w:val="24"/>
        </w:rPr>
        <w:t>et al.</w:t>
      </w:r>
      <w:r w:rsidR="00FF3952" w:rsidRPr="000E0285">
        <w:rPr>
          <w:rFonts w:ascii="Times New Roman" w:hAnsi="Times New Roman" w:cs="Times New Roman"/>
          <w:b/>
          <w:bCs/>
          <w:szCs w:val="24"/>
        </w:rPr>
        <w:t xml:space="preserve">, 2003; </w:t>
      </w:r>
      <w:proofErr w:type="spellStart"/>
      <w:r w:rsidR="00FF3952" w:rsidRPr="000E0285">
        <w:rPr>
          <w:rFonts w:ascii="Times New Roman" w:hAnsi="Times New Roman" w:cs="Times New Roman"/>
          <w:b/>
          <w:bCs/>
          <w:szCs w:val="24"/>
        </w:rPr>
        <w:t>Sadras</w:t>
      </w:r>
      <w:proofErr w:type="spellEnd"/>
      <w:r w:rsidR="00FF3952" w:rsidRPr="000E0285">
        <w:rPr>
          <w:rFonts w:ascii="Times New Roman" w:hAnsi="Times New Roman" w:cs="Times New Roman"/>
          <w:b/>
          <w:bCs/>
          <w:szCs w:val="24"/>
        </w:rPr>
        <w:t xml:space="preserve"> </w:t>
      </w:r>
      <w:r w:rsidR="005146CE" w:rsidRPr="000E0285">
        <w:rPr>
          <w:rFonts w:ascii="Times New Roman" w:hAnsi="Times New Roman" w:cs="Times New Roman"/>
          <w:b/>
          <w:bCs/>
          <w:i/>
          <w:iCs/>
          <w:szCs w:val="24"/>
        </w:rPr>
        <w:t>et al.</w:t>
      </w:r>
      <w:r w:rsidR="00FF3952" w:rsidRPr="000E0285">
        <w:rPr>
          <w:rFonts w:ascii="Times New Roman" w:hAnsi="Times New Roman" w:cs="Times New Roman"/>
          <w:b/>
          <w:bCs/>
          <w:szCs w:val="24"/>
        </w:rPr>
        <w:t>, 2013).</w:t>
      </w:r>
      <w:r w:rsidR="00E45EC7" w:rsidRPr="000E0285">
        <w:rPr>
          <w:rFonts w:ascii="Times New Roman" w:hAnsi="Times New Roman" w:cs="Times New Roman"/>
          <w:b/>
          <w:bCs/>
          <w:szCs w:val="24"/>
        </w:rPr>
        <w:t xml:space="preserve"> </w:t>
      </w:r>
      <w:r w:rsidR="00E45EC7" w:rsidRPr="000E0285">
        <w:rPr>
          <w:rFonts w:ascii="Times New Roman" w:hAnsi="Times New Roman" w:cs="Times New Roman"/>
          <w:szCs w:val="24"/>
        </w:rPr>
        <w:t xml:space="preserve">Several </w:t>
      </w:r>
      <w:r w:rsidR="00BE7992" w:rsidRPr="000E0285">
        <w:rPr>
          <w:rFonts w:ascii="Times New Roman" w:hAnsi="Times New Roman" w:cs="Times New Roman"/>
          <w:szCs w:val="24"/>
        </w:rPr>
        <w:t xml:space="preserve">researchers have </w:t>
      </w:r>
      <w:r w:rsidR="00E45EC7" w:rsidRPr="000E0285">
        <w:rPr>
          <w:rFonts w:ascii="Times New Roman" w:hAnsi="Times New Roman" w:cs="Times New Roman"/>
          <w:szCs w:val="24"/>
        </w:rPr>
        <w:t xml:space="preserve">reported on the effects of high temperatures </w:t>
      </w:r>
      <w:r w:rsidR="00BE7992" w:rsidRPr="000E0285">
        <w:rPr>
          <w:rFonts w:ascii="Times New Roman" w:hAnsi="Times New Roman" w:cs="Times New Roman"/>
          <w:szCs w:val="24"/>
        </w:rPr>
        <w:t xml:space="preserve">in different </w:t>
      </w:r>
      <w:proofErr w:type="spellStart"/>
      <w:r w:rsidR="00BE7992" w:rsidRPr="000E0285">
        <w:rPr>
          <w:rFonts w:ascii="Times New Roman" w:hAnsi="Times New Roman" w:cs="Times New Roman"/>
          <w:szCs w:val="24"/>
        </w:rPr>
        <w:t>agro</w:t>
      </w:r>
      <w:proofErr w:type="spellEnd"/>
      <w:r w:rsidR="00BE7992" w:rsidRPr="000E0285">
        <w:rPr>
          <w:rFonts w:ascii="Times New Roman" w:hAnsi="Times New Roman" w:cs="Times New Roman"/>
          <w:szCs w:val="24"/>
        </w:rPr>
        <w:t xml:space="preserve">-regions </w:t>
      </w:r>
      <w:r w:rsidR="00E45EC7" w:rsidRPr="000E0285">
        <w:rPr>
          <w:rFonts w:ascii="Times New Roman" w:hAnsi="Times New Roman" w:cs="Times New Roman"/>
          <w:szCs w:val="24"/>
        </w:rPr>
        <w:t>on field pea crop growth, physiology, and yields</w:t>
      </w:r>
      <w:r w:rsidR="00E45EC7" w:rsidRPr="000E0285">
        <w:rPr>
          <w:rFonts w:ascii="Times New Roman" w:hAnsi="Times New Roman" w:cs="Times New Roman"/>
          <w:b/>
          <w:bCs/>
          <w:szCs w:val="24"/>
        </w:rPr>
        <w:t xml:space="preserve"> (Liu </w:t>
      </w:r>
      <w:r w:rsidR="005146CE" w:rsidRPr="000E0285">
        <w:rPr>
          <w:rFonts w:ascii="Times New Roman" w:hAnsi="Times New Roman" w:cs="Times New Roman"/>
          <w:b/>
          <w:bCs/>
          <w:i/>
          <w:iCs/>
          <w:szCs w:val="24"/>
        </w:rPr>
        <w:t>et al.</w:t>
      </w:r>
      <w:r w:rsidR="00E45EC7" w:rsidRPr="000E0285">
        <w:rPr>
          <w:rFonts w:ascii="Times New Roman" w:hAnsi="Times New Roman" w:cs="Times New Roman"/>
          <w:b/>
          <w:bCs/>
          <w:szCs w:val="24"/>
        </w:rPr>
        <w:t xml:space="preserve">, 2019; Jiang </w:t>
      </w:r>
      <w:r w:rsidR="005146CE" w:rsidRPr="000E0285">
        <w:rPr>
          <w:rFonts w:ascii="Times New Roman" w:hAnsi="Times New Roman" w:cs="Times New Roman"/>
          <w:b/>
          <w:bCs/>
          <w:i/>
          <w:iCs/>
          <w:szCs w:val="24"/>
        </w:rPr>
        <w:t>et al.</w:t>
      </w:r>
      <w:r w:rsidR="00E45EC7" w:rsidRPr="000E0285">
        <w:rPr>
          <w:rFonts w:ascii="Times New Roman" w:hAnsi="Times New Roman" w:cs="Times New Roman"/>
          <w:b/>
          <w:bCs/>
          <w:szCs w:val="24"/>
        </w:rPr>
        <w:t>, 2020</w:t>
      </w:r>
      <w:r w:rsidR="00CE1173" w:rsidRPr="000E0285">
        <w:rPr>
          <w:rFonts w:ascii="Times New Roman" w:hAnsi="Times New Roman" w:cs="Times New Roman"/>
          <w:b/>
          <w:bCs/>
          <w:szCs w:val="24"/>
        </w:rPr>
        <w:t>).</w:t>
      </w:r>
      <w:r w:rsidR="00245216" w:rsidRPr="000E0285">
        <w:rPr>
          <w:rFonts w:ascii="Times New Roman" w:hAnsi="Times New Roman" w:cs="Times New Roman"/>
          <w:b/>
          <w:bCs/>
          <w:szCs w:val="24"/>
        </w:rPr>
        <w:t xml:space="preserve"> </w:t>
      </w:r>
      <w:r w:rsidR="004E2939" w:rsidRPr="000E0285">
        <w:rPr>
          <w:rFonts w:ascii="Times New Roman" w:hAnsi="Times New Roman" w:cs="Times New Roman"/>
          <w:szCs w:val="24"/>
        </w:rPr>
        <w:t>High-quality seed production is essential</w:t>
      </w:r>
      <w:r w:rsidR="00BE7992" w:rsidRPr="000E0285">
        <w:rPr>
          <w:rFonts w:ascii="Times New Roman" w:hAnsi="Times New Roman" w:cs="Times New Roman"/>
          <w:szCs w:val="24"/>
        </w:rPr>
        <w:t xml:space="preserve"> for </w:t>
      </w:r>
      <w:r w:rsidR="004E2939" w:rsidRPr="000E0285">
        <w:rPr>
          <w:rFonts w:ascii="Times New Roman" w:hAnsi="Times New Roman" w:cs="Times New Roman"/>
          <w:szCs w:val="24"/>
        </w:rPr>
        <w:t xml:space="preserve">preserving the food and nutritional security of the country. Seed quality, which is often influenced by seed morphology, seed dormancy, germination, germination rate, and </w:t>
      </w:r>
      <w:proofErr w:type="spellStart"/>
      <w:r w:rsidR="004E2939" w:rsidRPr="000E0285">
        <w:rPr>
          <w:rFonts w:ascii="Times New Roman" w:hAnsi="Times New Roman" w:cs="Times New Roman"/>
          <w:szCs w:val="24"/>
        </w:rPr>
        <w:t>vigor</w:t>
      </w:r>
      <w:proofErr w:type="spellEnd"/>
      <w:r w:rsidR="004E2939" w:rsidRPr="000E0285">
        <w:rPr>
          <w:rFonts w:ascii="Times New Roman" w:hAnsi="Times New Roman" w:cs="Times New Roman"/>
          <w:szCs w:val="24"/>
        </w:rPr>
        <w:t>, is significantly impacted by the environmental conditions that exist during the crop-growing season and later during processing and storage</w:t>
      </w:r>
      <w:r w:rsidR="004E2939" w:rsidRPr="000E0285">
        <w:rPr>
          <w:rFonts w:ascii="Times New Roman" w:hAnsi="Times New Roman" w:cs="Times New Roman"/>
          <w:b/>
          <w:bCs/>
          <w:szCs w:val="24"/>
        </w:rPr>
        <w:t xml:space="preserve"> (Rashid </w:t>
      </w:r>
      <w:r w:rsidR="005146CE" w:rsidRPr="000E0285">
        <w:rPr>
          <w:rFonts w:ascii="Times New Roman" w:hAnsi="Times New Roman" w:cs="Times New Roman"/>
          <w:b/>
          <w:bCs/>
          <w:i/>
          <w:iCs/>
          <w:szCs w:val="24"/>
        </w:rPr>
        <w:t>et al.</w:t>
      </w:r>
      <w:r w:rsidR="004E2939" w:rsidRPr="000E0285">
        <w:rPr>
          <w:rFonts w:ascii="Times New Roman" w:hAnsi="Times New Roman" w:cs="Times New Roman"/>
          <w:b/>
          <w:bCs/>
          <w:szCs w:val="24"/>
        </w:rPr>
        <w:t xml:space="preserve">, 2018; </w:t>
      </w:r>
      <w:proofErr w:type="spellStart"/>
      <w:r w:rsidR="004E2939" w:rsidRPr="000E0285">
        <w:rPr>
          <w:rFonts w:ascii="Times New Roman" w:hAnsi="Times New Roman" w:cs="Times New Roman"/>
          <w:b/>
          <w:bCs/>
          <w:szCs w:val="24"/>
        </w:rPr>
        <w:t>Lamichaney</w:t>
      </w:r>
      <w:proofErr w:type="spellEnd"/>
      <w:r w:rsidR="004E2939" w:rsidRPr="000E0285">
        <w:rPr>
          <w:rFonts w:ascii="Times New Roman" w:hAnsi="Times New Roman" w:cs="Times New Roman"/>
          <w:b/>
          <w:bCs/>
          <w:szCs w:val="24"/>
        </w:rPr>
        <w:t xml:space="preserve"> </w:t>
      </w:r>
      <w:r w:rsidR="005146CE" w:rsidRPr="000E0285">
        <w:rPr>
          <w:rFonts w:ascii="Times New Roman" w:hAnsi="Times New Roman" w:cs="Times New Roman"/>
          <w:b/>
          <w:bCs/>
          <w:i/>
          <w:iCs/>
          <w:szCs w:val="24"/>
        </w:rPr>
        <w:t>et al.</w:t>
      </w:r>
      <w:r w:rsidR="004E2939" w:rsidRPr="000E0285">
        <w:rPr>
          <w:rFonts w:ascii="Times New Roman" w:hAnsi="Times New Roman" w:cs="Times New Roman"/>
          <w:b/>
          <w:bCs/>
          <w:szCs w:val="24"/>
        </w:rPr>
        <w:t>, 2019).</w:t>
      </w:r>
    </w:p>
    <w:p w14:paraId="2B900329" w14:textId="16D4D6D2" w:rsidR="00E26D63" w:rsidRPr="000E0285" w:rsidRDefault="00EE4625" w:rsidP="00E26D63">
      <w:pPr>
        <w:spacing w:before="120" w:after="120" w:line="360" w:lineRule="auto"/>
        <w:jc w:val="both"/>
        <w:rPr>
          <w:rFonts w:ascii="Times New Roman" w:hAnsi="Times New Roman" w:cs="Times New Roman"/>
          <w:szCs w:val="24"/>
        </w:rPr>
      </w:pPr>
      <w:r w:rsidRPr="000E0285">
        <w:rPr>
          <w:rFonts w:ascii="Times New Roman" w:hAnsi="Times New Roman" w:cs="Times New Roman"/>
          <w:szCs w:val="24"/>
        </w:rPr>
        <w:lastRenderedPageBreak/>
        <w:t xml:space="preserve">Recently, the usage of chemical growth regulators in crops have gained importance as having stress-alleviating effects on various crops, mostly alleviating heat-induced damages.  These chemical </w:t>
      </w:r>
      <w:r w:rsidR="005146CE" w:rsidRPr="000E0285">
        <w:rPr>
          <w:rFonts w:ascii="Times New Roman" w:hAnsi="Times New Roman" w:cs="Times New Roman"/>
          <w:szCs w:val="24"/>
        </w:rPr>
        <w:t>compounds</w:t>
      </w:r>
      <w:r w:rsidR="009E36B7" w:rsidRPr="000E0285">
        <w:rPr>
          <w:rFonts w:ascii="Times New Roman" w:hAnsi="Times New Roman" w:cs="Times New Roman"/>
          <w:szCs w:val="24"/>
        </w:rPr>
        <w:t xml:space="preserve"> have been reported to have positive influence on physiological and biochemical tolerance pathways of the crop. Salicylic acid, plays a</w:t>
      </w:r>
      <w:r w:rsidR="009E36B7" w:rsidRPr="000E0285">
        <w:rPr>
          <w:rFonts w:ascii="Times New Roman" w:hAnsi="Times New Roman" w:cs="Times New Roman"/>
          <w:b/>
          <w:bCs/>
          <w:szCs w:val="24"/>
        </w:rPr>
        <w:t xml:space="preserve"> </w:t>
      </w:r>
      <w:r w:rsidR="009E36B7" w:rsidRPr="000E0285">
        <w:rPr>
          <w:rFonts w:ascii="Times New Roman" w:hAnsi="Times New Roman" w:cs="Times New Roman"/>
          <w:szCs w:val="24"/>
        </w:rPr>
        <w:t>major role</w:t>
      </w:r>
      <w:r w:rsidR="00E26D63" w:rsidRPr="000E0285">
        <w:rPr>
          <w:rFonts w:ascii="Times New Roman" w:hAnsi="Times New Roman" w:cs="Times New Roman"/>
          <w:szCs w:val="24"/>
        </w:rPr>
        <w:t xml:space="preserve"> as signalling molecule </w:t>
      </w:r>
      <w:r w:rsidR="009E36B7" w:rsidRPr="000E0285">
        <w:rPr>
          <w:rFonts w:ascii="Times New Roman" w:hAnsi="Times New Roman" w:cs="Times New Roman"/>
          <w:szCs w:val="24"/>
        </w:rPr>
        <w:t xml:space="preserve">in anti-oxidant </w:t>
      </w:r>
      <w:r w:rsidR="005146CE" w:rsidRPr="000E0285">
        <w:rPr>
          <w:rFonts w:ascii="Times New Roman" w:hAnsi="Times New Roman" w:cs="Times New Roman"/>
          <w:szCs w:val="24"/>
        </w:rPr>
        <w:t>defence</w:t>
      </w:r>
      <w:r w:rsidR="00E26D63" w:rsidRPr="000E0285">
        <w:rPr>
          <w:rFonts w:ascii="Times New Roman" w:hAnsi="Times New Roman" w:cs="Times New Roman"/>
          <w:szCs w:val="24"/>
        </w:rPr>
        <w:t xml:space="preserve"> and photosynthetic efficiency molecular </w:t>
      </w:r>
      <w:r w:rsidR="009E36B7" w:rsidRPr="000E0285">
        <w:rPr>
          <w:rFonts w:ascii="Times New Roman" w:hAnsi="Times New Roman" w:cs="Times New Roman"/>
          <w:szCs w:val="24"/>
        </w:rPr>
        <w:t>pathway</w:t>
      </w:r>
      <w:r w:rsidR="00E26D63" w:rsidRPr="000E0285">
        <w:rPr>
          <w:rFonts w:ascii="Times New Roman" w:hAnsi="Times New Roman" w:cs="Times New Roman"/>
          <w:szCs w:val="24"/>
        </w:rPr>
        <w:t xml:space="preserve"> under heat stress conditions</w:t>
      </w:r>
      <w:r w:rsidR="000141C3" w:rsidRPr="000E0285">
        <w:rPr>
          <w:rFonts w:ascii="Times New Roman" w:hAnsi="Times New Roman" w:cs="Times New Roman"/>
          <w:szCs w:val="24"/>
        </w:rPr>
        <w:t xml:space="preserve"> </w:t>
      </w:r>
      <w:r w:rsidR="000141C3" w:rsidRPr="000E0285">
        <w:rPr>
          <w:rFonts w:ascii="Times New Roman" w:hAnsi="Times New Roman" w:cs="Times New Roman"/>
          <w:b/>
          <w:bCs/>
          <w:szCs w:val="24"/>
        </w:rPr>
        <w:t xml:space="preserve">(Hassan </w:t>
      </w:r>
      <w:r w:rsidR="005146CE" w:rsidRPr="000E0285">
        <w:rPr>
          <w:rFonts w:ascii="Times New Roman" w:hAnsi="Times New Roman" w:cs="Times New Roman"/>
          <w:b/>
          <w:bCs/>
          <w:i/>
          <w:iCs/>
          <w:szCs w:val="24"/>
        </w:rPr>
        <w:t>et al.</w:t>
      </w:r>
      <w:r w:rsidR="000141C3" w:rsidRPr="000E0285">
        <w:rPr>
          <w:rFonts w:ascii="Times New Roman" w:hAnsi="Times New Roman" w:cs="Times New Roman"/>
          <w:b/>
          <w:bCs/>
          <w:szCs w:val="24"/>
        </w:rPr>
        <w:t>, 2022)</w:t>
      </w:r>
      <w:r w:rsidR="00E26D63" w:rsidRPr="000E0285">
        <w:rPr>
          <w:rFonts w:ascii="Times New Roman" w:hAnsi="Times New Roman" w:cs="Times New Roman"/>
          <w:b/>
          <w:bCs/>
          <w:szCs w:val="24"/>
        </w:rPr>
        <w:t>.</w:t>
      </w:r>
      <w:r w:rsidR="00E26D63" w:rsidRPr="000E0285">
        <w:rPr>
          <w:rFonts w:ascii="Times New Roman" w:hAnsi="Times New Roman" w:cs="Times New Roman"/>
          <w:szCs w:val="24"/>
        </w:rPr>
        <w:t xml:space="preserve"> Thiourea, a sulphur-containing chemical, facilitates accumulation of osmolytes and stability to chlorophyll, thereby keeping metabolic activity under control during </w:t>
      </w:r>
      <w:r w:rsidR="00387190" w:rsidRPr="000E0285">
        <w:rPr>
          <w:rFonts w:ascii="Times New Roman" w:hAnsi="Times New Roman" w:cs="Times New Roman"/>
          <w:szCs w:val="24"/>
        </w:rPr>
        <w:t xml:space="preserve">stress </w:t>
      </w:r>
      <w:r w:rsidR="00387190" w:rsidRPr="000E0285">
        <w:rPr>
          <w:rFonts w:ascii="Times New Roman" w:hAnsi="Times New Roman" w:cs="Times New Roman"/>
          <w:b/>
          <w:bCs/>
          <w:szCs w:val="24"/>
        </w:rPr>
        <w:t>(</w:t>
      </w:r>
      <w:r w:rsidR="00BA4C8B" w:rsidRPr="000E0285">
        <w:rPr>
          <w:rFonts w:ascii="Times New Roman" w:hAnsi="Times New Roman" w:cs="Times New Roman"/>
          <w:b/>
          <w:bCs/>
          <w:szCs w:val="24"/>
        </w:rPr>
        <w:t xml:space="preserve">Ahmad </w:t>
      </w:r>
      <w:r w:rsidR="005146CE" w:rsidRPr="000E0285">
        <w:rPr>
          <w:rFonts w:ascii="Times New Roman" w:hAnsi="Times New Roman" w:cs="Times New Roman"/>
          <w:b/>
          <w:bCs/>
          <w:i/>
          <w:iCs/>
          <w:szCs w:val="24"/>
        </w:rPr>
        <w:t>et al.</w:t>
      </w:r>
      <w:r w:rsidR="00BA4C8B" w:rsidRPr="000E0285">
        <w:rPr>
          <w:rFonts w:ascii="Times New Roman" w:hAnsi="Times New Roman" w:cs="Times New Roman"/>
          <w:b/>
          <w:bCs/>
          <w:szCs w:val="24"/>
        </w:rPr>
        <w:t>, 2022).</w:t>
      </w:r>
      <w:r w:rsidR="00E26D63" w:rsidRPr="000E0285">
        <w:rPr>
          <w:rFonts w:ascii="Times New Roman" w:hAnsi="Times New Roman" w:cs="Times New Roman"/>
          <w:szCs w:val="24"/>
        </w:rPr>
        <w:t xml:space="preserve"> </w:t>
      </w:r>
      <w:proofErr w:type="spellStart"/>
      <w:r w:rsidR="00E26D63" w:rsidRPr="000E0285">
        <w:rPr>
          <w:rFonts w:ascii="Times New Roman" w:hAnsi="Times New Roman" w:cs="Times New Roman"/>
          <w:szCs w:val="24"/>
        </w:rPr>
        <w:t>Cycocel</w:t>
      </w:r>
      <w:proofErr w:type="spellEnd"/>
      <w:r w:rsidR="00E26D63" w:rsidRPr="000E0285">
        <w:rPr>
          <w:rFonts w:ascii="Times New Roman" w:hAnsi="Times New Roman" w:cs="Times New Roman"/>
          <w:szCs w:val="24"/>
        </w:rPr>
        <w:t xml:space="preserve"> (</w:t>
      </w:r>
      <w:proofErr w:type="spellStart"/>
      <w:r w:rsidR="00E26D63" w:rsidRPr="000E0285">
        <w:rPr>
          <w:rFonts w:ascii="Times New Roman" w:hAnsi="Times New Roman" w:cs="Times New Roman"/>
          <w:szCs w:val="24"/>
        </w:rPr>
        <w:t>chlormequat</w:t>
      </w:r>
      <w:proofErr w:type="spellEnd"/>
      <w:r w:rsidR="00E26D63" w:rsidRPr="000E0285">
        <w:rPr>
          <w:rFonts w:ascii="Times New Roman" w:hAnsi="Times New Roman" w:cs="Times New Roman"/>
          <w:szCs w:val="24"/>
        </w:rPr>
        <w:t xml:space="preserve"> chloride), a retardant of plant growth, controls the plant height and enhances assimilate partitioning to the reproductive organs, enhancing stability in yield.</w:t>
      </w:r>
    </w:p>
    <w:p w14:paraId="4123CD0C" w14:textId="77777777" w:rsidR="005146CE" w:rsidRPr="000E0285" w:rsidRDefault="00E26D63" w:rsidP="009B0C26">
      <w:pPr>
        <w:spacing w:before="120" w:after="120" w:line="360" w:lineRule="auto"/>
        <w:jc w:val="both"/>
        <w:rPr>
          <w:rFonts w:ascii="Times New Roman" w:hAnsi="Times New Roman" w:cs="Times New Roman"/>
          <w:szCs w:val="24"/>
        </w:rPr>
      </w:pPr>
      <w:r w:rsidRPr="000E0285">
        <w:rPr>
          <w:rFonts w:ascii="Times New Roman" w:hAnsi="Times New Roman" w:cs="Times New Roman"/>
          <w:szCs w:val="24"/>
        </w:rPr>
        <w:t>Similarly, ascorbic acid acts as an antioxidant, protecting cell structures against oxidative damage, while potassium chloride (KC</w:t>
      </w:r>
      <w:r w:rsidR="005146CE" w:rsidRPr="000E0285">
        <w:rPr>
          <w:rFonts w:ascii="Times New Roman" w:hAnsi="Times New Roman" w:cs="Times New Roman"/>
          <w:szCs w:val="24"/>
        </w:rPr>
        <w:t>L</w:t>
      </w:r>
      <w:r w:rsidRPr="000E0285">
        <w:rPr>
          <w:rFonts w:ascii="Times New Roman" w:hAnsi="Times New Roman" w:cs="Times New Roman"/>
          <w:szCs w:val="24"/>
        </w:rPr>
        <w:t>) aids in osmotic balance and enzyme function during heat stress. Boron also aids cell wall building, pollen viability, and seed maturation, ensuring reproductive success even at high temperatures. Ethrel, a chemical that promotes ethylene release, may be applied to manage growth in the plant and promote maturation so that the crop will escape hot, harsh time spells</w:t>
      </w:r>
      <w:r w:rsidRPr="000E0285">
        <w:rPr>
          <w:rFonts w:ascii="Times New Roman" w:hAnsi="Times New Roman" w:cs="Times New Roman"/>
          <w:b/>
          <w:bCs/>
          <w:szCs w:val="24"/>
        </w:rPr>
        <w:t>.</w:t>
      </w:r>
      <w:r w:rsidR="00387190" w:rsidRPr="000E0285">
        <w:rPr>
          <w:rFonts w:ascii="Times New Roman" w:hAnsi="Times New Roman" w:cs="Times New Roman"/>
          <w:b/>
          <w:bCs/>
          <w:szCs w:val="24"/>
        </w:rPr>
        <w:t xml:space="preserve"> </w:t>
      </w:r>
      <w:r w:rsidRPr="000E0285">
        <w:rPr>
          <w:rFonts w:ascii="Times New Roman" w:hAnsi="Times New Roman" w:cs="Times New Roman"/>
          <w:szCs w:val="24"/>
        </w:rPr>
        <w:t xml:space="preserve">Together, the compounds reinforce the plant's defensive measures, maintain physiological stability, and sustain productivity under harsh thermal stress. The present study was therefore initiated to evaluate the influence of various chemical applications such as salicylic acid, thiourea, </w:t>
      </w:r>
      <w:proofErr w:type="spellStart"/>
      <w:r w:rsidRPr="000E0285">
        <w:rPr>
          <w:rFonts w:ascii="Times New Roman" w:hAnsi="Times New Roman" w:cs="Times New Roman"/>
          <w:szCs w:val="24"/>
        </w:rPr>
        <w:t>cycocel</w:t>
      </w:r>
      <w:proofErr w:type="spellEnd"/>
      <w:r w:rsidRPr="000E0285">
        <w:rPr>
          <w:rFonts w:ascii="Times New Roman" w:hAnsi="Times New Roman" w:cs="Times New Roman"/>
          <w:szCs w:val="24"/>
        </w:rPr>
        <w:t>, ascorbic acid, KC</w:t>
      </w:r>
      <w:r w:rsidR="005146CE" w:rsidRPr="000E0285">
        <w:rPr>
          <w:rFonts w:ascii="Times New Roman" w:hAnsi="Times New Roman" w:cs="Times New Roman"/>
          <w:szCs w:val="24"/>
        </w:rPr>
        <w:t>L</w:t>
      </w:r>
      <w:r w:rsidRPr="000E0285">
        <w:rPr>
          <w:rFonts w:ascii="Times New Roman" w:hAnsi="Times New Roman" w:cs="Times New Roman"/>
          <w:szCs w:val="24"/>
        </w:rPr>
        <w:t xml:space="preserve">, boron, and </w:t>
      </w:r>
      <w:proofErr w:type="spellStart"/>
      <w:r w:rsidRPr="000E0285">
        <w:rPr>
          <w:rFonts w:ascii="Times New Roman" w:hAnsi="Times New Roman" w:cs="Times New Roman"/>
          <w:szCs w:val="24"/>
        </w:rPr>
        <w:t>ethrel</w:t>
      </w:r>
      <w:proofErr w:type="spellEnd"/>
      <w:r w:rsidRPr="000E0285">
        <w:rPr>
          <w:rFonts w:ascii="Times New Roman" w:hAnsi="Times New Roman" w:cs="Times New Roman"/>
          <w:szCs w:val="24"/>
        </w:rPr>
        <w:t xml:space="preserve"> on mediating terminal heat stress effects on the growth and developmental activity of field pea.</w:t>
      </w:r>
    </w:p>
    <w:p w14:paraId="40655ECF" w14:textId="77777777" w:rsidR="005146CE" w:rsidRPr="000E0285" w:rsidRDefault="00FC4D7F" w:rsidP="009B0C26">
      <w:pPr>
        <w:spacing w:before="120" w:after="120" w:line="360" w:lineRule="auto"/>
        <w:jc w:val="both"/>
        <w:rPr>
          <w:rFonts w:ascii="Times New Roman" w:hAnsi="Times New Roman" w:cs="Times New Roman"/>
          <w:b/>
          <w:bCs/>
          <w:szCs w:val="24"/>
        </w:rPr>
      </w:pPr>
      <w:r w:rsidRPr="000E0285">
        <w:rPr>
          <w:rFonts w:ascii="Times New Roman" w:hAnsi="Times New Roman" w:cs="Times New Roman"/>
          <w:szCs w:val="24"/>
        </w:rPr>
        <w:t>By regulating the main metabolic processes of plants, salicylic acid (SA) in particular has been shown to be important in enhancing their ability to withstand abiotic stress</w:t>
      </w:r>
      <w:r w:rsidRPr="000E0285">
        <w:rPr>
          <w:rFonts w:ascii="Times New Roman" w:hAnsi="Times New Roman" w:cs="Times New Roman"/>
          <w:b/>
          <w:bCs/>
          <w:szCs w:val="24"/>
        </w:rPr>
        <w:t xml:space="preserve"> (Khan </w:t>
      </w:r>
      <w:r w:rsidR="005146CE" w:rsidRPr="000E0285">
        <w:rPr>
          <w:rFonts w:ascii="Times New Roman" w:hAnsi="Times New Roman" w:cs="Times New Roman"/>
          <w:b/>
          <w:bCs/>
          <w:i/>
          <w:iCs/>
          <w:szCs w:val="24"/>
        </w:rPr>
        <w:t>et al.</w:t>
      </w:r>
      <w:r w:rsidRPr="000E0285">
        <w:rPr>
          <w:rFonts w:ascii="Times New Roman" w:hAnsi="Times New Roman" w:cs="Times New Roman"/>
          <w:b/>
          <w:bCs/>
          <w:szCs w:val="24"/>
        </w:rPr>
        <w:t xml:space="preserve">, 2015). </w:t>
      </w:r>
      <w:r w:rsidRPr="000E0285">
        <w:rPr>
          <w:rFonts w:ascii="Times New Roman" w:hAnsi="Times New Roman" w:cs="Times New Roman"/>
          <w:szCs w:val="24"/>
        </w:rPr>
        <w:t>According to</w:t>
      </w:r>
      <w:r w:rsidRPr="000E0285">
        <w:rPr>
          <w:rFonts w:ascii="Times New Roman" w:hAnsi="Times New Roman" w:cs="Times New Roman"/>
          <w:b/>
          <w:bCs/>
          <w:szCs w:val="24"/>
        </w:rPr>
        <w:t xml:space="preserve"> Marte and Qaderi (2016), </w:t>
      </w:r>
      <w:r w:rsidRPr="000E0285">
        <w:rPr>
          <w:rFonts w:ascii="Times New Roman" w:hAnsi="Times New Roman" w:cs="Times New Roman"/>
          <w:szCs w:val="24"/>
        </w:rPr>
        <w:t>exogenous salicylic acid administration significantly enhanced all facets of the plant's growth and development under stress, resulting in a notable rise in net CO</w:t>
      </w:r>
      <w:r w:rsidRPr="000E0285">
        <w:rPr>
          <w:rFonts w:ascii="Times New Roman" w:hAnsi="Times New Roman" w:cs="Times New Roman"/>
          <w:szCs w:val="24"/>
          <w:vertAlign w:val="subscript"/>
        </w:rPr>
        <w:t>2</w:t>
      </w:r>
      <w:r w:rsidRPr="000E0285">
        <w:rPr>
          <w:rFonts w:ascii="Times New Roman" w:hAnsi="Times New Roman" w:cs="Times New Roman"/>
          <w:szCs w:val="24"/>
        </w:rPr>
        <w:t xml:space="preserve"> assimilation and an increase in chlorophyll content. Under stressful conditions, SA controls vital plant physiological functions as photosynthesis and proline (Pro) metabolism, protecting the plant </w:t>
      </w:r>
      <w:r w:rsidRPr="000E0285">
        <w:rPr>
          <w:rFonts w:ascii="Times New Roman" w:hAnsi="Times New Roman" w:cs="Times New Roman"/>
          <w:b/>
          <w:bCs/>
          <w:szCs w:val="24"/>
        </w:rPr>
        <w:t xml:space="preserve">(Miura </w:t>
      </w:r>
      <w:r w:rsidR="005146CE" w:rsidRPr="000E0285">
        <w:rPr>
          <w:rFonts w:ascii="Times New Roman" w:hAnsi="Times New Roman" w:cs="Times New Roman"/>
          <w:b/>
          <w:bCs/>
          <w:szCs w:val="24"/>
        </w:rPr>
        <w:t>and</w:t>
      </w:r>
      <w:r w:rsidRPr="000E0285">
        <w:rPr>
          <w:rFonts w:ascii="Times New Roman" w:hAnsi="Times New Roman" w:cs="Times New Roman"/>
          <w:b/>
          <w:bCs/>
          <w:szCs w:val="24"/>
        </w:rPr>
        <w:t xml:space="preserve"> Tada, 2014).</w:t>
      </w:r>
      <w:r w:rsidR="00B84D59" w:rsidRPr="000E0285">
        <w:rPr>
          <w:rFonts w:ascii="Times New Roman" w:hAnsi="Times New Roman" w:cs="Times New Roman"/>
          <w:b/>
          <w:bCs/>
          <w:szCs w:val="24"/>
        </w:rPr>
        <w:t xml:space="preserve"> </w:t>
      </w:r>
      <w:r w:rsidR="00B84D59" w:rsidRPr="000E0285">
        <w:rPr>
          <w:rFonts w:ascii="Times New Roman" w:hAnsi="Times New Roman" w:cs="Times New Roman"/>
          <w:szCs w:val="24"/>
        </w:rPr>
        <w:t>It has been shown that heat stress tolerance mechanisms in maize can be induced by exogenously applying SA to stressed plants through irrigation, foliar application through spraying, seed soaking, or addition to nutritional medium</w:t>
      </w:r>
      <w:r w:rsidR="00B84D59" w:rsidRPr="000E0285">
        <w:rPr>
          <w:rFonts w:ascii="Times New Roman" w:hAnsi="Times New Roman" w:cs="Times New Roman"/>
          <w:b/>
          <w:bCs/>
          <w:szCs w:val="24"/>
        </w:rPr>
        <w:t xml:space="preserve"> (Kaur </w:t>
      </w:r>
      <w:r w:rsidR="005146CE" w:rsidRPr="000E0285">
        <w:rPr>
          <w:rFonts w:ascii="Times New Roman" w:hAnsi="Times New Roman" w:cs="Times New Roman"/>
          <w:b/>
          <w:bCs/>
          <w:szCs w:val="24"/>
        </w:rPr>
        <w:t>and</w:t>
      </w:r>
      <w:r w:rsidR="00B84D59" w:rsidRPr="000E0285">
        <w:rPr>
          <w:rFonts w:ascii="Times New Roman" w:hAnsi="Times New Roman" w:cs="Times New Roman"/>
          <w:b/>
          <w:bCs/>
          <w:szCs w:val="24"/>
        </w:rPr>
        <w:t xml:space="preserve"> Gupta 2016).</w:t>
      </w:r>
      <w:r w:rsidR="00E5798A" w:rsidRPr="000E0285">
        <w:rPr>
          <w:rFonts w:ascii="Times New Roman" w:hAnsi="Times New Roman" w:cs="Times New Roman"/>
          <w:b/>
          <w:bCs/>
          <w:szCs w:val="24"/>
        </w:rPr>
        <w:t xml:space="preserve"> </w:t>
      </w:r>
      <w:r w:rsidR="00E5798A" w:rsidRPr="000E0285">
        <w:rPr>
          <w:rFonts w:ascii="Times New Roman" w:hAnsi="Times New Roman" w:cs="Times New Roman"/>
          <w:szCs w:val="24"/>
        </w:rPr>
        <w:t>Under stress</w:t>
      </w:r>
      <w:r w:rsidR="00881A10" w:rsidRPr="000E0285">
        <w:rPr>
          <w:rFonts w:ascii="Times New Roman" w:hAnsi="Times New Roman" w:cs="Times New Roman"/>
          <w:szCs w:val="24"/>
        </w:rPr>
        <w:t>.</w:t>
      </w:r>
      <w:r w:rsidR="005146CE" w:rsidRPr="000E0285">
        <w:rPr>
          <w:rFonts w:ascii="Times New Roman" w:hAnsi="Times New Roman" w:cs="Times New Roman"/>
          <w:szCs w:val="24"/>
        </w:rPr>
        <w:t xml:space="preserve"> </w:t>
      </w:r>
      <w:r w:rsidR="00881A10" w:rsidRPr="000E0285">
        <w:rPr>
          <w:rFonts w:ascii="Times New Roman" w:hAnsi="Times New Roman" w:cs="Times New Roman"/>
          <w:szCs w:val="24"/>
        </w:rPr>
        <w:t xml:space="preserve">Under heat stress </w:t>
      </w:r>
      <w:r w:rsidR="00E5798A" w:rsidRPr="000E0285">
        <w:rPr>
          <w:rFonts w:ascii="Times New Roman" w:hAnsi="Times New Roman" w:cs="Times New Roman"/>
          <w:szCs w:val="24"/>
        </w:rPr>
        <w:t>conditions, Thiourea (TU), a stress-relieving chemical with a redox regulation property provided by the -SH group</w:t>
      </w:r>
      <w:r w:rsidR="00E5798A" w:rsidRPr="000E0285">
        <w:rPr>
          <w:rFonts w:ascii="Times New Roman" w:hAnsi="Times New Roman" w:cs="Times New Roman"/>
          <w:b/>
          <w:bCs/>
          <w:szCs w:val="24"/>
        </w:rPr>
        <w:t xml:space="preserve"> (Sahu 2017), </w:t>
      </w:r>
      <w:r w:rsidR="00E5798A" w:rsidRPr="000E0285">
        <w:rPr>
          <w:rFonts w:ascii="Times New Roman" w:hAnsi="Times New Roman" w:cs="Times New Roman"/>
          <w:szCs w:val="24"/>
        </w:rPr>
        <w:t>increases plant growth and development</w:t>
      </w:r>
      <w:r w:rsidR="00E5798A" w:rsidRPr="000E0285">
        <w:rPr>
          <w:rFonts w:ascii="Times New Roman" w:hAnsi="Times New Roman" w:cs="Times New Roman"/>
          <w:b/>
          <w:bCs/>
          <w:szCs w:val="24"/>
        </w:rPr>
        <w:t xml:space="preserve"> (Garg </w:t>
      </w:r>
      <w:r w:rsidR="005146CE" w:rsidRPr="000E0285">
        <w:rPr>
          <w:rFonts w:ascii="Times New Roman" w:hAnsi="Times New Roman" w:cs="Times New Roman"/>
          <w:b/>
          <w:bCs/>
          <w:i/>
          <w:iCs/>
          <w:szCs w:val="24"/>
        </w:rPr>
        <w:t>et al.</w:t>
      </w:r>
      <w:r w:rsidR="00E5798A" w:rsidRPr="000E0285">
        <w:rPr>
          <w:rFonts w:ascii="Times New Roman" w:hAnsi="Times New Roman" w:cs="Times New Roman"/>
          <w:b/>
          <w:bCs/>
          <w:szCs w:val="24"/>
        </w:rPr>
        <w:t xml:space="preserve"> 2006; Waqas </w:t>
      </w:r>
      <w:r w:rsidR="005146CE" w:rsidRPr="000E0285">
        <w:rPr>
          <w:rFonts w:ascii="Times New Roman" w:hAnsi="Times New Roman" w:cs="Times New Roman"/>
          <w:b/>
          <w:bCs/>
          <w:i/>
          <w:iCs/>
          <w:szCs w:val="24"/>
        </w:rPr>
        <w:t>et al.</w:t>
      </w:r>
      <w:r w:rsidR="00E5798A" w:rsidRPr="000E0285">
        <w:rPr>
          <w:rFonts w:ascii="Times New Roman" w:hAnsi="Times New Roman" w:cs="Times New Roman"/>
          <w:b/>
          <w:bCs/>
          <w:szCs w:val="24"/>
        </w:rPr>
        <w:t xml:space="preserve"> 2019).</w:t>
      </w:r>
    </w:p>
    <w:p w14:paraId="4AC9D0AF" w14:textId="5529D1E0" w:rsidR="008549A9" w:rsidRPr="000E0285" w:rsidRDefault="005146CE" w:rsidP="005146CE">
      <w:pPr>
        <w:spacing w:before="120" w:after="120" w:line="360" w:lineRule="auto"/>
        <w:ind w:firstLine="720"/>
        <w:jc w:val="both"/>
        <w:rPr>
          <w:rFonts w:ascii="Times New Roman" w:hAnsi="Times New Roman" w:cs="Times New Roman"/>
          <w:b/>
          <w:bCs/>
          <w:szCs w:val="24"/>
        </w:rPr>
      </w:pPr>
      <w:r w:rsidRPr="000E0285">
        <w:rPr>
          <w:rFonts w:ascii="Times New Roman" w:hAnsi="Times New Roman" w:cs="Times New Roman"/>
          <w:szCs w:val="24"/>
        </w:rPr>
        <w:lastRenderedPageBreak/>
        <w:t>T</w:t>
      </w:r>
      <w:r w:rsidR="008549A9" w:rsidRPr="000E0285">
        <w:rPr>
          <w:rFonts w:ascii="Times New Roman" w:hAnsi="Times New Roman" w:cs="Times New Roman"/>
          <w:szCs w:val="24"/>
        </w:rPr>
        <w:t>his study was conducted to explore the role of foliage application of thiourea and salicylic acid to ameliorate the adverse effect of heat stress on growth and physiology of field pea variety (KPMR-522) under heat stress condition.</w:t>
      </w:r>
    </w:p>
    <w:p w14:paraId="7703A269" w14:textId="1DC54E0A" w:rsidR="00591BEB" w:rsidRPr="000E0285" w:rsidRDefault="00591BEB" w:rsidP="000E0285">
      <w:pPr>
        <w:spacing w:before="120" w:after="120" w:line="360" w:lineRule="auto"/>
        <w:rPr>
          <w:rFonts w:ascii="Times New Roman" w:hAnsi="Times New Roman" w:cs="Times New Roman"/>
          <w:b/>
          <w:bCs/>
          <w:szCs w:val="24"/>
        </w:rPr>
      </w:pPr>
      <w:r w:rsidRPr="000E0285">
        <w:rPr>
          <w:rFonts w:ascii="Times New Roman" w:hAnsi="Times New Roman" w:cs="Times New Roman"/>
          <w:b/>
          <w:bCs/>
          <w:szCs w:val="24"/>
        </w:rPr>
        <w:t>MATERIALS AND METHODS</w:t>
      </w:r>
    </w:p>
    <w:p w14:paraId="3EEFEA13" w14:textId="77777777" w:rsidR="007D174C" w:rsidRPr="000E0285" w:rsidRDefault="007D174C" w:rsidP="00D03D50">
      <w:pPr>
        <w:spacing w:before="120" w:after="120" w:line="360" w:lineRule="auto"/>
        <w:jc w:val="both"/>
        <w:outlineLvl w:val="2"/>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Experimental Site and Plant Material</w:t>
      </w:r>
    </w:p>
    <w:p w14:paraId="157EA915" w14:textId="3BB24779" w:rsidR="007D174C" w:rsidRPr="000E0285" w:rsidRDefault="007D174C" w:rsidP="007D174C">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kern w:val="0"/>
          <w:szCs w:val="24"/>
          <w:lang w:eastAsia="en-IN"/>
          <w14:ligatures w14:val="none"/>
        </w:rPr>
        <w:t>The field experiment was conducted at the Student Research Farm, Chandra Shekhar Azad University of Agriculture and Technology (CSAUAT), Kanpur (Uttar Pradesh, India) during two consecutive rabi seasons of 2023</w:t>
      </w:r>
      <w:r w:rsidR="000E0285" w:rsidRPr="000E0285">
        <w:rPr>
          <w:rFonts w:ascii="Times New Roman" w:eastAsia="Times New Roman" w:hAnsi="Times New Roman" w:cs="Times New Roman"/>
          <w:kern w:val="0"/>
          <w:szCs w:val="24"/>
          <w:lang w:eastAsia="en-IN"/>
          <w14:ligatures w14:val="none"/>
        </w:rPr>
        <w:t>-</w:t>
      </w:r>
      <w:r w:rsidRPr="000E0285">
        <w:rPr>
          <w:rFonts w:ascii="Times New Roman" w:eastAsia="Times New Roman" w:hAnsi="Times New Roman" w:cs="Times New Roman"/>
          <w:kern w:val="0"/>
          <w:szCs w:val="24"/>
          <w:lang w:eastAsia="en-IN"/>
          <w14:ligatures w14:val="none"/>
        </w:rPr>
        <w:t>24 and 2024</w:t>
      </w:r>
      <w:r w:rsidR="000E0285" w:rsidRPr="000E0285">
        <w:rPr>
          <w:rFonts w:ascii="Times New Roman" w:eastAsia="Times New Roman" w:hAnsi="Times New Roman" w:cs="Times New Roman"/>
          <w:kern w:val="0"/>
          <w:szCs w:val="24"/>
          <w:lang w:eastAsia="en-IN"/>
          <w14:ligatures w14:val="none"/>
        </w:rPr>
        <w:t>-</w:t>
      </w:r>
      <w:r w:rsidRPr="000E0285">
        <w:rPr>
          <w:rFonts w:ascii="Times New Roman" w:eastAsia="Times New Roman" w:hAnsi="Times New Roman" w:cs="Times New Roman"/>
          <w:kern w:val="0"/>
          <w:szCs w:val="24"/>
          <w:lang w:eastAsia="en-IN"/>
          <w14:ligatures w14:val="none"/>
        </w:rPr>
        <w:t>25. The experimental site is situated in the central plains of Uttar Pradesh and is characterized by subtropical climatic conditions with cool winters and moderate rainfall. The soil of the experimental field was well-drained, sandy loam in texture, medium in fertility, and slightly alkaline in reaction. The field pea variety KPMR-522, known for its adaptability and high yield potential, was used as the test crop.</w:t>
      </w:r>
    </w:p>
    <w:p w14:paraId="635C764B" w14:textId="4502BFA3" w:rsidR="007D174C" w:rsidRPr="000E0285" w:rsidRDefault="007D174C" w:rsidP="007D174C">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Experimental Design and Treatments</w:t>
      </w:r>
    </w:p>
    <w:p w14:paraId="6D3302A5" w14:textId="2EF11653" w:rsidR="007D174C" w:rsidRPr="000E0285" w:rsidRDefault="007D174C" w:rsidP="007D174C">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kern w:val="0"/>
          <w:szCs w:val="24"/>
          <w:lang w:eastAsia="en-IN"/>
          <w14:ligatures w14:val="none"/>
        </w:rPr>
        <w:t xml:space="preserve">The experiment was laid out in a Randomized Block Design (RBD) with twelve treatments and three replications. Each plot measured 7.5 m², and recommended agronomic practices were followed to raise a healthy crop. The list of treatments applied is presented below </w:t>
      </w:r>
      <w:r w:rsidR="000E0285" w:rsidRPr="000E0285">
        <w:rPr>
          <w:rFonts w:ascii="Times New Roman" w:eastAsia="Times New Roman" w:hAnsi="Times New Roman" w:cs="Times New Roman"/>
          <w:kern w:val="0"/>
          <w:szCs w:val="24"/>
          <w:lang w:eastAsia="en-IN"/>
          <w14:ligatures w14:val="none"/>
        </w:rPr>
        <w:t>(T</w:t>
      </w:r>
      <w:r w:rsidRPr="000E0285">
        <w:rPr>
          <w:rFonts w:ascii="Times New Roman" w:eastAsia="Times New Roman" w:hAnsi="Times New Roman" w:cs="Times New Roman"/>
          <w:kern w:val="0"/>
          <w:szCs w:val="24"/>
          <w:lang w:eastAsia="en-IN"/>
          <w14:ligatures w14:val="none"/>
        </w:rPr>
        <w:t>able 1</w:t>
      </w:r>
      <w:r w:rsidR="000E0285" w:rsidRPr="000E0285">
        <w:rPr>
          <w:rFonts w:ascii="Times New Roman" w:eastAsia="Times New Roman" w:hAnsi="Times New Roman" w:cs="Times New Roman"/>
          <w:kern w:val="0"/>
          <w:szCs w:val="24"/>
          <w:lang w:eastAsia="en-IN"/>
          <w14:ligatures w14:val="none"/>
        </w:rPr>
        <w:t>)</w:t>
      </w:r>
      <w:r w:rsidRPr="000E0285">
        <w:rPr>
          <w:rFonts w:ascii="Times New Roman" w:eastAsia="Times New Roman" w:hAnsi="Times New Roman" w:cs="Times New Roman"/>
          <w:kern w:val="0"/>
          <w:szCs w:val="24"/>
          <w:lang w:eastAsia="en-IN"/>
          <w14:ligatures w14:val="none"/>
        </w:rPr>
        <w:t xml:space="preserve">. </w:t>
      </w:r>
    </w:p>
    <w:p w14:paraId="7C291054" w14:textId="77777777" w:rsidR="007D174C" w:rsidRPr="000E0285" w:rsidRDefault="007D174C" w:rsidP="007D174C">
      <w:pPr>
        <w:spacing w:before="120" w:after="120" w:line="360" w:lineRule="auto"/>
        <w:jc w:val="both"/>
        <w:outlineLvl w:val="2"/>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Crop Management</w:t>
      </w:r>
    </w:p>
    <w:p w14:paraId="4E6450EA" w14:textId="77777777" w:rsidR="007D174C" w:rsidRPr="000E0285" w:rsidRDefault="007D174C" w:rsidP="007D174C">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kern w:val="0"/>
          <w:szCs w:val="24"/>
          <w:lang w:eastAsia="en-IN"/>
          <w14:ligatures w14:val="none"/>
        </w:rPr>
        <w:t>The crop was sown at appropriate soil moisture levels following standard agronomic recommendations for field pea. All plots received a uniform basal dose of fertilizers as per the university package of practices. Irrigation, weed, and pest management were carried out uniformly across treatments. Foliar applications of the respective chemicals were made at the specified crop stages using a hand sprayer.</w:t>
      </w:r>
    </w:p>
    <w:p w14:paraId="39C12D49" w14:textId="77777777" w:rsidR="007D174C" w:rsidRPr="000E0285" w:rsidRDefault="007D174C" w:rsidP="007D174C">
      <w:pPr>
        <w:spacing w:before="120" w:after="120" w:line="360" w:lineRule="auto"/>
        <w:jc w:val="both"/>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Observations Recorded</w:t>
      </w:r>
    </w:p>
    <w:p w14:paraId="42F3162C" w14:textId="77777777" w:rsidR="007D174C" w:rsidRPr="000E0285" w:rsidRDefault="007D174C" w:rsidP="007D174C">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kern w:val="0"/>
          <w:szCs w:val="24"/>
          <w:lang w:eastAsia="en-IN"/>
          <w14:ligatures w14:val="none"/>
        </w:rPr>
        <w:t>Observations on various phenological and growth parameters were recorded from randomly selected plants within each treatment plot to evaluate the influence of different chemical sprays under terminal heat stress conditions. The data were collected using standard procedures as described below:</w:t>
      </w:r>
    </w:p>
    <w:p w14:paraId="02A668DC" w14:textId="63B46D99" w:rsidR="007D174C" w:rsidRPr="000E0285" w:rsidRDefault="007D174C" w:rsidP="007D174C">
      <w:pPr>
        <w:numPr>
          <w:ilvl w:val="0"/>
          <w:numId w:val="3"/>
        </w:num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Days to 50% flowering:</w:t>
      </w:r>
      <w:r w:rsidRPr="000E0285">
        <w:rPr>
          <w:rFonts w:ascii="Times New Roman" w:eastAsia="Times New Roman" w:hAnsi="Times New Roman" w:cs="Times New Roman"/>
          <w:kern w:val="0"/>
          <w:szCs w:val="24"/>
          <w:lang w:eastAsia="en-IN"/>
          <w14:ligatures w14:val="none"/>
        </w:rPr>
        <w:t xml:space="preserve"> The number of days from sowing to the date when approximately 50% of the plants in each plot had at least one fully open flower was recorded. </w:t>
      </w:r>
    </w:p>
    <w:p w14:paraId="45116F5A" w14:textId="6FEE30FC" w:rsidR="007D174C" w:rsidRPr="000E0285" w:rsidRDefault="007D174C" w:rsidP="007D174C">
      <w:pPr>
        <w:numPr>
          <w:ilvl w:val="0"/>
          <w:numId w:val="3"/>
        </w:num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lastRenderedPageBreak/>
        <w:t>Plant height (cm):</w:t>
      </w:r>
      <w:r w:rsidRPr="000E0285">
        <w:rPr>
          <w:rFonts w:ascii="Times New Roman" w:eastAsia="Times New Roman" w:hAnsi="Times New Roman" w:cs="Times New Roman"/>
          <w:kern w:val="0"/>
          <w:szCs w:val="24"/>
          <w:lang w:eastAsia="en-IN"/>
          <w14:ligatures w14:val="none"/>
        </w:rPr>
        <w:t xml:space="preserve"> Plant height was measured at the time of 50% flowering from the base of the plant (soil surface) to the tip of the main shoot using a meter scale. The mean height of five randomly selected and tagged plants from each plot was taken to represent the treatment mean.</w:t>
      </w:r>
    </w:p>
    <w:p w14:paraId="48E9A8B6" w14:textId="05B44A8B" w:rsidR="007D174C" w:rsidRPr="000E0285" w:rsidRDefault="007D174C" w:rsidP="007D174C">
      <w:pPr>
        <w:numPr>
          <w:ilvl w:val="0"/>
          <w:numId w:val="3"/>
        </w:num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Days to maturity:</w:t>
      </w:r>
      <w:r w:rsidRPr="000E0285">
        <w:rPr>
          <w:rFonts w:ascii="Times New Roman" w:eastAsia="Times New Roman" w:hAnsi="Times New Roman" w:cs="Times New Roman"/>
          <w:kern w:val="0"/>
          <w:szCs w:val="24"/>
          <w:lang w:eastAsia="en-IN"/>
          <w14:ligatures w14:val="none"/>
        </w:rPr>
        <w:t xml:space="preserve"> The days to maturity were recorded as the number of days from sowing to the stage when 80</w:t>
      </w:r>
      <w:r w:rsidR="000E0285" w:rsidRPr="000E0285">
        <w:rPr>
          <w:rFonts w:ascii="Times New Roman" w:eastAsia="Times New Roman" w:hAnsi="Times New Roman" w:cs="Times New Roman"/>
          <w:kern w:val="0"/>
          <w:szCs w:val="24"/>
          <w:lang w:eastAsia="en-IN"/>
          <w14:ligatures w14:val="none"/>
        </w:rPr>
        <w:t>-</w:t>
      </w:r>
      <w:r w:rsidRPr="000E0285">
        <w:rPr>
          <w:rFonts w:ascii="Times New Roman" w:eastAsia="Times New Roman" w:hAnsi="Times New Roman" w:cs="Times New Roman"/>
          <w:kern w:val="0"/>
          <w:szCs w:val="24"/>
          <w:lang w:eastAsia="en-IN"/>
          <w14:ligatures w14:val="none"/>
        </w:rPr>
        <w:t xml:space="preserve">85% of pods in each plot turned yellow and lost their green </w:t>
      </w:r>
      <w:proofErr w:type="spellStart"/>
      <w:r w:rsidRPr="000E0285">
        <w:rPr>
          <w:rFonts w:ascii="Times New Roman" w:eastAsia="Times New Roman" w:hAnsi="Times New Roman" w:cs="Times New Roman"/>
          <w:kern w:val="0"/>
          <w:szCs w:val="24"/>
          <w:lang w:eastAsia="en-IN"/>
          <w14:ligatures w14:val="none"/>
        </w:rPr>
        <w:t>color</w:t>
      </w:r>
      <w:proofErr w:type="spellEnd"/>
      <w:r w:rsidRPr="000E0285">
        <w:rPr>
          <w:rFonts w:ascii="Times New Roman" w:eastAsia="Times New Roman" w:hAnsi="Times New Roman" w:cs="Times New Roman"/>
          <w:kern w:val="0"/>
          <w:szCs w:val="24"/>
          <w:lang w:eastAsia="en-IN"/>
          <w14:ligatures w14:val="none"/>
        </w:rPr>
        <w:t xml:space="preserve">, indicating physiological maturity. </w:t>
      </w:r>
    </w:p>
    <w:p w14:paraId="46FA36DE" w14:textId="268F6526" w:rsidR="007D174C" w:rsidRPr="000E0285" w:rsidRDefault="007D174C" w:rsidP="007D174C">
      <w:pPr>
        <w:numPr>
          <w:ilvl w:val="0"/>
          <w:numId w:val="3"/>
        </w:num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Field emergence (%):</w:t>
      </w:r>
      <w:r w:rsidRPr="000E0285">
        <w:rPr>
          <w:rFonts w:ascii="Times New Roman" w:eastAsia="Times New Roman" w:hAnsi="Times New Roman" w:cs="Times New Roman"/>
          <w:kern w:val="0"/>
          <w:szCs w:val="24"/>
          <w:lang w:eastAsia="en-IN"/>
          <w14:ligatures w14:val="none"/>
        </w:rPr>
        <w:t xml:space="preserve"> Field emergence was recorded as the percentage of seedlings that successfully emerged above the soil surface within a specific period after sowing (usually 10</w:t>
      </w:r>
      <w:r w:rsidR="000E0285" w:rsidRPr="000E0285">
        <w:rPr>
          <w:rFonts w:ascii="Times New Roman" w:eastAsia="Times New Roman" w:hAnsi="Times New Roman" w:cs="Times New Roman"/>
          <w:kern w:val="0"/>
          <w:szCs w:val="24"/>
          <w:lang w:eastAsia="en-IN"/>
          <w14:ligatures w14:val="none"/>
        </w:rPr>
        <w:t>-</w:t>
      </w:r>
      <w:r w:rsidRPr="000E0285">
        <w:rPr>
          <w:rFonts w:ascii="Times New Roman" w:eastAsia="Times New Roman" w:hAnsi="Times New Roman" w:cs="Times New Roman"/>
          <w:kern w:val="0"/>
          <w:szCs w:val="24"/>
          <w:lang w:eastAsia="en-IN"/>
          <w14:ligatures w14:val="none"/>
        </w:rPr>
        <w:t xml:space="preserve">12 days). </w:t>
      </w:r>
    </w:p>
    <w:p w14:paraId="39CA95B0" w14:textId="45299298" w:rsidR="00FC4D7F" w:rsidRPr="000E0285" w:rsidRDefault="007D174C" w:rsidP="000E0285">
      <w:pPr>
        <w:spacing w:before="120" w:after="120" w:line="360" w:lineRule="auto"/>
        <w:jc w:val="both"/>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Table 1. Details of Treatment combinations</w:t>
      </w:r>
    </w:p>
    <w:tbl>
      <w:tblPr>
        <w:tblW w:w="9232" w:type="dxa"/>
        <w:tblLook w:val="04A0" w:firstRow="1" w:lastRow="0" w:firstColumn="1" w:lastColumn="0" w:noHBand="0" w:noVBand="1"/>
      </w:tblPr>
      <w:tblGrid>
        <w:gridCol w:w="1478"/>
        <w:gridCol w:w="2028"/>
        <w:gridCol w:w="5726"/>
      </w:tblGrid>
      <w:tr w:rsidR="000E0285" w:rsidRPr="000E0285" w14:paraId="7BB15860" w14:textId="77777777" w:rsidTr="00592BDF">
        <w:trPr>
          <w:trHeight w:val="631"/>
        </w:trPr>
        <w:tc>
          <w:tcPr>
            <w:tcW w:w="1478" w:type="dxa"/>
            <w:tcBorders>
              <w:top w:val="nil"/>
              <w:left w:val="nil"/>
              <w:bottom w:val="nil"/>
              <w:right w:val="nil"/>
            </w:tcBorders>
            <w:noWrap/>
            <w:vAlign w:val="bottom"/>
            <w:hideMark/>
          </w:tcPr>
          <w:p w14:paraId="18EDB7B6" w14:textId="77777777" w:rsidR="000E0285" w:rsidRPr="000E0285" w:rsidRDefault="000E0285" w:rsidP="000E0285">
            <w:pPr>
              <w:spacing w:after="0" w:line="240" w:lineRule="auto"/>
              <w:rPr>
                <w:rFonts w:ascii="Times New Roman" w:eastAsia="Times New Roman" w:hAnsi="Times New Roman" w:cs="Times New Roman"/>
                <w:b/>
                <w:bCs/>
                <w:color w:val="000000"/>
                <w:kern w:val="0"/>
                <w:szCs w:val="24"/>
                <w:lang w:eastAsia="en-IN"/>
                <w14:ligatures w14:val="none"/>
              </w:rPr>
            </w:pPr>
            <w:bookmarkStart w:id="1" w:name="RANGE!V76"/>
            <w:bookmarkStart w:id="2" w:name="_Hlk211772315" w:colFirst="1" w:colLast="2"/>
            <w:r w:rsidRPr="000E0285">
              <w:rPr>
                <w:rFonts w:ascii="Times New Roman" w:eastAsia="Times New Roman" w:hAnsi="Times New Roman" w:cs="Times New Roman"/>
                <w:b/>
                <w:bCs/>
                <w:color w:val="000000"/>
                <w:kern w:val="0"/>
                <w:szCs w:val="24"/>
                <w:lang w:eastAsia="en-IN"/>
                <w14:ligatures w14:val="none"/>
              </w:rPr>
              <w:t>S. No.</w:t>
            </w:r>
            <w:bookmarkEnd w:id="1"/>
          </w:p>
        </w:tc>
        <w:tc>
          <w:tcPr>
            <w:tcW w:w="2028" w:type="dxa"/>
            <w:tcBorders>
              <w:top w:val="nil"/>
              <w:left w:val="nil"/>
              <w:bottom w:val="nil"/>
              <w:right w:val="nil"/>
            </w:tcBorders>
            <w:noWrap/>
            <w:vAlign w:val="bottom"/>
            <w:hideMark/>
          </w:tcPr>
          <w:p w14:paraId="72AD8659" w14:textId="77777777" w:rsidR="000E0285" w:rsidRPr="000E0285" w:rsidRDefault="000E0285" w:rsidP="000E0285">
            <w:pPr>
              <w:spacing w:after="0" w:line="240" w:lineRule="auto"/>
              <w:rPr>
                <w:rFonts w:ascii="Times New Roman" w:eastAsia="Times New Roman" w:hAnsi="Times New Roman" w:cs="Times New Roman"/>
                <w:b/>
                <w:bCs/>
                <w:color w:val="000000"/>
                <w:kern w:val="0"/>
                <w:szCs w:val="24"/>
                <w:lang w:eastAsia="en-IN"/>
                <w14:ligatures w14:val="none"/>
              </w:rPr>
            </w:pPr>
            <w:r w:rsidRPr="000E0285">
              <w:rPr>
                <w:rFonts w:ascii="Times New Roman" w:eastAsia="Times New Roman" w:hAnsi="Times New Roman" w:cs="Times New Roman"/>
                <w:b/>
                <w:bCs/>
                <w:color w:val="000000"/>
                <w:kern w:val="0"/>
                <w:szCs w:val="24"/>
                <w:lang w:eastAsia="en-IN"/>
                <w14:ligatures w14:val="none"/>
              </w:rPr>
              <w:t>Symbol</w:t>
            </w:r>
          </w:p>
        </w:tc>
        <w:tc>
          <w:tcPr>
            <w:tcW w:w="5726" w:type="dxa"/>
            <w:tcBorders>
              <w:top w:val="nil"/>
              <w:left w:val="nil"/>
              <w:bottom w:val="nil"/>
              <w:right w:val="nil"/>
            </w:tcBorders>
            <w:noWrap/>
            <w:vAlign w:val="bottom"/>
            <w:hideMark/>
          </w:tcPr>
          <w:p w14:paraId="0607FE3F" w14:textId="77777777" w:rsidR="000E0285" w:rsidRPr="000E0285" w:rsidRDefault="000E0285" w:rsidP="000E0285">
            <w:pPr>
              <w:spacing w:after="0" w:line="240" w:lineRule="auto"/>
              <w:rPr>
                <w:rFonts w:ascii="Times New Roman" w:eastAsia="Times New Roman" w:hAnsi="Times New Roman" w:cs="Times New Roman"/>
                <w:b/>
                <w:bCs/>
                <w:color w:val="000000"/>
                <w:kern w:val="0"/>
                <w:szCs w:val="24"/>
                <w:lang w:eastAsia="en-IN"/>
                <w14:ligatures w14:val="none"/>
              </w:rPr>
            </w:pPr>
            <w:r w:rsidRPr="000E0285">
              <w:rPr>
                <w:rFonts w:ascii="Times New Roman" w:eastAsia="Times New Roman" w:hAnsi="Times New Roman" w:cs="Times New Roman"/>
                <w:b/>
                <w:bCs/>
                <w:color w:val="000000"/>
                <w:kern w:val="0"/>
                <w:szCs w:val="24"/>
                <w:lang w:eastAsia="en-IN"/>
                <w14:ligatures w14:val="none"/>
              </w:rPr>
              <w:t>Description</w:t>
            </w:r>
          </w:p>
        </w:tc>
      </w:tr>
      <w:tr w:rsidR="000E0285" w:rsidRPr="000E0285" w14:paraId="55DA7AD8" w14:textId="77777777" w:rsidTr="00592BDF">
        <w:trPr>
          <w:trHeight w:val="631"/>
        </w:trPr>
        <w:tc>
          <w:tcPr>
            <w:tcW w:w="1478" w:type="dxa"/>
            <w:tcBorders>
              <w:top w:val="nil"/>
              <w:left w:val="nil"/>
              <w:bottom w:val="nil"/>
              <w:right w:val="nil"/>
            </w:tcBorders>
            <w:noWrap/>
            <w:vAlign w:val="bottom"/>
            <w:hideMark/>
          </w:tcPr>
          <w:p w14:paraId="5D98627E"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w:t>
            </w:r>
          </w:p>
        </w:tc>
        <w:tc>
          <w:tcPr>
            <w:tcW w:w="2028" w:type="dxa"/>
            <w:tcBorders>
              <w:top w:val="nil"/>
              <w:left w:val="nil"/>
              <w:bottom w:val="nil"/>
              <w:right w:val="nil"/>
            </w:tcBorders>
            <w:noWrap/>
            <w:vAlign w:val="bottom"/>
            <w:hideMark/>
          </w:tcPr>
          <w:p w14:paraId="3A077349"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 xml:space="preserve">Control </w:t>
            </w:r>
          </w:p>
        </w:tc>
        <w:tc>
          <w:tcPr>
            <w:tcW w:w="5726" w:type="dxa"/>
            <w:tcBorders>
              <w:top w:val="nil"/>
              <w:left w:val="nil"/>
              <w:bottom w:val="nil"/>
              <w:right w:val="nil"/>
            </w:tcBorders>
            <w:noWrap/>
            <w:vAlign w:val="bottom"/>
            <w:hideMark/>
          </w:tcPr>
          <w:p w14:paraId="4ADE867E"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(Untreated)</w:t>
            </w:r>
          </w:p>
        </w:tc>
      </w:tr>
      <w:tr w:rsidR="000E0285" w:rsidRPr="000E0285" w14:paraId="46C431E4" w14:textId="77777777" w:rsidTr="00592BDF">
        <w:trPr>
          <w:trHeight w:val="631"/>
        </w:trPr>
        <w:tc>
          <w:tcPr>
            <w:tcW w:w="1478" w:type="dxa"/>
            <w:tcBorders>
              <w:top w:val="nil"/>
              <w:left w:val="nil"/>
              <w:bottom w:val="nil"/>
              <w:right w:val="nil"/>
            </w:tcBorders>
            <w:noWrap/>
            <w:vAlign w:val="bottom"/>
            <w:hideMark/>
          </w:tcPr>
          <w:p w14:paraId="39A79FF6"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2</w:t>
            </w:r>
          </w:p>
        </w:tc>
        <w:tc>
          <w:tcPr>
            <w:tcW w:w="2028" w:type="dxa"/>
            <w:tcBorders>
              <w:top w:val="nil"/>
              <w:left w:val="nil"/>
              <w:bottom w:val="nil"/>
              <w:right w:val="nil"/>
            </w:tcBorders>
            <w:noWrap/>
            <w:vAlign w:val="bottom"/>
            <w:hideMark/>
          </w:tcPr>
          <w:p w14:paraId="6EB084FE"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Thiourea</w:t>
            </w:r>
          </w:p>
        </w:tc>
        <w:tc>
          <w:tcPr>
            <w:tcW w:w="5726" w:type="dxa"/>
            <w:tcBorders>
              <w:top w:val="nil"/>
              <w:left w:val="nil"/>
              <w:bottom w:val="nil"/>
              <w:right w:val="nil"/>
            </w:tcBorders>
            <w:noWrap/>
            <w:vAlign w:val="bottom"/>
            <w:hideMark/>
          </w:tcPr>
          <w:p w14:paraId="04EB024F"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400 ppm</w:t>
            </w:r>
          </w:p>
        </w:tc>
      </w:tr>
      <w:tr w:rsidR="000E0285" w:rsidRPr="000E0285" w14:paraId="60D3AC58" w14:textId="77777777" w:rsidTr="00592BDF">
        <w:trPr>
          <w:trHeight w:val="631"/>
        </w:trPr>
        <w:tc>
          <w:tcPr>
            <w:tcW w:w="1478" w:type="dxa"/>
            <w:tcBorders>
              <w:top w:val="nil"/>
              <w:left w:val="nil"/>
              <w:bottom w:val="nil"/>
              <w:right w:val="nil"/>
            </w:tcBorders>
            <w:noWrap/>
            <w:vAlign w:val="bottom"/>
            <w:hideMark/>
          </w:tcPr>
          <w:p w14:paraId="6FBAE393"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3</w:t>
            </w:r>
          </w:p>
        </w:tc>
        <w:tc>
          <w:tcPr>
            <w:tcW w:w="2028" w:type="dxa"/>
            <w:tcBorders>
              <w:top w:val="nil"/>
              <w:left w:val="nil"/>
              <w:bottom w:val="nil"/>
              <w:right w:val="nil"/>
            </w:tcBorders>
            <w:noWrap/>
            <w:vAlign w:val="bottom"/>
            <w:hideMark/>
          </w:tcPr>
          <w:p w14:paraId="6FB95FE2"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Thiourea</w:t>
            </w:r>
          </w:p>
        </w:tc>
        <w:tc>
          <w:tcPr>
            <w:tcW w:w="5726" w:type="dxa"/>
            <w:tcBorders>
              <w:top w:val="nil"/>
              <w:left w:val="nil"/>
              <w:bottom w:val="nil"/>
              <w:right w:val="nil"/>
            </w:tcBorders>
            <w:noWrap/>
            <w:vAlign w:val="bottom"/>
            <w:hideMark/>
          </w:tcPr>
          <w:p w14:paraId="35A04714"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200 ppm</w:t>
            </w:r>
          </w:p>
        </w:tc>
      </w:tr>
      <w:tr w:rsidR="000E0285" w:rsidRPr="000E0285" w14:paraId="4620B07B" w14:textId="77777777" w:rsidTr="00592BDF">
        <w:trPr>
          <w:trHeight w:val="631"/>
        </w:trPr>
        <w:tc>
          <w:tcPr>
            <w:tcW w:w="1478" w:type="dxa"/>
            <w:tcBorders>
              <w:top w:val="nil"/>
              <w:left w:val="nil"/>
              <w:bottom w:val="nil"/>
              <w:right w:val="nil"/>
            </w:tcBorders>
            <w:noWrap/>
            <w:vAlign w:val="bottom"/>
            <w:hideMark/>
          </w:tcPr>
          <w:p w14:paraId="3387A341"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4</w:t>
            </w:r>
          </w:p>
        </w:tc>
        <w:tc>
          <w:tcPr>
            <w:tcW w:w="2028" w:type="dxa"/>
            <w:tcBorders>
              <w:top w:val="nil"/>
              <w:left w:val="nil"/>
              <w:bottom w:val="nil"/>
              <w:right w:val="nil"/>
            </w:tcBorders>
            <w:noWrap/>
            <w:vAlign w:val="bottom"/>
            <w:hideMark/>
          </w:tcPr>
          <w:p w14:paraId="758ED50B"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Salicylic acid</w:t>
            </w:r>
          </w:p>
        </w:tc>
        <w:tc>
          <w:tcPr>
            <w:tcW w:w="5726" w:type="dxa"/>
            <w:tcBorders>
              <w:top w:val="nil"/>
              <w:left w:val="nil"/>
              <w:bottom w:val="nil"/>
              <w:right w:val="nil"/>
            </w:tcBorders>
            <w:noWrap/>
            <w:vAlign w:val="bottom"/>
            <w:hideMark/>
          </w:tcPr>
          <w:p w14:paraId="038FFE70"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400 ppm</w:t>
            </w:r>
          </w:p>
        </w:tc>
      </w:tr>
      <w:tr w:rsidR="000E0285" w:rsidRPr="000E0285" w14:paraId="3D2E0DC6" w14:textId="77777777" w:rsidTr="00592BDF">
        <w:trPr>
          <w:trHeight w:val="631"/>
        </w:trPr>
        <w:tc>
          <w:tcPr>
            <w:tcW w:w="1478" w:type="dxa"/>
            <w:tcBorders>
              <w:top w:val="nil"/>
              <w:left w:val="nil"/>
              <w:bottom w:val="nil"/>
              <w:right w:val="nil"/>
            </w:tcBorders>
            <w:noWrap/>
            <w:vAlign w:val="bottom"/>
            <w:hideMark/>
          </w:tcPr>
          <w:p w14:paraId="6F1F3573"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5</w:t>
            </w:r>
          </w:p>
        </w:tc>
        <w:tc>
          <w:tcPr>
            <w:tcW w:w="2028" w:type="dxa"/>
            <w:tcBorders>
              <w:top w:val="nil"/>
              <w:left w:val="nil"/>
              <w:bottom w:val="nil"/>
              <w:right w:val="nil"/>
            </w:tcBorders>
            <w:noWrap/>
            <w:vAlign w:val="bottom"/>
            <w:hideMark/>
          </w:tcPr>
          <w:p w14:paraId="1B5263A8"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Salicylic acid</w:t>
            </w:r>
          </w:p>
        </w:tc>
        <w:tc>
          <w:tcPr>
            <w:tcW w:w="5726" w:type="dxa"/>
            <w:tcBorders>
              <w:top w:val="nil"/>
              <w:left w:val="nil"/>
              <w:bottom w:val="nil"/>
              <w:right w:val="nil"/>
            </w:tcBorders>
            <w:noWrap/>
            <w:vAlign w:val="bottom"/>
            <w:hideMark/>
          </w:tcPr>
          <w:p w14:paraId="42C5E6A5"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800 ppm</w:t>
            </w:r>
          </w:p>
        </w:tc>
      </w:tr>
      <w:tr w:rsidR="000E0285" w:rsidRPr="000E0285" w14:paraId="15D4BB76" w14:textId="77777777" w:rsidTr="00592BDF">
        <w:trPr>
          <w:trHeight w:val="631"/>
        </w:trPr>
        <w:tc>
          <w:tcPr>
            <w:tcW w:w="1478" w:type="dxa"/>
            <w:tcBorders>
              <w:top w:val="nil"/>
              <w:left w:val="nil"/>
              <w:bottom w:val="nil"/>
              <w:right w:val="nil"/>
            </w:tcBorders>
            <w:noWrap/>
            <w:vAlign w:val="bottom"/>
            <w:hideMark/>
          </w:tcPr>
          <w:p w14:paraId="2AD349DC"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6</w:t>
            </w:r>
          </w:p>
        </w:tc>
        <w:tc>
          <w:tcPr>
            <w:tcW w:w="2028" w:type="dxa"/>
            <w:tcBorders>
              <w:top w:val="nil"/>
              <w:left w:val="nil"/>
              <w:bottom w:val="nil"/>
              <w:right w:val="nil"/>
            </w:tcBorders>
            <w:noWrap/>
            <w:vAlign w:val="bottom"/>
            <w:hideMark/>
          </w:tcPr>
          <w:p w14:paraId="06C54A1A"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Cycocel</w:t>
            </w:r>
          </w:p>
        </w:tc>
        <w:tc>
          <w:tcPr>
            <w:tcW w:w="5726" w:type="dxa"/>
            <w:tcBorders>
              <w:top w:val="nil"/>
              <w:left w:val="nil"/>
              <w:bottom w:val="nil"/>
              <w:right w:val="nil"/>
            </w:tcBorders>
            <w:noWrap/>
            <w:vAlign w:val="bottom"/>
            <w:hideMark/>
          </w:tcPr>
          <w:p w14:paraId="59B87E5E"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400 ppm</w:t>
            </w:r>
          </w:p>
        </w:tc>
      </w:tr>
      <w:tr w:rsidR="000E0285" w:rsidRPr="000E0285" w14:paraId="6233172F" w14:textId="77777777" w:rsidTr="00592BDF">
        <w:trPr>
          <w:trHeight w:val="631"/>
        </w:trPr>
        <w:tc>
          <w:tcPr>
            <w:tcW w:w="1478" w:type="dxa"/>
            <w:tcBorders>
              <w:top w:val="nil"/>
              <w:left w:val="nil"/>
              <w:bottom w:val="nil"/>
              <w:right w:val="nil"/>
            </w:tcBorders>
            <w:noWrap/>
            <w:vAlign w:val="bottom"/>
            <w:hideMark/>
          </w:tcPr>
          <w:p w14:paraId="1D285325"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7</w:t>
            </w:r>
          </w:p>
        </w:tc>
        <w:tc>
          <w:tcPr>
            <w:tcW w:w="2028" w:type="dxa"/>
            <w:tcBorders>
              <w:top w:val="nil"/>
              <w:left w:val="nil"/>
              <w:bottom w:val="nil"/>
              <w:right w:val="nil"/>
            </w:tcBorders>
            <w:noWrap/>
            <w:vAlign w:val="bottom"/>
            <w:hideMark/>
          </w:tcPr>
          <w:p w14:paraId="2F0A6B8A"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Cycocel</w:t>
            </w:r>
          </w:p>
        </w:tc>
        <w:tc>
          <w:tcPr>
            <w:tcW w:w="5726" w:type="dxa"/>
            <w:tcBorders>
              <w:top w:val="nil"/>
              <w:left w:val="nil"/>
              <w:bottom w:val="nil"/>
              <w:right w:val="nil"/>
            </w:tcBorders>
            <w:noWrap/>
            <w:vAlign w:val="bottom"/>
            <w:hideMark/>
          </w:tcPr>
          <w:p w14:paraId="3DCC5058"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800 ppm</w:t>
            </w:r>
          </w:p>
        </w:tc>
      </w:tr>
      <w:tr w:rsidR="000E0285" w:rsidRPr="000E0285" w14:paraId="7CD137C7" w14:textId="77777777" w:rsidTr="00592BDF">
        <w:trPr>
          <w:trHeight w:val="631"/>
        </w:trPr>
        <w:tc>
          <w:tcPr>
            <w:tcW w:w="1478" w:type="dxa"/>
            <w:tcBorders>
              <w:top w:val="nil"/>
              <w:left w:val="nil"/>
              <w:bottom w:val="nil"/>
              <w:right w:val="nil"/>
            </w:tcBorders>
            <w:noWrap/>
            <w:vAlign w:val="bottom"/>
            <w:hideMark/>
          </w:tcPr>
          <w:p w14:paraId="5D0D5065"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8</w:t>
            </w:r>
          </w:p>
        </w:tc>
        <w:tc>
          <w:tcPr>
            <w:tcW w:w="2028" w:type="dxa"/>
            <w:tcBorders>
              <w:top w:val="nil"/>
              <w:left w:val="nil"/>
              <w:bottom w:val="nil"/>
              <w:right w:val="nil"/>
            </w:tcBorders>
            <w:noWrap/>
            <w:vAlign w:val="bottom"/>
            <w:hideMark/>
          </w:tcPr>
          <w:p w14:paraId="62D2293A"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Ascorbic acid</w:t>
            </w:r>
          </w:p>
        </w:tc>
        <w:tc>
          <w:tcPr>
            <w:tcW w:w="5726" w:type="dxa"/>
            <w:tcBorders>
              <w:top w:val="nil"/>
              <w:left w:val="nil"/>
              <w:bottom w:val="nil"/>
              <w:right w:val="nil"/>
            </w:tcBorders>
            <w:noWrap/>
            <w:vAlign w:val="bottom"/>
            <w:hideMark/>
          </w:tcPr>
          <w:p w14:paraId="33847D8C"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10 ppm</w:t>
            </w:r>
          </w:p>
        </w:tc>
      </w:tr>
      <w:tr w:rsidR="000E0285" w:rsidRPr="000E0285" w14:paraId="717EB209" w14:textId="77777777" w:rsidTr="00592BDF">
        <w:trPr>
          <w:trHeight w:val="631"/>
        </w:trPr>
        <w:tc>
          <w:tcPr>
            <w:tcW w:w="1478" w:type="dxa"/>
            <w:tcBorders>
              <w:top w:val="nil"/>
              <w:left w:val="nil"/>
              <w:bottom w:val="nil"/>
              <w:right w:val="nil"/>
            </w:tcBorders>
            <w:noWrap/>
            <w:vAlign w:val="bottom"/>
            <w:hideMark/>
          </w:tcPr>
          <w:p w14:paraId="0155B7EC"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9</w:t>
            </w:r>
          </w:p>
        </w:tc>
        <w:tc>
          <w:tcPr>
            <w:tcW w:w="2028" w:type="dxa"/>
            <w:tcBorders>
              <w:top w:val="nil"/>
              <w:left w:val="nil"/>
              <w:bottom w:val="nil"/>
              <w:right w:val="nil"/>
            </w:tcBorders>
            <w:noWrap/>
            <w:vAlign w:val="bottom"/>
            <w:hideMark/>
          </w:tcPr>
          <w:p w14:paraId="507D7821" w14:textId="36897BE2"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KCL</w:t>
            </w:r>
          </w:p>
        </w:tc>
        <w:tc>
          <w:tcPr>
            <w:tcW w:w="5726" w:type="dxa"/>
            <w:tcBorders>
              <w:top w:val="nil"/>
              <w:left w:val="nil"/>
              <w:bottom w:val="nil"/>
              <w:right w:val="nil"/>
            </w:tcBorders>
            <w:noWrap/>
            <w:vAlign w:val="bottom"/>
            <w:hideMark/>
          </w:tcPr>
          <w:p w14:paraId="787667F2"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10,000 ppm</w:t>
            </w:r>
          </w:p>
        </w:tc>
      </w:tr>
      <w:tr w:rsidR="000E0285" w:rsidRPr="000E0285" w14:paraId="7B5631E0" w14:textId="77777777" w:rsidTr="00592BDF">
        <w:trPr>
          <w:trHeight w:val="631"/>
        </w:trPr>
        <w:tc>
          <w:tcPr>
            <w:tcW w:w="1478" w:type="dxa"/>
            <w:tcBorders>
              <w:top w:val="nil"/>
              <w:left w:val="nil"/>
              <w:bottom w:val="nil"/>
              <w:right w:val="nil"/>
            </w:tcBorders>
            <w:noWrap/>
            <w:vAlign w:val="bottom"/>
            <w:hideMark/>
          </w:tcPr>
          <w:p w14:paraId="2480FEAE"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10</w:t>
            </w:r>
          </w:p>
        </w:tc>
        <w:tc>
          <w:tcPr>
            <w:tcW w:w="2028" w:type="dxa"/>
            <w:tcBorders>
              <w:top w:val="nil"/>
              <w:left w:val="nil"/>
              <w:bottom w:val="nil"/>
              <w:right w:val="nil"/>
            </w:tcBorders>
            <w:noWrap/>
            <w:vAlign w:val="bottom"/>
            <w:hideMark/>
          </w:tcPr>
          <w:p w14:paraId="03B712FC"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Ethrel</w:t>
            </w:r>
          </w:p>
        </w:tc>
        <w:tc>
          <w:tcPr>
            <w:tcW w:w="5726" w:type="dxa"/>
            <w:tcBorders>
              <w:top w:val="nil"/>
              <w:left w:val="nil"/>
              <w:bottom w:val="nil"/>
              <w:right w:val="nil"/>
            </w:tcBorders>
            <w:noWrap/>
            <w:vAlign w:val="bottom"/>
            <w:hideMark/>
          </w:tcPr>
          <w:p w14:paraId="216002C0"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25 days after sowing @ 250 ppm</w:t>
            </w:r>
          </w:p>
        </w:tc>
      </w:tr>
      <w:tr w:rsidR="000E0285" w:rsidRPr="000E0285" w14:paraId="7D415267" w14:textId="77777777" w:rsidTr="00592BDF">
        <w:trPr>
          <w:trHeight w:val="631"/>
        </w:trPr>
        <w:tc>
          <w:tcPr>
            <w:tcW w:w="1478" w:type="dxa"/>
            <w:tcBorders>
              <w:top w:val="nil"/>
              <w:left w:val="nil"/>
              <w:bottom w:val="nil"/>
              <w:right w:val="nil"/>
            </w:tcBorders>
            <w:noWrap/>
            <w:vAlign w:val="bottom"/>
            <w:hideMark/>
          </w:tcPr>
          <w:p w14:paraId="34C44C12"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11</w:t>
            </w:r>
          </w:p>
        </w:tc>
        <w:tc>
          <w:tcPr>
            <w:tcW w:w="2028" w:type="dxa"/>
            <w:tcBorders>
              <w:top w:val="nil"/>
              <w:left w:val="nil"/>
              <w:bottom w:val="nil"/>
              <w:right w:val="nil"/>
            </w:tcBorders>
            <w:noWrap/>
            <w:vAlign w:val="bottom"/>
            <w:hideMark/>
          </w:tcPr>
          <w:p w14:paraId="69A72561"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Boron</w:t>
            </w:r>
          </w:p>
        </w:tc>
        <w:tc>
          <w:tcPr>
            <w:tcW w:w="5726" w:type="dxa"/>
            <w:tcBorders>
              <w:top w:val="nil"/>
              <w:left w:val="nil"/>
              <w:bottom w:val="nil"/>
              <w:right w:val="nil"/>
            </w:tcBorders>
            <w:noWrap/>
            <w:vAlign w:val="bottom"/>
            <w:hideMark/>
          </w:tcPr>
          <w:p w14:paraId="4C51E815"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45 days after sowing @ 2,500 ppm</w:t>
            </w:r>
          </w:p>
        </w:tc>
      </w:tr>
      <w:tr w:rsidR="000E0285" w:rsidRPr="000E0285" w14:paraId="591BC3B0" w14:textId="77777777" w:rsidTr="00592BDF">
        <w:trPr>
          <w:trHeight w:val="631"/>
        </w:trPr>
        <w:tc>
          <w:tcPr>
            <w:tcW w:w="1478" w:type="dxa"/>
            <w:tcBorders>
              <w:top w:val="nil"/>
              <w:left w:val="nil"/>
              <w:bottom w:val="nil"/>
              <w:right w:val="nil"/>
            </w:tcBorders>
            <w:noWrap/>
            <w:vAlign w:val="bottom"/>
            <w:hideMark/>
          </w:tcPr>
          <w:p w14:paraId="4E034562"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12</w:t>
            </w:r>
          </w:p>
        </w:tc>
        <w:tc>
          <w:tcPr>
            <w:tcW w:w="2028" w:type="dxa"/>
            <w:tcBorders>
              <w:top w:val="nil"/>
              <w:left w:val="nil"/>
              <w:bottom w:val="nil"/>
              <w:right w:val="nil"/>
            </w:tcBorders>
            <w:noWrap/>
            <w:vAlign w:val="bottom"/>
            <w:hideMark/>
          </w:tcPr>
          <w:p w14:paraId="6E89A620"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Ethrel + Boron</w:t>
            </w:r>
          </w:p>
        </w:tc>
        <w:tc>
          <w:tcPr>
            <w:tcW w:w="5726" w:type="dxa"/>
            <w:tcBorders>
              <w:top w:val="nil"/>
              <w:left w:val="nil"/>
              <w:bottom w:val="nil"/>
              <w:right w:val="nil"/>
            </w:tcBorders>
            <w:noWrap/>
            <w:vAlign w:val="bottom"/>
            <w:hideMark/>
          </w:tcPr>
          <w:p w14:paraId="31B71E8D"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45 days after sowing [@250 ppm + 2,500 ppm]</w:t>
            </w:r>
          </w:p>
        </w:tc>
      </w:tr>
      <w:bookmarkEnd w:id="2"/>
    </w:tbl>
    <w:p w14:paraId="00DA7FD0" w14:textId="77777777" w:rsidR="000E0285" w:rsidRPr="000E0285" w:rsidRDefault="000E0285" w:rsidP="007D174C">
      <w:pPr>
        <w:rPr>
          <w:rFonts w:ascii="Times New Roman" w:hAnsi="Times New Roman" w:cs="Times New Roman"/>
          <w:b/>
          <w:bCs/>
          <w:szCs w:val="24"/>
        </w:rPr>
      </w:pPr>
    </w:p>
    <w:p w14:paraId="03AF7C44" w14:textId="294330AA" w:rsidR="007D174C" w:rsidRPr="000E0285" w:rsidRDefault="000E0285" w:rsidP="007D174C">
      <w:pPr>
        <w:rPr>
          <w:rFonts w:ascii="Times New Roman" w:hAnsi="Times New Roman" w:cs="Times New Roman"/>
          <w:b/>
          <w:bCs/>
          <w:szCs w:val="24"/>
        </w:rPr>
      </w:pPr>
      <w:r w:rsidRPr="000E0285">
        <w:rPr>
          <w:rFonts w:ascii="Times New Roman" w:hAnsi="Times New Roman" w:cs="Times New Roman"/>
          <w:b/>
          <w:bCs/>
          <w:szCs w:val="24"/>
        </w:rPr>
        <w:br w:type="page"/>
      </w:r>
      <w:r w:rsidR="007D174C" w:rsidRPr="000E0285">
        <w:rPr>
          <w:rFonts w:ascii="Times New Roman" w:hAnsi="Times New Roman" w:cs="Times New Roman"/>
          <w:b/>
          <w:bCs/>
          <w:szCs w:val="24"/>
        </w:rPr>
        <w:lastRenderedPageBreak/>
        <w:t>Statistical Analysis</w:t>
      </w:r>
    </w:p>
    <w:p w14:paraId="7E3EFDAA" w14:textId="6D709D7D" w:rsidR="007D174C" w:rsidRPr="000E0285" w:rsidRDefault="007D174C" w:rsidP="00D03D50">
      <w:pPr>
        <w:spacing w:line="360" w:lineRule="auto"/>
        <w:jc w:val="both"/>
        <w:rPr>
          <w:rFonts w:ascii="Times New Roman" w:hAnsi="Times New Roman" w:cs="Times New Roman"/>
          <w:szCs w:val="24"/>
        </w:rPr>
      </w:pPr>
      <w:r w:rsidRPr="000E0285">
        <w:rPr>
          <w:rFonts w:ascii="Times New Roman" w:hAnsi="Times New Roman" w:cs="Times New Roman"/>
          <w:szCs w:val="24"/>
        </w:rPr>
        <w:t>The data collected from the recorded observations during both seasons (2023</w:t>
      </w:r>
      <w:r w:rsidR="000E0285" w:rsidRPr="000E0285">
        <w:rPr>
          <w:rFonts w:ascii="Times New Roman" w:hAnsi="Times New Roman" w:cs="Times New Roman"/>
          <w:szCs w:val="24"/>
        </w:rPr>
        <w:t>-</w:t>
      </w:r>
      <w:r w:rsidRPr="000E0285">
        <w:rPr>
          <w:rFonts w:ascii="Times New Roman" w:hAnsi="Times New Roman" w:cs="Times New Roman"/>
          <w:szCs w:val="24"/>
        </w:rPr>
        <w:t>24 and 2024</w:t>
      </w:r>
      <w:r w:rsidR="000E0285" w:rsidRPr="000E0285">
        <w:rPr>
          <w:rFonts w:ascii="Times New Roman" w:hAnsi="Times New Roman" w:cs="Times New Roman"/>
          <w:szCs w:val="24"/>
        </w:rPr>
        <w:t>-</w:t>
      </w:r>
      <w:r w:rsidRPr="000E0285">
        <w:rPr>
          <w:rFonts w:ascii="Times New Roman" w:hAnsi="Times New Roman" w:cs="Times New Roman"/>
          <w:szCs w:val="24"/>
        </w:rPr>
        <w:t>25) were subjected to statistical analysis using the Analysis of Variance (ANOVA) technique appropriate for a Randomized Block D</w:t>
      </w:r>
      <w:r w:rsidR="000E0285" w:rsidRPr="000E0285">
        <w:rPr>
          <w:rFonts w:ascii="Times New Roman" w:hAnsi="Times New Roman" w:cs="Times New Roman"/>
          <w:szCs w:val="24"/>
        </w:rPr>
        <w:t>esign</w:t>
      </w:r>
      <w:r w:rsidRPr="000E0285">
        <w:rPr>
          <w:rFonts w:ascii="Times New Roman" w:hAnsi="Times New Roman" w:cs="Times New Roman"/>
          <w:szCs w:val="24"/>
        </w:rPr>
        <w:t xml:space="preserve"> (RBD) as described by </w:t>
      </w:r>
      <w:proofErr w:type="spellStart"/>
      <w:r w:rsidRPr="000E0285">
        <w:rPr>
          <w:rFonts w:ascii="Times New Roman" w:hAnsi="Times New Roman" w:cs="Times New Roman"/>
          <w:b/>
          <w:bCs/>
          <w:szCs w:val="24"/>
        </w:rPr>
        <w:t>Panse</w:t>
      </w:r>
      <w:proofErr w:type="spellEnd"/>
      <w:r w:rsidRPr="000E0285">
        <w:rPr>
          <w:rFonts w:ascii="Times New Roman" w:hAnsi="Times New Roman" w:cs="Times New Roman"/>
          <w:b/>
          <w:bCs/>
          <w:szCs w:val="24"/>
        </w:rPr>
        <w:t xml:space="preserve"> and </w:t>
      </w:r>
      <w:proofErr w:type="spellStart"/>
      <w:r w:rsidRPr="000E0285">
        <w:rPr>
          <w:rFonts w:ascii="Times New Roman" w:hAnsi="Times New Roman" w:cs="Times New Roman"/>
          <w:b/>
          <w:bCs/>
          <w:szCs w:val="24"/>
        </w:rPr>
        <w:t>Sukhatme</w:t>
      </w:r>
      <w:proofErr w:type="spellEnd"/>
      <w:r w:rsidRPr="000E0285">
        <w:rPr>
          <w:rFonts w:ascii="Times New Roman" w:hAnsi="Times New Roman" w:cs="Times New Roman"/>
          <w:b/>
          <w:bCs/>
          <w:szCs w:val="24"/>
        </w:rPr>
        <w:t xml:space="preserve"> (1985)</w:t>
      </w:r>
      <w:r w:rsidRPr="000E0285">
        <w:rPr>
          <w:rFonts w:ascii="Times New Roman" w:hAnsi="Times New Roman" w:cs="Times New Roman"/>
          <w:szCs w:val="24"/>
        </w:rPr>
        <w:t>. The significance of treatment effects was tested at 5% probability level (P = 0.05).</w:t>
      </w:r>
    </w:p>
    <w:p w14:paraId="101E997E" w14:textId="1456B388" w:rsidR="007D174C" w:rsidRPr="000E0285" w:rsidRDefault="007D174C" w:rsidP="00D03D50">
      <w:pPr>
        <w:spacing w:line="360" w:lineRule="auto"/>
        <w:jc w:val="both"/>
        <w:rPr>
          <w:rFonts w:ascii="Times New Roman" w:hAnsi="Times New Roman" w:cs="Times New Roman"/>
          <w:szCs w:val="24"/>
        </w:rPr>
      </w:pPr>
      <w:r w:rsidRPr="000E0285">
        <w:rPr>
          <w:rFonts w:ascii="Times New Roman" w:hAnsi="Times New Roman" w:cs="Times New Roman"/>
          <w:szCs w:val="24"/>
        </w:rPr>
        <w:t>Pooled analysis over the two years was carried out to assess the consistency of treatment performance across environments. When the F-test was found significant, the Critical Difference (CD) at 5% level was calculated to compare treatment means. All statistical computations were performed using standard statistical software packages such as OPSTAT (developed by CCSHAU, Hisar), ensuring accuracy and reliability of results.</w:t>
      </w:r>
      <w:r w:rsidR="00D03D50" w:rsidRPr="000E0285">
        <w:rPr>
          <w:rFonts w:ascii="Times New Roman" w:hAnsi="Times New Roman" w:cs="Times New Roman"/>
          <w:szCs w:val="24"/>
        </w:rPr>
        <w:t xml:space="preserve"> </w:t>
      </w:r>
      <w:r w:rsidRPr="000E0285">
        <w:rPr>
          <w:rFonts w:ascii="Times New Roman" w:hAnsi="Times New Roman" w:cs="Times New Roman"/>
          <w:szCs w:val="24"/>
        </w:rPr>
        <w:t>Coefficient of variation (CV%) was also computed to determine the precision of the experiment. Graphical representations and comparative charts were prepared to illustrate the treatment effects on various traits</w:t>
      </w:r>
    </w:p>
    <w:p w14:paraId="02DAFE71" w14:textId="2D9F3005" w:rsidR="00724412" w:rsidRPr="000E0285" w:rsidRDefault="00724412" w:rsidP="000E0285">
      <w:pPr>
        <w:spacing w:line="360" w:lineRule="auto"/>
        <w:rPr>
          <w:rFonts w:ascii="Times New Roman" w:hAnsi="Times New Roman" w:cs="Times New Roman"/>
          <w:b/>
          <w:bCs/>
          <w:szCs w:val="24"/>
        </w:rPr>
      </w:pPr>
      <w:r w:rsidRPr="000E0285">
        <w:rPr>
          <w:rFonts w:ascii="Times New Roman" w:hAnsi="Times New Roman" w:cs="Times New Roman"/>
          <w:b/>
          <w:bCs/>
          <w:szCs w:val="24"/>
        </w:rPr>
        <w:t>RESULTS</w:t>
      </w:r>
      <w:r w:rsidR="001803EE">
        <w:rPr>
          <w:rFonts w:ascii="Times New Roman" w:hAnsi="Times New Roman" w:cs="Times New Roman"/>
          <w:b/>
          <w:bCs/>
          <w:szCs w:val="24"/>
        </w:rPr>
        <w:t xml:space="preserve"> AND DISCUSSION</w:t>
      </w:r>
    </w:p>
    <w:p w14:paraId="6E15A2CE" w14:textId="242BE84B" w:rsidR="000E0285" w:rsidRPr="000E0285" w:rsidRDefault="00DA0000" w:rsidP="00AA0670">
      <w:pPr>
        <w:spacing w:line="360" w:lineRule="auto"/>
        <w:jc w:val="both"/>
        <w:rPr>
          <w:rFonts w:ascii="Times New Roman" w:hAnsi="Times New Roman" w:cs="Times New Roman"/>
          <w:szCs w:val="24"/>
        </w:rPr>
      </w:pPr>
      <w:r w:rsidRPr="000E0285">
        <w:rPr>
          <w:rFonts w:ascii="Times New Roman" w:hAnsi="Times New Roman" w:cs="Times New Roman"/>
          <w:szCs w:val="24"/>
        </w:rPr>
        <w:t>The research evaluated the response of field pea growth parameters to foliar application of different chemicals</w:t>
      </w:r>
      <w:r w:rsidR="007D61D9" w:rsidRPr="000E0285">
        <w:rPr>
          <w:rFonts w:ascii="Times New Roman" w:hAnsi="Times New Roman" w:cs="Times New Roman"/>
          <w:szCs w:val="24"/>
        </w:rPr>
        <w:t>,</w:t>
      </w:r>
      <w:r w:rsidR="00B728DF" w:rsidRPr="000E0285">
        <w:rPr>
          <w:rFonts w:ascii="Times New Roman" w:hAnsi="Times New Roman" w:cs="Times New Roman"/>
          <w:szCs w:val="24"/>
        </w:rPr>
        <w:t xml:space="preserve"> </w:t>
      </w:r>
      <w:r w:rsidRPr="000E0285">
        <w:rPr>
          <w:rFonts w:ascii="Times New Roman" w:hAnsi="Times New Roman" w:cs="Times New Roman"/>
          <w:szCs w:val="24"/>
        </w:rPr>
        <w:t>under heat stress condition</w:t>
      </w:r>
      <w:r w:rsidR="00DC78B0" w:rsidRPr="000E0285">
        <w:rPr>
          <w:rFonts w:ascii="Times New Roman" w:hAnsi="Times New Roman" w:cs="Times New Roman"/>
          <w:szCs w:val="24"/>
        </w:rPr>
        <w:t xml:space="preserve">. The analysis results are presented in Table </w:t>
      </w:r>
      <w:r w:rsidR="009D286F">
        <w:rPr>
          <w:rFonts w:ascii="Times New Roman" w:hAnsi="Times New Roman" w:cs="Times New Roman"/>
          <w:szCs w:val="24"/>
        </w:rPr>
        <w:t>2</w:t>
      </w:r>
      <w:r w:rsidR="00DC78B0" w:rsidRPr="000E0285">
        <w:rPr>
          <w:rFonts w:ascii="Times New Roman" w:hAnsi="Times New Roman" w:cs="Times New Roman"/>
          <w:szCs w:val="24"/>
        </w:rPr>
        <w:t>. And Fig. 1</w:t>
      </w:r>
      <w:r w:rsidR="00335A78" w:rsidRPr="000E0285">
        <w:rPr>
          <w:rFonts w:ascii="Times New Roman" w:hAnsi="Times New Roman" w:cs="Times New Roman"/>
          <w:szCs w:val="24"/>
        </w:rPr>
        <w:t xml:space="preserve">. The treatments had a significant effect on the field emergence of field pea. it was observed that in 2023.24, treatment </w:t>
      </w:r>
      <w:r w:rsidR="00550007" w:rsidRPr="000E0285">
        <w:rPr>
          <w:rFonts w:ascii="Times New Roman" w:hAnsi="Times New Roman" w:cs="Times New Roman"/>
          <w:szCs w:val="24"/>
        </w:rPr>
        <w:t>T</w:t>
      </w:r>
      <w:r w:rsidR="00550007" w:rsidRPr="000E0285">
        <w:rPr>
          <w:rFonts w:ascii="Times New Roman" w:hAnsi="Times New Roman" w:cs="Times New Roman"/>
          <w:szCs w:val="24"/>
          <w:vertAlign w:val="subscript"/>
        </w:rPr>
        <w:t>4</w:t>
      </w:r>
      <w:r w:rsidR="00550007" w:rsidRPr="000E0285">
        <w:rPr>
          <w:rFonts w:ascii="Times New Roman" w:hAnsi="Times New Roman" w:cs="Times New Roman"/>
          <w:szCs w:val="24"/>
        </w:rPr>
        <w:t>-</w:t>
      </w:r>
      <w:r w:rsidR="00B728DF" w:rsidRPr="000E0285">
        <w:rPr>
          <w:rFonts w:ascii="Times New Roman" w:hAnsi="Times New Roman" w:cs="Times New Roman"/>
          <w:szCs w:val="24"/>
        </w:rPr>
        <w:t xml:space="preserve"> </w:t>
      </w:r>
      <w:r w:rsidR="007D61D9" w:rsidRPr="000E0285">
        <w:rPr>
          <w:rFonts w:ascii="Times New Roman" w:hAnsi="Times New Roman" w:cs="Times New Roman"/>
          <w:szCs w:val="24"/>
        </w:rPr>
        <w:t>Salicylic acid 400ppm at both vegetative and anthesis stage (84.00) performed significantly superior to all the other treatments followed by T</w:t>
      </w:r>
      <w:r w:rsidR="007D61D9" w:rsidRPr="000E0285">
        <w:rPr>
          <w:rFonts w:ascii="Times New Roman" w:hAnsi="Times New Roman" w:cs="Times New Roman"/>
          <w:szCs w:val="24"/>
          <w:vertAlign w:val="subscript"/>
        </w:rPr>
        <w:t>2</w:t>
      </w:r>
      <w:r w:rsidR="007D61D9" w:rsidRPr="000E0285">
        <w:rPr>
          <w:rFonts w:ascii="Times New Roman" w:hAnsi="Times New Roman" w:cs="Times New Roman"/>
          <w:szCs w:val="24"/>
        </w:rPr>
        <w:t>- Thiourea 400ppm at both vegetative and anthesis stage (82.00), T</w:t>
      </w:r>
      <w:r w:rsidR="007D61D9" w:rsidRPr="000E0285">
        <w:rPr>
          <w:rFonts w:ascii="Times New Roman" w:hAnsi="Times New Roman" w:cs="Times New Roman"/>
          <w:szCs w:val="24"/>
          <w:vertAlign w:val="subscript"/>
        </w:rPr>
        <w:t>3</w:t>
      </w:r>
      <w:r w:rsidR="007D61D9" w:rsidRPr="000E0285">
        <w:rPr>
          <w:rFonts w:ascii="Times New Roman" w:hAnsi="Times New Roman" w:cs="Times New Roman"/>
          <w:szCs w:val="24"/>
        </w:rPr>
        <w:t>- Thiourea 800ppm at both vegetative and anthesis stage</w:t>
      </w:r>
      <w:r w:rsidR="005E5F2F" w:rsidRPr="000E0285">
        <w:rPr>
          <w:rFonts w:ascii="Times New Roman" w:hAnsi="Times New Roman" w:cs="Times New Roman"/>
          <w:szCs w:val="24"/>
        </w:rPr>
        <w:t xml:space="preserve"> (80.67)</w:t>
      </w:r>
      <w:r w:rsidR="007D61D9" w:rsidRPr="000E0285">
        <w:rPr>
          <w:rFonts w:ascii="Times New Roman" w:hAnsi="Times New Roman" w:cs="Times New Roman"/>
          <w:szCs w:val="24"/>
        </w:rPr>
        <w:t>. However, the lowest field emergence was recorded for the T</w:t>
      </w:r>
      <w:r w:rsidR="007D61D9" w:rsidRPr="000E0285">
        <w:rPr>
          <w:rFonts w:ascii="Times New Roman" w:hAnsi="Times New Roman" w:cs="Times New Roman"/>
          <w:szCs w:val="24"/>
          <w:vertAlign w:val="subscript"/>
        </w:rPr>
        <w:t>1</w:t>
      </w:r>
      <w:r w:rsidR="007D61D9" w:rsidRPr="000E0285">
        <w:rPr>
          <w:rFonts w:ascii="Times New Roman" w:hAnsi="Times New Roman" w:cs="Times New Roman"/>
          <w:szCs w:val="24"/>
        </w:rPr>
        <w:t xml:space="preserve"> (Control) (64.67).</w:t>
      </w:r>
      <w:r w:rsidR="00B728DF" w:rsidRPr="000E0285">
        <w:rPr>
          <w:rFonts w:ascii="Times New Roman" w:hAnsi="Times New Roman" w:cs="Times New Roman"/>
          <w:szCs w:val="24"/>
        </w:rPr>
        <w:t xml:space="preserve"> The treatments had a significant effect on the field emergence of field pea during 2024-25. T</w:t>
      </w:r>
      <w:r w:rsidR="00B728DF" w:rsidRPr="000E0285">
        <w:rPr>
          <w:rFonts w:ascii="Times New Roman" w:hAnsi="Times New Roman" w:cs="Times New Roman"/>
          <w:szCs w:val="24"/>
          <w:vertAlign w:val="subscript"/>
        </w:rPr>
        <w:t>4</w:t>
      </w:r>
      <w:r w:rsidR="00B728DF" w:rsidRPr="000E0285">
        <w:rPr>
          <w:rFonts w:ascii="Times New Roman" w:hAnsi="Times New Roman" w:cs="Times New Roman"/>
          <w:szCs w:val="24"/>
        </w:rPr>
        <w:t xml:space="preserve">- Salicylic acid @ 400ppm at both vegetative and anthesis stage (84.67) was observed to have the highest field emergence, followed by </w:t>
      </w:r>
      <w:r w:rsidR="005E5F2F" w:rsidRPr="000E0285">
        <w:rPr>
          <w:rFonts w:ascii="Times New Roman" w:hAnsi="Times New Roman" w:cs="Times New Roman"/>
          <w:szCs w:val="24"/>
        </w:rPr>
        <w:t>T</w:t>
      </w:r>
      <w:r w:rsidR="005E5F2F" w:rsidRPr="000E0285">
        <w:rPr>
          <w:rFonts w:ascii="Times New Roman" w:hAnsi="Times New Roman" w:cs="Times New Roman"/>
          <w:szCs w:val="24"/>
          <w:vertAlign w:val="subscript"/>
        </w:rPr>
        <w:t>2</w:t>
      </w:r>
      <w:r w:rsidR="005E5F2F" w:rsidRPr="000E0285">
        <w:rPr>
          <w:rFonts w:ascii="Times New Roman" w:hAnsi="Times New Roman" w:cs="Times New Roman"/>
          <w:szCs w:val="24"/>
        </w:rPr>
        <w:t>- Thiourea@ 400ppm at both vegetative and anthesis stage (83.67), T</w:t>
      </w:r>
      <w:r w:rsidR="005E5F2F" w:rsidRPr="000E0285">
        <w:rPr>
          <w:rFonts w:ascii="Times New Roman" w:hAnsi="Times New Roman" w:cs="Times New Roman"/>
          <w:szCs w:val="24"/>
          <w:vertAlign w:val="subscript"/>
        </w:rPr>
        <w:t>3</w:t>
      </w:r>
      <w:r w:rsidR="005E5F2F" w:rsidRPr="000E0285">
        <w:rPr>
          <w:rFonts w:ascii="Times New Roman" w:hAnsi="Times New Roman" w:cs="Times New Roman"/>
          <w:szCs w:val="24"/>
        </w:rPr>
        <w:t>- Thiourea 800ppm at both vegetative and anthesis stage (83.00). However, the T</w:t>
      </w:r>
      <w:r w:rsidR="005E5F2F" w:rsidRPr="000E0285">
        <w:rPr>
          <w:rFonts w:ascii="Times New Roman" w:hAnsi="Times New Roman" w:cs="Times New Roman"/>
          <w:szCs w:val="24"/>
          <w:vertAlign w:val="subscript"/>
        </w:rPr>
        <w:t>1</w:t>
      </w:r>
      <w:r w:rsidR="005E5F2F" w:rsidRPr="000E0285">
        <w:rPr>
          <w:rFonts w:ascii="Times New Roman" w:hAnsi="Times New Roman" w:cs="Times New Roman"/>
          <w:szCs w:val="24"/>
        </w:rPr>
        <w:t xml:space="preserve"> (Control) (67.00) had the lowest emergence in 2024-25. </w:t>
      </w:r>
      <w:r w:rsidR="00AA0B70" w:rsidRPr="000E0285">
        <w:rPr>
          <w:rFonts w:ascii="Times New Roman" w:hAnsi="Times New Roman" w:cs="Times New Roman"/>
          <w:szCs w:val="24"/>
        </w:rPr>
        <w:t xml:space="preserve">The </w:t>
      </w:r>
      <w:r w:rsidR="005E5F2F" w:rsidRPr="000E0285">
        <w:rPr>
          <w:rFonts w:ascii="Times New Roman" w:hAnsi="Times New Roman" w:cs="Times New Roman"/>
          <w:szCs w:val="24"/>
        </w:rPr>
        <w:t>pooled</w:t>
      </w:r>
      <w:r w:rsidR="00AA0B70" w:rsidRPr="000E0285">
        <w:rPr>
          <w:rFonts w:ascii="Times New Roman" w:hAnsi="Times New Roman" w:cs="Times New Roman"/>
          <w:szCs w:val="24"/>
        </w:rPr>
        <w:t xml:space="preserve"> analysis for both the years of observation </w:t>
      </w:r>
      <w:r w:rsidR="005E5F2F" w:rsidRPr="000E0285">
        <w:rPr>
          <w:rFonts w:ascii="Times New Roman" w:hAnsi="Times New Roman" w:cs="Times New Roman"/>
          <w:szCs w:val="24"/>
        </w:rPr>
        <w:t>showed that T</w:t>
      </w:r>
      <w:r w:rsidR="005E5F2F" w:rsidRPr="000E0285">
        <w:rPr>
          <w:rFonts w:ascii="Times New Roman" w:hAnsi="Times New Roman" w:cs="Times New Roman"/>
          <w:szCs w:val="24"/>
          <w:vertAlign w:val="subscript"/>
        </w:rPr>
        <w:t>4</w:t>
      </w:r>
      <w:r w:rsidR="005E5F2F" w:rsidRPr="000E0285">
        <w:rPr>
          <w:rFonts w:ascii="Times New Roman" w:hAnsi="Times New Roman" w:cs="Times New Roman"/>
          <w:szCs w:val="24"/>
        </w:rPr>
        <w:t>- Salicylic acid @ 400ppm at both vegetative and anthesis stage (84.33) performed</w:t>
      </w:r>
      <w:r w:rsidR="00245356" w:rsidRPr="000E0285">
        <w:rPr>
          <w:rFonts w:ascii="Times New Roman" w:hAnsi="Times New Roman" w:cs="Times New Roman"/>
          <w:szCs w:val="24"/>
        </w:rPr>
        <w:t xml:space="preserve"> significantly superior to all the treatments, followed by T</w:t>
      </w:r>
      <w:r w:rsidR="00245356" w:rsidRPr="000E0285">
        <w:rPr>
          <w:rFonts w:ascii="Times New Roman" w:hAnsi="Times New Roman" w:cs="Times New Roman"/>
          <w:szCs w:val="24"/>
          <w:vertAlign w:val="subscript"/>
        </w:rPr>
        <w:t>2</w:t>
      </w:r>
      <w:r w:rsidR="00245356" w:rsidRPr="000E0285">
        <w:rPr>
          <w:rFonts w:ascii="Times New Roman" w:hAnsi="Times New Roman" w:cs="Times New Roman"/>
          <w:szCs w:val="24"/>
        </w:rPr>
        <w:t xml:space="preserve">- Thiourea 400ppm at both vegetative and anthesis stage (82.83), </w:t>
      </w:r>
      <w:r w:rsidR="00AA0B70" w:rsidRPr="000E0285">
        <w:rPr>
          <w:rFonts w:ascii="Times New Roman" w:hAnsi="Times New Roman" w:cs="Times New Roman"/>
          <w:szCs w:val="24"/>
        </w:rPr>
        <w:t>T</w:t>
      </w:r>
      <w:r w:rsidR="00AA0B70" w:rsidRPr="000E0285">
        <w:rPr>
          <w:rFonts w:ascii="Times New Roman" w:hAnsi="Times New Roman" w:cs="Times New Roman"/>
          <w:szCs w:val="24"/>
          <w:vertAlign w:val="subscript"/>
        </w:rPr>
        <w:t>3</w:t>
      </w:r>
      <w:r w:rsidR="00AA0B70" w:rsidRPr="000E0285">
        <w:rPr>
          <w:rFonts w:ascii="Times New Roman" w:hAnsi="Times New Roman" w:cs="Times New Roman"/>
          <w:szCs w:val="24"/>
        </w:rPr>
        <w:t>- Thiourea 800ppm at both vegetative and anthesis stage (81.83).</w:t>
      </w:r>
      <w:r w:rsidR="007A5B92" w:rsidRPr="000E0285">
        <w:rPr>
          <w:rFonts w:ascii="Times New Roman" w:hAnsi="Times New Roman" w:cs="Times New Roman"/>
          <w:szCs w:val="24"/>
        </w:rPr>
        <w:t xml:space="preserve"> </w:t>
      </w:r>
      <w:r w:rsidR="000E0285" w:rsidRPr="000E0285">
        <w:rPr>
          <w:rFonts w:ascii="Times New Roman" w:hAnsi="Times New Roman" w:cs="Times New Roman"/>
          <w:szCs w:val="24"/>
        </w:rPr>
        <w:t>However,</w:t>
      </w:r>
      <w:r w:rsidR="00EA0D53" w:rsidRPr="000E0285">
        <w:rPr>
          <w:rFonts w:ascii="Times New Roman" w:hAnsi="Times New Roman" w:cs="Times New Roman"/>
          <w:szCs w:val="24"/>
        </w:rPr>
        <w:t xml:space="preserve"> </w:t>
      </w:r>
      <w:r w:rsidR="00AA0B70" w:rsidRPr="000E0285">
        <w:rPr>
          <w:rFonts w:ascii="Times New Roman" w:hAnsi="Times New Roman" w:cs="Times New Roman"/>
          <w:szCs w:val="24"/>
        </w:rPr>
        <w:t>the lowest emergence was reported in Control</w:t>
      </w:r>
      <w:r w:rsidR="000E0285" w:rsidRPr="000E0285">
        <w:rPr>
          <w:rFonts w:ascii="Times New Roman" w:hAnsi="Times New Roman" w:cs="Times New Roman"/>
          <w:szCs w:val="24"/>
        </w:rPr>
        <w:t>,</w:t>
      </w:r>
      <w:r w:rsidR="00AA0B70" w:rsidRPr="000E0285">
        <w:rPr>
          <w:rFonts w:ascii="Times New Roman" w:hAnsi="Times New Roman" w:cs="Times New Roman"/>
          <w:szCs w:val="24"/>
        </w:rPr>
        <w:t xml:space="preserve"> (65.83). </w:t>
      </w:r>
      <w:r w:rsidR="000E0285" w:rsidRPr="000E0285">
        <w:rPr>
          <w:rFonts w:ascii="Times New Roman" w:hAnsi="Times New Roman" w:cs="Times New Roman"/>
          <w:szCs w:val="24"/>
        </w:rPr>
        <w:t>T</w:t>
      </w:r>
      <w:r w:rsidR="00AA0B70" w:rsidRPr="000E0285">
        <w:rPr>
          <w:rFonts w:ascii="Times New Roman" w:hAnsi="Times New Roman" w:cs="Times New Roman"/>
          <w:szCs w:val="24"/>
        </w:rPr>
        <w:t>he above finding</w:t>
      </w:r>
      <w:r w:rsidR="000E0285" w:rsidRPr="000E0285">
        <w:rPr>
          <w:rFonts w:ascii="Times New Roman" w:hAnsi="Times New Roman" w:cs="Times New Roman"/>
          <w:szCs w:val="24"/>
        </w:rPr>
        <w:t xml:space="preserve"> is </w:t>
      </w:r>
      <w:r w:rsidR="00AA0B70" w:rsidRPr="000E0285">
        <w:rPr>
          <w:rFonts w:ascii="Times New Roman" w:hAnsi="Times New Roman" w:cs="Times New Roman"/>
          <w:szCs w:val="24"/>
        </w:rPr>
        <w:t>supported by</w:t>
      </w:r>
      <w:r w:rsidR="00F60DE4" w:rsidRPr="000E0285">
        <w:rPr>
          <w:rFonts w:ascii="Times New Roman" w:hAnsi="Times New Roman" w:cs="Times New Roman"/>
          <w:szCs w:val="24"/>
        </w:rPr>
        <w:t xml:space="preserve"> Anjum and Wahid (2011), who found that the Foliar application of thiourea significantly improved field </w:t>
      </w:r>
      <w:r w:rsidR="00F60DE4" w:rsidRPr="000E0285">
        <w:rPr>
          <w:rFonts w:ascii="Times New Roman" w:hAnsi="Times New Roman" w:cs="Times New Roman"/>
          <w:szCs w:val="24"/>
        </w:rPr>
        <w:lastRenderedPageBreak/>
        <w:t xml:space="preserve">emergence traits in bread wheat by enhancing seedling growth, shoot and root length, and overall </w:t>
      </w:r>
      <w:proofErr w:type="spellStart"/>
      <w:r w:rsidR="00F60DE4" w:rsidRPr="000E0285">
        <w:rPr>
          <w:rFonts w:ascii="Times New Roman" w:hAnsi="Times New Roman" w:cs="Times New Roman"/>
          <w:szCs w:val="24"/>
        </w:rPr>
        <w:t>vigor</w:t>
      </w:r>
      <w:proofErr w:type="spellEnd"/>
      <w:r w:rsidR="00F60DE4" w:rsidRPr="000E0285">
        <w:rPr>
          <w:rFonts w:ascii="Times New Roman" w:hAnsi="Times New Roman" w:cs="Times New Roman"/>
          <w:szCs w:val="24"/>
        </w:rPr>
        <w:t>. This improvement contributed to better establishment under salinity and high temperature stress conditions.</w:t>
      </w:r>
    </w:p>
    <w:p w14:paraId="649F09B8" w14:textId="531AA35B" w:rsidR="00DB1A37" w:rsidRPr="000E0285" w:rsidRDefault="00EF7894" w:rsidP="00AA0670">
      <w:pPr>
        <w:spacing w:line="360" w:lineRule="auto"/>
        <w:jc w:val="both"/>
        <w:rPr>
          <w:rFonts w:ascii="Times New Roman" w:hAnsi="Times New Roman" w:cs="Times New Roman"/>
          <w:szCs w:val="24"/>
        </w:rPr>
        <w:sectPr w:rsidR="00DB1A37" w:rsidRPr="000E0285" w:rsidSect="00242C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0E0285">
        <w:rPr>
          <w:rFonts w:ascii="Times New Roman" w:hAnsi="Times New Roman" w:cs="Times New Roman"/>
          <w:szCs w:val="24"/>
        </w:rPr>
        <w:t xml:space="preserve">The data in Table </w:t>
      </w:r>
      <w:r w:rsidR="009D286F">
        <w:rPr>
          <w:rFonts w:ascii="Times New Roman" w:hAnsi="Times New Roman" w:cs="Times New Roman"/>
          <w:szCs w:val="24"/>
        </w:rPr>
        <w:t>2</w:t>
      </w:r>
      <w:r w:rsidRPr="000E0285">
        <w:rPr>
          <w:rFonts w:ascii="Times New Roman" w:hAnsi="Times New Roman" w:cs="Times New Roman"/>
          <w:szCs w:val="24"/>
        </w:rPr>
        <w:t xml:space="preserve"> and Fig</w:t>
      </w:r>
      <w:r w:rsidR="000E0285" w:rsidRPr="000E0285">
        <w:rPr>
          <w:rFonts w:ascii="Times New Roman" w:hAnsi="Times New Roman" w:cs="Times New Roman"/>
          <w:szCs w:val="24"/>
        </w:rPr>
        <w:t>.</w:t>
      </w:r>
      <w:r w:rsidR="007E77BE" w:rsidRPr="000E0285">
        <w:rPr>
          <w:rFonts w:ascii="Times New Roman" w:hAnsi="Times New Roman" w:cs="Times New Roman"/>
          <w:szCs w:val="24"/>
        </w:rPr>
        <w:t xml:space="preserve"> </w:t>
      </w:r>
      <w:r w:rsidR="000E0285" w:rsidRPr="000E0285">
        <w:rPr>
          <w:rFonts w:ascii="Times New Roman" w:hAnsi="Times New Roman" w:cs="Times New Roman"/>
          <w:szCs w:val="24"/>
        </w:rPr>
        <w:t>2 shows</w:t>
      </w:r>
      <w:r w:rsidRPr="000E0285">
        <w:rPr>
          <w:rFonts w:ascii="Times New Roman" w:hAnsi="Times New Roman" w:cs="Times New Roman"/>
          <w:szCs w:val="24"/>
        </w:rPr>
        <w:t xml:space="preserve"> that the treatments had a significant effect on plant height.</w:t>
      </w:r>
      <w:r w:rsidR="007E77BE" w:rsidRPr="000E0285">
        <w:rPr>
          <w:rFonts w:ascii="Times New Roman" w:hAnsi="Times New Roman" w:cs="Times New Roman"/>
          <w:szCs w:val="24"/>
        </w:rPr>
        <w:t xml:space="preserve"> The highest height was found in T</w:t>
      </w:r>
      <w:r w:rsidR="007E77BE" w:rsidRPr="000E0285">
        <w:rPr>
          <w:rFonts w:ascii="Times New Roman" w:hAnsi="Times New Roman" w:cs="Times New Roman"/>
          <w:szCs w:val="24"/>
          <w:vertAlign w:val="subscript"/>
        </w:rPr>
        <w:t>4</w:t>
      </w:r>
      <w:r w:rsidR="007E77BE" w:rsidRPr="000E0285">
        <w:rPr>
          <w:rFonts w:ascii="Times New Roman" w:hAnsi="Times New Roman" w:cs="Times New Roman"/>
          <w:szCs w:val="24"/>
        </w:rPr>
        <w:t>- Salicylic acid @ 400ppm at both vegetative and anthesis stage (85.48), significantly superior to all the other treatments, followed by T</w:t>
      </w:r>
      <w:r w:rsidR="007E77BE" w:rsidRPr="000E0285">
        <w:rPr>
          <w:rFonts w:ascii="Times New Roman" w:hAnsi="Times New Roman" w:cs="Times New Roman"/>
          <w:szCs w:val="24"/>
          <w:vertAlign w:val="subscript"/>
        </w:rPr>
        <w:t>2</w:t>
      </w:r>
      <w:r w:rsidR="007E77BE" w:rsidRPr="000E0285">
        <w:rPr>
          <w:rFonts w:ascii="Times New Roman" w:hAnsi="Times New Roman" w:cs="Times New Roman"/>
          <w:szCs w:val="24"/>
        </w:rPr>
        <w:t>- Thiourea 400ppm at both vegetative and anthesis stage (84.97), T</w:t>
      </w:r>
      <w:r w:rsidR="007E77BE" w:rsidRPr="000E0285">
        <w:rPr>
          <w:rFonts w:ascii="Times New Roman" w:hAnsi="Times New Roman" w:cs="Times New Roman"/>
          <w:szCs w:val="24"/>
          <w:vertAlign w:val="subscript"/>
        </w:rPr>
        <w:t>3</w:t>
      </w:r>
      <w:r w:rsidR="007E77BE" w:rsidRPr="000E0285">
        <w:rPr>
          <w:rFonts w:ascii="Times New Roman" w:hAnsi="Times New Roman" w:cs="Times New Roman"/>
          <w:szCs w:val="24"/>
        </w:rPr>
        <w:t xml:space="preserve">- Thiourea @800ppm at both vegetative and anthesis stage (84.32). However, the minimum height (cm) was observed in </w:t>
      </w:r>
      <w:r w:rsidR="003A2EC6" w:rsidRPr="000E0285">
        <w:rPr>
          <w:rFonts w:ascii="Times New Roman" w:hAnsi="Times New Roman" w:cs="Times New Roman"/>
          <w:szCs w:val="24"/>
        </w:rPr>
        <w:t>T1 (Control) (73.23) during 2023-24. In 2024-25, it was observed that the T</w:t>
      </w:r>
      <w:r w:rsidR="003A2EC6" w:rsidRPr="000E0285">
        <w:rPr>
          <w:rFonts w:ascii="Times New Roman" w:hAnsi="Times New Roman" w:cs="Times New Roman"/>
          <w:szCs w:val="24"/>
          <w:vertAlign w:val="subscript"/>
        </w:rPr>
        <w:t>4</w:t>
      </w:r>
      <w:r w:rsidR="003A2EC6" w:rsidRPr="000E0285">
        <w:rPr>
          <w:rFonts w:ascii="Times New Roman" w:hAnsi="Times New Roman" w:cs="Times New Roman"/>
          <w:szCs w:val="24"/>
        </w:rPr>
        <w:t>- Salicylic acid @ 400ppm at both vegetative and anthesis stage (84.82) was significantly superior to all other treatments, followed by T</w:t>
      </w:r>
      <w:r w:rsidR="003A2EC6" w:rsidRPr="000E0285">
        <w:rPr>
          <w:rFonts w:ascii="Times New Roman" w:hAnsi="Times New Roman" w:cs="Times New Roman"/>
          <w:szCs w:val="24"/>
          <w:vertAlign w:val="subscript"/>
        </w:rPr>
        <w:t>2</w:t>
      </w:r>
      <w:r w:rsidR="003A2EC6" w:rsidRPr="000E0285">
        <w:rPr>
          <w:rFonts w:ascii="Times New Roman" w:hAnsi="Times New Roman" w:cs="Times New Roman"/>
          <w:szCs w:val="24"/>
        </w:rPr>
        <w:t>- Thiourea @ 400ppm at both vegetative and anthesis stage (83.51), T</w:t>
      </w:r>
      <w:r w:rsidR="003A2EC6" w:rsidRPr="000E0285">
        <w:rPr>
          <w:rFonts w:ascii="Times New Roman" w:hAnsi="Times New Roman" w:cs="Times New Roman"/>
          <w:szCs w:val="24"/>
          <w:vertAlign w:val="subscript"/>
        </w:rPr>
        <w:t>3</w:t>
      </w:r>
      <w:r w:rsidR="003A2EC6" w:rsidRPr="000E0285">
        <w:rPr>
          <w:rFonts w:ascii="Times New Roman" w:hAnsi="Times New Roman" w:cs="Times New Roman"/>
          <w:szCs w:val="24"/>
        </w:rPr>
        <w:t xml:space="preserve">- Thiourea @ 800ppm at both vegetative and anthesis stage (82.98). However, the minimum </w:t>
      </w:r>
      <w:r w:rsidR="002B3356" w:rsidRPr="000E0285">
        <w:rPr>
          <w:rFonts w:ascii="Times New Roman" w:hAnsi="Times New Roman" w:cs="Times New Roman"/>
          <w:szCs w:val="24"/>
        </w:rPr>
        <w:t xml:space="preserve">plant </w:t>
      </w:r>
      <w:r w:rsidR="003A2EC6" w:rsidRPr="000E0285">
        <w:rPr>
          <w:rFonts w:ascii="Times New Roman" w:hAnsi="Times New Roman" w:cs="Times New Roman"/>
          <w:szCs w:val="24"/>
        </w:rPr>
        <w:t>height</w:t>
      </w:r>
      <w:r w:rsidR="002B3356" w:rsidRPr="000E0285">
        <w:rPr>
          <w:rFonts w:ascii="Times New Roman" w:hAnsi="Times New Roman" w:cs="Times New Roman"/>
          <w:szCs w:val="24"/>
        </w:rPr>
        <w:t xml:space="preserve"> (cm) was observed in T</w:t>
      </w:r>
      <w:r w:rsidR="002B3356" w:rsidRPr="000E0285">
        <w:rPr>
          <w:rFonts w:ascii="Times New Roman" w:hAnsi="Times New Roman" w:cs="Times New Roman"/>
          <w:szCs w:val="24"/>
          <w:vertAlign w:val="subscript"/>
        </w:rPr>
        <w:t>1</w:t>
      </w:r>
      <w:r w:rsidR="002B3356" w:rsidRPr="000E0285">
        <w:rPr>
          <w:rFonts w:ascii="Times New Roman" w:hAnsi="Times New Roman" w:cs="Times New Roman"/>
          <w:szCs w:val="24"/>
        </w:rPr>
        <w:t xml:space="preserve"> (Control) (73.77). </w:t>
      </w:r>
      <w:r w:rsidR="0043690B" w:rsidRPr="000E0285">
        <w:rPr>
          <w:rFonts w:ascii="Times New Roman" w:hAnsi="Times New Roman" w:cs="Times New Roman"/>
          <w:szCs w:val="24"/>
        </w:rPr>
        <w:t>The pooled analysis for both the years of observation showed</w:t>
      </w:r>
      <w:r w:rsidR="002B3356" w:rsidRPr="000E0285">
        <w:rPr>
          <w:rFonts w:ascii="Times New Roman" w:hAnsi="Times New Roman" w:cs="Times New Roman"/>
          <w:szCs w:val="24"/>
        </w:rPr>
        <w:t xml:space="preserve"> that highest plant height (cm) obtained in T4- Salicylic acid @ 400ppm at both vegetative and anthesis stage (8</w:t>
      </w:r>
      <w:r w:rsidR="0043690B" w:rsidRPr="000E0285">
        <w:rPr>
          <w:rFonts w:ascii="Times New Roman" w:hAnsi="Times New Roman" w:cs="Times New Roman"/>
          <w:szCs w:val="24"/>
        </w:rPr>
        <w:t>5</w:t>
      </w:r>
      <w:r w:rsidR="002B3356" w:rsidRPr="000E0285">
        <w:rPr>
          <w:rFonts w:ascii="Times New Roman" w:hAnsi="Times New Roman" w:cs="Times New Roman"/>
          <w:szCs w:val="24"/>
        </w:rPr>
        <w:t>.</w:t>
      </w:r>
      <w:r w:rsidR="0043690B" w:rsidRPr="000E0285">
        <w:rPr>
          <w:rFonts w:ascii="Times New Roman" w:hAnsi="Times New Roman" w:cs="Times New Roman"/>
          <w:szCs w:val="24"/>
        </w:rPr>
        <w:t>15</w:t>
      </w:r>
      <w:r w:rsidR="002B3356" w:rsidRPr="000E0285">
        <w:rPr>
          <w:rFonts w:ascii="Times New Roman" w:hAnsi="Times New Roman" w:cs="Times New Roman"/>
          <w:szCs w:val="24"/>
        </w:rPr>
        <w:t>)</w:t>
      </w:r>
      <w:r w:rsidR="0043690B" w:rsidRPr="000E0285">
        <w:rPr>
          <w:rFonts w:ascii="Times New Roman" w:hAnsi="Times New Roman" w:cs="Times New Roman"/>
          <w:szCs w:val="24"/>
        </w:rPr>
        <w:t xml:space="preserve"> was significantly superior to all the other treatments, followed by T</w:t>
      </w:r>
      <w:r w:rsidR="0043690B" w:rsidRPr="000E0285">
        <w:rPr>
          <w:rFonts w:ascii="Times New Roman" w:hAnsi="Times New Roman" w:cs="Times New Roman"/>
          <w:szCs w:val="24"/>
          <w:vertAlign w:val="subscript"/>
        </w:rPr>
        <w:t>2</w:t>
      </w:r>
      <w:r w:rsidR="0043690B" w:rsidRPr="000E0285">
        <w:rPr>
          <w:rFonts w:ascii="Times New Roman" w:hAnsi="Times New Roman" w:cs="Times New Roman"/>
          <w:szCs w:val="24"/>
        </w:rPr>
        <w:t>- Thiourea 400ppm at both vegetative and anthesis stage (84.24), T</w:t>
      </w:r>
      <w:r w:rsidR="0043690B" w:rsidRPr="000E0285">
        <w:rPr>
          <w:rFonts w:ascii="Times New Roman" w:hAnsi="Times New Roman" w:cs="Times New Roman"/>
          <w:szCs w:val="24"/>
          <w:vertAlign w:val="subscript"/>
        </w:rPr>
        <w:t>3</w:t>
      </w:r>
      <w:r w:rsidR="0043690B" w:rsidRPr="000E0285">
        <w:rPr>
          <w:rFonts w:ascii="Times New Roman" w:hAnsi="Times New Roman" w:cs="Times New Roman"/>
          <w:szCs w:val="24"/>
        </w:rPr>
        <w:t>- Thiourea @ 800ppm at both vegetative and anthesis stage (8</w:t>
      </w:r>
      <w:r w:rsidR="001175FD" w:rsidRPr="000E0285">
        <w:rPr>
          <w:rFonts w:ascii="Times New Roman" w:hAnsi="Times New Roman" w:cs="Times New Roman"/>
          <w:szCs w:val="24"/>
        </w:rPr>
        <w:t>3</w:t>
      </w:r>
      <w:r w:rsidR="0043690B" w:rsidRPr="000E0285">
        <w:rPr>
          <w:rFonts w:ascii="Times New Roman" w:hAnsi="Times New Roman" w:cs="Times New Roman"/>
          <w:szCs w:val="24"/>
        </w:rPr>
        <w:t>.</w:t>
      </w:r>
      <w:r w:rsidR="001175FD" w:rsidRPr="000E0285">
        <w:rPr>
          <w:rFonts w:ascii="Times New Roman" w:hAnsi="Times New Roman" w:cs="Times New Roman"/>
          <w:szCs w:val="24"/>
        </w:rPr>
        <w:t>65</w:t>
      </w:r>
      <w:r w:rsidR="0043690B" w:rsidRPr="000E0285">
        <w:rPr>
          <w:rFonts w:ascii="Times New Roman" w:hAnsi="Times New Roman" w:cs="Times New Roman"/>
          <w:szCs w:val="24"/>
        </w:rPr>
        <w:t>)</w:t>
      </w:r>
      <w:r w:rsidR="001175FD" w:rsidRPr="000E0285">
        <w:rPr>
          <w:rFonts w:ascii="Times New Roman" w:hAnsi="Times New Roman" w:cs="Times New Roman"/>
          <w:szCs w:val="24"/>
        </w:rPr>
        <w:t>. However, the lowest plant height (cm) was reported in the T</w:t>
      </w:r>
      <w:r w:rsidR="001175FD" w:rsidRPr="000E0285">
        <w:rPr>
          <w:rFonts w:ascii="Times New Roman" w:hAnsi="Times New Roman" w:cs="Times New Roman"/>
          <w:szCs w:val="24"/>
          <w:vertAlign w:val="subscript"/>
        </w:rPr>
        <w:t>1</w:t>
      </w:r>
      <w:r w:rsidR="0043690B" w:rsidRPr="000E0285">
        <w:rPr>
          <w:rFonts w:ascii="Times New Roman" w:hAnsi="Times New Roman" w:cs="Times New Roman"/>
          <w:szCs w:val="24"/>
        </w:rPr>
        <w:t xml:space="preserve"> </w:t>
      </w:r>
      <w:r w:rsidR="001175FD" w:rsidRPr="000E0285">
        <w:rPr>
          <w:rFonts w:ascii="Times New Roman" w:hAnsi="Times New Roman" w:cs="Times New Roman"/>
          <w:szCs w:val="24"/>
        </w:rPr>
        <w:t>Control (73.50)</w:t>
      </w:r>
      <w:r w:rsidR="00DB1A37" w:rsidRPr="000E0285">
        <w:rPr>
          <w:rFonts w:ascii="Times New Roman" w:hAnsi="Times New Roman" w:cs="Times New Roman"/>
          <w:szCs w:val="24"/>
        </w:rPr>
        <w:t>.</w:t>
      </w:r>
      <w:r w:rsidR="00936C35" w:rsidRPr="000E0285">
        <w:rPr>
          <w:rFonts w:ascii="Times New Roman" w:hAnsi="Times New Roman" w:cs="Times New Roman"/>
          <w:szCs w:val="24"/>
        </w:rPr>
        <w:t xml:space="preserve"> T</w:t>
      </w:r>
      <w:r w:rsidR="000E0285">
        <w:rPr>
          <w:rFonts w:ascii="Times New Roman" w:hAnsi="Times New Roman" w:cs="Times New Roman"/>
          <w:szCs w:val="24"/>
        </w:rPr>
        <w:t>he current recordings are in corroboration with the findings of</w:t>
      </w:r>
      <w:r w:rsidR="00936C35" w:rsidRPr="000E0285">
        <w:rPr>
          <w:rFonts w:ascii="Times New Roman" w:hAnsi="Times New Roman" w:cs="Times New Roman"/>
          <w:szCs w:val="24"/>
        </w:rPr>
        <w:t xml:space="preserve"> </w:t>
      </w:r>
      <w:r w:rsidR="000E0285">
        <w:rPr>
          <w:rFonts w:ascii="Times New Roman" w:hAnsi="Times New Roman" w:cs="Times New Roman"/>
          <w:b/>
          <w:bCs/>
          <w:szCs w:val="24"/>
        </w:rPr>
        <w:t>(</w:t>
      </w:r>
      <w:r w:rsidR="00936C35" w:rsidRPr="000E0285">
        <w:rPr>
          <w:rFonts w:ascii="Times New Roman" w:hAnsi="Times New Roman" w:cs="Times New Roman"/>
          <w:b/>
          <w:bCs/>
          <w:szCs w:val="24"/>
        </w:rPr>
        <w:t>Ali and Mahmoud</w:t>
      </w:r>
      <w:r w:rsidR="000E0285">
        <w:rPr>
          <w:rFonts w:ascii="Times New Roman" w:hAnsi="Times New Roman" w:cs="Times New Roman"/>
          <w:b/>
          <w:bCs/>
          <w:szCs w:val="24"/>
        </w:rPr>
        <w:t xml:space="preserve">, </w:t>
      </w:r>
      <w:r w:rsidR="00936C35" w:rsidRPr="000E0285">
        <w:rPr>
          <w:rFonts w:ascii="Times New Roman" w:hAnsi="Times New Roman" w:cs="Times New Roman"/>
          <w:b/>
          <w:bCs/>
          <w:szCs w:val="24"/>
        </w:rPr>
        <w:t>2013)</w:t>
      </w:r>
      <w:r w:rsidR="000E0285">
        <w:rPr>
          <w:rFonts w:ascii="Times New Roman" w:hAnsi="Times New Roman" w:cs="Times New Roman"/>
          <w:szCs w:val="24"/>
        </w:rPr>
        <w:t xml:space="preserve">, who </w:t>
      </w:r>
      <w:r w:rsidR="00936C35" w:rsidRPr="000E0285">
        <w:rPr>
          <w:rFonts w:ascii="Times New Roman" w:hAnsi="Times New Roman" w:cs="Times New Roman"/>
          <w:szCs w:val="24"/>
        </w:rPr>
        <w:t xml:space="preserve">found that foliar application of salicylic </w:t>
      </w:r>
      <w:r w:rsidR="000E0285">
        <w:rPr>
          <w:rFonts w:ascii="Times New Roman" w:hAnsi="Times New Roman" w:cs="Times New Roman"/>
          <w:szCs w:val="24"/>
        </w:rPr>
        <w:t>a</w:t>
      </w:r>
      <w:r w:rsidR="00936C35" w:rsidRPr="000E0285">
        <w:rPr>
          <w:rFonts w:ascii="Times New Roman" w:hAnsi="Times New Roman" w:cs="Times New Roman"/>
          <w:szCs w:val="24"/>
        </w:rPr>
        <w:t>cid (SA) enhanced significantly plant height, number of branches plant, number of pods plant, number of seeds pod¹ 1000 seeds weight, seed weight plant and seed yield ha¹ as compared with control (untreated plants) and the superiority was due to the high SA concentration (150 ppm). The results showed that the interaction between salicylic acid and zinc nutrient had a significant effect on all studied traits. Application of 150 ppm SA with 500 or 400 ppm zinc produced the highest significant seed yields ha¹.</w:t>
      </w:r>
      <w:r w:rsidR="00137B38">
        <w:rPr>
          <w:rFonts w:ascii="Times New Roman" w:hAnsi="Times New Roman" w:cs="Times New Roman"/>
          <w:szCs w:val="24"/>
        </w:rPr>
        <w:t xml:space="preserve">  Also following </w:t>
      </w:r>
      <w:r w:rsidR="005F5B6E">
        <w:rPr>
          <w:rFonts w:ascii="Times New Roman" w:hAnsi="Times New Roman" w:cs="Times New Roman"/>
          <w:szCs w:val="24"/>
        </w:rPr>
        <w:t xml:space="preserve">findings are agreement with the mentioned above results, Akladious, S.A. (2014) in sunflower, Wahid </w:t>
      </w:r>
      <w:r w:rsidR="005F5B6E" w:rsidRPr="00DB050B">
        <w:rPr>
          <w:rFonts w:ascii="Times New Roman" w:hAnsi="Times New Roman" w:cs="Times New Roman"/>
          <w:i/>
          <w:iCs/>
          <w:szCs w:val="24"/>
        </w:rPr>
        <w:t>et al</w:t>
      </w:r>
      <w:r w:rsidR="005F5B6E">
        <w:rPr>
          <w:rFonts w:ascii="Times New Roman" w:hAnsi="Times New Roman" w:cs="Times New Roman"/>
          <w:szCs w:val="24"/>
        </w:rPr>
        <w:t xml:space="preserve">., 2017, Ahmad </w:t>
      </w:r>
      <w:r w:rsidR="005F5B6E" w:rsidRPr="00DB050B">
        <w:rPr>
          <w:rFonts w:ascii="Times New Roman" w:hAnsi="Times New Roman" w:cs="Times New Roman"/>
          <w:i/>
          <w:iCs/>
          <w:szCs w:val="24"/>
        </w:rPr>
        <w:t>et al</w:t>
      </w:r>
      <w:r w:rsidR="005F5B6E">
        <w:rPr>
          <w:rFonts w:ascii="Times New Roman" w:hAnsi="Times New Roman" w:cs="Times New Roman"/>
          <w:szCs w:val="24"/>
        </w:rPr>
        <w:t xml:space="preserve">., (2021) in camelina &amp; canola, </w:t>
      </w:r>
      <w:r w:rsidR="00DB050B">
        <w:rPr>
          <w:rFonts w:ascii="Times New Roman" w:hAnsi="Times New Roman" w:cs="Times New Roman"/>
          <w:szCs w:val="24"/>
        </w:rPr>
        <w:t>Waraich</w:t>
      </w:r>
      <w:r w:rsidR="00212FA0">
        <w:rPr>
          <w:rFonts w:ascii="Times New Roman" w:hAnsi="Times New Roman" w:cs="Times New Roman"/>
          <w:szCs w:val="24"/>
        </w:rPr>
        <w:t xml:space="preserve"> </w:t>
      </w:r>
      <w:r w:rsidR="00DB050B" w:rsidRPr="00212FA0">
        <w:rPr>
          <w:rFonts w:ascii="Times New Roman" w:hAnsi="Times New Roman" w:cs="Times New Roman"/>
          <w:i/>
          <w:iCs/>
          <w:szCs w:val="24"/>
        </w:rPr>
        <w:t>et al</w:t>
      </w:r>
      <w:r w:rsidR="00DB050B">
        <w:rPr>
          <w:rFonts w:ascii="Times New Roman" w:hAnsi="Times New Roman" w:cs="Times New Roman"/>
          <w:szCs w:val="24"/>
        </w:rPr>
        <w:t xml:space="preserve">., (2021) in camelina, Debnath </w:t>
      </w:r>
      <w:r w:rsidR="00DB050B" w:rsidRPr="00212FA0">
        <w:rPr>
          <w:rFonts w:ascii="Times New Roman" w:hAnsi="Times New Roman" w:cs="Times New Roman"/>
          <w:i/>
          <w:iCs/>
          <w:szCs w:val="24"/>
        </w:rPr>
        <w:t>et al</w:t>
      </w:r>
      <w:r w:rsidR="00DB050B">
        <w:rPr>
          <w:rFonts w:ascii="Times New Roman" w:hAnsi="Times New Roman" w:cs="Times New Roman"/>
          <w:szCs w:val="24"/>
        </w:rPr>
        <w:t xml:space="preserve">., (2022) in chickpea, Ahmad </w:t>
      </w:r>
      <w:r w:rsidR="00DB050B" w:rsidRPr="00DB050B">
        <w:rPr>
          <w:rFonts w:ascii="Times New Roman" w:hAnsi="Times New Roman" w:cs="Times New Roman"/>
          <w:i/>
          <w:iCs/>
          <w:szCs w:val="24"/>
        </w:rPr>
        <w:t>et al</w:t>
      </w:r>
      <w:r w:rsidR="00DB050B">
        <w:rPr>
          <w:rFonts w:ascii="Times New Roman" w:hAnsi="Times New Roman" w:cs="Times New Roman"/>
          <w:szCs w:val="24"/>
        </w:rPr>
        <w:t xml:space="preserve">., (2022) in canola, Yadav </w:t>
      </w:r>
      <w:r w:rsidR="00DB050B" w:rsidRPr="00DB050B">
        <w:rPr>
          <w:rFonts w:ascii="Times New Roman" w:hAnsi="Times New Roman" w:cs="Times New Roman"/>
          <w:i/>
          <w:iCs/>
          <w:szCs w:val="24"/>
        </w:rPr>
        <w:t>at el</w:t>
      </w:r>
      <w:r w:rsidR="00DB050B">
        <w:rPr>
          <w:rFonts w:ascii="Times New Roman" w:hAnsi="Times New Roman" w:cs="Times New Roman"/>
          <w:szCs w:val="24"/>
        </w:rPr>
        <w:t xml:space="preserve">., (2024) in chickpea, Singh </w:t>
      </w:r>
      <w:r w:rsidR="00DB050B" w:rsidRPr="00DB050B">
        <w:rPr>
          <w:rFonts w:ascii="Times New Roman" w:hAnsi="Times New Roman" w:cs="Times New Roman"/>
          <w:i/>
          <w:iCs/>
          <w:szCs w:val="24"/>
        </w:rPr>
        <w:t>et al</w:t>
      </w:r>
      <w:r w:rsidR="00DB050B">
        <w:rPr>
          <w:rFonts w:ascii="Times New Roman" w:hAnsi="Times New Roman" w:cs="Times New Roman"/>
          <w:szCs w:val="24"/>
        </w:rPr>
        <w:t xml:space="preserve">., (2024) in moong bean, Majeed </w:t>
      </w:r>
      <w:r w:rsidR="00DB050B" w:rsidRPr="00DB050B">
        <w:rPr>
          <w:rFonts w:ascii="Times New Roman" w:hAnsi="Times New Roman" w:cs="Times New Roman"/>
          <w:i/>
          <w:iCs/>
          <w:szCs w:val="24"/>
        </w:rPr>
        <w:t>et al</w:t>
      </w:r>
      <w:r w:rsidR="00DB050B">
        <w:rPr>
          <w:rFonts w:ascii="Times New Roman" w:hAnsi="Times New Roman" w:cs="Times New Roman"/>
          <w:szCs w:val="24"/>
        </w:rPr>
        <w:t>., 2024) in tomato</w:t>
      </w:r>
      <w:r w:rsidR="004171C6">
        <w:rPr>
          <w:rFonts w:ascii="Times New Roman" w:hAnsi="Times New Roman" w:cs="Times New Roman"/>
          <w:szCs w:val="24"/>
        </w:rPr>
        <w:t xml:space="preserve">, Ahmad  </w:t>
      </w:r>
      <w:r w:rsidR="004171C6" w:rsidRPr="004171C6">
        <w:rPr>
          <w:rFonts w:ascii="Times New Roman" w:hAnsi="Times New Roman" w:cs="Times New Roman"/>
          <w:i/>
          <w:iCs/>
          <w:szCs w:val="24"/>
        </w:rPr>
        <w:t>et al</w:t>
      </w:r>
      <w:r w:rsidR="004171C6">
        <w:rPr>
          <w:rFonts w:ascii="Times New Roman" w:hAnsi="Times New Roman" w:cs="Times New Roman"/>
          <w:szCs w:val="24"/>
        </w:rPr>
        <w:t>., (2024)</w:t>
      </w:r>
      <w:r w:rsidR="00601887">
        <w:rPr>
          <w:rFonts w:ascii="Times New Roman" w:hAnsi="Times New Roman" w:cs="Times New Roman"/>
          <w:szCs w:val="24"/>
        </w:rPr>
        <w:t xml:space="preserve"> in  </w:t>
      </w:r>
      <w:proofErr w:type="spellStart"/>
      <w:r w:rsidR="00601887">
        <w:rPr>
          <w:rFonts w:ascii="Times New Roman" w:hAnsi="Times New Roman" w:cs="Times New Roman"/>
          <w:szCs w:val="24"/>
        </w:rPr>
        <w:t>rapseed</w:t>
      </w:r>
      <w:proofErr w:type="spellEnd"/>
      <w:r w:rsidR="00601887">
        <w:rPr>
          <w:rFonts w:ascii="Times New Roman" w:hAnsi="Times New Roman" w:cs="Times New Roman"/>
          <w:szCs w:val="24"/>
        </w:rPr>
        <w:t>.</w:t>
      </w:r>
    </w:p>
    <w:p w14:paraId="4B96D087" w14:textId="3CC290A7" w:rsidR="00114572" w:rsidRPr="000E0285" w:rsidRDefault="00C6216C" w:rsidP="005D4A3A">
      <w:pPr>
        <w:spacing w:after="0" w:line="240" w:lineRule="auto"/>
        <w:jc w:val="both"/>
        <w:rPr>
          <w:rFonts w:ascii="Times New Roman" w:hAnsi="Times New Roman" w:cs="Times New Roman"/>
          <w:b/>
          <w:bCs/>
          <w:szCs w:val="24"/>
        </w:rPr>
      </w:pPr>
      <w:r w:rsidRPr="000E0285">
        <w:rPr>
          <w:rFonts w:ascii="Times New Roman" w:hAnsi="Times New Roman" w:cs="Times New Roman"/>
          <w:b/>
          <w:bCs/>
          <w:szCs w:val="24"/>
        </w:rPr>
        <w:lastRenderedPageBreak/>
        <w:t xml:space="preserve">Table </w:t>
      </w:r>
      <w:r w:rsidR="00881A10" w:rsidRPr="000E0285">
        <w:rPr>
          <w:rFonts w:ascii="Times New Roman" w:hAnsi="Times New Roman" w:cs="Times New Roman"/>
          <w:b/>
          <w:bCs/>
          <w:szCs w:val="24"/>
        </w:rPr>
        <w:t>2</w:t>
      </w:r>
      <w:r w:rsidRPr="000E0285">
        <w:rPr>
          <w:rFonts w:ascii="Times New Roman" w:hAnsi="Times New Roman" w:cs="Times New Roman"/>
          <w:b/>
          <w:bCs/>
          <w:szCs w:val="24"/>
        </w:rPr>
        <w:t>. Effect of foliar application of various chemicals spray on field emergence and Plant height of field pea</w:t>
      </w:r>
      <w:r w:rsidR="007C2413" w:rsidRPr="000E0285">
        <w:rPr>
          <w:rFonts w:ascii="Times New Roman" w:hAnsi="Times New Roman" w:cs="Times New Roman"/>
          <w:b/>
          <w:bCs/>
          <w:szCs w:val="24"/>
        </w:rPr>
        <w:t xml:space="preserve"> under heat stress condition</w:t>
      </w:r>
    </w:p>
    <w:p w14:paraId="2C5EA1D3" w14:textId="77777777" w:rsidR="007C2413" w:rsidRPr="000E0285" w:rsidRDefault="007C2413" w:rsidP="005D4A3A">
      <w:pPr>
        <w:spacing w:after="0" w:line="240" w:lineRule="auto"/>
        <w:jc w:val="both"/>
        <w:rPr>
          <w:rFonts w:ascii="Times New Roman" w:hAnsi="Times New Roman" w:cs="Times New Roman"/>
          <w:b/>
          <w:bCs/>
          <w:szCs w:val="24"/>
        </w:rPr>
      </w:pPr>
    </w:p>
    <w:tbl>
      <w:tblPr>
        <w:tblStyle w:val="TableGrid"/>
        <w:tblW w:w="0" w:type="auto"/>
        <w:tblInd w:w="142" w:type="dxa"/>
        <w:tblLayout w:type="fixed"/>
        <w:tblLook w:val="04A0" w:firstRow="1" w:lastRow="0" w:firstColumn="1" w:lastColumn="0" w:noHBand="0" w:noVBand="1"/>
      </w:tblPr>
      <w:tblGrid>
        <w:gridCol w:w="1276"/>
        <w:gridCol w:w="4536"/>
        <w:gridCol w:w="1559"/>
        <w:gridCol w:w="1418"/>
        <w:gridCol w:w="1417"/>
        <w:gridCol w:w="1276"/>
        <w:gridCol w:w="1276"/>
        <w:gridCol w:w="1051"/>
      </w:tblGrid>
      <w:tr w:rsidR="00C6216C" w:rsidRPr="000E0285" w14:paraId="032CA95E" w14:textId="19458AFD" w:rsidTr="007C2413">
        <w:trPr>
          <w:trHeight w:val="520"/>
        </w:trPr>
        <w:tc>
          <w:tcPr>
            <w:tcW w:w="5812" w:type="dxa"/>
            <w:gridSpan w:val="2"/>
            <w:tcBorders>
              <w:top w:val="single" w:sz="4" w:space="0" w:color="auto"/>
              <w:left w:val="nil"/>
              <w:bottom w:val="single" w:sz="4" w:space="0" w:color="auto"/>
              <w:right w:val="nil"/>
            </w:tcBorders>
          </w:tcPr>
          <w:p w14:paraId="0668E252" w14:textId="05E4E9E3" w:rsidR="00C6216C" w:rsidRPr="000E0285" w:rsidRDefault="00C6216C" w:rsidP="005D4A3A">
            <w:pPr>
              <w:spacing w:line="276" w:lineRule="auto"/>
              <w:jc w:val="both"/>
              <w:rPr>
                <w:rFonts w:ascii="Times New Roman" w:hAnsi="Times New Roman" w:cs="Times New Roman"/>
                <w:b/>
                <w:bCs/>
                <w:szCs w:val="24"/>
              </w:rPr>
            </w:pPr>
          </w:p>
        </w:tc>
        <w:tc>
          <w:tcPr>
            <w:tcW w:w="4394" w:type="dxa"/>
            <w:gridSpan w:val="3"/>
            <w:tcBorders>
              <w:top w:val="single" w:sz="4" w:space="0" w:color="auto"/>
              <w:left w:val="nil"/>
              <w:bottom w:val="single" w:sz="4" w:space="0" w:color="auto"/>
              <w:right w:val="nil"/>
            </w:tcBorders>
            <w:vAlign w:val="center"/>
          </w:tcPr>
          <w:p w14:paraId="5EC2A6F9" w14:textId="313137A4"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Field Emergence</w:t>
            </w:r>
            <w:r w:rsidR="00D862A5" w:rsidRPr="000E0285">
              <w:rPr>
                <w:rFonts w:ascii="Times New Roman" w:hAnsi="Times New Roman" w:cs="Times New Roman"/>
                <w:b/>
                <w:bCs/>
                <w:szCs w:val="24"/>
              </w:rPr>
              <w:t xml:space="preserve"> (%)</w:t>
            </w:r>
          </w:p>
        </w:tc>
        <w:tc>
          <w:tcPr>
            <w:tcW w:w="3603" w:type="dxa"/>
            <w:gridSpan w:val="3"/>
            <w:tcBorders>
              <w:top w:val="single" w:sz="4" w:space="0" w:color="auto"/>
              <w:left w:val="nil"/>
              <w:bottom w:val="single" w:sz="4" w:space="0" w:color="auto"/>
              <w:right w:val="nil"/>
            </w:tcBorders>
            <w:vAlign w:val="center"/>
          </w:tcPr>
          <w:p w14:paraId="1BF1D267" w14:textId="3926A013"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Plant Height</w:t>
            </w:r>
            <w:r w:rsidR="00850357">
              <w:rPr>
                <w:rFonts w:ascii="Times New Roman" w:hAnsi="Times New Roman" w:cs="Times New Roman"/>
                <w:b/>
                <w:bCs/>
                <w:szCs w:val="24"/>
              </w:rPr>
              <w:t xml:space="preserve"> (cm)</w:t>
            </w:r>
          </w:p>
        </w:tc>
      </w:tr>
      <w:tr w:rsidR="00C6216C" w:rsidRPr="000E0285" w14:paraId="5AE49E5D" w14:textId="77777777" w:rsidTr="00881A10">
        <w:trPr>
          <w:trHeight w:val="425"/>
        </w:trPr>
        <w:tc>
          <w:tcPr>
            <w:tcW w:w="1276" w:type="dxa"/>
            <w:tcBorders>
              <w:top w:val="single" w:sz="4" w:space="0" w:color="auto"/>
              <w:left w:val="nil"/>
              <w:bottom w:val="single" w:sz="4" w:space="0" w:color="auto"/>
              <w:right w:val="nil"/>
            </w:tcBorders>
            <w:vAlign w:val="center"/>
          </w:tcPr>
          <w:p w14:paraId="5B99F5AE" w14:textId="251D2B7D" w:rsidR="00C6216C" w:rsidRPr="000E0285" w:rsidRDefault="00C6216C" w:rsidP="005D4A3A">
            <w:pPr>
              <w:spacing w:line="276" w:lineRule="auto"/>
              <w:jc w:val="center"/>
              <w:rPr>
                <w:rFonts w:ascii="Times New Roman" w:hAnsi="Times New Roman" w:cs="Times New Roman"/>
                <w:b/>
                <w:bCs/>
                <w:szCs w:val="24"/>
              </w:rPr>
            </w:pPr>
            <w:bookmarkStart w:id="3" w:name="_Hlk211604769"/>
            <w:r w:rsidRPr="000E0285">
              <w:rPr>
                <w:rFonts w:ascii="Times New Roman" w:hAnsi="Times New Roman" w:cs="Times New Roman"/>
                <w:b/>
                <w:bCs/>
                <w:szCs w:val="24"/>
              </w:rPr>
              <w:t>Treatments</w:t>
            </w:r>
          </w:p>
        </w:tc>
        <w:tc>
          <w:tcPr>
            <w:tcW w:w="4536" w:type="dxa"/>
            <w:tcBorders>
              <w:top w:val="single" w:sz="4" w:space="0" w:color="auto"/>
              <w:left w:val="nil"/>
              <w:bottom w:val="single" w:sz="4" w:space="0" w:color="auto"/>
              <w:right w:val="nil"/>
            </w:tcBorders>
            <w:vAlign w:val="center"/>
          </w:tcPr>
          <w:p w14:paraId="3C73019B" w14:textId="6CD0D576"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Description</w:t>
            </w:r>
          </w:p>
        </w:tc>
        <w:tc>
          <w:tcPr>
            <w:tcW w:w="1559" w:type="dxa"/>
            <w:tcBorders>
              <w:top w:val="single" w:sz="4" w:space="0" w:color="auto"/>
              <w:left w:val="nil"/>
              <w:bottom w:val="single" w:sz="4" w:space="0" w:color="auto"/>
              <w:right w:val="nil"/>
            </w:tcBorders>
            <w:vAlign w:val="center"/>
          </w:tcPr>
          <w:p w14:paraId="231178A4" w14:textId="788E06E1"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2023-24</w:t>
            </w:r>
          </w:p>
        </w:tc>
        <w:tc>
          <w:tcPr>
            <w:tcW w:w="1418" w:type="dxa"/>
            <w:tcBorders>
              <w:top w:val="single" w:sz="4" w:space="0" w:color="auto"/>
              <w:left w:val="nil"/>
              <w:bottom w:val="single" w:sz="4" w:space="0" w:color="auto"/>
              <w:right w:val="nil"/>
            </w:tcBorders>
            <w:vAlign w:val="center"/>
          </w:tcPr>
          <w:p w14:paraId="704E038B" w14:textId="10E5D2F4"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2024-25</w:t>
            </w:r>
          </w:p>
        </w:tc>
        <w:tc>
          <w:tcPr>
            <w:tcW w:w="1417" w:type="dxa"/>
            <w:tcBorders>
              <w:top w:val="single" w:sz="4" w:space="0" w:color="auto"/>
              <w:left w:val="nil"/>
              <w:bottom w:val="single" w:sz="4" w:space="0" w:color="auto"/>
              <w:right w:val="nil"/>
            </w:tcBorders>
            <w:vAlign w:val="center"/>
          </w:tcPr>
          <w:p w14:paraId="7BEACEC6" w14:textId="2EB434DB"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Pooled</w:t>
            </w:r>
          </w:p>
        </w:tc>
        <w:tc>
          <w:tcPr>
            <w:tcW w:w="1276" w:type="dxa"/>
            <w:tcBorders>
              <w:top w:val="single" w:sz="4" w:space="0" w:color="auto"/>
              <w:left w:val="nil"/>
              <w:bottom w:val="single" w:sz="4" w:space="0" w:color="auto"/>
              <w:right w:val="nil"/>
            </w:tcBorders>
            <w:vAlign w:val="center"/>
          </w:tcPr>
          <w:p w14:paraId="7A0B75B1" w14:textId="644B6E1E"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2023-24</w:t>
            </w:r>
          </w:p>
        </w:tc>
        <w:tc>
          <w:tcPr>
            <w:tcW w:w="1276" w:type="dxa"/>
            <w:tcBorders>
              <w:top w:val="single" w:sz="4" w:space="0" w:color="auto"/>
              <w:left w:val="nil"/>
              <w:bottom w:val="single" w:sz="4" w:space="0" w:color="auto"/>
              <w:right w:val="nil"/>
            </w:tcBorders>
            <w:vAlign w:val="center"/>
          </w:tcPr>
          <w:p w14:paraId="24AEF992" w14:textId="3CCC557B"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2024-25</w:t>
            </w:r>
          </w:p>
        </w:tc>
        <w:tc>
          <w:tcPr>
            <w:tcW w:w="1051" w:type="dxa"/>
            <w:tcBorders>
              <w:top w:val="single" w:sz="4" w:space="0" w:color="auto"/>
              <w:left w:val="nil"/>
              <w:bottom w:val="single" w:sz="4" w:space="0" w:color="auto"/>
              <w:right w:val="nil"/>
            </w:tcBorders>
            <w:vAlign w:val="center"/>
          </w:tcPr>
          <w:p w14:paraId="67A909AA" w14:textId="05F82EB2"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Pooled</w:t>
            </w:r>
          </w:p>
        </w:tc>
      </w:tr>
      <w:bookmarkEnd w:id="3"/>
      <w:tr w:rsidR="000E0285" w:rsidRPr="000E0285" w14:paraId="116E1AA3" w14:textId="77777777" w:rsidTr="008B03BF">
        <w:tc>
          <w:tcPr>
            <w:tcW w:w="1276" w:type="dxa"/>
            <w:tcBorders>
              <w:top w:val="single" w:sz="4" w:space="0" w:color="auto"/>
              <w:left w:val="nil"/>
              <w:bottom w:val="nil"/>
              <w:right w:val="nil"/>
            </w:tcBorders>
            <w:vAlign w:val="bottom"/>
          </w:tcPr>
          <w:p w14:paraId="6E3332A2" w14:textId="0AC518F5"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w:t>
            </w:r>
          </w:p>
        </w:tc>
        <w:tc>
          <w:tcPr>
            <w:tcW w:w="4536" w:type="dxa"/>
            <w:tcBorders>
              <w:top w:val="single" w:sz="4" w:space="0" w:color="auto"/>
              <w:left w:val="nil"/>
              <w:bottom w:val="nil"/>
              <w:right w:val="nil"/>
            </w:tcBorders>
          </w:tcPr>
          <w:p w14:paraId="3D2A7600" w14:textId="54971980"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Control</w:t>
            </w:r>
          </w:p>
        </w:tc>
        <w:tc>
          <w:tcPr>
            <w:tcW w:w="1559" w:type="dxa"/>
            <w:tcBorders>
              <w:top w:val="single" w:sz="4" w:space="0" w:color="auto"/>
              <w:left w:val="nil"/>
              <w:bottom w:val="nil"/>
              <w:right w:val="nil"/>
            </w:tcBorders>
            <w:vAlign w:val="bottom"/>
          </w:tcPr>
          <w:p w14:paraId="20FDAF4D" w14:textId="0BEF9E5B"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64.67</w:t>
            </w:r>
          </w:p>
        </w:tc>
        <w:tc>
          <w:tcPr>
            <w:tcW w:w="1418" w:type="dxa"/>
            <w:tcBorders>
              <w:top w:val="single" w:sz="4" w:space="0" w:color="auto"/>
              <w:left w:val="nil"/>
              <w:bottom w:val="nil"/>
              <w:right w:val="nil"/>
            </w:tcBorders>
            <w:vAlign w:val="bottom"/>
          </w:tcPr>
          <w:p w14:paraId="3F3AD385" w14:textId="04AB4E84"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67.00</w:t>
            </w:r>
          </w:p>
        </w:tc>
        <w:tc>
          <w:tcPr>
            <w:tcW w:w="1417" w:type="dxa"/>
            <w:tcBorders>
              <w:top w:val="single" w:sz="4" w:space="0" w:color="auto"/>
              <w:left w:val="nil"/>
              <w:bottom w:val="nil"/>
              <w:right w:val="nil"/>
            </w:tcBorders>
            <w:vAlign w:val="bottom"/>
          </w:tcPr>
          <w:p w14:paraId="4ED17825" w14:textId="56BA2E75"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65.83</w:t>
            </w:r>
          </w:p>
        </w:tc>
        <w:tc>
          <w:tcPr>
            <w:tcW w:w="1276" w:type="dxa"/>
            <w:tcBorders>
              <w:top w:val="single" w:sz="4" w:space="0" w:color="auto"/>
              <w:left w:val="nil"/>
              <w:bottom w:val="nil"/>
              <w:right w:val="nil"/>
            </w:tcBorders>
            <w:vAlign w:val="bottom"/>
          </w:tcPr>
          <w:p w14:paraId="54FB13AF" w14:textId="3FCE52F6"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73.23</w:t>
            </w:r>
          </w:p>
        </w:tc>
        <w:tc>
          <w:tcPr>
            <w:tcW w:w="1276" w:type="dxa"/>
            <w:tcBorders>
              <w:top w:val="single" w:sz="4" w:space="0" w:color="auto"/>
              <w:left w:val="nil"/>
              <w:bottom w:val="nil"/>
              <w:right w:val="nil"/>
            </w:tcBorders>
            <w:vAlign w:val="bottom"/>
          </w:tcPr>
          <w:p w14:paraId="3F2EFE29" w14:textId="31FD808E"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73.77</w:t>
            </w:r>
          </w:p>
        </w:tc>
        <w:tc>
          <w:tcPr>
            <w:tcW w:w="1051" w:type="dxa"/>
            <w:tcBorders>
              <w:top w:val="single" w:sz="4" w:space="0" w:color="auto"/>
              <w:left w:val="nil"/>
              <w:bottom w:val="nil"/>
              <w:right w:val="nil"/>
            </w:tcBorders>
            <w:vAlign w:val="bottom"/>
          </w:tcPr>
          <w:p w14:paraId="08D93FB8" w14:textId="0F26BE91"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73.50</w:t>
            </w:r>
          </w:p>
        </w:tc>
      </w:tr>
      <w:tr w:rsidR="000E0285" w:rsidRPr="000E0285" w14:paraId="79E70879" w14:textId="77777777" w:rsidTr="008B03BF">
        <w:tc>
          <w:tcPr>
            <w:tcW w:w="1276" w:type="dxa"/>
            <w:tcBorders>
              <w:top w:val="nil"/>
              <w:left w:val="nil"/>
              <w:bottom w:val="nil"/>
              <w:right w:val="nil"/>
            </w:tcBorders>
            <w:vAlign w:val="bottom"/>
          </w:tcPr>
          <w:p w14:paraId="2B2EA489" w14:textId="33E45C39"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2</w:t>
            </w:r>
          </w:p>
        </w:tc>
        <w:tc>
          <w:tcPr>
            <w:tcW w:w="4536" w:type="dxa"/>
            <w:tcBorders>
              <w:top w:val="nil"/>
              <w:left w:val="nil"/>
              <w:bottom w:val="nil"/>
              <w:right w:val="nil"/>
            </w:tcBorders>
          </w:tcPr>
          <w:p w14:paraId="376AEE6B" w14:textId="59FBF9A8"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TU at </w:t>
            </w:r>
            <w:r w:rsidR="000E0285" w:rsidRPr="000E0285">
              <w:rPr>
                <w:rFonts w:ascii="Times New Roman" w:hAnsi="Times New Roman" w:cs="Times New Roman"/>
                <w:szCs w:val="24"/>
              </w:rPr>
              <w:t>Vegetative+anthesis stage@400 ppm</w:t>
            </w:r>
          </w:p>
        </w:tc>
        <w:tc>
          <w:tcPr>
            <w:tcW w:w="1559" w:type="dxa"/>
            <w:tcBorders>
              <w:top w:val="nil"/>
              <w:left w:val="nil"/>
              <w:bottom w:val="nil"/>
              <w:right w:val="nil"/>
            </w:tcBorders>
            <w:vAlign w:val="bottom"/>
          </w:tcPr>
          <w:p w14:paraId="1C493FC3" w14:textId="029AD138"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82.00</w:t>
            </w:r>
          </w:p>
        </w:tc>
        <w:tc>
          <w:tcPr>
            <w:tcW w:w="1418" w:type="dxa"/>
            <w:tcBorders>
              <w:top w:val="nil"/>
              <w:left w:val="nil"/>
              <w:bottom w:val="nil"/>
              <w:right w:val="nil"/>
            </w:tcBorders>
            <w:vAlign w:val="bottom"/>
          </w:tcPr>
          <w:p w14:paraId="411FDADB" w14:textId="3AEFD83F"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83.67</w:t>
            </w:r>
          </w:p>
        </w:tc>
        <w:tc>
          <w:tcPr>
            <w:tcW w:w="1417" w:type="dxa"/>
            <w:tcBorders>
              <w:top w:val="nil"/>
              <w:left w:val="nil"/>
              <w:bottom w:val="nil"/>
              <w:right w:val="nil"/>
            </w:tcBorders>
            <w:vAlign w:val="bottom"/>
          </w:tcPr>
          <w:p w14:paraId="7E1BD42E" w14:textId="3F95339E"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82.83</w:t>
            </w:r>
          </w:p>
        </w:tc>
        <w:tc>
          <w:tcPr>
            <w:tcW w:w="1276" w:type="dxa"/>
            <w:tcBorders>
              <w:top w:val="nil"/>
              <w:left w:val="nil"/>
              <w:bottom w:val="nil"/>
              <w:right w:val="nil"/>
            </w:tcBorders>
            <w:vAlign w:val="bottom"/>
          </w:tcPr>
          <w:p w14:paraId="0CA7D3A3" w14:textId="695179F0"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84.97</w:t>
            </w:r>
          </w:p>
        </w:tc>
        <w:tc>
          <w:tcPr>
            <w:tcW w:w="1276" w:type="dxa"/>
            <w:tcBorders>
              <w:top w:val="nil"/>
              <w:left w:val="nil"/>
              <w:bottom w:val="nil"/>
              <w:right w:val="nil"/>
            </w:tcBorders>
            <w:vAlign w:val="bottom"/>
          </w:tcPr>
          <w:p w14:paraId="1D6ECF7C" w14:textId="65399A9B"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83.51</w:t>
            </w:r>
          </w:p>
        </w:tc>
        <w:tc>
          <w:tcPr>
            <w:tcW w:w="1051" w:type="dxa"/>
            <w:tcBorders>
              <w:top w:val="nil"/>
              <w:left w:val="nil"/>
              <w:bottom w:val="nil"/>
              <w:right w:val="nil"/>
            </w:tcBorders>
            <w:vAlign w:val="bottom"/>
          </w:tcPr>
          <w:p w14:paraId="3F1A9586" w14:textId="4A3725AC"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84.24</w:t>
            </w:r>
          </w:p>
        </w:tc>
      </w:tr>
      <w:tr w:rsidR="000E0285" w:rsidRPr="000E0285" w14:paraId="1F8112BD" w14:textId="77777777" w:rsidTr="008B03BF">
        <w:tc>
          <w:tcPr>
            <w:tcW w:w="1276" w:type="dxa"/>
            <w:tcBorders>
              <w:top w:val="nil"/>
              <w:left w:val="nil"/>
              <w:bottom w:val="nil"/>
              <w:right w:val="nil"/>
            </w:tcBorders>
            <w:vAlign w:val="bottom"/>
          </w:tcPr>
          <w:p w14:paraId="25E9CBEE" w14:textId="18BAFF40"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3</w:t>
            </w:r>
          </w:p>
        </w:tc>
        <w:tc>
          <w:tcPr>
            <w:tcW w:w="4536" w:type="dxa"/>
            <w:tcBorders>
              <w:top w:val="nil"/>
              <w:left w:val="nil"/>
              <w:bottom w:val="nil"/>
              <w:right w:val="nil"/>
            </w:tcBorders>
          </w:tcPr>
          <w:p w14:paraId="154138D0" w14:textId="43BA37D0"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TU at </w:t>
            </w:r>
            <w:r w:rsidR="000E0285" w:rsidRPr="000E0285">
              <w:rPr>
                <w:rFonts w:ascii="Times New Roman" w:hAnsi="Times New Roman" w:cs="Times New Roman"/>
                <w:szCs w:val="24"/>
              </w:rPr>
              <w:t>Vegetative+anthesis stage@200ppm</w:t>
            </w:r>
          </w:p>
        </w:tc>
        <w:tc>
          <w:tcPr>
            <w:tcW w:w="1559" w:type="dxa"/>
            <w:tcBorders>
              <w:top w:val="nil"/>
              <w:left w:val="nil"/>
              <w:bottom w:val="nil"/>
              <w:right w:val="nil"/>
            </w:tcBorders>
            <w:vAlign w:val="bottom"/>
          </w:tcPr>
          <w:p w14:paraId="022D44C1" w14:textId="085901C0"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80.67</w:t>
            </w:r>
          </w:p>
        </w:tc>
        <w:tc>
          <w:tcPr>
            <w:tcW w:w="1418" w:type="dxa"/>
            <w:tcBorders>
              <w:top w:val="nil"/>
              <w:left w:val="nil"/>
              <w:bottom w:val="nil"/>
              <w:right w:val="nil"/>
            </w:tcBorders>
            <w:vAlign w:val="bottom"/>
          </w:tcPr>
          <w:p w14:paraId="1DB354A4" w14:textId="1E47CEDE"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83.00</w:t>
            </w:r>
          </w:p>
        </w:tc>
        <w:tc>
          <w:tcPr>
            <w:tcW w:w="1417" w:type="dxa"/>
            <w:tcBorders>
              <w:top w:val="nil"/>
              <w:left w:val="nil"/>
              <w:bottom w:val="nil"/>
              <w:right w:val="nil"/>
            </w:tcBorders>
            <w:vAlign w:val="bottom"/>
          </w:tcPr>
          <w:p w14:paraId="03C2D7B9" w14:textId="59EA0A91"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81.83</w:t>
            </w:r>
          </w:p>
        </w:tc>
        <w:tc>
          <w:tcPr>
            <w:tcW w:w="1276" w:type="dxa"/>
            <w:tcBorders>
              <w:top w:val="nil"/>
              <w:left w:val="nil"/>
              <w:bottom w:val="nil"/>
              <w:right w:val="nil"/>
            </w:tcBorders>
            <w:vAlign w:val="bottom"/>
          </w:tcPr>
          <w:p w14:paraId="64DA8AE7" w14:textId="75BFCC78"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84.32</w:t>
            </w:r>
          </w:p>
        </w:tc>
        <w:tc>
          <w:tcPr>
            <w:tcW w:w="1276" w:type="dxa"/>
            <w:tcBorders>
              <w:top w:val="nil"/>
              <w:left w:val="nil"/>
              <w:bottom w:val="nil"/>
              <w:right w:val="nil"/>
            </w:tcBorders>
            <w:vAlign w:val="bottom"/>
          </w:tcPr>
          <w:p w14:paraId="2F0FB0B0" w14:textId="6DED1009"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82.98</w:t>
            </w:r>
          </w:p>
        </w:tc>
        <w:tc>
          <w:tcPr>
            <w:tcW w:w="1051" w:type="dxa"/>
            <w:tcBorders>
              <w:top w:val="nil"/>
              <w:left w:val="nil"/>
              <w:bottom w:val="nil"/>
              <w:right w:val="nil"/>
            </w:tcBorders>
            <w:vAlign w:val="bottom"/>
          </w:tcPr>
          <w:p w14:paraId="07FA1194" w14:textId="40AD1AFD"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83.65</w:t>
            </w:r>
          </w:p>
        </w:tc>
      </w:tr>
      <w:tr w:rsidR="000E0285" w:rsidRPr="000E0285" w14:paraId="0868CF91" w14:textId="77777777" w:rsidTr="008B03BF">
        <w:tc>
          <w:tcPr>
            <w:tcW w:w="1276" w:type="dxa"/>
            <w:tcBorders>
              <w:top w:val="nil"/>
              <w:left w:val="nil"/>
              <w:bottom w:val="nil"/>
              <w:right w:val="nil"/>
            </w:tcBorders>
            <w:vAlign w:val="bottom"/>
          </w:tcPr>
          <w:p w14:paraId="3145057A" w14:textId="7CBA1A13"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4</w:t>
            </w:r>
          </w:p>
        </w:tc>
        <w:tc>
          <w:tcPr>
            <w:tcW w:w="4536" w:type="dxa"/>
            <w:tcBorders>
              <w:top w:val="nil"/>
              <w:left w:val="nil"/>
              <w:bottom w:val="nil"/>
              <w:right w:val="nil"/>
            </w:tcBorders>
          </w:tcPr>
          <w:p w14:paraId="3FEFD8A3" w14:textId="0700C60B"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SA at </w:t>
            </w:r>
            <w:r w:rsidR="000E0285" w:rsidRPr="000E0285">
              <w:rPr>
                <w:rFonts w:ascii="Times New Roman" w:hAnsi="Times New Roman" w:cs="Times New Roman"/>
                <w:szCs w:val="24"/>
              </w:rPr>
              <w:t>Vegetative+anthesis stage@400ppme</w:t>
            </w:r>
          </w:p>
        </w:tc>
        <w:tc>
          <w:tcPr>
            <w:tcW w:w="1559" w:type="dxa"/>
            <w:tcBorders>
              <w:top w:val="nil"/>
              <w:left w:val="nil"/>
              <w:bottom w:val="nil"/>
              <w:right w:val="nil"/>
            </w:tcBorders>
            <w:vAlign w:val="bottom"/>
          </w:tcPr>
          <w:p w14:paraId="6F56AB58" w14:textId="59A4E344"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84.00</w:t>
            </w:r>
          </w:p>
        </w:tc>
        <w:tc>
          <w:tcPr>
            <w:tcW w:w="1418" w:type="dxa"/>
            <w:tcBorders>
              <w:top w:val="nil"/>
              <w:left w:val="nil"/>
              <w:bottom w:val="nil"/>
              <w:right w:val="nil"/>
            </w:tcBorders>
            <w:vAlign w:val="bottom"/>
          </w:tcPr>
          <w:p w14:paraId="6AF84FC5" w14:textId="43D7D64B"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84.67</w:t>
            </w:r>
          </w:p>
        </w:tc>
        <w:tc>
          <w:tcPr>
            <w:tcW w:w="1417" w:type="dxa"/>
            <w:tcBorders>
              <w:top w:val="nil"/>
              <w:left w:val="nil"/>
              <w:bottom w:val="nil"/>
              <w:right w:val="nil"/>
            </w:tcBorders>
            <w:vAlign w:val="bottom"/>
          </w:tcPr>
          <w:p w14:paraId="53191BB2" w14:textId="02A4322C"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84.33</w:t>
            </w:r>
          </w:p>
        </w:tc>
        <w:tc>
          <w:tcPr>
            <w:tcW w:w="1276" w:type="dxa"/>
            <w:tcBorders>
              <w:top w:val="nil"/>
              <w:left w:val="nil"/>
              <w:bottom w:val="nil"/>
              <w:right w:val="nil"/>
            </w:tcBorders>
            <w:vAlign w:val="bottom"/>
          </w:tcPr>
          <w:p w14:paraId="0548617F" w14:textId="5A140117"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85.48</w:t>
            </w:r>
          </w:p>
        </w:tc>
        <w:tc>
          <w:tcPr>
            <w:tcW w:w="1276" w:type="dxa"/>
            <w:tcBorders>
              <w:top w:val="nil"/>
              <w:left w:val="nil"/>
              <w:bottom w:val="nil"/>
              <w:right w:val="nil"/>
            </w:tcBorders>
            <w:vAlign w:val="bottom"/>
          </w:tcPr>
          <w:p w14:paraId="44D0F2D8" w14:textId="3A8D2068"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84.82</w:t>
            </w:r>
          </w:p>
        </w:tc>
        <w:tc>
          <w:tcPr>
            <w:tcW w:w="1051" w:type="dxa"/>
            <w:tcBorders>
              <w:top w:val="nil"/>
              <w:left w:val="nil"/>
              <w:bottom w:val="nil"/>
              <w:right w:val="nil"/>
            </w:tcBorders>
            <w:vAlign w:val="bottom"/>
          </w:tcPr>
          <w:p w14:paraId="1F011AAB" w14:textId="4BF13E24"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85.15</w:t>
            </w:r>
          </w:p>
        </w:tc>
      </w:tr>
      <w:tr w:rsidR="000E0285" w:rsidRPr="000E0285" w14:paraId="33E531AB" w14:textId="77777777" w:rsidTr="008B03BF">
        <w:tc>
          <w:tcPr>
            <w:tcW w:w="1276" w:type="dxa"/>
            <w:tcBorders>
              <w:top w:val="nil"/>
              <w:left w:val="nil"/>
              <w:bottom w:val="nil"/>
              <w:right w:val="nil"/>
            </w:tcBorders>
            <w:vAlign w:val="bottom"/>
          </w:tcPr>
          <w:p w14:paraId="29842685" w14:textId="00D259BC"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5</w:t>
            </w:r>
          </w:p>
        </w:tc>
        <w:tc>
          <w:tcPr>
            <w:tcW w:w="4536" w:type="dxa"/>
            <w:tcBorders>
              <w:top w:val="nil"/>
              <w:left w:val="nil"/>
              <w:bottom w:val="nil"/>
              <w:right w:val="nil"/>
            </w:tcBorders>
          </w:tcPr>
          <w:p w14:paraId="4DC68F90" w14:textId="51DDE5E9"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SA at </w:t>
            </w:r>
            <w:r w:rsidR="000E0285" w:rsidRPr="000E0285">
              <w:rPr>
                <w:rFonts w:ascii="Times New Roman" w:hAnsi="Times New Roman" w:cs="Times New Roman"/>
                <w:szCs w:val="24"/>
              </w:rPr>
              <w:t>Vegetative+anthesis stage@800ppm</w:t>
            </w:r>
          </w:p>
        </w:tc>
        <w:tc>
          <w:tcPr>
            <w:tcW w:w="1559" w:type="dxa"/>
            <w:tcBorders>
              <w:top w:val="nil"/>
              <w:left w:val="nil"/>
              <w:bottom w:val="nil"/>
              <w:right w:val="nil"/>
            </w:tcBorders>
            <w:vAlign w:val="bottom"/>
          </w:tcPr>
          <w:p w14:paraId="557E5995" w14:textId="25AF813C"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79.33</w:t>
            </w:r>
          </w:p>
        </w:tc>
        <w:tc>
          <w:tcPr>
            <w:tcW w:w="1418" w:type="dxa"/>
            <w:tcBorders>
              <w:top w:val="nil"/>
              <w:left w:val="nil"/>
              <w:bottom w:val="nil"/>
              <w:right w:val="nil"/>
            </w:tcBorders>
            <w:vAlign w:val="bottom"/>
          </w:tcPr>
          <w:p w14:paraId="6B3F93E6" w14:textId="4A44C533"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81.67</w:t>
            </w:r>
          </w:p>
        </w:tc>
        <w:tc>
          <w:tcPr>
            <w:tcW w:w="1417" w:type="dxa"/>
            <w:tcBorders>
              <w:top w:val="nil"/>
              <w:left w:val="nil"/>
              <w:bottom w:val="nil"/>
              <w:right w:val="nil"/>
            </w:tcBorders>
            <w:vAlign w:val="bottom"/>
          </w:tcPr>
          <w:p w14:paraId="0119D88B" w14:textId="488B5E6F"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szCs w:val="24"/>
              </w:rPr>
              <w:t>80.50</w:t>
            </w:r>
          </w:p>
        </w:tc>
        <w:tc>
          <w:tcPr>
            <w:tcW w:w="1276" w:type="dxa"/>
            <w:tcBorders>
              <w:top w:val="nil"/>
              <w:left w:val="nil"/>
              <w:bottom w:val="nil"/>
              <w:right w:val="nil"/>
            </w:tcBorders>
            <w:vAlign w:val="bottom"/>
          </w:tcPr>
          <w:p w14:paraId="5794F4E2" w14:textId="4C7AC5F7"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82.10</w:t>
            </w:r>
          </w:p>
        </w:tc>
        <w:tc>
          <w:tcPr>
            <w:tcW w:w="1276" w:type="dxa"/>
            <w:tcBorders>
              <w:top w:val="nil"/>
              <w:left w:val="nil"/>
              <w:bottom w:val="nil"/>
              <w:right w:val="nil"/>
            </w:tcBorders>
            <w:vAlign w:val="bottom"/>
          </w:tcPr>
          <w:p w14:paraId="08835846" w14:textId="5321086D"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82.63</w:t>
            </w:r>
          </w:p>
        </w:tc>
        <w:tc>
          <w:tcPr>
            <w:tcW w:w="1051" w:type="dxa"/>
            <w:tcBorders>
              <w:top w:val="nil"/>
              <w:left w:val="nil"/>
              <w:bottom w:val="nil"/>
              <w:right w:val="nil"/>
            </w:tcBorders>
            <w:vAlign w:val="bottom"/>
          </w:tcPr>
          <w:p w14:paraId="31DE3006" w14:textId="00E9C9F1"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82.36</w:t>
            </w:r>
          </w:p>
        </w:tc>
      </w:tr>
      <w:tr w:rsidR="000E0285" w:rsidRPr="000E0285" w14:paraId="05599163" w14:textId="77777777" w:rsidTr="008B03BF">
        <w:tc>
          <w:tcPr>
            <w:tcW w:w="1276" w:type="dxa"/>
            <w:tcBorders>
              <w:top w:val="nil"/>
              <w:left w:val="nil"/>
              <w:bottom w:val="nil"/>
              <w:right w:val="nil"/>
            </w:tcBorders>
            <w:vAlign w:val="bottom"/>
          </w:tcPr>
          <w:p w14:paraId="67BDA06A" w14:textId="5F3A2149"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6</w:t>
            </w:r>
          </w:p>
        </w:tc>
        <w:tc>
          <w:tcPr>
            <w:tcW w:w="4536" w:type="dxa"/>
            <w:tcBorders>
              <w:top w:val="nil"/>
              <w:left w:val="nil"/>
              <w:bottom w:val="nil"/>
              <w:right w:val="nil"/>
            </w:tcBorders>
          </w:tcPr>
          <w:p w14:paraId="70BFDE84" w14:textId="787A835C"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CCC at </w:t>
            </w:r>
            <w:r w:rsidR="000E0285" w:rsidRPr="000E0285">
              <w:rPr>
                <w:rFonts w:ascii="Times New Roman" w:hAnsi="Times New Roman" w:cs="Times New Roman"/>
                <w:szCs w:val="24"/>
              </w:rPr>
              <w:t>Vegetative+anthesis stage@400ppm</w:t>
            </w:r>
          </w:p>
        </w:tc>
        <w:tc>
          <w:tcPr>
            <w:tcW w:w="1559" w:type="dxa"/>
            <w:tcBorders>
              <w:top w:val="nil"/>
              <w:left w:val="nil"/>
              <w:bottom w:val="nil"/>
              <w:right w:val="nil"/>
            </w:tcBorders>
            <w:vAlign w:val="bottom"/>
          </w:tcPr>
          <w:p w14:paraId="0BC87042" w14:textId="58FDA7AC"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69.00</w:t>
            </w:r>
          </w:p>
        </w:tc>
        <w:tc>
          <w:tcPr>
            <w:tcW w:w="1418" w:type="dxa"/>
            <w:tcBorders>
              <w:top w:val="nil"/>
              <w:left w:val="nil"/>
              <w:bottom w:val="nil"/>
              <w:right w:val="nil"/>
            </w:tcBorders>
            <w:vAlign w:val="bottom"/>
          </w:tcPr>
          <w:p w14:paraId="238742A9" w14:textId="4B4E1A15"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70.33</w:t>
            </w:r>
          </w:p>
        </w:tc>
        <w:tc>
          <w:tcPr>
            <w:tcW w:w="1417" w:type="dxa"/>
            <w:tcBorders>
              <w:top w:val="nil"/>
              <w:left w:val="nil"/>
              <w:bottom w:val="nil"/>
              <w:right w:val="nil"/>
            </w:tcBorders>
            <w:vAlign w:val="bottom"/>
          </w:tcPr>
          <w:p w14:paraId="17150718" w14:textId="698AD0DB"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69.66</w:t>
            </w:r>
          </w:p>
        </w:tc>
        <w:tc>
          <w:tcPr>
            <w:tcW w:w="1276" w:type="dxa"/>
            <w:tcBorders>
              <w:top w:val="nil"/>
              <w:left w:val="nil"/>
              <w:bottom w:val="nil"/>
              <w:right w:val="nil"/>
            </w:tcBorders>
            <w:vAlign w:val="bottom"/>
          </w:tcPr>
          <w:p w14:paraId="1CBDD1F4" w14:textId="1D09832D"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77.21</w:t>
            </w:r>
          </w:p>
        </w:tc>
        <w:tc>
          <w:tcPr>
            <w:tcW w:w="1276" w:type="dxa"/>
            <w:tcBorders>
              <w:top w:val="nil"/>
              <w:left w:val="nil"/>
              <w:bottom w:val="nil"/>
              <w:right w:val="nil"/>
            </w:tcBorders>
            <w:vAlign w:val="bottom"/>
          </w:tcPr>
          <w:p w14:paraId="392C33E4" w14:textId="354D24DA"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75.88</w:t>
            </w:r>
          </w:p>
        </w:tc>
        <w:tc>
          <w:tcPr>
            <w:tcW w:w="1051" w:type="dxa"/>
            <w:tcBorders>
              <w:top w:val="nil"/>
              <w:left w:val="nil"/>
              <w:bottom w:val="nil"/>
              <w:right w:val="nil"/>
            </w:tcBorders>
            <w:vAlign w:val="bottom"/>
          </w:tcPr>
          <w:p w14:paraId="6FCF78C8" w14:textId="23F4D461"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76.54</w:t>
            </w:r>
          </w:p>
        </w:tc>
      </w:tr>
      <w:tr w:rsidR="000E0285" w:rsidRPr="000E0285" w14:paraId="21AB69BA" w14:textId="77777777" w:rsidTr="008B03BF">
        <w:tc>
          <w:tcPr>
            <w:tcW w:w="1276" w:type="dxa"/>
            <w:tcBorders>
              <w:top w:val="nil"/>
              <w:left w:val="nil"/>
              <w:bottom w:val="nil"/>
              <w:right w:val="nil"/>
            </w:tcBorders>
            <w:vAlign w:val="bottom"/>
          </w:tcPr>
          <w:p w14:paraId="5B9CC6AC" w14:textId="4C386DE6"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7</w:t>
            </w:r>
          </w:p>
        </w:tc>
        <w:tc>
          <w:tcPr>
            <w:tcW w:w="4536" w:type="dxa"/>
            <w:tcBorders>
              <w:top w:val="nil"/>
              <w:left w:val="nil"/>
              <w:bottom w:val="nil"/>
              <w:right w:val="nil"/>
            </w:tcBorders>
          </w:tcPr>
          <w:p w14:paraId="287E9B5D" w14:textId="39FD1446"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CCC at </w:t>
            </w:r>
            <w:r w:rsidR="000E0285" w:rsidRPr="000E0285">
              <w:rPr>
                <w:rFonts w:ascii="Times New Roman" w:hAnsi="Times New Roman" w:cs="Times New Roman"/>
                <w:szCs w:val="24"/>
              </w:rPr>
              <w:t>Vegetative+anthesis stage@800ppm</w:t>
            </w:r>
          </w:p>
        </w:tc>
        <w:tc>
          <w:tcPr>
            <w:tcW w:w="1559" w:type="dxa"/>
            <w:tcBorders>
              <w:top w:val="nil"/>
              <w:left w:val="nil"/>
              <w:bottom w:val="nil"/>
              <w:right w:val="nil"/>
            </w:tcBorders>
            <w:vAlign w:val="bottom"/>
          </w:tcPr>
          <w:p w14:paraId="1C1B0153" w14:textId="16165943"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67.33</w:t>
            </w:r>
          </w:p>
        </w:tc>
        <w:tc>
          <w:tcPr>
            <w:tcW w:w="1418" w:type="dxa"/>
            <w:tcBorders>
              <w:top w:val="nil"/>
              <w:left w:val="nil"/>
              <w:bottom w:val="nil"/>
              <w:right w:val="nil"/>
            </w:tcBorders>
            <w:vAlign w:val="bottom"/>
          </w:tcPr>
          <w:p w14:paraId="530E8C04" w14:textId="0E4B6854"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68.33</w:t>
            </w:r>
          </w:p>
        </w:tc>
        <w:tc>
          <w:tcPr>
            <w:tcW w:w="1417" w:type="dxa"/>
            <w:tcBorders>
              <w:top w:val="nil"/>
              <w:left w:val="nil"/>
              <w:bottom w:val="nil"/>
              <w:right w:val="nil"/>
            </w:tcBorders>
            <w:vAlign w:val="bottom"/>
          </w:tcPr>
          <w:p w14:paraId="701E5E80" w14:textId="0D7B576D"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67.83</w:t>
            </w:r>
          </w:p>
        </w:tc>
        <w:tc>
          <w:tcPr>
            <w:tcW w:w="1276" w:type="dxa"/>
            <w:tcBorders>
              <w:top w:val="nil"/>
              <w:left w:val="nil"/>
              <w:bottom w:val="nil"/>
              <w:right w:val="nil"/>
            </w:tcBorders>
            <w:vAlign w:val="bottom"/>
          </w:tcPr>
          <w:p w14:paraId="581C47AA" w14:textId="10FA2526"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76.70</w:t>
            </w:r>
          </w:p>
        </w:tc>
        <w:tc>
          <w:tcPr>
            <w:tcW w:w="1276" w:type="dxa"/>
            <w:tcBorders>
              <w:top w:val="nil"/>
              <w:left w:val="nil"/>
              <w:bottom w:val="nil"/>
              <w:right w:val="nil"/>
            </w:tcBorders>
            <w:vAlign w:val="bottom"/>
          </w:tcPr>
          <w:p w14:paraId="4FF625A4" w14:textId="6B8B7E35"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75.63</w:t>
            </w:r>
          </w:p>
        </w:tc>
        <w:tc>
          <w:tcPr>
            <w:tcW w:w="1051" w:type="dxa"/>
            <w:tcBorders>
              <w:top w:val="nil"/>
              <w:left w:val="nil"/>
              <w:bottom w:val="nil"/>
              <w:right w:val="nil"/>
            </w:tcBorders>
            <w:vAlign w:val="bottom"/>
          </w:tcPr>
          <w:p w14:paraId="310ED919" w14:textId="02845F11"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76.16</w:t>
            </w:r>
          </w:p>
        </w:tc>
      </w:tr>
      <w:tr w:rsidR="000E0285" w:rsidRPr="000E0285" w14:paraId="54E71A4E" w14:textId="77777777" w:rsidTr="008B03BF">
        <w:tc>
          <w:tcPr>
            <w:tcW w:w="1276" w:type="dxa"/>
            <w:tcBorders>
              <w:top w:val="nil"/>
              <w:left w:val="nil"/>
              <w:bottom w:val="nil"/>
              <w:right w:val="nil"/>
            </w:tcBorders>
            <w:vAlign w:val="bottom"/>
          </w:tcPr>
          <w:p w14:paraId="4CC4C66F" w14:textId="58381269"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8</w:t>
            </w:r>
          </w:p>
        </w:tc>
        <w:tc>
          <w:tcPr>
            <w:tcW w:w="4536" w:type="dxa"/>
            <w:tcBorders>
              <w:top w:val="nil"/>
              <w:left w:val="nil"/>
              <w:bottom w:val="nil"/>
              <w:right w:val="nil"/>
            </w:tcBorders>
          </w:tcPr>
          <w:p w14:paraId="33FD6ECF" w14:textId="3550739A"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7640B6">
              <w:rPr>
                <w:rFonts w:ascii="Times New Roman" w:hAnsi="Times New Roman" w:cs="Times New Roman"/>
                <w:szCs w:val="24"/>
              </w:rPr>
              <w:t xml:space="preserve">AA at </w:t>
            </w:r>
            <w:r w:rsidRPr="000E0285">
              <w:rPr>
                <w:rFonts w:ascii="Times New Roman" w:hAnsi="Times New Roman" w:cs="Times New Roman"/>
                <w:szCs w:val="24"/>
              </w:rPr>
              <w:t>Vegetative+anthesis stage@10ppm</w:t>
            </w:r>
          </w:p>
        </w:tc>
        <w:tc>
          <w:tcPr>
            <w:tcW w:w="1559" w:type="dxa"/>
            <w:tcBorders>
              <w:top w:val="nil"/>
              <w:left w:val="nil"/>
              <w:bottom w:val="nil"/>
              <w:right w:val="nil"/>
            </w:tcBorders>
            <w:vAlign w:val="bottom"/>
          </w:tcPr>
          <w:p w14:paraId="1C90D6EA" w14:textId="726B28C4"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77.67</w:t>
            </w:r>
          </w:p>
        </w:tc>
        <w:tc>
          <w:tcPr>
            <w:tcW w:w="1418" w:type="dxa"/>
            <w:tcBorders>
              <w:top w:val="nil"/>
              <w:left w:val="nil"/>
              <w:bottom w:val="nil"/>
              <w:right w:val="nil"/>
            </w:tcBorders>
            <w:vAlign w:val="bottom"/>
          </w:tcPr>
          <w:p w14:paraId="7B918F11" w14:textId="7DEE2A0A"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80.00</w:t>
            </w:r>
          </w:p>
        </w:tc>
        <w:tc>
          <w:tcPr>
            <w:tcW w:w="1417" w:type="dxa"/>
            <w:tcBorders>
              <w:top w:val="nil"/>
              <w:left w:val="nil"/>
              <w:bottom w:val="nil"/>
              <w:right w:val="nil"/>
            </w:tcBorders>
            <w:vAlign w:val="bottom"/>
          </w:tcPr>
          <w:p w14:paraId="1A2A8AFF" w14:textId="3F0B06EE"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szCs w:val="24"/>
              </w:rPr>
              <w:t>78.83</w:t>
            </w:r>
          </w:p>
        </w:tc>
        <w:tc>
          <w:tcPr>
            <w:tcW w:w="1276" w:type="dxa"/>
            <w:tcBorders>
              <w:top w:val="nil"/>
              <w:left w:val="nil"/>
              <w:bottom w:val="nil"/>
              <w:right w:val="nil"/>
            </w:tcBorders>
            <w:vAlign w:val="bottom"/>
          </w:tcPr>
          <w:p w14:paraId="6D230A03" w14:textId="676FE770"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81.90</w:t>
            </w:r>
          </w:p>
        </w:tc>
        <w:tc>
          <w:tcPr>
            <w:tcW w:w="1276" w:type="dxa"/>
            <w:tcBorders>
              <w:top w:val="nil"/>
              <w:left w:val="nil"/>
              <w:bottom w:val="nil"/>
              <w:right w:val="nil"/>
            </w:tcBorders>
            <w:vAlign w:val="bottom"/>
          </w:tcPr>
          <w:p w14:paraId="744409D3" w14:textId="6175AE3D"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82.30</w:t>
            </w:r>
          </w:p>
        </w:tc>
        <w:tc>
          <w:tcPr>
            <w:tcW w:w="1051" w:type="dxa"/>
            <w:tcBorders>
              <w:top w:val="nil"/>
              <w:left w:val="nil"/>
              <w:bottom w:val="nil"/>
              <w:right w:val="nil"/>
            </w:tcBorders>
            <w:vAlign w:val="bottom"/>
          </w:tcPr>
          <w:p w14:paraId="7139E3DA" w14:textId="5C69823D"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82.10</w:t>
            </w:r>
          </w:p>
        </w:tc>
      </w:tr>
      <w:tr w:rsidR="000E0285" w:rsidRPr="000E0285" w14:paraId="72072609" w14:textId="77777777" w:rsidTr="008B03BF">
        <w:tc>
          <w:tcPr>
            <w:tcW w:w="1276" w:type="dxa"/>
            <w:tcBorders>
              <w:top w:val="nil"/>
              <w:left w:val="nil"/>
              <w:bottom w:val="nil"/>
              <w:right w:val="nil"/>
            </w:tcBorders>
            <w:vAlign w:val="bottom"/>
          </w:tcPr>
          <w:p w14:paraId="307826DE" w14:textId="4ABACFF1"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9</w:t>
            </w:r>
          </w:p>
        </w:tc>
        <w:tc>
          <w:tcPr>
            <w:tcW w:w="4536" w:type="dxa"/>
            <w:tcBorders>
              <w:top w:val="nil"/>
              <w:left w:val="nil"/>
              <w:bottom w:val="nil"/>
              <w:right w:val="nil"/>
            </w:tcBorders>
          </w:tcPr>
          <w:p w14:paraId="0C77D8A3" w14:textId="260DFC8F" w:rsidR="000E0285" w:rsidRPr="007640B6" w:rsidRDefault="007640B6" w:rsidP="000E0285">
            <w:pPr>
              <w:spacing w:line="276" w:lineRule="auto"/>
              <w:jc w:val="both"/>
              <w:rPr>
                <w:rFonts w:ascii="Times New Roman" w:hAnsi="Times New Roman" w:cs="Times New Roman"/>
                <w:szCs w:val="24"/>
              </w:rPr>
            </w:pPr>
            <w:r>
              <w:rPr>
                <w:rFonts w:ascii="Times New Roman" w:hAnsi="Times New Roman" w:cs="Times New Roman"/>
                <w:szCs w:val="24"/>
              </w:rPr>
              <w:t xml:space="preserve">KCL at </w:t>
            </w:r>
            <w:r w:rsidR="000E0285" w:rsidRPr="000E0285">
              <w:rPr>
                <w:rFonts w:ascii="Times New Roman" w:hAnsi="Times New Roman" w:cs="Times New Roman"/>
                <w:szCs w:val="24"/>
              </w:rPr>
              <w:t>Vegetative+anthesis stage@10000ppm</w:t>
            </w:r>
          </w:p>
        </w:tc>
        <w:tc>
          <w:tcPr>
            <w:tcW w:w="1559" w:type="dxa"/>
            <w:tcBorders>
              <w:top w:val="nil"/>
              <w:left w:val="nil"/>
              <w:bottom w:val="nil"/>
              <w:right w:val="nil"/>
            </w:tcBorders>
            <w:vAlign w:val="bottom"/>
          </w:tcPr>
          <w:p w14:paraId="6CBE8B5A" w14:textId="1407E7B5"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76.33</w:t>
            </w:r>
          </w:p>
        </w:tc>
        <w:tc>
          <w:tcPr>
            <w:tcW w:w="1418" w:type="dxa"/>
            <w:tcBorders>
              <w:top w:val="nil"/>
              <w:left w:val="nil"/>
              <w:bottom w:val="nil"/>
              <w:right w:val="nil"/>
            </w:tcBorders>
            <w:vAlign w:val="bottom"/>
          </w:tcPr>
          <w:p w14:paraId="64F4E6FE" w14:textId="34CFC56F"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78.67</w:t>
            </w:r>
          </w:p>
        </w:tc>
        <w:tc>
          <w:tcPr>
            <w:tcW w:w="1417" w:type="dxa"/>
            <w:tcBorders>
              <w:top w:val="nil"/>
              <w:left w:val="nil"/>
              <w:bottom w:val="nil"/>
              <w:right w:val="nil"/>
            </w:tcBorders>
            <w:vAlign w:val="bottom"/>
          </w:tcPr>
          <w:p w14:paraId="224E7C50" w14:textId="6FA9463C"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szCs w:val="24"/>
              </w:rPr>
              <w:t>77.50</w:t>
            </w:r>
          </w:p>
        </w:tc>
        <w:tc>
          <w:tcPr>
            <w:tcW w:w="1276" w:type="dxa"/>
            <w:tcBorders>
              <w:top w:val="nil"/>
              <w:left w:val="nil"/>
              <w:bottom w:val="nil"/>
              <w:right w:val="nil"/>
            </w:tcBorders>
            <w:vAlign w:val="bottom"/>
          </w:tcPr>
          <w:p w14:paraId="3803BAF7" w14:textId="4B0E9C36"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80.70</w:t>
            </w:r>
          </w:p>
        </w:tc>
        <w:tc>
          <w:tcPr>
            <w:tcW w:w="1276" w:type="dxa"/>
            <w:tcBorders>
              <w:top w:val="nil"/>
              <w:left w:val="nil"/>
              <w:bottom w:val="nil"/>
              <w:right w:val="nil"/>
            </w:tcBorders>
            <w:vAlign w:val="bottom"/>
          </w:tcPr>
          <w:p w14:paraId="02286E86" w14:textId="7AAA4514"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81.07</w:t>
            </w:r>
          </w:p>
        </w:tc>
        <w:tc>
          <w:tcPr>
            <w:tcW w:w="1051" w:type="dxa"/>
            <w:tcBorders>
              <w:top w:val="nil"/>
              <w:left w:val="nil"/>
              <w:bottom w:val="nil"/>
              <w:right w:val="nil"/>
            </w:tcBorders>
            <w:vAlign w:val="bottom"/>
          </w:tcPr>
          <w:p w14:paraId="6424C785" w14:textId="461A396D"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80.88</w:t>
            </w:r>
          </w:p>
        </w:tc>
      </w:tr>
      <w:tr w:rsidR="000E0285" w:rsidRPr="000E0285" w14:paraId="3CC60AB8" w14:textId="77777777" w:rsidTr="008B03BF">
        <w:tc>
          <w:tcPr>
            <w:tcW w:w="1276" w:type="dxa"/>
            <w:tcBorders>
              <w:top w:val="nil"/>
              <w:left w:val="nil"/>
              <w:bottom w:val="nil"/>
              <w:right w:val="nil"/>
            </w:tcBorders>
            <w:vAlign w:val="bottom"/>
          </w:tcPr>
          <w:p w14:paraId="767EF7DD" w14:textId="49BB883D"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10</w:t>
            </w:r>
          </w:p>
        </w:tc>
        <w:tc>
          <w:tcPr>
            <w:tcW w:w="4536" w:type="dxa"/>
            <w:tcBorders>
              <w:top w:val="nil"/>
              <w:left w:val="nil"/>
              <w:bottom w:val="nil"/>
              <w:right w:val="nil"/>
            </w:tcBorders>
          </w:tcPr>
          <w:p w14:paraId="7FF7D789" w14:textId="1BB5C0D7"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Ethrel at </w:t>
            </w:r>
            <w:r w:rsidR="000E0285" w:rsidRPr="000E0285">
              <w:rPr>
                <w:rFonts w:ascii="Times New Roman" w:hAnsi="Times New Roman" w:cs="Times New Roman"/>
                <w:szCs w:val="24"/>
              </w:rPr>
              <w:t>25 days after sowing@250ppm</w:t>
            </w:r>
          </w:p>
        </w:tc>
        <w:tc>
          <w:tcPr>
            <w:tcW w:w="1559" w:type="dxa"/>
            <w:tcBorders>
              <w:top w:val="nil"/>
              <w:left w:val="nil"/>
              <w:bottom w:val="nil"/>
              <w:right w:val="nil"/>
            </w:tcBorders>
            <w:vAlign w:val="bottom"/>
          </w:tcPr>
          <w:p w14:paraId="6214A585" w14:textId="0E50D204"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74.00</w:t>
            </w:r>
          </w:p>
        </w:tc>
        <w:tc>
          <w:tcPr>
            <w:tcW w:w="1418" w:type="dxa"/>
            <w:tcBorders>
              <w:top w:val="nil"/>
              <w:left w:val="nil"/>
              <w:bottom w:val="nil"/>
              <w:right w:val="nil"/>
            </w:tcBorders>
            <w:vAlign w:val="bottom"/>
          </w:tcPr>
          <w:p w14:paraId="4D1EB7CE" w14:textId="21D5FA49"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76.00</w:t>
            </w:r>
          </w:p>
        </w:tc>
        <w:tc>
          <w:tcPr>
            <w:tcW w:w="1417" w:type="dxa"/>
            <w:tcBorders>
              <w:top w:val="nil"/>
              <w:left w:val="nil"/>
              <w:bottom w:val="nil"/>
              <w:right w:val="nil"/>
            </w:tcBorders>
            <w:vAlign w:val="bottom"/>
          </w:tcPr>
          <w:p w14:paraId="2E7E4788" w14:textId="6701211E"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75.00</w:t>
            </w:r>
          </w:p>
        </w:tc>
        <w:tc>
          <w:tcPr>
            <w:tcW w:w="1276" w:type="dxa"/>
            <w:tcBorders>
              <w:top w:val="nil"/>
              <w:left w:val="nil"/>
              <w:bottom w:val="nil"/>
              <w:right w:val="nil"/>
            </w:tcBorders>
            <w:vAlign w:val="bottom"/>
          </w:tcPr>
          <w:p w14:paraId="3D8B0340" w14:textId="0A8BAC5F"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79.44</w:t>
            </w:r>
          </w:p>
        </w:tc>
        <w:tc>
          <w:tcPr>
            <w:tcW w:w="1276" w:type="dxa"/>
            <w:tcBorders>
              <w:top w:val="nil"/>
              <w:left w:val="nil"/>
              <w:bottom w:val="nil"/>
              <w:right w:val="nil"/>
            </w:tcBorders>
            <w:vAlign w:val="bottom"/>
          </w:tcPr>
          <w:p w14:paraId="190875BC" w14:textId="7129182F"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78.84</w:t>
            </w:r>
          </w:p>
        </w:tc>
        <w:tc>
          <w:tcPr>
            <w:tcW w:w="1051" w:type="dxa"/>
            <w:tcBorders>
              <w:top w:val="nil"/>
              <w:left w:val="nil"/>
              <w:bottom w:val="nil"/>
              <w:right w:val="nil"/>
            </w:tcBorders>
            <w:vAlign w:val="bottom"/>
          </w:tcPr>
          <w:p w14:paraId="74996BB6" w14:textId="7719EE83"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79.14</w:t>
            </w:r>
          </w:p>
        </w:tc>
      </w:tr>
      <w:tr w:rsidR="000E0285" w:rsidRPr="000E0285" w14:paraId="498E76E0" w14:textId="77777777" w:rsidTr="008B03BF">
        <w:tc>
          <w:tcPr>
            <w:tcW w:w="1276" w:type="dxa"/>
            <w:tcBorders>
              <w:top w:val="nil"/>
              <w:left w:val="nil"/>
              <w:bottom w:val="nil"/>
              <w:right w:val="nil"/>
            </w:tcBorders>
            <w:vAlign w:val="bottom"/>
          </w:tcPr>
          <w:p w14:paraId="7DCD84B9" w14:textId="0888BB77"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11</w:t>
            </w:r>
          </w:p>
        </w:tc>
        <w:tc>
          <w:tcPr>
            <w:tcW w:w="4536" w:type="dxa"/>
            <w:tcBorders>
              <w:top w:val="nil"/>
              <w:left w:val="nil"/>
              <w:bottom w:val="nil"/>
              <w:right w:val="nil"/>
            </w:tcBorders>
          </w:tcPr>
          <w:p w14:paraId="5069A2C5" w14:textId="4D47D29B"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Boron at </w:t>
            </w:r>
            <w:r w:rsidR="000E0285" w:rsidRPr="000E0285">
              <w:rPr>
                <w:rFonts w:ascii="Times New Roman" w:hAnsi="Times New Roman" w:cs="Times New Roman"/>
                <w:szCs w:val="24"/>
              </w:rPr>
              <w:t>45 days after sowing@2500ppm</w:t>
            </w:r>
          </w:p>
        </w:tc>
        <w:tc>
          <w:tcPr>
            <w:tcW w:w="1559" w:type="dxa"/>
            <w:tcBorders>
              <w:top w:val="nil"/>
              <w:left w:val="nil"/>
              <w:bottom w:val="nil"/>
              <w:right w:val="nil"/>
            </w:tcBorders>
            <w:vAlign w:val="bottom"/>
          </w:tcPr>
          <w:p w14:paraId="7F963941" w14:textId="4D958CF7"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72.00</w:t>
            </w:r>
          </w:p>
        </w:tc>
        <w:tc>
          <w:tcPr>
            <w:tcW w:w="1418" w:type="dxa"/>
            <w:tcBorders>
              <w:top w:val="nil"/>
              <w:left w:val="nil"/>
              <w:bottom w:val="nil"/>
              <w:right w:val="nil"/>
            </w:tcBorders>
            <w:vAlign w:val="bottom"/>
          </w:tcPr>
          <w:p w14:paraId="411F5CB6" w14:textId="28EF7686"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74.33</w:t>
            </w:r>
          </w:p>
        </w:tc>
        <w:tc>
          <w:tcPr>
            <w:tcW w:w="1417" w:type="dxa"/>
            <w:tcBorders>
              <w:top w:val="nil"/>
              <w:left w:val="nil"/>
              <w:bottom w:val="nil"/>
              <w:right w:val="nil"/>
            </w:tcBorders>
            <w:vAlign w:val="bottom"/>
          </w:tcPr>
          <w:p w14:paraId="6B3493BF" w14:textId="2C66BA6F"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szCs w:val="24"/>
              </w:rPr>
              <w:t>73.16</w:t>
            </w:r>
          </w:p>
        </w:tc>
        <w:tc>
          <w:tcPr>
            <w:tcW w:w="1276" w:type="dxa"/>
            <w:tcBorders>
              <w:top w:val="nil"/>
              <w:left w:val="nil"/>
              <w:bottom w:val="nil"/>
              <w:right w:val="nil"/>
            </w:tcBorders>
            <w:vAlign w:val="bottom"/>
          </w:tcPr>
          <w:p w14:paraId="5B14FA39" w14:textId="2B606971"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78.15</w:t>
            </w:r>
          </w:p>
        </w:tc>
        <w:tc>
          <w:tcPr>
            <w:tcW w:w="1276" w:type="dxa"/>
            <w:tcBorders>
              <w:top w:val="nil"/>
              <w:left w:val="nil"/>
              <w:bottom w:val="nil"/>
              <w:right w:val="nil"/>
            </w:tcBorders>
            <w:vAlign w:val="bottom"/>
          </w:tcPr>
          <w:p w14:paraId="4ED05604" w14:textId="5091B018"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76.92</w:t>
            </w:r>
          </w:p>
        </w:tc>
        <w:tc>
          <w:tcPr>
            <w:tcW w:w="1051" w:type="dxa"/>
            <w:tcBorders>
              <w:top w:val="nil"/>
              <w:left w:val="nil"/>
              <w:bottom w:val="nil"/>
              <w:right w:val="nil"/>
            </w:tcBorders>
            <w:vAlign w:val="bottom"/>
          </w:tcPr>
          <w:p w14:paraId="2980B437" w14:textId="38E00CEE"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77.53</w:t>
            </w:r>
          </w:p>
        </w:tc>
      </w:tr>
      <w:tr w:rsidR="000E0285" w:rsidRPr="000E0285" w14:paraId="48BDC79A" w14:textId="77777777" w:rsidTr="008B03BF">
        <w:tc>
          <w:tcPr>
            <w:tcW w:w="1276" w:type="dxa"/>
            <w:tcBorders>
              <w:top w:val="nil"/>
              <w:left w:val="nil"/>
              <w:bottom w:val="single" w:sz="4" w:space="0" w:color="auto"/>
              <w:right w:val="nil"/>
            </w:tcBorders>
            <w:vAlign w:val="bottom"/>
          </w:tcPr>
          <w:p w14:paraId="602582FE" w14:textId="2754F260"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12</w:t>
            </w:r>
          </w:p>
        </w:tc>
        <w:tc>
          <w:tcPr>
            <w:tcW w:w="4536" w:type="dxa"/>
            <w:tcBorders>
              <w:top w:val="nil"/>
              <w:left w:val="nil"/>
              <w:bottom w:val="single" w:sz="4" w:space="0" w:color="auto"/>
              <w:right w:val="nil"/>
            </w:tcBorders>
          </w:tcPr>
          <w:p w14:paraId="1A1F247D" w14:textId="334EAC95"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Ethrel + Boron</w:t>
            </w:r>
            <w:r w:rsidR="000E0285" w:rsidRPr="000E0285">
              <w:rPr>
                <w:rFonts w:ascii="Times New Roman" w:hAnsi="Times New Roman" w:cs="Times New Roman"/>
                <w:szCs w:val="24"/>
              </w:rPr>
              <w:t xml:space="preserve"> 45 days after sowing [Resp.@250ppm+2500ppm]</w:t>
            </w:r>
          </w:p>
        </w:tc>
        <w:tc>
          <w:tcPr>
            <w:tcW w:w="1559" w:type="dxa"/>
            <w:tcBorders>
              <w:top w:val="nil"/>
              <w:left w:val="nil"/>
              <w:bottom w:val="single" w:sz="4" w:space="0" w:color="auto"/>
              <w:right w:val="nil"/>
            </w:tcBorders>
            <w:vAlign w:val="bottom"/>
          </w:tcPr>
          <w:p w14:paraId="37C79D90" w14:textId="7D4DAB54"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74.67</w:t>
            </w:r>
          </w:p>
        </w:tc>
        <w:tc>
          <w:tcPr>
            <w:tcW w:w="1418" w:type="dxa"/>
            <w:tcBorders>
              <w:top w:val="nil"/>
              <w:left w:val="nil"/>
              <w:bottom w:val="single" w:sz="4" w:space="0" w:color="auto"/>
              <w:right w:val="nil"/>
            </w:tcBorders>
            <w:vAlign w:val="bottom"/>
          </w:tcPr>
          <w:p w14:paraId="7FF46218" w14:textId="05A2A868"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77.00</w:t>
            </w:r>
          </w:p>
        </w:tc>
        <w:tc>
          <w:tcPr>
            <w:tcW w:w="1417" w:type="dxa"/>
            <w:tcBorders>
              <w:top w:val="nil"/>
              <w:left w:val="nil"/>
              <w:bottom w:val="single" w:sz="4" w:space="0" w:color="auto"/>
              <w:right w:val="nil"/>
            </w:tcBorders>
            <w:vAlign w:val="bottom"/>
          </w:tcPr>
          <w:p w14:paraId="5D64292E" w14:textId="731C5928"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szCs w:val="24"/>
              </w:rPr>
              <w:t>75.83</w:t>
            </w:r>
          </w:p>
        </w:tc>
        <w:tc>
          <w:tcPr>
            <w:tcW w:w="1276" w:type="dxa"/>
            <w:tcBorders>
              <w:top w:val="nil"/>
              <w:left w:val="nil"/>
              <w:bottom w:val="single" w:sz="4" w:space="0" w:color="auto"/>
              <w:right w:val="nil"/>
            </w:tcBorders>
            <w:vAlign w:val="bottom"/>
          </w:tcPr>
          <w:p w14:paraId="668CAA4B" w14:textId="2CB9DEFB"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80.13</w:t>
            </w:r>
          </w:p>
        </w:tc>
        <w:tc>
          <w:tcPr>
            <w:tcW w:w="1276" w:type="dxa"/>
            <w:tcBorders>
              <w:top w:val="nil"/>
              <w:left w:val="nil"/>
              <w:bottom w:val="single" w:sz="4" w:space="0" w:color="auto"/>
              <w:right w:val="nil"/>
            </w:tcBorders>
            <w:vAlign w:val="bottom"/>
          </w:tcPr>
          <w:p w14:paraId="3D6DDE41" w14:textId="001D6DA7"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80.47</w:t>
            </w:r>
          </w:p>
        </w:tc>
        <w:tc>
          <w:tcPr>
            <w:tcW w:w="1051" w:type="dxa"/>
            <w:tcBorders>
              <w:top w:val="nil"/>
              <w:left w:val="nil"/>
              <w:bottom w:val="single" w:sz="4" w:space="0" w:color="auto"/>
              <w:right w:val="nil"/>
            </w:tcBorders>
            <w:vAlign w:val="bottom"/>
          </w:tcPr>
          <w:p w14:paraId="3AF449BE" w14:textId="065CCB53"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80.3</w:t>
            </w:r>
          </w:p>
        </w:tc>
      </w:tr>
      <w:tr w:rsidR="00C6216C" w:rsidRPr="000E0285" w14:paraId="1B2791E5" w14:textId="77777777" w:rsidTr="00881A10">
        <w:tc>
          <w:tcPr>
            <w:tcW w:w="1276" w:type="dxa"/>
            <w:tcBorders>
              <w:top w:val="single" w:sz="4" w:space="0" w:color="auto"/>
              <w:left w:val="nil"/>
              <w:bottom w:val="nil"/>
              <w:right w:val="nil"/>
            </w:tcBorders>
          </w:tcPr>
          <w:p w14:paraId="2204CB89" w14:textId="12F21CFF" w:rsidR="00C6216C" w:rsidRPr="000E0285" w:rsidRDefault="00D862A5" w:rsidP="005D4A3A">
            <w:pPr>
              <w:spacing w:line="276" w:lineRule="auto"/>
              <w:jc w:val="both"/>
              <w:rPr>
                <w:rFonts w:ascii="Times New Roman" w:hAnsi="Times New Roman" w:cs="Times New Roman"/>
                <w:b/>
                <w:bCs/>
                <w:szCs w:val="24"/>
              </w:rPr>
            </w:pPr>
            <w:r w:rsidRPr="000E0285">
              <w:rPr>
                <w:rFonts w:ascii="Times New Roman" w:hAnsi="Times New Roman" w:cs="Times New Roman"/>
                <w:b/>
                <w:bCs/>
                <w:szCs w:val="24"/>
              </w:rPr>
              <w:t>SE (m±)</w:t>
            </w:r>
          </w:p>
        </w:tc>
        <w:tc>
          <w:tcPr>
            <w:tcW w:w="4536" w:type="dxa"/>
            <w:tcBorders>
              <w:top w:val="single" w:sz="4" w:space="0" w:color="auto"/>
              <w:left w:val="nil"/>
              <w:bottom w:val="nil"/>
              <w:right w:val="nil"/>
            </w:tcBorders>
          </w:tcPr>
          <w:p w14:paraId="2D011D03" w14:textId="77777777" w:rsidR="00C6216C" w:rsidRPr="000E0285" w:rsidRDefault="00C6216C" w:rsidP="005D4A3A">
            <w:pPr>
              <w:spacing w:line="276" w:lineRule="auto"/>
              <w:jc w:val="both"/>
              <w:rPr>
                <w:rFonts w:ascii="Times New Roman" w:hAnsi="Times New Roman" w:cs="Times New Roman"/>
                <w:b/>
                <w:bCs/>
                <w:szCs w:val="24"/>
              </w:rPr>
            </w:pPr>
          </w:p>
        </w:tc>
        <w:tc>
          <w:tcPr>
            <w:tcW w:w="1559" w:type="dxa"/>
            <w:tcBorders>
              <w:top w:val="single" w:sz="4" w:space="0" w:color="auto"/>
              <w:left w:val="nil"/>
              <w:bottom w:val="nil"/>
              <w:right w:val="nil"/>
            </w:tcBorders>
          </w:tcPr>
          <w:p w14:paraId="1EC2D88E" w14:textId="0AD14A6E" w:rsidR="00C6216C"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2.27</w:t>
            </w:r>
          </w:p>
        </w:tc>
        <w:tc>
          <w:tcPr>
            <w:tcW w:w="1418" w:type="dxa"/>
            <w:tcBorders>
              <w:top w:val="single" w:sz="4" w:space="0" w:color="auto"/>
              <w:left w:val="nil"/>
              <w:bottom w:val="nil"/>
              <w:right w:val="nil"/>
            </w:tcBorders>
          </w:tcPr>
          <w:p w14:paraId="33FA789C" w14:textId="5654DD30" w:rsidR="00C6216C"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2.31</w:t>
            </w:r>
          </w:p>
        </w:tc>
        <w:tc>
          <w:tcPr>
            <w:tcW w:w="1417" w:type="dxa"/>
            <w:tcBorders>
              <w:top w:val="single" w:sz="4" w:space="0" w:color="auto"/>
              <w:left w:val="nil"/>
              <w:bottom w:val="nil"/>
              <w:right w:val="nil"/>
            </w:tcBorders>
          </w:tcPr>
          <w:p w14:paraId="2AF1B4EA" w14:textId="73C2B12D" w:rsidR="00C6216C"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1.61</w:t>
            </w:r>
          </w:p>
        </w:tc>
        <w:tc>
          <w:tcPr>
            <w:tcW w:w="1276" w:type="dxa"/>
            <w:tcBorders>
              <w:top w:val="single" w:sz="4" w:space="0" w:color="auto"/>
              <w:left w:val="nil"/>
              <w:bottom w:val="nil"/>
              <w:right w:val="nil"/>
            </w:tcBorders>
          </w:tcPr>
          <w:p w14:paraId="15B65059" w14:textId="5A549739" w:rsidR="00C6216C" w:rsidRPr="000E0285" w:rsidRDefault="009D36BD"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2.33</w:t>
            </w:r>
          </w:p>
        </w:tc>
        <w:tc>
          <w:tcPr>
            <w:tcW w:w="1276" w:type="dxa"/>
            <w:tcBorders>
              <w:top w:val="single" w:sz="4" w:space="0" w:color="auto"/>
              <w:left w:val="nil"/>
              <w:bottom w:val="nil"/>
              <w:right w:val="nil"/>
            </w:tcBorders>
          </w:tcPr>
          <w:p w14:paraId="0E3529EC" w14:textId="637D2E3E" w:rsidR="00C6216C" w:rsidRPr="000E0285" w:rsidRDefault="009D36BD"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2.38</w:t>
            </w:r>
          </w:p>
        </w:tc>
        <w:tc>
          <w:tcPr>
            <w:tcW w:w="1051" w:type="dxa"/>
            <w:tcBorders>
              <w:top w:val="single" w:sz="4" w:space="0" w:color="auto"/>
              <w:left w:val="nil"/>
              <w:bottom w:val="nil"/>
              <w:right w:val="nil"/>
            </w:tcBorders>
          </w:tcPr>
          <w:p w14:paraId="2895F011" w14:textId="5F9FAFEA" w:rsidR="00C6216C" w:rsidRPr="000E0285" w:rsidRDefault="00B31F38"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1.66</w:t>
            </w:r>
          </w:p>
        </w:tc>
      </w:tr>
      <w:tr w:rsidR="005D4A3A" w:rsidRPr="000E0285" w14:paraId="266BCC32" w14:textId="77777777" w:rsidTr="00881A10">
        <w:tc>
          <w:tcPr>
            <w:tcW w:w="1276" w:type="dxa"/>
            <w:tcBorders>
              <w:top w:val="nil"/>
              <w:left w:val="nil"/>
              <w:bottom w:val="nil"/>
              <w:right w:val="nil"/>
            </w:tcBorders>
          </w:tcPr>
          <w:p w14:paraId="782186FF" w14:textId="5293E151" w:rsidR="005D4A3A" w:rsidRPr="000E0285" w:rsidRDefault="00D862A5" w:rsidP="005D4A3A">
            <w:pPr>
              <w:spacing w:line="276" w:lineRule="auto"/>
              <w:jc w:val="both"/>
              <w:rPr>
                <w:rFonts w:ascii="Times New Roman" w:hAnsi="Times New Roman" w:cs="Times New Roman"/>
                <w:b/>
                <w:bCs/>
                <w:szCs w:val="24"/>
              </w:rPr>
            </w:pPr>
            <w:r w:rsidRPr="000E0285">
              <w:rPr>
                <w:rFonts w:ascii="Times New Roman" w:hAnsi="Times New Roman" w:cs="Times New Roman"/>
                <w:b/>
                <w:bCs/>
                <w:szCs w:val="24"/>
              </w:rPr>
              <w:t>C.D.</w:t>
            </w:r>
          </w:p>
        </w:tc>
        <w:tc>
          <w:tcPr>
            <w:tcW w:w="4536" w:type="dxa"/>
            <w:tcBorders>
              <w:top w:val="nil"/>
              <w:left w:val="nil"/>
              <w:bottom w:val="nil"/>
              <w:right w:val="nil"/>
            </w:tcBorders>
          </w:tcPr>
          <w:p w14:paraId="3944DD0C" w14:textId="77777777" w:rsidR="005D4A3A" w:rsidRPr="000E0285" w:rsidRDefault="005D4A3A" w:rsidP="005D4A3A">
            <w:pPr>
              <w:spacing w:line="276" w:lineRule="auto"/>
              <w:jc w:val="both"/>
              <w:rPr>
                <w:rFonts w:ascii="Times New Roman" w:hAnsi="Times New Roman" w:cs="Times New Roman"/>
                <w:b/>
                <w:bCs/>
                <w:szCs w:val="24"/>
              </w:rPr>
            </w:pPr>
          </w:p>
        </w:tc>
        <w:tc>
          <w:tcPr>
            <w:tcW w:w="1559" w:type="dxa"/>
            <w:tcBorders>
              <w:top w:val="nil"/>
              <w:left w:val="nil"/>
              <w:bottom w:val="nil"/>
              <w:right w:val="nil"/>
            </w:tcBorders>
          </w:tcPr>
          <w:p w14:paraId="21E0EB4E" w14:textId="20D61FC5" w:rsidR="005D4A3A"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6.51</w:t>
            </w:r>
          </w:p>
        </w:tc>
        <w:tc>
          <w:tcPr>
            <w:tcW w:w="1418" w:type="dxa"/>
            <w:tcBorders>
              <w:top w:val="nil"/>
              <w:left w:val="nil"/>
              <w:bottom w:val="nil"/>
              <w:right w:val="nil"/>
            </w:tcBorders>
          </w:tcPr>
          <w:p w14:paraId="4CAFCFEC" w14:textId="2CC795BA" w:rsidR="005D4A3A"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6.64</w:t>
            </w:r>
          </w:p>
        </w:tc>
        <w:tc>
          <w:tcPr>
            <w:tcW w:w="1417" w:type="dxa"/>
            <w:tcBorders>
              <w:top w:val="nil"/>
              <w:left w:val="nil"/>
              <w:bottom w:val="nil"/>
              <w:right w:val="nil"/>
            </w:tcBorders>
          </w:tcPr>
          <w:p w14:paraId="0FC8809B" w14:textId="4F603B58" w:rsidR="005D4A3A"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4.61</w:t>
            </w:r>
          </w:p>
        </w:tc>
        <w:tc>
          <w:tcPr>
            <w:tcW w:w="1276" w:type="dxa"/>
            <w:tcBorders>
              <w:top w:val="nil"/>
              <w:left w:val="nil"/>
              <w:bottom w:val="nil"/>
              <w:right w:val="nil"/>
            </w:tcBorders>
          </w:tcPr>
          <w:p w14:paraId="19FA750E" w14:textId="672F5C19" w:rsidR="005D4A3A" w:rsidRPr="000E0285" w:rsidRDefault="009D36BD"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6.74</w:t>
            </w:r>
          </w:p>
        </w:tc>
        <w:tc>
          <w:tcPr>
            <w:tcW w:w="1276" w:type="dxa"/>
            <w:tcBorders>
              <w:top w:val="nil"/>
              <w:left w:val="nil"/>
              <w:bottom w:val="nil"/>
              <w:right w:val="nil"/>
            </w:tcBorders>
          </w:tcPr>
          <w:p w14:paraId="38695D26" w14:textId="4BF26B6A" w:rsidR="005D4A3A" w:rsidRPr="000E0285" w:rsidRDefault="009D36BD"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6.83</w:t>
            </w:r>
          </w:p>
        </w:tc>
        <w:tc>
          <w:tcPr>
            <w:tcW w:w="1051" w:type="dxa"/>
            <w:tcBorders>
              <w:top w:val="nil"/>
              <w:left w:val="nil"/>
              <w:bottom w:val="nil"/>
              <w:right w:val="nil"/>
            </w:tcBorders>
          </w:tcPr>
          <w:p w14:paraId="3D274416" w14:textId="21EAEE5F" w:rsidR="005D4A3A" w:rsidRPr="000E0285" w:rsidRDefault="00B31F38"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4.75</w:t>
            </w:r>
          </w:p>
        </w:tc>
      </w:tr>
      <w:tr w:rsidR="005D4A3A" w:rsidRPr="000E0285" w14:paraId="160FB81B" w14:textId="77777777" w:rsidTr="00881A10">
        <w:tc>
          <w:tcPr>
            <w:tcW w:w="1276" w:type="dxa"/>
            <w:tcBorders>
              <w:top w:val="nil"/>
              <w:left w:val="nil"/>
              <w:bottom w:val="single" w:sz="4" w:space="0" w:color="auto"/>
              <w:right w:val="nil"/>
            </w:tcBorders>
          </w:tcPr>
          <w:p w14:paraId="3406F2DB" w14:textId="00D4199C" w:rsidR="005D4A3A" w:rsidRPr="000E0285" w:rsidRDefault="00D862A5" w:rsidP="005D4A3A">
            <w:pPr>
              <w:spacing w:line="276" w:lineRule="auto"/>
              <w:jc w:val="both"/>
              <w:rPr>
                <w:rFonts w:ascii="Times New Roman" w:hAnsi="Times New Roman" w:cs="Times New Roman"/>
                <w:b/>
                <w:bCs/>
                <w:szCs w:val="24"/>
              </w:rPr>
            </w:pPr>
            <w:r w:rsidRPr="000E0285">
              <w:rPr>
                <w:rFonts w:ascii="Times New Roman" w:hAnsi="Times New Roman" w:cs="Times New Roman"/>
                <w:b/>
                <w:bCs/>
                <w:szCs w:val="24"/>
              </w:rPr>
              <w:t>C.V. (%)</w:t>
            </w:r>
          </w:p>
        </w:tc>
        <w:tc>
          <w:tcPr>
            <w:tcW w:w="4536" w:type="dxa"/>
            <w:tcBorders>
              <w:top w:val="nil"/>
              <w:left w:val="nil"/>
              <w:bottom w:val="single" w:sz="4" w:space="0" w:color="auto"/>
              <w:right w:val="nil"/>
            </w:tcBorders>
          </w:tcPr>
          <w:p w14:paraId="099F8F2F" w14:textId="77777777" w:rsidR="005D4A3A" w:rsidRPr="000E0285" w:rsidRDefault="005D4A3A" w:rsidP="005D4A3A">
            <w:pPr>
              <w:spacing w:line="276" w:lineRule="auto"/>
              <w:jc w:val="both"/>
              <w:rPr>
                <w:rFonts w:ascii="Times New Roman" w:hAnsi="Times New Roman" w:cs="Times New Roman"/>
                <w:b/>
                <w:bCs/>
                <w:szCs w:val="24"/>
              </w:rPr>
            </w:pPr>
          </w:p>
        </w:tc>
        <w:tc>
          <w:tcPr>
            <w:tcW w:w="1559" w:type="dxa"/>
            <w:tcBorders>
              <w:top w:val="nil"/>
              <w:left w:val="nil"/>
              <w:bottom w:val="single" w:sz="4" w:space="0" w:color="auto"/>
              <w:right w:val="nil"/>
            </w:tcBorders>
          </w:tcPr>
          <w:p w14:paraId="4944A676" w14:textId="50D56832" w:rsidR="005D4A3A"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5.23</w:t>
            </w:r>
          </w:p>
        </w:tc>
        <w:tc>
          <w:tcPr>
            <w:tcW w:w="1418" w:type="dxa"/>
            <w:tcBorders>
              <w:top w:val="nil"/>
              <w:left w:val="nil"/>
              <w:bottom w:val="single" w:sz="4" w:space="0" w:color="auto"/>
              <w:right w:val="nil"/>
            </w:tcBorders>
          </w:tcPr>
          <w:p w14:paraId="69B2D308" w14:textId="2498B468" w:rsidR="005D4A3A"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5.20</w:t>
            </w:r>
          </w:p>
        </w:tc>
        <w:tc>
          <w:tcPr>
            <w:tcW w:w="1417" w:type="dxa"/>
            <w:tcBorders>
              <w:top w:val="nil"/>
              <w:left w:val="nil"/>
              <w:bottom w:val="single" w:sz="4" w:space="0" w:color="auto"/>
              <w:right w:val="nil"/>
            </w:tcBorders>
          </w:tcPr>
          <w:p w14:paraId="0C56D5C4" w14:textId="5CDF3EAA" w:rsidR="005D4A3A"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5.21</w:t>
            </w:r>
          </w:p>
        </w:tc>
        <w:tc>
          <w:tcPr>
            <w:tcW w:w="1276" w:type="dxa"/>
            <w:tcBorders>
              <w:top w:val="nil"/>
              <w:left w:val="nil"/>
              <w:bottom w:val="single" w:sz="4" w:space="0" w:color="auto"/>
              <w:right w:val="nil"/>
            </w:tcBorders>
          </w:tcPr>
          <w:p w14:paraId="7A537D57" w14:textId="6D18667E" w:rsidR="005D4A3A" w:rsidRPr="000E0285" w:rsidRDefault="009D36BD"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5.03</w:t>
            </w:r>
          </w:p>
        </w:tc>
        <w:tc>
          <w:tcPr>
            <w:tcW w:w="1276" w:type="dxa"/>
            <w:tcBorders>
              <w:top w:val="nil"/>
              <w:left w:val="nil"/>
              <w:bottom w:val="single" w:sz="4" w:space="0" w:color="auto"/>
              <w:right w:val="nil"/>
            </w:tcBorders>
          </w:tcPr>
          <w:p w14:paraId="6FFC7B32" w14:textId="2AC35802" w:rsidR="005D4A3A" w:rsidRPr="000E0285" w:rsidRDefault="009D36BD"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5.16</w:t>
            </w:r>
          </w:p>
        </w:tc>
        <w:tc>
          <w:tcPr>
            <w:tcW w:w="1051" w:type="dxa"/>
            <w:tcBorders>
              <w:top w:val="nil"/>
              <w:left w:val="nil"/>
              <w:bottom w:val="single" w:sz="4" w:space="0" w:color="auto"/>
              <w:right w:val="nil"/>
            </w:tcBorders>
          </w:tcPr>
          <w:p w14:paraId="440F3276" w14:textId="2A16CAE8" w:rsidR="005D4A3A" w:rsidRPr="000E0285" w:rsidRDefault="00B31F38"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5.09</w:t>
            </w:r>
          </w:p>
        </w:tc>
      </w:tr>
    </w:tbl>
    <w:p w14:paraId="74F4E435" w14:textId="09F453A7" w:rsidR="006E34C0" w:rsidRPr="000E0285" w:rsidRDefault="00304041" w:rsidP="009D7055">
      <w:pPr>
        <w:spacing w:line="360" w:lineRule="auto"/>
        <w:jc w:val="both"/>
        <w:rPr>
          <w:rFonts w:ascii="Times New Roman" w:hAnsi="Times New Roman" w:cs="Times New Roman"/>
          <w:b/>
          <w:bCs/>
          <w:noProof/>
          <w:szCs w:val="24"/>
        </w:rPr>
      </w:pPr>
      <w:r w:rsidRPr="000E0285">
        <w:rPr>
          <w:noProof/>
          <w:szCs w:val="24"/>
        </w:rPr>
        <w:lastRenderedPageBreak/>
        <w:drawing>
          <wp:inline distT="0" distB="0" distL="0" distR="0" wp14:anchorId="4EA914B3" wp14:editId="03362F69">
            <wp:extent cx="8936990" cy="5083629"/>
            <wp:effectExtent l="0" t="0" r="16510" b="3175"/>
            <wp:docPr id="2134467106" name="Chart 1">
              <a:extLst xmlns:a="http://schemas.openxmlformats.org/drawingml/2006/main">
                <a:ext uri="{FF2B5EF4-FFF2-40B4-BE49-F238E27FC236}">
                  <a16:creationId xmlns:a16="http://schemas.microsoft.com/office/drawing/2014/main" id="{F428F7F4-3291-F9F9-70E2-40C8D759CD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54975" w:rsidRPr="000E0285">
        <w:rPr>
          <w:rFonts w:ascii="Times New Roman" w:hAnsi="Times New Roman" w:cs="Times New Roman"/>
          <w:b/>
          <w:bCs/>
          <w:noProof/>
          <w:szCs w:val="24"/>
        </w:rPr>
        <w:t>Fig. 1. Effect of Foliar application of various chemicals spray on field emergence (%) of field pea under heat stres</w:t>
      </w:r>
      <w:r w:rsidR="00270E02" w:rsidRPr="000E0285">
        <w:rPr>
          <w:rFonts w:ascii="Times New Roman" w:hAnsi="Times New Roman" w:cs="Times New Roman"/>
          <w:b/>
          <w:bCs/>
          <w:noProof/>
          <w:szCs w:val="24"/>
        </w:rPr>
        <w:t xml:space="preserve">s </w:t>
      </w:r>
      <w:r w:rsidR="00054975" w:rsidRPr="000E0285">
        <w:rPr>
          <w:rFonts w:ascii="Times New Roman" w:hAnsi="Times New Roman" w:cs="Times New Roman"/>
          <w:b/>
          <w:bCs/>
          <w:noProof/>
          <w:szCs w:val="24"/>
        </w:rPr>
        <w:t>condition.</w:t>
      </w:r>
    </w:p>
    <w:p w14:paraId="47587153" w14:textId="13BAF88D" w:rsidR="006E34C0" w:rsidRPr="000E0285" w:rsidRDefault="006E34C0" w:rsidP="006E34C0">
      <w:pPr>
        <w:tabs>
          <w:tab w:val="center" w:pos="6979"/>
        </w:tabs>
        <w:rPr>
          <w:rFonts w:ascii="Times New Roman" w:hAnsi="Times New Roman" w:cs="Times New Roman"/>
          <w:szCs w:val="24"/>
        </w:rPr>
        <w:sectPr w:rsidR="006E34C0" w:rsidRPr="000E0285" w:rsidSect="00242CF5">
          <w:pgSz w:w="16838" w:h="11906" w:orient="landscape"/>
          <w:pgMar w:top="1440" w:right="1440" w:bottom="1440" w:left="1440" w:header="708" w:footer="708" w:gutter="0"/>
          <w:cols w:space="708"/>
          <w:docGrid w:linePitch="360"/>
        </w:sectPr>
      </w:pPr>
    </w:p>
    <w:p w14:paraId="2E87AAF7" w14:textId="19EC0E61" w:rsidR="00114572" w:rsidRPr="000E0285" w:rsidRDefault="006E34C0" w:rsidP="00AA0670">
      <w:pPr>
        <w:spacing w:line="360" w:lineRule="auto"/>
        <w:jc w:val="both"/>
        <w:rPr>
          <w:rFonts w:ascii="Times New Roman" w:hAnsi="Times New Roman" w:cs="Times New Roman"/>
          <w:b/>
          <w:bCs/>
          <w:szCs w:val="24"/>
        </w:rPr>
      </w:pPr>
      <w:r w:rsidRPr="000E0285">
        <w:rPr>
          <w:rFonts w:ascii="Times New Roman" w:hAnsi="Times New Roman" w:cs="Times New Roman"/>
          <w:b/>
          <w:bCs/>
          <w:noProof/>
          <w:szCs w:val="24"/>
        </w:rPr>
        <w:lastRenderedPageBreak/>
        <w:drawing>
          <wp:inline distT="0" distB="0" distL="0" distR="0" wp14:anchorId="3482359A" wp14:editId="0E670582">
            <wp:extent cx="8840470" cy="5061857"/>
            <wp:effectExtent l="0" t="0" r="0" b="5715"/>
            <wp:docPr id="726208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61181" cy="5130974"/>
                    </a:xfrm>
                    <a:prstGeom prst="rect">
                      <a:avLst/>
                    </a:prstGeom>
                    <a:noFill/>
                  </pic:spPr>
                </pic:pic>
              </a:graphicData>
            </a:graphic>
          </wp:inline>
        </w:drawing>
      </w:r>
    </w:p>
    <w:p w14:paraId="50FB1EB6" w14:textId="7CB03D3C" w:rsidR="00054975" w:rsidRPr="000E0285" w:rsidRDefault="00054975" w:rsidP="00054975">
      <w:pPr>
        <w:ind w:left="1116"/>
        <w:rPr>
          <w:rFonts w:ascii="Times New Roman" w:hAnsi="Times New Roman" w:cs="Times New Roman"/>
          <w:b/>
          <w:bCs/>
          <w:noProof/>
          <w:szCs w:val="24"/>
        </w:rPr>
      </w:pPr>
      <w:r w:rsidRPr="000E0285">
        <w:rPr>
          <w:rFonts w:ascii="Times New Roman" w:hAnsi="Times New Roman" w:cs="Times New Roman"/>
          <w:b/>
          <w:bCs/>
          <w:noProof/>
          <w:szCs w:val="24"/>
        </w:rPr>
        <w:t>Fig. 2. Effect of Foliar application of various chemicals spray on plant height (cm) of field pea under heat stress condition.</w:t>
      </w:r>
    </w:p>
    <w:p w14:paraId="5D277081" w14:textId="77777777" w:rsidR="00EF591F" w:rsidRDefault="00EF591F" w:rsidP="00AA0670">
      <w:pPr>
        <w:spacing w:line="360" w:lineRule="auto"/>
        <w:jc w:val="both"/>
        <w:rPr>
          <w:rFonts w:ascii="Times New Roman" w:hAnsi="Times New Roman" w:cs="Times New Roman"/>
          <w:b/>
          <w:bCs/>
          <w:szCs w:val="24"/>
        </w:rPr>
        <w:sectPr w:rsidR="00EF591F" w:rsidSect="00DC7D52">
          <w:pgSz w:w="16838" w:h="11906" w:orient="landscape"/>
          <w:pgMar w:top="1440" w:right="1440" w:bottom="1440" w:left="1440" w:header="708" w:footer="708" w:gutter="0"/>
          <w:cols w:space="708"/>
          <w:docGrid w:linePitch="360"/>
        </w:sectPr>
      </w:pPr>
    </w:p>
    <w:p w14:paraId="4E547918" w14:textId="02B8DFA5" w:rsidR="001175FD" w:rsidRPr="000E0285" w:rsidRDefault="007464BD" w:rsidP="00AA0670">
      <w:pPr>
        <w:spacing w:line="360" w:lineRule="auto"/>
        <w:jc w:val="both"/>
        <w:rPr>
          <w:rFonts w:ascii="Times New Roman" w:hAnsi="Times New Roman" w:cs="Times New Roman"/>
          <w:szCs w:val="24"/>
        </w:rPr>
      </w:pPr>
      <w:r w:rsidRPr="000E0285">
        <w:rPr>
          <w:rFonts w:ascii="Times New Roman" w:hAnsi="Times New Roman" w:cs="Times New Roman"/>
          <w:szCs w:val="24"/>
        </w:rPr>
        <w:lastRenderedPageBreak/>
        <w:t xml:space="preserve">The data presented in Table </w:t>
      </w:r>
      <w:r w:rsidR="009D286F">
        <w:rPr>
          <w:rFonts w:ascii="Times New Roman" w:hAnsi="Times New Roman" w:cs="Times New Roman"/>
          <w:szCs w:val="24"/>
        </w:rPr>
        <w:t>3</w:t>
      </w:r>
      <w:r w:rsidRPr="000E0285">
        <w:rPr>
          <w:rFonts w:ascii="Times New Roman" w:hAnsi="Times New Roman" w:cs="Times New Roman"/>
          <w:szCs w:val="24"/>
        </w:rPr>
        <w:t xml:space="preserve"> and </w:t>
      </w:r>
      <w:r w:rsidR="00EF591F">
        <w:rPr>
          <w:rFonts w:ascii="Times New Roman" w:hAnsi="Times New Roman" w:cs="Times New Roman"/>
          <w:szCs w:val="24"/>
        </w:rPr>
        <w:t>f</w:t>
      </w:r>
      <w:r w:rsidRPr="000E0285">
        <w:rPr>
          <w:rFonts w:ascii="Times New Roman" w:hAnsi="Times New Roman" w:cs="Times New Roman"/>
          <w:szCs w:val="24"/>
        </w:rPr>
        <w:t>ig. 3 indicate that the treatments significantly influenced the days to 50 % flowering. In the year 2023-24, treatment</w:t>
      </w:r>
      <w:r w:rsidRPr="000E0285">
        <w:rPr>
          <w:rFonts w:ascii="Times New Roman" w:hAnsi="Times New Roman" w:cs="Times New Roman"/>
          <w:b/>
          <w:bCs/>
          <w:szCs w:val="24"/>
        </w:rPr>
        <w:t xml:space="preserve"> </w:t>
      </w:r>
      <w:r w:rsidRPr="000E0285">
        <w:rPr>
          <w:rFonts w:ascii="Times New Roman" w:hAnsi="Times New Roman" w:cs="Times New Roman"/>
          <w:szCs w:val="24"/>
        </w:rPr>
        <w:t>T4- Salicylic acid @ 400ppm at both vegetative and anthesis stage (59.33) was found to be significantly superior to all other treatments followed by T2- Thiourea 400ppm at both vegetative and anthesis stage (</w:t>
      </w:r>
      <w:r w:rsidR="00AF5F44" w:rsidRPr="000E0285">
        <w:rPr>
          <w:rFonts w:ascii="Times New Roman" w:hAnsi="Times New Roman" w:cs="Times New Roman"/>
          <w:szCs w:val="24"/>
        </w:rPr>
        <w:t>61</w:t>
      </w:r>
      <w:r w:rsidRPr="000E0285">
        <w:rPr>
          <w:rFonts w:ascii="Times New Roman" w:hAnsi="Times New Roman" w:cs="Times New Roman"/>
          <w:szCs w:val="24"/>
        </w:rPr>
        <w:t>.</w:t>
      </w:r>
      <w:r w:rsidR="00AF5F44" w:rsidRPr="000E0285">
        <w:rPr>
          <w:rFonts w:ascii="Times New Roman" w:hAnsi="Times New Roman" w:cs="Times New Roman"/>
          <w:szCs w:val="24"/>
        </w:rPr>
        <w:t>00</w:t>
      </w:r>
      <w:r w:rsidRPr="000E0285">
        <w:rPr>
          <w:rFonts w:ascii="Times New Roman" w:hAnsi="Times New Roman" w:cs="Times New Roman"/>
          <w:szCs w:val="24"/>
        </w:rPr>
        <w:t>)</w:t>
      </w:r>
      <w:r w:rsidR="00AF5F44" w:rsidRPr="000E0285">
        <w:rPr>
          <w:rFonts w:ascii="Times New Roman" w:hAnsi="Times New Roman" w:cs="Times New Roman"/>
          <w:szCs w:val="24"/>
        </w:rPr>
        <w:t>, T</w:t>
      </w:r>
      <w:r w:rsidR="00AF5F44" w:rsidRPr="000E0285">
        <w:rPr>
          <w:rFonts w:ascii="Times New Roman" w:hAnsi="Times New Roman" w:cs="Times New Roman"/>
          <w:szCs w:val="24"/>
          <w:vertAlign w:val="subscript"/>
        </w:rPr>
        <w:t>3</w:t>
      </w:r>
      <w:r w:rsidR="00AF5F44" w:rsidRPr="000E0285">
        <w:rPr>
          <w:rFonts w:ascii="Times New Roman" w:hAnsi="Times New Roman" w:cs="Times New Roman"/>
          <w:szCs w:val="24"/>
        </w:rPr>
        <w:t xml:space="preserve">- Thiourea @ 800ppm at both vegetative and anthesis stage (61.33). The maximum time required for 50 % flowering was recorded under the control treatment. </w:t>
      </w:r>
      <w:r w:rsidR="00AC317E" w:rsidRPr="000E0285">
        <w:rPr>
          <w:rFonts w:ascii="Times New Roman" w:hAnsi="Times New Roman" w:cs="Times New Roman"/>
          <w:szCs w:val="24"/>
        </w:rPr>
        <w:t>According to statistical analysis of 2024-25</w:t>
      </w:r>
      <w:r w:rsidR="00B91EBD" w:rsidRPr="000E0285">
        <w:rPr>
          <w:rFonts w:ascii="Times New Roman" w:hAnsi="Times New Roman" w:cs="Times New Roman"/>
          <w:szCs w:val="24"/>
        </w:rPr>
        <w:t>, treatments had a significant effect on days to 50 % flowering. Results indicated that T4- Salicylic acid @ 400ppm at both vegetative and anthesis stage (64.00) significantly superior to all other treatments followed by T2- Thiourea 400ppm at both vegetative and anthesis stage (64.67), T</w:t>
      </w:r>
      <w:r w:rsidR="00B91EBD" w:rsidRPr="000E0285">
        <w:rPr>
          <w:rFonts w:ascii="Times New Roman" w:hAnsi="Times New Roman" w:cs="Times New Roman"/>
          <w:szCs w:val="24"/>
          <w:vertAlign w:val="subscript"/>
        </w:rPr>
        <w:t>3</w:t>
      </w:r>
      <w:r w:rsidR="00B91EBD" w:rsidRPr="000E0285">
        <w:rPr>
          <w:rFonts w:ascii="Times New Roman" w:hAnsi="Times New Roman" w:cs="Times New Roman"/>
          <w:szCs w:val="24"/>
        </w:rPr>
        <w:t>- Thiourea @ 800ppm at both vegetative and anthesis stage (65.33). at the same time the maximum days to 50 % flowering was recorded for the T1 control (71.33). The pooled analysis for both the years of observation showed that</w:t>
      </w:r>
      <w:r w:rsidR="00CC3859" w:rsidRPr="000E0285">
        <w:rPr>
          <w:rFonts w:ascii="Times New Roman" w:hAnsi="Times New Roman" w:cs="Times New Roman"/>
          <w:szCs w:val="24"/>
        </w:rPr>
        <w:t>, treatment</w:t>
      </w:r>
      <w:r w:rsidR="00CC3859" w:rsidRPr="000E0285">
        <w:rPr>
          <w:rFonts w:ascii="Times New Roman" w:hAnsi="Times New Roman" w:cs="Times New Roman"/>
          <w:b/>
          <w:bCs/>
          <w:szCs w:val="24"/>
        </w:rPr>
        <w:t xml:space="preserve"> </w:t>
      </w:r>
      <w:r w:rsidR="00CC3859" w:rsidRPr="000E0285">
        <w:rPr>
          <w:rFonts w:ascii="Times New Roman" w:hAnsi="Times New Roman" w:cs="Times New Roman"/>
          <w:szCs w:val="24"/>
        </w:rPr>
        <w:t xml:space="preserve">T4- Salicylic acid @ 400ppm at both vegetative and anthesis stage (61.66) recorded significantly superior results than the other treatments followed by </w:t>
      </w:r>
      <w:r w:rsidR="00C2485F" w:rsidRPr="000E0285">
        <w:rPr>
          <w:rFonts w:ascii="Times New Roman" w:hAnsi="Times New Roman" w:cs="Times New Roman"/>
          <w:szCs w:val="24"/>
        </w:rPr>
        <w:t>T2- Thiourea 400ppm at both vegetative and anthesis stage (62.83), T</w:t>
      </w:r>
      <w:r w:rsidR="00C2485F" w:rsidRPr="000E0285">
        <w:rPr>
          <w:rFonts w:ascii="Times New Roman" w:hAnsi="Times New Roman" w:cs="Times New Roman"/>
          <w:szCs w:val="24"/>
          <w:vertAlign w:val="subscript"/>
        </w:rPr>
        <w:t>3</w:t>
      </w:r>
      <w:r w:rsidR="00C2485F" w:rsidRPr="000E0285">
        <w:rPr>
          <w:rFonts w:ascii="Times New Roman" w:hAnsi="Times New Roman" w:cs="Times New Roman"/>
          <w:szCs w:val="24"/>
        </w:rPr>
        <w:t>- Thiourea @ 800ppm at both vegetative and anthesis stage (63.33). However, the control exhibited the longest duration to achieve 50 % flowering. The above finding supporte</w:t>
      </w:r>
      <w:r w:rsidR="00224780" w:rsidRPr="000E0285">
        <w:rPr>
          <w:rFonts w:ascii="Times New Roman" w:hAnsi="Times New Roman" w:cs="Times New Roman"/>
          <w:szCs w:val="24"/>
        </w:rPr>
        <w:t>d by Foliar application of salicylic acid and thiourea significantly influenced the phenological parameters of mun</w:t>
      </w:r>
      <w:r w:rsidR="00762870">
        <w:rPr>
          <w:rFonts w:ascii="Times New Roman" w:hAnsi="Times New Roman" w:cs="Times New Roman"/>
          <w:szCs w:val="24"/>
        </w:rPr>
        <w:t xml:space="preserve"> </w:t>
      </w:r>
      <w:r w:rsidR="00224780" w:rsidRPr="000E0285">
        <w:rPr>
          <w:rFonts w:ascii="Times New Roman" w:hAnsi="Times New Roman" w:cs="Times New Roman"/>
          <w:szCs w:val="24"/>
        </w:rPr>
        <w:t xml:space="preserve">bean. The minimum days to 50% flowering (35.67 DAS) were recorded with salicylic acid @ 1000 ppm, whereas thiourea @ 250 ppm and @ 1000 ppm recorded maximum days (40 DAS) to 50% flowering (Singh </w:t>
      </w:r>
      <w:r w:rsidR="005146CE" w:rsidRPr="000E0285">
        <w:rPr>
          <w:rFonts w:ascii="Times New Roman" w:hAnsi="Times New Roman" w:cs="Times New Roman"/>
          <w:i/>
          <w:iCs/>
          <w:szCs w:val="24"/>
        </w:rPr>
        <w:t>et al.</w:t>
      </w:r>
      <w:r w:rsidR="00224780" w:rsidRPr="000E0285">
        <w:rPr>
          <w:rFonts w:ascii="Times New Roman" w:hAnsi="Times New Roman" w:cs="Times New Roman"/>
          <w:szCs w:val="24"/>
        </w:rPr>
        <w:t>, 2024)</w:t>
      </w:r>
      <w:r w:rsidR="00A86AEB">
        <w:rPr>
          <w:rFonts w:ascii="Times New Roman" w:hAnsi="Times New Roman" w:cs="Times New Roman"/>
          <w:szCs w:val="24"/>
        </w:rPr>
        <w:t xml:space="preserve">, Pawar </w:t>
      </w:r>
      <w:r w:rsidR="00A86AEB" w:rsidRPr="00AA51C4">
        <w:rPr>
          <w:rFonts w:ascii="Times New Roman" w:hAnsi="Times New Roman" w:cs="Times New Roman"/>
          <w:i/>
          <w:iCs/>
          <w:szCs w:val="24"/>
        </w:rPr>
        <w:t>et al</w:t>
      </w:r>
      <w:r w:rsidR="00AA51C4">
        <w:rPr>
          <w:rFonts w:ascii="Times New Roman" w:hAnsi="Times New Roman" w:cs="Times New Roman"/>
          <w:szCs w:val="24"/>
        </w:rPr>
        <w:t xml:space="preserve">., (2018), Akanksha </w:t>
      </w:r>
      <w:r w:rsidR="00AA51C4" w:rsidRPr="00AA51C4">
        <w:rPr>
          <w:rFonts w:ascii="Times New Roman" w:hAnsi="Times New Roman" w:cs="Times New Roman"/>
          <w:i/>
          <w:iCs/>
          <w:szCs w:val="24"/>
        </w:rPr>
        <w:t>et al</w:t>
      </w:r>
      <w:r w:rsidR="00AA51C4">
        <w:rPr>
          <w:rFonts w:ascii="Times New Roman" w:hAnsi="Times New Roman" w:cs="Times New Roman"/>
          <w:szCs w:val="24"/>
        </w:rPr>
        <w:t xml:space="preserve">., (2021), </w:t>
      </w:r>
    </w:p>
    <w:p w14:paraId="4C5142BB" w14:textId="4CFC3587" w:rsidR="00EF591F" w:rsidRPr="000E5161" w:rsidRDefault="00337297" w:rsidP="000E5161">
      <w:pPr>
        <w:spacing w:line="360" w:lineRule="auto"/>
        <w:jc w:val="both"/>
        <w:rPr>
          <w:rFonts w:ascii="Times New Roman" w:hAnsi="Times New Roman" w:cs="Times New Roman"/>
          <w:szCs w:val="24"/>
        </w:rPr>
        <w:sectPr w:rsidR="00EF591F" w:rsidRPr="000E5161" w:rsidSect="00EF591F">
          <w:pgSz w:w="11906" w:h="16838"/>
          <w:pgMar w:top="1440" w:right="1440" w:bottom="1440" w:left="1440" w:header="708" w:footer="708" w:gutter="0"/>
          <w:cols w:space="708"/>
          <w:docGrid w:linePitch="360"/>
        </w:sectPr>
      </w:pPr>
      <w:r w:rsidRPr="000E0285">
        <w:rPr>
          <w:rFonts w:ascii="Times New Roman" w:hAnsi="Times New Roman" w:cs="Times New Roman"/>
          <w:szCs w:val="24"/>
        </w:rPr>
        <w:t xml:space="preserve">The data presented in Table </w:t>
      </w:r>
      <w:r w:rsidR="009D286F">
        <w:rPr>
          <w:rFonts w:ascii="Times New Roman" w:hAnsi="Times New Roman" w:cs="Times New Roman"/>
          <w:szCs w:val="24"/>
        </w:rPr>
        <w:t>3</w:t>
      </w:r>
      <w:r w:rsidRPr="000E0285">
        <w:rPr>
          <w:rFonts w:ascii="Times New Roman" w:hAnsi="Times New Roman" w:cs="Times New Roman"/>
          <w:szCs w:val="24"/>
        </w:rPr>
        <w:t xml:space="preserve"> and Fig. 4 indicate that the treatments significantly influenced the days to maturity</w:t>
      </w:r>
      <w:r w:rsidR="00EB6986" w:rsidRPr="000E0285">
        <w:rPr>
          <w:rFonts w:ascii="Times New Roman" w:hAnsi="Times New Roman" w:cs="Times New Roman"/>
          <w:szCs w:val="24"/>
        </w:rPr>
        <w:t xml:space="preserve"> under heat stress condition</w:t>
      </w:r>
      <w:r w:rsidRPr="000E0285">
        <w:rPr>
          <w:rFonts w:ascii="Times New Roman" w:hAnsi="Times New Roman" w:cs="Times New Roman"/>
          <w:szCs w:val="24"/>
        </w:rPr>
        <w:t>. In the year 2023-24, treatment</w:t>
      </w:r>
      <w:r w:rsidRPr="000E0285">
        <w:rPr>
          <w:rFonts w:ascii="Times New Roman" w:hAnsi="Times New Roman" w:cs="Times New Roman"/>
          <w:b/>
          <w:bCs/>
          <w:szCs w:val="24"/>
        </w:rPr>
        <w:t xml:space="preserve"> </w:t>
      </w:r>
      <w:r w:rsidRPr="000E0285">
        <w:rPr>
          <w:rFonts w:ascii="Times New Roman" w:hAnsi="Times New Roman" w:cs="Times New Roman"/>
          <w:szCs w:val="24"/>
        </w:rPr>
        <w:t>T4- Salicylic acid @ 400ppm at both vegetative and anthesis stage (124.67) was found to be significantly superior to all other treatments followed by T2- Thiourea 400ppm at both vegetative and anthesis stage (125.00), T</w:t>
      </w:r>
      <w:r w:rsidRPr="000E0285">
        <w:rPr>
          <w:rFonts w:ascii="Times New Roman" w:hAnsi="Times New Roman" w:cs="Times New Roman"/>
          <w:szCs w:val="24"/>
          <w:vertAlign w:val="subscript"/>
        </w:rPr>
        <w:t>3</w:t>
      </w:r>
      <w:r w:rsidRPr="000E0285">
        <w:rPr>
          <w:rFonts w:ascii="Times New Roman" w:hAnsi="Times New Roman" w:cs="Times New Roman"/>
          <w:szCs w:val="24"/>
        </w:rPr>
        <w:t>- Thiourea @ 800ppm at both vegetative and anthesis stage (126.00). The maximum time required for days to maturity was recorded under the treatment T1 control (132.33). According to statistical analysis of 2024-25, treatments had a significant effect on days to maturity. Results indicated that T4- Salicylic acid @ 400ppm at both vegetative and anthesis stage (125.33) significantly superior to all other treatments followed by T2- Thiourea 400ppm at both vegetative and anthesis stage (125.67), T</w:t>
      </w:r>
      <w:r w:rsidRPr="000E0285">
        <w:rPr>
          <w:rFonts w:ascii="Times New Roman" w:hAnsi="Times New Roman" w:cs="Times New Roman"/>
          <w:szCs w:val="24"/>
          <w:vertAlign w:val="subscript"/>
        </w:rPr>
        <w:t>3</w:t>
      </w:r>
      <w:r w:rsidRPr="000E0285">
        <w:rPr>
          <w:rFonts w:ascii="Times New Roman" w:hAnsi="Times New Roman" w:cs="Times New Roman"/>
          <w:szCs w:val="24"/>
        </w:rPr>
        <w:t>- Thiourea @ 800ppm at both vegetative and anthesis stage (126.33). at the same time the maximum days to maturity were found in T1 control (</w:t>
      </w:r>
      <w:r w:rsidR="00EB6986" w:rsidRPr="000E0285">
        <w:rPr>
          <w:rFonts w:ascii="Times New Roman" w:hAnsi="Times New Roman" w:cs="Times New Roman"/>
          <w:szCs w:val="24"/>
        </w:rPr>
        <w:t>13</w:t>
      </w:r>
      <w:r w:rsidRPr="000E0285">
        <w:rPr>
          <w:rFonts w:ascii="Times New Roman" w:hAnsi="Times New Roman" w:cs="Times New Roman"/>
          <w:szCs w:val="24"/>
        </w:rPr>
        <w:t>1.</w:t>
      </w:r>
      <w:r w:rsidR="00EB6986" w:rsidRPr="000E0285">
        <w:rPr>
          <w:rFonts w:ascii="Times New Roman" w:hAnsi="Times New Roman" w:cs="Times New Roman"/>
          <w:szCs w:val="24"/>
        </w:rPr>
        <w:t>67</w:t>
      </w:r>
      <w:r w:rsidRPr="000E0285">
        <w:rPr>
          <w:rFonts w:ascii="Times New Roman" w:hAnsi="Times New Roman" w:cs="Times New Roman"/>
          <w:szCs w:val="24"/>
        </w:rPr>
        <w:t xml:space="preserve">). The pooled analysis for both the years of observation showed </w:t>
      </w:r>
      <w:r w:rsidRPr="000E0285">
        <w:rPr>
          <w:rFonts w:ascii="Times New Roman" w:hAnsi="Times New Roman" w:cs="Times New Roman"/>
          <w:szCs w:val="24"/>
        </w:rPr>
        <w:lastRenderedPageBreak/>
        <w:t>that, treatment</w:t>
      </w:r>
      <w:r w:rsidRPr="000E0285">
        <w:rPr>
          <w:rFonts w:ascii="Times New Roman" w:hAnsi="Times New Roman" w:cs="Times New Roman"/>
          <w:b/>
          <w:bCs/>
          <w:szCs w:val="24"/>
        </w:rPr>
        <w:t xml:space="preserve"> </w:t>
      </w:r>
      <w:r w:rsidRPr="000E0285">
        <w:rPr>
          <w:rFonts w:ascii="Times New Roman" w:hAnsi="Times New Roman" w:cs="Times New Roman"/>
          <w:szCs w:val="24"/>
        </w:rPr>
        <w:t>T4- Salicylic acid @ 400ppm at both vegetative and anthesis stage (</w:t>
      </w:r>
      <w:r w:rsidR="00EB6986" w:rsidRPr="000E0285">
        <w:rPr>
          <w:rFonts w:ascii="Times New Roman" w:hAnsi="Times New Roman" w:cs="Times New Roman"/>
          <w:szCs w:val="24"/>
        </w:rPr>
        <w:t>125</w:t>
      </w:r>
      <w:r w:rsidRPr="000E0285">
        <w:rPr>
          <w:rFonts w:ascii="Times New Roman" w:hAnsi="Times New Roman" w:cs="Times New Roman"/>
          <w:szCs w:val="24"/>
        </w:rPr>
        <w:t>.</w:t>
      </w:r>
      <w:r w:rsidR="00EB6986" w:rsidRPr="000E0285">
        <w:rPr>
          <w:rFonts w:ascii="Times New Roman" w:hAnsi="Times New Roman" w:cs="Times New Roman"/>
          <w:szCs w:val="24"/>
        </w:rPr>
        <w:t>00</w:t>
      </w:r>
      <w:r w:rsidRPr="000E0285">
        <w:rPr>
          <w:rFonts w:ascii="Times New Roman" w:hAnsi="Times New Roman" w:cs="Times New Roman"/>
          <w:szCs w:val="24"/>
        </w:rPr>
        <w:t>) recorded significantly superior results than the other treatments followed by T2- Thiourea 400ppm at both vegetative and anthesis stage (</w:t>
      </w:r>
      <w:r w:rsidR="00EB6986" w:rsidRPr="000E0285">
        <w:rPr>
          <w:rFonts w:ascii="Times New Roman" w:hAnsi="Times New Roman" w:cs="Times New Roman"/>
          <w:szCs w:val="24"/>
        </w:rPr>
        <w:t>125</w:t>
      </w:r>
      <w:r w:rsidRPr="000E0285">
        <w:rPr>
          <w:rFonts w:ascii="Times New Roman" w:hAnsi="Times New Roman" w:cs="Times New Roman"/>
          <w:szCs w:val="24"/>
        </w:rPr>
        <w:t>.</w:t>
      </w:r>
      <w:r w:rsidR="00EB6986" w:rsidRPr="000E0285">
        <w:rPr>
          <w:rFonts w:ascii="Times New Roman" w:hAnsi="Times New Roman" w:cs="Times New Roman"/>
          <w:szCs w:val="24"/>
        </w:rPr>
        <w:t>33</w:t>
      </w:r>
      <w:r w:rsidRPr="000E0285">
        <w:rPr>
          <w:rFonts w:ascii="Times New Roman" w:hAnsi="Times New Roman" w:cs="Times New Roman"/>
          <w:szCs w:val="24"/>
        </w:rPr>
        <w:t>), T</w:t>
      </w:r>
      <w:r w:rsidRPr="000E0285">
        <w:rPr>
          <w:rFonts w:ascii="Times New Roman" w:hAnsi="Times New Roman" w:cs="Times New Roman"/>
          <w:szCs w:val="24"/>
          <w:vertAlign w:val="subscript"/>
        </w:rPr>
        <w:t>3</w:t>
      </w:r>
      <w:r w:rsidRPr="000E0285">
        <w:rPr>
          <w:rFonts w:ascii="Times New Roman" w:hAnsi="Times New Roman" w:cs="Times New Roman"/>
          <w:szCs w:val="24"/>
        </w:rPr>
        <w:t>- Thiourea @ 800ppm at both vegetative and anthesis stage (</w:t>
      </w:r>
      <w:r w:rsidR="00EB6986" w:rsidRPr="000E0285">
        <w:rPr>
          <w:rFonts w:ascii="Times New Roman" w:hAnsi="Times New Roman" w:cs="Times New Roman"/>
          <w:szCs w:val="24"/>
        </w:rPr>
        <w:t>126</w:t>
      </w:r>
      <w:r w:rsidRPr="000E0285">
        <w:rPr>
          <w:rFonts w:ascii="Times New Roman" w:hAnsi="Times New Roman" w:cs="Times New Roman"/>
          <w:szCs w:val="24"/>
        </w:rPr>
        <w:t>.</w:t>
      </w:r>
      <w:r w:rsidR="00EB6986" w:rsidRPr="000E0285">
        <w:rPr>
          <w:rFonts w:ascii="Times New Roman" w:hAnsi="Times New Roman" w:cs="Times New Roman"/>
          <w:szCs w:val="24"/>
        </w:rPr>
        <w:t>16</w:t>
      </w:r>
      <w:r w:rsidRPr="000E0285">
        <w:rPr>
          <w:rFonts w:ascii="Times New Roman" w:hAnsi="Times New Roman" w:cs="Times New Roman"/>
          <w:szCs w:val="24"/>
        </w:rPr>
        <w:t xml:space="preserve">). However, the control exhibited the longest duration to achieve </w:t>
      </w:r>
      <w:r w:rsidR="00EB6986" w:rsidRPr="000E0285">
        <w:rPr>
          <w:rFonts w:ascii="Times New Roman" w:hAnsi="Times New Roman" w:cs="Times New Roman"/>
          <w:szCs w:val="24"/>
        </w:rPr>
        <w:t>days to maturity</w:t>
      </w:r>
      <w:r w:rsidRPr="000E0285">
        <w:rPr>
          <w:rFonts w:ascii="Times New Roman" w:hAnsi="Times New Roman" w:cs="Times New Roman"/>
          <w:szCs w:val="24"/>
        </w:rPr>
        <w:t>. The above finding supported</w:t>
      </w:r>
      <w:r w:rsidR="00FF056E" w:rsidRPr="000E0285">
        <w:rPr>
          <w:rFonts w:ascii="Times New Roman" w:hAnsi="Times New Roman" w:cs="Times New Roman"/>
          <w:szCs w:val="24"/>
        </w:rPr>
        <w:t xml:space="preserve"> by singh </w:t>
      </w:r>
      <w:r w:rsidR="00FF056E" w:rsidRPr="000E0285">
        <w:rPr>
          <w:rFonts w:ascii="Times New Roman" w:hAnsi="Times New Roman" w:cs="Times New Roman"/>
          <w:i/>
          <w:iCs/>
          <w:szCs w:val="24"/>
        </w:rPr>
        <w:t>at al</w:t>
      </w:r>
      <w:r w:rsidR="00FF056E" w:rsidRPr="000E0285">
        <w:rPr>
          <w:rFonts w:ascii="Times New Roman" w:hAnsi="Times New Roman" w:cs="Times New Roman"/>
          <w:szCs w:val="24"/>
        </w:rPr>
        <w:t>., 2019</w:t>
      </w:r>
      <w:r w:rsidR="000E5161">
        <w:rPr>
          <w:rFonts w:ascii="Times New Roman" w:hAnsi="Times New Roman" w:cs="Times New Roman"/>
          <w:szCs w:val="24"/>
        </w:rPr>
        <w:t xml:space="preserve"> and also reported by Prakash </w:t>
      </w:r>
      <w:r w:rsidR="000E5161" w:rsidRPr="000E5161">
        <w:rPr>
          <w:rFonts w:ascii="Times New Roman" w:hAnsi="Times New Roman" w:cs="Times New Roman"/>
          <w:i/>
          <w:iCs/>
          <w:szCs w:val="24"/>
        </w:rPr>
        <w:t>et al</w:t>
      </w:r>
      <w:r w:rsidR="000E5161">
        <w:rPr>
          <w:rFonts w:ascii="Times New Roman" w:hAnsi="Times New Roman" w:cs="Times New Roman"/>
          <w:szCs w:val="24"/>
        </w:rPr>
        <w:t>., (2022) in groundnut.</w:t>
      </w:r>
    </w:p>
    <w:p w14:paraId="50176DD1" w14:textId="5CE2E32D" w:rsidR="00DB1A37" w:rsidRPr="000E0285" w:rsidRDefault="00DB1A37" w:rsidP="00DB1A37">
      <w:pPr>
        <w:spacing w:after="0" w:line="240" w:lineRule="auto"/>
        <w:jc w:val="both"/>
        <w:rPr>
          <w:rFonts w:ascii="Times New Roman" w:hAnsi="Times New Roman" w:cs="Times New Roman"/>
          <w:b/>
          <w:bCs/>
          <w:szCs w:val="24"/>
        </w:rPr>
      </w:pPr>
      <w:r w:rsidRPr="000E0285">
        <w:rPr>
          <w:rFonts w:ascii="Times New Roman" w:hAnsi="Times New Roman" w:cs="Times New Roman"/>
          <w:b/>
          <w:bCs/>
          <w:szCs w:val="24"/>
        </w:rPr>
        <w:lastRenderedPageBreak/>
        <w:t xml:space="preserve">Table </w:t>
      </w:r>
      <w:r w:rsidR="00881A10" w:rsidRPr="000E0285">
        <w:rPr>
          <w:rFonts w:ascii="Times New Roman" w:hAnsi="Times New Roman" w:cs="Times New Roman"/>
          <w:b/>
          <w:bCs/>
          <w:szCs w:val="24"/>
        </w:rPr>
        <w:t>3</w:t>
      </w:r>
      <w:r w:rsidRPr="000E0285">
        <w:rPr>
          <w:rFonts w:ascii="Times New Roman" w:hAnsi="Times New Roman" w:cs="Times New Roman"/>
          <w:b/>
          <w:bCs/>
          <w:szCs w:val="24"/>
        </w:rPr>
        <w:t xml:space="preserve">. Effect of foliar application of various chemicals spray on Days to 50% flowering and Days to maturity </w:t>
      </w:r>
      <w:r w:rsidR="007C2413" w:rsidRPr="000E0285">
        <w:rPr>
          <w:rFonts w:ascii="Times New Roman" w:hAnsi="Times New Roman" w:cs="Times New Roman"/>
          <w:b/>
          <w:bCs/>
          <w:szCs w:val="24"/>
        </w:rPr>
        <w:t>Under heat stress condition</w:t>
      </w:r>
    </w:p>
    <w:p w14:paraId="0876C95B" w14:textId="77777777" w:rsidR="00DB1A37" w:rsidRPr="000E0285" w:rsidRDefault="00DB1A37" w:rsidP="00AA0670">
      <w:pPr>
        <w:spacing w:line="360" w:lineRule="auto"/>
        <w:jc w:val="both"/>
        <w:rPr>
          <w:rFonts w:ascii="Times New Roman" w:hAnsi="Times New Roman" w:cs="Times New Roman"/>
          <w:b/>
          <w:bCs/>
          <w:szCs w:val="24"/>
        </w:rPr>
      </w:pPr>
    </w:p>
    <w:tbl>
      <w:tblPr>
        <w:tblStyle w:val="TableGrid"/>
        <w:tblW w:w="14601" w:type="dxa"/>
        <w:tblLayout w:type="fixed"/>
        <w:tblLook w:val="04A0" w:firstRow="1" w:lastRow="0" w:firstColumn="1" w:lastColumn="0" w:noHBand="0" w:noVBand="1"/>
      </w:tblPr>
      <w:tblGrid>
        <w:gridCol w:w="1008"/>
        <w:gridCol w:w="4946"/>
        <w:gridCol w:w="1559"/>
        <w:gridCol w:w="1418"/>
        <w:gridCol w:w="1417"/>
        <w:gridCol w:w="1276"/>
        <w:gridCol w:w="1276"/>
        <w:gridCol w:w="1701"/>
      </w:tblGrid>
      <w:tr w:rsidR="00AD2064" w:rsidRPr="000E0285" w14:paraId="1B6BF667" w14:textId="77777777" w:rsidTr="00DB1A37">
        <w:trPr>
          <w:trHeight w:val="520"/>
        </w:trPr>
        <w:tc>
          <w:tcPr>
            <w:tcW w:w="5954" w:type="dxa"/>
            <w:gridSpan w:val="2"/>
            <w:tcBorders>
              <w:top w:val="single" w:sz="4" w:space="0" w:color="auto"/>
              <w:left w:val="nil"/>
              <w:bottom w:val="single" w:sz="4" w:space="0" w:color="auto"/>
              <w:right w:val="nil"/>
            </w:tcBorders>
          </w:tcPr>
          <w:p w14:paraId="2FDDF100" w14:textId="77777777" w:rsidR="00AD2064" w:rsidRPr="000E0285" w:rsidRDefault="00AD2064" w:rsidP="000E42EE">
            <w:pPr>
              <w:spacing w:line="276" w:lineRule="auto"/>
              <w:jc w:val="both"/>
              <w:rPr>
                <w:rFonts w:ascii="Times New Roman" w:hAnsi="Times New Roman" w:cs="Times New Roman"/>
                <w:b/>
                <w:bCs/>
                <w:szCs w:val="24"/>
              </w:rPr>
            </w:pPr>
          </w:p>
        </w:tc>
        <w:tc>
          <w:tcPr>
            <w:tcW w:w="4394" w:type="dxa"/>
            <w:gridSpan w:val="3"/>
            <w:tcBorders>
              <w:top w:val="single" w:sz="4" w:space="0" w:color="auto"/>
              <w:left w:val="nil"/>
              <w:bottom w:val="single" w:sz="4" w:space="0" w:color="auto"/>
              <w:right w:val="nil"/>
            </w:tcBorders>
            <w:vAlign w:val="center"/>
          </w:tcPr>
          <w:p w14:paraId="7073644A" w14:textId="53F23E1F"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Days to 50 % flowering</w:t>
            </w:r>
          </w:p>
        </w:tc>
        <w:tc>
          <w:tcPr>
            <w:tcW w:w="4253" w:type="dxa"/>
            <w:gridSpan w:val="3"/>
            <w:tcBorders>
              <w:top w:val="single" w:sz="4" w:space="0" w:color="auto"/>
              <w:left w:val="nil"/>
              <w:bottom w:val="single" w:sz="4" w:space="0" w:color="auto"/>
              <w:right w:val="nil"/>
            </w:tcBorders>
            <w:vAlign w:val="center"/>
          </w:tcPr>
          <w:p w14:paraId="15DB5C2D" w14:textId="077381AF"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 xml:space="preserve">Days to </w:t>
            </w:r>
            <w:r w:rsidR="00DB1A37" w:rsidRPr="000E0285">
              <w:rPr>
                <w:rFonts w:ascii="Times New Roman" w:hAnsi="Times New Roman" w:cs="Times New Roman"/>
                <w:b/>
                <w:bCs/>
                <w:szCs w:val="24"/>
              </w:rPr>
              <w:t>M</w:t>
            </w:r>
            <w:r w:rsidRPr="000E0285">
              <w:rPr>
                <w:rFonts w:ascii="Times New Roman" w:hAnsi="Times New Roman" w:cs="Times New Roman"/>
                <w:b/>
                <w:bCs/>
                <w:szCs w:val="24"/>
              </w:rPr>
              <w:t>aturity</w:t>
            </w:r>
          </w:p>
        </w:tc>
      </w:tr>
      <w:tr w:rsidR="00AD2064" w:rsidRPr="000E0285" w14:paraId="706DE8A3" w14:textId="77777777" w:rsidTr="00DB1A37">
        <w:trPr>
          <w:trHeight w:val="425"/>
        </w:trPr>
        <w:tc>
          <w:tcPr>
            <w:tcW w:w="1008" w:type="dxa"/>
            <w:tcBorders>
              <w:top w:val="single" w:sz="4" w:space="0" w:color="auto"/>
              <w:left w:val="nil"/>
              <w:bottom w:val="single" w:sz="4" w:space="0" w:color="auto"/>
              <w:right w:val="nil"/>
            </w:tcBorders>
            <w:vAlign w:val="center"/>
          </w:tcPr>
          <w:p w14:paraId="17D88EE8"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Treatments</w:t>
            </w:r>
          </w:p>
        </w:tc>
        <w:tc>
          <w:tcPr>
            <w:tcW w:w="4946" w:type="dxa"/>
            <w:tcBorders>
              <w:top w:val="single" w:sz="4" w:space="0" w:color="auto"/>
              <w:left w:val="nil"/>
              <w:bottom w:val="single" w:sz="4" w:space="0" w:color="auto"/>
              <w:right w:val="nil"/>
            </w:tcBorders>
            <w:vAlign w:val="center"/>
          </w:tcPr>
          <w:p w14:paraId="69EF2AAD"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Description</w:t>
            </w:r>
          </w:p>
        </w:tc>
        <w:tc>
          <w:tcPr>
            <w:tcW w:w="1559" w:type="dxa"/>
            <w:tcBorders>
              <w:top w:val="single" w:sz="4" w:space="0" w:color="auto"/>
              <w:left w:val="nil"/>
              <w:bottom w:val="single" w:sz="4" w:space="0" w:color="auto"/>
              <w:right w:val="nil"/>
            </w:tcBorders>
            <w:vAlign w:val="center"/>
          </w:tcPr>
          <w:p w14:paraId="17452B3B"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2023-24</w:t>
            </w:r>
          </w:p>
        </w:tc>
        <w:tc>
          <w:tcPr>
            <w:tcW w:w="1418" w:type="dxa"/>
            <w:tcBorders>
              <w:top w:val="single" w:sz="4" w:space="0" w:color="auto"/>
              <w:left w:val="nil"/>
              <w:bottom w:val="single" w:sz="4" w:space="0" w:color="auto"/>
              <w:right w:val="nil"/>
            </w:tcBorders>
            <w:vAlign w:val="center"/>
          </w:tcPr>
          <w:p w14:paraId="53983DFD"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2024-25</w:t>
            </w:r>
          </w:p>
        </w:tc>
        <w:tc>
          <w:tcPr>
            <w:tcW w:w="1417" w:type="dxa"/>
            <w:tcBorders>
              <w:top w:val="single" w:sz="4" w:space="0" w:color="auto"/>
              <w:left w:val="nil"/>
              <w:bottom w:val="single" w:sz="4" w:space="0" w:color="auto"/>
              <w:right w:val="nil"/>
            </w:tcBorders>
            <w:vAlign w:val="center"/>
          </w:tcPr>
          <w:p w14:paraId="128EFEA9"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Pooled</w:t>
            </w:r>
          </w:p>
        </w:tc>
        <w:tc>
          <w:tcPr>
            <w:tcW w:w="1276" w:type="dxa"/>
            <w:tcBorders>
              <w:top w:val="single" w:sz="4" w:space="0" w:color="auto"/>
              <w:left w:val="nil"/>
              <w:bottom w:val="single" w:sz="4" w:space="0" w:color="auto"/>
              <w:right w:val="nil"/>
            </w:tcBorders>
            <w:vAlign w:val="center"/>
          </w:tcPr>
          <w:p w14:paraId="12CC5484"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2023-24</w:t>
            </w:r>
          </w:p>
        </w:tc>
        <w:tc>
          <w:tcPr>
            <w:tcW w:w="1276" w:type="dxa"/>
            <w:tcBorders>
              <w:top w:val="single" w:sz="4" w:space="0" w:color="auto"/>
              <w:left w:val="nil"/>
              <w:bottom w:val="single" w:sz="4" w:space="0" w:color="auto"/>
              <w:right w:val="nil"/>
            </w:tcBorders>
            <w:vAlign w:val="center"/>
          </w:tcPr>
          <w:p w14:paraId="43D30B7E"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2024-25</w:t>
            </w:r>
          </w:p>
        </w:tc>
        <w:tc>
          <w:tcPr>
            <w:tcW w:w="1701" w:type="dxa"/>
            <w:tcBorders>
              <w:top w:val="single" w:sz="4" w:space="0" w:color="auto"/>
              <w:left w:val="nil"/>
              <w:bottom w:val="single" w:sz="4" w:space="0" w:color="auto"/>
              <w:right w:val="nil"/>
            </w:tcBorders>
            <w:vAlign w:val="center"/>
          </w:tcPr>
          <w:p w14:paraId="126CBBD0"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Pooled</w:t>
            </w:r>
          </w:p>
        </w:tc>
      </w:tr>
      <w:tr w:rsidR="00711921" w:rsidRPr="000E0285" w14:paraId="6D74B9BB" w14:textId="77777777" w:rsidTr="00DB1A37">
        <w:tc>
          <w:tcPr>
            <w:tcW w:w="1008" w:type="dxa"/>
            <w:tcBorders>
              <w:top w:val="single" w:sz="4" w:space="0" w:color="auto"/>
              <w:left w:val="nil"/>
              <w:bottom w:val="nil"/>
              <w:right w:val="nil"/>
            </w:tcBorders>
            <w:vAlign w:val="center"/>
          </w:tcPr>
          <w:p w14:paraId="43829965"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T1</w:t>
            </w:r>
          </w:p>
        </w:tc>
        <w:tc>
          <w:tcPr>
            <w:tcW w:w="4946" w:type="dxa"/>
            <w:tcBorders>
              <w:top w:val="single" w:sz="4" w:space="0" w:color="auto"/>
              <w:left w:val="nil"/>
              <w:bottom w:val="nil"/>
              <w:right w:val="nil"/>
            </w:tcBorders>
          </w:tcPr>
          <w:p w14:paraId="04438BFD" w14:textId="77777777"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Control</w:t>
            </w:r>
          </w:p>
        </w:tc>
        <w:tc>
          <w:tcPr>
            <w:tcW w:w="1559" w:type="dxa"/>
            <w:tcBorders>
              <w:top w:val="single" w:sz="4" w:space="0" w:color="auto"/>
              <w:left w:val="nil"/>
              <w:bottom w:val="nil"/>
              <w:right w:val="nil"/>
            </w:tcBorders>
            <w:vAlign w:val="bottom"/>
          </w:tcPr>
          <w:p w14:paraId="2E5E29A6" w14:textId="441CBA3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67.00</w:t>
            </w:r>
          </w:p>
        </w:tc>
        <w:tc>
          <w:tcPr>
            <w:tcW w:w="1418" w:type="dxa"/>
            <w:tcBorders>
              <w:top w:val="single" w:sz="4" w:space="0" w:color="auto"/>
              <w:left w:val="nil"/>
              <w:bottom w:val="nil"/>
              <w:right w:val="nil"/>
            </w:tcBorders>
            <w:vAlign w:val="bottom"/>
          </w:tcPr>
          <w:p w14:paraId="6D709CBE" w14:textId="5D49EEBD"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71.33</w:t>
            </w:r>
          </w:p>
        </w:tc>
        <w:tc>
          <w:tcPr>
            <w:tcW w:w="1417" w:type="dxa"/>
            <w:tcBorders>
              <w:top w:val="single" w:sz="4" w:space="0" w:color="auto"/>
              <w:left w:val="nil"/>
              <w:bottom w:val="nil"/>
              <w:right w:val="nil"/>
            </w:tcBorders>
            <w:vAlign w:val="bottom"/>
          </w:tcPr>
          <w:p w14:paraId="143A2441" w14:textId="570F5C17"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69.16</w:t>
            </w:r>
          </w:p>
        </w:tc>
        <w:tc>
          <w:tcPr>
            <w:tcW w:w="1276" w:type="dxa"/>
            <w:tcBorders>
              <w:top w:val="single" w:sz="4" w:space="0" w:color="auto"/>
              <w:left w:val="nil"/>
              <w:bottom w:val="nil"/>
              <w:right w:val="nil"/>
            </w:tcBorders>
            <w:vAlign w:val="bottom"/>
          </w:tcPr>
          <w:p w14:paraId="158D9593" w14:textId="29D42767"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132.33</w:t>
            </w:r>
          </w:p>
        </w:tc>
        <w:tc>
          <w:tcPr>
            <w:tcW w:w="1276" w:type="dxa"/>
            <w:tcBorders>
              <w:top w:val="single" w:sz="4" w:space="0" w:color="auto"/>
              <w:left w:val="nil"/>
              <w:bottom w:val="nil"/>
              <w:right w:val="nil"/>
            </w:tcBorders>
            <w:vAlign w:val="bottom"/>
          </w:tcPr>
          <w:p w14:paraId="73AFF893" w14:textId="19D5FF94"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131.67</w:t>
            </w:r>
          </w:p>
        </w:tc>
        <w:tc>
          <w:tcPr>
            <w:tcW w:w="1701" w:type="dxa"/>
            <w:tcBorders>
              <w:top w:val="single" w:sz="4" w:space="0" w:color="auto"/>
              <w:left w:val="nil"/>
              <w:bottom w:val="nil"/>
              <w:right w:val="nil"/>
            </w:tcBorders>
            <w:vAlign w:val="bottom"/>
          </w:tcPr>
          <w:p w14:paraId="40E006E1" w14:textId="2DCC84BD"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132.00</w:t>
            </w:r>
          </w:p>
        </w:tc>
      </w:tr>
      <w:tr w:rsidR="00711921" w:rsidRPr="000E0285" w14:paraId="634372EF" w14:textId="77777777" w:rsidTr="00DB1A37">
        <w:tc>
          <w:tcPr>
            <w:tcW w:w="1008" w:type="dxa"/>
            <w:tcBorders>
              <w:top w:val="nil"/>
              <w:left w:val="nil"/>
              <w:bottom w:val="nil"/>
              <w:right w:val="nil"/>
            </w:tcBorders>
            <w:vAlign w:val="center"/>
          </w:tcPr>
          <w:p w14:paraId="32062C87"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T2</w:t>
            </w:r>
          </w:p>
        </w:tc>
        <w:tc>
          <w:tcPr>
            <w:tcW w:w="4946" w:type="dxa"/>
            <w:tcBorders>
              <w:top w:val="nil"/>
              <w:left w:val="nil"/>
              <w:bottom w:val="nil"/>
              <w:right w:val="nil"/>
            </w:tcBorders>
          </w:tcPr>
          <w:p w14:paraId="31E6F89B" w14:textId="04B8B0E7" w:rsidR="00711921" w:rsidRPr="000E0285" w:rsidRDefault="00A81866" w:rsidP="00711921">
            <w:pPr>
              <w:spacing w:line="276" w:lineRule="auto"/>
              <w:jc w:val="both"/>
              <w:rPr>
                <w:rFonts w:ascii="Times New Roman" w:hAnsi="Times New Roman" w:cs="Times New Roman"/>
                <w:b/>
                <w:bCs/>
                <w:szCs w:val="24"/>
              </w:rPr>
            </w:pPr>
            <w:r>
              <w:rPr>
                <w:rFonts w:ascii="Times New Roman" w:hAnsi="Times New Roman" w:cs="Times New Roman"/>
                <w:szCs w:val="24"/>
              </w:rPr>
              <w:t>TU</w:t>
            </w:r>
            <w:r w:rsidR="00711921" w:rsidRPr="000E0285">
              <w:rPr>
                <w:rFonts w:ascii="Times New Roman" w:hAnsi="Times New Roman" w:cs="Times New Roman"/>
                <w:szCs w:val="24"/>
              </w:rPr>
              <w:t xml:space="preserve"> Vegetative+anthesis stage@400 ppm</w:t>
            </w:r>
          </w:p>
        </w:tc>
        <w:tc>
          <w:tcPr>
            <w:tcW w:w="1559" w:type="dxa"/>
            <w:tcBorders>
              <w:top w:val="nil"/>
              <w:left w:val="nil"/>
              <w:bottom w:val="nil"/>
              <w:right w:val="nil"/>
            </w:tcBorders>
            <w:vAlign w:val="bottom"/>
          </w:tcPr>
          <w:p w14:paraId="04DC29AE" w14:textId="71F879A1"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61.00</w:t>
            </w:r>
          </w:p>
        </w:tc>
        <w:tc>
          <w:tcPr>
            <w:tcW w:w="1418" w:type="dxa"/>
            <w:tcBorders>
              <w:top w:val="nil"/>
              <w:left w:val="nil"/>
              <w:bottom w:val="nil"/>
              <w:right w:val="nil"/>
            </w:tcBorders>
            <w:vAlign w:val="bottom"/>
          </w:tcPr>
          <w:p w14:paraId="0D37A3BF" w14:textId="7C926C55"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64.67</w:t>
            </w:r>
          </w:p>
        </w:tc>
        <w:tc>
          <w:tcPr>
            <w:tcW w:w="1417" w:type="dxa"/>
            <w:tcBorders>
              <w:top w:val="nil"/>
              <w:left w:val="nil"/>
              <w:bottom w:val="nil"/>
              <w:right w:val="nil"/>
            </w:tcBorders>
            <w:vAlign w:val="bottom"/>
          </w:tcPr>
          <w:p w14:paraId="2A919E52" w14:textId="305A5250"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62.83</w:t>
            </w:r>
          </w:p>
        </w:tc>
        <w:tc>
          <w:tcPr>
            <w:tcW w:w="1276" w:type="dxa"/>
            <w:tcBorders>
              <w:top w:val="nil"/>
              <w:left w:val="nil"/>
              <w:bottom w:val="nil"/>
              <w:right w:val="nil"/>
            </w:tcBorders>
            <w:vAlign w:val="bottom"/>
          </w:tcPr>
          <w:p w14:paraId="2F7371A7" w14:textId="35E4B86E"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125.00</w:t>
            </w:r>
          </w:p>
        </w:tc>
        <w:tc>
          <w:tcPr>
            <w:tcW w:w="1276" w:type="dxa"/>
            <w:tcBorders>
              <w:top w:val="nil"/>
              <w:left w:val="nil"/>
              <w:bottom w:val="nil"/>
              <w:right w:val="nil"/>
            </w:tcBorders>
            <w:vAlign w:val="bottom"/>
          </w:tcPr>
          <w:p w14:paraId="7ADBE08B" w14:textId="2F52A37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125.67</w:t>
            </w:r>
          </w:p>
        </w:tc>
        <w:tc>
          <w:tcPr>
            <w:tcW w:w="1701" w:type="dxa"/>
            <w:tcBorders>
              <w:top w:val="nil"/>
              <w:left w:val="nil"/>
              <w:bottom w:val="nil"/>
              <w:right w:val="nil"/>
            </w:tcBorders>
            <w:vAlign w:val="bottom"/>
          </w:tcPr>
          <w:p w14:paraId="60421C45" w14:textId="071BB80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125.33</w:t>
            </w:r>
          </w:p>
        </w:tc>
      </w:tr>
      <w:tr w:rsidR="00711921" w:rsidRPr="000E0285" w14:paraId="26A7154E" w14:textId="77777777" w:rsidTr="00DB1A37">
        <w:tc>
          <w:tcPr>
            <w:tcW w:w="1008" w:type="dxa"/>
            <w:tcBorders>
              <w:top w:val="nil"/>
              <w:left w:val="nil"/>
              <w:bottom w:val="nil"/>
              <w:right w:val="nil"/>
            </w:tcBorders>
            <w:vAlign w:val="center"/>
          </w:tcPr>
          <w:p w14:paraId="2D9D1BEF"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T3</w:t>
            </w:r>
          </w:p>
        </w:tc>
        <w:tc>
          <w:tcPr>
            <w:tcW w:w="4946" w:type="dxa"/>
            <w:tcBorders>
              <w:top w:val="nil"/>
              <w:left w:val="nil"/>
              <w:bottom w:val="nil"/>
              <w:right w:val="nil"/>
            </w:tcBorders>
          </w:tcPr>
          <w:p w14:paraId="7F4562E2" w14:textId="5E33A928" w:rsidR="00711921" w:rsidRPr="000E0285" w:rsidRDefault="00A81866" w:rsidP="00711921">
            <w:pPr>
              <w:spacing w:line="276" w:lineRule="auto"/>
              <w:jc w:val="both"/>
              <w:rPr>
                <w:rFonts w:ascii="Times New Roman" w:hAnsi="Times New Roman" w:cs="Times New Roman"/>
                <w:b/>
                <w:bCs/>
                <w:szCs w:val="24"/>
              </w:rPr>
            </w:pPr>
            <w:r>
              <w:rPr>
                <w:rFonts w:ascii="Times New Roman" w:hAnsi="Times New Roman" w:cs="Times New Roman"/>
                <w:szCs w:val="24"/>
              </w:rPr>
              <w:t>TU</w:t>
            </w:r>
            <w:r w:rsidR="00711921" w:rsidRPr="000E0285">
              <w:rPr>
                <w:rFonts w:ascii="Times New Roman" w:hAnsi="Times New Roman" w:cs="Times New Roman"/>
                <w:szCs w:val="24"/>
              </w:rPr>
              <w:t xml:space="preserve"> Vegetative+anthesis stage@200ppm</w:t>
            </w:r>
          </w:p>
        </w:tc>
        <w:tc>
          <w:tcPr>
            <w:tcW w:w="1559" w:type="dxa"/>
            <w:tcBorders>
              <w:top w:val="nil"/>
              <w:left w:val="nil"/>
              <w:bottom w:val="nil"/>
              <w:right w:val="nil"/>
            </w:tcBorders>
            <w:vAlign w:val="bottom"/>
          </w:tcPr>
          <w:p w14:paraId="23EF67BF" w14:textId="2BE49AAC"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61.33</w:t>
            </w:r>
          </w:p>
        </w:tc>
        <w:tc>
          <w:tcPr>
            <w:tcW w:w="1418" w:type="dxa"/>
            <w:tcBorders>
              <w:top w:val="nil"/>
              <w:left w:val="nil"/>
              <w:bottom w:val="nil"/>
              <w:right w:val="nil"/>
            </w:tcBorders>
            <w:vAlign w:val="bottom"/>
          </w:tcPr>
          <w:p w14:paraId="326BD6BD" w14:textId="3F44CDBE"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65.33</w:t>
            </w:r>
          </w:p>
        </w:tc>
        <w:tc>
          <w:tcPr>
            <w:tcW w:w="1417" w:type="dxa"/>
            <w:tcBorders>
              <w:top w:val="nil"/>
              <w:left w:val="nil"/>
              <w:bottom w:val="nil"/>
              <w:right w:val="nil"/>
            </w:tcBorders>
            <w:vAlign w:val="bottom"/>
          </w:tcPr>
          <w:p w14:paraId="6E19EE05" w14:textId="74A49B27"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63.33</w:t>
            </w:r>
          </w:p>
        </w:tc>
        <w:tc>
          <w:tcPr>
            <w:tcW w:w="1276" w:type="dxa"/>
            <w:tcBorders>
              <w:top w:val="nil"/>
              <w:left w:val="nil"/>
              <w:bottom w:val="nil"/>
              <w:right w:val="nil"/>
            </w:tcBorders>
            <w:vAlign w:val="bottom"/>
          </w:tcPr>
          <w:p w14:paraId="73CD1C17" w14:textId="414E80A2"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126.00</w:t>
            </w:r>
          </w:p>
        </w:tc>
        <w:tc>
          <w:tcPr>
            <w:tcW w:w="1276" w:type="dxa"/>
            <w:tcBorders>
              <w:top w:val="nil"/>
              <w:left w:val="nil"/>
              <w:bottom w:val="nil"/>
              <w:right w:val="nil"/>
            </w:tcBorders>
            <w:vAlign w:val="bottom"/>
          </w:tcPr>
          <w:p w14:paraId="1EBB9C50" w14:textId="3260A6F8"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126.33</w:t>
            </w:r>
          </w:p>
        </w:tc>
        <w:tc>
          <w:tcPr>
            <w:tcW w:w="1701" w:type="dxa"/>
            <w:tcBorders>
              <w:top w:val="nil"/>
              <w:left w:val="nil"/>
              <w:bottom w:val="nil"/>
              <w:right w:val="nil"/>
            </w:tcBorders>
            <w:vAlign w:val="bottom"/>
          </w:tcPr>
          <w:p w14:paraId="1E686994" w14:textId="386D7839"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126.16</w:t>
            </w:r>
          </w:p>
        </w:tc>
      </w:tr>
      <w:tr w:rsidR="00711921" w:rsidRPr="000E0285" w14:paraId="4EF4E99D" w14:textId="77777777" w:rsidTr="00DB1A37">
        <w:tc>
          <w:tcPr>
            <w:tcW w:w="1008" w:type="dxa"/>
            <w:tcBorders>
              <w:top w:val="nil"/>
              <w:left w:val="nil"/>
              <w:bottom w:val="nil"/>
              <w:right w:val="nil"/>
            </w:tcBorders>
            <w:vAlign w:val="center"/>
          </w:tcPr>
          <w:p w14:paraId="72E91033"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T4</w:t>
            </w:r>
          </w:p>
        </w:tc>
        <w:tc>
          <w:tcPr>
            <w:tcW w:w="4946" w:type="dxa"/>
            <w:tcBorders>
              <w:top w:val="nil"/>
              <w:left w:val="nil"/>
              <w:bottom w:val="nil"/>
              <w:right w:val="nil"/>
            </w:tcBorders>
          </w:tcPr>
          <w:p w14:paraId="721F5D93" w14:textId="72ADC543"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SA at </w:t>
            </w:r>
            <w:r w:rsidRPr="000E0285">
              <w:rPr>
                <w:rFonts w:ascii="Times New Roman" w:hAnsi="Times New Roman" w:cs="Times New Roman"/>
                <w:szCs w:val="24"/>
              </w:rPr>
              <w:t>Vegetative+anthesis stage@400ppme</w:t>
            </w:r>
          </w:p>
        </w:tc>
        <w:tc>
          <w:tcPr>
            <w:tcW w:w="1559" w:type="dxa"/>
            <w:tcBorders>
              <w:top w:val="nil"/>
              <w:left w:val="nil"/>
              <w:bottom w:val="nil"/>
              <w:right w:val="nil"/>
            </w:tcBorders>
            <w:vAlign w:val="bottom"/>
          </w:tcPr>
          <w:p w14:paraId="3855C3B8" w14:textId="56A2E53A"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59.33</w:t>
            </w:r>
          </w:p>
        </w:tc>
        <w:tc>
          <w:tcPr>
            <w:tcW w:w="1418" w:type="dxa"/>
            <w:tcBorders>
              <w:top w:val="nil"/>
              <w:left w:val="nil"/>
              <w:bottom w:val="nil"/>
              <w:right w:val="nil"/>
            </w:tcBorders>
            <w:vAlign w:val="bottom"/>
          </w:tcPr>
          <w:p w14:paraId="4D42324D" w14:textId="06111697"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64.00</w:t>
            </w:r>
          </w:p>
        </w:tc>
        <w:tc>
          <w:tcPr>
            <w:tcW w:w="1417" w:type="dxa"/>
            <w:tcBorders>
              <w:top w:val="nil"/>
              <w:left w:val="nil"/>
              <w:bottom w:val="nil"/>
              <w:right w:val="nil"/>
            </w:tcBorders>
            <w:vAlign w:val="bottom"/>
          </w:tcPr>
          <w:p w14:paraId="7F90803F" w14:textId="7CB90461"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61.66</w:t>
            </w:r>
          </w:p>
        </w:tc>
        <w:tc>
          <w:tcPr>
            <w:tcW w:w="1276" w:type="dxa"/>
            <w:tcBorders>
              <w:top w:val="nil"/>
              <w:left w:val="nil"/>
              <w:bottom w:val="nil"/>
              <w:right w:val="nil"/>
            </w:tcBorders>
            <w:vAlign w:val="bottom"/>
          </w:tcPr>
          <w:p w14:paraId="6594EDA4" w14:textId="3289DA60"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124.67</w:t>
            </w:r>
          </w:p>
        </w:tc>
        <w:tc>
          <w:tcPr>
            <w:tcW w:w="1276" w:type="dxa"/>
            <w:tcBorders>
              <w:top w:val="nil"/>
              <w:left w:val="nil"/>
              <w:bottom w:val="nil"/>
              <w:right w:val="nil"/>
            </w:tcBorders>
            <w:vAlign w:val="bottom"/>
          </w:tcPr>
          <w:p w14:paraId="1D6D970E" w14:textId="2A805808"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125.33</w:t>
            </w:r>
          </w:p>
        </w:tc>
        <w:tc>
          <w:tcPr>
            <w:tcW w:w="1701" w:type="dxa"/>
            <w:tcBorders>
              <w:top w:val="nil"/>
              <w:left w:val="nil"/>
              <w:bottom w:val="nil"/>
              <w:right w:val="nil"/>
            </w:tcBorders>
            <w:vAlign w:val="bottom"/>
          </w:tcPr>
          <w:p w14:paraId="1048ABD6" w14:textId="6DE86A9D"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125.00</w:t>
            </w:r>
          </w:p>
        </w:tc>
      </w:tr>
      <w:tr w:rsidR="00711921" w:rsidRPr="000E0285" w14:paraId="1E0808A5" w14:textId="77777777" w:rsidTr="00DB1A37">
        <w:tc>
          <w:tcPr>
            <w:tcW w:w="1008" w:type="dxa"/>
            <w:tcBorders>
              <w:top w:val="nil"/>
              <w:left w:val="nil"/>
              <w:bottom w:val="nil"/>
              <w:right w:val="nil"/>
            </w:tcBorders>
            <w:vAlign w:val="center"/>
          </w:tcPr>
          <w:p w14:paraId="24B300B5"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T5</w:t>
            </w:r>
          </w:p>
        </w:tc>
        <w:tc>
          <w:tcPr>
            <w:tcW w:w="4946" w:type="dxa"/>
            <w:tcBorders>
              <w:top w:val="nil"/>
              <w:left w:val="nil"/>
              <w:bottom w:val="nil"/>
              <w:right w:val="nil"/>
            </w:tcBorders>
          </w:tcPr>
          <w:p w14:paraId="022EDCF9" w14:textId="2B1F94CD"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SA at </w:t>
            </w:r>
            <w:r w:rsidRPr="000E0285">
              <w:rPr>
                <w:rFonts w:ascii="Times New Roman" w:hAnsi="Times New Roman" w:cs="Times New Roman"/>
                <w:szCs w:val="24"/>
              </w:rPr>
              <w:t>Vegetative+anthesis stage@800ppm</w:t>
            </w:r>
          </w:p>
        </w:tc>
        <w:tc>
          <w:tcPr>
            <w:tcW w:w="1559" w:type="dxa"/>
            <w:tcBorders>
              <w:top w:val="nil"/>
              <w:left w:val="nil"/>
              <w:bottom w:val="nil"/>
              <w:right w:val="nil"/>
            </w:tcBorders>
            <w:vAlign w:val="bottom"/>
          </w:tcPr>
          <w:p w14:paraId="5ADFFF4B" w14:textId="4B66C96F"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62.00</w:t>
            </w:r>
          </w:p>
        </w:tc>
        <w:tc>
          <w:tcPr>
            <w:tcW w:w="1418" w:type="dxa"/>
            <w:tcBorders>
              <w:top w:val="nil"/>
              <w:left w:val="nil"/>
              <w:bottom w:val="nil"/>
              <w:right w:val="nil"/>
            </w:tcBorders>
            <w:vAlign w:val="bottom"/>
          </w:tcPr>
          <w:p w14:paraId="5E51BAFC" w14:textId="01EF62F5"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66.00</w:t>
            </w:r>
          </w:p>
        </w:tc>
        <w:tc>
          <w:tcPr>
            <w:tcW w:w="1417" w:type="dxa"/>
            <w:tcBorders>
              <w:top w:val="nil"/>
              <w:left w:val="nil"/>
              <w:bottom w:val="nil"/>
              <w:right w:val="nil"/>
            </w:tcBorders>
            <w:vAlign w:val="bottom"/>
          </w:tcPr>
          <w:p w14:paraId="007F451F" w14:textId="570955A2"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64.00</w:t>
            </w:r>
          </w:p>
        </w:tc>
        <w:tc>
          <w:tcPr>
            <w:tcW w:w="1276" w:type="dxa"/>
            <w:tcBorders>
              <w:top w:val="nil"/>
              <w:left w:val="nil"/>
              <w:bottom w:val="nil"/>
              <w:right w:val="nil"/>
            </w:tcBorders>
            <w:vAlign w:val="bottom"/>
          </w:tcPr>
          <w:p w14:paraId="2D8B5522" w14:textId="169F5120"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126.33</w:t>
            </w:r>
          </w:p>
        </w:tc>
        <w:tc>
          <w:tcPr>
            <w:tcW w:w="1276" w:type="dxa"/>
            <w:tcBorders>
              <w:top w:val="nil"/>
              <w:left w:val="nil"/>
              <w:bottom w:val="nil"/>
              <w:right w:val="nil"/>
            </w:tcBorders>
            <w:vAlign w:val="bottom"/>
          </w:tcPr>
          <w:p w14:paraId="554DCCE6" w14:textId="4D3BDFE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127.00</w:t>
            </w:r>
          </w:p>
        </w:tc>
        <w:tc>
          <w:tcPr>
            <w:tcW w:w="1701" w:type="dxa"/>
            <w:tcBorders>
              <w:top w:val="nil"/>
              <w:left w:val="nil"/>
              <w:bottom w:val="nil"/>
              <w:right w:val="nil"/>
            </w:tcBorders>
            <w:vAlign w:val="bottom"/>
          </w:tcPr>
          <w:p w14:paraId="24BA66D7" w14:textId="5634539B"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126.66</w:t>
            </w:r>
          </w:p>
        </w:tc>
      </w:tr>
      <w:tr w:rsidR="00711921" w:rsidRPr="000E0285" w14:paraId="4B7153A3" w14:textId="77777777" w:rsidTr="00DB1A37">
        <w:tc>
          <w:tcPr>
            <w:tcW w:w="1008" w:type="dxa"/>
            <w:tcBorders>
              <w:top w:val="nil"/>
              <w:left w:val="nil"/>
              <w:bottom w:val="nil"/>
              <w:right w:val="nil"/>
            </w:tcBorders>
            <w:vAlign w:val="center"/>
          </w:tcPr>
          <w:p w14:paraId="354060CF"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T6</w:t>
            </w:r>
          </w:p>
        </w:tc>
        <w:tc>
          <w:tcPr>
            <w:tcW w:w="4946" w:type="dxa"/>
            <w:tcBorders>
              <w:top w:val="nil"/>
              <w:left w:val="nil"/>
              <w:bottom w:val="nil"/>
              <w:right w:val="nil"/>
            </w:tcBorders>
          </w:tcPr>
          <w:p w14:paraId="01CEA7E4" w14:textId="0618D5BC"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CCC at </w:t>
            </w:r>
            <w:r w:rsidRPr="000E0285">
              <w:rPr>
                <w:rFonts w:ascii="Times New Roman" w:hAnsi="Times New Roman" w:cs="Times New Roman"/>
                <w:szCs w:val="24"/>
              </w:rPr>
              <w:t>Vegetative+anthesis stage@400ppm</w:t>
            </w:r>
          </w:p>
        </w:tc>
        <w:tc>
          <w:tcPr>
            <w:tcW w:w="1559" w:type="dxa"/>
            <w:tcBorders>
              <w:top w:val="nil"/>
              <w:left w:val="nil"/>
              <w:bottom w:val="nil"/>
              <w:right w:val="nil"/>
            </w:tcBorders>
            <w:vAlign w:val="bottom"/>
          </w:tcPr>
          <w:p w14:paraId="700B7C44" w14:textId="61640446"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66.00</w:t>
            </w:r>
          </w:p>
        </w:tc>
        <w:tc>
          <w:tcPr>
            <w:tcW w:w="1418" w:type="dxa"/>
            <w:tcBorders>
              <w:top w:val="nil"/>
              <w:left w:val="nil"/>
              <w:bottom w:val="nil"/>
              <w:right w:val="nil"/>
            </w:tcBorders>
            <w:vAlign w:val="bottom"/>
          </w:tcPr>
          <w:p w14:paraId="03AB1D84" w14:textId="30649120"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70.67</w:t>
            </w:r>
          </w:p>
        </w:tc>
        <w:tc>
          <w:tcPr>
            <w:tcW w:w="1417" w:type="dxa"/>
            <w:tcBorders>
              <w:top w:val="nil"/>
              <w:left w:val="nil"/>
              <w:bottom w:val="nil"/>
              <w:right w:val="nil"/>
            </w:tcBorders>
            <w:vAlign w:val="bottom"/>
          </w:tcPr>
          <w:p w14:paraId="56980F38" w14:textId="518F895E"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68.33</w:t>
            </w:r>
          </w:p>
        </w:tc>
        <w:tc>
          <w:tcPr>
            <w:tcW w:w="1276" w:type="dxa"/>
            <w:tcBorders>
              <w:top w:val="nil"/>
              <w:left w:val="nil"/>
              <w:bottom w:val="nil"/>
              <w:right w:val="nil"/>
            </w:tcBorders>
            <w:vAlign w:val="bottom"/>
          </w:tcPr>
          <w:p w14:paraId="228CAF03" w14:textId="5A79EF7F"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130.67</w:t>
            </w:r>
          </w:p>
        </w:tc>
        <w:tc>
          <w:tcPr>
            <w:tcW w:w="1276" w:type="dxa"/>
            <w:tcBorders>
              <w:top w:val="nil"/>
              <w:left w:val="nil"/>
              <w:bottom w:val="nil"/>
              <w:right w:val="nil"/>
            </w:tcBorders>
            <w:vAlign w:val="bottom"/>
          </w:tcPr>
          <w:p w14:paraId="0A22CD80" w14:textId="26F21371"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131.00</w:t>
            </w:r>
          </w:p>
        </w:tc>
        <w:tc>
          <w:tcPr>
            <w:tcW w:w="1701" w:type="dxa"/>
            <w:tcBorders>
              <w:top w:val="nil"/>
              <w:left w:val="nil"/>
              <w:bottom w:val="nil"/>
              <w:right w:val="nil"/>
            </w:tcBorders>
            <w:vAlign w:val="bottom"/>
          </w:tcPr>
          <w:p w14:paraId="74325EF2" w14:textId="105988C8"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130.83</w:t>
            </w:r>
          </w:p>
        </w:tc>
      </w:tr>
      <w:tr w:rsidR="00711921" w:rsidRPr="000E0285" w14:paraId="1EA1106F" w14:textId="77777777" w:rsidTr="00DB1A37">
        <w:tc>
          <w:tcPr>
            <w:tcW w:w="1008" w:type="dxa"/>
            <w:tcBorders>
              <w:top w:val="nil"/>
              <w:left w:val="nil"/>
              <w:bottom w:val="nil"/>
              <w:right w:val="nil"/>
            </w:tcBorders>
            <w:vAlign w:val="center"/>
          </w:tcPr>
          <w:p w14:paraId="55A27971"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T7</w:t>
            </w:r>
          </w:p>
        </w:tc>
        <w:tc>
          <w:tcPr>
            <w:tcW w:w="4946" w:type="dxa"/>
            <w:tcBorders>
              <w:top w:val="nil"/>
              <w:left w:val="nil"/>
              <w:bottom w:val="nil"/>
              <w:right w:val="nil"/>
            </w:tcBorders>
          </w:tcPr>
          <w:p w14:paraId="5519CD19" w14:textId="141CFAC2"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CCC at </w:t>
            </w:r>
            <w:r w:rsidRPr="000E0285">
              <w:rPr>
                <w:rFonts w:ascii="Times New Roman" w:hAnsi="Times New Roman" w:cs="Times New Roman"/>
                <w:szCs w:val="24"/>
              </w:rPr>
              <w:t>Vegetative+anthesis stage@800ppm</w:t>
            </w:r>
          </w:p>
        </w:tc>
        <w:tc>
          <w:tcPr>
            <w:tcW w:w="1559" w:type="dxa"/>
            <w:tcBorders>
              <w:top w:val="nil"/>
              <w:left w:val="nil"/>
              <w:bottom w:val="nil"/>
              <w:right w:val="nil"/>
            </w:tcBorders>
            <w:vAlign w:val="bottom"/>
          </w:tcPr>
          <w:p w14:paraId="59DE2B3F" w14:textId="374F813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66.33</w:t>
            </w:r>
          </w:p>
        </w:tc>
        <w:tc>
          <w:tcPr>
            <w:tcW w:w="1418" w:type="dxa"/>
            <w:tcBorders>
              <w:top w:val="nil"/>
              <w:left w:val="nil"/>
              <w:bottom w:val="nil"/>
              <w:right w:val="nil"/>
            </w:tcBorders>
            <w:vAlign w:val="bottom"/>
          </w:tcPr>
          <w:p w14:paraId="3B2DF0B2" w14:textId="7B78B75E"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71.00</w:t>
            </w:r>
          </w:p>
        </w:tc>
        <w:tc>
          <w:tcPr>
            <w:tcW w:w="1417" w:type="dxa"/>
            <w:tcBorders>
              <w:top w:val="nil"/>
              <w:left w:val="nil"/>
              <w:bottom w:val="nil"/>
              <w:right w:val="nil"/>
            </w:tcBorders>
            <w:vAlign w:val="bottom"/>
          </w:tcPr>
          <w:p w14:paraId="6C77AA36" w14:textId="2EE241D7"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68.66</w:t>
            </w:r>
          </w:p>
        </w:tc>
        <w:tc>
          <w:tcPr>
            <w:tcW w:w="1276" w:type="dxa"/>
            <w:tcBorders>
              <w:top w:val="nil"/>
              <w:left w:val="nil"/>
              <w:bottom w:val="nil"/>
              <w:right w:val="nil"/>
            </w:tcBorders>
            <w:vAlign w:val="bottom"/>
          </w:tcPr>
          <w:p w14:paraId="45C9D9BF" w14:textId="1145AD88"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132.00</w:t>
            </w:r>
          </w:p>
        </w:tc>
        <w:tc>
          <w:tcPr>
            <w:tcW w:w="1276" w:type="dxa"/>
            <w:tcBorders>
              <w:top w:val="nil"/>
              <w:left w:val="nil"/>
              <w:bottom w:val="nil"/>
              <w:right w:val="nil"/>
            </w:tcBorders>
            <w:vAlign w:val="bottom"/>
          </w:tcPr>
          <w:p w14:paraId="6BB33F3D" w14:textId="598F1216"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131.33</w:t>
            </w:r>
          </w:p>
        </w:tc>
        <w:tc>
          <w:tcPr>
            <w:tcW w:w="1701" w:type="dxa"/>
            <w:tcBorders>
              <w:top w:val="nil"/>
              <w:left w:val="nil"/>
              <w:bottom w:val="nil"/>
              <w:right w:val="nil"/>
            </w:tcBorders>
            <w:vAlign w:val="bottom"/>
          </w:tcPr>
          <w:p w14:paraId="568DF29B" w14:textId="3669928D"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131.66</w:t>
            </w:r>
          </w:p>
        </w:tc>
      </w:tr>
      <w:tr w:rsidR="00711921" w:rsidRPr="000E0285" w14:paraId="6541E13B" w14:textId="77777777" w:rsidTr="00DB1A37">
        <w:tc>
          <w:tcPr>
            <w:tcW w:w="1008" w:type="dxa"/>
            <w:tcBorders>
              <w:top w:val="nil"/>
              <w:left w:val="nil"/>
              <w:bottom w:val="nil"/>
              <w:right w:val="nil"/>
            </w:tcBorders>
            <w:vAlign w:val="center"/>
          </w:tcPr>
          <w:p w14:paraId="240029EC"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T8</w:t>
            </w:r>
          </w:p>
        </w:tc>
        <w:tc>
          <w:tcPr>
            <w:tcW w:w="4946" w:type="dxa"/>
            <w:tcBorders>
              <w:top w:val="nil"/>
              <w:left w:val="nil"/>
              <w:bottom w:val="nil"/>
              <w:right w:val="nil"/>
            </w:tcBorders>
          </w:tcPr>
          <w:p w14:paraId="35551408" w14:textId="36CCAFEF"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AA at</w:t>
            </w:r>
            <w:r w:rsidRPr="000E0285">
              <w:rPr>
                <w:rFonts w:ascii="Times New Roman" w:hAnsi="Times New Roman" w:cs="Times New Roman"/>
                <w:szCs w:val="24"/>
              </w:rPr>
              <w:t xml:space="preserve"> Vegetative+anthesis stage@10ppm</w:t>
            </w:r>
          </w:p>
        </w:tc>
        <w:tc>
          <w:tcPr>
            <w:tcW w:w="1559" w:type="dxa"/>
            <w:tcBorders>
              <w:top w:val="nil"/>
              <w:left w:val="nil"/>
              <w:bottom w:val="nil"/>
              <w:right w:val="nil"/>
            </w:tcBorders>
            <w:vAlign w:val="bottom"/>
          </w:tcPr>
          <w:p w14:paraId="1BEE53D2" w14:textId="5AC7785F"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62.67</w:t>
            </w:r>
          </w:p>
        </w:tc>
        <w:tc>
          <w:tcPr>
            <w:tcW w:w="1418" w:type="dxa"/>
            <w:tcBorders>
              <w:top w:val="nil"/>
              <w:left w:val="nil"/>
              <w:bottom w:val="nil"/>
              <w:right w:val="nil"/>
            </w:tcBorders>
            <w:vAlign w:val="bottom"/>
          </w:tcPr>
          <w:p w14:paraId="21125BC2" w14:textId="0F6925DD"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66.67</w:t>
            </w:r>
          </w:p>
        </w:tc>
        <w:tc>
          <w:tcPr>
            <w:tcW w:w="1417" w:type="dxa"/>
            <w:tcBorders>
              <w:top w:val="nil"/>
              <w:left w:val="nil"/>
              <w:bottom w:val="nil"/>
              <w:right w:val="nil"/>
            </w:tcBorders>
            <w:vAlign w:val="bottom"/>
          </w:tcPr>
          <w:p w14:paraId="5856EB5B" w14:textId="7F967B2D"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64.66</w:t>
            </w:r>
          </w:p>
        </w:tc>
        <w:tc>
          <w:tcPr>
            <w:tcW w:w="1276" w:type="dxa"/>
            <w:tcBorders>
              <w:top w:val="nil"/>
              <w:left w:val="nil"/>
              <w:bottom w:val="nil"/>
              <w:right w:val="nil"/>
            </w:tcBorders>
            <w:vAlign w:val="bottom"/>
          </w:tcPr>
          <w:p w14:paraId="198FDFA6" w14:textId="71B892DC"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127.00</w:t>
            </w:r>
          </w:p>
        </w:tc>
        <w:tc>
          <w:tcPr>
            <w:tcW w:w="1276" w:type="dxa"/>
            <w:tcBorders>
              <w:top w:val="nil"/>
              <w:left w:val="nil"/>
              <w:bottom w:val="nil"/>
              <w:right w:val="nil"/>
            </w:tcBorders>
            <w:vAlign w:val="bottom"/>
          </w:tcPr>
          <w:p w14:paraId="3F8391C3" w14:textId="35F08700"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127.33</w:t>
            </w:r>
          </w:p>
        </w:tc>
        <w:tc>
          <w:tcPr>
            <w:tcW w:w="1701" w:type="dxa"/>
            <w:tcBorders>
              <w:top w:val="nil"/>
              <w:left w:val="nil"/>
              <w:bottom w:val="nil"/>
              <w:right w:val="nil"/>
            </w:tcBorders>
            <w:vAlign w:val="bottom"/>
          </w:tcPr>
          <w:p w14:paraId="357BB0FE" w14:textId="17E4392C"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127.16</w:t>
            </w:r>
          </w:p>
        </w:tc>
      </w:tr>
      <w:tr w:rsidR="00711921" w:rsidRPr="000E0285" w14:paraId="7156EDFF" w14:textId="77777777" w:rsidTr="00DB1A37">
        <w:tc>
          <w:tcPr>
            <w:tcW w:w="1008" w:type="dxa"/>
            <w:tcBorders>
              <w:top w:val="nil"/>
              <w:left w:val="nil"/>
              <w:bottom w:val="nil"/>
              <w:right w:val="nil"/>
            </w:tcBorders>
            <w:vAlign w:val="center"/>
          </w:tcPr>
          <w:p w14:paraId="2B6A6FEC"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T9</w:t>
            </w:r>
          </w:p>
        </w:tc>
        <w:tc>
          <w:tcPr>
            <w:tcW w:w="4946" w:type="dxa"/>
            <w:tcBorders>
              <w:top w:val="nil"/>
              <w:left w:val="nil"/>
              <w:bottom w:val="nil"/>
              <w:right w:val="nil"/>
            </w:tcBorders>
          </w:tcPr>
          <w:p w14:paraId="2D548242" w14:textId="6729D4C2"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KCL at </w:t>
            </w:r>
            <w:r w:rsidRPr="000E0285">
              <w:rPr>
                <w:rFonts w:ascii="Times New Roman" w:hAnsi="Times New Roman" w:cs="Times New Roman"/>
                <w:szCs w:val="24"/>
              </w:rPr>
              <w:t>Vegetative+anthesis stage@10000ppm</w:t>
            </w:r>
          </w:p>
        </w:tc>
        <w:tc>
          <w:tcPr>
            <w:tcW w:w="1559" w:type="dxa"/>
            <w:tcBorders>
              <w:top w:val="nil"/>
              <w:left w:val="nil"/>
              <w:bottom w:val="nil"/>
              <w:right w:val="nil"/>
            </w:tcBorders>
            <w:vAlign w:val="bottom"/>
          </w:tcPr>
          <w:p w14:paraId="1E15E96F" w14:textId="0D02C064"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63.33</w:t>
            </w:r>
          </w:p>
        </w:tc>
        <w:tc>
          <w:tcPr>
            <w:tcW w:w="1418" w:type="dxa"/>
            <w:tcBorders>
              <w:top w:val="nil"/>
              <w:left w:val="nil"/>
              <w:bottom w:val="nil"/>
              <w:right w:val="nil"/>
            </w:tcBorders>
            <w:vAlign w:val="bottom"/>
          </w:tcPr>
          <w:p w14:paraId="49A8F76E" w14:textId="1F0709BE"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67.33</w:t>
            </w:r>
          </w:p>
        </w:tc>
        <w:tc>
          <w:tcPr>
            <w:tcW w:w="1417" w:type="dxa"/>
            <w:tcBorders>
              <w:top w:val="nil"/>
              <w:left w:val="nil"/>
              <w:bottom w:val="nil"/>
              <w:right w:val="nil"/>
            </w:tcBorders>
            <w:vAlign w:val="bottom"/>
          </w:tcPr>
          <w:p w14:paraId="722901F6" w14:textId="67B46BC8"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65.33</w:t>
            </w:r>
          </w:p>
        </w:tc>
        <w:tc>
          <w:tcPr>
            <w:tcW w:w="1276" w:type="dxa"/>
            <w:tcBorders>
              <w:top w:val="nil"/>
              <w:left w:val="nil"/>
              <w:bottom w:val="nil"/>
              <w:right w:val="nil"/>
            </w:tcBorders>
            <w:vAlign w:val="bottom"/>
          </w:tcPr>
          <w:p w14:paraId="2A3D33C1" w14:textId="45A60146"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127.67</w:t>
            </w:r>
          </w:p>
        </w:tc>
        <w:tc>
          <w:tcPr>
            <w:tcW w:w="1276" w:type="dxa"/>
            <w:tcBorders>
              <w:top w:val="nil"/>
              <w:left w:val="nil"/>
              <w:bottom w:val="nil"/>
              <w:right w:val="nil"/>
            </w:tcBorders>
            <w:vAlign w:val="bottom"/>
          </w:tcPr>
          <w:p w14:paraId="08F7307C" w14:textId="7A8500F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128.00</w:t>
            </w:r>
          </w:p>
        </w:tc>
        <w:tc>
          <w:tcPr>
            <w:tcW w:w="1701" w:type="dxa"/>
            <w:tcBorders>
              <w:top w:val="nil"/>
              <w:left w:val="nil"/>
              <w:bottom w:val="nil"/>
              <w:right w:val="nil"/>
            </w:tcBorders>
            <w:vAlign w:val="bottom"/>
          </w:tcPr>
          <w:p w14:paraId="0E0BAF76" w14:textId="14A56AC2"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127.83</w:t>
            </w:r>
          </w:p>
        </w:tc>
      </w:tr>
      <w:tr w:rsidR="00711921" w:rsidRPr="000E0285" w14:paraId="11E41A0F" w14:textId="77777777" w:rsidTr="00DB1A37">
        <w:tc>
          <w:tcPr>
            <w:tcW w:w="1008" w:type="dxa"/>
            <w:tcBorders>
              <w:top w:val="nil"/>
              <w:left w:val="nil"/>
              <w:bottom w:val="nil"/>
              <w:right w:val="nil"/>
            </w:tcBorders>
            <w:vAlign w:val="center"/>
          </w:tcPr>
          <w:p w14:paraId="2EF54F51"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T10</w:t>
            </w:r>
          </w:p>
        </w:tc>
        <w:tc>
          <w:tcPr>
            <w:tcW w:w="4946" w:type="dxa"/>
            <w:tcBorders>
              <w:top w:val="nil"/>
              <w:left w:val="nil"/>
              <w:bottom w:val="nil"/>
              <w:right w:val="nil"/>
            </w:tcBorders>
          </w:tcPr>
          <w:p w14:paraId="13F09DB0" w14:textId="4490ED3B"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Ethrel at </w:t>
            </w:r>
            <w:r w:rsidRPr="000E0285">
              <w:rPr>
                <w:rFonts w:ascii="Times New Roman" w:hAnsi="Times New Roman" w:cs="Times New Roman"/>
                <w:szCs w:val="24"/>
              </w:rPr>
              <w:t>25 days after sowing@250ppm</w:t>
            </w:r>
          </w:p>
        </w:tc>
        <w:tc>
          <w:tcPr>
            <w:tcW w:w="1559" w:type="dxa"/>
            <w:tcBorders>
              <w:top w:val="nil"/>
              <w:left w:val="nil"/>
              <w:bottom w:val="nil"/>
              <w:right w:val="nil"/>
            </w:tcBorders>
            <w:vAlign w:val="bottom"/>
          </w:tcPr>
          <w:p w14:paraId="10DE1273" w14:textId="129DDB29"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65.33</w:t>
            </w:r>
          </w:p>
        </w:tc>
        <w:tc>
          <w:tcPr>
            <w:tcW w:w="1418" w:type="dxa"/>
            <w:tcBorders>
              <w:top w:val="nil"/>
              <w:left w:val="nil"/>
              <w:bottom w:val="nil"/>
              <w:right w:val="nil"/>
            </w:tcBorders>
            <w:vAlign w:val="bottom"/>
          </w:tcPr>
          <w:p w14:paraId="32769162" w14:textId="5F1ABB61"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69.33</w:t>
            </w:r>
          </w:p>
        </w:tc>
        <w:tc>
          <w:tcPr>
            <w:tcW w:w="1417" w:type="dxa"/>
            <w:tcBorders>
              <w:top w:val="nil"/>
              <w:left w:val="nil"/>
              <w:bottom w:val="nil"/>
              <w:right w:val="nil"/>
            </w:tcBorders>
            <w:vAlign w:val="bottom"/>
          </w:tcPr>
          <w:p w14:paraId="09B41AA5" w14:textId="4CEDDF5D"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67.33</w:t>
            </w:r>
          </w:p>
        </w:tc>
        <w:tc>
          <w:tcPr>
            <w:tcW w:w="1276" w:type="dxa"/>
            <w:tcBorders>
              <w:top w:val="nil"/>
              <w:left w:val="nil"/>
              <w:bottom w:val="nil"/>
              <w:right w:val="nil"/>
            </w:tcBorders>
            <w:vAlign w:val="bottom"/>
          </w:tcPr>
          <w:p w14:paraId="5D6EEEB3" w14:textId="666A2E6B"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128.67</w:t>
            </w:r>
          </w:p>
        </w:tc>
        <w:tc>
          <w:tcPr>
            <w:tcW w:w="1276" w:type="dxa"/>
            <w:tcBorders>
              <w:top w:val="nil"/>
              <w:left w:val="nil"/>
              <w:bottom w:val="nil"/>
              <w:right w:val="nil"/>
            </w:tcBorders>
            <w:vAlign w:val="bottom"/>
          </w:tcPr>
          <w:p w14:paraId="03C8432A" w14:textId="366C74B9"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129.00</w:t>
            </w:r>
          </w:p>
        </w:tc>
        <w:tc>
          <w:tcPr>
            <w:tcW w:w="1701" w:type="dxa"/>
            <w:tcBorders>
              <w:top w:val="nil"/>
              <w:left w:val="nil"/>
              <w:bottom w:val="nil"/>
              <w:right w:val="nil"/>
            </w:tcBorders>
            <w:vAlign w:val="bottom"/>
          </w:tcPr>
          <w:p w14:paraId="34C55895" w14:textId="1A78ADE4"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128.83</w:t>
            </w:r>
          </w:p>
        </w:tc>
      </w:tr>
      <w:tr w:rsidR="00711921" w:rsidRPr="000E0285" w14:paraId="5DFF2655" w14:textId="77777777" w:rsidTr="00DB1A37">
        <w:tc>
          <w:tcPr>
            <w:tcW w:w="1008" w:type="dxa"/>
            <w:tcBorders>
              <w:top w:val="nil"/>
              <w:left w:val="nil"/>
              <w:bottom w:val="nil"/>
              <w:right w:val="nil"/>
            </w:tcBorders>
            <w:vAlign w:val="center"/>
          </w:tcPr>
          <w:p w14:paraId="76C86153"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T11</w:t>
            </w:r>
          </w:p>
        </w:tc>
        <w:tc>
          <w:tcPr>
            <w:tcW w:w="4946" w:type="dxa"/>
            <w:tcBorders>
              <w:top w:val="nil"/>
              <w:left w:val="nil"/>
              <w:bottom w:val="nil"/>
              <w:right w:val="nil"/>
            </w:tcBorders>
          </w:tcPr>
          <w:p w14:paraId="004AAFFB" w14:textId="4F9A8CC7"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Boron at </w:t>
            </w:r>
            <w:r w:rsidRPr="000E0285">
              <w:rPr>
                <w:rFonts w:ascii="Times New Roman" w:hAnsi="Times New Roman" w:cs="Times New Roman"/>
                <w:szCs w:val="24"/>
              </w:rPr>
              <w:t>45 days after sowing@2500ppm</w:t>
            </w:r>
          </w:p>
        </w:tc>
        <w:tc>
          <w:tcPr>
            <w:tcW w:w="1559" w:type="dxa"/>
            <w:tcBorders>
              <w:top w:val="nil"/>
              <w:left w:val="nil"/>
              <w:bottom w:val="nil"/>
              <w:right w:val="nil"/>
            </w:tcBorders>
            <w:vAlign w:val="bottom"/>
          </w:tcPr>
          <w:p w14:paraId="4C4DE95A" w14:textId="4D5B19E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65.67</w:t>
            </w:r>
          </w:p>
        </w:tc>
        <w:tc>
          <w:tcPr>
            <w:tcW w:w="1418" w:type="dxa"/>
            <w:tcBorders>
              <w:top w:val="nil"/>
              <w:left w:val="nil"/>
              <w:bottom w:val="nil"/>
              <w:right w:val="nil"/>
            </w:tcBorders>
            <w:vAlign w:val="bottom"/>
          </w:tcPr>
          <w:p w14:paraId="63FE123D" w14:textId="7563F108"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69.67</w:t>
            </w:r>
          </w:p>
        </w:tc>
        <w:tc>
          <w:tcPr>
            <w:tcW w:w="1417" w:type="dxa"/>
            <w:tcBorders>
              <w:top w:val="nil"/>
              <w:left w:val="nil"/>
              <w:bottom w:val="nil"/>
              <w:right w:val="nil"/>
            </w:tcBorders>
            <w:vAlign w:val="bottom"/>
          </w:tcPr>
          <w:p w14:paraId="250E8FA5" w14:textId="546778EC"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67.66</w:t>
            </w:r>
          </w:p>
        </w:tc>
        <w:tc>
          <w:tcPr>
            <w:tcW w:w="1276" w:type="dxa"/>
            <w:tcBorders>
              <w:top w:val="nil"/>
              <w:left w:val="nil"/>
              <w:bottom w:val="nil"/>
              <w:right w:val="nil"/>
            </w:tcBorders>
            <w:vAlign w:val="bottom"/>
          </w:tcPr>
          <w:p w14:paraId="3AA96C7B" w14:textId="5FBC964F"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129.33</w:t>
            </w:r>
          </w:p>
        </w:tc>
        <w:tc>
          <w:tcPr>
            <w:tcW w:w="1276" w:type="dxa"/>
            <w:tcBorders>
              <w:top w:val="nil"/>
              <w:left w:val="nil"/>
              <w:bottom w:val="nil"/>
              <w:right w:val="nil"/>
            </w:tcBorders>
            <w:vAlign w:val="bottom"/>
          </w:tcPr>
          <w:p w14:paraId="10B385BA" w14:textId="562A076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129.67</w:t>
            </w:r>
          </w:p>
        </w:tc>
        <w:tc>
          <w:tcPr>
            <w:tcW w:w="1701" w:type="dxa"/>
            <w:tcBorders>
              <w:top w:val="nil"/>
              <w:left w:val="nil"/>
              <w:bottom w:val="nil"/>
              <w:right w:val="nil"/>
            </w:tcBorders>
            <w:vAlign w:val="bottom"/>
          </w:tcPr>
          <w:p w14:paraId="521DD848" w14:textId="22B3B2E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129.50</w:t>
            </w:r>
          </w:p>
        </w:tc>
      </w:tr>
      <w:tr w:rsidR="00711921" w:rsidRPr="000E0285" w14:paraId="5AFFA1CB" w14:textId="77777777" w:rsidTr="00DB1A37">
        <w:tc>
          <w:tcPr>
            <w:tcW w:w="1008" w:type="dxa"/>
            <w:tcBorders>
              <w:top w:val="nil"/>
              <w:left w:val="nil"/>
              <w:bottom w:val="single" w:sz="4" w:space="0" w:color="auto"/>
              <w:right w:val="nil"/>
            </w:tcBorders>
            <w:vAlign w:val="center"/>
          </w:tcPr>
          <w:p w14:paraId="206E8577"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T12</w:t>
            </w:r>
          </w:p>
        </w:tc>
        <w:tc>
          <w:tcPr>
            <w:tcW w:w="4946" w:type="dxa"/>
            <w:tcBorders>
              <w:top w:val="nil"/>
              <w:left w:val="nil"/>
              <w:bottom w:val="single" w:sz="4" w:space="0" w:color="auto"/>
              <w:right w:val="nil"/>
            </w:tcBorders>
          </w:tcPr>
          <w:p w14:paraId="4B02E000" w14:textId="5CABD393"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Ethrel + Boron at </w:t>
            </w:r>
            <w:r w:rsidRPr="000E0285">
              <w:rPr>
                <w:rFonts w:ascii="Times New Roman" w:hAnsi="Times New Roman" w:cs="Times New Roman"/>
                <w:szCs w:val="24"/>
              </w:rPr>
              <w:t>45 days after sowing [Resp.@250ppm+2500ppm]</w:t>
            </w:r>
          </w:p>
        </w:tc>
        <w:tc>
          <w:tcPr>
            <w:tcW w:w="1559" w:type="dxa"/>
            <w:tcBorders>
              <w:top w:val="nil"/>
              <w:left w:val="nil"/>
              <w:bottom w:val="single" w:sz="4" w:space="0" w:color="auto"/>
              <w:right w:val="nil"/>
            </w:tcBorders>
            <w:vAlign w:val="bottom"/>
          </w:tcPr>
          <w:p w14:paraId="48583B90" w14:textId="15034987"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64.00</w:t>
            </w:r>
          </w:p>
        </w:tc>
        <w:tc>
          <w:tcPr>
            <w:tcW w:w="1418" w:type="dxa"/>
            <w:tcBorders>
              <w:top w:val="nil"/>
              <w:left w:val="nil"/>
              <w:bottom w:val="single" w:sz="4" w:space="0" w:color="auto"/>
              <w:right w:val="nil"/>
            </w:tcBorders>
            <w:vAlign w:val="bottom"/>
          </w:tcPr>
          <w:p w14:paraId="7BF1DBCD" w14:textId="4F3EF7C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68.67</w:t>
            </w:r>
          </w:p>
        </w:tc>
        <w:tc>
          <w:tcPr>
            <w:tcW w:w="1417" w:type="dxa"/>
            <w:tcBorders>
              <w:top w:val="nil"/>
              <w:left w:val="nil"/>
              <w:bottom w:val="single" w:sz="4" w:space="0" w:color="auto"/>
              <w:right w:val="nil"/>
            </w:tcBorders>
            <w:vAlign w:val="bottom"/>
          </w:tcPr>
          <w:p w14:paraId="088A352C" w14:textId="584C420B"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66.33</w:t>
            </w:r>
          </w:p>
        </w:tc>
        <w:tc>
          <w:tcPr>
            <w:tcW w:w="1276" w:type="dxa"/>
            <w:tcBorders>
              <w:top w:val="nil"/>
              <w:left w:val="nil"/>
              <w:bottom w:val="single" w:sz="4" w:space="0" w:color="auto"/>
              <w:right w:val="nil"/>
            </w:tcBorders>
            <w:vAlign w:val="bottom"/>
          </w:tcPr>
          <w:p w14:paraId="39268977" w14:textId="71C91F19"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128.00</w:t>
            </w:r>
          </w:p>
        </w:tc>
        <w:tc>
          <w:tcPr>
            <w:tcW w:w="1276" w:type="dxa"/>
            <w:tcBorders>
              <w:top w:val="nil"/>
              <w:left w:val="nil"/>
              <w:bottom w:val="single" w:sz="4" w:space="0" w:color="auto"/>
              <w:right w:val="nil"/>
            </w:tcBorders>
            <w:vAlign w:val="bottom"/>
          </w:tcPr>
          <w:p w14:paraId="167461B7" w14:textId="76E04832"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128.33</w:t>
            </w:r>
          </w:p>
        </w:tc>
        <w:tc>
          <w:tcPr>
            <w:tcW w:w="1701" w:type="dxa"/>
            <w:tcBorders>
              <w:top w:val="nil"/>
              <w:left w:val="nil"/>
              <w:bottom w:val="single" w:sz="4" w:space="0" w:color="auto"/>
              <w:right w:val="nil"/>
            </w:tcBorders>
            <w:vAlign w:val="bottom"/>
          </w:tcPr>
          <w:p w14:paraId="09D567E6" w14:textId="223BA792"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128.16</w:t>
            </w:r>
          </w:p>
        </w:tc>
      </w:tr>
      <w:tr w:rsidR="00AD2064" w:rsidRPr="000E0285" w14:paraId="1C23BD39" w14:textId="77777777" w:rsidTr="00DB1A37">
        <w:tc>
          <w:tcPr>
            <w:tcW w:w="1008" w:type="dxa"/>
            <w:tcBorders>
              <w:top w:val="single" w:sz="4" w:space="0" w:color="auto"/>
              <w:left w:val="nil"/>
              <w:bottom w:val="nil"/>
              <w:right w:val="nil"/>
            </w:tcBorders>
          </w:tcPr>
          <w:p w14:paraId="1BEECE47" w14:textId="77777777" w:rsidR="00AD2064" w:rsidRPr="000E0285" w:rsidRDefault="00AD2064" w:rsidP="000E42EE">
            <w:pPr>
              <w:spacing w:line="276" w:lineRule="auto"/>
              <w:jc w:val="both"/>
              <w:rPr>
                <w:rFonts w:ascii="Times New Roman" w:hAnsi="Times New Roman" w:cs="Times New Roman"/>
                <w:b/>
                <w:bCs/>
                <w:szCs w:val="24"/>
              </w:rPr>
            </w:pPr>
            <w:r w:rsidRPr="000E0285">
              <w:rPr>
                <w:rFonts w:ascii="Times New Roman" w:hAnsi="Times New Roman" w:cs="Times New Roman"/>
                <w:b/>
                <w:bCs/>
                <w:szCs w:val="24"/>
              </w:rPr>
              <w:t>SE (m±)</w:t>
            </w:r>
          </w:p>
        </w:tc>
        <w:tc>
          <w:tcPr>
            <w:tcW w:w="4946" w:type="dxa"/>
            <w:tcBorders>
              <w:top w:val="single" w:sz="4" w:space="0" w:color="auto"/>
              <w:left w:val="nil"/>
              <w:bottom w:val="nil"/>
              <w:right w:val="nil"/>
            </w:tcBorders>
          </w:tcPr>
          <w:p w14:paraId="336C31FE" w14:textId="77777777" w:rsidR="00AD2064" w:rsidRPr="000E0285" w:rsidRDefault="00AD2064" w:rsidP="000E42EE">
            <w:pPr>
              <w:spacing w:line="276" w:lineRule="auto"/>
              <w:jc w:val="both"/>
              <w:rPr>
                <w:rFonts w:ascii="Times New Roman" w:hAnsi="Times New Roman" w:cs="Times New Roman"/>
                <w:b/>
                <w:bCs/>
                <w:szCs w:val="24"/>
              </w:rPr>
            </w:pPr>
          </w:p>
        </w:tc>
        <w:tc>
          <w:tcPr>
            <w:tcW w:w="1559" w:type="dxa"/>
            <w:tcBorders>
              <w:top w:val="single" w:sz="4" w:space="0" w:color="auto"/>
              <w:left w:val="nil"/>
              <w:bottom w:val="nil"/>
              <w:right w:val="nil"/>
            </w:tcBorders>
          </w:tcPr>
          <w:p w14:paraId="58C69997" w14:textId="4609FB02" w:rsidR="00AD2064" w:rsidRPr="00850357" w:rsidRDefault="00AD2064"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1.56</w:t>
            </w:r>
          </w:p>
        </w:tc>
        <w:tc>
          <w:tcPr>
            <w:tcW w:w="1418" w:type="dxa"/>
            <w:tcBorders>
              <w:top w:val="single" w:sz="4" w:space="0" w:color="auto"/>
              <w:left w:val="nil"/>
              <w:bottom w:val="nil"/>
              <w:right w:val="nil"/>
            </w:tcBorders>
          </w:tcPr>
          <w:p w14:paraId="55FF1829" w14:textId="5FC0805C" w:rsidR="00AD2064" w:rsidRPr="00850357" w:rsidRDefault="00AD2064"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1.60</w:t>
            </w:r>
          </w:p>
        </w:tc>
        <w:tc>
          <w:tcPr>
            <w:tcW w:w="1417" w:type="dxa"/>
            <w:tcBorders>
              <w:top w:val="single" w:sz="4" w:space="0" w:color="auto"/>
              <w:left w:val="nil"/>
              <w:bottom w:val="nil"/>
              <w:right w:val="nil"/>
            </w:tcBorders>
          </w:tcPr>
          <w:p w14:paraId="364EC2B9" w14:textId="14C46D74" w:rsidR="00AD2064" w:rsidRPr="00850357" w:rsidRDefault="00AD2064" w:rsidP="00850357">
            <w:pPr>
              <w:jc w:val="center"/>
              <w:rPr>
                <w:rFonts w:ascii="Times New Roman" w:hAnsi="Times New Roman" w:cs="Times New Roman"/>
                <w:szCs w:val="24"/>
              </w:rPr>
            </w:pPr>
            <w:r w:rsidRPr="00850357">
              <w:rPr>
                <w:rFonts w:ascii="Times New Roman" w:hAnsi="Times New Roman" w:cs="Times New Roman"/>
                <w:szCs w:val="24"/>
              </w:rPr>
              <w:t>1.11</w:t>
            </w:r>
          </w:p>
        </w:tc>
        <w:tc>
          <w:tcPr>
            <w:tcW w:w="1276" w:type="dxa"/>
            <w:tcBorders>
              <w:top w:val="single" w:sz="4" w:space="0" w:color="auto"/>
              <w:left w:val="nil"/>
              <w:bottom w:val="nil"/>
              <w:right w:val="nil"/>
            </w:tcBorders>
          </w:tcPr>
          <w:p w14:paraId="06910748" w14:textId="356BF481" w:rsidR="00AD2064" w:rsidRPr="00850357" w:rsidRDefault="00C441E3"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1.58</w:t>
            </w:r>
          </w:p>
        </w:tc>
        <w:tc>
          <w:tcPr>
            <w:tcW w:w="1276" w:type="dxa"/>
            <w:tcBorders>
              <w:top w:val="single" w:sz="4" w:space="0" w:color="auto"/>
              <w:left w:val="nil"/>
              <w:bottom w:val="nil"/>
              <w:right w:val="nil"/>
            </w:tcBorders>
          </w:tcPr>
          <w:p w14:paraId="04D100FE" w14:textId="469A97B9" w:rsidR="00AD2064" w:rsidRPr="00850357" w:rsidRDefault="00C441E3"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w:t>
            </w:r>
            <w:r w:rsidR="00711921" w:rsidRPr="00850357">
              <w:rPr>
                <w:rFonts w:ascii="Times New Roman" w:hAnsi="Times New Roman" w:cs="Times New Roman"/>
                <w:szCs w:val="24"/>
              </w:rPr>
              <w:t>37</w:t>
            </w:r>
          </w:p>
        </w:tc>
        <w:tc>
          <w:tcPr>
            <w:tcW w:w="1701" w:type="dxa"/>
            <w:tcBorders>
              <w:top w:val="single" w:sz="4" w:space="0" w:color="auto"/>
              <w:left w:val="nil"/>
              <w:bottom w:val="nil"/>
              <w:right w:val="nil"/>
            </w:tcBorders>
          </w:tcPr>
          <w:p w14:paraId="611FCDB7" w14:textId="1C63C1CA" w:rsidR="00AD2064"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1.04</w:t>
            </w:r>
          </w:p>
        </w:tc>
      </w:tr>
      <w:tr w:rsidR="00AD2064" w:rsidRPr="000E0285" w14:paraId="37C7E9C6" w14:textId="77777777" w:rsidTr="00DB1A37">
        <w:tc>
          <w:tcPr>
            <w:tcW w:w="1008" w:type="dxa"/>
            <w:tcBorders>
              <w:top w:val="nil"/>
              <w:left w:val="nil"/>
              <w:bottom w:val="nil"/>
              <w:right w:val="nil"/>
            </w:tcBorders>
          </w:tcPr>
          <w:p w14:paraId="221F0216" w14:textId="77777777" w:rsidR="00AD2064" w:rsidRPr="000E0285" w:rsidRDefault="00AD2064" w:rsidP="000E42EE">
            <w:pPr>
              <w:spacing w:line="276" w:lineRule="auto"/>
              <w:jc w:val="both"/>
              <w:rPr>
                <w:rFonts w:ascii="Times New Roman" w:hAnsi="Times New Roman" w:cs="Times New Roman"/>
                <w:b/>
                <w:bCs/>
                <w:szCs w:val="24"/>
              </w:rPr>
            </w:pPr>
            <w:r w:rsidRPr="000E0285">
              <w:rPr>
                <w:rFonts w:ascii="Times New Roman" w:hAnsi="Times New Roman" w:cs="Times New Roman"/>
                <w:b/>
                <w:bCs/>
                <w:szCs w:val="24"/>
              </w:rPr>
              <w:t>C.D.</w:t>
            </w:r>
          </w:p>
        </w:tc>
        <w:tc>
          <w:tcPr>
            <w:tcW w:w="4946" w:type="dxa"/>
            <w:tcBorders>
              <w:top w:val="nil"/>
              <w:left w:val="nil"/>
              <w:bottom w:val="nil"/>
              <w:right w:val="nil"/>
            </w:tcBorders>
          </w:tcPr>
          <w:p w14:paraId="1A9FB952" w14:textId="77777777" w:rsidR="00AD2064" w:rsidRPr="000E0285" w:rsidRDefault="00AD2064" w:rsidP="000E42EE">
            <w:pPr>
              <w:spacing w:line="276" w:lineRule="auto"/>
              <w:jc w:val="both"/>
              <w:rPr>
                <w:rFonts w:ascii="Times New Roman" w:hAnsi="Times New Roman" w:cs="Times New Roman"/>
                <w:b/>
                <w:bCs/>
                <w:szCs w:val="24"/>
              </w:rPr>
            </w:pPr>
          </w:p>
        </w:tc>
        <w:tc>
          <w:tcPr>
            <w:tcW w:w="1559" w:type="dxa"/>
            <w:tcBorders>
              <w:top w:val="nil"/>
              <w:left w:val="nil"/>
              <w:bottom w:val="nil"/>
              <w:right w:val="nil"/>
            </w:tcBorders>
          </w:tcPr>
          <w:p w14:paraId="7C954285" w14:textId="7CAFA5B3" w:rsidR="00AD2064" w:rsidRPr="00850357" w:rsidRDefault="00AD2064"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4.48</w:t>
            </w:r>
          </w:p>
        </w:tc>
        <w:tc>
          <w:tcPr>
            <w:tcW w:w="1418" w:type="dxa"/>
            <w:tcBorders>
              <w:top w:val="nil"/>
              <w:left w:val="nil"/>
              <w:bottom w:val="nil"/>
              <w:right w:val="nil"/>
            </w:tcBorders>
          </w:tcPr>
          <w:p w14:paraId="0525F051" w14:textId="011D5D57" w:rsidR="00AD2064" w:rsidRPr="00850357" w:rsidRDefault="00AD2064"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4.58</w:t>
            </w:r>
          </w:p>
        </w:tc>
        <w:tc>
          <w:tcPr>
            <w:tcW w:w="1417" w:type="dxa"/>
            <w:tcBorders>
              <w:top w:val="nil"/>
              <w:left w:val="nil"/>
              <w:bottom w:val="nil"/>
              <w:right w:val="nil"/>
            </w:tcBorders>
          </w:tcPr>
          <w:p w14:paraId="1B80FA9E" w14:textId="03EF8EE2" w:rsidR="00AD2064" w:rsidRPr="00850357" w:rsidRDefault="00EE4421" w:rsidP="00850357">
            <w:pPr>
              <w:jc w:val="center"/>
              <w:rPr>
                <w:rFonts w:ascii="Times New Roman" w:hAnsi="Times New Roman" w:cs="Times New Roman"/>
                <w:szCs w:val="24"/>
              </w:rPr>
            </w:pPr>
            <w:r w:rsidRPr="00850357">
              <w:rPr>
                <w:rFonts w:ascii="Times New Roman" w:hAnsi="Times New Roman" w:cs="Times New Roman"/>
                <w:szCs w:val="24"/>
              </w:rPr>
              <w:t>3.18</w:t>
            </w:r>
          </w:p>
        </w:tc>
        <w:tc>
          <w:tcPr>
            <w:tcW w:w="1276" w:type="dxa"/>
            <w:tcBorders>
              <w:top w:val="nil"/>
              <w:left w:val="nil"/>
              <w:bottom w:val="nil"/>
              <w:right w:val="nil"/>
            </w:tcBorders>
          </w:tcPr>
          <w:p w14:paraId="3E1B32CD" w14:textId="7FD05379" w:rsidR="00AD2064" w:rsidRPr="00850357" w:rsidRDefault="00C441E3"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4.54</w:t>
            </w:r>
          </w:p>
        </w:tc>
        <w:tc>
          <w:tcPr>
            <w:tcW w:w="1276" w:type="dxa"/>
            <w:tcBorders>
              <w:top w:val="nil"/>
              <w:left w:val="nil"/>
              <w:bottom w:val="nil"/>
              <w:right w:val="nil"/>
            </w:tcBorders>
          </w:tcPr>
          <w:p w14:paraId="3478AD2D" w14:textId="1FAE71A0" w:rsidR="00AD2064"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3.94</w:t>
            </w:r>
          </w:p>
        </w:tc>
        <w:tc>
          <w:tcPr>
            <w:tcW w:w="1701" w:type="dxa"/>
            <w:tcBorders>
              <w:top w:val="nil"/>
              <w:left w:val="nil"/>
              <w:bottom w:val="nil"/>
              <w:right w:val="nil"/>
            </w:tcBorders>
          </w:tcPr>
          <w:p w14:paraId="149874DC" w14:textId="74BA6C80" w:rsidR="00AD2064"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2.98</w:t>
            </w:r>
          </w:p>
        </w:tc>
      </w:tr>
      <w:tr w:rsidR="00AD2064" w:rsidRPr="000E0285" w14:paraId="7AD0971A" w14:textId="77777777" w:rsidTr="00DB1A37">
        <w:tc>
          <w:tcPr>
            <w:tcW w:w="1008" w:type="dxa"/>
            <w:tcBorders>
              <w:top w:val="nil"/>
              <w:left w:val="nil"/>
              <w:bottom w:val="single" w:sz="4" w:space="0" w:color="auto"/>
              <w:right w:val="nil"/>
            </w:tcBorders>
          </w:tcPr>
          <w:p w14:paraId="0B602035" w14:textId="77777777" w:rsidR="00AD2064" w:rsidRPr="000E0285" w:rsidRDefault="00AD2064" w:rsidP="000E42EE">
            <w:pPr>
              <w:spacing w:line="276" w:lineRule="auto"/>
              <w:jc w:val="both"/>
              <w:rPr>
                <w:rFonts w:ascii="Times New Roman" w:hAnsi="Times New Roman" w:cs="Times New Roman"/>
                <w:b/>
                <w:bCs/>
                <w:szCs w:val="24"/>
              </w:rPr>
            </w:pPr>
            <w:r w:rsidRPr="000E0285">
              <w:rPr>
                <w:rFonts w:ascii="Times New Roman" w:hAnsi="Times New Roman" w:cs="Times New Roman"/>
                <w:b/>
                <w:bCs/>
                <w:szCs w:val="24"/>
              </w:rPr>
              <w:t>C.V. (%)</w:t>
            </w:r>
          </w:p>
        </w:tc>
        <w:tc>
          <w:tcPr>
            <w:tcW w:w="4946" w:type="dxa"/>
            <w:tcBorders>
              <w:top w:val="nil"/>
              <w:left w:val="nil"/>
              <w:bottom w:val="single" w:sz="4" w:space="0" w:color="auto"/>
              <w:right w:val="nil"/>
            </w:tcBorders>
          </w:tcPr>
          <w:p w14:paraId="01C04B7A" w14:textId="77777777" w:rsidR="00AD2064" w:rsidRPr="000E0285" w:rsidRDefault="00AD2064" w:rsidP="000E42EE">
            <w:pPr>
              <w:spacing w:line="276" w:lineRule="auto"/>
              <w:jc w:val="both"/>
              <w:rPr>
                <w:rFonts w:ascii="Times New Roman" w:hAnsi="Times New Roman" w:cs="Times New Roman"/>
                <w:b/>
                <w:bCs/>
                <w:szCs w:val="24"/>
              </w:rPr>
            </w:pPr>
          </w:p>
        </w:tc>
        <w:tc>
          <w:tcPr>
            <w:tcW w:w="1559" w:type="dxa"/>
            <w:tcBorders>
              <w:top w:val="nil"/>
              <w:left w:val="nil"/>
              <w:bottom w:val="single" w:sz="4" w:space="0" w:color="auto"/>
              <w:right w:val="nil"/>
            </w:tcBorders>
          </w:tcPr>
          <w:p w14:paraId="491C3FF7" w14:textId="7075D9D7" w:rsidR="00AD2064" w:rsidRPr="00850357" w:rsidRDefault="00AD2064"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4.24</w:t>
            </w:r>
          </w:p>
        </w:tc>
        <w:tc>
          <w:tcPr>
            <w:tcW w:w="1418" w:type="dxa"/>
            <w:tcBorders>
              <w:top w:val="nil"/>
              <w:left w:val="nil"/>
              <w:bottom w:val="single" w:sz="4" w:space="0" w:color="auto"/>
              <w:right w:val="nil"/>
            </w:tcBorders>
          </w:tcPr>
          <w:p w14:paraId="5BCECCDC" w14:textId="3A3D0CEE" w:rsidR="00AD2064" w:rsidRPr="00850357" w:rsidRDefault="00AD2064"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4.07</w:t>
            </w:r>
          </w:p>
        </w:tc>
        <w:tc>
          <w:tcPr>
            <w:tcW w:w="1417" w:type="dxa"/>
            <w:tcBorders>
              <w:top w:val="nil"/>
              <w:left w:val="nil"/>
              <w:bottom w:val="single" w:sz="4" w:space="0" w:color="auto"/>
              <w:right w:val="nil"/>
            </w:tcBorders>
          </w:tcPr>
          <w:p w14:paraId="2795F482" w14:textId="622BCB9D" w:rsidR="00AD2064" w:rsidRPr="00850357" w:rsidRDefault="00EE4421" w:rsidP="00850357">
            <w:pPr>
              <w:jc w:val="center"/>
              <w:rPr>
                <w:rFonts w:ascii="Times New Roman" w:hAnsi="Times New Roman" w:cs="Times New Roman"/>
                <w:szCs w:val="24"/>
              </w:rPr>
            </w:pPr>
            <w:r w:rsidRPr="00850357">
              <w:rPr>
                <w:rFonts w:ascii="Times New Roman" w:hAnsi="Times New Roman" w:cs="Times New Roman"/>
                <w:szCs w:val="24"/>
              </w:rPr>
              <w:t>4.15</w:t>
            </w:r>
          </w:p>
        </w:tc>
        <w:tc>
          <w:tcPr>
            <w:tcW w:w="1276" w:type="dxa"/>
            <w:tcBorders>
              <w:top w:val="nil"/>
              <w:left w:val="nil"/>
              <w:bottom w:val="single" w:sz="4" w:space="0" w:color="auto"/>
              <w:right w:val="nil"/>
            </w:tcBorders>
          </w:tcPr>
          <w:p w14:paraId="3ED1D7DF" w14:textId="36F59AC0" w:rsidR="00AD2064" w:rsidRPr="00850357" w:rsidRDefault="00C441E3"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2.14</w:t>
            </w:r>
          </w:p>
        </w:tc>
        <w:tc>
          <w:tcPr>
            <w:tcW w:w="1276" w:type="dxa"/>
            <w:tcBorders>
              <w:top w:val="nil"/>
              <w:left w:val="nil"/>
              <w:bottom w:val="single" w:sz="4" w:space="0" w:color="auto"/>
              <w:right w:val="nil"/>
            </w:tcBorders>
          </w:tcPr>
          <w:p w14:paraId="13536C24" w14:textId="501C0462" w:rsidR="00AD2064" w:rsidRPr="00850357" w:rsidRDefault="00C441E3"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w:t>
            </w:r>
            <w:r w:rsidR="00711921" w:rsidRPr="00850357">
              <w:rPr>
                <w:rFonts w:ascii="Times New Roman" w:hAnsi="Times New Roman" w:cs="Times New Roman"/>
                <w:szCs w:val="24"/>
              </w:rPr>
              <w:t>85</w:t>
            </w:r>
          </w:p>
        </w:tc>
        <w:tc>
          <w:tcPr>
            <w:tcW w:w="1701" w:type="dxa"/>
            <w:tcBorders>
              <w:top w:val="nil"/>
              <w:left w:val="nil"/>
              <w:bottom w:val="single" w:sz="4" w:space="0" w:color="auto"/>
              <w:right w:val="nil"/>
            </w:tcBorders>
          </w:tcPr>
          <w:p w14:paraId="02686AA9" w14:textId="556852CF" w:rsidR="00AD2064"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1.99</w:t>
            </w:r>
          </w:p>
        </w:tc>
      </w:tr>
    </w:tbl>
    <w:p w14:paraId="542C1F5F" w14:textId="53D59BB3" w:rsidR="00AD2064" w:rsidRPr="000E0285" w:rsidRDefault="00DE5C6E" w:rsidP="00AA0670">
      <w:pPr>
        <w:spacing w:line="360" w:lineRule="auto"/>
        <w:jc w:val="both"/>
        <w:rPr>
          <w:rFonts w:ascii="Times New Roman" w:hAnsi="Times New Roman" w:cs="Times New Roman"/>
          <w:b/>
          <w:bCs/>
          <w:szCs w:val="24"/>
        </w:rPr>
      </w:pPr>
      <w:r w:rsidRPr="000E0285">
        <w:rPr>
          <w:rFonts w:ascii="Times New Roman" w:hAnsi="Times New Roman" w:cs="Times New Roman"/>
          <w:b/>
          <w:bCs/>
          <w:noProof/>
          <w:szCs w:val="24"/>
        </w:rPr>
        <w:lastRenderedPageBreak/>
        <w:drawing>
          <wp:inline distT="0" distB="0" distL="0" distR="0" wp14:anchorId="44C2FC51" wp14:editId="59A4AF8F">
            <wp:extent cx="8863330" cy="5054405"/>
            <wp:effectExtent l="0" t="0" r="0" b="0"/>
            <wp:docPr id="1777167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63330" cy="5054405"/>
                    </a:xfrm>
                    <a:prstGeom prst="rect">
                      <a:avLst/>
                    </a:prstGeom>
                    <a:noFill/>
                  </pic:spPr>
                </pic:pic>
              </a:graphicData>
            </a:graphic>
          </wp:inline>
        </w:drawing>
      </w:r>
    </w:p>
    <w:p w14:paraId="2B01021F" w14:textId="763019DB" w:rsidR="00881A10" w:rsidRPr="000E0285" w:rsidRDefault="00881A10" w:rsidP="00881A10">
      <w:pPr>
        <w:rPr>
          <w:rFonts w:ascii="Times New Roman" w:hAnsi="Times New Roman" w:cs="Times New Roman"/>
          <w:b/>
          <w:bCs/>
          <w:noProof/>
          <w:szCs w:val="24"/>
        </w:rPr>
      </w:pPr>
      <w:r w:rsidRPr="000E0285">
        <w:rPr>
          <w:rFonts w:ascii="Times New Roman" w:hAnsi="Times New Roman" w:cs="Times New Roman"/>
          <w:b/>
          <w:bCs/>
          <w:noProof/>
          <w:szCs w:val="24"/>
        </w:rPr>
        <w:t>Fig. 3. Effect of Foliar application of various chemicals spray on Days to 50% flowering of field pea under heat stress condition.</w:t>
      </w:r>
    </w:p>
    <w:p w14:paraId="790B4F2A" w14:textId="211EAD03" w:rsidR="00AD2064" w:rsidRPr="000E0285" w:rsidRDefault="00021055" w:rsidP="00AA0670">
      <w:pPr>
        <w:spacing w:line="360" w:lineRule="auto"/>
        <w:jc w:val="both"/>
        <w:rPr>
          <w:rFonts w:ascii="Times New Roman" w:hAnsi="Times New Roman" w:cs="Times New Roman"/>
          <w:b/>
          <w:bCs/>
          <w:szCs w:val="24"/>
        </w:rPr>
      </w:pPr>
      <w:r w:rsidRPr="000E0285">
        <w:rPr>
          <w:noProof/>
          <w:szCs w:val="24"/>
        </w:rPr>
        <w:lastRenderedPageBreak/>
        <w:drawing>
          <wp:inline distT="0" distB="0" distL="0" distR="0" wp14:anchorId="30E00436" wp14:editId="2F295BB7">
            <wp:extent cx="9296400" cy="4635500"/>
            <wp:effectExtent l="0" t="0" r="0" b="12700"/>
            <wp:docPr id="1577413766" name="Chart 1">
              <a:extLst xmlns:a="http://schemas.openxmlformats.org/drawingml/2006/main">
                <a:ext uri="{FF2B5EF4-FFF2-40B4-BE49-F238E27FC236}">
                  <a16:creationId xmlns:a16="http://schemas.microsoft.com/office/drawing/2014/main" id="{342B565D-B585-D066-9EAA-14F346A49A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B0394B" w14:textId="3D8DC6F4" w:rsidR="00881A10" w:rsidRPr="000E0285" w:rsidRDefault="00881A10" w:rsidP="00881A10">
      <w:pPr>
        <w:rPr>
          <w:rFonts w:ascii="Times New Roman" w:hAnsi="Times New Roman" w:cs="Times New Roman"/>
          <w:b/>
          <w:bCs/>
          <w:noProof/>
          <w:szCs w:val="24"/>
        </w:rPr>
      </w:pPr>
      <w:r w:rsidRPr="000E0285">
        <w:rPr>
          <w:rFonts w:ascii="Times New Roman" w:hAnsi="Times New Roman" w:cs="Times New Roman"/>
          <w:b/>
          <w:bCs/>
          <w:noProof/>
          <w:szCs w:val="24"/>
        </w:rPr>
        <w:t>Fig. 4. Effect of Foliar application of various chemicals spray on Days to</w:t>
      </w:r>
      <w:r w:rsidR="00484D9B" w:rsidRPr="000E0285">
        <w:rPr>
          <w:rFonts w:ascii="Times New Roman" w:hAnsi="Times New Roman" w:cs="Times New Roman"/>
          <w:b/>
          <w:bCs/>
          <w:noProof/>
          <w:szCs w:val="24"/>
        </w:rPr>
        <w:t xml:space="preserve"> Maturity</w:t>
      </w:r>
      <w:r w:rsidRPr="000E0285">
        <w:rPr>
          <w:rFonts w:ascii="Times New Roman" w:hAnsi="Times New Roman" w:cs="Times New Roman"/>
          <w:b/>
          <w:bCs/>
          <w:noProof/>
          <w:szCs w:val="24"/>
        </w:rPr>
        <w:t xml:space="preserve"> of field pea under heat stress condition.</w:t>
      </w:r>
    </w:p>
    <w:p w14:paraId="202F40CB" w14:textId="601B4192" w:rsidR="004E4C77" w:rsidRPr="000E0285" w:rsidRDefault="004E4C77">
      <w:pPr>
        <w:rPr>
          <w:rFonts w:ascii="Times New Roman" w:hAnsi="Times New Roman" w:cs="Times New Roman"/>
          <w:b/>
          <w:bCs/>
          <w:szCs w:val="24"/>
        </w:rPr>
      </w:pPr>
      <w:r w:rsidRPr="000E0285">
        <w:rPr>
          <w:rFonts w:ascii="Times New Roman" w:hAnsi="Times New Roman" w:cs="Times New Roman"/>
          <w:b/>
          <w:bCs/>
          <w:szCs w:val="24"/>
        </w:rPr>
        <w:br w:type="page"/>
      </w:r>
    </w:p>
    <w:p w14:paraId="467916CD" w14:textId="77777777" w:rsidR="00EF591F" w:rsidRDefault="00EF591F" w:rsidP="004E4C77">
      <w:pPr>
        <w:spacing w:line="360" w:lineRule="auto"/>
        <w:jc w:val="both"/>
        <w:rPr>
          <w:rFonts w:ascii="Times New Roman" w:hAnsi="Times New Roman" w:cs="Times New Roman"/>
          <w:b/>
          <w:bCs/>
          <w:szCs w:val="24"/>
        </w:rPr>
        <w:sectPr w:rsidR="00EF591F" w:rsidSect="00EF591F">
          <w:pgSz w:w="16838" w:h="11906" w:orient="landscape"/>
          <w:pgMar w:top="1440" w:right="1440" w:bottom="1440" w:left="1440" w:header="708" w:footer="708" w:gutter="0"/>
          <w:cols w:space="708"/>
          <w:docGrid w:linePitch="360"/>
        </w:sectPr>
      </w:pPr>
    </w:p>
    <w:p w14:paraId="3B0C199F" w14:textId="77777777" w:rsidR="004E4C77" w:rsidRPr="000E0285" w:rsidRDefault="004E4C77" w:rsidP="004E4C77">
      <w:pPr>
        <w:spacing w:line="360" w:lineRule="auto"/>
        <w:jc w:val="both"/>
        <w:rPr>
          <w:rFonts w:ascii="Times New Roman" w:hAnsi="Times New Roman" w:cs="Times New Roman"/>
          <w:b/>
          <w:bCs/>
          <w:szCs w:val="24"/>
        </w:rPr>
      </w:pPr>
      <w:r w:rsidRPr="000E0285">
        <w:rPr>
          <w:rFonts w:ascii="Times New Roman" w:hAnsi="Times New Roman" w:cs="Times New Roman"/>
          <w:b/>
          <w:bCs/>
          <w:szCs w:val="24"/>
        </w:rPr>
        <w:lastRenderedPageBreak/>
        <w:t>Conclusion</w:t>
      </w:r>
    </w:p>
    <w:p w14:paraId="10AF6225" w14:textId="7EBB47FF" w:rsidR="00AD2064" w:rsidRDefault="004E4C77" w:rsidP="004E4C77">
      <w:pPr>
        <w:spacing w:line="360" w:lineRule="auto"/>
        <w:jc w:val="both"/>
        <w:rPr>
          <w:rFonts w:ascii="Times New Roman" w:hAnsi="Times New Roman" w:cs="Times New Roman"/>
          <w:szCs w:val="24"/>
        </w:rPr>
      </w:pPr>
      <w:r w:rsidRPr="000E0285">
        <w:rPr>
          <w:rFonts w:ascii="Times New Roman" w:hAnsi="Times New Roman" w:cs="Times New Roman"/>
          <w:szCs w:val="24"/>
        </w:rPr>
        <w:t>The field pea (</w:t>
      </w:r>
      <w:r w:rsidRPr="000E0285">
        <w:rPr>
          <w:rFonts w:ascii="Times New Roman" w:hAnsi="Times New Roman" w:cs="Times New Roman"/>
          <w:i/>
          <w:iCs/>
          <w:szCs w:val="24"/>
        </w:rPr>
        <w:t>Pisum sativum</w:t>
      </w:r>
      <w:r w:rsidRPr="000E0285">
        <w:rPr>
          <w:rFonts w:ascii="Times New Roman" w:hAnsi="Times New Roman" w:cs="Times New Roman"/>
          <w:szCs w:val="24"/>
        </w:rPr>
        <w:t xml:space="preserve"> var. </w:t>
      </w:r>
      <w:r w:rsidRPr="000E0285">
        <w:rPr>
          <w:rFonts w:ascii="Times New Roman" w:hAnsi="Times New Roman" w:cs="Times New Roman"/>
          <w:i/>
          <w:iCs/>
          <w:szCs w:val="24"/>
        </w:rPr>
        <w:t>arvense</w:t>
      </w:r>
      <w:r w:rsidRPr="000E0285">
        <w:rPr>
          <w:rFonts w:ascii="Times New Roman" w:hAnsi="Times New Roman" w:cs="Times New Roman"/>
          <w:szCs w:val="24"/>
        </w:rPr>
        <w:t xml:space="preserve"> L.) was being severely affected by terminal heat stress-induced reduction in growth and phenological development. Foliar sprays of growth regulators proved efficacious against this stress. Among all treatments, salicylic acid @ 400 ppm foliar sprayed at both the vegetative and anthesis stages (T₄) gave the best response by recording the highest field emergence (84.33 %), plant height (85.15 cm), days to 50% flowering (61.66 days), and early maturity period (125 days) under pooled analysis. Thiourea @ 400 ppm (T₂) and 800 ppm (T₃) treatments also showed considerable improvement over the control. Improvements realized under SA and TU treatment can be attributed to their ability to regulate ROS activity, enhance membrane stability, and other physiological processes under heat stress. In general, the foliar application of SA @ 400 ppm or TU @ 400 ppm at the critical growth stage may be recommended as a practical and economical measure for circumventing terminal heat stress and maintaining field pea productivity in warmer </w:t>
      </w:r>
      <w:proofErr w:type="spellStart"/>
      <w:r w:rsidRPr="000E0285">
        <w:rPr>
          <w:rFonts w:ascii="Times New Roman" w:hAnsi="Times New Roman" w:cs="Times New Roman"/>
          <w:szCs w:val="24"/>
        </w:rPr>
        <w:t>agro</w:t>
      </w:r>
      <w:proofErr w:type="spellEnd"/>
      <w:r w:rsidRPr="000E0285">
        <w:rPr>
          <w:rFonts w:ascii="Times New Roman" w:hAnsi="Times New Roman" w:cs="Times New Roman"/>
          <w:szCs w:val="24"/>
        </w:rPr>
        <w:t xml:space="preserve">-climatic regions. </w:t>
      </w:r>
    </w:p>
    <w:p w14:paraId="54FB2054" w14:textId="38D0D2EF" w:rsidR="00EF591F" w:rsidRPr="00EF591F" w:rsidRDefault="00EF591F" w:rsidP="004E4C77">
      <w:pPr>
        <w:spacing w:line="360" w:lineRule="auto"/>
        <w:jc w:val="both"/>
        <w:rPr>
          <w:rFonts w:ascii="Times New Roman" w:hAnsi="Times New Roman" w:cs="Times New Roman"/>
          <w:b/>
          <w:bCs/>
          <w:szCs w:val="24"/>
        </w:rPr>
      </w:pPr>
      <w:r w:rsidRPr="00EF591F">
        <w:rPr>
          <w:rFonts w:ascii="Times New Roman" w:hAnsi="Times New Roman" w:cs="Times New Roman"/>
          <w:b/>
          <w:bCs/>
          <w:szCs w:val="24"/>
        </w:rPr>
        <w:t>REFERENCES</w:t>
      </w:r>
    </w:p>
    <w:p w14:paraId="4B94C8E2" w14:textId="20CF04A2" w:rsidR="00EF591F" w:rsidRPr="00EF591F" w:rsidRDefault="007E767D" w:rsidP="00B87D09">
      <w:pPr>
        <w:ind w:hanging="284"/>
        <w:jc w:val="both"/>
        <w:rPr>
          <w:rFonts w:ascii="Times New Roman" w:hAnsi="Times New Roman" w:cs="Times New Roman"/>
        </w:rPr>
      </w:pPr>
      <w:r w:rsidRPr="007E767D">
        <w:rPr>
          <w:rFonts w:ascii="Times New Roman" w:hAnsi="Times New Roman" w:cs="Times New Roman"/>
        </w:rPr>
        <w:t>Ahmad, M., Waraich, E. A., Zulfiqar, U., Hussain, S., Yasin, M. U.</w:t>
      </w:r>
      <w:r w:rsidR="00B87D09">
        <w:rPr>
          <w:rFonts w:ascii="Times New Roman" w:hAnsi="Times New Roman" w:cs="Times New Roman"/>
        </w:rPr>
        <w:t xml:space="preserve"> and</w:t>
      </w:r>
      <w:r w:rsidRPr="007E767D">
        <w:rPr>
          <w:rFonts w:ascii="Times New Roman" w:hAnsi="Times New Roman" w:cs="Times New Roman"/>
        </w:rPr>
        <w:t xml:space="preserve"> Farooq, M. (2022). Thiourea Application Improves the Growth and Seed and Oil Yields in Canola by Modulating Gas Exchange, Antioxidant Defense, and Osmoprotection Under Heat Stress. </w:t>
      </w:r>
      <w:r w:rsidRPr="007E767D">
        <w:rPr>
          <w:rFonts w:ascii="Times New Roman" w:hAnsi="Times New Roman" w:cs="Times New Roman"/>
          <w:i/>
          <w:iCs/>
        </w:rPr>
        <w:t>Journal of Soil Science and Plant Nutrition</w:t>
      </w:r>
      <w:r w:rsidRPr="007E767D">
        <w:rPr>
          <w:rFonts w:ascii="Times New Roman" w:hAnsi="Times New Roman" w:cs="Times New Roman"/>
        </w:rPr>
        <w:t>, </w:t>
      </w:r>
      <w:r w:rsidRPr="007E767D">
        <w:rPr>
          <w:rFonts w:ascii="Times New Roman" w:hAnsi="Times New Roman" w:cs="Times New Roman"/>
          <w:i/>
          <w:iCs/>
        </w:rPr>
        <w:t>22</w:t>
      </w:r>
      <w:r w:rsidRPr="007E767D">
        <w:rPr>
          <w:rFonts w:ascii="Times New Roman" w:hAnsi="Times New Roman" w:cs="Times New Roman"/>
        </w:rPr>
        <w:t>(3), 3655-3666. </w:t>
      </w:r>
      <w:hyperlink r:id="rId18" w:history="1">
        <w:r w:rsidRPr="00D34950">
          <w:rPr>
            <w:rStyle w:val="Hyperlink"/>
            <w:rFonts w:ascii="Times New Roman" w:hAnsi="Times New Roman" w:cs="Times New Roman"/>
          </w:rPr>
          <w:t>https://doi.org/10.1007/s42729-022-00917-6</w:t>
        </w:r>
      </w:hyperlink>
      <w:r>
        <w:rPr>
          <w:rFonts w:ascii="Times New Roman" w:hAnsi="Times New Roman" w:cs="Times New Roman"/>
        </w:rPr>
        <w:t xml:space="preserve"> </w:t>
      </w:r>
    </w:p>
    <w:p w14:paraId="25EB6350" w14:textId="09F7149F" w:rsidR="00EF591F" w:rsidRDefault="00EF591F" w:rsidP="00B87D09">
      <w:pPr>
        <w:ind w:hanging="284"/>
        <w:jc w:val="both"/>
      </w:pPr>
      <w:r w:rsidRPr="00EF591F">
        <w:rPr>
          <w:rFonts w:ascii="Times New Roman" w:hAnsi="Times New Roman" w:cs="Times New Roman"/>
        </w:rPr>
        <w:t>Ali, E. A.</w:t>
      </w:r>
      <w:r w:rsidR="00B87D09">
        <w:rPr>
          <w:rFonts w:ascii="Times New Roman" w:hAnsi="Times New Roman" w:cs="Times New Roman"/>
        </w:rPr>
        <w:t xml:space="preserve"> and</w:t>
      </w:r>
      <w:r w:rsidRPr="00EF591F">
        <w:rPr>
          <w:rFonts w:ascii="Times New Roman" w:hAnsi="Times New Roman" w:cs="Times New Roman"/>
        </w:rPr>
        <w:t xml:space="preserve"> Mahmoud, A. M. (2013). Effect of foliar spray by different salicylic acid and zinc concentrations on seed yield and yield components of </w:t>
      </w:r>
      <w:proofErr w:type="spellStart"/>
      <w:r w:rsidRPr="00EF591F">
        <w:rPr>
          <w:rFonts w:ascii="Times New Roman" w:hAnsi="Times New Roman" w:cs="Times New Roman"/>
        </w:rPr>
        <w:t>mungbean</w:t>
      </w:r>
      <w:proofErr w:type="spellEnd"/>
      <w:r w:rsidRPr="00EF591F">
        <w:rPr>
          <w:rFonts w:ascii="Times New Roman" w:hAnsi="Times New Roman" w:cs="Times New Roman"/>
        </w:rPr>
        <w:t xml:space="preserve"> in sandy soil. </w:t>
      </w:r>
      <w:r w:rsidRPr="00EF591F">
        <w:rPr>
          <w:rFonts w:ascii="Times New Roman" w:hAnsi="Times New Roman" w:cs="Times New Roman"/>
          <w:i/>
          <w:iCs/>
        </w:rPr>
        <w:t>Asian Journal of Crop Science, 5</w:t>
      </w:r>
      <w:r w:rsidRPr="00EF591F">
        <w:rPr>
          <w:rFonts w:ascii="Times New Roman" w:hAnsi="Times New Roman" w:cs="Times New Roman"/>
        </w:rPr>
        <w:t xml:space="preserve">(1), 33–40. </w:t>
      </w:r>
      <w:hyperlink r:id="rId19" w:history="1">
        <w:r w:rsidRPr="00EF591F">
          <w:rPr>
            <w:rStyle w:val="Hyperlink"/>
            <w:rFonts w:ascii="Times New Roman" w:hAnsi="Times New Roman" w:cs="Times New Roman"/>
          </w:rPr>
          <w:t>https://doi.org/10.3923/ajcs.2013.33.40</w:t>
        </w:r>
      </w:hyperlink>
    </w:p>
    <w:p w14:paraId="7964866D" w14:textId="400758EF" w:rsidR="005C5D94" w:rsidRDefault="005C5D94" w:rsidP="00B87D09">
      <w:pPr>
        <w:ind w:hanging="284"/>
        <w:jc w:val="both"/>
        <w:rPr>
          <w:rFonts w:ascii="Times New Roman" w:hAnsi="Times New Roman" w:cs="Times New Roman"/>
        </w:rPr>
      </w:pPr>
      <w:r w:rsidRPr="005C5D94">
        <w:rPr>
          <w:rFonts w:ascii="Times New Roman" w:hAnsi="Times New Roman" w:cs="Times New Roman"/>
        </w:rPr>
        <w:t>Akladious, S. A. (2014). Influence of thiourea application on some physiological and molecular criteria of sunflower (Helianthus annuus L.) plants under conditions of heat stress. </w:t>
      </w:r>
      <w:proofErr w:type="spellStart"/>
      <w:r w:rsidRPr="005C5D94">
        <w:rPr>
          <w:rFonts w:ascii="Times New Roman" w:hAnsi="Times New Roman" w:cs="Times New Roman"/>
          <w:i/>
          <w:iCs/>
        </w:rPr>
        <w:t>Protoplasma</w:t>
      </w:r>
      <w:proofErr w:type="spellEnd"/>
      <w:r w:rsidRPr="005C5D94">
        <w:rPr>
          <w:rFonts w:ascii="Times New Roman" w:hAnsi="Times New Roman" w:cs="Times New Roman"/>
          <w:i/>
          <w:iCs/>
        </w:rPr>
        <w:t>, 251</w:t>
      </w:r>
      <w:r w:rsidRPr="005C5D94">
        <w:rPr>
          <w:rFonts w:ascii="Times New Roman" w:hAnsi="Times New Roman" w:cs="Times New Roman"/>
        </w:rPr>
        <w:t xml:space="preserve">(3), 625–638. </w:t>
      </w:r>
      <w:hyperlink r:id="rId20" w:history="1">
        <w:r w:rsidRPr="002718A7">
          <w:rPr>
            <w:rStyle w:val="Hyperlink"/>
            <w:rFonts w:ascii="Times New Roman" w:hAnsi="Times New Roman" w:cs="Times New Roman"/>
          </w:rPr>
          <w:t>https://doi.org/10.1007/s00709-013-0563-2</w:t>
        </w:r>
      </w:hyperlink>
    </w:p>
    <w:p w14:paraId="23D8A6D2" w14:textId="5FBF3557" w:rsidR="00AA51C4" w:rsidRDefault="00AA51C4" w:rsidP="00B87D09">
      <w:pPr>
        <w:ind w:hanging="284"/>
        <w:jc w:val="both"/>
        <w:rPr>
          <w:rFonts w:ascii="Times New Roman" w:hAnsi="Times New Roman" w:cs="Times New Roman"/>
        </w:rPr>
      </w:pPr>
      <w:r w:rsidRPr="00AA51C4">
        <w:rPr>
          <w:rFonts w:ascii="Times New Roman" w:hAnsi="Times New Roman" w:cs="Times New Roman"/>
        </w:rPr>
        <w:t xml:space="preserve">Akanksha, P., Prasanth, P., Joshi, V., &amp; Kumar, S. P. (2021). Influence of Certain Chemicals on Flower Induction Flowering, Quality and Yield in Jasmine (Jasminum </w:t>
      </w:r>
      <w:proofErr w:type="spellStart"/>
      <w:r w:rsidRPr="00AA51C4">
        <w:rPr>
          <w:rFonts w:ascii="Times New Roman" w:hAnsi="Times New Roman" w:cs="Times New Roman"/>
        </w:rPr>
        <w:t>sambac</w:t>
      </w:r>
      <w:proofErr w:type="spellEnd"/>
      <w:r w:rsidRPr="00AA51C4">
        <w:rPr>
          <w:rFonts w:ascii="Times New Roman" w:hAnsi="Times New Roman" w:cs="Times New Roman"/>
        </w:rPr>
        <w:t>. L.). </w:t>
      </w:r>
      <w:r w:rsidRPr="00AA51C4">
        <w:rPr>
          <w:rFonts w:ascii="Times New Roman" w:hAnsi="Times New Roman" w:cs="Times New Roman"/>
          <w:i/>
          <w:iCs/>
        </w:rPr>
        <w:t xml:space="preserve">Int. J. Curr. </w:t>
      </w:r>
      <w:proofErr w:type="spellStart"/>
      <w:r w:rsidRPr="00AA51C4">
        <w:rPr>
          <w:rFonts w:ascii="Times New Roman" w:hAnsi="Times New Roman" w:cs="Times New Roman"/>
          <w:i/>
          <w:iCs/>
        </w:rPr>
        <w:t>Microbiol</w:t>
      </w:r>
      <w:proofErr w:type="spellEnd"/>
      <w:r w:rsidRPr="00AA51C4">
        <w:rPr>
          <w:rFonts w:ascii="Times New Roman" w:hAnsi="Times New Roman" w:cs="Times New Roman"/>
          <w:i/>
          <w:iCs/>
        </w:rPr>
        <w:t>. App. Sci</w:t>
      </w:r>
      <w:r w:rsidRPr="00AA51C4">
        <w:rPr>
          <w:rFonts w:ascii="Times New Roman" w:hAnsi="Times New Roman" w:cs="Times New Roman"/>
        </w:rPr>
        <w:t>, </w:t>
      </w:r>
      <w:r w:rsidRPr="00AA51C4">
        <w:rPr>
          <w:rFonts w:ascii="Times New Roman" w:hAnsi="Times New Roman" w:cs="Times New Roman"/>
          <w:i/>
          <w:iCs/>
        </w:rPr>
        <w:t>10</w:t>
      </w:r>
      <w:r w:rsidRPr="00AA51C4">
        <w:rPr>
          <w:rFonts w:ascii="Times New Roman" w:hAnsi="Times New Roman" w:cs="Times New Roman"/>
        </w:rPr>
        <w:t>(01), 3401-3408.</w:t>
      </w:r>
    </w:p>
    <w:p w14:paraId="7AD78CFA" w14:textId="4D5E1CAF" w:rsidR="005C5D94" w:rsidRDefault="005C5D94" w:rsidP="00B87D09">
      <w:pPr>
        <w:ind w:hanging="284"/>
        <w:jc w:val="both"/>
        <w:rPr>
          <w:rFonts w:ascii="Times New Roman" w:hAnsi="Times New Roman" w:cs="Times New Roman"/>
        </w:rPr>
      </w:pPr>
      <w:r w:rsidRPr="005C5D94">
        <w:rPr>
          <w:rFonts w:ascii="Times New Roman" w:hAnsi="Times New Roman" w:cs="Times New Roman"/>
        </w:rPr>
        <w:t>Wahid, A., Basra, S. M. A., &amp; Farooq, M. (2017). Thiourea: A molecule with immense biological significance for plants. </w:t>
      </w:r>
      <w:r w:rsidRPr="005C5D94">
        <w:rPr>
          <w:rFonts w:ascii="Times New Roman" w:hAnsi="Times New Roman" w:cs="Times New Roman"/>
          <w:i/>
          <w:iCs/>
        </w:rPr>
        <w:t>International Journal of Agriculture and Biology</w:t>
      </w:r>
      <w:r w:rsidRPr="005C5D94">
        <w:rPr>
          <w:rFonts w:ascii="Times New Roman" w:hAnsi="Times New Roman" w:cs="Times New Roman"/>
        </w:rPr>
        <w:t xml:space="preserve">, 19(4), 911–920. </w:t>
      </w:r>
      <w:hyperlink r:id="rId21" w:history="1">
        <w:r w:rsidRPr="002718A7">
          <w:rPr>
            <w:rStyle w:val="Hyperlink"/>
            <w:rFonts w:ascii="Times New Roman" w:hAnsi="Times New Roman" w:cs="Times New Roman"/>
          </w:rPr>
          <w:t>https://doi.org/10.17957/IJAB/15.0464</w:t>
        </w:r>
      </w:hyperlink>
    </w:p>
    <w:p w14:paraId="2B722B60" w14:textId="567492D9" w:rsidR="005C5D94" w:rsidRDefault="005C5D94" w:rsidP="00B87D09">
      <w:pPr>
        <w:ind w:hanging="284"/>
        <w:jc w:val="both"/>
        <w:rPr>
          <w:rFonts w:ascii="Times New Roman" w:hAnsi="Times New Roman" w:cs="Times New Roman"/>
        </w:rPr>
      </w:pPr>
      <w:r w:rsidRPr="005C5D94">
        <w:rPr>
          <w:rFonts w:ascii="Times New Roman" w:hAnsi="Times New Roman" w:cs="Times New Roman"/>
        </w:rPr>
        <w:t>Ahmad, M., Waraich, E. A., Tanveer, A., &amp; Anwar-ul-Haq, M. (2021). Foliar applied thiourea improved physiological traits and yield of camelina and canola under normal and heat stress conditions. </w:t>
      </w:r>
      <w:r w:rsidRPr="005C5D94">
        <w:rPr>
          <w:rFonts w:ascii="Times New Roman" w:hAnsi="Times New Roman" w:cs="Times New Roman"/>
          <w:i/>
          <w:iCs/>
        </w:rPr>
        <w:t>Journal of Soil Science and Plant Nutrition</w:t>
      </w:r>
      <w:r w:rsidRPr="005C5D94">
        <w:rPr>
          <w:rFonts w:ascii="Times New Roman" w:hAnsi="Times New Roman" w:cs="Times New Roman"/>
        </w:rPr>
        <w:t xml:space="preserve">. </w:t>
      </w:r>
      <w:hyperlink r:id="rId22" w:history="1">
        <w:r w:rsidRPr="002718A7">
          <w:rPr>
            <w:rStyle w:val="Hyperlink"/>
            <w:rFonts w:ascii="Times New Roman" w:hAnsi="Times New Roman" w:cs="Times New Roman"/>
          </w:rPr>
          <w:t>https://doi.org/10.1007/s42729-021-00470-8</w:t>
        </w:r>
      </w:hyperlink>
    </w:p>
    <w:p w14:paraId="08C7BA4F" w14:textId="77777777" w:rsidR="00B76A8B" w:rsidRDefault="00212FA0" w:rsidP="00B76A8B">
      <w:pPr>
        <w:ind w:hanging="284"/>
        <w:jc w:val="both"/>
        <w:rPr>
          <w:rFonts w:ascii="Times New Roman" w:hAnsi="Times New Roman" w:cs="Times New Roman"/>
        </w:rPr>
      </w:pPr>
      <w:r w:rsidRPr="00212FA0">
        <w:rPr>
          <w:rFonts w:ascii="Times New Roman" w:hAnsi="Times New Roman" w:cs="Times New Roman"/>
        </w:rPr>
        <w:lastRenderedPageBreak/>
        <w:t xml:space="preserve">Waraich, E. A., Ahmad, M., Soufan, W., Manzoor, M. T., Ahmad, Z., Habib-Ur-Rahman, M., &amp; El Sabagh, A. E. (2021). Seed priming with </w:t>
      </w:r>
      <w:proofErr w:type="spellStart"/>
      <w:r w:rsidRPr="00212FA0">
        <w:rPr>
          <w:rFonts w:ascii="Times New Roman" w:hAnsi="Times New Roman" w:cs="Times New Roman"/>
        </w:rPr>
        <w:t>sulfhydral</w:t>
      </w:r>
      <w:proofErr w:type="spellEnd"/>
      <w:r w:rsidRPr="00212FA0">
        <w:rPr>
          <w:rFonts w:ascii="Times New Roman" w:hAnsi="Times New Roman" w:cs="Times New Roman"/>
        </w:rPr>
        <w:t xml:space="preserve"> thiourea enhances the performance of Camelina sativa L. under heat stress conditions. </w:t>
      </w:r>
      <w:r w:rsidRPr="00212FA0">
        <w:rPr>
          <w:rFonts w:ascii="Times New Roman" w:hAnsi="Times New Roman" w:cs="Times New Roman"/>
          <w:i/>
          <w:iCs/>
        </w:rPr>
        <w:t>Agronomy, 11</w:t>
      </w:r>
      <w:r w:rsidRPr="00212FA0">
        <w:rPr>
          <w:rFonts w:ascii="Times New Roman" w:hAnsi="Times New Roman" w:cs="Times New Roman"/>
        </w:rPr>
        <w:t xml:space="preserve">(9), 1875. </w:t>
      </w:r>
      <w:hyperlink r:id="rId23" w:history="1">
        <w:r w:rsidRPr="002718A7">
          <w:rPr>
            <w:rStyle w:val="Hyperlink"/>
            <w:rFonts w:ascii="Times New Roman" w:hAnsi="Times New Roman" w:cs="Times New Roman"/>
          </w:rPr>
          <w:t>https://doi.org/10.3390/agronomy11091875</w:t>
        </w:r>
      </w:hyperlink>
    </w:p>
    <w:p w14:paraId="3515CD9C" w14:textId="4DAC189D" w:rsidR="00B76A8B" w:rsidRDefault="00717A31" w:rsidP="00B76A8B">
      <w:pPr>
        <w:ind w:hanging="284"/>
        <w:jc w:val="both"/>
        <w:rPr>
          <w:rFonts w:ascii="Times New Roman" w:hAnsi="Times New Roman" w:cs="Times New Roman"/>
        </w:rPr>
      </w:pPr>
      <w:r w:rsidRPr="00717A31">
        <w:rPr>
          <w:rFonts w:ascii="Times New Roman" w:hAnsi="Times New Roman" w:cs="Times New Roman"/>
        </w:rPr>
        <w:t xml:space="preserve">Debnath, S., Ramakrishnan, R. S., Kumawat, R. K., </w:t>
      </w:r>
      <w:proofErr w:type="spellStart"/>
      <w:r w:rsidRPr="00717A31">
        <w:rPr>
          <w:rFonts w:ascii="Times New Roman" w:hAnsi="Times New Roman" w:cs="Times New Roman"/>
        </w:rPr>
        <w:t>Ghogare</w:t>
      </w:r>
      <w:proofErr w:type="spellEnd"/>
      <w:r w:rsidRPr="00717A31">
        <w:rPr>
          <w:rFonts w:ascii="Times New Roman" w:hAnsi="Times New Roman" w:cs="Times New Roman"/>
        </w:rPr>
        <w:t>, M., Singh, P. P., Kumar, A., ... &amp; Samaiya, R. K. (2022). Plant growth regulators application on biomass partitioning in source and sink tissues under timely sown and high temperature stress condition in chickpea. In </w:t>
      </w:r>
      <w:r w:rsidRPr="00717A31">
        <w:rPr>
          <w:rFonts w:ascii="Times New Roman" w:hAnsi="Times New Roman" w:cs="Times New Roman"/>
          <w:i/>
          <w:iCs/>
        </w:rPr>
        <w:t>Biol. Forum Int. J</w:t>
      </w:r>
      <w:r w:rsidRPr="00717A31">
        <w:rPr>
          <w:rFonts w:ascii="Times New Roman" w:hAnsi="Times New Roman" w:cs="Times New Roman"/>
        </w:rPr>
        <w:t> (Vol. 14, pp. 318-27).</w:t>
      </w:r>
    </w:p>
    <w:p w14:paraId="2E6B90CB" w14:textId="674DC070" w:rsidR="00717A31" w:rsidRDefault="00717A31" w:rsidP="00B76A8B">
      <w:pPr>
        <w:ind w:hanging="284"/>
        <w:jc w:val="both"/>
        <w:rPr>
          <w:rFonts w:ascii="Times New Roman" w:hAnsi="Times New Roman" w:cs="Times New Roman"/>
        </w:rPr>
      </w:pPr>
      <w:r w:rsidRPr="00717A31">
        <w:rPr>
          <w:rFonts w:ascii="Times New Roman" w:hAnsi="Times New Roman" w:cs="Times New Roman"/>
        </w:rPr>
        <w:t>Ahmad, M., Waraich, E. A., Zulfiqar, U., Hussain, S., Yasin, M. U., &amp; Farooq, M. (2022). Thiourea application improves the growth and seed and oil yields in canola by modulating gas exchange, antioxidant defense, and osmoprotection under heat stress. </w:t>
      </w:r>
      <w:r w:rsidRPr="00717A31">
        <w:rPr>
          <w:rFonts w:ascii="Times New Roman" w:hAnsi="Times New Roman" w:cs="Times New Roman"/>
          <w:i/>
          <w:iCs/>
        </w:rPr>
        <w:t>Journal of Soil Science and Plant Nutrition</w:t>
      </w:r>
      <w:r w:rsidRPr="00717A31">
        <w:rPr>
          <w:rFonts w:ascii="Times New Roman" w:hAnsi="Times New Roman" w:cs="Times New Roman"/>
        </w:rPr>
        <w:t>, </w:t>
      </w:r>
      <w:r w:rsidRPr="00717A31">
        <w:rPr>
          <w:rFonts w:ascii="Times New Roman" w:hAnsi="Times New Roman" w:cs="Times New Roman"/>
          <w:i/>
          <w:iCs/>
        </w:rPr>
        <w:t>22</w:t>
      </w:r>
      <w:r w:rsidRPr="00717A31">
        <w:rPr>
          <w:rFonts w:ascii="Times New Roman" w:hAnsi="Times New Roman" w:cs="Times New Roman"/>
        </w:rPr>
        <w:t>(3), 3655-3666.</w:t>
      </w:r>
    </w:p>
    <w:p w14:paraId="15974781" w14:textId="6B2B153D" w:rsidR="00C43F71" w:rsidRDefault="00C43F71" w:rsidP="00B76A8B">
      <w:pPr>
        <w:ind w:hanging="284"/>
        <w:jc w:val="both"/>
        <w:rPr>
          <w:rFonts w:ascii="Times New Roman" w:hAnsi="Times New Roman" w:cs="Times New Roman"/>
        </w:rPr>
      </w:pPr>
      <w:r w:rsidRPr="00C43F71">
        <w:rPr>
          <w:rFonts w:ascii="Times New Roman" w:hAnsi="Times New Roman" w:cs="Times New Roman"/>
        </w:rPr>
        <w:t>Yadav, G., Maurya, C. L., Gupta, H., Singh, S., Tiwari, A. P., &amp; Yadav, S. K. (2024). Efficacy of various chemical sprays on plant growth of chickpea (Cicer arietinum L.) in terminal heat stress conditions. </w:t>
      </w:r>
      <w:r w:rsidRPr="00C43F71">
        <w:rPr>
          <w:rFonts w:ascii="Times New Roman" w:hAnsi="Times New Roman" w:cs="Times New Roman"/>
          <w:i/>
          <w:iCs/>
        </w:rPr>
        <w:t>International Journal of Environment and Climate Change</w:t>
      </w:r>
      <w:r w:rsidRPr="00C43F71">
        <w:rPr>
          <w:rFonts w:ascii="Times New Roman" w:hAnsi="Times New Roman" w:cs="Times New Roman"/>
        </w:rPr>
        <w:t>, </w:t>
      </w:r>
      <w:r w:rsidRPr="00C43F71">
        <w:rPr>
          <w:rFonts w:ascii="Times New Roman" w:hAnsi="Times New Roman" w:cs="Times New Roman"/>
          <w:i/>
          <w:iCs/>
        </w:rPr>
        <w:t>14</w:t>
      </w:r>
      <w:r w:rsidRPr="00C43F71">
        <w:rPr>
          <w:rFonts w:ascii="Times New Roman" w:hAnsi="Times New Roman" w:cs="Times New Roman"/>
        </w:rPr>
        <w:t>(3), 342-348.</w:t>
      </w:r>
    </w:p>
    <w:p w14:paraId="2172BAD1" w14:textId="5C795D1B" w:rsidR="00D5287B" w:rsidRDefault="00D5287B" w:rsidP="00B76A8B">
      <w:pPr>
        <w:ind w:hanging="284"/>
        <w:jc w:val="both"/>
        <w:rPr>
          <w:rFonts w:ascii="Times New Roman" w:hAnsi="Times New Roman" w:cs="Times New Roman"/>
        </w:rPr>
      </w:pPr>
      <w:r w:rsidRPr="00D5287B">
        <w:rPr>
          <w:rFonts w:ascii="Times New Roman" w:hAnsi="Times New Roman" w:cs="Times New Roman"/>
        </w:rPr>
        <w:t>Singh, P. P., Ramakrishnan, R. S., Tiwari, G., Sharma, A., &amp; Prajapati, S. S. EFFECT OF THIOUREA AND SALICYLIC ACID IN ENHANCING GROWTH AND PHENOLOGY OF MUNGBEAN (VIGNA RADIATA (L.) R. WILCZEK) FOR QUALITY SEED PRODUCTION.</w:t>
      </w:r>
    </w:p>
    <w:p w14:paraId="7A2CC1EA" w14:textId="14251E47" w:rsidR="00D5287B" w:rsidRDefault="00D5287B" w:rsidP="00B76A8B">
      <w:pPr>
        <w:ind w:hanging="284"/>
        <w:jc w:val="both"/>
        <w:rPr>
          <w:rFonts w:ascii="Times New Roman" w:hAnsi="Times New Roman" w:cs="Times New Roman"/>
        </w:rPr>
      </w:pPr>
      <w:r w:rsidRPr="00D5287B">
        <w:rPr>
          <w:rFonts w:ascii="Times New Roman" w:hAnsi="Times New Roman" w:cs="Times New Roman"/>
        </w:rPr>
        <w:t xml:space="preserve">Majeed, J. A., Bibi, S., Mahmood, A., Ali, L., Safdar, M. E., </w:t>
      </w:r>
      <w:proofErr w:type="spellStart"/>
      <w:r w:rsidRPr="00D5287B">
        <w:rPr>
          <w:rFonts w:ascii="Times New Roman" w:hAnsi="Times New Roman" w:cs="Times New Roman"/>
        </w:rPr>
        <w:t>Seleiman</w:t>
      </w:r>
      <w:proofErr w:type="spellEnd"/>
      <w:r w:rsidRPr="00D5287B">
        <w:rPr>
          <w:rFonts w:ascii="Times New Roman" w:hAnsi="Times New Roman" w:cs="Times New Roman"/>
        </w:rPr>
        <w:t>, M. F., ... &amp; Asghar, M. A. (2024). Optimizing Tomato (Lycopersicon esculentum) Yield Under Salt Stress: The Physiological and Biochemical Effects of Foliar Thiourea Application. </w:t>
      </w:r>
      <w:r w:rsidRPr="00D5287B">
        <w:rPr>
          <w:rFonts w:ascii="Times New Roman" w:hAnsi="Times New Roman" w:cs="Times New Roman"/>
          <w:i/>
          <w:iCs/>
        </w:rPr>
        <w:t>Plants</w:t>
      </w:r>
      <w:r w:rsidRPr="00D5287B">
        <w:rPr>
          <w:rFonts w:ascii="Times New Roman" w:hAnsi="Times New Roman" w:cs="Times New Roman"/>
        </w:rPr>
        <w:t>, </w:t>
      </w:r>
      <w:r w:rsidRPr="00D5287B">
        <w:rPr>
          <w:rFonts w:ascii="Times New Roman" w:hAnsi="Times New Roman" w:cs="Times New Roman"/>
          <w:i/>
          <w:iCs/>
        </w:rPr>
        <w:t>13</w:t>
      </w:r>
      <w:r w:rsidRPr="00D5287B">
        <w:rPr>
          <w:rFonts w:ascii="Times New Roman" w:hAnsi="Times New Roman" w:cs="Times New Roman"/>
        </w:rPr>
        <w:t>(23), 3318.</w:t>
      </w:r>
    </w:p>
    <w:p w14:paraId="4708E876" w14:textId="000DD62A" w:rsidR="004171C6" w:rsidRPr="00EF591F" w:rsidRDefault="004171C6" w:rsidP="00B76A8B">
      <w:pPr>
        <w:ind w:hanging="284"/>
        <w:jc w:val="both"/>
        <w:rPr>
          <w:rFonts w:ascii="Times New Roman" w:hAnsi="Times New Roman" w:cs="Times New Roman"/>
        </w:rPr>
      </w:pPr>
      <w:r w:rsidRPr="004171C6">
        <w:rPr>
          <w:rFonts w:ascii="Times New Roman" w:hAnsi="Times New Roman" w:cs="Times New Roman"/>
        </w:rPr>
        <w:t xml:space="preserve">Ahmad, M., Waraich, E. A., Zulfiqar, U., Yong, J. W. H., Ishfaq, M., Din, K. U., ... &amp; </w:t>
      </w:r>
      <w:proofErr w:type="spellStart"/>
      <w:r w:rsidRPr="004171C6">
        <w:rPr>
          <w:rFonts w:ascii="Times New Roman" w:hAnsi="Times New Roman" w:cs="Times New Roman"/>
        </w:rPr>
        <w:t>Elshikh</w:t>
      </w:r>
      <w:proofErr w:type="spellEnd"/>
      <w:r w:rsidRPr="004171C6">
        <w:rPr>
          <w:rFonts w:ascii="Times New Roman" w:hAnsi="Times New Roman" w:cs="Times New Roman"/>
        </w:rPr>
        <w:t>, M. S. (2024). Thiourea improves yield and quality traits of Brassica napus L. by upregulating the antioxidant defense system under high temperature stress. </w:t>
      </w:r>
      <w:r w:rsidRPr="004171C6">
        <w:rPr>
          <w:rFonts w:ascii="Times New Roman" w:hAnsi="Times New Roman" w:cs="Times New Roman"/>
          <w:i/>
          <w:iCs/>
        </w:rPr>
        <w:t>Scientific Reports</w:t>
      </w:r>
      <w:r w:rsidRPr="004171C6">
        <w:rPr>
          <w:rFonts w:ascii="Times New Roman" w:hAnsi="Times New Roman" w:cs="Times New Roman"/>
        </w:rPr>
        <w:t>, </w:t>
      </w:r>
      <w:r w:rsidRPr="004171C6">
        <w:rPr>
          <w:rFonts w:ascii="Times New Roman" w:hAnsi="Times New Roman" w:cs="Times New Roman"/>
          <w:i/>
          <w:iCs/>
        </w:rPr>
        <w:t>14</w:t>
      </w:r>
      <w:r w:rsidRPr="004171C6">
        <w:rPr>
          <w:rFonts w:ascii="Times New Roman" w:hAnsi="Times New Roman" w:cs="Times New Roman"/>
        </w:rPr>
        <w:t>(1), 12195.</w:t>
      </w:r>
    </w:p>
    <w:p w14:paraId="524DCC67" w14:textId="0C613240" w:rsidR="00EF591F" w:rsidRPr="00CC0CC9" w:rsidRDefault="007E767D" w:rsidP="00B87D09">
      <w:pPr>
        <w:ind w:hanging="284"/>
        <w:jc w:val="both"/>
        <w:rPr>
          <w:rFonts w:ascii="Times New Roman" w:hAnsi="Times New Roman" w:cs="Times New Roman"/>
        </w:rPr>
      </w:pPr>
      <w:r w:rsidRPr="007E767D">
        <w:rPr>
          <w:rFonts w:ascii="Times New Roman" w:hAnsi="Times New Roman" w:cs="Times New Roman"/>
        </w:rPr>
        <w:t>Anjum, F., Wahid, A., Farooq, M.</w:t>
      </w:r>
      <w:r w:rsidR="00B87D09">
        <w:rPr>
          <w:rFonts w:ascii="Times New Roman" w:hAnsi="Times New Roman" w:cs="Times New Roman"/>
        </w:rPr>
        <w:t xml:space="preserve"> and</w:t>
      </w:r>
      <w:r w:rsidRPr="007E767D">
        <w:rPr>
          <w:rFonts w:ascii="Times New Roman" w:hAnsi="Times New Roman" w:cs="Times New Roman"/>
        </w:rPr>
        <w:t xml:space="preserve"> Javed, F. (2011). Potential of foliar applied thiourea in improving salt and high temperature tolerance of bread wheat (</w:t>
      </w:r>
      <w:r w:rsidRPr="002C6A05">
        <w:rPr>
          <w:rFonts w:ascii="Times New Roman" w:hAnsi="Times New Roman" w:cs="Times New Roman"/>
          <w:i/>
          <w:iCs/>
        </w:rPr>
        <w:t>Triticum aestivum</w:t>
      </w:r>
      <w:r w:rsidRPr="007E767D">
        <w:rPr>
          <w:rFonts w:ascii="Times New Roman" w:hAnsi="Times New Roman" w:cs="Times New Roman"/>
        </w:rPr>
        <w:t>). </w:t>
      </w:r>
      <w:r w:rsidRPr="007E767D">
        <w:rPr>
          <w:rFonts w:ascii="Times New Roman" w:hAnsi="Times New Roman" w:cs="Times New Roman"/>
          <w:i/>
          <w:iCs/>
        </w:rPr>
        <w:t>International Journal of Agriculture and Biology</w:t>
      </w:r>
      <w:r w:rsidRPr="007E767D">
        <w:rPr>
          <w:rFonts w:ascii="Times New Roman" w:hAnsi="Times New Roman" w:cs="Times New Roman"/>
        </w:rPr>
        <w:t>, </w:t>
      </w:r>
      <w:r w:rsidRPr="007E767D">
        <w:rPr>
          <w:rFonts w:ascii="Times New Roman" w:hAnsi="Times New Roman" w:cs="Times New Roman"/>
          <w:i/>
          <w:iCs/>
        </w:rPr>
        <w:t>13</w:t>
      </w:r>
      <w:r w:rsidRPr="007E767D">
        <w:rPr>
          <w:rFonts w:ascii="Times New Roman" w:hAnsi="Times New Roman" w:cs="Times New Roman"/>
        </w:rPr>
        <w:t>(2), 251-256.</w:t>
      </w:r>
    </w:p>
    <w:p w14:paraId="41CC6CD0" w14:textId="3DF4FD7C" w:rsidR="007E767D" w:rsidRDefault="002C6A05" w:rsidP="00B87D09">
      <w:pPr>
        <w:ind w:hanging="284"/>
        <w:jc w:val="both"/>
        <w:rPr>
          <w:rFonts w:ascii="Times New Roman" w:hAnsi="Times New Roman" w:cs="Times New Roman"/>
        </w:rPr>
      </w:pPr>
      <w:r w:rsidRPr="002C6A05">
        <w:rPr>
          <w:rFonts w:ascii="Times New Roman" w:hAnsi="Times New Roman" w:cs="Times New Roman"/>
        </w:rPr>
        <w:t>Azam, M. G., Sarker, U., Hossain, M. A., Alam, A. K. M. M., Islam, M. R., Hossain, N.</w:t>
      </w:r>
      <w:r w:rsidR="00B87D09">
        <w:rPr>
          <w:rFonts w:ascii="Times New Roman" w:hAnsi="Times New Roman" w:cs="Times New Roman"/>
        </w:rPr>
        <w:t xml:space="preserve"> and</w:t>
      </w:r>
      <w:r w:rsidRPr="002C6A05">
        <w:rPr>
          <w:rFonts w:ascii="Times New Roman" w:hAnsi="Times New Roman" w:cs="Times New Roman"/>
        </w:rPr>
        <w:t xml:space="preserve"> Alamri, S</w:t>
      </w:r>
      <w:r>
        <w:rPr>
          <w:rFonts w:ascii="Times New Roman" w:hAnsi="Times New Roman" w:cs="Times New Roman"/>
        </w:rPr>
        <w:t xml:space="preserve">. (2024). </w:t>
      </w:r>
      <w:r w:rsidRPr="002C6A05">
        <w:rPr>
          <w:rFonts w:ascii="Times New Roman" w:hAnsi="Times New Roman" w:cs="Times New Roman"/>
        </w:rPr>
        <w:t>Phenotypic</w:t>
      </w:r>
      <w:r>
        <w:rPr>
          <w:rFonts w:ascii="Times New Roman" w:hAnsi="Times New Roman" w:cs="Times New Roman"/>
        </w:rPr>
        <w:t xml:space="preserve"> </w:t>
      </w:r>
      <w:r w:rsidR="007E767D" w:rsidRPr="007E767D">
        <w:rPr>
          <w:rFonts w:ascii="Times New Roman" w:hAnsi="Times New Roman" w:cs="Times New Roman"/>
        </w:rPr>
        <w:t>diversity in qualitative and quantitative traits for selection of high yield potential field pea genotypes. </w:t>
      </w:r>
      <w:r w:rsidR="007E767D" w:rsidRPr="007E767D">
        <w:rPr>
          <w:rFonts w:ascii="Times New Roman" w:hAnsi="Times New Roman" w:cs="Times New Roman"/>
          <w:i/>
          <w:iCs/>
        </w:rPr>
        <w:t>Sci Rep</w:t>
      </w:r>
      <w:r w:rsidR="007E767D" w:rsidRPr="007E767D">
        <w:rPr>
          <w:rFonts w:ascii="Times New Roman" w:hAnsi="Times New Roman" w:cs="Times New Roman"/>
        </w:rPr>
        <w:t> </w:t>
      </w:r>
      <w:r w:rsidR="007E767D" w:rsidRPr="007E767D">
        <w:rPr>
          <w:rFonts w:ascii="Times New Roman" w:hAnsi="Times New Roman" w:cs="Times New Roman"/>
          <w:b/>
          <w:bCs/>
        </w:rPr>
        <w:t>14</w:t>
      </w:r>
      <w:r w:rsidR="007E767D" w:rsidRPr="007E767D">
        <w:rPr>
          <w:rFonts w:ascii="Times New Roman" w:hAnsi="Times New Roman" w:cs="Times New Roman"/>
        </w:rPr>
        <w:t xml:space="preserve">, 18561 (2024). </w:t>
      </w:r>
      <w:hyperlink r:id="rId24" w:history="1">
        <w:r w:rsidR="007E767D" w:rsidRPr="00D34950">
          <w:rPr>
            <w:rStyle w:val="Hyperlink"/>
            <w:rFonts w:ascii="Times New Roman" w:hAnsi="Times New Roman" w:cs="Times New Roman"/>
          </w:rPr>
          <w:t>https://doi.org/10.1038/s41598-024-69448-7</w:t>
        </w:r>
      </w:hyperlink>
    </w:p>
    <w:p w14:paraId="5FFED816" w14:textId="68AF5E83" w:rsidR="002C6A05" w:rsidRDefault="002C6A05" w:rsidP="00B87D09">
      <w:pPr>
        <w:ind w:hanging="284"/>
        <w:jc w:val="both"/>
        <w:rPr>
          <w:rFonts w:ascii="Times New Roman" w:hAnsi="Times New Roman" w:cs="Times New Roman"/>
        </w:rPr>
      </w:pPr>
      <w:r w:rsidRPr="002C6A05">
        <w:rPr>
          <w:rFonts w:ascii="Times New Roman" w:hAnsi="Times New Roman" w:cs="Times New Roman"/>
        </w:rPr>
        <w:t>Baishya, L. K., Rathore, S. S., Sarkar, D., Jamir, T.</w:t>
      </w:r>
      <w:r w:rsidR="00B87D09">
        <w:rPr>
          <w:rFonts w:ascii="Times New Roman" w:hAnsi="Times New Roman" w:cs="Times New Roman"/>
        </w:rPr>
        <w:t xml:space="preserve"> and</w:t>
      </w:r>
      <w:r w:rsidRPr="002C6A05">
        <w:rPr>
          <w:rFonts w:ascii="Times New Roman" w:hAnsi="Times New Roman" w:cs="Times New Roman"/>
        </w:rPr>
        <w:t xml:space="preserve"> Rajkhowa, D. J. (2019). Crop and varietal diversification for enhancing productivity and profitability of rice fallow system in eastern Himalayan region. </w:t>
      </w:r>
      <w:r w:rsidRPr="00B87D09">
        <w:rPr>
          <w:rFonts w:ascii="Times New Roman" w:hAnsi="Times New Roman" w:cs="Times New Roman"/>
          <w:i/>
          <w:iCs/>
        </w:rPr>
        <w:t>Indian Journal of Agricultural Sciences</w:t>
      </w:r>
      <w:r w:rsidRPr="002C6A05">
        <w:rPr>
          <w:rFonts w:ascii="Times New Roman" w:hAnsi="Times New Roman" w:cs="Times New Roman"/>
        </w:rPr>
        <w:t>, 89(5), 800–805. </w:t>
      </w:r>
      <w:hyperlink r:id="rId25" w:history="1">
        <w:r w:rsidRPr="002C6A05">
          <w:rPr>
            <w:rStyle w:val="Hyperlink"/>
            <w:rFonts w:ascii="Times New Roman" w:hAnsi="Times New Roman" w:cs="Times New Roman"/>
          </w:rPr>
          <w:t>https://doi.org/10.56093/ijas.v89i5.89661</w:t>
        </w:r>
      </w:hyperlink>
    </w:p>
    <w:p w14:paraId="6FB34697" w14:textId="174527FA" w:rsidR="002C6A05" w:rsidRDefault="002C6A05" w:rsidP="00B87D09">
      <w:pPr>
        <w:ind w:hanging="284"/>
        <w:jc w:val="both"/>
        <w:rPr>
          <w:rFonts w:ascii="Times New Roman" w:hAnsi="Times New Roman" w:cs="Times New Roman"/>
        </w:rPr>
      </w:pPr>
      <w:r w:rsidRPr="002C6A05">
        <w:rPr>
          <w:rFonts w:ascii="Times New Roman" w:hAnsi="Times New Roman" w:cs="Times New Roman"/>
        </w:rPr>
        <w:t>Chen, J., Miao, W., Fei, K., Shen, H., Zhou, Y., Shen, Y., Li, C., He, J., Zhu, K., Wang, Z.</w:t>
      </w:r>
      <w:r w:rsidR="00B87D09">
        <w:rPr>
          <w:rFonts w:ascii="Times New Roman" w:hAnsi="Times New Roman" w:cs="Times New Roman"/>
        </w:rPr>
        <w:t xml:space="preserve"> and</w:t>
      </w:r>
      <w:r w:rsidRPr="002C6A05">
        <w:rPr>
          <w:rFonts w:ascii="Times New Roman" w:hAnsi="Times New Roman" w:cs="Times New Roman"/>
        </w:rPr>
        <w:t xml:space="preserve"> Yang, J. (2021). </w:t>
      </w:r>
      <w:proofErr w:type="spellStart"/>
      <w:r w:rsidRPr="002C6A05">
        <w:rPr>
          <w:rFonts w:ascii="Times New Roman" w:hAnsi="Times New Roman" w:cs="Times New Roman"/>
        </w:rPr>
        <w:t>Jasmonates</w:t>
      </w:r>
      <w:proofErr w:type="spellEnd"/>
      <w:r w:rsidRPr="002C6A05">
        <w:rPr>
          <w:rFonts w:ascii="Times New Roman" w:hAnsi="Times New Roman" w:cs="Times New Roman"/>
        </w:rPr>
        <w:t xml:space="preserve"> alleviate the harm of high-temperature stress during anthesis to </w:t>
      </w:r>
      <w:r w:rsidRPr="002C6A05">
        <w:rPr>
          <w:rFonts w:ascii="Times New Roman" w:hAnsi="Times New Roman" w:cs="Times New Roman"/>
        </w:rPr>
        <w:lastRenderedPageBreak/>
        <w:t xml:space="preserve">stigma vitality of </w:t>
      </w:r>
      <w:proofErr w:type="spellStart"/>
      <w:r w:rsidRPr="002C6A05">
        <w:rPr>
          <w:rFonts w:ascii="Times New Roman" w:hAnsi="Times New Roman" w:cs="Times New Roman"/>
        </w:rPr>
        <w:t>photothermosensitive</w:t>
      </w:r>
      <w:proofErr w:type="spellEnd"/>
      <w:r w:rsidRPr="002C6A05">
        <w:rPr>
          <w:rFonts w:ascii="Times New Roman" w:hAnsi="Times New Roman" w:cs="Times New Roman"/>
        </w:rPr>
        <w:t xml:space="preserve"> genetic male sterile rice lines. Frontiers in Plant Science, 12, 634959. </w:t>
      </w:r>
      <w:hyperlink r:id="rId26" w:history="1">
        <w:r w:rsidRPr="00D34950">
          <w:rPr>
            <w:rStyle w:val="Hyperlink"/>
            <w:rFonts w:ascii="Times New Roman" w:hAnsi="Times New Roman" w:cs="Times New Roman"/>
          </w:rPr>
          <w:t>https://doi.org/10.3389/fpls.2021.634959</w:t>
        </w:r>
      </w:hyperlink>
    </w:p>
    <w:p w14:paraId="738085E8" w14:textId="12B97467"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FAOSTAT, (2019). Food and Agriculture Organization Statistics. Available online at:</w:t>
      </w:r>
      <w:r w:rsidRPr="00EF591F">
        <w:rPr>
          <w:rFonts w:ascii="Times New Roman" w:hAnsi="Times New Roman" w:cs="Times New Roman"/>
        </w:rPr>
        <w:br/>
        <w:t>http://www.fao.org/faostat/en/#data/QC (accessed September, 2020).</w:t>
      </w:r>
    </w:p>
    <w:p w14:paraId="249DFDBC" w14:textId="77777777"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 xml:space="preserve">FAOSTAT. (2023). FAOSTAT statistical database. Food and Agriculture Organization of the United Nations. Retrieved September 23, 2025, from </w:t>
      </w:r>
      <w:hyperlink r:id="rId27" w:history="1">
        <w:r w:rsidRPr="00EF591F">
          <w:rPr>
            <w:rStyle w:val="Hyperlink"/>
            <w:rFonts w:ascii="Times New Roman" w:hAnsi="Times New Roman" w:cs="Times New Roman"/>
            <w:b/>
            <w:bCs/>
          </w:rPr>
          <w:t>https://www.fao.org/faostat/</w:t>
        </w:r>
      </w:hyperlink>
    </w:p>
    <w:p w14:paraId="5C1BE7CB" w14:textId="7ABC4925"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 xml:space="preserve">Garg BK, Burman U, </w:t>
      </w:r>
      <w:proofErr w:type="spellStart"/>
      <w:r w:rsidRPr="00EF591F">
        <w:rPr>
          <w:rFonts w:ascii="Times New Roman" w:hAnsi="Times New Roman" w:cs="Times New Roman"/>
        </w:rPr>
        <w:t>Kathju</w:t>
      </w:r>
      <w:proofErr w:type="spellEnd"/>
      <w:r w:rsidRPr="00EF591F">
        <w:rPr>
          <w:rFonts w:ascii="Times New Roman" w:hAnsi="Times New Roman" w:cs="Times New Roman"/>
        </w:rPr>
        <w:t xml:space="preserve"> S (2006) Influence of thiourea on photosynthesis, nitrogen metabolism and yield of </w:t>
      </w:r>
      <w:r w:rsidR="00B87D09" w:rsidRPr="00EF591F">
        <w:rPr>
          <w:rFonts w:ascii="Times New Roman" w:hAnsi="Times New Roman" w:cs="Times New Roman"/>
        </w:rPr>
        <w:t>cluster bean</w:t>
      </w:r>
      <w:r w:rsidRPr="00EF591F">
        <w:rPr>
          <w:rFonts w:ascii="Times New Roman" w:hAnsi="Times New Roman" w:cs="Times New Roman"/>
        </w:rPr>
        <w:t xml:space="preserve"> (</w:t>
      </w:r>
      <w:proofErr w:type="spellStart"/>
      <w:r w:rsidRPr="00EF591F">
        <w:rPr>
          <w:rFonts w:ascii="Times New Roman" w:hAnsi="Times New Roman" w:cs="Times New Roman"/>
          <w:i/>
          <w:iCs/>
        </w:rPr>
        <w:t>Cyamopsis</w:t>
      </w:r>
      <w:proofErr w:type="spellEnd"/>
      <w:r w:rsidRPr="00EF591F">
        <w:rPr>
          <w:rFonts w:ascii="Times New Roman" w:hAnsi="Times New Roman" w:cs="Times New Roman"/>
          <w:i/>
          <w:iCs/>
        </w:rPr>
        <w:t xml:space="preserve"> </w:t>
      </w:r>
      <w:proofErr w:type="spellStart"/>
      <w:r w:rsidRPr="00EF591F">
        <w:rPr>
          <w:rFonts w:ascii="Times New Roman" w:hAnsi="Times New Roman" w:cs="Times New Roman"/>
          <w:i/>
          <w:iCs/>
        </w:rPr>
        <w:t>tetragonoloba</w:t>
      </w:r>
      <w:proofErr w:type="spellEnd"/>
      <w:r w:rsidRPr="00EF591F">
        <w:rPr>
          <w:rFonts w:ascii="Times New Roman" w:hAnsi="Times New Roman" w:cs="Times New Roman"/>
        </w:rPr>
        <w:t xml:space="preserve"> (L.) Taub.) under rainfed conditions of Indian arid zone. </w:t>
      </w:r>
      <w:r w:rsidRPr="002C6A05">
        <w:rPr>
          <w:rFonts w:ascii="Times New Roman" w:hAnsi="Times New Roman" w:cs="Times New Roman"/>
          <w:i/>
          <w:iCs/>
        </w:rPr>
        <w:t xml:space="preserve">Plant Growth </w:t>
      </w:r>
      <w:proofErr w:type="spellStart"/>
      <w:r w:rsidRPr="002C6A05">
        <w:rPr>
          <w:rFonts w:ascii="Times New Roman" w:hAnsi="Times New Roman" w:cs="Times New Roman"/>
          <w:i/>
          <w:iCs/>
        </w:rPr>
        <w:t>Regu</w:t>
      </w:r>
      <w:r w:rsidR="002C6A05">
        <w:rPr>
          <w:rFonts w:ascii="Times New Roman" w:hAnsi="Times New Roman" w:cs="Times New Roman"/>
          <w:i/>
          <w:iCs/>
        </w:rPr>
        <w:t>L</w:t>
      </w:r>
      <w:proofErr w:type="spellEnd"/>
      <w:r w:rsidR="002C6A05">
        <w:rPr>
          <w:rFonts w:ascii="Times New Roman" w:hAnsi="Times New Roman" w:cs="Times New Roman"/>
          <w:i/>
          <w:iCs/>
        </w:rPr>
        <w:t>.</w:t>
      </w:r>
      <w:r w:rsidR="002C6A05">
        <w:rPr>
          <w:rFonts w:ascii="Times New Roman" w:hAnsi="Times New Roman" w:cs="Times New Roman"/>
        </w:rPr>
        <w:t>,</w:t>
      </w:r>
      <w:r w:rsidRPr="00EF591F">
        <w:rPr>
          <w:rFonts w:ascii="Times New Roman" w:hAnsi="Times New Roman" w:cs="Times New Roman"/>
        </w:rPr>
        <w:t xml:space="preserve"> </w:t>
      </w:r>
      <w:r w:rsidRPr="002C6A05">
        <w:rPr>
          <w:rFonts w:ascii="Times New Roman" w:hAnsi="Times New Roman" w:cs="Times New Roman"/>
          <w:i/>
          <w:iCs/>
        </w:rPr>
        <w:t>48</w:t>
      </w:r>
      <w:r w:rsidRPr="00EF591F">
        <w:rPr>
          <w:rFonts w:ascii="Times New Roman" w:hAnsi="Times New Roman" w:cs="Times New Roman"/>
        </w:rPr>
        <w:t>:237–245</w:t>
      </w:r>
      <w:r w:rsidR="002C6A05">
        <w:rPr>
          <w:rFonts w:ascii="Times New Roman" w:hAnsi="Times New Roman" w:cs="Times New Roman"/>
        </w:rPr>
        <w:t xml:space="preserve">. </w:t>
      </w:r>
      <w:hyperlink r:id="rId28" w:history="1">
        <w:r w:rsidR="002C6A05" w:rsidRPr="00D34950">
          <w:rPr>
            <w:rStyle w:val="Hyperlink"/>
            <w:rFonts w:ascii="Times New Roman" w:hAnsi="Times New Roman" w:cs="Times New Roman"/>
          </w:rPr>
          <w:t>https://doi.org/10.1007/s10725-006-0002-x</w:t>
        </w:r>
      </w:hyperlink>
      <w:r w:rsidR="002C6A05">
        <w:rPr>
          <w:rFonts w:ascii="Times New Roman" w:hAnsi="Times New Roman" w:cs="Times New Roman"/>
        </w:rPr>
        <w:t xml:space="preserve"> </w:t>
      </w:r>
    </w:p>
    <w:p w14:paraId="35983010" w14:textId="21A244EE" w:rsidR="00EF591F" w:rsidRPr="00EF591F" w:rsidRDefault="00EF591F" w:rsidP="00B87D09">
      <w:pPr>
        <w:ind w:hanging="284"/>
        <w:jc w:val="both"/>
        <w:rPr>
          <w:rFonts w:ascii="Times New Roman" w:hAnsi="Times New Roman" w:cs="Times New Roman"/>
        </w:rPr>
      </w:pPr>
      <w:proofErr w:type="spellStart"/>
      <w:r w:rsidRPr="00EF591F">
        <w:rPr>
          <w:rFonts w:ascii="Times New Roman" w:hAnsi="Times New Roman" w:cs="Times New Roman"/>
        </w:rPr>
        <w:t>Guilioni</w:t>
      </w:r>
      <w:proofErr w:type="spellEnd"/>
      <w:r w:rsidRPr="00EF591F">
        <w:rPr>
          <w:rFonts w:ascii="Times New Roman" w:hAnsi="Times New Roman" w:cs="Times New Roman"/>
        </w:rPr>
        <w:t xml:space="preserve">, L., </w:t>
      </w:r>
      <w:proofErr w:type="spellStart"/>
      <w:r w:rsidRPr="00EF591F">
        <w:rPr>
          <w:rFonts w:ascii="Times New Roman" w:hAnsi="Times New Roman" w:cs="Times New Roman"/>
        </w:rPr>
        <w:t>Wéry</w:t>
      </w:r>
      <w:proofErr w:type="spellEnd"/>
      <w:r w:rsidRPr="00EF591F">
        <w:rPr>
          <w:rFonts w:ascii="Times New Roman" w:hAnsi="Times New Roman" w:cs="Times New Roman"/>
        </w:rPr>
        <w:t xml:space="preserve">, J., and </w:t>
      </w:r>
      <w:proofErr w:type="spellStart"/>
      <w:r w:rsidRPr="00EF591F">
        <w:rPr>
          <w:rFonts w:ascii="Times New Roman" w:hAnsi="Times New Roman" w:cs="Times New Roman"/>
        </w:rPr>
        <w:t>Lecoeur</w:t>
      </w:r>
      <w:proofErr w:type="spellEnd"/>
      <w:r w:rsidRPr="00EF591F">
        <w:rPr>
          <w:rFonts w:ascii="Times New Roman" w:hAnsi="Times New Roman" w:cs="Times New Roman"/>
        </w:rPr>
        <w:t xml:space="preserve">, J. (2003). High temperature and water deficit may reduce seed number in field pea purely by decreasing plant growth rate. </w:t>
      </w:r>
      <w:proofErr w:type="spellStart"/>
      <w:r w:rsidRPr="00B87D09">
        <w:rPr>
          <w:rFonts w:ascii="Times New Roman" w:hAnsi="Times New Roman" w:cs="Times New Roman"/>
          <w:i/>
          <w:iCs/>
        </w:rPr>
        <w:t>Funct</w:t>
      </w:r>
      <w:proofErr w:type="spellEnd"/>
      <w:r w:rsidRPr="00EF591F">
        <w:rPr>
          <w:rFonts w:ascii="Times New Roman" w:hAnsi="Times New Roman" w:cs="Times New Roman"/>
        </w:rPr>
        <w:t xml:space="preserve">. </w:t>
      </w:r>
      <w:r w:rsidRPr="002C6A05">
        <w:rPr>
          <w:rFonts w:ascii="Times New Roman" w:hAnsi="Times New Roman" w:cs="Times New Roman"/>
          <w:i/>
          <w:iCs/>
        </w:rPr>
        <w:t>Plant Biol</w:t>
      </w:r>
      <w:r w:rsidRPr="00EF591F">
        <w:rPr>
          <w:rFonts w:ascii="Times New Roman" w:hAnsi="Times New Roman" w:cs="Times New Roman"/>
        </w:rPr>
        <w:t>. 30, 1151–1164.</w:t>
      </w:r>
      <w:r w:rsidR="002C6A05">
        <w:rPr>
          <w:rFonts w:ascii="Times New Roman" w:hAnsi="Times New Roman" w:cs="Times New Roman"/>
        </w:rPr>
        <w:t xml:space="preserve"> </w:t>
      </w:r>
      <w:hyperlink r:id="rId29" w:history="1">
        <w:r w:rsidR="002C6A05" w:rsidRPr="00D34950">
          <w:rPr>
            <w:rStyle w:val="Hyperlink"/>
            <w:rFonts w:ascii="Times New Roman" w:hAnsi="Times New Roman" w:cs="Times New Roman"/>
          </w:rPr>
          <w:t>https://doi.org/10.1071/fp03105</w:t>
        </w:r>
      </w:hyperlink>
      <w:r w:rsidR="002C6A05">
        <w:rPr>
          <w:rFonts w:ascii="Times New Roman" w:hAnsi="Times New Roman" w:cs="Times New Roman"/>
        </w:rPr>
        <w:t xml:space="preserve">  </w:t>
      </w:r>
    </w:p>
    <w:p w14:paraId="2A789D12" w14:textId="77777777"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 xml:space="preserve">Hall, A. E. (2001). Crop Responses to Environment. Boca Raton, FL: </w:t>
      </w:r>
      <w:r w:rsidRPr="007E767D">
        <w:rPr>
          <w:rFonts w:ascii="Times New Roman" w:hAnsi="Times New Roman" w:cs="Times New Roman"/>
          <w:i/>
          <w:iCs/>
        </w:rPr>
        <w:t>CRC Press</w:t>
      </w:r>
      <w:r w:rsidRPr="00EF591F">
        <w:rPr>
          <w:rFonts w:ascii="Times New Roman" w:hAnsi="Times New Roman" w:cs="Times New Roman"/>
        </w:rPr>
        <w:t>.</w:t>
      </w:r>
    </w:p>
    <w:p w14:paraId="702E8B69" w14:textId="1D210299"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Hassan, M. U., Aamer, M., Chattha, M. U., Afzal, A., Batool, M., Ahmed, H. A. I., ... &amp; Shahzad, B. (2022). Salicylic Acid‐Mediated Physiological and Molecular Mechanisms in Plants Under Heat Stress. </w:t>
      </w:r>
      <w:r w:rsidRPr="00EF591F">
        <w:rPr>
          <w:rFonts w:ascii="Times New Roman" w:hAnsi="Times New Roman" w:cs="Times New Roman"/>
          <w:i/>
          <w:iCs/>
        </w:rPr>
        <w:t>Managing Plant Stress Using Salicylic Acid: Physiological and Molecular Aspects</w:t>
      </w:r>
      <w:r w:rsidRPr="00EF591F">
        <w:rPr>
          <w:rFonts w:ascii="Times New Roman" w:hAnsi="Times New Roman" w:cs="Times New Roman"/>
        </w:rPr>
        <w:t>, 163-182.</w:t>
      </w:r>
      <w:r w:rsidR="0076462A">
        <w:rPr>
          <w:rFonts w:ascii="Times New Roman" w:hAnsi="Times New Roman" w:cs="Times New Roman"/>
        </w:rPr>
        <w:t xml:space="preserve"> </w:t>
      </w:r>
      <w:hyperlink r:id="rId30" w:history="1">
        <w:r w:rsidR="0076462A" w:rsidRPr="00D34950">
          <w:rPr>
            <w:rStyle w:val="Hyperlink"/>
            <w:rFonts w:ascii="Times New Roman" w:hAnsi="Times New Roman" w:cs="Times New Roman"/>
          </w:rPr>
          <w:t>https://doi.org/10.1002/9781119671107.ch9</w:t>
        </w:r>
      </w:hyperlink>
      <w:r w:rsidR="0076462A">
        <w:rPr>
          <w:rFonts w:ascii="Times New Roman" w:hAnsi="Times New Roman" w:cs="Times New Roman"/>
        </w:rPr>
        <w:t xml:space="preserve"> </w:t>
      </w:r>
    </w:p>
    <w:p w14:paraId="3A2F099E" w14:textId="5BC94917"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Jiang, Y., Lindsay, D. L., Davis, A. R., Wang, Z., MacLean, D. E., Warkentin, T. D.</w:t>
      </w:r>
      <w:r w:rsidR="00B87D09">
        <w:rPr>
          <w:rFonts w:ascii="Times New Roman" w:hAnsi="Times New Roman" w:cs="Times New Roman"/>
        </w:rPr>
        <w:t xml:space="preserve"> and</w:t>
      </w:r>
      <w:r w:rsidRPr="00EF591F">
        <w:rPr>
          <w:rFonts w:ascii="Times New Roman" w:hAnsi="Times New Roman" w:cs="Times New Roman"/>
        </w:rPr>
        <w:t xml:space="preserve"> </w:t>
      </w:r>
      <w:proofErr w:type="spellStart"/>
      <w:r w:rsidRPr="00EF591F">
        <w:rPr>
          <w:rFonts w:ascii="Times New Roman" w:hAnsi="Times New Roman" w:cs="Times New Roman"/>
        </w:rPr>
        <w:t>Bueckert</w:t>
      </w:r>
      <w:proofErr w:type="spellEnd"/>
      <w:r w:rsidRPr="00EF591F">
        <w:rPr>
          <w:rFonts w:ascii="Times New Roman" w:hAnsi="Times New Roman" w:cs="Times New Roman"/>
        </w:rPr>
        <w:t>, R. A. (2019). Impact of heat stress on pod-based yield components in field pea (</w:t>
      </w:r>
      <w:r w:rsidRPr="00B87D09">
        <w:rPr>
          <w:rFonts w:ascii="Times New Roman" w:hAnsi="Times New Roman" w:cs="Times New Roman"/>
          <w:i/>
          <w:iCs/>
        </w:rPr>
        <w:t>Pisum sativum</w:t>
      </w:r>
      <w:r w:rsidRPr="00EF591F">
        <w:rPr>
          <w:rFonts w:ascii="Times New Roman" w:hAnsi="Times New Roman" w:cs="Times New Roman"/>
        </w:rPr>
        <w:t xml:space="preserve"> L.). </w:t>
      </w:r>
      <w:r w:rsidRPr="00B87D09">
        <w:rPr>
          <w:rFonts w:ascii="Times New Roman" w:hAnsi="Times New Roman" w:cs="Times New Roman"/>
          <w:i/>
          <w:iCs/>
        </w:rPr>
        <w:t>Journal of Agronomy and Crop Science</w:t>
      </w:r>
      <w:r w:rsidRPr="00EF591F">
        <w:rPr>
          <w:rFonts w:ascii="Times New Roman" w:hAnsi="Times New Roman" w:cs="Times New Roman"/>
        </w:rPr>
        <w:t xml:space="preserve">, 206(1), 76–89. </w:t>
      </w:r>
      <w:hyperlink r:id="rId31" w:history="1">
        <w:r w:rsidRPr="00EF591F">
          <w:rPr>
            <w:rStyle w:val="Hyperlink"/>
            <w:rFonts w:ascii="Times New Roman" w:hAnsi="Times New Roman" w:cs="Times New Roman"/>
          </w:rPr>
          <w:t>https://doi.org/10.1111/jac.12365</w:t>
        </w:r>
      </w:hyperlink>
    </w:p>
    <w:p w14:paraId="5C7A6FA6" w14:textId="7E653AC3" w:rsidR="00EF591F" w:rsidRPr="00EF591F" w:rsidRDefault="0076462A" w:rsidP="00B87D09">
      <w:pPr>
        <w:ind w:hanging="284"/>
        <w:jc w:val="both"/>
        <w:rPr>
          <w:rFonts w:ascii="Times New Roman" w:hAnsi="Times New Roman" w:cs="Times New Roman"/>
        </w:rPr>
      </w:pPr>
      <w:r w:rsidRPr="0076462A">
        <w:rPr>
          <w:rFonts w:ascii="Times New Roman" w:hAnsi="Times New Roman" w:cs="Times New Roman"/>
        </w:rPr>
        <w:t>Khanna, P., Kaur, K.</w:t>
      </w:r>
      <w:r w:rsidR="00B87D09">
        <w:rPr>
          <w:rFonts w:ascii="Times New Roman" w:hAnsi="Times New Roman" w:cs="Times New Roman"/>
        </w:rPr>
        <w:t xml:space="preserve"> and</w:t>
      </w:r>
      <w:r w:rsidRPr="0076462A">
        <w:rPr>
          <w:rFonts w:ascii="Times New Roman" w:hAnsi="Times New Roman" w:cs="Times New Roman"/>
        </w:rPr>
        <w:t xml:space="preserve"> Gupta, A. K. (2016). Salicylic acid induces differential antioxidant response in spring maize under high temperature stress. </w:t>
      </w:r>
      <w:r w:rsidRPr="0076462A">
        <w:rPr>
          <w:rFonts w:ascii="Times New Roman" w:hAnsi="Times New Roman" w:cs="Times New Roman"/>
          <w:i/>
          <w:iCs/>
        </w:rPr>
        <w:t>Indian journal of experimental biology</w:t>
      </w:r>
      <w:r w:rsidRPr="0076462A">
        <w:rPr>
          <w:rFonts w:ascii="Times New Roman" w:hAnsi="Times New Roman" w:cs="Times New Roman"/>
        </w:rPr>
        <w:t>, </w:t>
      </w:r>
      <w:r w:rsidRPr="0076462A">
        <w:rPr>
          <w:rFonts w:ascii="Times New Roman" w:hAnsi="Times New Roman" w:cs="Times New Roman"/>
          <w:i/>
          <w:iCs/>
        </w:rPr>
        <w:t>54</w:t>
      </w:r>
      <w:r w:rsidRPr="0076462A">
        <w:rPr>
          <w:rFonts w:ascii="Times New Roman" w:hAnsi="Times New Roman" w:cs="Times New Roman"/>
        </w:rPr>
        <w:t>(6), 386–393.</w:t>
      </w:r>
    </w:p>
    <w:p w14:paraId="601A2365" w14:textId="155CD700"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 xml:space="preserve">Khan, M.I.R., M. Fatma, T.S. Per, N.A. Anjum </w:t>
      </w:r>
      <w:proofErr w:type="gramStart"/>
      <w:r w:rsidRPr="00EF591F">
        <w:rPr>
          <w:rFonts w:ascii="Times New Roman" w:hAnsi="Times New Roman" w:cs="Times New Roman"/>
        </w:rPr>
        <w:t>and  N.</w:t>
      </w:r>
      <w:proofErr w:type="gramEnd"/>
      <w:r w:rsidR="0076462A">
        <w:rPr>
          <w:rFonts w:ascii="Times New Roman" w:hAnsi="Times New Roman" w:cs="Times New Roman"/>
        </w:rPr>
        <w:t xml:space="preserve"> </w:t>
      </w:r>
      <w:r w:rsidRPr="00EF591F">
        <w:rPr>
          <w:rFonts w:ascii="Times New Roman" w:hAnsi="Times New Roman" w:cs="Times New Roman"/>
        </w:rPr>
        <w:t xml:space="preserve">A. Khan. 2015. Salicylic acid-induced abiotic stress tolerance and underlying mechanisms in plants. </w:t>
      </w:r>
      <w:r w:rsidRPr="00B87D09">
        <w:rPr>
          <w:rFonts w:ascii="Times New Roman" w:hAnsi="Times New Roman" w:cs="Times New Roman"/>
          <w:i/>
          <w:iCs/>
        </w:rPr>
        <w:t>Front.</w:t>
      </w:r>
      <w:r w:rsidR="0076462A" w:rsidRPr="00B87D09">
        <w:rPr>
          <w:rFonts w:ascii="Times New Roman" w:hAnsi="Times New Roman" w:cs="Times New Roman"/>
          <w:i/>
          <w:iCs/>
        </w:rPr>
        <w:t xml:space="preserve"> </w:t>
      </w:r>
      <w:r w:rsidRPr="00B87D09">
        <w:rPr>
          <w:rFonts w:ascii="Times New Roman" w:hAnsi="Times New Roman" w:cs="Times New Roman"/>
          <w:i/>
          <w:iCs/>
        </w:rPr>
        <w:t>Plant Sci</w:t>
      </w:r>
      <w:r w:rsidRPr="00EF591F">
        <w:rPr>
          <w:rFonts w:ascii="Times New Roman" w:hAnsi="Times New Roman" w:cs="Times New Roman"/>
        </w:rPr>
        <w:t>., 6: 462.</w:t>
      </w:r>
      <w:r w:rsidR="0076462A">
        <w:rPr>
          <w:rFonts w:ascii="Times New Roman" w:hAnsi="Times New Roman" w:cs="Times New Roman"/>
        </w:rPr>
        <w:t xml:space="preserve"> </w:t>
      </w:r>
      <w:hyperlink r:id="rId32" w:history="1">
        <w:r w:rsidR="0076462A" w:rsidRPr="00D34950">
          <w:rPr>
            <w:rStyle w:val="Hyperlink"/>
            <w:rFonts w:ascii="Times New Roman" w:hAnsi="Times New Roman" w:cs="Times New Roman"/>
          </w:rPr>
          <w:t>https://doi.org/10.3389/fpls.2015.00462</w:t>
        </w:r>
      </w:hyperlink>
      <w:r w:rsidR="0076462A">
        <w:rPr>
          <w:rFonts w:ascii="Times New Roman" w:hAnsi="Times New Roman" w:cs="Times New Roman"/>
        </w:rPr>
        <w:t xml:space="preserve"> </w:t>
      </w:r>
    </w:p>
    <w:p w14:paraId="65CCCFB4" w14:textId="4BA35BC4" w:rsidR="00EF591F" w:rsidRPr="0076462A" w:rsidRDefault="00EF591F" w:rsidP="00B87D09">
      <w:pPr>
        <w:ind w:hanging="284"/>
        <w:jc w:val="both"/>
        <w:rPr>
          <w:rFonts w:ascii="Times New Roman" w:hAnsi="Times New Roman" w:cs="Times New Roman"/>
          <w:b/>
          <w:bCs/>
        </w:rPr>
      </w:pPr>
      <w:r w:rsidRPr="00EF591F">
        <w:rPr>
          <w:rFonts w:ascii="Times New Roman" w:hAnsi="Times New Roman" w:cs="Times New Roman"/>
        </w:rPr>
        <w:t xml:space="preserve">Kumar N, Hazra KK, Nath CP, Praharaj CS, Singh U (2018) Grain legumes for resource conservation and agricultural sustainability in South Asia. In: </w:t>
      </w:r>
      <w:r w:rsidRPr="00B87D09">
        <w:rPr>
          <w:rFonts w:ascii="Times New Roman" w:hAnsi="Times New Roman" w:cs="Times New Roman"/>
          <w:i/>
          <w:iCs/>
        </w:rPr>
        <w:t>Legumes for soil health and sustainable man</w:t>
      </w:r>
      <w:r w:rsidRPr="00B87D09">
        <w:rPr>
          <w:rFonts w:ascii="Times New Roman" w:hAnsi="Times New Roman" w:cs="Times New Roman"/>
          <w:i/>
          <w:iCs/>
        </w:rPr>
        <w:softHyphen/>
        <w:t>agement</w:t>
      </w:r>
      <w:r w:rsidRPr="00EF591F">
        <w:rPr>
          <w:rFonts w:ascii="Times New Roman" w:hAnsi="Times New Roman" w:cs="Times New Roman"/>
        </w:rPr>
        <w:t>. pp. 77–107</w:t>
      </w:r>
      <w:r w:rsidR="0076462A">
        <w:rPr>
          <w:rFonts w:ascii="Times New Roman" w:hAnsi="Times New Roman" w:cs="Times New Roman"/>
        </w:rPr>
        <w:t xml:space="preserve">. </w:t>
      </w:r>
      <w:hyperlink r:id="rId33" w:history="1">
        <w:r w:rsidR="0076462A" w:rsidRPr="00D34950">
          <w:rPr>
            <w:rStyle w:val="Hyperlink"/>
            <w:rFonts w:ascii="Times New Roman" w:hAnsi="Times New Roman" w:cs="Times New Roman"/>
          </w:rPr>
          <w:t>https://doi.org/10.1007/978-981-13-0253-4_3</w:t>
        </w:r>
      </w:hyperlink>
      <w:r w:rsidR="0076462A">
        <w:rPr>
          <w:rFonts w:ascii="Times New Roman" w:hAnsi="Times New Roman" w:cs="Times New Roman"/>
        </w:rPr>
        <w:t xml:space="preserve"> </w:t>
      </w:r>
    </w:p>
    <w:p w14:paraId="7D490973" w14:textId="7EB464E4" w:rsidR="00EF591F" w:rsidRPr="00EF591F" w:rsidRDefault="00EF591F" w:rsidP="00B87D09">
      <w:pPr>
        <w:ind w:hanging="284"/>
        <w:jc w:val="both"/>
        <w:rPr>
          <w:rFonts w:ascii="Times New Roman" w:hAnsi="Times New Roman" w:cs="Times New Roman"/>
        </w:rPr>
      </w:pPr>
      <w:proofErr w:type="spellStart"/>
      <w:r w:rsidRPr="00EF591F">
        <w:rPr>
          <w:rFonts w:ascii="Times New Roman" w:hAnsi="Times New Roman" w:cs="Times New Roman"/>
        </w:rPr>
        <w:t>Lamichaney</w:t>
      </w:r>
      <w:proofErr w:type="spellEnd"/>
      <w:r w:rsidRPr="00EF591F">
        <w:rPr>
          <w:rFonts w:ascii="Times New Roman" w:hAnsi="Times New Roman" w:cs="Times New Roman"/>
        </w:rPr>
        <w:t>, A., Swain, D. K., Biswal, P., Kumar, V., Singh, N. P.</w:t>
      </w:r>
      <w:r w:rsidR="00B87D09">
        <w:rPr>
          <w:rFonts w:ascii="Times New Roman" w:hAnsi="Times New Roman" w:cs="Times New Roman"/>
        </w:rPr>
        <w:t xml:space="preserve"> and</w:t>
      </w:r>
      <w:r w:rsidRPr="00EF591F">
        <w:rPr>
          <w:rFonts w:ascii="Times New Roman" w:hAnsi="Times New Roman" w:cs="Times New Roman"/>
        </w:rPr>
        <w:t xml:space="preserve"> Hazra, K. K. (2019). Elevated atmospheric carbon–dioxide affects seed vigour of rice (Oryza sativa L.). </w:t>
      </w:r>
      <w:r w:rsidRPr="00EF591F">
        <w:rPr>
          <w:rFonts w:ascii="Times New Roman" w:hAnsi="Times New Roman" w:cs="Times New Roman"/>
          <w:i/>
          <w:iCs/>
        </w:rPr>
        <w:t>Environmental and Experimental Botany</w:t>
      </w:r>
      <w:r w:rsidRPr="00EF591F">
        <w:rPr>
          <w:rFonts w:ascii="Times New Roman" w:hAnsi="Times New Roman" w:cs="Times New Roman"/>
        </w:rPr>
        <w:t>, </w:t>
      </w:r>
      <w:r w:rsidRPr="00EF591F">
        <w:rPr>
          <w:rFonts w:ascii="Times New Roman" w:hAnsi="Times New Roman" w:cs="Times New Roman"/>
          <w:i/>
          <w:iCs/>
        </w:rPr>
        <w:t>157</w:t>
      </w:r>
      <w:r w:rsidRPr="00EF591F">
        <w:rPr>
          <w:rFonts w:ascii="Times New Roman" w:hAnsi="Times New Roman" w:cs="Times New Roman"/>
        </w:rPr>
        <w:t>, 171-176.</w:t>
      </w:r>
      <w:r w:rsidR="0076462A">
        <w:rPr>
          <w:rFonts w:ascii="Times New Roman" w:hAnsi="Times New Roman" w:cs="Times New Roman"/>
        </w:rPr>
        <w:t xml:space="preserve"> </w:t>
      </w:r>
      <w:hyperlink r:id="rId34" w:history="1">
        <w:r w:rsidR="0076462A" w:rsidRPr="00D34950">
          <w:rPr>
            <w:rStyle w:val="Hyperlink"/>
            <w:rFonts w:ascii="Times New Roman" w:hAnsi="Times New Roman" w:cs="Times New Roman"/>
          </w:rPr>
          <w:t>https://doi.org/10.1016/j.envexpbot.2018.10.011</w:t>
        </w:r>
      </w:hyperlink>
      <w:r w:rsidR="0076462A">
        <w:rPr>
          <w:rFonts w:ascii="Times New Roman" w:hAnsi="Times New Roman" w:cs="Times New Roman"/>
        </w:rPr>
        <w:t xml:space="preserve"> </w:t>
      </w:r>
    </w:p>
    <w:p w14:paraId="75FC718B" w14:textId="50CAB06B"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 xml:space="preserve">Liu, N., Karunakaran, C., </w:t>
      </w:r>
      <w:proofErr w:type="spellStart"/>
      <w:r w:rsidRPr="00EF591F">
        <w:rPr>
          <w:rFonts w:ascii="Times New Roman" w:hAnsi="Times New Roman" w:cs="Times New Roman"/>
        </w:rPr>
        <w:t>Lahlali</w:t>
      </w:r>
      <w:proofErr w:type="spellEnd"/>
      <w:r w:rsidRPr="00EF591F">
        <w:rPr>
          <w:rFonts w:ascii="Times New Roman" w:hAnsi="Times New Roman" w:cs="Times New Roman"/>
        </w:rPr>
        <w:t xml:space="preserve">, R., Warkentin, T., and </w:t>
      </w:r>
      <w:proofErr w:type="spellStart"/>
      <w:r w:rsidRPr="00EF591F">
        <w:rPr>
          <w:rFonts w:ascii="Times New Roman" w:hAnsi="Times New Roman" w:cs="Times New Roman"/>
        </w:rPr>
        <w:t>Bueckert</w:t>
      </w:r>
      <w:proofErr w:type="spellEnd"/>
      <w:r w:rsidRPr="00EF591F">
        <w:rPr>
          <w:rFonts w:ascii="Times New Roman" w:hAnsi="Times New Roman" w:cs="Times New Roman"/>
        </w:rPr>
        <w:t>, R. A. (2019).</w:t>
      </w:r>
      <w:r w:rsidRPr="00EF591F">
        <w:rPr>
          <w:rFonts w:ascii="Times New Roman" w:hAnsi="Times New Roman" w:cs="Times New Roman"/>
        </w:rPr>
        <w:br/>
        <w:t>Genotypic and heat stress effects on leaf cuticles of field pea using ATR-FTIR</w:t>
      </w:r>
      <w:r w:rsidRPr="00EF591F">
        <w:rPr>
          <w:rFonts w:ascii="Times New Roman" w:hAnsi="Times New Roman" w:cs="Times New Roman"/>
        </w:rPr>
        <w:br/>
        <w:t xml:space="preserve">spectroscopy. </w:t>
      </w:r>
      <w:r w:rsidRPr="00B87D09">
        <w:rPr>
          <w:rFonts w:ascii="Times New Roman" w:hAnsi="Times New Roman" w:cs="Times New Roman"/>
          <w:i/>
          <w:iCs/>
        </w:rPr>
        <w:t>Planta</w:t>
      </w:r>
      <w:r w:rsidR="00B87D09">
        <w:rPr>
          <w:rFonts w:ascii="Times New Roman" w:hAnsi="Times New Roman" w:cs="Times New Roman"/>
          <w:i/>
          <w:iCs/>
        </w:rPr>
        <w:t>,</w:t>
      </w:r>
      <w:r w:rsidRPr="00EF591F">
        <w:rPr>
          <w:rFonts w:ascii="Times New Roman" w:hAnsi="Times New Roman" w:cs="Times New Roman"/>
        </w:rPr>
        <w:t xml:space="preserve"> 249, 601–613. </w:t>
      </w:r>
      <w:hyperlink r:id="rId35" w:history="1">
        <w:r w:rsidRPr="00EF591F">
          <w:rPr>
            <w:rStyle w:val="Hyperlink"/>
            <w:rFonts w:ascii="Times New Roman" w:hAnsi="Times New Roman" w:cs="Times New Roman"/>
          </w:rPr>
          <w:t>https://doi.org/10.1007/s00425-018-3025-4</w:t>
        </w:r>
      </w:hyperlink>
    </w:p>
    <w:p w14:paraId="709CC992" w14:textId="0910977C" w:rsidR="00EF591F" w:rsidRPr="00EF591F" w:rsidRDefault="0076462A" w:rsidP="00B87D09">
      <w:pPr>
        <w:ind w:hanging="284"/>
        <w:jc w:val="both"/>
        <w:rPr>
          <w:rFonts w:ascii="Times New Roman" w:hAnsi="Times New Roman" w:cs="Times New Roman"/>
        </w:rPr>
      </w:pPr>
      <w:r w:rsidRPr="00EF591F">
        <w:rPr>
          <w:rFonts w:ascii="Times New Roman" w:hAnsi="Times New Roman" w:cs="Times New Roman"/>
        </w:rPr>
        <w:lastRenderedPageBreak/>
        <w:t>Luitel, Binod Prasad; Pun, Tul Bahadur; Bhandari, Bishnu Bahadur</w:t>
      </w:r>
      <w:r w:rsidR="00EF591F" w:rsidRPr="00EF591F">
        <w:rPr>
          <w:rFonts w:ascii="Times New Roman" w:hAnsi="Times New Roman" w:cs="Times New Roman"/>
        </w:rPr>
        <w:t xml:space="preserve">. Evaluation of growth and yield characters of garden pea genotypes at </w:t>
      </w:r>
      <w:proofErr w:type="spellStart"/>
      <w:r w:rsidR="00EF591F" w:rsidRPr="00EF591F">
        <w:rPr>
          <w:rFonts w:ascii="Times New Roman" w:hAnsi="Times New Roman" w:cs="Times New Roman"/>
        </w:rPr>
        <w:t>Dailekh</w:t>
      </w:r>
      <w:proofErr w:type="spellEnd"/>
      <w:r w:rsidR="00EF591F" w:rsidRPr="00EF591F">
        <w:rPr>
          <w:rFonts w:ascii="Times New Roman" w:hAnsi="Times New Roman" w:cs="Times New Roman"/>
        </w:rPr>
        <w:t>, Mid-Western Nepal. </w:t>
      </w:r>
      <w:r w:rsidR="00EF591F" w:rsidRPr="00EF591F">
        <w:rPr>
          <w:rFonts w:ascii="Times New Roman" w:hAnsi="Times New Roman" w:cs="Times New Roman"/>
          <w:i/>
          <w:iCs/>
        </w:rPr>
        <w:t>Nepalese Horticulture</w:t>
      </w:r>
      <w:r w:rsidR="00EF591F" w:rsidRPr="00EF591F">
        <w:rPr>
          <w:rFonts w:ascii="Times New Roman" w:hAnsi="Times New Roman" w:cs="Times New Roman"/>
        </w:rPr>
        <w:t>, 2021, 15: 24-33.</w:t>
      </w:r>
      <w:r>
        <w:rPr>
          <w:rFonts w:ascii="Times New Roman" w:hAnsi="Times New Roman" w:cs="Times New Roman"/>
        </w:rPr>
        <w:t xml:space="preserve"> </w:t>
      </w:r>
      <w:hyperlink r:id="rId36" w:history="1">
        <w:r w:rsidRPr="00D34950">
          <w:rPr>
            <w:rStyle w:val="Hyperlink"/>
            <w:rFonts w:ascii="Times New Roman" w:hAnsi="Times New Roman" w:cs="Times New Roman"/>
          </w:rPr>
          <w:t>https://doi.org/10.3126/nh.v15i0.36642</w:t>
        </w:r>
      </w:hyperlink>
      <w:r>
        <w:rPr>
          <w:rFonts w:ascii="Times New Roman" w:hAnsi="Times New Roman" w:cs="Times New Roman"/>
        </w:rPr>
        <w:t xml:space="preserve"> </w:t>
      </w:r>
    </w:p>
    <w:p w14:paraId="49EDCB6B" w14:textId="29CA4BCD"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 xml:space="preserve">Martel, A.B. </w:t>
      </w:r>
      <w:proofErr w:type="gramStart"/>
      <w:r w:rsidRPr="00EF591F">
        <w:rPr>
          <w:rFonts w:ascii="Times New Roman" w:hAnsi="Times New Roman" w:cs="Times New Roman"/>
        </w:rPr>
        <w:t>and  M.M.</w:t>
      </w:r>
      <w:proofErr w:type="gramEnd"/>
      <w:r w:rsidRPr="00EF591F">
        <w:rPr>
          <w:rFonts w:ascii="Times New Roman" w:hAnsi="Times New Roman" w:cs="Times New Roman"/>
        </w:rPr>
        <w:t xml:space="preserve"> Qaderi. 2016. Does salicylic acid mitigate the adverse effects of temperature and ultraviolet-B radiation on pea (</w:t>
      </w:r>
      <w:r w:rsidRPr="00B87D09">
        <w:rPr>
          <w:rFonts w:ascii="Times New Roman" w:hAnsi="Times New Roman" w:cs="Times New Roman"/>
          <w:i/>
          <w:iCs/>
        </w:rPr>
        <w:t>Pisum sativum</w:t>
      </w:r>
      <w:r w:rsidRPr="00EF591F">
        <w:rPr>
          <w:rFonts w:ascii="Times New Roman" w:hAnsi="Times New Roman" w:cs="Times New Roman"/>
        </w:rPr>
        <w:t>) plants</w:t>
      </w:r>
      <w:r w:rsidR="00B87D09">
        <w:rPr>
          <w:rFonts w:ascii="Times New Roman" w:hAnsi="Times New Roman" w:cs="Times New Roman"/>
        </w:rPr>
        <w:t>.</w:t>
      </w:r>
      <w:r w:rsidRPr="00EF591F">
        <w:rPr>
          <w:rFonts w:ascii="Times New Roman" w:hAnsi="Times New Roman" w:cs="Times New Roman"/>
        </w:rPr>
        <w:t xml:space="preserve"> </w:t>
      </w:r>
      <w:r w:rsidRPr="00B87D09">
        <w:rPr>
          <w:rFonts w:ascii="Times New Roman" w:hAnsi="Times New Roman" w:cs="Times New Roman"/>
          <w:i/>
          <w:iCs/>
        </w:rPr>
        <w:t xml:space="preserve">Environ. </w:t>
      </w:r>
      <w:proofErr w:type="spellStart"/>
      <w:r w:rsidRPr="00B87D09">
        <w:rPr>
          <w:rFonts w:ascii="Times New Roman" w:hAnsi="Times New Roman" w:cs="Times New Roman"/>
          <w:i/>
          <w:iCs/>
        </w:rPr>
        <w:t>Exper</w:t>
      </w:r>
      <w:proofErr w:type="spellEnd"/>
      <w:r w:rsidRPr="00B87D09">
        <w:rPr>
          <w:rFonts w:ascii="Times New Roman" w:hAnsi="Times New Roman" w:cs="Times New Roman"/>
          <w:i/>
          <w:iCs/>
        </w:rPr>
        <w:t>. Bot</w:t>
      </w:r>
      <w:r w:rsidRPr="00EF591F">
        <w:rPr>
          <w:rFonts w:ascii="Times New Roman" w:hAnsi="Times New Roman" w:cs="Times New Roman"/>
        </w:rPr>
        <w:t>., 122: 39-48.</w:t>
      </w:r>
      <w:r w:rsidR="0076462A">
        <w:rPr>
          <w:rFonts w:ascii="Times New Roman" w:hAnsi="Times New Roman" w:cs="Times New Roman"/>
        </w:rPr>
        <w:t xml:space="preserve"> </w:t>
      </w:r>
      <w:hyperlink r:id="rId37" w:history="1">
        <w:r w:rsidR="0076462A" w:rsidRPr="00D34950">
          <w:rPr>
            <w:rStyle w:val="Hyperlink"/>
            <w:rFonts w:ascii="Times New Roman" w:hAnsi="Times New Roman" w:cs="Times New Roman"/>
          </w:rPr>
          <w:t>https://doi.org/10.1016/j.envexpbot.2015.09.002</w:t>
        </w:r>
      </w:hyperlink>
      <w:r w:rsidR="0076462A">
        <w:rPr>
          <w:rFonts w:ascii="Times New Roman" w:hAnsi="Times New Roman" w:cs="Times New Roman"/>
        </w:rPr>
        <w:t xml:space="preserve"> </w:t>
      </w:r>
    </w:p>
    <w:p w14:paraId="42EF519F" w14:textId="77777777" w:rsidR="0076462A" w:rsidRDefault="0076462A" w:rsidP="00B87D09">
      <w:pPr>
        <w:ind w:hanging="284"/>
        <w:jc w:val="both"/>
        <w:rPr>
          <w:rFonts w:ascii="Times New Roman" w:hAnsi="Times New Roman" w:cs="Times New Roman"/>
        </w:rPr>
      </w:pPr>
      <w:r w:rsidRPr="0076462A">
        <w:rPr>
          <w:rFonts w:ascii="Times New Roman" w:hAnsi="Times New Roman" w:cs="Times New Roman"/>
        </w:rPr>
        <w:t>Miura K and Tada Y (2014) Regulation of water, salinity, and cold stress responses by salicylic acid. </w:t>
      </w:r>
      <w:r w:rsidRPr="0076462A">
        <w:rPr>
          <w:rFonts w:ascii="Times New Roman" w:hAnsi="Times New Roman" w:cs="Times New Roman"/>
          <w:i/>
          <w:iCs/>
        </w:rPr>
        <w:t>Front. Plant Sci.</w:t>
      </w:r>
      <w:r w:rsidRPr="0076462A">
        <w:rPr>
          <w:rFonts w:ascii="Times New Roman" w:hAnsi="Times New Roman" w:cs="Times New Roman"/>
        </w:rPr>
        <w:t> </w:t>
      </w:r>
      <w:r w:rsidRPr="0076462A">
        <w:rPr>
          <w:rFonts w:ascii="Times New Roman" w:hAnsi="Times New Roman" w:cs="Times New Roman"/>
          <w:b/>
          <w:bCs/>
        </w:rPr>
        <w:t>5</w:t>
      </w:r>
      <w:r w:rsidRPr="0076462A">
        <w:rPr>
          <w:rFonts w:ascii="Times New Roman" w:hAnsi="Times New Roman" w:cs="Times New Roman"/>
        </w:rPr>
        <w:t>:4. </w:t>
      </w:r>
      <w:proofErr w:type="spellStart"/>
      <w:r w:rsidRPr="0076462A">
        <w:rPr>
          <w:rFonts w:ascii="Times New Roman" w:hAnsi="Times New Roman" w:cs="Times New Roman"/>
        </w:rPr>
        <w:fldChar w:fldCharType="begin"/>
      </w:r>
      <w:r w:rsidRPr="0076462A">
        <w:rPr>
          <w:rFonts w:ascii="Times New Roman" w:hAnsi="Times New Roman" w:cs="Times New Roman"/>
        </w:rPr>
        <w:instrText>HYPERLINK "http://dx.doi.org/10.3389/fpls.2014.00004"</w:instrText>
      </w:r>
      <w:r w:rsidRPr="0076462A">
        <w:rPr>
          <w:rFonts w:ascii="Times New Roman" w:hAnsi="Times New Roman" w:cs="Times New Roman"/>
        </w:rPr>
        <w:fldChar w:fldCharType="separate"/>
      </w:r>
      <w:r w:rsidRPr="0076462A">
        <w:rPr>
          <w:rStyle w:val="Hyperlink"/>
          <w:rFonts w:ascii="Times New Roman" w:hAnsi="Times New Roman" w:cs="Times New Roman"/>
        </w:rPr>
        <w:t>doi</w:t>
      </w:r>
      <w:proofErr w:type="spellEnd"/>
      <w:r w:rsidRPr="0076462A">
        <w:rPr>
          <w:rStyle w:val="Hyperlink"/>
          <w:rFonts w:ascii="Times New Roman" w:hAnsi="Times New Roman" w:cs="Times New Roman"/>
        </w:rPr>
        <w:t>: 10.3389/fpls.2014.00004</w:t>
      </w:r>
      <w:r w:rsidRPr="0076462A">
        <w:rPr>
          <w:rFonts w:ascii="Times New Roman" w:hAnsi="Times New Roman" w:cs="Times New Roman"/>
        </w:rPr>
        <w:fldChar w:fldCharType="end"/>
      </w:r>
    </w:p>
    <w:p w14:paraId="1EA781CC" w14:textId="009C5667" w:rsidR="00A86AEB" w:rsidRDefault="00A86AEB" w:rsidP="00B87D09">
      <w:pPr>
        <w:ind w:hanging="284"/>
        <w:jc w:val="both"/>
        <w:rPr>
          <w:rFonts w:ascii="Times New Roman" w:hAnsi="Times New Roman" w:cs="Times New Roman"/>
        </w:rPr>
      </w:pPr>
      <w:r w:rsidRPr="00A86AEB">
        <w:rPr>
          <w:rFonts w:ascii="Times New Roman" w:hAnsi="Times New Roman" w:cs="Times New Roman"/>
        </w:rPr>
        <w:t xml:space="preserve">Pawar, A., </w:t>
      </w:r>
      <w:proofErr w:type="spellStart"/>
      <w:r w:rsidRPr="00A86AEB">
        <w:rPr>
          <w:rFonts w:ascii="Times New Roman" w:hAnsi="Times New Roman" w:cs="Times New Roman"/>
        </w:rPr>
        <w:t>Chopde</w:t>
      </w:r>
      <w:proofErr w:type="spellEnd"/>
      <w:r w:rsidRPr="00A86AEB">
        <w:rPr>
          <w:rFonts w:ascii="Times New Roman" w:hAnsi="Times New Roman" w:cs="Times New Roman"/>
        </w:rPr>
        <w:t>, N., &amp; Nikam, B. (2018). Thiourea and salicylic acid influences growth, yield and quality of gladiolus. </w:t>
      </w:r>
      <w:r w:rsidRPr="00A86AEB">
        <w:rPr>
          <w:rFonts w:ascii="Times New Roman" w:hAnsi="Times New Roman" w:cs="Times New Roman"/>
          <w:i/>
          <w:iCs/>
        </w:rPr>
        <w:t>Journal of Pharmacognosy and Phytochemistry</w:t>
      </w:r>
      <w:r w:rsidRPr="00A86AEB">
        <w:rPr>
          <w:rFonts w:ascii="Times New Roman" w:hAnsi="Times New Roman" w:cs="Times New Roman"/>
        </w:rPr>
        <w:t>, </w:t>
      </w:r>
      <w:r w:rsidRPr="00A86AEB">
        <w:rPr>
          <w:rFonts w:ascii="Times New Roman" w:hAnsi="Times New Roman" w:cs="Times New Roman"/>
          <w:i/>
          <w:iCs/>
        </w:rPr>
        <w:t>7</w:t>
      </w:r>
      <w:r w:rsidRPr="00A86AEB">
        <w:rPr>
          <w:rFonts w:ascii="Times New Roman" w:hAnsi="Times New Roman" w:cs="Times New Roman"/>
        </w:rPr>
        <w:t>(5), 970-972.</w:t>
      </w:r>
    </w:p>
    <w:p w14:paraId="4C66E491" w14:textId="4305F0B0"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Pandey, A. K., Rubiales, D., Wang, Y., Fang, P., Sun, T., Liu, N.</w:t>
      </w:r>
      <w:r w:rsidR="00B87D09">
        <w:rPr>
          <w:rFonts w:ascii="Times New Roman" w:hAnsi="Times New Roman" w:cs="Times New Roman"/>
        </w:rPr>
        <w:t xml:space="preserve"> and</w:t>
      </w:r>
      <w:r w:rsidRPr="00EF591F">
        <w:rPr>
          <w:rFonts w:ascii="Times New Roman" w:hAnsi="Times New Roman" w:cs="Times New Roman"/>
        </w:rPr>
        <w:t xml:space="preserve"> Xu, P. (2021). Omics resources and omics-enabled approaches for achieving high productivity and improved quality in pea (Pisum sativum L.). </w:t>
      </w:r>
      <w:r w:rsidRPr="00EF591F">
        <w:rPr>
          <w:rFonts w:ascii="Times New Roman" w:hAnsi="Times New Roman" w:cs="Times New Roman"/>
          <w:i/>
          <w:iCs/>
        </w:rPr>
        <w:t>Theoretical and Applied Genetics</w:t>
      </w:r>
      <w:r w:rsidRPr="00EF591F">
        <w:rPr>
          <w:rFonts w:ascii="Times New Roman" w:hAnsi="Times New Roman" w:cs="Times New Roman"/>
        </w:rPr>
        <w:t>, </w:t>
      </w:r>
      <w:r w:rsidRPr="00EF591F">
        <w:rPr>
          <w:rFonts w:ascii="Times New Roman" w:hAnsi="Times New Roman" w:cs="Times New Roman"/>
          <w:i/>
          <w:iCs/>
        </w:rPr>
        <w:t>134</w:t>
      </w:r>
      <w:r w:rsidRPr="00EF591F">
        <w:rPr>
          <w:rFonts w:ascii="Times New Roman" w:hAnsi="Times New Roman" w:cs="Times New Roman"/>
        </w:rPr>
        <w:t>(3), 755-776.</w:t>
      </w:r>
      <w:r w:rsidR="0076462A">
        <w:rPr>
          <w:rFonts w:ascii="Times New Roman" w:hAnsi="Times New Roman" w:cs="Times New Roman"/>
        </w:rPr>
        <w:t xml:space="preserve"> </w:t>
      </w:r>
      <w:hyperlink r:id="rId38" w:history="1">
        <w:r w:rsidR="0076462A" w:rsidRPr="00D34950">
          <w:rPr>
            <w:rStyle w:val="Hyperlink"/>
            <w:rFonts w:ascii="Times New Roman" w:hAnsi="Times New Roman" w:cs="Times New Roman"/>
          </w:rPr>
          <w:t>https://doi.org/10.1007/s00122-020-03751-5</w:t>
        </w:r>
      </w:hyperlink>
      <w:r w:rsidR="0076462A">
        <w:rPr>
          <w:rFonts w:ascii="Times New Roman" w:hAnsi="Times New Roman" w:cs="Times New Roman"/>
        </w:rPr>
        <w:t xml:space="preserve"> </w:t>
      </w:r>
    </w:p>
    <w:p w14:paraId="225B6C1D" w14:textId="5C946AA5"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Rashid, M., Hampton, J. G., Rolston, M. P., Khan, K. M.</w:t>
      </w:r>
      <w:r w:rsidR="00B87D09">
        <w:rPr>
          <w:rFonts w:ascii="Times New Roman" w:hAnsi="Times New Roman" w:cs="Times New Roman"/>
        </w:rPr>
        <w:t xml:space="preserve"> and</w:t>
      </w:r>
      <w:r w:rsidRPr="00EF591F">
        <w:rPr>
          <w:rFonts w:ascii="Times New Roman" w:hAnsi="Times New Roman" w:cs="Times New Roman"/>
        </w:rPr>
        <w:t xml:space="preserve"> Saville, D. J. (2018). Heat stress during seed development affects forage brassica (Brassica napus L.) seed quality. </w:t>
      </w:r>
      <w:r w:rsidRPr="00EF591F">
        <w:rPr>
          <w:rFonts w:ascii="Times New Roman" w:hAnsi="Times New Roman" w:cs="Times New Roman"/>
          <w:i/>
          <w:iCs/>
        </w:rPr>
        <w:t>Journal of agronomy and crop science</w:t>
      </w:r>
      <w:r w:rsidRPr="00EF591F">
        <w:rPr>
          <w:rFonts w:ascii="Times New Roman" w:hAnsi="Times New Roman" w:cs="Times New Roman"/>
        </w:rPr>
        <w:t>, </w:t>
      </w:r>
      <w:r w:rsidRPr="00EF591F">
        <w:rPr>
          <w:rFonts w:ascii="Times New Roman" w:hAnsi="Times New Roman" w:cs="Times New Roman"/>
          <w:i/>
          <w:iCs/>
        </w:rPr>
        <w:t>204</w:t>
      </w:r>
      <w:r w:rsidRPr="00EF591F">
        <w:rPr>
          <w:rFonts w:ascii="Times New Roman" w:hAnsi="Times New Roman" w:cs="Times New Roman"/>
        </w:rPr>
        <w:t>(2), 147-154.</w:t>
      </w:r>
      <w:r w:rsidR="0076462A">
        <w:rPr>
          <w:rFonts w:ascii="Times New Roman" w:hAnsi="Times New Roman" w:cs="Times New Roman"/>
        </w:rPr>
        <w:t xml:space="preserve"> </w:t>
      </w:r>
      <w:hyperlink r:id="rId39" w:history="1">
        <w:r w:rsidR="0076462A" w:rsidRPr="00D34950">
          <w:rPr>
            <w:rStyle w:val="Hyperlink"/>
            <w:rFonts w:ascii="Times New Roman" w:hAnsi="Times New Roman" w:cs="Times New Roman"/>
          </w:rPr>
          <w:t>https://onlinelibrary.wiley.com/authored-by/Hampton/J.+G</w:t>
        </w:r>
      </w:hyperlink>
      <w:r w:rsidR="0076462A" w:rsidRPr="0076462A">
        <w:rPr>
          <w:rFonts w:ascii="Times New Roman" w:hAnsi="Times New Roman" w:cs="Times New Roman"/>
        </w:rPr>
        <w:t>.</w:t>
      </w:r>
      <w:r w:rsidR="0076462A">
        <w:rPr>
          <w:rFonts w:ascii="Times New Roman" w:hAnsi="Times New Roman" w:cs="Times New Roman"/>
        </w:rPr>
        <w:t xml:space="preserve"> </w:t>
      </w:r>
    </w:p>
    <w:p w14:paraId="284F5B6B" w14:textId="77777777" w:rsidR="00EF591F" w:rsidRDefault="00EF591F" w:rsidP="00B87D09">
      <w:pPr>
        <w:ind w:hanging="284"/>
        <w:jc w:val="both"/>
        <w:rPr>
          <w:rFonts w:ascii="Times New Roman" w:hAnsi="Times New Roman" w:cs="Times New Roman"/>
          <w:color w:val="EE0000"/>
        </w:rPr>
      </w:pPr>
      <w:r w:rsidRPr="0076462A">
        <w:rPr>
          <w:rFonts w:ascii="Times New Roman" w:hAnsi="Times New Roman" w:cs="Times New Roman"/>
          <w:color w:val="EE0000"/>
        </w:rPr>
        <w:t xml:space="preserve">Reisinger A, </w:t>
      </w:r>
      <w:proofErr w:type="spellStart"/>
      <w:r w:rsidRPr="0076462A">
        <w:rPr>
          <w:rFonts w:ascii="Times New Roman" w:hAnsi="Times New Roman" w:cs="Times New Roman"/>
          <w:color w:val="EE0000"/>
        </w:rPr>
        <w:t>Khourdajie</w:t>
      </w:r>
      <w:proofErr w:type="spellEnd"/>
      <w:r w:rsidRPr="0076462A">
        <w:rPr>
          <w:rFonts w:ascii="Times New Roman" w:hAnsi="Times New Roman" w:cs="Times New Roman"/>
          <w:color w:val="EE0000"/>
        </w:rPr>
        <w:t xml:space="preserve"> A Al, Abdulla A, et al (2023) Summary for Policymakers</w:t>
      </w:r>
    </w:p>
    <w:p w14:paraId="7CB3F54E" w14:textId="77777777" w:rsidR="00AA51C4" w:rsidRPr="0076462A" w:rsidRDefault="00AA51C4" w:rsidP="00B87D09">
      <w:pPr>
        <w:ind w:hanging="284"/>
        <w:jc w:val="both"/>
        <w:rPr>
          <w:rFonts w:ascii="Times New Roman" w:hAnsi="Times New Roman" w:cs="Times New Roman"/>
          <w:color w:val="EE0000"/>
        </w:rPr>
      </w:pPr>
    </w:p>
    <w:p w14:paraId="0772EB45" w14:textId="77777777" w:rsidR="00EF591F" w:rsidRDefault="00EF591F" w:rsidP="00B87D09">
      <w:pPr>
        <w:ind w:hanging="284"/>
        <w:jc w:val="both"/>
      </w:pPr>
      <w:proofErr w:type="spellStart"/>
      <w:r w:rsidRPr="00EF591F">
        <w:rPr>
          <w:rFonts w:ascii="Times New Roman" w:hAnsi="Times New Roman" w:cs="Times New Roman"/>
        </w:rPr>
        <w:t>Sadras</w:t>
      </w:r>
      <w:proofErr w:type="spellEnd"/>
      <w:r w:rsidRPr="00EF591F">
        <w:rPr>
          <w:rFonts w:ascii="Times New Roman" w:hAnsi="Times New Roman" w:cs="Times New Roman"/>
        </w:rPr>
        <w:t xml:space="preserve">, V. O., Lake, L., </w:t>
      </w:r>
      <w:proofErr w:type="spellStart"/>
      <w:r w:rsidRPr="00EF591F">
        <w:rPr>
          <w:rFonts w:ascii="Times New Roman" w:hAnsi="Times New Roman" w:cs="Times New Roman"/>
        </w:rPr>
        <w:t>Leonforte</w:t>
      </w:r>
      <w:proofErr w:type="spellEnd"/>
      <w:r w:rsidRPr="00EF591F">
        <w:rPr>
          <w:rFonts w:ascii="Times New Roman" w:hAnsi="Times New Roman" w:cs="Times New Roman"/>
        </w:rPr>
        <w:t>, A., McMurray, L. S., and Paull, J. G. (2013).</w:t>
      </w:r>
      <w:r w:rsidRPr="00EF591F">
        <w:rPr>
          <w:rFonts w:ascii="Times New Roman" w:hAnsi="Times New Roman" w:cs="Times New Roman"/>
        </w:rPr>
        <w:br/>
        <w:t>Screening field pea for adaptation to water and heat stress: associations between</w:t>
      </w:r>
      <w:r w:rsidRPr="00EF591F">
        <w:rPr>
          <w:rFonts w:ascii="Times New Roman" w:hAnsi="Times New Roman" w:cs="Times New Roman"/>
        </w:rPr>
        <w:br/>
        <w:t xml:space="preserve">yield, crop growth rate and seed abortion. </w:t>
      </w:r>
      <w:r w:rsidRPr="00B87D09">
        <w:rPr>
          <w:rFonts w:ascii="Times New Roman" w:hAnsi="Times New Roman" w:cs="Times New Roman"/>
          <w:i/>
          <w:iCs/>
        </w:rPr>
        <w:t>Field Crops Res</w:t>
      </w:r>
      <w:r w:rsidRPr="00EF591F">
        <w:rPr>
          <w:rFonts w:ascii="Times New Roman" w:hAnsi="Times New Roman" w:cs="Times New Roman"/>
        </w:rPr>
        <w:t xml:space="preserve">. 150, 63–73. </w:t>
      </w:r>
      <w:hyperlink r:id="rId40" w:history="1">
        <w:r w:rsidRPr="00EF591F">
          <w:rPr>
            <w:rStyle w:val="Hyperlink"/>
            <w:rFonts w:ascii="Times New Roman" w:hAnsi="Times New Roman" w:cs="Times New Roman"/>
          </w:rPr>
          <w:t>https://doi.org/10.1016/j.fcr.2013.05.023</w:t>
        </w:r>
      </w:hyperlink>
    </w:p>
    <w:p w14:paraId="1AA8AF80" w14:textId="5D4FEF60" w:rsidR="00AA51C4" w:rsidRPr="00EF591F" w:rsidRDefault="00AA51C4" w:rsidP="00B87D09">
      <w:pPr>
        <w:ind w:hanging="284"/>
        <w:jc w:val="both"/>
        <w:rPr>
          <w:rFonts w:ascii="Times New Roman" w:hAnsi="Times New Roman" w:cs="Times New Roman"/>
        </w:rPr>
      </w:pPr>
      <w:r w:rsidRPr="00AA51C4">
        <w:rPr>
          <w:rFonts w:ascii="Times New Roman" w:hAnsi="Times New Roman" w:cs="Times New Roman"/>
        </w:rPr>
        <w:t>Singh, P. P., Ramakrishnan, R. S., Tiwari, G., Sharma, A., &amp; Prajapati, S. S. EFFECT OF THIOUREA AND SALICYLIC ACID IN ENHANCING GROWTH AND PHENOLOGY OF MUNGBEAN (VIGNA RADIATA (L.) R. WILCZEK) FOR QUALITY SEED PRODUCTION.</w:t>
      </w:r>
    </w:p>
    <w:p w14:paraId="5F334927" w14:textId="77777777" w:rsidR="00235B2A" w:rsidRDefault="00EF591F" w:rsidP="00B87D09">
      <w:pPr>
        <w:ind w:hanging="284"/>
        <w:jc w:val="both"/>
        <w:rPr>
          <w:rFonts w:ascii="Times New Roman" w:hAnsi="Times New Roman" w:cs="Times New Roman"/>
        </w:rPr>
      </w:pPr>
      <w:r w:rsidRPr="00EF591F">
        <w:rPr>
          <w:rFonts w:ascii="Times New Roman" w:hAnsi="Times New Roman" w:cs="Times New Roman"/>
        </w:rPr>
        <w:t xml:space="preserve">Sahu MP (2017) Thiourea: a potential bioregulator for alleviating abiotic stresses. In: Abiotic stress Management for Resilient Agriculture. </w:t>
      </w:r>
      <w:r w:rsidRPr="00B87D09">
        <w:rPr>
          <w:rFonts w:ascii="Times New Roman" w:hAnsi="Times New Roman" w:cs="Times New Roman"/>
          <w:i/>
          <w:iCs/>
        </w:rPr>
        <w:t>Springer</w:t>
      </w:r>
      <w:r w:rsidRPr="00EF591F">
        <w:rPr>
          <w:rFonts w:ascii="Times New Roman" w:hAnsi="Times New Roman" w:cs="Times New Roman"/>
        </w:rPr>
        <w:t>, Singapore, pp 261–274</w:t>
      </w:r>
      <w:r w:rsidR="00235B2A">
        <w:rPr>
          <w:rFonts w:ascii="Times New Roman" w:hAnsi="Times New Roman" w:cs="Times New Roman"/>
        </w:rPr>
        <w:t xml:space="preserve">. </w:t>
      </w:r>
      <w:hyperlink r:id="rId41" w:history="1">
        <w:r w:rsidR="00235B2A" w:rsidRPr="00D34950">
          <w:rPr>
            <w:rStyle w:val="Hyperlink"/>
            <w:rFonts w:ascii="Times New Roman" w:hAnsi="Times New Roman" w:cs="Times New Roman"/>
          </w:rPr>
          <w:t>https://doi.org/10.1007/978-981-10-5744-1_11</w:t>
        </w:r>
      </w:hyperlink>
      <w:r w:rsidR="00235B2A">
        <w:rPr>
          <w:rFonts w:ascii="Times New Roman" w:hAnsi="Times New Roman" w:cs="Times New Roman"/>
        </w:rPr>
        <w:t xml:space="preserve"> </w:t>
      </w:r>
    </w:p>
    <w:p w14:paraId="69A13253" w14:textId="4D5691F1" w:rsidR="00235B2A" w:rsidRPr="00235B2A" w:rsidRDefault="00235B2A" w:rsidP="00B87D09">
      <w:pPr>
        <w:ind w:hanging="284"/>
        <w:jc w:val="both"/>
      </w:pPr>
      <w:proofErr w:type="spellStart"/>
      <w:r w:rsidRPr="00235B2A">
        <w:rPr>
          <w:rFonts w:ascii="Times New Roman" w:hAnsi="Times New Roman" w:cs="Times New Roman"/>
        </w:rPr>
        <w:t>Sanwal</w:t>
      </w:r>
      <w:proofErr w:type="spellEnd"/>
      <w:r w:rsidRPr="00235B2A">
        <w:rPr>
          <w:rFonts w:ascii="Times New Roman" w:hAnsi="Times New Roman" w:cs="Times New Roman"/>
        </w:rPr>
        <w:t xml:space="preserve"> S.K., Kesh Hari, Devi Jyoti, Singh B. (2024). Analysis of Trait Association and Genetic Diversity in Garden Pea (Pisum sativum L.) Genotypes under Middle Gangetic Plain Region of </w:t>
      </w:r>
      <w:proofErr w:type="gramStart"/>
      <w:r w:rsidRPr="00235B2A">
        <w:rPr>
          <w:rFonts w:ascii="Times New Roman" w:hAnsi="Times New Roman" w:cs="Times New Roman"/>
        </w:rPr>
        <w:t>India .</w:t>
      </w:r>
      <w:proofErr w:type="gramEnd"/>
      <w:r w:rsidRPr="00235B2A">
        <w:rPr>
          <w:rFonts w:ascii="Times New Roman" w:hAnsi="Times New Roman" w:cs="Times New Roman"/>
        </w:rPr>
        <w:t xml:space="preserve"> Legume Research. 47(3): 385-390. </w:t>
      </w:r>
      <w:hyperlink r:id="rId42" w:history="1">
        <w:r w:rsidRPr="00235B2A">
          <w:rPr>
            <w:rStyle w:val="Hyperlink"/>
            <w:rFonts w:ascii="Times New Roman" w:hAnsi="Times New Roman" w:cs="Times New Roman"/>
          </w:rPr>
          <w:t>https://doi.org/10.18805/LR-4496</w:t>
        </w:r>
      </w:hyperlink>
      <w:r w:rsidRPr="00235B2A">
        <w:t xml:space="preserve"> </w:t>
      </w:r>
    </w:p>
    <w:p w14:paraId="0AF42765" w14:textId="7E5AB70B" w:rsidR="00235B2A" w:rsidRDefault="00235B2A" w:rsidP="00B87D09">
      <w:pPr>
        <w:ind w:hanging="284"/>
        <w:jc w:val="both"/>
        <w:rPr>
          <w:rFonts w:ascii="Times New Roman" w:hAnsi="Times New Roman" w:cs="Times New Roman"/>
        </w:rPr>
      </w:pPr>
      <w:proofErr w:type="spellStart"/>
      <w:r w:rsidRPr="00235B2A">
        <w:rPr>
          <w:rFonts w:ascii="Times New Roman" w:hAnsi="Times New Roman" w:cs="Times New Roman"/>
        </w:rPr>
        <w:t>Seepal</w:t>
      </w:r>
      <w:proofErr w:type="spellEnd"/>
      <w:r w:rsidRPr="00235B2A">
        <w:rPr>
          <w:rFonts w:ascii="Times New Roman" w:hAnsi="Times New Roman" w:cs="Times New Roman"/>
        </w:rPr>
        <w:t xml:space="preserve"> Singh Yashwant, Sharma Vijay, Singh C.M., Shukla Gaurav, </w:t>
      </w:r>
      <w:proofErr w:type="spellStart"/>
      <w:r w:rsidRPr="00235B2A">
        <w:rPr>
          <w:rFonts w:ascii="Times New Roman" w:hAnsi="Times New Roman" w:cs="Times New Roman"/>
        </w:rPr>
        <w:t>Gangwar</w:t>
      </w:r>
      <w:proofErr w:type="spellEnd"/>
      <w:r w:rsidRPr="00235B2A">
        <w:rPr>
          <w:rFonts w:ascii="Times New Roman" w:hAnsi="Times New Roman" w:cs="Times New Roman"/>
        </w:rPr>
        <w:t xml:space="preserve"> Vaishali, </w:t>
      </w:r>
      <w:proofErr w:type="spellStart"/>
      <w:r w:rsidRPr="00235B2A">
        <w:rPr>
          <w:rFonts w:ascii="Times New Roman" w:hAnsi="Times New Roman" w:cs="Times New Roman"/>
        </w:rPr>
        <w:t>Kamaluddin</w:t>
      </w:r>
      <w:proofErr w:type="spellEnd"/>
      <w:r w:rsidRPr="00235B2A">
        <w:rPr>
          <w:rFonts w:ascii="Times New Roman" w:hAnsi="Times New Roman" w:cs="Times New Roman"/>
        </w:rPr>
        <w:t xml:space="preserve">, Singh Kumar Shalesh (2025). Application of Stress Indices to Identify Terminal </w:t>
      </w:r>
      <w:r w:rsidRPr="00235B2A">
        <w:rPr>
          <w:rFonts w:ascii="Times New Roman" w:hAnsi="Times New Roman" w:cs="Times New Roman"/>
        </w:rPr>
        <w:lastRenderedPageBreak/>
        <w:t>Heat Tolerance Genotype in Field Pea (</w:t>
      </w:r>
      <w:r w:rsidRPr="00B87D09">
        <w:rPr>
          <w:rFonts w:ascii="Times New Roman" w:hAnsi="Times New Roman" w:cs="Times New Roman"/>
          <w:i/>
          <w:iCs/>
        </w:rPr>
        <w:t>Pisum sativum</w:t>
      </w:r>
      <w:r w:rsidRPr="00235B2A">
        <w:rPr>
          <w:rFonts w:ascii="Times New Roman" w:hAnsi="Times New Roman" w:cs="Times New Roman"/>
        </w:rPr>
        <w:t xml:space="preserve"> var. </w:t>
      </w:r>
      <w:r w:rsidRPr="00B87D09">
        <w:rPr>
          <w:rFonts w:ascii="Times New Roman" w:hAnsi="Times New Roman" w:cs="Times New Roman"/>
          <w:i/>
          <w:iCs/>
        </w:rPr>
        <w:t>arvense</w:t>
      </w:r>
      <w:r w:rsidRPr="00235B2A">
        <w:rPr>
          <w:rFonts w:ascii="Times New Roman" w:hAnsi="Times New Roman" w:cs="Times New Roman"/>
        </w:rPr>
        <w:t xml:space="preserve">). </w:t>
      </w:r>
      <w:r w:rsidRPr="00B87D09">
        <w:rPr>
          <w:rFonts w:ascii="Times New Roman" w:hAnsi="Times New Roman" w:cs="Times New Roman"/>
          <w:i/>
          <w:iCs/>
        </w:rPr>
        <w:t>Legume Research</w:t>
      </w:r>
      <w:r w:rsidRPr="00235B2A">
        <w:rPr>
          <w:rFonts w:ascii="Times New Roman" w:hAnsi="Times New Roman" w:cs="Times New Roman"/>
        </w:rPr>
        <w:t xml:space="preserve">. 48(1): 20-25. </w:t>
      </w:r>
      <w:hyperlink r:id="rId43" w:history="1">
        <w:r w:rsidRPr="00D34950">
          <w:rPr>
            <w:rStyle w:val="Hyperlink"/>
            <w:rFonts w:ascii="Times New Roman" w:hAnsi="Times New Roman" w:cs="Times New Roman"/>
          </w:rPr>
          <w:t>https://doi.org/10.18805/LR-4888</w:t>
        </w:r>
      </w:hyperlink>
      <w:r>
        <w:rPr>
          <w:rFonts w:ascii="Times New Roman" w:hAnsi="Times New Roman" w:cs="Times New Roman"/>
        </w:rPr>
        <w:t xml:space="preserve"> </w:t>
      </w:r>
    </w:p>
    <w:p w14:paraId="5C23848C" w14:textId="5E194836"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Siddique, K. (1999). Abiotic Stresses of Cool Season Pulses in Australia. Perth, WA:</w:t>
      </w:r>
      <w:r w:rsidRPr="00EF591F">
        <w:rPr>
          <w:rFonts w:ascii="Times New Roman" w:hAnsi="Times New Roman" w:cs="Times New Roman"/>
        </w:rPr>
        <w:br/>
        <w:t>Centre for Legumes in Mediterranean Agriculture and University of Western Australia.</w:t>
      </w:r>
    </w:p>
    <w:p w14:paraId="59A0E89E" w14:textId="66A2B1D9" w:rsidR="00EF591F" w:rsidRPr="00CC0CC9" w:rsidRDefault="00EF591F" w:rsidP="00B87D09">
      <w:pPr>
        <w:ind w:hanging="284"/>
        <w:jc w:val="both"/>
        <w:rPr>
          <w:rFonts w:ascii="Times New Roman" w:hAnsi="Times New Roman" w:cs="Times New Roman"/>
        </w:rPr>
      </w:pPr>
      <w:r w:rsidRPr="00EF591F">
        <w:rPr>
          <w:rFonts w:ascii="Times New Roman" w:hAnsi="Times New Roman" w:cs="Times New Roman"/>
        </w:rPr>
        <w:t>Singh, P. P., Ramakrishnan, R. S., Tiwari, G., Sharma, A.</w:t>
      </w:r>
      <w:r w:rsidR="00B87D09">
        <w:rPr>
          <w:rFonts w:ascii="Times New Roman" w:hAnsi="Times New Roman" w:cs="Times New Roman"/>
        </w:rPr>
        <w:t xml:space="preserve"> and</w:t>
      </w:r>
      <w:r w:rsidRPr="00EF591F">
        <w:rPr>
          <w:rFonts w:ascii="Times New Roman" w:hAnsi="Times New Roman" w:cs="Times New Roman"/>
        </w:rPr>
        <w:t xml:space="preserve"> Prajapati, S. S. (2024). Effect of thiourea and salicylic acid in enhancing growth and phenology of </w:t>
      </w:r>
      <w:proofErr w:type="spellStart"/>
      <w:r w:rsidRPr="00EF591F">
        <w:rPr>
          <w:rFonts w:ascii="Times New Roman" w:hAnsi="Times New Roman" w:cs="Times New Roman"/>
        </w:rPr>
        <w:t>mungbean</w:t>
      </w:r>
      <w:proofErr w:type="spellEnd"/>
      <w:r w:rsidRPr="00EF591F">
        <w:rPr>
          <w:rFonts w:ascii="Times New Roman" w:hAnsi="Times New Roman" w:cs="Times New Roman"/>
        </w:rPr>
        <w:t xml:space="preserve"> (</w:t>
      </w:r>
      <w:r w:rsidRPr="00EF591F">
        <w:rPr>
          <w:rFonts w:ascii="Times New Roman" w:hAnsi="Times New Roman" w:cs="Times New Roman"/>
          <w:i/>
          <w:iCs/>
        </w:rPr>
        <w:t>Vigna radiata</w:t>
      </w:r>
      <w:r w:rsidRPr="00EF591F">
        <w:rPr>
          <w:rFonts w:ascii="Times New Roman" w:hAnsi="Times New Roman" w:cs="Times New Roman"/>
        </w:rPr>
        <w:t xml:space="preserve"> (L.) R. Wilczek) for quality seed production. </w:t>
      </w:r>
      <w:r w:rsidRPr="00EF591F">
        <w:rPr>
          <w:rFonts w:ascii="Times New Roman" w:hAnsi="Times New Roman" w:cs="Times New Roman"/>
          <w:i/>
          <w:iCs/>
        </w:rPr>
        <w:t>Plant Archives</w:t>
      </w:r>
      <w:r w:rsidRPr="00EF591F">
        <w:rPr>
          <w:rFonts w:ascii="Times New Roman" w:hAnsi="Times New Roman" w:cs="Times New Roman"/>
        </w:rPr>
        <w:t xml:space="preserve">, </w:t>
      </w:r>
      <w:r w:rsidRPr="00B87D09">
        <w:rPr>
          <w:rFonts w:ascii="Times New Roman" w:hAnsi="Times New Roman" w:cs="Times New Roman"/>
          <w:i/>
          <w:iCs/>
        </w:rPr>
        <w:t>24</w:t>
      </w:r>
      <w:r w:rsidRPr="00EF591F">
        <w:rPr>
          <w:rFonts w:ascii="Times New Roman" w:hAnsi="Times New Roman" w:cs="Times New Roman"/>
        </w:rPr>
        <w:t xml:space="preserve">(Special Issue GABELS), 371–375. </w:t>
      </w:r>
      <w:hyperlink r:id="rId44" w:tgtFrame="_new" w:history="1">
        <w:r w:rsidRPr="00EF591F">
          <w:rPr>
            <w:rStyle w:val="Hyperlink"/>
            <w:rFonts w:ascii="Times New Roman" w:hAnsi="Times New Roman" w:cs="Times New Roman"/>
          </w:rPr>
          <w:t>https://doi.org/10.51470/PLANTARCHIVES.2024.v24.SP-GABELS.053</w:t>
        </w:r>
      </w:hyperlink>
    </w:p>
    <w:p w14:paraId="50DA8E5B" w14:textId="7CBFA073" w:rsidR="00235B2A" w:rsidRDefault="00EF591F" w:rsidP="00B87D09">
      <w:pPr>
        <w:ind w:hanging="284"/>
        <w:jc w:val="both"/>
        <w:rPr>
          <w:rFonts w:ascii="Times New Roman" w:hAnsi="Times New Roman" w:cs="Times New Roman"/>
        </w:rPr>
      </w:pPr>
      <w:r w:rsidRPr="00CC0CC9">
        <w:rPr>
          <w:rFonts w:ascii="Times New Roman" w:hAnsi="Times New Roman" w:cs="Times New Roman"/>
        </w:rPr>
        <w:t>Singh, P., Yadav, V. K., Khan, A. H., Pandey, A. K.</w:t>
      </w:r>
      <w:r w:rsidR="00B87D09">
        <w:rPr>
          <w:rFonts w:ascii="Times New Roman" w:hAnsi="Times New Roman" w:cs="Times New Roman"/>
        </w:rPr>
        <w:t xml:space="preserve"> and</w:t>
      </w:r>
      <w:r w:rsidRPr="00CC0CC9">
        <w:rPr>
          <w:rFonts w:ascii="Times New Roman" w:hAnsi="Times New Roman" w:cs="Times New Roman"/>
        </w:rPr>
        <w:t xml:space="preserve"> Yadav, R. K. (2019). Effect of salicylic acid on growth, physio-chemical changes and yield of wheat (</w:t>
      </w:r>
      <w:r w:rsidRPr="00CC0CC9">
        <w:rPr>
          <w:rFonts w:ascii="Times New Roman" w:hAnsi="Times New Roman" w:cs="Times New Roman"/>
          <w:i/>
          <w:iCs/>
        </w:rPr>
        <w:t>Triticum aestivum</w:t>
      </w:r>
      <w:r w:rsidRPr="00CC0CC9">
        <w:rPr>
          <w:rFonts w:ascii="Times New Roman" w:hAnsi="Times New Roman" w:cs="Times New Roman"/>
        </w:rPr>
        <w:t xml:space="preserve"> L.) under date of sowing at anthesis. </w:t>
      </w:r>
      <w:r w:rsidRPr="00CC0CC9">
        <w:rPr>
          <w:rFonts w:ascii="Times New Roman" w:hAnsi="Times New Roman" w:cs="Times New Roman"/>
          <w:i/>
          <w:iCs/>
        </w:rPr>
        <w:t>Journal of Pharmacognosy and Phytochemistry, 8</w:t>
      </w:r>
      <w:r w:rsidRPr="00CC0CC9">
        <w:rPr>
          <w:rFonts w:ascii="Times New Roman" w:hAnsi="Times New Roman" w:cs="Times New Roman"/>
        </w:rPr>
        <w:t>(4), 721–726.</w:t>
      </w:r>
    </w:p>
    <w:p w14:paraId="06EEE130" w14:textId="3AEC7BBB" w:rsidR="00235B2A" w:rsidRDefault="007E767D" w:rsidP="00B87D09">
      <w:pPr>
        <w:ind w:hanging="284"/>
        <w:jc w:val="both"/>
        <w:rPr>
          <w:rFonts w:ascii="Times New Roman" w:hAnsi="Times New Roman" w:cs="Times New Roman"/>
        </w:rPr>
      </w:pPr>
      <w:r w:rsidRPr="007E767D">
        <w:rPr>
          <w:rFonts w:ascii="Times New Roman" w:hAnsi="Times New Roman" w:cs="Times New Roman"/>
        </w:rPr>
        <w:t>Srivastava, A., Nath, S., Singh, P., Sharma, P., Srivastava, S., Tyagi, A.</w:t>
      </w:r>
      <w:r w:rsidR="00B87D09">
        <w:rPr>
          <w:rFonts w:ascii="Times New Roman" w:hAnsi="Times New Roman" w:cs="Times New Roman"/>
        </w:rPr>
        <w:t xml:space="preserve"> and</w:t>
      </w:r>
      <w:r w:rsidRPr="007E767D">
        <w:rPr>
          <w:rFonts w:ascii="Times New Roman" w:hAnsi="Times New Roman" w:cs="Times New Roman"/>
        </w:rPr>
        <w:t xml:space="preserve"> Yadav, K. S. (2025). Assessment of yield-contributing traits and genetic variability in field pea (</w:t>
      </w:r>
      <w:r w:rsidRPr="007E767D">
        <w:rPr>
          <w:rFonts w:ascii="Times New Roman" w:hAnsi="Times New Roman" w:cs="Times New Roman"/>
          <w:i/>
          <w:iCs/>
        </w:rPr>
        <w:t>Pisum sativum</w:t>
      </w:r>
      <w:r w:rsidRPr="007E767D">
        <w:rPr>
          <w:rFonts w:ascii="Times New Roman" w:hAnsi="Times New Roman" w:cs="Times New Roman"/>
        </w:rPr>
        <w:t xml:space="preserve"> L.) under heat stress using half-diallel derived genotypes. </w:t>
      </w:r>
      <w:r w:rsidRPr="007E767D">
        <w:rPr>
          <w:rFonts w:ascii="Times New Roman" w:hAnsi="Times New Roman" w:cs="Times New Roman"/>
          <w:i/>
          <w:iCs/>
        </w:rPr>
        <w:t>Legume Research</w:t>
      </w:r>
      <w:r w:rsidRPr="007E767D">
        <w:rPr>
          <w:rFonts w:ascii="Times New Roman" w:hAnsi="Times New Roman" w:cs="Times New Roman"/>
        </w:rPr>
        <w:t xml:space="preserve">, 48(10), 1627–1634. </w:t>
      </w:r>
      <w:hyperlink r:id="rId45" w:history="1">
        <w:r w:rsidRPr="00D34950">
          <w:rPr>
            <w:rStyle w:val="Hyperlink"/>
            <w:rFonts w:ascii="Times New Roman" w:hAnsi="Times New Roman" w:cs="Times New Roman"/>
          </w:rPr>
          <w:t>https://doi.org/10.18805/LR-5526</w:t>
        </w:r>
      </w:hyperlink>
      <w:r>
        <w:rPr>
          <w:rFonts w:ascii="Times New Roman" w:hAnsi="Times New Roman" w:cs="Times New Roman"/>
        </w:rPr>
        <w:t xml:space="preserve"> </w:t>
      </w:r>
    </w:p>
    <w:p w14:paraId="1D37A897" w14:textId="2876C0AA" w:rsidR="00235B2A" w:rsidRDefault="007E767D" w:rsidP="00B87D09">
      <w:pPr>
        <w:ind w:hanging="284"/>
        <w:jc w:val="both"/>
        <w:rPr>
          <w:rFonts w:ascii="Times New Roman" w:hAnsi="Times New Roman" w:cs="Times New Roman"/>
        </w:rPr>
      </w:pPr>
      <w:r w:rsidRPr="007E767D">
        <w:rPr>
          <w:rFonts w:ascii="Times New Roman" w:hAnsi="Times New Roman" w:cs="Times New Roman"/>
        </w:rPr>
        <w:t>Waqas, M. A., Kaya, C., Riaz, A., Farooq, M., Nawaz, I., Wilkes, A.</w:t>
      </w:r>
      <w:r w:rsidR="00B87D09">
        <w:rPr>
          <w:rFonts w:ascii="Times New Roman" w:hAnsi="Times New Roman" w:cs="Times New Roman"/>
        </w:rPr>
        <w:t xml:space="preserve"> and</w:t>
      </w:r>
      <w:r w:rsidRPr="007E767D">
        <w:rPr>
          <w:rFonts w:ascii="Times New Roman" w:hAnsi="Times New Roman" w:cs="Times New Roman"/>
        </w:rPr>
        <w:t xml:space="preserve"> Li, Y. (2019). Potential mechanisms of abiotic stress tolerance in crop plants induced by thiourea. </w:t>
      </w:r>
      <w:r w:rsidRPr="007E767D">
        <w:rPr>
          <w:rFonts w:ascii="Times New Roman" w:hAnsi="Times New Roman" w:cs="Times New Roman"/>
          <w:i/>
          <w:iCs/>
        </w:rPr>
        <w:t>Frontiers in Plant Science</w:t>
      </w:r>
      <w:r w:rsidRPr="007E767D">
        <w:rPr>
          <w:rFonts w:ascii="Times New Roman" w:hAnsi="Times New Roman" w:cs="Times New Roman"/>
        </w:rPr>
        <w:t xml:space="preserve">, 10, 1336. </w:t>
      </w:r>
      <w:hyperlink r:id="rId46" w:history="1">
        <w:r w:rsidRPr="00D34950">
          <w:rPr>
            <w:rStyle w:val="Hyperlink"/>
            <w:rFonts w:ascii="Times New Roman" w:hAnsi="Times New Roman" w:cs="Times New Roman"/>
          </w:rPr>
          <w:t>https://doi.org/10.3389/fpls.2019.01336</w:t>
        </w:r>
      </w:hyperlink>
    </w:p>
    <w:p w14:paraId="0534D2A7" w14:textId="587010FD" w:rsidR="001175FD" w:rsidRPr="00EF591F" w:rsidRDefault="007E767D" w:rsidP="00B87D09">
      <w:pPr>
        <w:ind w:hanging="284"/>
        <w:jc w:val="both"/>
        <w:rPr>
          <w:rFonts w:ascii="Times New Roman" w:hAnsi="Times New Roman" w:cs="Times New Roman"/>
          <w:b/>
          <w:bCs/>
          <w:szCs w:val="24"/>
        </w:rPr>
      </w:pPr>
      <w:r w:rsidRPr="007E767D">
        <w:rPr>
          <w:rFonts w:ascii="Times New Roman" w:hAnsi="Times New Roman" w:cs="Times New Roman"/>
        </w:rPr>
        <w:t>Yan, W., Sharif, R., Sohail, H., Zhu, Y., Chen, X.</w:t>
      </w:r>
      <w:r w:rsidR="00B87D09">
        <w:rPr>
          <w:rFonts w:ascii="Times New Roman" w:hAnsi="Times New Roman" w:cs="Times New Roman"/>
        </w:rPr>
        <w:t xml:space="preserve"> and</w:t>
      </w:r>
      <w:r w:rsidRPr="007E767D">
        <w:rPr>
          <w:rFonts w:ascii="Times New Roman" w:hAnsi="Times New Roman" w:cs="Times New Roman"/>
        </w:rPr>
        <w:t xml:space="preserve"> Xu, X. (2024). Surviving a double-edged sword: Response of horticultural crops to multiple abiotic stressors. International Journal of Molecular Sciences, 25(10), 5199. </w:t>
      </w:r>
      <w:hyperlink r:id="rId47" w:history="1">
        <w:r w:rsidRPr="00D34950">
          <w:rPr>
            <w:rStyle w:val="Hyperlink"/>
            <w:rFonts w:ascii="Times New Roman" w:hAnsi="Times New Roman" w:cs="Times New Roman"/>
          </w:rPr>
          <w:t>https://doi.org/10.3390/ijms25105199</w:t>
        </w:r>
      </w:hyperlink>
      <w:r>
        <w:rPr>
          <w:rFonts w:ascii="Times New Roman" w:hAnsi="Times New Roman" w:cs="Times New Roman"/>
        </w:rPr>
        <w:t xml:space="preserve"> </w:t>
      </w:r>
    </w:p>
    <w:sectPr w:rsidR="001175FD" w:rsidRPr="00EF591F" w:rsidSect="00EF59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FEB6B" w14:textId="77777777" w:rsidR="005C5898" w:rsidRDefault="005C5898" w:rsidP="00114572">
      <w:pPr>
        <w:spacing w:after="0" w:line="240" w:lineRule="auto"/>
      </w:pPr>
      <w:r>
        <w:separator/>
      </w:r>
    </w:p>
  </w:endnote>
  <w:endnote w:type="continuationSeparator" w:id="0">
    <w:p w14:paraId="61E9BA13" w14:textId="77777777" w:rsidR="005C5898" w:rsidRDefault="005C5898" w:rsidP="0011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80752" w14:textId="77777777" w:rsidR="00E80995" w:rsidRDefault="00E80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3AC9" w14:textId="77777777" w:rsidR="00E80995" w:rsidRDefault="00E80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3988" w14:textId="77777777" w:rsidR="00E80995" w:rsidRDefault="00E80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ADB0D" w14:textId="77777777" w:rsidR="005C5898" w:rsidRDefault="005C5898" w:rsidP="00114572">
      <w:pPr>
        <w:spacing w:after="0" w:line="240" w:lineRule="auto"/>
      </w:pPr>
      <w:r>
        <w:separator/>
      </w:r>
    </w:p>
  </w:footnote>
  <w:footnote w:type="continuationSeparator" w:id="0">
    <w:p w14:paraId="57C959F8" w14:textId="77777777" w:rsidR="005C5898" w:rsidRDefault="005C5898" w:rsidP="00114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08FF" w14:textId="4C1A3971" w:rsidR="00E80995" w:rsidRDefault="00E80995">
    <w:pPr>
      <w:pStyle w:val="Header"/>
    </w:pPr>
    <w:r>
      <w:rPr>
        <w:noProof/>
      </w:rPr>
      <w:pict w14:anchorId="45BF0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48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1D60" w14:textId="547E251D" w:rsidR="00E80995" w:rsidRDefault="00E80995">
    <w:pPr>
      <w:pStyle w:val="Header"/>
    </w:pPr>
    <w:r>
      <w:rPr>
        <w:noProof/>
      </w:rPr>
      <w:pict w14:anchorId="2A107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48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54F8B" w14:textId="46882AF2" w:rsidR="00E80995" w:rsidRDefault="00E80995">
    <w:pPr>
      <w:pStyle w:val="Header"/>
    </w:pPr>
    <w:r>
      <w:rPr>
        <w:noProof/>
      </w:rPr>
      <w:pict w14:anchorId="79AEE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48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726B"/>
    <w:multiLevelType w:val="hybridMultilevel"/>
    <w:tmpl w:val="326471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9129D4"/>
    <w:multiLevelType w:val="multilevel"/>
    <w:tmpl w:val="AE88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66F06"/>
    <w:multiLevelType w:val="hybridMultilevel"/>
    <w:tmpl w:val="EFC855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390D6B"/>
    <w:multiLevelType w:val="multilevel"/>
    <w:tmpl w:val="0766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F3"/>
    <w:rsid w:val="000141C3"/>
    <w:rsid w:val="00021055"/>
    <w:rsid w:val="00054975"/>
    <w:rsid w:val="000619CD"/>
    <w:rsid w:val="0007404D"/>
    <w:rsid w:val="000938B4"/>
    <w:rsid w:val="000B0BA5"/>
    <w:rsid w:val="000C3C50"/>
    <w:rsid w:val="000E0285"/>
    <w:rsid w:val="000E1F9A"/>
    <w:rsid w:val="000E5161"/>
    <w:rsid w:val="001061BE"/>
    <w:rsid w:val="00114572"/>
    <w:rsid w:val="001175FD"/>
    <w:rsid w:val="001216EB"/>
    <w:rsid w:val="00123A67"/>
    <w:rsid w:val="00137B38"/>
    <w:rsid w:val="001554BC"/>
    <w:rsid w:val="00174B37"/>
    <w:rsid w:val="001803EE"/>
    <w:rsid w:val="0018425A"/>
    <w:rsid w:val="00190651"/>
    <w:rsid w:val="001B150E"/>
    <w:rsid w:val="001B5699"/>
    <w:rsid w:val="001C424B"/>
    <w:rsid w:val="002018C2"/>
    <w:rsid w:val="00212FA0"/>
    <w:rsid w:val="00224780"/>
    <w:rsid w:val="00235B2A"/>
    <w:rsid w:val="00242CF5"/>
    <w:rsid w:val="00245216"/>
    <w:rsid w:val="00245356"/>
    <w:rsid w:val="00261BF3"/>
    <w:rsid w:val="00263D2B"/>
    <w:rsid w:val="00270E02"/>
    <w:rsid w:val="002B3356"/>
    <w:rsid w:val="002C2DAB"/>
    <w:rsid w:val="002C6A05"/>
    <w:rsid w:val="002F2745"/>
    <w:rsid w:val="002F31F5"/>
    <w:rsid w:val="00304041"/>
    <w:rsid w:val="00327A0B"/>
    <w:rsid w:val="00333B28"/>
    <w:rsid w:val="00335A78"/>
    <w:rsid w:val="00337297"/>
    <w:rsid w:val="00345BA6"/>
    <w:rsid w:val="00387190"/>
    <w:rsid w:val="003A141E"/>
    <w:rsid w:val="003A2EC6"/>
    <w:rsid w:val="003C0A68"/>
    <w:rsid w:val="003D23E6"/>
    <w:rsid w:val="003D71D2"/>
    <w:rsid w:val="00410797"/>
    <w:rsid w:val="004171C6"/>
    <w:rsid w:val="0043690B"/>
    <w:rsid w:val="004472DB"/>
    <w:rsid w:val="00484D9B"/>
    <w:rsid w:val="004E2939"/>
    <w:rsid w:val="004E4C77"/>
    <w:rsid w:val="005146CE"/>
    <w:rsid w:val="00517EF8"/>
    <w:rsid w:val="00550007"/>
    <w:rsid w:val="00563D31"/>
    <w:rsid w:val="00574605"/>
    <w:rsid w:val="00591BEB"/>
    <w:rsid w:val="00592BDF"/>
    <w:rsid w:val="005A2D0D"/>
    <w:rsid w:val="005C5898"/>
    <w:rsid w:val="005C5D94"/>
    <w:rsid w:val="005D4A3A"/>
    <w:rsid w:val="005D5B10"/>
    <w:rsid w:val="005E4D4D"/>
    <w:rsid w:val="005E5F2F"/>
    <w:rsid w:val="005F5B6E"/>
    <w:rsid w:val="00601887"/>
    <w:rsid w:val="00605816"/>
    <w:rsid w:val="00647420"/>
    <w:rsid w:val="006A2467"/>
    <w:rsid w:val="006C6F5E"/>
    <w:rsid w:val="006E226E"/>
    <w:rsid w:val="006E34C0"/>
    <w:rsid w:val="007064D3"/>
    <w:rsid w:val="007102B6"/>
    <w:rsid w:val="00711921"/>
    <w:rsid w:val="00711DA2"/>
    <w:rsid w:val="00717A31"/>
    <w:rsid w:val="00724412"/>
    <w:rsid w:val="00735F14"/>
    <w:rsid w:val="007464BD"/>
    <w:rsid w:val="00762870"/>
    <w:rsid w:val="00763195"/>
    <w:rsid w:val="007640B6"/>
    <w:rsid w:val="0076462A"/>
    <w:rsid w:val="00784DCB"/>
    <w:rsid w:val="007A5B92"/>
    <w:rsid w:val="007B190B"/>
    <w:rsid w:val="007C2413"/>
    <w:rsid w:val="007D174C"/>
    <w:rsid w:val="007D61D9"/>
    <w:rsid w:val="007E767D"/>
    <w:rsid w:val="007E77BE"/>
    <w:rsid w:val="00801416"/>
    <w:rsid w:val="00832AD4"/>
    <w:rsid w:val="00840E6E"/>
    <w:rsid w:val="00850357"/>
    <w:rsid w:val="008549A9"/>
    <w:rsid w:val="00881A10"/>
    <w:rsid w:val="008B4D56"/>
    <w:rsid w:val="009170D0"/>
    <w:rsid w:val="00936C35"/>
    <w:rsid w:val="0094035E"/>
    <w:rsid w:val="009933A5"/>
    <w:rsid w:val="009B0C26"/>
    <w:rsid w:val="009C02A4"/>
    <w:rsid w:val="009D286F"/>
    <w:rsid w:val="009D36BD"/>
    <w:rsid w:val="009D7055"/>
    <w:rsid w:val="009E36B7"/>
    <w:rsid w:val="00A16B92"/>
    <w:rsid w:val="00A57C9D"/>
    <w:rsid w:val="00A81866"/>
    <w:rsid w:val="00A86AEB"/>
    <w:rsid w:val="00A87E38"/>
    <w:rsid w:val="00A91BD5"/>
    <w:rsid w:val="00A97762"/>
    <w:rsid w:val="00AA0670"/>
    <w:rsid w:val="00AA0B70"/>
    <w:rsid w:val="00AA51C4"/>
    <w:rsid w:val="00AC317E"/>
    <w:rsid w:val="00AD2064"/>
    <w:rsid w:val="00AF5F44"/>
    <w:rsid w:val="00AF733F"/>
    <w:rsid w:val="00B103F3"/>
    <w:rsid w:val="00B241B9"/>
    <w:rsid w:val="00B31F38"/>
    <w:rsid w:val="00B36092"/>
    <w:rsid w:val="00B419C5"/>
    <w:rsid w:val="00B706C0"/>
    <w:rsid w:val="00B728DF"/>
    <w:rsid w:val="00B76A8B"/>
    <w:rsid w:val="00B8204C"/>
    <w:rsid w:val="00B84648"/>
    <w:rsid w:val="00B84D59"/>
    <w:rsid w:val="00B87D09"/>
    <w:rsid w:val="00B9059B"/>
    <w:rsid w:val="00B91EBD"/>
    <w:rsid w:val="00BA4C8B"/>
    <w:rsid w:val="00BE7992"/>
    <w:rsid w:val="00C2485F"/>
    <w:rsid w:val="00C43F71"/>
    <w:rsid w:val="00C441E3"/>
    <w:rsid w:val="00C47937"/>
    <w:rsid w:val="00C6216C"/>
    <w:rsid w:val="00C71A68"/>
    <w:rsid w:val="00C74F30"/>
    <w:rsid w:val="00CB06D2"/>
    <w:rsid w:val="00CB7923"/>
    <w:rsid w:val="00CC3859"/>
    <w:rsid w:val="00CD1107"/>
    <w:rsid w:val="00CE1173"/>
    <w:rsid w:val="00CF21AC"/>
    <w:rsid w:val="00CF6FFC"/>
    <w:rsid w:val="00D03D50"/>
    <w:rsid w:val="00D04562"/>
    <w:rsid w:val="00D140F3"/>
    <w:rsid w:val="00D30F88"/>
    <w:rsid w:val="00D47B35"/>
    <w:rsid w:val="00D5270D"/>
    <w:rsid w:val="00D5287B"/>
    <w:rsid w:val="00D57291"/>
    <w:rsid w:val="00D66F32"/>
    <w:rsid w:val="00D80C5E"/>
    <w:rsid w:val="00D862A5"/>
    <w:rsid w:val="00DA0000"/>
    <w:rsid w:val="00DA2C98"/>
    <w:rsid w:val="00DB050B"/>
    <w:rsid w:val="00DB1A37"/>
    <w:rsid w:val="00DC78B0"/>
    <w:rsid w:val="00DC7D52"/>
    <w:rsid w:val="00DE5C6E"/>
    <w:rsid w:val="00E26D63"/>
    <w:rsid w:val="00E45EC7"/>
    <w:rsid w:val="00E55DD2"/>
    <w:rsid w:val="00E5798A"/>
    <w:rsid w:val="00E65370"/>
    <w:rsid w:val="00E76FFD"/>
    <w:rsid w:val="00E80995"/>
    <w:rsid w:val="00E9447C"/>
    <w:rsid w:val="00EA0D53"/>
    <w:rsid w:val="00EB6986"/>
    <w:rsid w:val="00EC6250"/>
    <w:rsid w:val="00EE4421"/>
    <w:rsid w:val="00EE4625"/>
    <w:rsid w:val="00EF591F"/>
    <w:rsid w:val="00EF7894"/>
    <w:rsid w:val="00F1725C"/>
    <w:rsid w:val="00F478DC"/>
    <w:rsid w:val="00F60DE4"/>
    <w:rsid w:val="00F74B99"/>
    <w:rsid w:val="00F835C3"/>
    <w:rsid w:val="00FC4D7F"/>
    <w:rsid w:val="00FE5288"/>
    <w:rsid w:val="00FF056E"/>
    <w:rsid w:val="00FF39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FD027D"/>
  <w15:chartTrackingRefBased/>
  <w15:docId w15:val="{D156FEF4-CD78-40DD-A243-16BEC9A5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0F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D140F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D140F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140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40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4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0F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D140F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D140F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140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40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4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0F3"/>
    <w:rPr>
      <w:rFonts w:eastAsiaTheme="majorEastAsia" w:cstheme="majorBidi"/>
      <w:color w:val="272727" w:themeColor="text1" w:themeTint="D8"/>
    </w:rPr>
  </w:style>
  <w:style w:type="paragraph" w:styleId="Title">
    <w:name w:val="Title"/>
    <w:basedOn w:val="Normal"/>
    <w:next w:val="Normal"/>
    <w:link w:val="TitleChar"/>
    <w:uiPriority w:val="10"/>
    <w:qFormat/>
    <w:rsid w:val="00D140F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140F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140F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140F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140F3"/>
    <w:pPr>
      <w:spacing w:before="160"/>
      <w:jc w:val="center"/>
    </w:pPr>
    <w:rPr>
      <w:i/>
      <w:iCs/>
      <w:color w:val="404040" w:themeColor="text1" w:themeTint="BF"/>
    </w:rPr>
  </w:style>
  <w:style w:type="character" w:customStyle="1" w:styleId="QuoteChar">
    <w:name w:val="Quote Char"/>
    <w:basedOn w:val="DefaultParagraphFont"/>
    <w:link w:val="Quote"/>
    <w:uiPriority w:val="29"/>
    <w:rsid w:val="00D140F3"/>
    <w:rPr>
      <w:i/>
      <w:iCs/>
      <w:color w:val="404040" w:themeColor="text1" w:themeTint="BF"/>
    </w:rPr>
  </w:style>
  <w:style w:type="paragraph" w:styleId="ListParagraph">
    <w:name w:val="List Paragraph"/>
    <w:basedOn w:val="Normal"/>
    <w:uiPriority w:val="34"/>
    <w:qFormat/>
    <w:rsid w:val="00D140F3"/>
    <w:pPr>
      <w:ind w:left="720"/>
      <w:contextualSpacing/>
    </w:pPr>
  </w:style>
  <w:style w:type="character" w:styleId="IntenseEmphasis">
    <w:name w:val="Intense Emphasis"/>
    <w:basedOn w:val="DefaultParagraphFont"/>
    <w:uiPriority w:val="21"/>
    <w:qFormat/>
    <w:rsid w:val="00D140F3"/>
    <w:rPr>
      <w:i/>
      <w:iCs/>
      <w:color w:val="2F5496" w:themeColor="accent1" w:themeShade="BF"/>
    </w:rPr>
  </w:style>
  <w:style w:type="paragraph" w:styleId="IntenseQuote">
    <w:name w:val="Intense Quote"/>
    <w:basedOn w:val="Normal"/>
    <w:next w:val="Normal"/>
    <w:link w:val="IntenseQuoteChar"/>
    <w:uiPriority w:val="30"/>
    <w:qFormat/>
    <w:rsid w:val="00D14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40F3"/>
    <w:rPr>
      <w:i/>
      <w:iCs/>
      <w:color w:val="2F5496" w:themeColor="accent1" w:themeShade="BF"/>
    </w:rPr>
  </w:style>
  <w:style w:type="character" w:styleId="IntenseReference">
    <w:name w:val="Intense Reference"/>
    <w:basedOn w:val="DefaultParagraphFont"/>
    <w:uiPriority w:val="32"/>
    <w:qFormat/>
    <w:rsid w:val="00D140F3"/>
    <w:rPr>
      <w:b/>
      <w:bCs/>
      <w:smallCaps/>
      <w:color w:val="2F5496" w:themeColor="accent1" w:themeShade="BF"/>
      <w:spacing w:val="5"/>
    </w:rPr>
  </w:style>
  <w:style w:type="character" w:styleId="Strong">
    <w:name w:val="Strong"/>
    <w:basedOn w:val="DefaultParagraphFont"/>
    <w:uiPriority w:val="22"/>
    <w:qFormat/>
    <w:rsid w:val="006A2467"/>
    <w:rPr>
      <w:b/>
      <w:bCs/>
    </w:rPr>
  </w:style>
  <w:style w:type="paragraph" w:styleId="NormalWeb">
    <w:name w:val="Normal (Web)"/>
    <w:basedOn w:val="Normal"/>
    <w:uiPriority w:val="99"/>
    <w:semiHidden/>
    <w:unhideWhenUsed/>
    <w:rsid w:val="006A2467"/>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paragraph" w:styleId="Header">
    <w:name w:val="header"/>
    <w:basedOn w:val="Normal"/>
    <w:link w:val="HeaderChar"/>
    <w:uiPriority w:val="99"/>
    <w:unhideWhenUsed/>
    <w:rsid w:val="00114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572"/>
  </w:style>
  <w:style w:type="paragraph" w:styleId="Footer">
    <w:name w:val="footer"/>
    <w:basedOn w:val="Normal"/>
    <w:link w:val="FooterChar"/>
    <w:uiPriority w:val="99"/>
    <w:unhideWhenUsed/>
    <w:rsid w:val="00114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572"/>
  </w:style>
  <w:style w:type="table" w:styleId="TableGrid">
    <w:name w:val="Table Grid"/>
    <w:basedOn w:val="TableNormal"/>
    <w:uiPriority w:val="39"/>
    <w:rsid w:val="002C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5BA6"/>
    <w:pPr>
      <w:autoSpaceDE w:val="0"/>
      <w:autoSpaceDN w:val="0"/>
      <w:adjustRightInd w:val="0"/>
      <w:spacing w:after="0" w:line="240" w:lineRule="auto"/>
    </w:pPr>
    <w:rPr>
      <w:rFonts w:ascii="Arial" w:hAnsi="Arial" w:cs="Arial"/>
      <w:color w:val="000000"/>
      <w:kern w:val="0"/>
      <w:szCs w:val="24"/>
    </w:rPr>
  </w:style>
  <w:style w:type="character" w:styleId="Hyperlink">
    <w:name w:val="Hyperlink"/>
    <w:basedOn w:val="DefaultParagraphFont"/>
    <w:uiPriority w:val="99"/>
    <w:unhideWhenUsed/>
    <w:rsid w:val="0007404D"/>
    <w:rPr>
      <w:color w:val="0563C1" w:themeColor="hyperlink"/>
      <w:u w:val="single"/>
    </w:rPr>
  </w:style>
  <w:style w:type="character" w:styleId="UnresolvedMention">
    <w:name w:val="Unresolved Mention"/>
    <w:basedOn w:val="DefaultParagraphFont"/>
    <w:uiPriority w:val="99"/>
    <w:semiHidden/>
    <w:unhideWhenUsed/>
    <w:rsid w:val="0007404D"/>
    <w:rPr>
      <w:color w:val="605E5C"/>
      <w:shd w:val="clear" w:color="auto" w:fill="E1DFDD"/>
    </w:rPr>
  </w:style>
  <w:style w:type="character" w:styleId="FollowedHyperlink">
    <w:name w:val="FollowedHyperlink"/>
    <w:basedOn w:val="DefaultParagraphFont"/>
    <w:uiPriority w:val="99"/>
    <w:semiHidden/>
    <w:unhideWhenUsed/>
    <w:rsid w:val="00EF59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42729-022-00917-6" TargetMode="External"/><Relationship Id="rId26" Type="http://schemas.openxmlformats.org/officeDocument/2006/relationships/hyperlink" Target="https://doi.org/10.3389/fpls.2021.634959" TargetMode="External"/><Relationship Id="rId39" Type="http://schemas.openxmlformats.org/officeDocument/2006/relationships/hyperlink" Target="https://onlinelibrary.wiley.com/authored-by/Hampton/J.+G" TargetMode="External"/><Relationship Id="rId21" Type="http://schemas.openxmlformats.org/officeDocument/2006/relationships/hyperlink" Target="https://doi.org/10.17957/IJAB/15.0464" TargetMode="External"/><Relationship Id="rId34" Type="http://schemas.openxmlformats.org/officeDocument/2006/relationships/hyperlink" Target="https://doi.org/10.1016/j.envexpbot.2018.10.011" TargetMode="External"/><Relationship Id="rId42" Type="http://schemas.openxmlformats.org/officeDocument/2006/relationships/hyperlink" Target="https://doi.org/10.18805/LR-4496" TargetMode="External"/><Relationship Id="rId47" Type="http://schemas.openxmlformats.org/officeDocument/2006/relationships/hyperlink" Target="https://doi.org/10.3390/ijms2510519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doi.org/10.1071/fp03105" TargetMode="External"/><Relationship Id="rId11" Type="http://schemas.openxmlformats.org/officeDocument/2006/relationships/footer" Target="footer2.xml"/><Relationship Id="rId24" Type="http://schemas.openxmlformats.org/officeDocument/2006/relationships/hyperlink" Target="https://doi.org/10.1038/s41598-024-69448-7" TargetMode="External"/><Relationship Id="rId32" Type="http://schemas.openxmlformats.org/officeDocument/2006/relationships/hyperlink" Target="https://doi.org/10.3389/fpls.2015.00462" TargetMode="External"/><Relationship Id="rId37" Type="http://schemas.openxmlformats.org/officeDocument/2006/relationships/hyperlink" Target="https://doi.org/10.1016/j.envexpbot.2015.09.002" TargetMode="External"/><Relationship Id="rId40" Type="http://schemas.openxmlformats.org/officeDocument/2006/relationships/hyperlink" Target="https://doi.org/10.1016/j.fcr.2013.05.023" TargetMode="External"/><Relationship Id="rId45" Type="http://schemas.openxmlformats.org/officeDocument/2006/relationships/hyperlink" Target="https://doi.org/10.18805/LR-5526"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3390/agronomy11091875" TargetMode="External"/><Relationship Id="rId28" Type="http://schemas.openxmlformats.org/officeDocument/2006/relationships/hyperlink" Target="https://doi.org/10.1007/s10725-006-0002-x" TargetMode="External"/><Relationship Id="rId36" Type="http://schemas.openxmlformats.org/officeDocument/2006/relationships/hyperlink" Target="https://doi.org/10.3126/nh.v15i0.36642"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923/ajcs.2013.33.40" TargetMode="External"/><Relationship Id="rId31" Type="http://schemas.openxmlformats.org/officeDocument/2006/relationships/hyperlink" Target="https://doi.org/10.1111/jac.12365" TargetMode="External"/><Relationship Id="rId44" Type="http://schemas.openxmlformats.org/officeDocument/2006/relationships/hyperlink" Target="https://doi.org/10.51470/PLANTARCHIVES.2024.v24.SP-GABELS.0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7/s42729-021-00470-8" TargetMode="External"/><Relationship Id="rId27" Type="http://schemas.openxmlformats.org/officeDocument/2006/relationships/hyperlink" Target="https://www.fao.org/faostat/" TargetMode="External"/><Relationship Id="rId30" Type="http://schemas.openxmlformats.org/officeDocument/2006/relationships/hyperlink" Target="https://doi.org/10.1002/9781119671107.ch9" TargetMode="External"/><Relationship Id="rId35" Type="http://schemas.openxmlformats.org/officeDocument/2006/relationships/hyperlink" Target="https://doi.org/10.1007/s00425-018-3025-4" TargetMode="External"/><Relationship Id="rId43" Type="http://schemas.openxmlformats.org/officeDocument/2006/relationships/hyperlink" Target="https://doi.org/10.18805/LR-4888"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56093/ijas.v89i5.89661" TargetMode="External"/><Relationship Id="rId33" Type="http://schemas.openxmlformats.org/officeDocument/2006/relationships/hyperlink" Target="https://doi.org/10.1007/978-981-13-0253-4_3" TargetMode="External"/><Relationship Id="rId38" Type="http://schemas.openxmlformats.org/officeDocument/2006/relationships/hyperlink" Target="https://doi.org/10.1007/s00122-020-03751-5" TargetMode="External"/><Relationship Id="rId46" Type="http://schemas.openxmlformats.org/officeDocument/2006/relationships/hyperlink" Target="https://doi.org/10.3389/fpls.2019.01336" TargetMode="External"/><Relationship Id="rId20" Type="http://schemas.openxmlformats.org/officeDocument/2006/relationships/hyperlink" Target="https://doi.org/10.1007/s00709-013-0563-2" TargetMode="External"/><Relationship Id="rId41" Type="http://schemas.openxmlformats.org/officeDocument/2006/relationships/hyperlink" Target="https://doi.org/10.1007/978-981-10-5744-1_11"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HAN%20LAL\Downloads\phd%20first%20year%20%20data%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HAN%20LAL\Downloads\phd%20first%20year%20%20data%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007697222442899E-2"/>
          <c:y val="0.10395943480206761"/>
          <c:w val="0.89559444370301167"/>
          <c:h val="0.75531296876460097"/>
        </c:manualLayout>
      </c:layout>
      <c:barChart>
        <c:barDir val="col"/>
        <c:grouping val="clustered"/>
        <c:varyColors val="0"/>
        <c:ser>
          <c:idx val="0"/>
          <c:order val="0"/>
          <c:tx>
            <c:strRef>
              <c:f>Sheet1!$BE$4</c:f>
              <c:strCache>
                <c:ptCount val="1"/>
                <c:pt idx="0">
                  <c:v>Field Emergence (%) 2023-24</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strRef>
              <c:f>Sheet1!$BD$5:$BD$16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Sheet1!$BE$5:$BE$16</c:f>
              <c:numCache>
                <c:formatCode>0.00</c:formatCode>
                <c:ptCount val="12"/>
                <c:pt idx="0">
                  <c:v>64.666666666666671</c:v>
                </c:pt>
                <c:pt idx="1">
                  <c:v>82</c:v>
                </c:pt>
                <c:pt idx="2">
                  <c:v>80.666666666666671</c:v>
                </c:pt>
                <c:pt idx="3">
                  <c:v>84</c:v>
                </c:pt>
                <c:pt idx="4">
                  <c:v>79.333333333333329</c:v>
                </c:pt>
                <c:pt idx="5">
                  <c:v>69</c:v>
                </c:pt>
                <c:pt idx="6">
                  <c:v>67.333333333333329</c:v>
                </c:pt>
                <c:pt idx="7">
                  <c:v>77.666666666666671</c:v>
                </c:pt>
                <c:pt idx="8">
                  <c:v>76.333333333333329</c:v>
                </c:pt>
                <c:pt idx="9">
                  <c:v>74</c:v>
                </c:pt>
                <c:pt idx="10">
                  <c:v>72</c:v>
                </c:pt>
                <c:pt idx="11">
                  <c:v>74.666666666666671</c:v>
                </c:pt>
              </c:numCache>
            </c:numRef>
          </c:val>
          <c:extLst>
            <c:ext xmlns:c16="http://schemas.microsoft.com/office/drawing/2014/chart" uri="{C3380CC4-5D6E-409C-BE32-E72D297353CC}">
              <c16:uniqueId val="{00000000-2381-4F58-B73E-8200E0C73DD5}"/>
            </c:ext>
          </c:extLst>
        </c:ser>
        <c:ser>
          <c:idx val="1"/>
          <c:order val="1"/>
          <c:tx>
            <c:strRef>
              <c:f>Sheet1!$BF$4</c:f>
              <c:strCache>
                <c:ptCount val="1"/>
                <c:pt idx="0">
                  <c:v>Field Emergence (%) 2024-25</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cat>
            <c:strRef>
              <c:f>Sheet1!$BD$5:$BD$16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Sheet1!$BF$5:$BF$16</c:f>
              <c:numCache>
                <c:formatCode>0.00</c:formatCode>
                <c:ptCount val="12"/>
                <c:pt idx="0">
                  <c:v>67</c:v>
                </c:pt>
                <c:pt idx="1">
                  <c:v>83.666666666666671</c:v>
                </c:pt>
                <c:pt idx="2">
                  <c:v>83</c:v>
                </c:pt>
                <c:pt idx="3">
                  <c:v>84.666666666666671</c:v>
                </c:pt>
                <c:pt idx="4">
                  <c:v>81.666666666666671</c:v>
                </c:pt>
                <c:pt idx="5">
                  <c:v>70.333333333333329</c:v>
                </c:pt>
                <c:pt idx="6">
                  <c:v>68.333333333333329</c:v>
                </c:pt>
                <c:pt idx="7">
                  <c:v>80</c:v>
                </c:pt>
                <c:pt idx="8">
                  <c:v>78.666666666666671</c:v>
                </c:pt>
                <c:pt idx="9">
                  <c:v>76</c:v>
                </c:pt>
                <c:pt idx="10">
                  <c:v>74.333333333333329</c:v>
                </c:pt>
                <c:pt idx="11">
                  <c:v>77</c:v>
                </c:pt>
              </c:numCache>
            </c:numRef>
          </c:val>
          <c:extLst>
            <c:ext xmlns:c16="http://schemas.microsoft.com/office/drawing/2014/chart" uri="{C3380CC4-5D6E-409C-BE32-E72D297353CC}">
              <c16:uniqueId val="{00000001-2381-4F58-B73E-8200E0C73DD5}"/>
            </c:ext>
          </c:extLst>
        </c:ser>
        <c:ser>
          <c:idx val="2"/>
          <c:order val="2"/>
          <c:tx>
            <c:strRef>
              <c:f>Sheet1!$BG$4</c:f>
              <c:strCache>
                <c:ptCount val="1"/>
                <c:pt idx="0">
                  <c:v>Field Emergence (%) Pooled</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Sheet1!$BD$5:$BD$16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Sheet1!$BG$5:$BG$16</c:f>
              <c:numCache>
                <c:formatCode>General</c:formatCode>
                <c:ptCount val="12"/>
                <c:pt idx="0">
                  <c:v>65.83</c:v>
                </c:pt>
                <c:pt idx="1">
                  <c:v>82.83</c:v>
                </c:pt>
                <c:pt idx="2">
                  <c:v>81.83</c:v>
                </c:pt>
                <c:pt idx="3">
                  <c:v>84.33</c:v>
                </c:pt>
                <c:pt idx="4">
                  <c:v>80.5</c:v>
                </c:pt>
                <c:pt idx="5">
                  <c:v>69.66</c:v>
                </c:pt>
                <c:pt idx="6">
                  <c:v>67.83</c:v>
                </c:pt>
                <c:pt idx="7">
                  <c:v>78.83</c:v>
                </c:pt>
                <c:pt idx="8">
                  <c:v>77.5</c:v>
                </c:pt>
                <c:pt idx="9">
                  <c:v>75</c:v>
                </c:pt>
                <c:pt idx="10">
                  <c:v>73.16</c:v>
                </c:pt>
                <c:pt idx="11">
                  <c:v>75.83</c:v>
                </c:pt>
              </c:numCache>
            </c:numRef>
          </c:val>
          <c:extLst>
            <c:ext xmlns:c16="http://schemas.microsoft.com/office/drawing/2014/chart" uri="{C3380CC4-5D6E-409C-BE32-E72D297353CC}">
              <c16:uniqueId val="{00000002-2381-4F58-B73E-8200E0C73DD5}"/>
            </c:ext>
          </c:extLst>
        </c:ser>
        <c:dLbls>
          <c:showLegendKey val="0"/>
          <c:showVal val="0"/>
          <c:showCatName val="0"/>
          <c:showSerName val="0"/>
          <c:showPercent val="0"/>
          <c:showBubbleSize val="0"/>
        </c:dLbls>
        <c:gapWidth val="164"/>
        <c:overlap val="-22"/>
        <c:axId val="249608255"/>
        <c:axId val="249601535"/>
      </c:barChart>
      <c:catAx>
        <c:axId val="249608255"/>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TREATMENTS</a:t>
                </a:r>
              </a:p>
            </c:rich>
          </c:tx>
          <c:layout>
            <c:manualLayout>
              <c:xMode val="edge"/>
              <c:yMode val="edge"/>
              <c:x val="0.47513872120255252"/>
              <c:y val="0.9297240405848706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601535"/>
        <c:crosses val="autoZero"/>
        <c:auto val="1"/>
        <c:lblAlgn val="ctr"/>
        <c:lblOffset val="100"/>
        <c:noMultiLvlLbl val="0"/>
      </c:catAx>
      <c:valAx>
        <c:axId val="249601535"/>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FIELD</a:t>
                </a:r>
                <a:r>
                  <a:rPr lang="en-IN" baseline="0"/>
                  <a:t> EMERGENCE (%)</a:t>
                </a:r>
                <a:endParaRPr lang="en-IN"/>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608255"/>
        <c:crosses val="autoZero"/>
        <c:crossBetween val="between"/>
      </c:valAx>
      <c:spPr>
        <a:noFill/>
        <a:ln>
          <a:noFill/>
        </a:ln>
        <a:effectLst/>
      </c:spPr>
    </c:plotArea>
    <c:legend>
      <c:legendPos val="t"/>
      <c:layout>
        <c:manualLayout>
          <c:xMode val="edge"/>
          <c:yMode val="edge"/>
          <c:x val="0.25175150473048918"/>
          <c:y val="1.4379648852918194E-2"/>
          <c:w val="0.58228858296296404"/>
          <c:h val="5.31128526921641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843079041349335E-2"/>
          <c:y val="8.6804686629672625E-2"/>
          <c:w val="0.86034271330837742"/>
          <c:h val="0.80963109824517787"/>
        </c:manualLayout>
      </c:layout>
      <c:barChart>
        <c:barDir val="col"/>
        <c:grouping val="clustered"/>
        <c:varyColors val="0"/>
        <c:ser>
          <c:idx val="0"/>
          <c:order val="0"/>
          <c:tx>
            <c:strRef>
              <c:f>Sheet1!$Z$48</c:f>
              <c:strCache>
                <c:ptCount val="1"/>
                <c:pt idx="0">
                  <c:v>Days to Maturity 2023-24</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Sheet1!$Y$49:$Y$60</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Sheet1!$Z$49:$Z$60</c:f>
              <c:numCache>
                <c:formatCode>0.00</c:formatCode>
                <c:ptCount val="12"/>
                <c:pt idx="0">
                  <c:v>132.33333333333334</c:v>
                </c:pt>
                <c:pt idx="1">
                  <c:v>125</c:v>
                </c:pt>
                <c:pt idx="2">
                  <c:v>126</c:v>
                </c:pt>
                <c:pt idx="3">
                  <c:v>124.66666666666667</c:v>
                </c:pt>
                <c:pt idx="4">
                  <c:v>126.33333333333333</c:v>
                </c:pt>
                <c:pt idx="5">
                  <c:v>130.66666666666666</c:v>
                </c:pt>
                <c:pt idx="6">
                  <c:v>132</c:v>
                </c:pt>
                <c:pt idx="7">
                  <c:v>127</c:v>
                </c:pt>
                <c:pt idx="8">
                  <c:v>127.66666666666667</c:v>
                </c:pt>
                <c:pt idx="9">
                  <c:v>128.66666666666666</c:v>
                </c:pt>
                <c:pt idx="10">
                  <c:v>129.33333333333334</c:v>
                </c:pt>
                <c:pt idx="11">
                  <c:v>128</c:v>
                </c:pt>
              </c:numCache>
            </c:numRef>
          </c:val>
          <c:extLst>
            <c:ext xmlns:c16="http://schemas.microsoft.com/office/drawing/2014/chart" uri="{C3380CC4-5D6E-409C-BE32-E72D297353CC}">
              <c16:uniqueId val="{00000000-74D8-4EA9-AB2E-41916437CEAC}"/>
            </c:ext>
          </c:extLst>
        </c:ser>
        <c:ser>
          <c:idx val="1"/>
          <c:order val="1"/>
          <c:tx>
            <c:strRef>
              <c:f>Sheet1!$AA$48</c:f>
              <c:strCache>
                <c:ptCount val="1"/>
                <c:pt idx="0">
                  <c:v>Days to Maturity 2024-25</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Sheet1!$Y$49:$Y$60</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Sheet1!$AA$49:$AA$60</c:f>
              <c:numCache>
                <c:formatCode>0.00</c:formatCode>
                <c:ptCount val="12"/>
                <c:pt idx="0">
                  <c:v>131.66666666666666</c:v>
                </c:pt>
                <c:pt idx="1">
                  <c:v>125.66666666666667</c:v>
                </c:pt>
                <c:pt idx="2">
                  <c:v>126.33333333333333</c:v>
                </c:pt>
                <c:pt idx="3">
                  <c:v>125.33333333333333</c:v>
                </c:pt>
                <c:pt idx="4">
                  <c:v>127</c:v>
                </c:pt>
                <c:pt idx="5">
                  <c:v>131</c:v>
                </c:pt>
                <c:pt idx="6">
                  <c:v>131.33333333333334</c:v>
                </c:pt>
                <c:pt idx="7">
                  <c:v>127.33333333333333</c:v>
                </c:pt>
                <c:pt idx="8">
                  <c:v>128</c:v>
                </c:pt>
                <c:pt idx="9">
                  <c:v>129</c:v>
                </c:pt>
                <c:pt idx="10">
                  <c:v>129.66666666666666</c:v>
                </c:pt>
                <c:pt idx="11">
                  <c:v>128.33333333333334</c:v>
                </c:pt>
              </c:numCache>
            </c:numRef>
          </c:val>
          <c:extLst>
            <c:ext xmlns:c16="http://schemas.microsoft.com/office/drawing/2014/chart" uri="{C3380CC4-5D6E-409C-BE32-E72D297353CC}">
              <c16:uniqueId val="{00000001-74D8-4EA9-AB2E-41916437CEAC}"/>
            </c:ext>
          </c:extLst>
        </c:ser>
        <c:ser>
          <c:idx val="2"/>
          <c:order val="2"/>
          <c:tx>
            <c:strRef>
              <c:f>Sheet1!$AB$48</c:f>
              <c:strCache>
                <c:ptCount val="1"/>
                <c:pt idx="0">
                  <c:v>Pooled</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Sheet1!$Y$49:$Y$60</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Sheet1!$AB$49:$AB$60</c:f>
              <c:numCache>
                <c:formatCode>General</c:formatCode>
                <c:ptCount val="12"/>
                <c:pt idx="0">
                  <c:v>132</c:v>
                </c:pt>
                <c:pt idx="1">
                  <c:v>125.33</c:v>
                </c:pt>
                <c:pt idx="2">
                  <c:v>126.16</c:v>
                </c:pt>
                <c:pt idx="3">
                  <c:v>125</c:v>
                </c:pt>
                <c:pt idx="4">
                  <c:v>126.66</c:v>
                </c:pt>
                <c:pt idx="5">
                  <c:v>130.83000000000001</c:v>
                </c:pt>
                <c:pt idx="6">
                  <c:v>131.66</c:v>
                </c:pt>
                <c:pt idx="7">
                  <c:v>127.16</c:v>
                </c:pt>
                <c:pt idx="8">
                  <c:v>127.83</c:v>
                </c:pt>
                <c:pt idx="9">
                  <c:v>128.83000000000001</c:v>
                </c:pt>
                <c:pt idx="10">
                  <c:v>129.5</c:v>
                </c:pt>
                <c:pt idx="11">
                  <c:v>128.16</c:v>
                </c:pt>
              </c:numCache>
            </c:numRef>
          </c:val>
          <c:extLst>
            <c:ext xmlns:c16="http://schemas.microsoft.com/office/drawing/2014/chart" uri="{C3380CC4-5D6E-409C-BE32-E72D297353CC}">
              <c16:uniqueId val="{00000002-74D8-4EA9-AB2E-41916437CEAC}"/>
            </c:ext>
          </c:extLst>
        </c:ser>
        <c:dLbls>
          <c:showLegendKey val="0"/>
          <c:showVal val="0"/>
          <c:showCatName val="0"/>
          <c:showSerName val="0"/>
          <c:showPercent val="0"/>
          <c:showBubbleSize val="0"/>
        </c:dLbls>
        <c:gapWidth val="164"/>
        <c:overlap val="-22"/>
        <c:axId val="249630335"/>
        <c:axId val="249644255"/>
      </c:barChart>
      <c:catAx>
        <c:axId val="249630335"/>
        <c:scaling>
          <c:orientation val="minMax"/>
        </c:scaling>
        <c:delete val="0"/>
        <c:axPos val="b"/>
        <c:title>
          <c:tx>
            <c:rich>
              <a:bodyPr rot="0" spcFirstLastPara="1" vertOverflow="ellipsis" vert="horz" wrap="square" anchor="ctr" anchorCtr="1"/>
              <a:lstStyle/>
              <a:p>
                <a:pPr>
                  <a:defRPr sz="1500" b="1" i="0" u="none" strike="noStrike" kern="1200" baseline="0">
                    <a:solidFill>
                      <a:schemeClr val="tx1">
                        <a:lumMod val="65000"/>
                        <a:lumOff val="35000"/>
                      </a:schemeClr>
                    </a:solidFill>
                    <a:latin typeface="+mn-lt"/>
                    <a:ea typeface="+mn-ea"/>
                    <a:cs typeface="+mn-cs"/>
                  </a:defRPr>
                </a:pPr>
                <a:r>
                  <a:rPr lang="en-US" sz="1500" baseline="0"/>
                  <a:t>Treatments</a:t>
                </a:r>
              </a:p>
            </c:rich>
          </c:tx>
          <c:layout>
            <c:manualLayout>
              <c:xMode val="edge"/>
              <c:yMode val="edge"/>
              <c:x val="0.44475219444374786"/>
              <c:y val="0.9400794989820449"/>
            </c:manualLayout>
          </c:layout>
          <c:overlay val="0"/>
          <c:spPr>
            <a:noFill/>
            <a:ln>
              <a:noFill/>
            </a:ln>
            <a:effectLst/>
          </c:spPr>
          <c:txPr>
            <a:bodyPr rot="0" spcFirstLastPara="1" vertOverflow="ellipsis" vert="horz" wrap="square" anchor="ctr" anchorCtr="1"/>
            <a:lstStyle/>
            <a:p>
              <a:pPr>
                <a:defRPr sz="15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644255"/>
        <c:crosses val="autoZero"/>
        <c:auto val="1"/>
        <c:lblAlgn val="ctr"/>
        <c:lblOffset val="100"/>
        <c:noMultiLvlLbl val="0"/>
      </c:catAx>
      <c:valAx>
        <c:axId val="249644255"/>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1500" b="1" i="0" u="none" strike="noStrike" kern="1200" baseline="0">
                    <a:solidFill>
                      <a:schemeClr val="tx1">
                        <a:lumMod val="65000"/>
                        <a:lumOff val="35000"/>
                      </a:schemeClr>
                    </a:solidFill>
                    <a:latin typeface="+mn-lt"/>
                    <a:ea typeface="+mn-ea"/>
                    <a:cs typeface="+mn-cs"/>
                  </a:defRPr>
                </a:pPr>
                <a:r>
                  <a:rPr lang="en-IN" sz="1500" baseline="0"/>
                  <a:t>Days to Maturity</a:t>
                </a:r>
              </a:p>
            </c:rich>
          </c:tx>
          <c:layout>
            <c:manualLayout>
              <c:xMode val="edge"/>
              <c:yMode val="edge"/>
              <c:x val="8.0143930927290517E-3"/>
              <c:y val="0.29688079904946257"/>
            </c:manualLayout>
          </c:layout>
          <c:overlay val="0"/>
          <c:spPr>
            <a:noFill/>
            <a:ln>
              <a:noFill/>
            </a:ln>
            <a:effectLst/>
          </c:spPr>
          <c:txPr>
            <a:bodyPr rot="-5400000" spcFirstLastPara="1" vertOverflow="ellipsis" vert="horz" wrap="square" anchor="ctr" anchorCtr="1"/>
            <a:lstStyle/>
            <a:p>
              <a:pPr>
                <a:defRPr sz="15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63033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12ED5-6227-4F04-A733-FF3F8CD0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16873</TotalTime>
  <Pages>20</Pages>
  <Words>5911</Words>
  <Characters>33699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lal</dc:creator>
  <cp:keywords/>
  <dc:description/>
  <cp:lastModifiedBy>SDI 1084</cp:lastModifiedBy>
  <cp:revision>25</cp:revision>
  <dcterms:created xsi:type="dcterms:W3CDTF">2025-10-01T15:01:00Z</dcterms:created>
  <dcterms:modified xsi:type="dcterms:W3CDTF">2025-10-23T08:08:00Z</dcterms:modified>
</cp:coreProperties>
</file>