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48A5F" w14:textId="6238913B" w:rsidR="000F2958" w:rsidRPr="000563AF" w:rsidRDefault="003B2158" w:rsidP="000563AF">
      <w:pPr>
        <w:jc w:val="center"/>
        <w:rPr>
          <w:rFonts w:ascii="Tahoma" w:hAnsi="Tahoma" w:cs="Tahoma"/>
          <w:b/>
          <w:sz w:val="32"/>
          <w:szCs w:val="32"/>
        </w:rPr>
      </w:pPr>
      <w:r w:rsidRPr="000563AF">
        <w:rPr>
          <w:rFonts w:ascii="Tahoma" w:hAnsi="Tahoma" w:cs="Tahoma"/>
          <w:b/>
          <w:sz w:val="32"/>
          <w:szCs w:val="32"/>
        </w:rPr>
        <w:t xml:space="preserve">Impact of abiotic factors on woody communities </w:t>
      </w:r>
      <w:r w:rsidR="000563AF" w:rsidRPr="000563AF">
        <w:rPr>
          <w:rFonts w:ascii="Tahoma" w:hAnsi="Tahoma" w:cs="Tahoma"/>
          <w:b/>
          <w:sz w:val="32"/>
          <w:szCs w:val="32"/>
        </w:rPr>
        <w:t xml:space="preserve">distribution </w:t>
      </w:r>
      <w:r w:rsidRPr="000563AF">
        <w:rPr>
          <w:rFonts w:ascii="Tahoma" w:hAnsi="Tahoma" w:cs="Tahoma"/>
          <w:b/>
          <w:sz w:val="32"/>
          <w:szCs w:val="32"/>
        </w:rPr>
        <w:t xml:space="preserve">in peri-urban </w:t>
      </w:r>
      <w:r w:rsidR="00C574D2">
        <w:rPr>
          <w:rFonts w:ascii="Tahoma" w:hAnsi="Tahoma" w:cs="Tahoma"/>
          <w:b/>
          <w:sz w:val="32"/>
          <w:szCs w:val="32"/>
        </w:rPr>
        <w:t>wetlands</w:t>
      </w:r>
      <w:r w:rsidRPr="000563AF">
        <w:rPr>
          <w:rFonts w:ascii="Tahoma" w:hAnsi="Tahoma" w:cs="Tahoma"/>
          <w:b/>
          <w:sz w:val="32"/>
          <w:szCs w:val="32"/>
        </w:rPr>
        <w:t xml:space="preserve"> of Yaoundé, Cameroon</w:t>
      </w:r>
    </w:p>
    <w:p w14:paraId="58E34C5A" w14:textId="77777777" w:rsidR="000F2958" w:rsidRDefault="003B2158">
      <w:pPr>
        <w:rPr>
          <w:rFonts w:ascii="Times New Roman" w:hAnsi="Times New Roman" w:cs="Times New Roman"/>
          <w:b/>
          <w:sz w:val="24"/>
          <w:szCs w:val="24"/>
          <w:lang w:val="en-US"/>
        </w:rPr>
      </w:pPr>
      <w:r>
        <w:rPr>
          <w:rFonts w:ascii="Times New Roman" w:hAnsi="Times New Roman" w:cs="Times New Roman"/>
          <w:b/>
          <w:sz w:val="24"/>
          <w:szCs w:val="24"/>
          <w:lang w:val="en-US"/>
        </w:rPr>
        <w:t>Abstract</w:t>
      </w:r>
    </w:p>
    <w:p w14:paraId="22F50498" w14:textId="77777777" w:rsidR="000F2958" w:rsidRDefault="003B2158">
      <w:pPr>
        <w:pStyle w:val="HTMLPreformatted"/>
        <w:spacing w:line="360" w:lineRule="auto"/>
        <w:ind w:firstLine="708"/>
        <w:jc w:val="both"/>
        <w:rPr>
          <w:rFonts w:ascii="Times New Roman" w:eastAsia="Times New Roman" w:hAnsi="Times New Roman" w:cs="Times New Roman"/>
          <w:lang w:val="en-US"/>
        </w:rPr>
      </w:pPr>
      <w:r>
        <w:rPr>
          <w:rFonts w:ascii="Times New Roman" w:eastAsia="Times New Roman" w:hAnsi="Times New Roman" w:cs="Times New Roman"/>
        </w:rPr>
        <w:t>Knowledge of the abiotic factors influencing the spatial distribution of tree species groups is essential for the definition of strategies for conservation and sustainable management of tropical forests. In particular, swamp forests are fragile formations with floristic and ecological specificities with the need for conservation. The flora data collection was carried done using the Braun-Blanquet method of 30 rectangular phytosociological surveys of 25 mx 20 m. Dendrometric measurements were taken on all woody individuals with a DBH ≥ 10 cm at 1.30 m height from the ground. R software was used to discriminate clusters and perform prin</w:t>
      </w:r>
      <w:bookmarkStart w:id="0" w:name="_GoBack"/>
      <w:bookmarkEnd w:id="0"/>
      <w:r>
        <w:rPr>
          <w:rFonts w:ascii="Times New Roman" w:eastAsia="Times New Roman" w:hAnsi="Times New Roman" w:cs="Times New Roman"/>
        </w:rPr>
        <w:t xml:space="preserve">cipal component analysis. Diversity indices were calculated for each cluster. In total, 45 plant species divided into 44 genera and 24 families have been identified. The specific diversity is low in the five woody plant groups identified. The spatial distribution of these woody plant groups does not only depend on the heterogeneity of edaphic conditions but is also determined by microtopography and </w:t>
      </w:r>
      <w:proofErr w:type="gramStart"/>
      <w:r>
        <w:rPr>
          <w:rFonts w:ascii="Times New Roman" w:eastAsia="Times New Roman" w:hAnsi="Times New Roman" w:cs="Times New Roman"/>
        </w:rPr>
        <w:t>anthropization .</w:t>
      </w:r>
      <w:proofErr w:type="gramEnd"/>
      <w:r>
        <w:rPr>
          <w:rFonts w:ascii="Times New Roman" w:eastAsia="Times New Roman" w:hAnsi="Times New Roman" w:cs="Times New Roman"/>
        </w:rPr>
        <w:t xml:space="preserve"> Thus, the group of </w:t>
      </w:r>
      <w:r>
        <w:rPr>
          <w:rFonts w:ascii="Times New Roman" w:eastAsia="Times New Roman" w:hAnsi="Times New Roman" w:cs="Times New Roman"/>
          <w:i/>
          <w:iCs/>
        </w:rPr>
        <w:t xml:space="preserve">Raphia mombuttorum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Alstonia boonei </w:t>
      </w:r>
      <w:r>
        <w:rPr>
          <w:rFonts w:ascii="Times New Roman" w:eastAsia="Times New Roman" w:hAnsi="Times New Roman" w:cs="Times New Roman"/>
        </w:rPr>
        <w:t xml:space="preserve">and the group of </w:t>
      </w:r>
      <w:r>
        <w:rPr>
          <w:rFonts w:ascii="Times New Roman" w:eastAsia="Times New Roman" w:hAnsi="Times New Roman" w:cs="Times New Roman"/>
          <w:i/>
          <w:iCs/>
        </w:rPr>
        <w:t xml:space="preserve">Uapaca guineensis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R. mombuttorum </w:t>
      </w:r>
      <w:r>
        <w:rPr>
          <w:rFonts w:ascii="Times New Roman" w:eastAsia="Times New Roman" w:hAnsi="Times New Roman" w:cs="Times New Roman"/>
        </w:rPr>
        <w:t xml:space="preserve">with little human impact and occupying the clay-textured soils of steep-sided land with poor drainage present a stable structure. On the other hand, the grouping with </w:t>
      </w:r>
      <w:r>
        <w:rPr>
          <w:rFonts w:ascii="Times New Roman" w:eastAsia="Times New Roman" w:hAnsi="Times New Roman" w:cs="Times New Roman"/>
          <w:i/>
          <w:iCs/>
        </w:rPr>
        <w:t xml:space="preserve">Mitragyna stipulosa </w:t>
      </w:r>
      <w:r>
        <w:rPr>
          <w:rFonts w:ascii="Times New Roman" w:eastAsia="Times New Roman" w:hAnsi="Times New Roman" w:cs="Times New Roman"/>
        </w:rPr>
        <w:t xml:space="preserve">and R. mombuttorum ; the group with </w:t>
      </w:r>
      <w:r>
        <w:rPr>
          <w:rFonts w:ascii="Times New Roman" w:eastAsia="Times New Roman" w:hAnsi="Times New Roman" w:cs="Times New Roman"/>
          <w:i/>
          <w:iCs/>
        </w:rPr>
        <w:t xml:space="preserve">R. mombuttorum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Alchornea cordifolia </w:t>
      </w:r>
      <w:r>
        <w:rPr>
          <w:rFonts w:ascii="Times New Roman" w:eastAsia="Times New Roman" w:hAnsi="Times New Roman" w:cs="Times New Roman"/>
        </w:rPr>
        <w:t xml:space="preserve">and the group with </w:t>
      </w:r>
      <w:r>
        <w:rPr>
          <w:rFonts w:ascii="Times New Roman" w:eastAsia="Times New Roman" w:hAnsi="Times New Roman" w:cs="Times New Roman"/>
          <w:i/>
          <w:iCs/>
        </w:rPr>
        <w:t xml:space="preserve">M. stipulosa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U. guineensis </w:t>
      </w:r>
      <w:r>
        <w:rPr>
          <w:rFonts w:ascii="Times New Roman" w:eastAsia="Times New Roman" w:hAnsi="Times New Roman" w:cs="Times New Roman"/>
        </w:rPr>
        <w:t>which are highly anthropized and developed on clayey-sandy textured soils of flat, well-drained land are formations with an unbalanced structure. Despite human activities affecting the integrity of the groups, the swamp forests under study have great ecological value.</w:t>
      </w:r>
    </w:p>
    <w:p w14:paraId="2CBE0FBD" w14:textId="77777777" w:rsidR="000F2958" w:rsidRDefault="000F2958">
      <w:pPr>
        <w:pStyle w:val="HTMLPreformatted"/>
        <w:rPr>
          <w:rFonts w:ascii="Times New Roman" w:eastAsia="Times New Roman" w:hAnsi="Times New Roman" w:cs="Times New Roman"/>
          <w:lang w:val="en-US"/>
        </w:rPr>
      </w:pPr>
    </w:p>
    <w:p w14:paraId="126E9B4E" w14:textId="77777777" w:rsidR="000F2958" w:rsidRDefault="000F2958">
      <w:pPr>
        <w:pStyle w:val="HTMLPreformatted"/>
        <w:rPr>
          <w:rFonts w:ascii="Times New Roman" w:eastAsia="Times New Roman" w:hAnsi="Times New Roman" w:cs="Times New Roman"/>
          <w:lang w:val="en-US"/>
        </w:rPr>
      </w:pPr>
    </w:p>
    <w:p w14:paraId="3848CA6A" w14:textId="77777777" w:rsidR="000F2958" w:rsidRDefault="003B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rPr>
        <w:t xml:space="preserve">Key </w:t>
      </w:r>
      <w:proofErr w:type="gramStart"/>
      <w:r>
        <w:rPr>
          <w:rFonts w:ascii="Times New Roman" w:eastAsia="Times New Roman" w:hAnsi="Times New Roman" w:cs="Times New Roman"/>
          <w:b/>
          <w:bCs/>
          <w:sz w:val="20"/>
          <w:szCs w:val="20"/>
        </w:rPr>
        <w:t>words:</w:t>
      </w:r>
      <w:proofErr w:type="gramEnd"/>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Swamp forests, woody plant groups, anthropization , ecological variables, city of Yaounde </w:t>
      </w:r>
    </w:p>
    <w:p w14:paraId="5B8A1E7F" w14:textId="77777777" w:rsidR="000F2958" w:rsidRDefault="000F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p>
    <w:p w14:paraId="57EBA307" w14:textId="77777777" w:rsidR="000F2958" w:rsidRDefault="003B2158">
      <w:pPr>
        <w:pStyle w:val="ListParagraph"/>
        <w:numPr>
          <w:ilvl w:val="0"/>
          <w:numId w:val="3"/>
        </w:numPr>
        <w:rPr>
          <w:rFonts w:ascii="Times New Roman" w:hAnsi="Times New Roman" w:cs="Times New Roman"/>
          <w:b/>
          <w:sz w:val="24"/>
          <w:szCs w:val="24"/>
        </w:rPr>
      </w:pPr>
      <w:r>
        <w:rPr>
          <w:rFonts w:ascii="Times New Roman" w:hAnsi="Times New Roman" w:cs="Times New Roman"/>
          <w:b/>
          <w:sz w:val="24"/>
          <w:szCs w:val="24"/>
        </w:rPr>
        <w:t>Introduction</w:t>
      </w:r>
    </w:p>
    <w:p w14:paraId="05DA1BF6" w14:textId="690BCE9C"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A much more explanatory approach to the structure of a plant group and its evolution involves a phytoecological analysis.</w:t>
      </w:r>
      <w:r>
        <w:t xml:space="preserve"> </w:t>
      </w:r>
      <w:r>
        <w:rPr>
          <w:rFonts w:ascii="Times New Roman" w:hAnsi="Times New Roman" w:cs="Times New Roman"/>
          <w:sz w:val="24"/>
          <w:szCs w:val="24"/>
        </w:rPr>
        <w:t xml:space="preserve">This technique leads to a partition of space into management units </w:t>
      </w:r>
      <w:proofErr w:type="gramStart"/>
      <w:r>
        <w:rPr>
          <w:rFonts w:ascii="Times New Roman" w:hAnsi="Times New Roman" w:cs="Times New Roman"/>
          <w:sz w:val="24"/>
          <w:szCs w:val="24"/>
        </w:rPr>
        <w:t>( Hakizimana</w:t>
      </w:r>
      <w:proofErr w:type="gramEnd"/>
      <w:r>
        <w:rPr>
          <w:rFonts w:ascii="Times New Roman" w:hAnsi="Times New Roman" w:cs="Times New Roman"/>
          <w:sz w:val="24"/>
          <w:szCs w:val="24"/>
        </w:rPr>
        <w:t xml:space="preserve"> et al., 2012 </w:t>
      </w:r>
      <w:r>
        <w:rPr>
          <w:rFonts w:ascii="Times New Roman" w:hAnsi="Times New Roman" w:cs="Times New Roman"/>
          <w:b/>
          <w:sz w:val="24"/>
          <w:szCs w:val="24"/>
        </w:rPr>
        <w:t>)</w:t>
      </w:r>
      <w:r w:rsidR="003E54D6" w:rsidRPr="003E54D6">
        <w:rPr>
          <w:rFonts w:ascii="Times New Roman" w:hAnsi="Times New Roman" w:cs="Times New Roman"/>
          <w:sz w:val="24"/>
          <w:szCs w:val="24"/>
          <w:vertAlign w:val="subscript"/>
        </w:rPr>
        <w:t>.</w:t>
      </w:r>
      <w:r w:rsidR="003E54D6">
        <w:rPr>
          <w:rFonts w:ascii="Times New Roman" w:hAnsi="Times New Roman" w:cs="Times New Roman"/>
          <w:sz w:val="24"/>
          <w:szCs w:val="24"/>
          <w:vertAlign w:val="superscript"/>
        </w:rPr>
        <w:t xml:space="preserve"> </w:t>
      </w:r>
      <w:r>
        <w:rPr>
          <w:rFonts w:ascii="Times New Roman" w:hAnsi="Times New Roman" w:cs="Times New Roman"/>
          <w:sz w:val="24"/>
          <w:szCs w:val="24"/>
        </w:rPr>
        <w:t>These authors indicate that the vegetation series is individuali</w:t>
      </w:r>
      <w:r>
        <w:rPr>
          <w:rFonts w:ascii="Times New Roman" w:hAnsi="Times New Roman" w:cs="Times New Roman"/>
          <w:sz w:val="24"/>
          <w:szCs w:val="24"/>
          <w:lang w:val="en-US"/>
        </w:rPr>
        <w:t xml:space="preserve">sed </w:t>
      </w:r>
      <w:r>
        <w:rPr>
          <w:rFonts w:ascii="Times New Roman" w:hAnsi="Times New Roman" w:cs="Times New Roman"/>
          <w:sz w:val="24"/>
          <w:szCs w:val="24"/>
        </w:rPr>
        <w:t>based on quantitative criteria relat</w:t>
      </w:r>
      <w:r>
        <w:rPr>
          <w:rFonts w:ascii="Times New Roman" w:hAnsi="Times New Roman" w:cs="Times New Roman"/>
          <w:sz w:val="24"/>
          <w:szCs w:val="24"/>
          <w:lang w:val="en-US"/>
        </w:rPr>
        <w:t xml:space="preserve">ing </w:t>
      </w:r>
      <w:r>
        <w:rPr>
          <w:rFonts w:ascii="Times New Roman" w:hAnsi="Times New Roman" w:cs="Times New Roman"/>
          <w:sz w:val="24"/>
          <w:szCs w:val="24"/>
        </w:rPr>
        <w:t>to forest areas degraded or not by urba</w:t>
      </w:r>
      <w:r>
        <w:rPr>
          <w:rFonts w:ascii="Times New Roman" w:hAnsi="Times New Roman" w:cs="Times New Roman"/>
          <w:sz w:val="24"/>
          <w:szCs w:val="24"/>
          <w:lang w:val="en-US"/>
        </w:rPr>
        <w:t>nisation</w:t>
      </w:r>
      <w:r>
        <w:rPr>
          <w:rFonts w:ascii="Times New Roman" w:hAnsi="Times New Roman" w:cs="Times New Roman"/>
          <w:sz w:val="24"/>
          <w:szCs w:val="24"/>
        </w:rPr>
        <w:t>, and especially by qualitative criteria related to the types of plant groups.</w:t>
      </w:r>
      <w:r>
        <w:t xml:space="preserve"> </w:t>
      </w:r>
      <w:r>
        <w:rPr>
          <w:rFonts w:ascii="Times New Roman" w:hAnsi="Times New Roman" w:cs="Times New Roman"/>
          <w:sz w:val="24"/>
          <w:szCs w:val="24"/>
        </w:rPr>
        <w:t>The abiotic factors that determine the distribution of plant communities are rarely uniform and continuous in time and space, and their identification is a major concern in synecology. Moreover, studies of forest typology provide a biological response to site heterogeneity, which is a reflection of geomorphological and pedological characteristics (Vleminckx et al., 2014)</w:t>
      </w:r>
      <w:r w:rsidR="009F2C43" w:rsidRPr="009F2C43">
        <w:rPr>
          <w:rFonts w:ascii="Times New Roman" w:hAnsi="Times New Roman" w:cs="Times New Roman"/>
          <w:b/>
          <w:color w:val="FF0000"/>
          <w:sz w:val="24"/>
          <w:szCs w:val="24"/>
        </w:rPr>
        <w:t>.</w:t>
      </w:r>
      <w:r w:rsidR="009F2C43">
        <w:rPr>
          <w:rFonts w:ascii="Times New Roman" w:hAnsi="Times New Roman" w:cs="Times New Roman"/>
          <w:sz w:val="24"/>
          <w:szCs w:val="24"/>
        </w:rPr>
        <w:t xml:space="preserve"> </w:t>
      </w:r>
      <w:r>
        <w:rPr>
          <w:rFonts w:ascii="Times New Roman" w:hAnsi="Times New Roman" w:cs="Times New Roman"/>
          <w:sz w:val="24"/>
          <w:szCs w:val="24"/>
        </w:rPr>
        <w:t>Such information is lacking in the Cameroonian context, which constitutes a fundamental challenge complicating the task for scientists, conservat</w:t>
      </w:r>
      <w:r>
        <w:rPr>
          <w:rFonts w:ascii="Times New Roman" w:hAnsi="Times New Roman" w:cs="Times New Roman"/>
          <w:sz w:val="24"/>
          <w:szCs w:val="24"/>
          <w:lang w:val="en-US"/>
        </w:rPr>
        <w:t>ors</w:t>
      </w:r>
      <w:r>
        <w:rPr>
          <w:rFonts w:ascii="Times New Roman" w:hAnsi="Times New Roman" w:cs="Times New Roman"/>
          <w:sz w:val="24"/>
          <w:szCs w:val="24"/>
        </w:rPr>
        <w:t xml:space="preserve"> and wetland managers who often have to work with limited data to study, restore and sustainably manage the floristic heritage that swamp forests shelter. Yet, knowledge of these factors is crucial to define the management modalities of forest stands (Kossi et al., 2016)</w:t>
      </w:r>
      <w:r w:rsidR="001760E9">
        <w:rPr>
          <w:rFonts w:ascii="Times New Roman" w:hAnsi="Times New Roman" w:cs="Times New Roman"/>
          <w:sz w:val="24"/>
          <w:szCs w:val="24"/>
        </w:rPr>
        <w:t>.</w:t>
      </w:r>
      <w:r>
        <w:rPr>
          <w:rFonts w:ascii="Times New Roman" w:hAnsi="Times New Roman" w:cs="Times New Roman"/>
          <w:sz w:val="24"/>
          <w:szCs w:val="24"/>
        </w:rPr>
        <w:t xml:space="preserve"> As several authors recognize, the mechanisms of specific coexistence are dependent on the scale of investigation. If, at the biogeographic </w:t>
      </w:r>
      <w:r>
        <w:rPr>
          <w:rFonts w:ascii="Times New Roman" w:hAnsi="Times New Roman" w:cs="Times New Roman"/>
          <w:sz w:val="24"/>
          <w:szCs w:val="24"/>
        </w:rPr>
        <w:lastRenderedPageBreak/>
        <w:t xml:space="preserve">scale, communities are linked to geological, historical and climatic causes (Amani et al., 2013), abiotic factors such as relief, nature of the substrate, edaphic conditions are the most likely to explain the coexistence of species at a regional or local scale (Russo et al., 2005). The constituent species of swamp forests are typical riparians which contrast sharply with the adjacent vegetation (Sambaré, 2020). In tropical environments, swamp forests provide numerous ecosystem services to populations in both rural and urban areas. These ecosystem services include flood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groundwater recharge ; retention and export of sediments and nutrients; water purification; the role of reservoir of biological diversity; non-timber forest products and climate change mitigation ( Sabi Lolo Ilou et al., 2017)</w:t>
      </w:r>
      <w:r w:rsidR="007A6B47">
        <w:rPr>
          <w:rFonts w:ascii="Times New Roman" w:hAnsi="Times New Roman" w:cs="Times New Roman"/>
          <w:sz w:val="24"/>
          <w:szCs w:val="24"/>
        </w:rPr>
        <w:t>.</w:t>
      </w:r>
      <w:r>
        <w:rPr>
          <w:rFonts w:ascii="Times New Roman" w:hAnsi="Times New Roman" w:cs="Times New Roman"/>
          <w:sz w:val="24"/>
          <w:szCs w:val="24"/>
        </w:rPr>
        <w:t xml:space="preserve"> </w:t>
      </w:r>
    </w:p>
    <w:p w14:paraId="1B6F6CBC" w14:textId="2C1B7F3E"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n the tropics, we are witnessing a process of widespread degradation of swamp forests, aggravated by unfavorable socio-economic and pedoclimatic contexts (Dossou et al., 2012)</w:t>
      </w:r>
      <w:r w:rsidR="00E47BD2">
        <w:rPr>
          <w:rFonts w:ascii="Times New Roman" w:hAnsi="Times New Roman" w:cs="Times New Roman"/>
          <w:sz w:val="24"/>
          <w:szCs w:val="24"/>
        </w:rPr>
        <w:t xml:space="preserve">. </w:t>
      </w:r>
      <w:r>
        <w:rPr>
          <w:rFonts w:ascii="Times New Roman" w:hAnsi="Times New Roman" w:cs="Times New Roman"/>
          <w:sz w:val="24"/>
          <w:szCs w:val="24"/>
        </w:rPr>
        <w:t xml:space="preserve">This degradation is accompanied by the modification of the structure of plant groups by a considerable reductionresources in </w:t>
      </w:r>
      <w:proofErr w:type="gramStart"/>
      <w:r>
        <w:rPr>
          <w:rFonts w:ascii="Times New Roman" w:hAnsi="Times New Roman" w:cs="Times New Roman"/>
          <w:sz w:val="24"/>
          <w:szCs w:val="24"/>
        </w:rPr>
        <w:t>woody  (</w:t>
      </w:r>
      <w:proofErr w:type="gramEnd"/>
      <w:r>
        <w:rPr>
          <w:rFonts w:ascii="Times New Roman" w:hAnsi="Times New Roman" w:cs="Times New Roman"/>
          <w:sz w:val="24"/>
          <w:szCs w:val="24"/>
        </w:rPr>
        <w:t>Missa et al., 2020)</w:t>
      </w:r>
      <w:r w:rsidR="00E47BD2">
        <w:rPr>
          <w:rFonts w:ascii="Times New Roman" w:hAnsi="Times New Roman" w:cs="Times New Roman"/>
          <w:sz w:val="24"/>
          <w:szCs w:val="24"/>
        </w:rPr>
        <w:t>.</w:t>
      </w:r>
      <w:r>
        <w:rPr>
          <w:rFonts w:ascii="Times New Roman" w:hAnsi="Times New Roman" w:cs="Times New Roman"/>
          <w:sz w:val="24"/>
          <w:szCs w:val="24"/>
        </w:rPr>
        <w:t xml:space="preserve"> The loss of natural resources constituting a threat to humanity has become a fundamental concern since the Rio Conference in 1992. Thus, research aimed at the ecological characterization of swamp forests exposed to deforestation is timely to contribute to their optimal conservation. However, the question of the relationships between abiotic factors and the distribution of woody groups remains unresolved in the Central African sub-region in general and in Cameroon in particular. Even if anthropization is the most discussed determining factor in the spatial distribution of woody stands (Mbarga et al., 2017a)</w:t>
      </w:r>
      <w:r w:rsidR="00220647">
        <w:rPr>
          <w:rFonts w:ascii="Times New Roman" w:hAnsi="Times New Roman" w:cs="Times New Roman"/>
          <w:sz w:val="24"/>
          <w:szCs w:val="24"/>
        </w:rPr>
        <w:t>,</w:t>
      </w:r>
      <w:r>
        <w:rPr>
          <w:rFonts w:ascii="Times New Roman" w:hAnsi="Times New Roman" w:cs="Times New Roman"/>
          <w:sz w:val="24"/>
          <w:szCs w:val="24"/>
        </w:rPr>
        <w:t xml:space="preserve"> edaphic conditions and microtopographic position are nonetheless essential for the distribution of groups at the scale of a swamp forest (Sambaré et </w:t>
      </w:r>
      <w:proofErr w:type="gramStart"/>
      <w:r>
        <w:rPr>
          <w:rFonts w:ascii="Times New Roman" w:hAnsi="Times New Roman" w:cs="Times New Roman"/>
          <w:sz w:val="24"/>
          <w:szCs w:val="24"/>
        </w:rPr>
        <w:t>al .</w:t>
      </w:r>
      <w:proofErr w:type="gramEnd"/>
      <w:r>
        <w:rPr>
          <w:rFonts w:ascii="Times New Roman" w:hAnsi="Times New Roman" w:cs="Times New Roman"/>
          <w:sz w:val="24"/>
          <w:szCs w:val="24"/>
        </w:rPr>
        <w:t>, 2010)</w:t>
      </w:r>
      <w:r w:rsidR="00220647">
        <w:rPr>
          <w:rFonts w:ascii="Times New Roman" w:hAnsi="Times New Roman" w:cs="Times New Roman"/>
          <w:sz w:val="24"/>
          <w:szCs w:val="24"/>
        </w:rPr>
        <w:t>.</w:t>
      </w:r>
      <w:r>
        <w:rPr>
          <w:rFonts w:ascii="Times New Roman" w:hAnsi="Times New Roman" w:cs="Times New Roman"/>
          <w:sz w:val="24"/>
          <w:szCs w:val="24"/>
        </w:rPr>
        <w:t xml:space="preserve"> </w:t>
      </w:r>
    </w:p>
    <w:p w14:paraId="1CAB1CE6"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The objectives of this work are to: (1) determine the floristic diversity and specific richness of woody groups; (2) characterize the structure of the different woody groups; (3) analyze the impact of abiotic factors on the spatial distribution of woody groups in the swamp forests around the city of Yaoundé.</w:t>
      </w:r>
    </w:p>
    <w:p w14:paraId="6B806AA9" w14:textId="77777777" w:rsidR="000F2958" w:rsidRDefault="003B2158">
      <w:pPr>
        <w:pStyle w:val="ListParagraph"/>
        <w:numPr>
          <w:ilvl w:val="0"/>
          <w:numId w:val="3"/>
        </w:numPr>
        <w:spacing w:line="240" w:lineRule="auto"/>
        <w:rPr>
          <w:rFonts w:ascii="Times New Roman" w:hAnsi="Times New Roman" w:cs="Times New Roman"/>
          <w:b/>
          <w:sz w:val="24"/>
          <w:szCs w:val="24"/>
        </w:rPr>
      </w:pPr>
      <w:r>
        <w:rPr>
          <w:rFonts w:ascii="Times New Roman" w:hAnsi="Times New Roman" w:cs="Times New Roman"/>
          <w:b/>
          <w:sz w:val="24"/>
          <w:szCs w:val="24"/>
        </w:rPr>
        <w:t>Materials and methods</w:t>
      </w:r>
    </w:p>
    <w:p w14:paraId="3888BDB2" w14:textId="77777777" w:rsidR="000F2958" w:rsidRDefault="003B2158">
      <w:pPr>
        <w:spacing w:line="240" w:lineRule="auto"/>
        <w:ind w:left="360"/>
        <w:rPr>
          <w:rFonts w:ascii="Times New Roman" w:hAnsi="Times New Roman" w:cs="Times New Roman"/>
          <w:b/>
          <w:sz w:val="24"/>
          <w:szCs w:val="24"/>
        </w:rPr>
      </w:pPr>
      <w:r>
        <w:rPr>
          <w:rFonts w:ascii="Times New Roman" w:hAnsi="Times New Roman" w:cs="Times New Roman"/>
          <w:b/>
          <w:sz w:val="24"/>
          <w:szCs w:val="24"/>
        </w:rPr>
        <w:t>2-1 Study environment</w:t>
      </w:r>
    </w:p>
    <w:p w14:paraId="70E22982" w14:textId="75119501"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The study was conducted in the south-east of the surrounding area of the city of Yaoundé (2°06 and 6°14N - 9°42 and 13°45E) (Figure 1), in the departments of Mfoundi and Mefou - et- Afamba. The studied environment is limited to the north by the city of Yaoundé and to the south by Nsimalen international airport. The relief is irregular and consists of a set of hills and valleys, between 700 and 1200 m above sea level.</w:t>
      </w:r>
    </w:p>
    <w:p w14:paraId="2F5F43E2" w14:textId="6881A75B" w:rsidR="000F2958" w:rsidRDefault="003B2158">
      <w:pPr>
        <w:ind w:left="360" w:firstLine="348"/>
        <w:jc w:val="both"/>
        <w:rPr>
          <w:rFonts w:ascii="Times New Roman" w:hAnsi="Times New Roman" w:cs="Times New Roman"/>
          <w:sz w:val="24"/>
          <w:szCs w:val="24"/>
        </w:rPr>
      </w:pPr>
      <w:proofErr w:type="gramStart"/>
      <w:r>
        <w:rPr>
          <w:rFonts w:ascii="Times New Roman" w:hAnsi="Times New Roman" w:cs="Times New Roman"/>
          <w:sz w:val="24"/>
          <w:szCs w:val="24"/>
        </w:rPr>
        <w:t>composed</w:t>
      </w:r>
      <w:proofErr w:type="gramEnd"/>
      <w:r>
        <w:rPr>
          <w:rFonts w:ascii="Times New Roman" w:hAnsi="Times New Roman" w:cs="Times New Roman"/>
          <w:sz w:val="24"/>
          <w:szCs w:val="24"/>
        </w:rPr>
        <w:t xml:space="preserve"> of micaschists and gneiss while the soils belong to the class of medium to highly desaturated reworked ferralitic soils (Brabant and Humbel , 1974)</w:t>
      </w:r>
      <w:r w:rsidR="00220647">
        <w:rPr>
          <w:rFonts w:ascii="Times New Roman" w:hAnsi="Times New Roman" w:cs="Times New Roman"/>
          <w:sz w:val="24"/>
          <w:szCs w:val="24"/>
        </w:rPr>
        <w:t>.</w:t>
      </w:r>
      <w:r>
        <w:rPr>
          <w:rFonts w:ascii="Times New Roman" w:hAnsi="Times New Roman" w:cs="Times New Roman"/>
          <w:sz w:val="24"/>
          <w:szCs w:val="24"/>
        </w:rPr>
        <w:t xml:space="preserve"> In the marshy areas, more or less organic hydromorphic soils are observed.</w:t>
      </w:r>
    </w:p>
    <w:p w14:paraId="74BBFF0E" w14:textId="707C788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The hydrographic network is made up of several watercourses, the most important of which are the Abiergué, the Anga'a, the Mefou and the Mfoundi.</w:t>
      </w:r>
    </w:p>
    <w:p w14:paraId="6B34A0A3" w14:textId="7777777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The climate is of the Guinean equatorial type with two dry seasons and two rainy seasons alternating and of unequal intensity: long rainy season (September-November); long dry season (December-February); short rainy season (March-June); short dry season (July-August). Average monthly temperatures vary from 18°C to 28°C in the wet season and from 16°C to 31°C in the dry season. Average relative humidity ranges between 65% and 78%.</w:t>
      </w:r>
    </w:p>
    <w:p w14:paraId="5D03846D" w14:textId="7777777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The indigenous population is primarily made up of Ewondo people, who depend on agriculture and, to a lesser extent, livestock farming. This urban and peri-urban agriculture is practiced in the neighboring marshy areas. These socioeconomic activities have impacts that negatively influence the structure, functioning, and dynamics of the woody communities in the marshy areas.</w:t>
      </w:r>
    </w:p>
    <w:p w14:paraId="6AFC2322" w14:textId="53B2BDEF"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Phytogeographically, the study environment is an integral part of the low and medium altitude semi-deciduous humid dense forest zone. It is marked by the dominance of Euphorbiaceae, Sterculiaceae, Ulmaceae, etc. (Letouzey, 1985). </w:t>
      </w:r>
      <w:r>
        <w:rPr>
          <w:rFonts w:ascii="Times New Roman" w:hAnsi="Times New Roman" w:cs="Times New Roman"/>
          <w:i/>
          <w:sz w:val="24"/>
          <w:szCs w:val="24"/>
        </w:rPr>
        <w:t xml:space="preserve">This </w:t>
      </w:r>
      <w:r>
        <w:rPr>
          <w:rFonts w:ascii="Times New Roman" w:hAnsi="Times New Roman" w:cs="Times New Roman"/>
          <w:sz w:val="24"/>
          <w:szCs w:val="24"/>
        </w:rPr>
        <w:t xml:space="preserve">forest </w:t>
      </w:r>
      <w:r>
        <w:rPr>
          <w:rFonts w:ascii="Times New Roman" w:hAnsi="Times New Roman" w:cs="Times New Roman"/>
          <w:i/>
          <w:sz w:val="24"/>
          <w:szCs w:val="24"/>
        </w:rPr>
        <w:t xml:space="preserve">vegetation </w:t>
      </w:r>
      <w:r>
        <w:rPr>
          <w:rFonts w:ascii="Times New Roman" w:hAnsi="Times New Roman" w:cs="Times New Roman"/>
          <w:sz w:val="24"/>
          <w:szCs w:val="24"/>
        </w:rPr>
        <w:t xml:space="preserve">is </w:t>
      </w:r>
      <w:r>
        <w:rPr>
          <w:rFonts w:ascii="Times New Roman" w:hAnsi="Times New Roman" w:cs="Times New Roman"/>
          <w:i/>
          <w:sz w:val="24"/>
          <w:szCs w:val="24"/>
        </w:rPr>
        <w:t xml:space="preserve">very </w:t>
      </w:r>
      <w:r>
        <w:rPr>
          <w:rFonts w:ascii="Times New Roman" w:hAnsi="Times New Roman" w:cs="Times New Roman"/>
          <w:sz w:val="24"/>
          <w:szCs w:val="24"/>
        </w:rPr>
        <w:t xml:space="preserve">degraded due to human </w:t>
      </w:r>
      <w:r w:rsidRPr="00EE53C7">
        <w:rPr>
          <w:rFonts w:ascii="Times New Roman" w:hAnsi="Times New Roman" w:cs="Times New Roman"/>
          <w:sz w:val="24"/>
          <w:szCs w:val="24"/>
        </w:rPr>
        <w:t>activity mainly</w:t>
      </w:r>
      <w:r w:rsidRPr="00EE53C7">
        <w:rPr>
          <w:rFonts w:ascii="Times New Roman" w:hAnsi="Times New Roman" w:cs="Times New Roman"/>
          <w:b/>
          <w:color w:val="FF0000"/>
          <w:sz w:val="24"/>
          <w:szCs w:val="24"/>
        </w:rPr>
        <w:t xml:space="preserve">. </w:t>
      </w:r>
      <w:r w:rsidRPr="00EE53C7">
        <w:rPr>
          <w:rFonts w:ascii="Times New Roman" w:hAnsi="Times New Roman" w:cs="Times New Roman"/>
          <w:sz w:val="24"/>
          <w:szCs w:val="24"/>
        </w:rPr>
        <w:t>However</w:t>
      </w:r>
      <w:r>
        <w:rPr>
          <w:rFonts w:ascii="Times New Roman" w:hAnsi="Times New Roman" w:cs="Times New Roman"/>
          <w:sz w:val="24"/>
          <w:szCs w:val="24"/>
        </w:rPr>
        <w:t>, in areas far from the city of Yaoundé, the swamp forests are relatively well preserved. The sampled sites are ecologically different and are far from the city of Yaoundé; with the exception of the Mvan-Nkolnkié site which is 4 km as the crow flies from the city center. This site is located around the Nkié River, a tributary of the Mfoundi. The vegetation adjacent to the swamp forest is completely destroyed by agricultural activities and residential houses. The Odza I site is located approximately 9 km from the urban center. The retained swamp forest is anthropized and borders the Odza river, a tributary of the Mfoundi. The Minkan site is located around the Anga'a river, a tributary of the Mefou. It is located about twelve kilometers from the city of Yaoundé. Although not benefiting from protected status, the swamp forest is relatively intact. The Nkolnda site is located about fifteen kilometers from the city of Yaoundé. The swamp forest bordering the Abiergué river has been destroyed by local populations for agricultural activities. The Nkolmefou site is located 17 km from the city of Yaoundé. The swamp forest runs along the Mefou. Agricultural activities are often practiced there. The Nsimalen site is located 18 km from the urban center of Yaoundé. This site is located near Yaoundé- Nsimalen International Airport and benefits from some protection as such. The swamp forest borders the Mefou River, and agricultural and logging activities are prohibited there.</w:t>
      </w:r>
    </w:p>
    <w:p w14:paraId="65DCD1E0" w14:textId="77777777" w:rsidR="000F2958" w:rsidRDefault="003B2158">
      <w:pPr>
        <w:ind w:left="360" w:firstLine="348"/>
        <w:jc w:val="center"/>
        <w:rPr>
          <w:rFonts w:ascii="Times New Roman" w:hAnsi="Times New Roman" w:cs="Times New Roman"/>
          <w:sz w:val="24"/>
          <w:szCs w:val="24"/>
        </w:rPr>
      </w:pPr>
      <w:r>
        <w:rPr>
          <w:noProof/>
          <w:lang w:val="en-US"/>
        </w:rPr>
        <w:lastRenderedPageBreak/>
        <w:drawing>
          <wp:inline distT="0" distB="0" distL="0" distR="0" wp14:anchorId="01D36E4F" wp14:editId="273B8C77">
            <wp:extent cx="3029301" cy="3130277"/>
            <wp:effectExtent l="0" t="0" r="0" b="0"/>
            <wp:docPr id="102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8" cstate="print"/>
                    <a:srcRect/>
                    <a:stretch/>
                  </pic:blipFill>
                  <pic:spPr>
                    <a:xfrm>
                      <a:off x="0" y="0"/>
                      <a:ext cx="3029301" cy="3130277"/>
                    </a:xfrm>
                    <a:prstGeom prst="rect">
                      <a:avLst/>
                    </a:prstGeom>
                  </pic:spPr>
                </pic:pic>
              </a:graphicData>
            </a:graphic>
          </wp:inline>
        </w:drawing>
      </w:r>
    </w:p>
    <w:p w14:paraId="636C6866" w14:textId="77777777" w:rsidR="000F2958" w:rsidRDefault="003B2158">
      <w:pPr>
        <w:spacing w:line="240" w:lineRule="auto"/>
        <w:ind w:left="360" w:firstLine="348"/>
        <w:jc w:val="both"/>
        <w:rPr>
          <w:rFonts w:ascii="Times New Roman" w:hAnsi="Times New Roman" w:cs="Times New Roman"/>
          <w:sz w:val="24"/>
          <w:szCs w:val="24"/>
        </w:rPr>
      </w:pPr>
      <w:r>
        <w:rPr>
          <w:rFonts w:ascii="Times New Roman" w:hAnsi="Times New Roman" w:cs="Times New Roman"/>
          <w:sz w:val="24"/>
          <w:szCs w:val="24"/>
        </w:rPr>
        <w:t>Figure 1. Geographic location of sites and spatial distribution of phytosociological surveys.</w:t>
      </w:r>
    </w:p>
    <w:p w14:paraId="50EDEBB8"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2-2. Phytosociological and dendrometric surveys</w:t>
      </w:r>
    </w:p>
    <w:p w14:paraId="5278C371" w14:textId="44250EF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A total of 30 phytosociological surveys were carried out from July to August 2022 on the study sites. Data collection corresponded to the short dry season (June-August). On each site, five 25 m long transects were installed on either side of the watercourse on both banks. The transects are perpendicular to the watercourses and their distance is variable (50–100 m). These variations in distance between the transects are explained by the fact that, when a transect falls on an inaccessible point, we move it. On each transect, a rectangular plot of 25 x 20 m or 500 m² installed for floristic inventories. The phytosociological surveys were carried out according to the Zurich -Montpellier Braun-Blanquet sigmatist method defined by Guinochet (1973).</w:t>
      </w:r>
    </w:p>
    <w:p w14:paraId="7DEE9878"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In the same phytosociological survey plots, dendrometric surveys were carried out on trees with a diameter at breast height greater than or equal to 10 cm </w:t>
      </w:r>
      <w:proofErr w:type="gramStart"/>
      <w:r>
        <w:rPr>
          <w:rFonts w:ascii="Times New Roman" w:hAnsi="Times New Roman" w:cs="Times New Roman"/>
          <w:sz w:val="24"/>
          <w:szCs w:val="24"/>
        </w:rPr>
        <w:t>( dbh</w:t>
      </w:r>
      <w:proofErr w:type="gramEnd"/>
      <w:r>
        <w:rPr>
          <w:rFonts w:ascii="Times New Roman" w:hAnsi="Times New Roman" w:cs="Times New Roman"/>
          <w:sz w:val="24"/>
          <w:szCs w:val="24"/>
        </w:rPr>
        <w:t xml:space="preserve"> ≥ 10 cm). The height of these trees was also recorded.</w:t>
      </w:r>
    </w:p>
    <w:p w14:paraId="455C2C4E"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2-3. Collection of ecological data</w:t>
      </w:r>
    </w:p>
    <w:p w14:paraId="7C1C77C9"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Ecological data were also recorded in each plot. They relate to microtopography (flat terrain, steep terrain), anthropization (little anthropization, very anthropization) and edaphic conditions, namely: drainage (good drainage, poor drainage), humidity (little humidity, very humidity) and soil texture (sandy clay; clayey). Soil texture (% sand and clay) was determined on samples taken from the first 30 cm of soil in the four corners and the center of each plot. These different samples were mixed to constitute a composite sample per plot for a granulometric analysis to lead to the determination of the soil texture of each marsh at the IITA (International Institute of Tropical Agriculture) laboratory.</w:t>
      </w:r>
    </w:p>
    <w:p w14:paraId="6B2C56D9" w14:textId="77777777" w:rsidR="000F2958" w:rsidRDefault="003B2158">
      <w:pPr>
        <w:spacing w:line="240" w:lineRule="auto"/>
        <w:jc w:val="both"/>
        <w:rPr>
          <w:rFonts w:ascii="Times New Roman" w:hAnsi="Times New Roman" w:cs="Times New Roman"/>
          <w:b/>
          <w:sz w:val="24"/>
          <w:szCs w:val="24"/>
        </w:rPr>
      </w:pPr>
      <w:r>
        <w:rPr>
          <w:rFonts w:ascii="Times New Roman" w:hAnsi="Times New Roman" w:cs="Times New Roman"/>
          <w:b/>
          <w:sz w:val="24"/>
          <w:szCs w:val="24"/>
        </w:rPr>
        <w:t>2-4. Data processing</w:t>
      </w:r>
    </w:p>
    <w:p w14:paraId="1F0CB45A"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For the discrimination of groups of surveys, the dendrogram produced in R software version 3.3.2. On this dendrogram, the surveys are ordered according to their degree of floristic resemblance.</w:t>
      </w:r>
      <w:r>
        <w:t xml:space="preserve"> </w:t>
      </w:r>
      <w:r>
        <w:rPr>
          <w:rFonts w:ascii="Times New Roman" w:hAnsi="Times New Roman" w:cs="Times New Roman"/>
          <w:sz w:val="24"/>
          <w:szCs w:val="24"/>
        </w:rPr>
        <w:t>To determine the characteristic species in each group, the species importance value index (IVI) was calculated. This index is obtained from the following parameters:</w:t>
      </w:r>
    </w:p>
    <w:p w14:paraId="456F9B5D" w14:textId="6E4BD6EE" w:rsidR="000F2958" w:rsidRDefault="00ED4AB8">
      <w:pPr>
        <w:jc w:val="both"/>
        <w:rPr>
          <w:rFonts w:ascii="Times New Roman" w:hAnsi="Times New Roman" w:cs="Times New Roman"/>
          <w:sz w:val="20"/>
          <w:szCs w:val="20"/>
        </w:rPr>
      </w:pPr>
      <m:oMathPara>
        <m:oMath>
          <m:r>
            <m:rPr>
              <m:sty m:val="p"/>
            </m:rPr>
            <w:rPr>
              <w:rFonts w:ascii="Cambria Math" w:hAnsi="Cambria Math" w:cs="Times New Roman"/>
              <w:sz w:val="20"/>
              <w:szCs w:val="20"/>
            </w:rPr>
            <m:t>Relative density=</m:t>
          </m:r>
          <m:f>
            <m:fPr>
              <m:ctrlPr>
                <w:rPr>
                  <w:rFonts w:ascii="Cambria Math" w:hAnsi="Cambria Math" w:cs="Times New Roman"/>
                  <w:sz w:val="20"/>
                  <w:szCs w:val="20"/>
                </w:rPr>
              </m:ctrlPr>
            </m:fPr>
            <m:num>
              <m:r>
                <w:rPr>
                  <w:rFonts w:ascii="Cambria Math" w:hAnsi="Cambria Math" w:cs="Times New Roman"/>
                  <w:sz w:val="20"/>
                  <w:szCs w:val="20"/>
                </w:rPr>
                <m:t>shadow of individuals of a species</m:t>
              </m:r>
            </m:num>
            <m:den>
              <m:r>
                <m:rPr>
                  <m:sty m:val="p"/>
                </m:rPr>
                <w:rPr>
                  <w:rFonts w:ascii="Cambria Math" w:hAnsi="Cambria Math" w:cs="Times New Roman"/>
                  <w:sz w:val="20"/>
                  <w:szCs w:val="20"/>
                </w:rPr>
                <m:t>total number of individuals</m:t>
              </m:r>
            </m:den>
          </m:f>
          <m:r>
            <m:rPr>
              <m:sty m:val="p"/>
            </m:rPr>
            <w:rPr>
              <w:rFonts w:ascii="Cambria Math" w:hAnsi="Cambria Math" w:cs="Times New Roman"/>
              <w:sz w:val="20"/>
              <w:szCs w:val="20"/>
            </w:rPr>
            <m:t>X 100</m:t>
          </m:r>
        </m:oMath>
      </m:oMathPara>
    </w:p>
    <w:p w14:paraId="65A8213D" w14:textId="76B88127" w:rsidR="000F2958" w:rsidRDefault="003B2158">
      <w:pPr>
        <w:ind w:firstLine="360"/>
        <w:jc w:val="both"/>
        <w:rPr>
          <w:rFonts w:ascii="Times New Roman" w:hAnsi="Times New Roman" w:cs="Times New Roman"/>
          <w:sz w:val="20"/>
          <w:szCs w:val="20"/>
        </w:rPr>
      </w:pPr>
      <m:oMathPara>
        <m:oMath>
          <m:r>
            <m:rPr>
              <m:sty m:val="p"/>
            </m:rPr>
            <w:rPr>
              <w:rFonts w:ascii="Cambria Math" w:hAnsi="Cambria Math" w:cs="Times New Roman"/>
              <w:sz w:val="20"/>
              <w:szCs w:val="20"/>
            </w:rPr>
            <m:t>Dominance relative=</m:t>
          </m:r>
          <m:f>
            <m:fPr>
              <m:ctrlPr>
                <w:rPr>
                  <w:rFonts w:ascii="Cambria Math" w:hAnsi="Cambria Math" w:cs="Times New Roman"/>
                  <w:sz w:val="20"/>
                  <w:szCs w:val="20"/>
                </w:rPr>
              </m:ctrlPr>
            </m:fPr>
            <m:num>
              <m:r>
                <m:rPr>
                  <m:sty m:val="p"/>
                </m:rPr>
                <w:rPr>
                  <w:rFonts w:ascii="Cambria Math" w:hAnsi="Cambria Math" w:cs="Times New Roman"/>
                  <w:sz w:val="20"/>
                  <w:szCs w:val="20"/>
                </w:rPr>
                <m:t>Total basal area of ​​a species</m:t>
              </m:r>
            </m:num>
            <m:den>
              <m:r>
                <m:rPr>
                  <m:sty m:val="p"/>
                </m:rPr>
                <w:rPr>
                  <w:rFonts w:ascii="Cambria Math" w:hAnsi="Cambria Math" w:cs="Times New Roman"/>
                  <w:sz w:val="20"/>
                  <w:szCs w:val="20"/>
                </w:rPr>
                <m:t>Total basal area of ​​all species</m:t>
              </m:r>
            </m:den>
          </m:f>
          <m:r>
            <m:rPr>
              <m:sty m:val="p"/>
            </m:rPr>
            <w:rPr>
              <w:rFonts w:ascii="Cambria Math" w:hAnsi="Cambria Math" w:cs="Times New Roman"/>
              <w:sz w:val="20"/>
              <w:szCs w:val="20"/>
            </w:rPr>
            <m:t>X 100</m:t>
          </m:r>
        </m:oMath>
      </m:oMathPara>
    </w:p>
    <w:p w14:paraId="7E1014EC" w14:textId="7DE79705" w:rsidR="000F2958" w:rsidRDefault="00ED4AB8">
      <w:pPr>
        <w:ind w:firstLine="360"/>
        <w:jc w:val="both"/>
        <w:rPr>
          <w:rFonts w:ascii="Times New Roman" w:hAnsi="Times New Roman" w:cs="Times New Roman"/>
          <w:sz w:val="20"/>
          <w:szCs w:val="20"/>
        </w:rPr>
      </w:pPr>
      <m:oMathPara>
        <m:oMath>
          <m:r>
            <m:rPr>
              <m:sty m:val="p"/>
            </m:rPr>
            <w:rPr>
              <w:rFonts w:ascii="Cambria Math" w:hAnsi="Cambria Math" w:cs="Times New Roman"/>
              <w:sz w:val="20"/>
              <w:szCs w:val="20"/>
            </w:rPr>
            <m:t>Frequency=</m:t>
          </m:r>
          <m:f>
            <m:fPr>
              <m:ctrlPr>
                <w:rPr>
                  <w:rFonts w:ascii="Cambria Math" w:hAnsi="Cambria Math" w:cs="Times New Roman"/>
                  <w:sz w:val="20"/>
                  <w:szCs w:val="20"/>
                </w:rPr>
              </m:ctrlPr>
            </m:fPr>
            <m:num>
              <m:r>
                <m:rPr>
                  <m:sty m:val="p"/>
                </m:rPr>
                <w:rPr>
                  <w:rFonts w:ascii="Cambria Math" w:hAnsi="Cambria Math" w:cs="Times New Roman"/>
                  <w:sz w:val="20"/>
                  <w:szCs w:val="20"/>
                </w:rPr>
                <m:t>Number of surveys where the species is observed</m:t>
              </m:r>
            </m:num>
            <m:den>
              <m:r>
                <m:rPr>
                  <m:sty m:val="p"/>
                </m:rPr>
                <w:rPr>
                  <w:rFonts w:ascii="Cambria Math" w:hAnsi="Cambria Math" w:cs="Times New Roman"/>
                  <w:sz w:val="20"/>
                  <w:szCs w:val="20"/>
                </w:rPr>
                <m:t>Total number of readings</m:t>
              </m:r>
            </m:den>
          </m:f>
          <m:r>
            <m:rPr>
              <m:sty m:val="p"/>
            </m:rPr>
            <w:rPr>
              <w:rFonts w:ascii="Cambria Math" w:hAnsi="Cambria Math" w:cs="Times New Roman"/>
              <w:sz w:val="20"/>
              <w:szCs w:val="20"/>
            </w:rPr>
            <m:t>X 100</m:t>
          </m:r>
        </m:oMath>
      </m:oMathPara>
    </w:p>
    <w:p w14:paraId="49FF93ED" w14:textId="6467CCA7" w:rsidR="000F2958" w:rsidRDefault="00ED4AB8">
      <w:pPr>
        <w:ind w:firstLine="360"/>
        <w:jc w:val="both"/>
        <w:rPr>
          <w:rFonts w:ascii="Times New Roman" w:hAnsi="Times New Roman" w:cs="Times New Roman"/>
          <w:sz w:val="20"/>
          <w:szCs w:val="20"/>
        </w:rPr>
      </w:pPr>
      <m:oMathPara>
        <m:oMath>
          <m:r>
            <m:rPr>
              <m:sty m:val="p"/>
            </m:rPr>
            <w:rPr>
              <w:rFonts w:ascii="Cambria Math" w:hAnsi="Cambria Math" w:cs="Times New Roman"/>
              <w:sz w:val="20"/>
              <w:szCs w:val="20"/>
            </w:rPr>
            <m:t>Relative frequency=</m:t>
          </m:r>
          <m:f>
            <m:fPr>
              <m:ctrlPr>
                <w:rPr>
                  <w:rFonts w:ascii="Cambria Math" w:hAnsi="Cambria Math" w:cs="Times New Roman"/>
                  <w:sz w:val="20"/>
                  <w:szCs w:val="20"/>
                </w:rPr>
              </m:ctrlPr>
            </m:fPr>
            <m:num>
              <m:r>
                <m:rPr>
                  <m:sty m:val="p"/>
                </m:rPr>
                <w:rPr>
                  <w:rFonts w:ascii="Cambria Math" w:hAnsi="Cambria Math" w:cs="Times New Roman"/>
                  <w:sz w:val="20"/>
                  <w:szCs w:val="20"/>
                </w:rPr>
                <m:t>Frequency of a species</m:t>
              </m:r>
            </m:num>
            <m:den>
              <m:r>
                <m:rPr>
                  <m:sty m:val="p"/>
                </m:rPr>
                <w:rPr>
                  <w:rFonts w:ascii="Cambria Math" w:hAnsi="Cambria Math" w:cs="Times New Roman"/>
                  <w:sz w:val="20"/>
                  <w:szCs w:val="20"/>
                </w:rPr>
                <m:t>Sum of all frequencies</m:t>
              </m:r>
            </m:den>
          </m:f>
          <m:r>
            <m:rPr>
              <m:sty m:val="p"/>
            </m:rPr>
            <w:rPr>
              <w:rFonts w:ascii="Cambria Math" w:hAnsi="Cambria Math" w:cs="Times New Roman"/>
              <w:sz w:val="20"/>
              <w:szCs w:val="20"/>
            </w:rPr>
            <m:t>X 100</m:t>
          </m:r>
        </m:oMath>
      </m:oMathPara>
    </w:p>
    <w:p w14:paraId="6CDABE0A"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The IVI of a species is therefore the sum of its relative density, its relative dominance and its relative frequency. This index varies from 0 (absence of dominance) to 300 (mono-dominance). Each discriminated group is named by two dominant species having the highest IVI values. Among these two species, only those with a relative density greater than or equal to 10% were retained.</w:t>
      </w:r>
    </w:p>
    <w:p w14:paraId="1EB988C2" w14:textId="1F42B419"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A principal component analysis (PCA) was carried out to determine the influence of ecological variables on the spatial distribution of woody groups. The Pearson correlation test was calculated. It made it possible to establish the links between ecological variables and structural parameters (density and basal area). The biological types linked to the distinguished phenological model are those defined according to the classification of Raunkiaer (1934) and modified by Lebrun (1947). In the present work, these are essentially phanerophytes which have been subdivided into three subtypes namely microphanerophytes (2 &lt; mph ≤ 8 m), mesophanerophytes (8 &lt; mPh ≤ 30 m) and megaphanerophytes (MPh &gt; 30 m).</w:t>
      </w:r>
      <w:r>
        <w:rPr>
          <w:rFonts w:ascii="Times New Roman" w:hAnsi="Times New Roman" w:cs="Times New Roman"/>
        </w:rPr>
        <w:t xml:space="preserve"> </w:t>
      </w:r>
      <w:r>
        <w:rPr>
          <w:rFonts w:ascii="Times New Roman" w:hAnsi="Times New Roman" w:cs="Times New Roman"/>
          <w:sz w:val="24"/>
          <w:szCs w:val="24"/>
        </w:rPr>
        <w:t>The adopted phytogeographic types correspond to the major chorological subdivisions White (1986)</w:t>
      </w:r>
      <w:r>
        <w:rPr>
          <w:rFonts w:ascii="Times New Roman" w:hAnsi="Times New Roman" w:cs="Times New Roman"/>
        </w:rPr>
        <w:t xml:space="preserve"> </w:t>
      </w:r>
      <w:r>
        <w:rPr>
          <w:rFonts w:ascii="Times New Roman" w:hAnsi="Times New Roman" w:cs="Times New Roman"/>
          <w:sz w:val="24"/>
          <w:szCs w:val="24"/>
        </w:rPr>
        <w:t>and accepted for Africa. These are the species with a very wide distribution in tropical regions (paleotropical /Pal), the species with a wide distribution in Africa (Afrotropical/AT and Afro-Malagasy/AM) and the species with a regional distribution in Africa including taxa with a Central Guinean/CG and Guinean-Congolese/GC distribution and finally the taxa of the Guinean-Congolese-Sudanese-Zambézian/GC-SZ regions) which are species of regional transition zones.</w:t>
      </w:r>
      <w:r>
        <w:t xml:space="preserve"> </w:t>
      </w:r>
      <w:r>
        <w:rPr>
          <w:rFonts w:ascii="Times New Roman" w:hAnsi="Times New Roman" w:cs="Times New Roman"/>
          <w:sz w:val="24"/>
          <w:szCs w:val="24"/>
        </w:rPr>
        <w:t>The diameter class structure was established, with diameter classes of amplitude equal to 10 cm.</w:t>
      </w:r>
    </w:p>
    <w:p w14:paraId="4EC04F85" w14:textId="77777777"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For each woody group identified, diversity indices and structural parameters were determined.</w:t>
      </w:r>
    </w:p>
    <w:p w14:paraId="42B78160"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2-3-1- Calculation of diversity indices</w:t>
      </w:r>
    </w:p>
    <w:p w14:paraId="14EB1479" w14:textId="3BDF8D18" w:rsidR="000F2958" w:rsidRDefault="003B2158">
      <w:pPr>
        <w:spacing w:after="0"/>
        <w:ind w:firstLine="708"/>
        <w:jc w:val="both"/>
        <w:rPr>
          <w:rFonts w:ascii="Times New Roman" w:hAnsi="Times New Roman" w:cs="Times New Roman"/>
          <w:sz w:val="24"/>
          <w:szCs w:val="24"/>
        </w:rPr>
      </w:pPr>
      <w:r>
        <w:rPr>
          <w:rFonts w:ascii="Times New Roman" w:hAnsi="Times New Roman" w:cs="Times New Roman"/>
          <w:sz w:val="24"/>
          <w:szCs w:val="24"/>
        </w:rPr>
        <w:t>The floristic diversity of woody groups was assessed using diversity indices.</w:t>
      </w:r>
      <w:r>
        <w:t xml:space="preserve"> </w:t>
      </w:r>
      <w:r>
        <w:rPr>
          <w:rFonts w:ascii="Times New Roman" w:hAnsi="Times New Roman" w:cs="Times New Roman"/>
          <w:sz w:val="24"/>
          <w:szCs w:val="24"/>
        </w:rPr>
        <w:t>The Shannon-Weaver index (1949) was calculated based on the average recoveries from the abundance-dominance coefficients of species within the surveys. The formula for this index is as follows:</w:t>
      </w:r>
    </w:p>
    <w:p w14:paraId="197D1C35" w14:textId="77777777" w:rsidR="000F2958" w:rsidRDefault="006A11EB">
      <w:pPr>
        <w:pStyle w:val="ListParagraph"/>
        <w:jc w:val="both"/>
        <w:rPr>
          <w:rFonts w:ascii="Times New Roman" w:eastAsia="SimSu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nary>
        <m:func>
          <m:funcPr>
            <m:ctrlPr>
              <w:rPr>
                <w:rFonts w:ascii="Cambria Math" w:hAnsi="Cambria Math" w:cs="Times New Roman"/>
                <w:i/>
                <w:sz w:val="24"/>
                <w:szCs w:val="24"/>
              </w:rPr>
            </m:ctrlPr>
          </m:funcPr>
          <m:fName>
            <m:sSub>
              <m:sSubPr>
                <m:ctrlPr>
                  <w:rPr>
                    <w:rFonts w:ascii="Cambria Math" w:hAnsi="Cambria Math" w:cs="Times New Roman"/>
                    <w:sz w:val="24"/>
                    <w:szCs w:val="24"/>
                  </w:rPr>
                </m:ctrlPr>
              </m:sSubPr>
              <m:e>
                <m: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e>
        </m:func>
      </m:oMath>
      <w:r w:rsidR="003B2158">
        <w:rPr>
          <w:rFonts w:ascii="Times New Roman" w:eastAsia="SimSun" w:hAnsi="Times New Roman" w:cs="Times New Roman"/>
          <w:sz w:val="24"/>
          <w:szCs w:val="24"/>
        </w:rPr>
        <w:t xml:space="preserve">; with P </w:t>
      </w:r>
      <w:r w:rsidR="003B2158">
        <w:rPr>
          <w:rFonts w:ascii="Times New Roman" w:eastAsia="SimSun" w:hAnsi="Times New Roman" w:cs="Times New Roman"/>
          <w:sz w:val="24"/>
          <w:szCs w:val="24"/>
          <w:vertAlign w:val="subscript"/>
        </w:rPr>
        <w:t xml:space="preserve">i </w:t>
      </w:r>
      <w:r w:rsidR="003B2158">
        <w:rPr>
          <w:rFonts w:ascii="Times New Roman" w:eastAsia="SimSun" w:hAnsi="Times New Roman" w:cs="Times New Roman"/>
          <w:sz w:val="24"/>
          <w:szCs w:val="24"/>
        </w:rPr>
        <w:t xml:space="preserve">= r </w:t>
      </w:r>
      <w:r w:rsidR="003B2158">
        <w:rPr>
          <w:rFonts w:ascii="Times New Roman" w:eastAsia="SimSun" w:hAnsi="Times New Roman" w:cs="Times New Roman"/>
          <w:sz w:val="24"/>
          <w:szCs w:val="24"/>
          <w:vertAlign w:val="subscript"/>
        </w:rPr>
        <w:t xml:space="preserve">i </w:t>
      </w:r>
      <w:r w:rsidR="003B2158">
        <w:rPr>
          <w:rFonts w:ascii="Times New Roman" w:eastAsia="SimSun" w:hAnsi="Times New Roman" w:cs="Times New Roman"/>
          <w:sz w:val="24"/>
          <w:szCs w:val="24"/>
        </w:rPr>
        <w:t xml:space="preserve">/r where r </w:t>
      </w:r>
      <w:r w:rsidR="003B2158">
        <w:rPr>
          <w:rFonts w:ascii="Times New Roman" w:eastAsia="SimSun" w:hAnsi="Times New Roman" w:cs="Times New Roman"/>
          <w:sz w:val="24"/>
          <w:szCs w:val="24"/>
          <w:vertAlign w:val="subscript"/>
        </w:rPr>
        <w:t xml:space="preserve">i </w:t>
      </w:r>
      <w:r w:rsidR="003B2158">
        <w:rPr>
          <w:rFonts w:ascii="Times New Roman" w:eastAsia="SimSun" w:hAnsi="Times New Roman" w:cs="Times New Roman"/>
          <w:sz w:val="24"/>
          <w:szCs w:val="24"/>
        </w:rPr>
        <w:t>is the recovery of species i in the survey considered and r denotes the total sum of the recoveries of the species in the survey.</w:t>
      </w:r>
    </w:p>
    <w:p w14:paraId="6FAFE435" w14:textId="77777777" w:rsidR="000F2958" w:rsidRDefault="006A11EB">
      <w:pPr>
        <w:spacing w:line="36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 is expressed in bits and generally varies between 1 and 4 bits.</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 is minimal (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=0) if all individuals in the woody group belong to a single species, or H' is minimal if, in a group, each species is represented by a single individual. The index is maximal when all individuals are distributed equally across all species. For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&lt; 2.5, diversity is low; 2.5 ≤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&lt; 4, it is average;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4, it is high.</w:t>
      </w:r>
    </w:p>
    <w:p w14:paraId="49D2C5FB" w14:textId="72785CE5"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Piélou 's (1966) fairness index</w:t>
      </w:r>
      <w:r>
        <w:rPr>
          <w:rFonts w:ascii="Times New Roman" w:hAnsi="Times New Roman" w:cs="Times New Roman"/>
        </w:rPr>
        <w:t xml:space="preserve"> </w:t>
      </w:r>
      <w:r>
        <w:rPr>
          <w:rFonts w:ascii="Times New Roman" w:hAnsi="Times New Roman" w:cs="Times New Roman"/>
          <w:sz w:val="24"/>
          <w:szCs w:val="24"/>
        </w:rPr>
        <w:t xml:space="preserve">or Blondel's Equidistribution (E) which represents the ratio of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Pr>
          <w:rFonts w:ascii="Times New Roman" w:hAnsi="Times New Roman" w:cs="Times New Roman"/>
          <w:sz w:val="24"/>
          <w:szCs w:val="24"/>
        </w:rPr>
        <w:t xml:space="preserve">to the theoretical maximum index in the population ( </w:t>
      </w:r>
      <m:oMath>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Pr>
          <w:rFonts w:ascii="Times New Roman" w:hAnsi="Times New Roman" w:cs="Times New Roman"/>
          <w:sz w:val="24"/>
          <w:szCs w:val="24"/>
          <w:vertAlign w:val="subscript"/>
        </w:rPr>
        <w:t xml:space="preserve">max </w:t>
      </w:r>
      <w:r>
        <w:rPr>
          <w:rFonts w:ascii="Times New Roman" w:hAnsi="Times New Roman" w:cs="Times New Roman"/>
          <w:sz w:val="24"/>
          <w:szCs w:val="24"/>
        </w:rPr>
        <w:t xml:space="preserve">= log </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S). It evaluates the regularity of the distribution of species within a community. It is given by the following formula: </w:t>
      </w:r>
      <m:oMath>
        <m:r>
          <m:rPr>
            <m:sty m:val="p"/>
          </m:rPr>
          <w:rPr>
            <w:rFonts w:ascii="Cambria Math" w:hAnsi="Cambria Math" w:cs="Times New Roman"/>
            <w:sz w:val="24"/>
            <w:szCs w:val="24"/>
          </w:rPr>
          <m:t>E</m:t>
        </m:r>
        <m:r>
          <w:rPr>
            <w:rFonts w:ascii="Cambria Math" w:hAnsi="Cambria Math" w:cs="Times New Roman"/>
            <w:sz w:val="24"/>
            <w:szCs w:val="24"/>
          </w:rPr>
          <m:t>=</m:t>
        </m:r>
        <m:f>
          <m:fPr>
            <m:ctrlPr>
              <w:rPr>
                <w:rFonts w:ascii="Cambria Math" w:hAnsi="Cambria Math" w:cs="Times New Roman"/>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H</m:t>
                </m:r>
              </m:e>
            </m:acc>
          </m:num>
          <m:den>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max</m:t>
            </m:r>
          </m:den>
        </m:f>
        <m:r>
          <w:rPr>
            <w:rFonts w:ascii="Cambria Math" w:hAnsi="Cambria Math" w:cs="Times New Roman"/>
            <w:sz w:val="24"/>
            <w:szCs w:val="24"/>
          </w:rPr>
          <m:t> </m:t>
        </m:r>
      </m:oMath>
      <w:r>
        <w:rPr>
          <w:rFonts w:ascii="Times New Roman" w:hAnsi="Times New Roman" w:cs="Times New Roman"/>
          <w:sz w:val="24"/>
          <w:szCs w:val="24"/>
        </w:rPr>
        <w:t xml:space="preserve">; </w:t>
      </w:r>
      <w:r>
        <w:rPr>
          <w:rFonts w:ascii="Times New Roman" w:eastAsia="SimSun" w:hAnsi="Times New Roman" w:cs="Times New Roman"/>
          <w:sz w:val="24"/>
          <w:szCs w:val="24"/>
        </w:rPr>
        <w:t xml:space="preserve">E </w:t>
      </w:r>
      <w:r>
        <w:rPr>
          <w:rFonts w:ascii="Times New Roman" w:hAnsi="Times New Roman" w:cs="Times New Roman"/>
          <w:sz w:val="24"/>
          <w:szCs w:val="24"/>
        </w:rPr>
        <w:t>is between 0 and 1 and reflects the degree of diversity achieved in relation to the maximum possible.</w:t>
      </w:r>
    </w:p>
    <w:p w14:paraId="36020A6C" w14:textId="77777777"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The links between ecological variability and the spatial distribution of woody groups were highlighted using principal component analysis using R software.</w:t>
      </w:r>
    </w:p>
    <w:p w14:paraId="07569BB8"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2-3-2- Calculation and analysis of structural parameters</w:t>
      </w:r>
    </w:p>
    <w:p w14:paraId="20A08417"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To characterize the structure of the woody vegetation of the marshy areas of each identified woody group, the following parameters were calculated:</w:t>
      </w:r>
    </w:p>
    <w:p w14:paraId="48F81A35"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average density of trees; it is given by the following formula:</w:t>
      </w:r>
    </w:p>
    <w:p w14:paraId="71123167" w14:textId="77777777" w:rsidR="000F2958" w:rsidRDefault="003B2158">
      <w:pPr>
        <w:ind w:left="360"/>
        <w:jc w:val="both"/>
        <w:rPr>
          <w:rFonts w:ascii="Times New Roman" w:eastAsia="SimSun" w:hAnsi="Times New Roman" w:cs="Times New Roman"/>
          <w:sz w:val="24"/>
          <w:szCs w:val="24"/>
        </w:rPr>
      </w:pPr>
      <m:oMathPara>
        <m:oMath>
          <m:r>
            <w:rPr>
              <w:rFonts w:ascii="Cambria Math" w:hAnsi="Cambria Math" w:cs="Times New Roman"/>
            </w:rPr>
            <m:t xml:space="preserve">N= </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s</m:t>
              </m:r>
            </m:den>
          </m:f>
          <m:r>
            <w:rPr>
              <w:rFonts w:ascii="Cambria Math" w:hAnsi="Cambria Math" w:cs="Times New Roman"/>
            </w:rPr>
            <m:t xml:space="preserve"> </m:t>
          </m:r>
        </m:oMath>
      </m:oMathPara>
    </w:p>
    <w:p w14:paraId="61FE2790" w14:textId="77777777" w:rsidR="000F2958" w:rsidRDefault="003B2158">
      <w:pPr>
        <w:ind w:left="360"/>
        <w:jc w:val="both"/>
        <w:rPr>
          <w:rFonts w:ascii="Times New Roman" w:eastAsia="SimSun" w:hAnsi="Times New Roman" w:cs="Times New Roman"/>
          <w:sz w:val="24"/>
          <w:szCs w:val="24"/>
        </w:rPr>
      </w:pPr>
      <w:r>
        <w:rPr>
          <w:rFonts w:ascii="Times New Roman" w:eastAsia="SimSun" w:hAnsi="Times New Roman" w:cs="Times New Roman"/>
          <w:sz w:val="24"/>
          <w:szCs w:val="24"/>
        </w:rPr>
        <w:t>With, n = total number of trees in the stand and s = total area of the woody group surveys;</w:t>
      </w:r>
    </w:p>
    <w:p w14:paraId="6E40B5EC"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average diameter of trees whose formula is:</w:t>
      </w:r>
    </w:p>
    <w:p w14:paraId="43900D2E" w14:textId="77777777" w:rsidR="000F2958" w:rsidRDefault="006A11EB">
      <w:pPr>
        <w:pStyle w:val="ListParagraph"/>
        <w:jc w:val="both"/>
        <w:rPr>
          <w:rFonts w:ascii="Times New Roman" w:eastAsia="SimSun" w:hAnsi="Times New Roman" w:cs="Times New Roman"/>
          <w:sz w:val="24"/>
          <w:szCs w:val="24"/>
        </w:rPr>
      </w:pPr>
      <m:oMathPara>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e>
          </m:rad>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nidi²</m:t>
              </m:r>
            </m:e>
          </m:nary>
        </m:oMath>
      </m:oMathPara>
    </w:p>
    <w:p w14:paraId="08566DAA" w14:textId="77777777" w:rsidR="000F2958" w:rsidRDefault="003B2158">
      <w:pPr>
        <w:pStyle w:val="ListParagraph"/>
        <w:jc w:val="both"/>
        <w:rPr>
          <w:rFonts w:ascii="Times New Roman" w:hAnsi="Times New Roman" w:cs="Times New Roman"/>
          <w:sz w:val="24"/>
          <w:szCs w:val="24"/>
        </w:rPr>
      </w:pPr>
      <w:r>
        <w:rPr>
          <w:rFonts w:ascii="Times New Roman" w:hAnsi="Times New Roman" w:cs="Times New Roman"/>
          <w:sz w:val="24"/>
          <w:szCs w:val="24"/>
        </w:rPr>
        <w:t>With, N = number of trees in the woody group considered, nor the number of trees of diameter i and di = diameter (in cm) of tree i;</w:t>
      </w:r>
    </w:p>
    <w:p w14:paraId="76B9BEF6"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Basal area</w:t>
      </w:r>
      <w:r>
        <w:t xml:space="preserve"> </w:t>
      </w:r>
      <w:r>
        <w:rPr>
          <w:rFonts w:ascii="Times New Roman" w:hAnsi="Times New Roman" w:cs="Times New Roman"/>
          <w:sz w:val="24"/>
          <w:szCs w:val="24"/>
        </w:rPr>
        <w:t>average (G) in m²/ha; allows the evolution of the grouping over time to be monitored. Its formula is as follows:</w:t>
      </w:r>
    </w:p>
    <w:p w14:paraId="4EDFEA03" w14:textId="77777777" w:rsidR="000F2958" w:rsidRDefault="006A11EB">
      <w:pPr>
        <w:pStyle w:val="ListParagraph"/>
        <w:jc w:val="both"/>
        <w:rPr>
          <w:rFonts w:ascii="Times New Roman" w:eastAsia="SimSu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ᴨ</m:t>
              </m:r>
            </m:num>
            <m:den>
              <m:r>
                <w:rPr>
                  <w:rFonts w:ascii="Cambria Math" w:hAnsi="Cambria Math" w:cs="Times New Roman"/>
                  <w:sz w:val="24"/>
                  <w:szCs w:val="24"/>
                </w:rPr>
                <m:t>4S</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di²</m:t>
              </m:r>
            </m:e>
          </m:nary>
        </m:oMath>
      </m:oMathPara>
    </w:p>
    <w:p w14:paraId="7F215EA9" w14:textId="77777777" w:rsidR="000F2958" w:rsidRDefault="003B2158">
      <w:pPr>
        <w:jc w:val="both"/>
        <w:rPr>
          <w:rFonts w:ascii="Times New Roman" w:hAnsi="Times New Roman" w:cs="Times New Roman"/>
          <w:sz w:val="24"/>
          <w:szCs w:val="24"/>
        </w:rPr>
      </w:pPr>
      <w:proofErr w:type="gramStart"/>
      <w:r>
        <w:rPr>
          <w:rFonts w:ascii="Times New Roman" w:hAnsi="Times New Roman" w:cs="Times New Roman"/>
          <w:sz w:val="24"/>
          <w:szCs w:val="24"/>
        </w:rPr>
        <w:t>di</w:t>
      </w:r>
      <w:proofErr w:type="gramEnd"/>
      <w:r>
        <w:rPr>
          <w:rFonts w:ascii="Times New Roman" w:hAnsi="Times New Roman" w:cs="Times New Roman"/>
          <w:sz w:val="24"/>
          <w:szCs w:val="24"/>
        </w:rPr>
        <w:t xml:space="preserve"> = diameter of tree i and s = total area of the woody group surveys;</w:t>
      </w:r>
    </w:p>
    <w:p w14:paraId="3E3976FA"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arithmetic mean height of the cluster, which is expressed below:</w:t>
      </w:r>
    </w:p>
    <w:p w14:paraId="3D9618C8" w14:textId="77777777" w:rsidR="000F2958" w:rsidRDefault="003B2158">
      <w:pPr>
        <w:pStyle w:val="ListParagraph"/>
        <w:jc w:val="both"/>
        <w:rPr>
          <w:rFonts w:ascii="Times New Roman" w:hAnsi="Times New Roman" w:cs="Times New Roman"/>
          <w:sz w:val="24"/>
          <w:szCs w:val="24"/>
        </w:rPr>
      </w:pPr>
      <m:oMath>
        <m:r>
          <w:rPr>
            <w:rFonts w:ascii="Cambria Math" w:hAnsi="Cambria Math" w:cs="Times New Roman"/>
            <w:sz w:val="24"/>
            <w:szCs w:val="24"/>
          </w:rPr>
          <m:t>H=</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nihi</m:t>
                </m:r>
              </m:e>
            </m:nary>
          </m:num>
          <m:den>
            <m:r>
              <w:rPr>
                <w:rFonts w:ascii="Cambria Math" w:hAnsi="Cambria Math" w:cs="Times New Roman"/>
                <w:sz w:val="24"/>
                <w:szCs w:val="24"/>
              </w:rPr>
              <m:t>N</m:t>
            </m:r>
          </m:den>
        </m:f>
      </m:oMath>
      <w:r>
        <w:rPr>
          <w:rFonts w:ascii="Times New Roman" w:hAnsi="Times New Roman" w:cs="Times New Roman"/>
          <w:sz w:val="24"/>
          <w:szCs w:val="24"/>
        </w:rPr>
        <w:t xml:space="preserve"> </w:t>
      </w:r>
    </w:p>
    <w:p w14:paraId="424180D4" w14:textId="77777777" w:rsidR="000F2958" w:rsidRDefault="003B2158">
      <w:pPr>
        <w:jc w:val="both"/>
        <w:rPr>
          <w:rFonts w:ascii="Times New Roman" w:hAnsi="Times New Roman" w:cs="Times New Roman"/>
          <w:sz w:val="24"/>
          <w:szCs w:val="24"/>
        </w:rPr>
      </w:pPr>
      <w:r>
        <w:rPr>
          <w:rFonts w:ascii="Times New Roman" w:hAnsi="Times New Roman" w:cs="Times New Roman"/>
          <w:sz w:val="24"/>
          <w:szCs w:val="24"/>
        </w:rPr>
        <w:lastRenderedPageBreak/>
        <w:t>Where ni and hi are the number and height of tree i respectively, and N the total number.</w:t>
      </w:r>
    </w:p>
    <w:p w14:paraId="65F82C7D"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Biostatistical analyses</w:t>
      </w:r>
    </w:p>
    <w:p w14:paraId="7CCFB1B1"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Comparisons of means (One- way ANOVA) between the structural parameters of the woody groups were carried out using the Tukey test performed with R software version 3.0.2.</w:t>
      </w:r>
    </w:p>
    <w:p w14:paraId="46E0BDEC" w14:textId="77777777" w:rsidR="000F2958" w:rsidRDefault="003B2158">
      <w:pPr>
        <w:pStyle w:val="ListParagraph"/>
        <w:numPr>
          <w:ilvl w:val="0"/>
          <w:numId w:val="3"/>
        </w:numPr>
        <w:spacing w:line="240" w:lineRule="auto"/>
        <w:rPr>
          <w:rFonts w:ascii="Times New Roman" w:hAnsi="Times New Roman" w:cs="Times New Roman"/>
          <w:b/>
          <w:sz w:val="24"/>
          <w:szCs w:val="24"/>
        </w:rPr>
      </w:pPr>
      <w:r>
        <w:rPr>
          <w:rFonts w:ascii="Times New Roman" w:hAnsi="Times New Roman" w:cs="Times New Roman"/>
          <w:b/>
          <w:sz w:val="24"/>
          <w:szCs w:val="24"/>
        </w:rPr>
        <w:t>Results</w:t>
      </w:r>
    </w:p>
    <w:p w14:paraId="36E2F2DB"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3-1. Overall floristic richness</w:t>
      </w:r>
    </w:p>
    <w:p w14:paraId="3B8B9985" w14:textId="77777777" w:rsidR="000F2958" w:rsidRDefault="003B215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total of 45 plant species divided into 44 genera and 24 families were recorded across all sites (Table 1). The four most abundant families in terms of number of species are, in order, </w:t>
      </w:r>
      <w:r>
        <w:rPr>
          <w:rFonts w:ascii="Times New Roman" w:hAnsi="Times New Roman" w:cs="Times New Roman"/>
          <w:i/>
          <w:sz w:val="24"/>
          <w:szCs w:val="24"/>
        </w:rPr>
        <w:t xml:space="preserve">Fabaceae </w:t>
      </w:r>
      <w:r>
        <w:rPr>
          <w:rFonts w:ascii="Times New Roman" w:hAnsi="Times New Roman" w:cs="Times New Roman"/>
          <w:sz w:val="24"/>
          <w:szCs w:val="24"/>
        </w:rPr>
        <w:t xml:space="preserve">(13.13%), </w:t>
      </w:r>
      <w:r>
        <w:rPr>
          <w:rFonts w:ascii="Times New Roman" w:hAnsi="Times New Roman" w:cs="Times New Roman"/>
          <w:i/>
          <w:sz w:val="24"/>
          <w:szCs w:val="24"/>
        </w:rPr>
        <w:t xml:space="preserve">Phyllanthaceae </w:t>
      </w:r>
      <w:r>
        <w:rPr>
          <w:rFonts w:ascii="Times New Roman" w:hAnsi="Times New Roman" w:cs="Times New Roman"/>
          <w:sz w:val="24"/>
          <w:szCs w:val="24"/>
        </w:rPr>
        <w:t xml:space="preserve">(11.11%), then </w:t>
      </w:r>
      <w:r>
        <w:rPr>
          <w:rFonts w:ascii="Times New Roman" w:hAnsi="Times New Roman" w:cs="Times New Roman"/>
          <w:i/>
          <w:sz w:val="24"/>
          <w:szCs w:val="24"/>
        </w:rPr>
        <w:t xml:space="preserve">Apocynaceae </w:t>
      </w:r>
      <w:r>
        <w:rPr>
          <w:rFonts w:ascii="Times New Roman" w:hAnsi="Times New Roman" w:cs="Times New Roman"/>
          <w:sz w:val="24"/>
          <w:szCs w:val="24"/>
        </w:rPr>
        <w:t xml:space="preserve">and </w:t>
      </w:r>
      <w:r>
        <w:rPr>
          <w:rFonts w:ascii="Times New Roman" w:hAnsi="Times New Roman" w:cs="Times New Roman"/>
          <w:i/>
          <w:sz w:val="24"/>
          <w:szCs w:val="24"/>
        </w:rPr>
        <w:t>Malvaceae.</w:t>
      </w:r>
      <w:r>
        <w:rPr>
          <w:rFonts w:ascii="Times New Roman" w:hAnsi="Times New Roman" w:cs="Times New Roman"/>
          <w:sz w:val="24"/>
          <w:szCs w:val="24"/>
        </w:rPr>
        <w:t xml:space="preserve"> </w:t>
      </w:r>
      <w:proofErr w:type="gramStart"/>
      <w:r>
        <w:rPr>
          <w:rFonts w:ascii="Times New Roman" w:hAnsi="Times New Roman" w:cs="Times New Roman"/>
          <w:sz w:val="24"/>
          <w:szCs w:val="24"/>
        </w:rPr>
        <w:t>which</w:t>
      </w:r>
      <w:proofErr w:type="gramEnd"/>
      <w:r>
        <w:rPr>
          <w:rFonts w:ascii="Times New Roman" w:hAnsi="Times New Roman" w:cs="Times New Roman"/>
          <w:sz w:val="24"/>
          <w:szCs w:val="24"/>
        </w:rPr>
        <w:t xml:space="preserve"> each represent 8.88% of the woody species inventoried.</w:t>
      </w:r>
      <w:r>
        <w:t xml:space="preserve"> </w:t>
      </w:r>
      <w:r>
        <w:rPr>
          <w:rFonts w:ascii="Times New Roman" w:hAnsi="Times New Roman" w:cs="Times New Roman"/>
          <w:sz w:val="24"/>
          <w:szCs w:val="24"/>
        </w:rPr>
        <w:t>The morphological types are generally dominated by a large proportion of trees (57.77%) compared to shrubs (42.23%).</w:t>
      </w:r>
    </w:p>
    <w:p w14:paraId="758D549C" w14:textId="77777777" w:rsidR="000F2958" w:rsidRDefault="003B2158">
      <w:pPr>
        <w:jc w:val="both"/>
        <w:rPr>
          <w:rFonts w:ascii="Times New Roman" w:hAnsi="Times New Roman" w:cs="Times New Roman"/>
          <w:sz w:val="24"/>
          <w:szCs w:val="24"/>
        </w:rPr>
      </w:pPr>
      <w:r>
        <w:rPr>
          <w:rFonts w:ascii="Times New Roman" w:hAnsi="Times New Roman" w:cs="Times New Roman"/>
          <w:sz w:val="24"/>
          <w:szCs w:val="24"/>
        </w:rPr>
        <w:t>Table 1. Comprehensive list of woody species recorded in swamp forests. TB: biological types; TM: morphological types; TP: phytogeographic types.</w:t>
      </w:r>
    </w:p>
    <w:tbl>
      <w:tblPr>
        <w:tblStyle w:val="TableGrid"/>
        <w:tblW w:w="10916" w:type="dxa"/>
        <w:tblInd w:w="-743" w:type="dxa"/>
        <w:tblLook w:val="04A0" w:firstRow="1" w:lastRow="0" w:firstColumn="1" w:lastColumn="0" w:noHBand="0" w:noVBand="1"/>
      </w:tblPr>
      <w:tblGrid>
        <w:gridCol w:w="709"/>
        <w:gridCol w:w="1843"/>
        <w:gridCol w:w="1134"/>
        <w:gridCol w:w="1418"/>
        <w:gridCol w:w="1134"/>
        <w:gridCol w:w="4678"/>
      </w:tblGrid>
      <w:tr w:rsidR="000F2958" w14:paraId="2D4D2874" w14:textId="77777777">
        <w:trPr>
          <w:trHeight w:val="900"/>
        </w:trPr>
        <w:tc>
          <w:tcPr>
            <w:tcW w:w="709" w:type="dxa"/>
            <w:noWrap/>
            <w:vAlign w:val="center"/>
            <w:hideMark/>
          </w:tcPr>
          <w:p w14:paraId="49F3E7F2" w14:textId="77777777" w:rsidR="000F2958" w:rsidRDefault="003B2158">
            <w:pPr>
              <w:rPr>
                <w:rFonts w:ascii="Times New Roman" w:hAnsi="Times New Roman" w:cs="Times New Roman"/>
              </w:rPr>
            </w:pPr>
            <w:r>
              <w:rPr>
                <w:rFonts w:ascii="Times New Roman" w:hAnsi="Times New Roman" w:cs="Times New Roman"/>
              </w:rPr>
              <w:t>No.</w:t>
            </w:r>
          </w:p>
        </w:tc>
        <w:tc>
          <w:tcPr>
            <w:tcW w:w="1843" w:type="dxa"/>
            <w:vAlign w:val="center"/>
            <w:hideMark/>
          </w:tcPr>
          <w:p w14:paraId="2D1611BF" w14:textId="77777777" w:rsidR="000F2958" w:rsidRDefault="003B2158">
            <w:pPr>
              <w:ind w:firstLine="360"/>
              <w:rPr>
                <w:rFonts w:ascii="Times New Roman" w:hAnsi="Times New Roman" w:cs="Times New Roman"/>
              </w:rPr>
            </w:pPr>
            <w:r>
              <w:rPr>
                <w:rFonts w:ascii="Times New Roman" w:hAnsi="Times New Roman" w:cs="Times New Roman"/>
              </w:rPr>
              <w:t>Families</w:t>
            </w:r>
          </w:p>
        </w:tc>
        <w:tc>
          <w:tcPr>
            <w:tcW w:w="1134" w:type="dxa"/>
            <w:vAlign w:val="center"/>
            <w:hideMark/>
          </w:tcPr>
          <w:p w14:paraId="42B39644" w14:textId="77777777" w:rsidR="000F2958" w:rsidRDefault="003B2158">
            <w:pPr>
              <w:ind w:firstLine="360"/>
              <w:jc w:val="center"/>
              <w:rPr>
                <w:rFonts w:ascii="Times New Roman" w:hAnsi="Times New Roman" w:cs="Times New Roman"/>
              </w:rPr>
            </w:pPr>
            <w:r>
              <w:rPr>
                <w:rFonts w:ascii="Times New Roman" w:hAnsi="Times New Roman" w:cs="Times New Roman"/>
              </w:rPr>
              <w:t>TB</w:t>
            </w:r>
          </w:p>
        </w:tc>
        <w:tc>
          <w:tcPr>
            <w:tcW w:w="1418" w:type="dxa"/>
            <w:vAlign w:val="center"/>
            <w:hideMark/>
          </w:tcPr>
          <w:p w14:paraId="7E988C49" w14:textId="77777777" w:rsidR="000F2958" w:rsidRDefault="003B2158">
            <w:pPr>
              <w:ind w:firstLine="360"/>
              <w:jc w:val="center"/>
              <w:rPr>
                <w:rFonts w:ascii="Times New Roman" w:hAnsi="Times New Roman" w:cs="Times New Roman"/>
              </w:rPr>
            </w:pPr>
            <w:r>
              <w:rPr>
                <w:rFonts w:ascii="Times New Roman" w:hAnsi="Times New Roman" w:cs="Times New Roman"/>
              </w:rPr>
              <w:t>TM</w:t>
            </w:r>
          </w:p>
        </w:tc>
        <w:tc>
          <w:tcPr>
            <w:tcW w:w="1134" w:type="dxa"/>
            <w:vAlign w:val="center"/>
            <w:hideMark/>
          </w:tcPr>
          <w:p w14:paraId="3D4AC7B4" w14:textId="77777777" w:rsidR="000F2958" w:rsidRDefault="003B2158">
            <w:pPr>
              <w:rPr>
                <w:rFonts w:ascii="Times New Roman" w:hAnsi="Times New Roman" w:cs="Times New Roman"/>
              </w:rPr>
            </w:pPr>
            <w:r>
              <w:rPr>
                <w:rFonts w:ascii="Times New Roman" w:hAnsi="Times New Roman" w:cs="Times New Roman"/>
              </w:rPr>
              <w:t>TP</w:t>
            </w:r>
          </w:p>
        </w:tc>
        <w:tc>
          <w:tcPr>
            <w:tcW w:w="4678" w:type="dxa"/>
            <w:noWrap/>
            <w:vAlign w:val="center"/>
            <w:hideMark/>
          </w:tcPr>
          <w:p w14:paraId="78DC0F8A" w14:textId="77777777" w:rsidR="000F2958" w:rsidRDefault="003B2158">
            <w:pPr>
              <w:ind w:firstLine="360"/>
              <w:jc w:val="center"/>
              <w:rPr>
                <w:rFonts w:ascii="Times New Roman" w:hAnsi="Times New Roman" w:cs="Times New Roman"/>
              </w:rPr>
            </w:pPr>
            <w:r>
              <w:rPr>
                <w:rFonts w:ascii="Times New Roman" w:hAnsi="Times New Roman" w:cs="Times New Roman"/>
              </w:rPr>
              <w:t>Woody species</w:t>
            </w:r>
          </w:p>
        </w:tc>
      </w:tr>
      <w:tr w:rsidR="000F2958" w14:paraId="20881F77" w14:textId="77777777">
        <w:trPr>
          <w:trHeight w:val="300"/>
        </w:trPr>
        <w:tc>
          <w:tcPr>
            <w:tcW w:w="709" w:type="dxa"/>
            <w:noWrap/>
            <w:vAlign w:val="center"/>
            <w:hideMark/>
          </w:tcPr>
          <w:p w14:paraId="0415C5C8" w14:textId="77777777" w:rsidR="000F2958" w:rsidRDefault="003B2158">
            <w:pPr>
              <w:ind w:firstLine="360"/>
              <w:jc w:val="center"/>
              <w:rPr>
                <w:rFonts w:ascii="Times New Roman" w:hAnsi="Times New Roman" w:cs="Times New Roman"/>
              </w:rPr>
            </w:pPr>
            <w:r>
              <w:rPr>
                <w:rFonts w:ascii="Times New Roman" w:hAnsi="Times New Roman" w:cs="Times New Roman"/>
              </w:rPr>
              <w:t>1</w:t>
            </w:r>
          </w:p>
        </w:tc>
        <w:tc>
          <w:tcPr>
            <w:tcW w:w="1843" w:type="dxa"/>
            <w:hideMark/>
          </w:tcPr>
          <w:p w14:paraId="525142C0" w14:textId="77777777" w:rsidR="000F2958" w:rsidRDefault="003B2158">
            <w:pPr>
              <w:rPr>
                <w:rFonts w:ascii="Times New Roman" w:hAnsi="Times New Roman" w:cs="Times New Roman"/>
                <w:i/>
                <w:iCs/>
              </w:rPr>
            </w:pPr>
            <w:r>
              <w:rPr>
                <w:rFonts w:ascii="Times New Roman" w:hAnsi="Times New Roman" w:cs="Times New Roman"/>
                <w:i/>
                <w:iCs/>
              </w:rPr>
              <w:t>Anacardiaceae</w:t>
            </w:r>
          </w:p>
        </w:tc>
        <w:tc>
          <w:tcPr>
            <w:tcW w:w="1134" w:type="dxa"/>
            <w:vAlign w:val="center"/>
            <w:hideMark/>
          </w:tcPr>
          <w:p w14:paraId="127AA954"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6BEAC5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BE77C78"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5A9EFE21" w14:textId="77777777" w:rsidR="000F2958" w:rsidRDefault="003B2158">
            <w:pPr>
              <w:rPr>
                <w:rFonts w:ascii="Times New Roman" w:hAnsi="Times New Roman" w:cs="Times New Roman"/>
                <w:i/>
                <w:iCs/>
              </w:rPr>
            </w:pPr>
            <w:r>
              <w:rPr>
                <w:rFonts w:ascii="Times New Roman" w:hAnsi="Times New Roman" w:cs="Times New Roman"/>
                <w:i/>
                <w:iCs/>
              </w:rPr>
              <w:t xml:space="preserve">Pseudospondias microcarpa </w:t>
            </w:r>
            <w:proofErr w:type="gramStart"/>
            <w:r>
              <w:rPr>
                <w:rFonts w:ascii="Times New Roman" w:hAnsi="Times New Roman" w:cs="Times New Roman"/>
              </w:rPr>
              <w:t>( A</w:t>
            </w:r>
            <w:proofErr w:type="gramEnd"/>
            <w:r>
              <w:rPr>
                <w:rFonts w:ascii="Times New Roman" w:hAnsi="Times New Roman" w:cs="Times New Roman"/>
              </w:rPr>
              <w:t>.Rich .) Engl</w:t>
            </w:r>
          </w:p>
        </w:tc>
      </w:tr>
      <w:tr w:rsidR="000F2958" w14:paraId="3DBEFFCD" w14:textId="77777777">
        <w:trPr>
          <w:trHeight w:val="300"/>
        </w:trPr>
        <w:tc>
          <w:tcPr>
            <w:tcW w:w="709" w:type="dxa"/>
            <w:noWrap/>
            <w:vAlign w:val="center"/>
            <w:hideMark/>
          </w:tcPr>
          <w:p w14:paraId="212BEC27" w14:textId="77777777" w:rsidR="000F2958" w:rsidRDefault="003B2158">
            <w:pPr>
              <w:ind w:firstLine="360"/>
              <w:jc w:val="center"/>
              <w:rPr>
                <w:rFonts w:ascii="Times New Roman" w:hAnsi="Times New Roman" w:cs="Times New Roman"/>
              </w:rPr>
            </w:pPr>
            <w:r>
              <w:rPr>
                <w:rFonts w:ascii="Times New Roman" w:hAnsi="Times New Roman" w:cs="Times New Roman"/>
              </w:rPr>
              <w:t>2</w:t>
            </w:r>
          </w:p>
        </w:tc>
        <w:tc>
          <w:tcPr>
            <w:tcW w:w="1843" w:type="dxa"/>
            <w:hideMark/>
          </w:tcPr>
          <w:p w14:paraId="2D0F586E"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40C039A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97045E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337B73E"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B7DA210" w14:textId="77777777" w:rsidR="000F2958" w:rsidRDefault="003B2158">
            <w:pPr>
              <w:rPr>
                <w:rFonts w:ascii="Times New Roman" w:hAnsi="Times New Roman" w:cs="Times New Roman"/>
                <w:i/>
                <w:iCs/>
              </w:rPr>
            </w:pPr>
            <w:r>
              <w:rPr>
                <w:rFonts w:ascii="Times New Roman" w:hAnsi="Times New Roman" w:cs="Times New Roman"/>
                <w:i/>
                <w:iCs/>
              </w:rPr>
              <w:t xml:space="preserve">Alstonia boonei </w:t>
            </w:r>
            <w:r>
              <w:rPr>
                <w:rFonts w:ascii="Times New Roman" w:hAnsi="Times New Roman" w:cs="Times New Roman"/>
              </w:rPr>
              <w:t>From Wild.</w:t>
            </w:r>
          </w:p>
        </w:tc>
      </w:tr>
      <w:tr w:rsidR="000F2958" w14:paraId="4DE7C6A2" w14:textId="77777777">
        <w:trPr>
          <w:trHeight w:val="300"/>
        </w:trPr>
        <w:tc>
          <w:tcPr>
            <w:tcW w:w="709" w:type="dxa"/>
            <w:noWrap/>
            <w:vAlign w:val="center"/>
            <w:hideMark/>
          </w:tcPr>
          <w:p w14:paraId="636839F5" w14:textId="77777777" w:rsidR="000F2958" w:rsidRDefault="003B2158">
            <w:pPr>
              <w:ind w:firstLine="360"/>
              <w:jc w:val="center"/>
              <w:rPr>
                <w:rFonts w:ascii="Times New Roman" w:hAnsi="Times New Roman" w:cs="Times New Roman"/>
              </w:rPr>
            </w:pPr>
            <w:r>
              <w:rPr>
                <w:rFonts w:ascii="Times New Roman" w:hAnsi="Times New Roman" w:cs="Times New Roman"/>
              </w:rPr>
              <w:t>3</w:t>
            </w:r>
          </w:p>
        </w:tc>
        <w:tc>
          <w:tcPr>
            <w:tcW w:w="1843" w:type="dxa"/>
            <w:hideMark/>
          </w:tcPr>
          <w:p w14:paraId="308447B8"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5DC01DE8"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E4832BC"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22CF2DE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01204445" w14:textId="77777777" w:rsidR="000F2958" w:rsidRDefault="003B2158">
            <w:pPr>
              <w:rPr>
                <w:rFonts w:ascii="Times New Roman" w:hAnsi="Times New Roman" w:cs="Times New Roman"/>
                <w:i/>
                <w:iCs/>
              </w:rPr>
            </w:pPr>
            <w:r>
              <w:rPr>
                <w:rFonts w:ascii="Times New Roman" w:hAnsi="Times New Roman" w:cs="Times New Roman"/>
                <w:i/>
                <w:iCs/>
              </w:rPr>
              <w:t xml:space="preserve">Rauvolfia vomitoria </w:t>
            </w:r>
            <w:r>
              <w:rPr>
                <w:rFonts w:ascii="Times New Roman" w:hAnsi="Times New Roman" w:cs="Times New Roman"/>
                <w:iCs/>
              </w:rPr>
              <w:t>Afzel .</w:t>
            </w:r>
          </w:p>
        </w:tc>
      </w:tr>
      <w:tr w:rsidR="000F2958" w14:paraId="3D46F478" w14:textId="77777777">
        <w:trPr>
          <w:trHeight w:val="300"/>
        </w:trPr>
        <w:tc>
          <w:tcPr>
            <w:tcW w:w="709" w:type="dxa"/>
            <w:noWrap/>
            <w:vAlign w:val="center"/>
            <w:hideMark/>
          </w:tcPr>
          <w:p w14:paraId="4FBC1E34" w14:textId="77777777" w:rsidR="000F2958" w:rsidRDefault="003B2158">
            <w:pPr>
              <w:ind w:firstLine="360"/>
              <w:jc w:val="center"/>
              <w:rPr>
                <w:rFonts w:ascii="Times New Roman" w:hAnsi="Times New Roman" w:cs="Times New Roman"/>
              </w:rPr>
            </w:pPr>
            <w:r>
              <w:rPr>
                <w:rFonts w:ascii="Times New Roman" w:hAnsi="Times New Roman" w:cs="Times New Roman"/>
              </w:rPr>
              <w:t>4</w:t>
            </w:r>
          </w:p>
        </w:tc>
        <w:tc>
          <w:tcPr>
            <w:tcW w:w="1843" w:type="dxa"/>
            <w:hideMark/>
          </w:tcPr>
          <w:p w14:paraId="7EDF7EAA"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5F0B2E6D"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B00F060"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E127879"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5A4C5DA" w14:textId="1B448278" w:rsidR="000F2958" w:rsidRDefault="003B2158">
            <w:pPr>
              <w:rPr>
                <w:rFonts w:ascii="Times New Roman" w:hAnsi="Times New Roman" w:cs="Times New Roman"/>
                <w:i/>
                <w:iCs/>
              </w:rPr>
            </w:pPr>
            <w:r>
              <w:rPr>
                <w:rFonts w:ascii="Times New Roman" w:hAnsi="Times New Roman" w:cs="Times New Roman"/>
                <w:i/>
                <w:iCs/>
              </w:rPr>
              <w:t xml:space="preserve">Tabernaemontana crushed </w:t>
            </w:r>
            <w:r>
              <w:rPr>
                <w:rFonts w:ascii="Times New Roman" w:hAnsi="Times New Roman" w:cs="Times New Roman"/>
              </w:rPr>
              <w:t>Benth.</w:t>
            </w:r>
          </w:p>
        </w:tc>
      </w:tr>
      <w:tr w:rsidR="000F2958" w14:paraId="6AA32597" w14:textId="77777777">
        <w:trPr>
          <w:trHeight w:val="300"/>
        </w:trPr>
        <w:tc>
          <w:tcPr>
            <w:tcW w:w="709" w:type="dxa"/>
            <w:noWrap/>
            <w:vAlign w:val="center"/>
            <w:hideMark/>
          </w:tcPr>
          <w:p w14:paraId="661D62E1" w14:textId="77777777" w:rsidR="000F2958" w:rsidRDefault="003B2158">
            <w:pPr>
              <w:ind w:firstLine="360"/>
              <w:jc w:val="center"/>
              <w:rPr>
                <w:rFonts w:ascii="Times New Roman" w:hAnsi="Times New Roman" w:cs="Times New Roman"/>
              </w:rPr>
            </w:pPr>
            <w:r>
              <w:rPr>
                <w:rFonts w:ascii="Times New Roman" w:hAnsi="Times New Roman" w:cs="Times New Roman"/>
              </w:rPr>
              <w:t>5</w:t>
            </w:r>
          </w:p>
        </w:tc>
        <w:tc>
          <w:tcPr>
            <w:tcW w:w="1843" w:type="dxa"/>
            <w:hideMark/>
          </w:tcPr>
          <w:p w14:paraId="10672FED"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61A656E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56205BC"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C82E140"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40839EE" w14:textId="2391610A" w:rsidR="000F2958" w:rsidRDefault="003B2158">
            <w:pPr>
              <w:rPr>
                <w:rFonts w:ascii="Times New Roman" w:hAnsi="Times New Roman" w:cs="Times New Roman"/>
                <w:iCs/>
              </w:rPr>
            </w:pPr>
            <w:r>
              <w:rPr>
                <w:rFonts w:ascii="Times New Roman" w:hAnsi="Times New Roman" w:cs="Times New Roman"/>
                <w:i/>
                <w:iCs/>
              </w:rPr>
              <w:t xml:space="preserve">Funtumia Africana </w:t>
            </w:r>
            <w:r>
              <w:rPr>
                <w:rFonts w:ascii="Times New Roman" w:hAnsi="Times New Roman" w:cs="Times New Roman"/>
                <w:iCs/>
              </w:rPr>
              <w:t>(Preuss ) Stap</w:t>
            </w:r>
          </w:p>
        </w:tc>
      </w:tr>
      <w:tr w:rsidR="000F2958" w14:paraId="5667FCF2" w14:textId="77777777">
        <w:trPr>
          <w:trHeight w:val="300"/>
        </w:trPr>
        <w:tc>
          <w:tcPr>
            <w:tcW w:w="709" w:type="dxa"/>
            <w:noWrap/>
            <w:vAlign w:val="center"/>
            <w:hideMark/>
          </w:tcPr>
          <w:p w14:paraId="0FE612A9" w14:textId="77777777" w:rsidR="000F2958" w:rsidRDefault="003B2158">
            <w:pPr>
              <w:ind w:firstLine="360"/>
              <w:jc w:val="center"/>
              <w:rPr>
                <w:rFonts w:ascii="Times New Roman" w:hAnsi="Times New Roman" w:cs="Times New Roman"/>
              </w:rPr>
            </w:pPr>
            <w:r>
              <w:rPr>
                <w:rFonts w:ascii="Times New Roman" w:hAnsi="Times New Roman" w:cs="Times New Roman"/>
              </w:rPr>
              <w:t>6</w:t>
            </w:r>
          </w:p>
        </w:tc>
        <w:tc>
          <w:tcPr>
            <w:tcW w:w="1843" w:type="dxa"/>
            <w:hideMark/>
          </w:tcPr>
          <w:p w14:paraId="08669A17" w14:textId="77777777" w:rsidR="000F2958" w:rsidRDefault="003B2158">
            <w:pPr>
              <w:rPr>
                <w:rFonts w:ascii="Times New Roman" w:hAnsi="Times New Roman" w:cs="Times New Roman"/>
                <w:i/>
                <w:iCs/>
              </w:rPr>
            </w:pPr>
            <w:r>
              <w:rPr>
                <w:rFonts w:ascii="Times New Roman" w:hAnsi="Times New Roman" w:cs="Times New Roman"/>
                <w:i/>
                <w:iCs/>
              </w:rPr>
              <w:t>Araliaceae</w:t>
            </w:r>
          </w:p>
        </w:tc>
        <w:tc>
          <w:tcPr>
            <w:tcW w:w="1134" w:type="dxa"/>
            <w:vAlign w:val="center"/>
            <w:hideMark/>
          </w:tcPr>
          <w:p w14:paraId="63321CC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486CF85"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12D3D0E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301C824" w14:textId="387CB751" w:rsidR="000F2958" w:rsidRDefault="003B2158">
            <w:pPr>
              <w:rPr>
                <w:rFonts w:ascii="Times New Roman" w:hAnsi="Times New Roman" w:cs="Times New Roman"/>
                <w:iCs/>
              </w:rPr>
            </w:pPr>
            <w:r>
              <w:rPr>
                <w:rFonts w:ascii="Times New Roman" w:hAnsi="Times New Roman" w:cs="Times New Roman"/>
                <w:i/>
                <w:iCs/>
              </w:rPr>
              <w:t xml:space="preserve">Polycias fulva </w:t>
            </w:r>
            <w:r>
              <w:rPr>
                <w:rFonts w:ascii="Times New Roman" w:hAnsi="Times New Roman" w:cs="Times New Roman"/>
                <w:iCs/>
              </w:rPr>
              <w:t>(Hiern ) Harms</w:t>
            </w:r>
          </w:p>
        </w:tc>
      </w:tr>
      <w:tr w:rsidR="000F2958" w14:paraId="53DCF250" w14:textId="77777777">
        <w:trPr>
          <w:trHeight w:val="300"/>
        </w:trPr>
        <w:tc>
          <w:tcPr>
            <w:tcW w:w="709" w:type="dxa"/>
            <w:noWrap/>
            <w:vAlign w:val="center"/>
            <w:hideMark/>
          </w:tcPr>
          <w:p w14:paraId="6E5FB105" w14:textId="77777777" w:rsidR="000F2958" w:rsidRDefault="003B2158">
            <w:pPr>
              <w:ind w:firstLine="360"/>
              <w:jc w:val="center"/>
              <w:rPr>
                <w:rFonts w:ascii="Times New Roman" w:hAnsi="Times New Roman" w:cs="Times New Roman"/>
              </w:rPr>
            </w:pPr>
            <w:r>
              <w:rPr>
                <w:rFonts w:ascii="Times New Roman" w:hAnsi="Times New Roman" w:cs="Times New Roman"/>
              </w:rPr>
              <w:t>7</w:t>
            </w:r>
          </w:p>
        </w:tc>
        <w:tc>
          <w:tcPr>
            <w:tcW w:w="1843" w:type="dxa"/>
            <w:hideMark/>
          </w:tcPr>
          <w:p w14:paraId="6816F63D" w14:textId="77777777" w:rsidR="000F2958" w:rsidRDefault="003B2158">
            <w:pPr>
              <w:rPr>
                <w:rFonts w:ascii="Times New Roman" w:hAnsi="Times New Roman" w:cs="Times New Roman"/>
                <w:i/>
                <w:iCs/>
              </w:rPr>
            </w:pPr>
            <w:r>
              <w:rPr>
                <w:rFonts w:ascii="Times New Roman" w:hAnsi="Times New Roman" w:cs="Times New Roman"/>
                <w:i/>
                <w:iCs/>
              </w:rPr>
              <w:t>Arecaceae</w:t>
            </w:r>
          </w:p>
        </w:tc>
        <w:tc>
          <w:tcPr>
            <w:tcW w:w="1134" w:type="dxa"/>
            <w:vAlign w:val="center"/>
            <w:hideMark/>
          </w:tcPr>
          <w:p w14:paraId="53F171E1"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0AA97E8"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B9290F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0CF82E3" w14:textId="77777777" w:rsidR="000F2958" w:rsidRDefault="003B2158">
            <w:pPr>
              <w:rPr>
                <w:rFonts w:ascii="Times New Roman" w:hAnsi="Times New Roman" w:cs="Times New Roman"/>
                <w:iCs/>
              </w:rPr>
            </w:pPr>
            <w:r>
              <w:rPr>
                <w:rFonts w:ascii="Times New Roman" w:hAnsi="Times New Roman" w:cs="Times New Roman"/>
                <w:i/>
                <w:iCs/>
              </w:rPr>
              <w:t xml:space="preserve">Elaeis guineensis </w:t>
            </w:r>
            <w:r>
              <w:rPr>
                <w:rFonts w:ascii="Times New Roman" w:hAnsi="Times New Roman" w:cs="Times New Roman"/>
                <w:iCs/>
              </w:rPr>
              <w:t>Jacq.</w:t>
            </w:r>
          </w:p>
        </w:tc>
      </w:tr>
      <w:tr w:rsidR="000F2958" w14:paraId="728AA5A9" w14:textId="77777777">
        <w:trPr>
          <w:trHeight w:val="300"/>
        </w:trPr>
        <w:tc>
          <w:tcPr>
            <w:tcW w:w="709" w:type="dxa"/>
            <w:noWrap/>
            <w:vAlign w:val="center"/>
            <w:hideMark/>
          </w:tcPr>
          <w:p w14:paraId="5E48DB93" w14:textId="77777777" w:rsidR="000F2958" w:rsidRDefault="003B2158">
            <w:pPr>
              <w:ind w:firstLine="360"/>
              <w:jc w:val="center"/>
              <w:rPr>
                <w:rFonts w:ascii="Times New Roman" w:hAnsi="Times New Roman" w:cs="Times New Roman"/>
              </w:rPr>
            </w:pPr>
            <w:r>
              <w:rPr>
                <w:rFonts w:ascii="Times New Roman" w:hAnsi="Times New Roman" w:cs="Times New Roman"/>
              </w:rPr>
              <w:t>8</w:t>
            </w:r>
          </w:p>
        </w:tc>
        <w:tc>
          <w:tcPr>
            <w:tcW w:w="1843" w:type="dxa"/>
            <w:hideMark/>
          </w:tcPr>
          <w:p w14:paraId="2C1C818D" w14:textId="77777777" w:rsidR="000F2958" w:rsidRDefault="003B2158">
            <w:pPr>
              <w:rPr>
                <w:rFonts w:ascii="Times New Roman" w:hAnsi="Times New Roman" w:cs="Times New Roman"/>
                <w:i/>
                <w:iCs/>
              </w:rPr>
            </w:pPr>
            <w:r>
              <w:rPr>
                <w:rFonts w:ascii="Times New Roman" w:hAnsi="Times New Roman" w:cs="Times New Roman"/>
                <w:i/>
                <w:iCs/>
              </w:rPr>
              <w:t>Arecaceae</w:t>
            </w:r>
          </w:p>
        </w:tc>
        <w:tc>
          <w:tcPr>
            <w:tcW w:w="1134" w:type="dxa"/>
            <w:vAlign w:val="center"/>
            <w:hideMark/>
          </w:tcPr>
          <w:p w14:paraId="5CA2CE52"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CD2004B"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4F623BA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69739A2" w14:textId="77777777" w:rsidR="000F2958" w:rsidRDefault="003B2158">
            <w:pPr>
              <w:rPr>
                <w:rFonts w:ascii="Times New Roman" w:hAnsi="Times New Roman" w:cs="Times New Roman"/>
                <w:i/>
                <w:iCs/>
              </w:rPr>
            </w:pPr>
            <w:r>
              <w:rPr>
                <w:rFonts w:ascii="Times New Roman" w:hAnsi="Times New Roman" w:cs="Times New Roman"/>
                <w:i/>
                <w:iCs/>
              </w:rPr>
              <w:t xml:space="preserve">Raphia mombuttorum </w:t>
            </w:r>
            <w:r>
              <w:rPr>
                <w:rFonts w:ascii="Times New Roman" w:hAnsi="Times New Roman" w:cs="Times New Roman"/>
                <w:iCs/>
              </w:rPr>
              <w:t>Drude</w:t>
            </w:r>
          </w:p>
        </w:tc>
      </w:tr>
      <w:tr w:rsidR="000F2958" w14:paraId="1EF15ADE" w14:textId="77777777">
        <w:trPr>
          <w:trHeight w:val="300"/>
        </w:trPr>
        <w:tc>
          <w:tcPr>
            <w:tcW w:w="709" w:type="dxa"/>
            <w:noWrap/>
            <w:vAlign w:val="center"/>
            <w:hideMark/>
          </w:tcPr>
          <w:p w14:paraId="4C022BDF" w14:textId="77777777" w:rsidR="000F2958" w:rsidRDefault="003B2158">
            <w:pPr>
              <w:ind w:firstLine="360"/>
              <w:jc w:val="center"/>
              <w:rPr>
                <w:rFonts w:ascii="Times New Roman" w:hAnsi="Times New Roman" w:cs="Times New Roman"/>
              </w:rPr>
            </w:pPr>
            <w:r>
              <w:rPr>
                <w:rFonts w:ascii="Times New Roman" w:hAnsi="Times New Roman" w:cs="Times New Roman"/>
              </w:rPr>
              <w:t>9</w:t>
            </w:r>
          </w:p>
        </w:tc>
        <w:tc>
          <w:tcPr>
            <w:tcW w:w="1843" w:type="dxa"/>
            <w:hideMark/>
          </w:tcPr>
          <w:p w14:paraId="0A59DE03" w14:textId="77777777" w:rsidR="000F2958" w:rsidRDefault="003B2158">
            <w:pPr>
              <w:rPr>
                <w:rFonts w:ascii="Times New Roman" w:hAnsi="Times New Roman" w:cs="Times New Roman"/>
                <w:i/>
                <w:iCs/>
              </w:rPr>
            </w:pPr>
            <w:r>
              <w:rPr>
                <w:rFonts w:ascii="Times New Roman" w:hAnsi="Times New Roman" w:cs="Times New Roman"/>
                <w:i/>
                <w:iCs/>
              </w:rPr>
              <w:t>Bigniniaceae</w:t>
            </w:r>
          </w:p>
        </w:tc>
        <w:tc>
          <w:tcPr>
            <w:tcW w:w="1134" w:type="dxa"/>
            <w:vAlign w:val="center"/>
            <w:hideMark/>
          </w:tcPr>
          <w:p w14:paraId="34A6BDF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BD22190"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75E8F0B"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1A26B0C" w14:textId="7F9C9611" w:rsidR="000F2958" w:rsidRDefault="003B2158">
            <w:pPr>
              <w:rPr>
                <w:rFonts w:ascii="Times New Roman" w:hAnsi="Times New Roman" w:cs="Times New Roman"/>
                <w:i/>
                <w:iCs/>
              </w:rPr>
            </w:pPr>
            <w:r>
              <w:rPr>
                <w:rFonts w:ascii="Times New Roman" w:hAnsi="Times New Roman" w:cs="Times New Roman"/>
                <w:i/>
                <w:iCs/>
              </w:rPr>
              <w:t xml:space="preserve">Spathodea campanulata </w:t>
            </w:r>
            <w:r>
              <w:rPr>
                <w:rFonts w:ascii="Times New Roman" w:hAnsi="Times New Roman" w:cs="Times New Roman"/>
              </w:rPr>
              <w:t>P. Beauv</w:t>
            </w:r>
            <w:r>
              <w:rPr>
                <w:rFonts w:ascii="Times New Roman" w:hAnsi="Times New Roman" w:cs="Times New Roman"/>
                <w:i/>
                <w:iCs/>
              </w:rPr>
              <w:t>.</w:t>
            </w:r>
          </w:p>
        </w:tc>
      </w:tr>
      <w:tr w:rsidR="000F2958" w14:paraId="0A1441FC" w14:textId="77777777">
        <w:trPr>
          <w:trHeight w:val="300"/>
        </w:trPr>
        <w:tc>
          <w:tcPr>
            <w:tcW w:w="709" w:type="dxa"/>
            <w:noWrap/>
            <w:vAlign w:val="center"/>
            <w:hideMark/>
          </w:tcPr>
          <w:p w14:paraId="2C37B045" w14:textId="77777777" w:rsidR="000F2958" w:rsidRDefault="003B2158">
            <w:pPr>
              <w:jc w:val="center"/>
              <w:rPr>
                <w:rFonts w:ascii="Times New Roman" w:hAnsi="Times New Roman" w:cs="Times New Roman"/>
              </w:rPr>
            </w:pPr>
            <w:r>
              <w:rPr>
                <w:rFonts w:ascii="Times New Roman" w:hAnsi="Times New Roman" w:cs="Times New Roman"/>
              </w:rPr>
              <w:t>10</w:t>
            </w:r>
          </w:p>
        </w:tc>
        <w:tc>
          <w:tcPr>
            <w:tcW w:w="1843" w:type="dxa"/>
            <w:hideMark/>
          </w:tcPr>
          <w:p w14:paraId="6F7214B1" w14:textId="77777777" w:rsidR="000F2958" w:rsidRDefault="003B2158">
            <w:pPr>
              <w:rPr>
                <w:rFonts w:ascii="Times New Roman" w:hAnsi="Times New Roman" w:cs="Times New Roman"/>
                <w:i/>
                <w:iCs/>
              </w:rPr>
            </w:pPr>
            <w:r>
              <w:rPr>
                <w:rFonts w:ascii="Times New Roman" w:hAnsi="Times New Roman" w:cs="Times New Roman"/>
                <w:i/>
                <w:iCs/>
              </w:rPr>
              <w:t>Burseraceae</w:t>
            </w:r>
          </w:p>
        </w:tc>
        <w:tc>
          <w:tcPr>
            <w:tcW w:w="1134" w:type="dxa"/>
            <w:vAlign w:val="center"/>
            <w:hideMark/>
          </w:tcPr>
          <w:p w14:paraId="0690AB09"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6FE3EED"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12C0EEF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0E9BCD00" w14:textId="2E4DF429" w:rsidR="000F2958" w:rsidRDefault="003B2158">
            <w:pPr>
              <w:rPr>
                <w:rFonts w:ascii="Times New Roman" w:hAnsi="Times New Roman" w:cs="Times New Roman"/>
                <w:i/>
                <w:iCs/>
              </w:rPr>
            </w:pPr>
            <w:r>
              <w:rPr>
                <w:rFonts w:ascii="Times New Roman" w:hAnsi="Times New Roman" w:cs="Times New Roman"/>
                <w:i/>
                <w:iCs/>
              </w:rPr>
              <w:t xml:space="preserve">Canarium Schweinfurthii </w:t>
            </w:r>
            <w:r>
              <w:rPr>
                <w:rFonts w:ascii="Times New Roman" w:hAnsi="Times New Roman" w:cs="Times New Roman"/>
              </w:rPr>
              <w:t>English</w:t>
            </w:r>
            <w:r>
              <w:rPr>
                <w:rFonts w:ascii="Times New Roman" w:hAnsi="Times New Roman" w:cs="Times New Roman"/>
                <w:i/>
                <w:iCs/>
              </w:rPr>
              <w:t>.</w:t>
            </w:r>
          </w:p>
        </w:tc>
      </w:tr>
      <w:tr w:rsidR="000F2958" w14:paraId="54E45658" w14:textId="77777777">
        <w:trPr>
          <w:trHeight w:val="300"/>
        </w:trPr>
        <w:tc>
          <w:tcPr>
            <w:tcW w:w="709" w:type="dxa"/>
            <w:noWrap/>
            <w:vAlign w:val="center"/>
            <w:hideMark/>
          </w:tcPr>
          <w:p w14:paraId="463410E0" w14:textId="77777777" w:rsidR="000F2958" w:rsidRDefault="003B2158">
            <w:pPr>
              <w:jc w:val="center"/>
              <w:rPr>
                <w:rFonts w:ascii="Times New Roman" w:hAnsi="Times New Roman" w:cs="Times New Roman"/>
              </w:rPr>
            </w:pPr>
            <w:r>
              <w:rPr>
                <w:rFonts w:ascii="Times New Roman" w:hAnsi="Times New Roman" w:cs="Times New Roman"/>
              </w:rPr>
              <w:t>11</w:t>
            </w:r>
          </w:p>
        </w:tc>
        <w:tc>
          <w:tcPr>
            <w:tcW w:w="1843" w:type="dxa"/>
            <w:hideMark/>
          </w:tcPr>
          <w:p w14:paraId="56784148" w14:textId="77777777" w:rsidR="000F2958" w:rsidRDefault="003B2158">
            <w:pPr>
              <w:rPr>
                <w:rFonts w:ascii="Times New Roman" w:hAnsi="Times New Roman" w:cs="Times New Roman"/>
                <w:i/>
                <w:iCs/>
              </w:rPr>
            </w:pPr>
            <w:r>
              <w:rPr>
                <w:rFonts w:ascii="Times New Roman" w:hAnsi="Times New Roman" w:cs="Times New Roman"/>
                <w:i/>
                <w:iCs/>
              </w:rPr>
              <w:t>Cecropiaceae</w:t>
            </w:r>
          </w:p>
        </w:tc>
        <w:tc>
          <w:tcPr>
            <w:tcW w:w="1134" w:type="dxa"/>
            <w:vAlign w:val="center"/>
            <w:hideMark/>
          </w:tcPr>
          <w:p w14:paraId="5E6D542D"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3432734"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6243BC19"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B93EC7D" w14:textId="77777777" w:rsidR="000F2958" w:rsidRDefault="003B2158">
            <w:pPr>
              <w:rPr>
                <w:rFonts w:ascii="Times New Roman" w:hAnsi="Times New Roman" w:cs="Times New Roman"/>
                <w:i/>
                <w:iCs/>
              </w:rPr>
            </w:pPr>
            <w:r>
              <w:rPr>
                <w:rFonts w:ascii="Times New Roman" w:hAnsi="Times New Roman" w:cs="Times New Roman"/>
                <w:i/>
                <w:iCs/>
              </w:rPr>
              <w:t xml:space="preserve">Myrianthus arboreus </w:t>
            </w:r>
            <w:r>
              <w:rPr>
                <w:rFonts w:ascii="Times New Roman" w:hAnsi="Times New Roman" w:cs="Times New Roman"/>
              </w:rPr>
              <w:t xml:space="preserve">P. Beauv </w:t>
            </w:r>
            <w:r>
              <w:rPr>
                <w:rFonts w:ascii="Times New Roman" w:hAnsi="Times New Roman" w:cs="Times New Roman"/>
                <w:i/>
                <w:iCs/>
              </w:rPr>
              <w:t>.</w:t>
            </w:r>
          </w:p>
        </w:tc>
      </w:tr>
      <w:tr w:rsidR="000F2958" w14:paraId="15E7866E" w14:textId="77777777">
        <w:trPr>
          <w:trHeight w:val="300"/>
        </w:trPr>
        <w:tc>
          <w:tcPr>
            <w:tcW w:w="709" w:type="dxa"/>
            <w:noWrap/>
            <w:vAlign w:val="center"/>
            <w:hideMark/>
          </w:tcPr>
          <w:p w14:paraId="56D14D20" w14:textId="77777777" w:rsidR="000F2958" w:rsidRDefault="003B2158">
            <w:pPr>
              <w:jc w:val="center"/>
              <w:rPr>
                <w:rFonts w:ascii="Times New Roman" w:hAnsi="Times New Roman" w:cs="Times New Roman"/>
              </w:rPr>
            </w:pPr>
            <w:r>
              <w:rPr>
                <w:rFonts w:ascii="Times New Roman" w:hAnsi="Times New Roman" w:cs="Times New Roman"/>
              </w:rPr>
              <w:t>12</w:t>
            </w:r>
          </w:p>
        </w:tc>
        <w:tc>
          <w:tcPr>
            <w:tcW w:w="1843" w:type="dxa"/>
            <w:hideMark/>
          </w:tcPr>
          <w:p w14:paraId="3688B8B1" w14:textId="77777777" w:rsidR="000F2958" w:rsidRDefault="003B2158">
            <w:pPr>
              <w:rPr>
                <w:rFonts w:ascii="Times New Roman" w:hAnsi="Times New Roman" w:cs="Times New Roman"/>
                <w:i/>
                <w:iCs/>
              </w:rPr>
            </w:pPr>
            <w:r>
              <w:rPr>
                <w:rFonts w:ascii="Times New Roman" w:hAnsi="Times New Roman" w:cs="Times New Roman"/>
                <w:i/>
                <w:iCs/>
              </w:rPr>
              <w:t>Clusiaceae</w:t>
            </w:r>
          </w:p>
        </w:tc>
        <w:tc>
          <w:tcPr>
            <w:tcW w:w="1134" w:type="dxa"/>
            <w:vAlign w:val="center"/>
            <w:hideMark/>
          </w:tcPr>
          <w:p w14:paraId="36221FA4"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5624990A"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50FF2E4"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FE601FF" w14:textId="35360DD3" w:rsidR="000F2958" w:rsidRDefault="003B2158">
            <w:pPr>
              <w:rPr>
                <w:rFonts w:ascii="Times New Roman" w:hAnsi="Times New Roman" w:cs="Times New Roman"/>
                <w:i/>
                <w:iCs/>
              </w:rPr>
            </w:pPr>
            <w:r>
              <w:rPr>
                <w:rFonts w:ascii="Times New Roman" w:hAnsi="Times New Roman" w:cs="Times New Roman"/>
                <w:i/>
                <w:iCs/>
              </w:rPr>
              <w:t xml:space="preserve">Allanblackia floribunda </w:t>
            </w:r>
            <w:r>
              <w:rPr>
                <w:rFonts w:ascii="Times New Roman" w:hAnsi="Times New Roman" w:cs="Times New Roman"/>
              </w:rPr>
              <w:t>Olive.</w:t>
            </w:r>
          </w:p>
        </w:tc>
      </w:tr>
      <w:tr w:rsidR="000F2958" w14:paraId="085A6C8C" w14:textId="77777777">
        <w:trPr>
          <w:trHeight w:val="301"/>
        </w:trPr>
        <w:tc>
          <w:tcPr>
            <w:tcW w:w="709" w:type="dxa"/>
            <w:noWrap/>
            <w:vAlign w:val="center"/>
            <w:hideMark/>
          </w:tcPr>
          <w:p w14:paraId="6E1CE7ED" w14:textId="77777777" w:rsidR="000F2958" w:rsidRDefault="003B2158">
            <w:pPr>
              <w:rPr>
                <w:rFonts w:ascii="Times New Roman" w:hAnsi="Times New Roman" w:cs="Times New Roman"/>
              </w:rPr>
            </w:pPr>
            <w:r>
              <w:rPr>
                <w:rFonts w:ascii="Times New Roman" w:hAnsi="Times New Roman" w:cs="Times New Roman"/>
              </w:rPr>
              <w:t>13</w:t>
            </w:r>
          </w:p>
        </w:tc>
        <w:tc>
          <w:tcPr>
            <w:tcW w:w="1843" w:type="dxa"/>
            <w:vAlign w:val="center"/>
            <w:hideMark/>
          </w:tcPr>
          <w:p w14:paraId="65FA5140" w14:textId="77777777" w:rsidR="000F2958" w:rsidRDefault="003B2158">
            <w:pPr>
              <w:rPr>
                <w:rFonts w:ascii="Times New Roman" w:hAnsi="Times New Roman" w:cs="Times New Roman"/>
                <w:i/>
                <w:iCs/>
              </w:rPr>
            </w:pPr>
            <w:r>
              <w:rPr>
                <w:rFonts w:ascii="Times New Roman" w:hAnsi="Times New Roman" w:cs="Times New Roman"/>
                <w:i/>
                <w:iCs/>
              </w:rPr>
              <w:t>Erythroxylaceae</w:t>
            </w:r>
          </w:p>
        </w:tc>
        <w:tc>
          <w:tcPr>
            <w:tcW w:w="1134" w:type="dxa"/>
            <w:vAlign w:val="center"/>
            <w:hideMark/>
          </w:tcPr>
          <w:p w14:paraId="4F0C02A7"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vAlign w:val="center"/>
            <w:hideMark/>
          </w:tcPr>
          <w:p w14:paraId="1ACEAAE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057FC29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1586D01" w14:textId="75BD3708" w:rsidR="000F2958" w:rsidRDefault="003B2158">
            <w:pPr>
              <w:rPr>
                <w:rFonts w:ascii="Times New Roman" w:hAnsi="Times New Roman" w:cs="Times New Roman"/>
                <w:i/>
                <w:iCs/>
              </w:rPr>
            </w:pPr>
            <w:r>
              <w:rPr>
                <w:rFonts w:ascii="Times New Roman" w:hAnsi="Times New Roman" w:cs="Times New Roman"/>
                <w:i/>
                <w:iCs/>
              </w:rPr>
              <w:t xml:space="preserve">Erythroxylum mannii </w:t>
            </w:r>
            <w:r>
              <w:rPr>
                <w:rFonts w:ascii="Times New Roman" w:hAnsi="Times New Roman" w:cs="Times New Roman"/>
              </w:rPr>
              <w:t>Olive.</w:t>
            </w:r>
          </w:p>
        </w:tc>
      </w:tr>
      <w:tr w:rsidR="000F2958" w14:paraId="2C273481" w14:textId="77777777">
        <w:trPr>
          <w:trHeight w:val="300"/>
        </w:trPr>
        <w:tc>
          <w:tcPr>
            <w:tcW w:w="709" w:type="dxa"/>
            <w:noWrap/>
            <w:vAlign w:val="center"/>
            <w:hideMark/>
          </w:tcPr>
          <w:p w14:paraId="1002FEA5" w14:textId="77777777" w:rsidR="000F2958" w:rsidRDefault="003B2158">
            <w:pPr>
              <w:jc w:val="center"/>
              <w:rPr>
                <w:rFonts w:ascii="Times New Roman" w:hAnsi="Times New Roman" w:cs="Times New Roman"/>
              </w:rPr>
            </w:pPr>
            <w:r>
              <w:rPr>
                <w:rFonts w:ascii="Times New Roman" w:hAnsi="Times New Roman" w:cs="Times New Roman"/>
              </w:rPr>
              <w:t>14</w:t>
            </w:r>
          </w:p>
        </w:tc>
        <w:tc>
          <w:tcPr>
            <w:tcW w:w="1843" w:type="dxa"/>
            <w:hideMark/>
          </w:tcPr>
          <w:p w14:paraId="5DEFB3DD"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4FD420C4" w14:textId="77777777" w:rsidR="000F2958" w:rsidRDefault="003B2158">
            <w:pPr>
              <w:jc w:val="center"/>
              <w:rPr>
                <w:rFonts w:ascii="Times New Roman" w:hAnsi="Times New Roman" w:cs="Times New Roman"/>
              </w:rPr>
            </w:pPr>
            <w:r>
              <w:rPr>
                <w:rFonts w:ascii="Times New Roman" w:hAnsi="Times New Roman" w:cs="Times New Roman"/>
              </w:rPr>
              <w:t>mPh</w:t>
            </w:r>
          </w:p>
        </w:tc>
        <w:tc>
          <w:tcPr>
            <w:tcW w:w="1418" w:type="dxa"/>
            <w:hideMark/>
          </w:tcPr>
          <w:p w14:paraId="17F9E63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90235E8"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4DAE245" w14:textId="1872D225" w:rsidR="000F2958" w:rsidRDefault="003B2158">
            <w:pPr>
              <w:rPr>
                <w:rFonts w:ascii="Times New Roman" w:hAnsi="Times New Roman" w:cs="Times New Roman"/>
                <w:i/>
                <w:iCs/>
              </w:rPr>
            </w:pPr>
            <w:r>
              <w:rPr>
                <w:rFonts w:ascii="Times New Roman" w:hAnsi="Times New Roman" w:cs="Times New Roman"/>
                <w:i/>
                <w:iCs/>
              </w:rPr>
              <w:t xml:space="preserve">Albizia zygia </w:t>
            </w:r>
            <w:r>
              <w:rPr>
                <w:rFonts w:ascii="Times New Roman" w:hAnsi="Times New Roman" w:cs="Times New Roman"/>
              </w:rPr>
              <w:t>(DC.) JF Macbr.</w:t>
            </w:r>
          </w:p>
        </w:tc>
      </w:tr>
      <w:tr w:rsidR="000F2958" w14:paraId="1739A12C" w14:textId="77777777">
        <w:trPr>
          <w:trHeight w:val="300"/>
        </w:trPr>
        <w:tc>
          <w:tcPr>
            <w:tcW w:w="709" w:type="dxa"/>
            <w:noWrap/>
            <w:vAlign w:val="center"/>
            <w:hideMark/>
          </w:tcPr>
          <w:p w14:paraId="7715FE9E" w14:textId="77777777" w:rsidR="000F2958" w:rsidRDefault="003B2158">
            <w:pPr>
              <w:jc w:val="center"/>
              <w:rPr>
                <w:rFonts w:ascii="Times New Roman" w:hAnsi="Times New Roman" w:cs="Times New Roman"/>
              </w:rPr>
            </w:pPr>
            <w:r>
              <w:rPr>
                <w:rFonts w:ascii="Times New Roman" w:hAnsi="Times New Roman" w:cs="Times New Roman"/>
              </w:rPr>
              <w:t>15</w:t>
            </w:r>
          </w:p>
        </w:tc>
        <w:tc>
          <w:tcPr>
            <w:tcW w:w="1843" w:type="dxa"/>
            <w:hideMark/>
          </w:tcPr>
          <w:p w14:paraId="21D5F7B9"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288D45A8"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EB60284"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378B5C8B"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786A0B1F" w14:textId="76F536DF" w:rsidR="000F2958" w:rsidRDefault="003B2158">
            <w:pPr>
              <w:rPr>
                <w:rFonts w:ascii="Times New Roman" w:hAnsi="Times New Roman" w:cs="Times New Roman"/>
                <w:i/>
                <w:iCs/>
              </w:rPr>
            </w:pPr>
            <w:r>
              <w:rPr>
                <w:rFonts w:ascii="Times New Roman" w:hAnsi="Times New Roman" w:cs="Times New Roman"/>
                <w:i/>
                <w:iCs/>
              </w:rPr>
              <w:t xml:space="preserve">Distemonanthus benthamianus </w:t>
            </w:r>
            <w:r>
              <w:rPr>
                <w:rFonts w:ascii="Times New Roman" w:hAnsi="Times New Roman" w:cs="Times New Roman"/>
              </w:rPr>
              <w:t>Bail.</w:t>
            </w:r>
          </w:p>
        </w:tc>
      </w:tr>
      <w:tr w:rsidR="000F2958" w14:paraId="6A4E6BB4" w14:textId="77777777">
        <w:trPr>
          <w:trHeight w:val="300"/>
        </w:trPr>
        <w:tc>
          <w:tcPr>
            <w:tcW w:w="709" w:type="dxa"/>
            <w:noWrap/>
            <w:vAlign w:val="center"/>
            <w:hideMark/>
          </w:tcPr>
          <w:p w14:paraId="18E8C0AC" w14:textId="77777777" w:rsidR="000F2958" w:rsidRDefault="003B2158">
            <w:pPr>
              <w:jc w:val="center"/>
              <w:rPr>
                <w:rFonts w:ascii="Times New Roman" w:hAnsi="Times New Roman" w:cs="Times New Roman"/>
              </w:rPr>
            </w:pPr>
            <w:r>
              <w:rPr>
                <w:rFonts w:ascii="Times New Roman" w:hAnsi="Times New Roman" w:cs="Times New Roman"/>
              </w:rPr>
              <w:t>16</w:t>
            </w:r>
          </w:p>
        </w:tc>
        <w:tc>
          <w:tcPr>
            <w:tcW w:w="1843" w:type="dxa"/>
            <w:hideMark/>
          </w:tcPr>
          <w:p w14:paraId="343435FD"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52080AE4"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996C0D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476FF2A8" w14:textId="77777777" w:rsidR="000F2958" w:rsidRDefault="003B2158">
            <w:pPr>
              <w:jc w:val="center"/>
              <w:rPr>
                <w:rFonts w:ascii="Times New Roman" w:hAnsi="Times New Roman" w:cs="Times New Roman"/>
              </w:rPr>
            </w:pPr>
            <w:r>
              <w:rPr>
                <w:rFonts w:ascii="Times New Roman" w:hAnsi="Times New Roman" w:cs="Times New Roman"/>
              </w:rPr>
              <w:t>GC-SZ</w:t>
            </w:r>
          </w:p>
        </w:tc>
        <w:tc>
          <w:tcPr>
            <w:tcW w:w="4678" w:type="dxa"/>
            <w:noWrap/>
            <w:vAlign w:val="center"/>
            <w:hideMark/>
          </w:tcPr>
          <w:p w14:paraId="2CBD03FA" w14:textId="38470AB7" w:rsidR="000F2958" w:rsidRDefault="003B2158">
            <w:pPr>
              <w:rPr>
                <w:rFonts w:ascii="Times New Roman" w:hAnsi="Times New Roman" w:cs="Times New Roman"/>
                <w:i/>
                <w:iCs/>
              </w:rPr>
            </w:pPr>
            <w:r>
              <w:rPr>
                <w:rFonts w:ascii="Times New Roman" w:hAnsi="Times New Roman" w:cs="Times New Roman"/>
                <w:i/>
                <w:iCs/>
              </w:rPr>
              <w:t xml:space="preserve">Erythrophleum suaveolens </w:t>
            </w:r>
            <w:r>
              <w:rPr>
                <w:rFonts w:ascii="Times New Roman" w:hAnsi="Times New Roman" w:cs="Times New Roman"/>
              </w:rPr>
              <w:t>(Guil. &amp; Perr.) Brenan</w:t>
            </w:r>
          </w:p>
        </w:tc>
      </w:tr>
      <w:tr w:rsidR="000F2958" w14:paraId="7F2A4F30" w14:textId="77777777">
        <w:trPr>
          <w:trHeight w:val="300"/>
        </w:trPr>
        <w:tc>
          <w:tcPr>
            <w:tcW w:w="709" w:type="dxa"/>
            <w:noWrap/>
            <w:vAlign w:val="center"/>
            <w:hideMark/>
          </w:tcPr>
          <w:p w14:paraId="5D86C915" w14:textId="77777777" w:rsidR="000F2958" w:rsidRDefault="003B2158">
            <w:pPr>
              <w:jc w:val="center"/>
              <w:rPr>
                <w:rFonts w:ascii="Times New Roman" w:hAnsi="Times New Roman" w:cs="Times New Roman"/>
              </w:rPr>
            </w:pPr>
            <w:r>
              <w:rPr>
                <w:rFonts w:ascii="Times New Roman" w:hAnsi="Times New Roman" w:cs="Times New Roman"/>
              </w:rPr>
              <w:t>17</w:t>
            </w:r>
          </w:p>
        </w:tc>
        <w:tc>
          <w:tcPr>
            <w:tcW w:w="1843" w:type="dxa"/>
            <w:hideMark/>
          </w:tcPr>
          <w:p w14:paraId="16DD0BAA"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391534DA"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D995C98"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F822568"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EE20017" w14:textId="4B550F9F" w:rsidR="000F2958" w:rsidRDefault="003B2158">
            <w:pPr>
              <w:rPr>
                <w:rFonts w:ascii="Times New Roman" w:hAnsi="Times New Roman" w:cs="Times New Roman"/>
                <w:i/>
                <w:iCs/>
              </w:rPr>
            </w:pPr>
            <w:r>
              <w:rPr>
                <w:rFonts w:ascii="Times New Roman" w:hAnsi="Times New Roman" w:cs="Times New Roman"/>
                <w:i/>
                <w:iCs/>
              </w:rPr>
              <w:t xml:space="preserve">Pentaclethra macrophylla </w:t>
            </w:r>
            <w:r>
              <w:rPr>
                <w:rFonts w:ascii="Times New Roman" w:hAnsi="Times New Roman" w:cs="Times New Roman"/>
              </w:rPr>
              <w:t>Benth.</w:t>
            </w:r>
          </w:p>
        </w:tc>
      </w:tr>
      <w:tr w:rsidR="000F2958" w14:paraId="42C406BA" w14:textId="77777777">
        <w:trPr>
          <w:trHeight w:val="300"/>
        </w:trPr>
        <w:tc>
          <w:tcPr>
            <w:tcW w:w="709" w:type="dxa"/>
            <w:noWrap/>
            <w:vAlign w:val="center"/>
            <w:hideMark/>
          </w:tcPr>
          <w:p w14:paraId="152CE6AA" w14:textId="77777777" w:rsidR="000F2958" w:rsidRDefault="003B2158">
            <w:pPr>
              <w:jc w:val="center"/>
              <w:rPr>
                <w:rFonts w:ascii="Times New Roman" w:hAnsi="Times New Roman" w:cs="Times New Roman"/>
              </w:rPr>
            </w:pPr>
            <w:r>
              <w:rPr>
                <w:rFonts w:ascii="Times New Roman" w:hAnsi="Times New Roman" w:cs="Times New Roman"/>
              </w:rPr>
              <w:t>18</w:t>
            </w:r>
          </w:p>
        </w:tc>
        <w:tc>
          <w:tcPr>
            <w:tcW w:w="1843" w:type="dxa"/>
            <w:hideMark/>
          </w:tcPr>
          <w:p w14:paraId="7699D5E8"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06B0106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B731C36"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A0E0BB2"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7E3A1D4" w14:textId="0AE3F26D" w:rsidR="000F2958" w:rsidRDefault="003B2158">
            <w:pPr>
              <w:rPr>
                <w:rFonts w:ascii="Times New Roman" w:hAnsi="Times New Roman" w:cs="Times New Roman"/>
                <w:i/>
                <w:iCs/>
                <w:lang w:val="en-US"/>
              </w:rPr>
            </w:pPr>
            <w:r>
              <w:rPr>
                <w:rFonts w:ascii="Times New Roman" w:hAnsi="Times New Roman" w:cs="Times New Roman"/>
                <w:i/>
                <w:iCs/>
                <w:lang w:val="en-US"/>
              </w:rPr>
              <w:t xml:space="preserve">Piptadeniastrum africanum </w:t>
            </w:r>
            <w:r>
              <w:rPr>
                <w:rFonts w:ascii="Times New Roman" w:hAnsi="Times New Roman" w:cs="Times New Roman"/>
                <w:lang w:val="en-US"/>
              </w:rPr>
              <w:t>(Hook.f.) Brenan</w:t>
            </w:r>
          </w:p>
        </w:tc>
      </w:tr>
      <w:tr w:rsidR="000F2958" w14:paraId="0D083A36" w14:textId="77777777">
        <w:trPr>
          <w:trHeight w:val="300"/>
        </w:trPr>
        <w:tc>
          <w:tcPr>
            <w:tcW w:w="709" w:type="dxa"/>
            <w:noWrap/>
            <w:vAlign w:val="center"/>
            <w:hideMark/>
          </w:tcPr>
          <w:p w14:paraId="7542D6B3" w14:textId="77777777" w:rsidR="000F2958" w:rsidRDefault="003B2158">
            <w:pPr>
              <w:jc w:val="center"/>
              <w:rPr>
                <w:rFonts w:ascii="Times New Roman" w:hAnsi="Times New Roman" w:cs="Times New Roman"/>
              </w:rPr>
            </w:pPr>
            <w:r>
              <w:rPr>
                <w:rFonts w:ascii="Times New Roman" w:hAnsi="Times New Roman" w:cs="Times New Roman"/>
              </w:rPr>
              <w:t>19</w:t>
            </w:r>
          </w:p>
        </w:tc>
        <w:tc>
          <w:tcPr>
            <w:tcW w:w="1843" w:type="dxa"/>
            <w:hideMark/>
          </w:tcPr>
          <w:p w14:paraId="203375A9"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713585C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D59CB4E"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8D9492C"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72D91504" w14:textId="77777777" w:rsidR="000F2958" w:rsidRDefault="003B2158">
            <w:pPr>
              <w:rPr>
                <w:rFonts w:ascii="Times New Roman" w:hAnsi="Times New Roman" w:cs="Times New Roman"/>
                <w:i/>
                <w:iCs/>
              </w:rPr>
            </w:pPr>
            <w:r>
              <w:rPr>
                <w:rFonts w:ascii="Times New Roman" w:hAnsi="Times New Roman" w:cs="Times New Roman"/>
                <w:i/>
                <w:iCs/>
              </w:rPr>
              <w:t xml:space="preserve">Pterocarpus soyauxii </w:t>
            </w:r>
            <w:r>
              <w:rPr>
                <w:rFonts w:ascii="Times New Roman" w:hAnsi="Times New Roman" w:cs="Times New Roman"/>
              </w:rPr>
              <w:t>Taub .</w:t>
            </w:r>
          </w:p>
        </w:tc>
      </w:tr>
      <w:tr w:rsidR="000F2958" w14:paraId="6A6D87CD" w14:textId="77777777">
        <w:trPr>
          <w:trHeight w:val="300"/>
        </w:trPr>
        <w:tc>
          <w:tcPr>
            <w:tcW w:w="709" w:type="dxa"/>
            <w:noWrap/>
            <w:vAlign w:val="center"/>
            <w:hideMark/>
          </w:tcPr>
          <w:p w14:paraId="0FADD18F" w14:textId="77777777" w:rsidR="000F2958" w:rsidRDefault="003B2158">
            <w:pPr>
              <w:jc w:val="center"/>
              <w:rPr>
                <w:rFonts w:ascii="Times New Roman" w:hAnsi="Times New Roman" w:cs="Times New Roman"/>
              </w:rPr>
            </w:pPr>
            <w:r>
              <w:rPr>
                <w:rFonts w:ascii="Times New Roman" w:hAnsi="Times New Roman" w:cs="Times New Roman"/>
              </w:rPr>
              <w:t>20</w:t>
            </w:r>
          </w:p>
        </w:tc>
        <w:tc>
          <w:tcPr>
            <w:tcW w:w="1843" w:type="dxa"/>
            <w:hideMark/>
          </w:tcPr>
          <w:p w14:paraId="1A4D074F" w14:textId="77777777" w:rsidR="000F2958" w:rsidRDefault="003B2158">
            <w:pPr>
              <w:rPr>
                <w:rFonts w:ascii="Times New Roman" w:hAnsi="Times New Roman" w:cs="Times New Roman"/>
                <w:i/>
                <w:iCs/>
              </w:rPr>
            </w:pPr>
            <w:r>
              <w:rPr>
                <w:rFonts w:ascii="Times New Roman" w:hAnsi="Times New Roman" w:cs="Times New Roman"/>
                <w:i/>
                <w:iCs/>
              </w:rPr>
              <w:t>Flacourtiaceae</w:t>
            </w:r>
          </w:p>
        </w:tc>
        <w:tc>
          <w:tcPr>
            <w:tcW w:w="1134" w:type="dxa"/>
            <w:vAlign w:val="center"/>
            <w:hideMark/>
          </w:tcPr>
          <w:p w14:paraId="181E298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582D0DD7"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378E877"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07B04A1" w14:textId="1945192F" w:rsidR="000F2958" w:rsidRDefault="003B2158">
            <w:pPr>
              <w:rPr>
                <w:rFonts w:ascii="Times New Roman" w:hAnsi="Times New Roman" w:cs="Times New Roman"/>
                <w:i/>
                <w:iCs/>
              </w:rPr>
            </w:pPr>
            <w:r>
              <w:rPr>
                <w:rFonts w:ascii="Times New Roman" w:hAnsi="Times New Roman" w:cs="Times New Roman"/>
                <w:i/>
                <w:iCs/>
              </w:rPr>
              <w:t xml:space="preserve">Oncoba welwitschii </w:t>
            </w:r>
            <w:r>
              <w:rPr>
                <w:rFonts w:ascii="Times New Roman" w:hAnsi="Times New Roman" w:cs="Times New Roman"/>
              </w:rPr>
              <w:t>Olive</w:t>
            </w:r>
            <w:r>
              <w:rPr>
                <w:rFonts w:ascii="Times New Roman" w:hAnsi="Times New Roman" w:cs="Times New Roman"/>
                <w:i/>
                <w:iCs/>
              </w:rPr>
              <w:t>.</w:t>
            </w:r>
          </w:p>
        </w:tc>
      </w:tr>
      <w:tr w:rsidR="000F2958" w14:paraId="28C7D027" w14:textId="77777777">
        <w:trPr>
          <w:trHeight w:val="300"/>
        </w:trPr>
        <w:tc>
          <w:tcPr>
            <w:tcW w:w="709" w:type="dxa"/>
            <w:noWrap/>
            <w:vAlign w:val="center"/>
            <w:hideMark/>
          </w:tcPr>
          <w:p w14:paraId="06FFB238" w14:textId="77777777" w:rsidR="000F2958" w:rsidRDefault="003B2158">
            <w:pPr>
              <w:jc w:val="center"/>
              <w:rPr>
                <w:rFonts w:ascii="Times New Roman" w:hAnsi="Times New Roman" w:cs="Times New Roman"/>
              </w:rPr>
            </w:pPr>
            <w:r>
              <w:rPr>
                <w:rFonts w:ascii="Times New Roman" w:hAnsi="Times New Roman" w:cs="Times New Roman"/>
              </w:rPr>
              <w:t>21</w:t>
            </w:r>
          </w:p>
        </w:tc>
        <w:tc>
          <w:tcPr>
            <w:tcW w:w="1843" w:type="dxa"/>
            <w:hideMark/>
          </w:tcPr>
          <w:p w14:paraId="1A64D3A8" w14:textId="77777777" w:rsidR="000F2958" w:rsidRDefault="003B2158">
            <w:pPr>
              <w:rPr>
                <w:rFonts w:ascii="Times New Roman" w:hAnsi="Times New Roman" w:cs="Times New Roman"/>
                <w:i/>
                <w:iCs/>
              </w:rPr>
            </w:pPr>
            <w:r>
              <w:rPr>
                <w:rFonts w:ascii="Times New Roman" w:hAnsi="Times New Roman" w:cs="Times New Roman"/>
                <w:i/>
                <w:iCs/>
              </w:rPr>
              <w:t>Hypericaceae</w:t>
            </w:r>
          </w:p>
        </w:tc>
        <w:tc>
          <w:tcPr>
            <w:tcW w:w="1134" w:type="dxa"/>
            <w:vAlign w:val="center"/>
            <w:hideMark/>
          </w:tcPr>
          <w:p w14:paraId="2918882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D2D36BC"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3A99A4F6"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335A42F7" w14:textId="65D7E49C" w:rsidR="000F2958" w:rsidRDefault="003B2158">
            <w:pPr>
              <w:rPr>
                <w:rFonts w:ascii="Times New Roman" w:hAnsi="Times New Roman" w:cs="Times New Roman"/>
                <w:i/>
                <w:iCs/>
              </w:rPr>
            </w:pPr>
            <w:r>
              <w:rPr>
                <w:rFonts w:ascii="Times New Roman" w:hAnsi="Times New Roman" w:cs="Times New Roman"/>
                <w:i/>
                <w:iCs/>
              </w:rPr>
              <w:t xml:space="preserve">Harungana madagascariensis </w:t>
            </w:r>
            <w:r>
              <w:rPr>
                <w:rFonts w:ascii="Times New Roman" w:hAnsi="Times New Roman" w:cs="Times New Roman"/>
              </w:rPr>
              <w:t>Lam. ex Pear .</w:t>
            </w:r>
          </w:p>
        </w:tc>
      </w:tr>
      <w:tr w:rsidR="000F2958" w14:paraId="06D09776" w14:textId="77777777">
        <w:trPr>
          <w:trHeight w:val="300"/>
        </w:trPr>
        <w:tc>
          <w:tcPr>
            <w:tcW w:w="709" w:type="dxa"/>
            <w:noWrap/>
            <w:vAlign w:val="center"/>
            <w:hideMark/>
          </w:tcPr>
          <w:p w14:paraId="14893A84" w14:textId="77777777" w:rsidR="000F2958" w:rsidRDefault="003B2158">
            <w:pPr>
              <w:jc w:val="center"/>
              <w:rPr>
                <w:rFonts w:ascii="Times New Roman" w:hAnsi="Times New Roman" w:cs="Times New Roman"/>
              </w:rPr>
            </w:pPr>
            <w:r>
              <w:rPr>
                <w:rFonts w:ascii="Times New Roman" w:hAnsi="Times New Roman" w:cs="Times New Roman"/>
              </w:rPr>
              <w:t>22</w:t>
            </w:r>
          </w:p>
        </w:tc>
        <w:tc>
          <w:tcPr>
            <w:tcW w:w="1843" w:type="dxa"/>
            <w:hideMark/>
          </w:tcPr>
          <w:p w14:paraId="6F96A554" w14:textId="77777777" w:rsidR="000F2958" w:rsidRDefault="003B2158">
            <w:pPr>
              <w:rPr>
                <w:rFonts w:ascii="Times New Roman" w:hAnsi="Times New Roman" w:cs="Times New Roman"/>
                <w:i/>
                <w:iCs/>
              </w:rPr>
            </w:pPr>
            <w:r>
              <w:rPr>
                <w:rFonts w:ascii="Times New Roman" w:hAnsi="Times New Roman" w:cs="Times New Roman"/>
                <w:i/>
                <w:iCs/>
              </w:rPr>
              <w:t>Irvingiaceae</w:t>
            </w:r>
          </w:p>
        </w:tc>
        <w:tc>
          <w:tcPr>
            <w:tcW w:w="1134" w:type="dxa"/>
            <w:vAlign w:val="center"/>
            <w:hideMark/>
          </w:tcPr>
          <w:p w14:paraId="01517D62"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E43C170"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860BF4D"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297DB9B" w14:textId="77777777" w:rsidR="000F2958" w:rsidRDefault="003B2158">
            <w:pPr>
              <w:rPr>
                <w:rFonts w:ascii="Times New Roman" w:hAnsi="Times New Roman" w:cs="Times New Roman"/>
                <w:i/>
                <w:iCs/>
                <w:lang w:val="en-US"/>
              </w:rPr>
            </w:pPr>
            <w:r>
              <w:rPr>
                <w:rFonts w:ascii="Times New Roman" w:hAnsi="Times New Roman" w:cs="Times New Roman"/>
                <w:i/>
                <w:iCs/>
                <w:lang w:val="en-US"/>
              </w:rPr>
              <w:t xml:space="preserve">Desbordesia oblonga (Engl.) Van </w:t>
            </w:r>
            <w:proofErr w:type="gramStart"/>
            <w:r>
              <w:rPr>
                <w:rFonts w:ascii="Times New Roman" w:hAnsi="Times New Roman" w:cs="Times New Roman"/>
                <w:i/>
                <w:iCs/>
                <w:lang w:val="en-US"/>
              </w:rPr>
              <w:t>Thiegh .</w:t>
            </w:r>
            <w:proofErr w:type="gramEnd"/>
          </w:p>
        </w:tc>
      </w:tr>
      <w:tr w:rsidR="000F2958" w14:paraId="36D8E985" w14:textId="77777777">
        <w:trPr>
          <w:trHeight w:val="300"/>
        </w:trPr>
        <w:tc>
          <w:tcPr>
            <w:tcW w:w="709" w:type="dxa"/>
            <w:noWrap/>
            <w:vAlign w:val="center"/>
            <w:hideMark/>
          </w:tcPr>
          <w:p w14:paraId="0B4F4EA8" w14:textId="77777777" w:rsidR="000F2958" w:rsidRDefault="003B2158">
            <w:pPr>
              <w:jc w:val="center"/>
              <w:rPr>
                <w:rFonts w:ascii="Times New Roman" w:hAnsi="Times New Roman" w:cs="Times New Roman"/>
              </w:rPr>
            </w:pPr>
            <w:r>
              <w:rPr>
                <w:rFonts w:ascii="Times New Roman" w:hAnsi="Times New Roman" w:cs="Times New Roman"/>
              </w:rPr>
              <w:t>23</w:t>
            </w:r>
          </w:p>
        </w:tc>
        <w:tc>
          <w:tcPr>
            <w:tcW w:w="1843" w:type="dxa"/>
            <w:hideMark/>
          </w:tcPr>
          <w:p w14:paraId="7C892CC3" w14:textId="77777777" w:rsidR="000F2958" w:rsidRDefault="003B2158">
            <w:pPr>
              <w:rPr>
                <w:rFonts w:ascii="Times New Roman" w:hAnsi="Times New Roman" w:cs="Times New Roman"/>
                <w:i/>
                <w:iCs/>
              </w:rPr>
            </w:pPr>
            <w:r>
              <w:rPr>
                <w:rFonts w:ascii="Times New Roman" w:hAnsi="Times New Roman" w:cs="Times New Roman"/>
                <w:i/>
                <w:iCs/>
              </w:rPr>
              <w:t>Irvingiaceae</w:t>
            </w:r>
          </w:p>
        </w:tc>
        <w:tc>
          <w:tcPr>
            <w:tcW w:w="1134" w:type="dxa"/>
            <w:vAlign w:val="center"/>
            <w:hideMark/>
          </w:tcPr>
          <w:p w14:paraId="35873BB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00A8D29"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FD621C7"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4DABEDC" w14:textId="2D6AB2AD" w:rsidR="000F2958" w:rsidRDefault="003B2158">
            <w:pPr>
              <w:rPr>
                <w:rFonts w:ascii="Times New Roman" w:hAnsi="Times New Roman" w:cs="Times New Roman"/>
                <w:i/>
                <w:iCs/>
              </w:rPr>
            </w:pPr>
            <w:r>
              <w:rPr>
                <w:rFonts w:ascii="Times New Roman" w:hAnsi="Times New Roman" w:cs="Times New Roman"/>
                <w:i/>
                <w:iCs/>
              </w:rPr>
              <w:t xml:space="preserve">Irvingia gabonensis </w:t>
            </w:r>
            <w:r>
              <w:rPr>
                <w:rFonts w:ascii="Times New Roman" w:hAnsi="Times New Roman" w:cs="Times New Roman"/>
              </w:rPr>
              <w:t>(Aurey -Lecomte ex</w:t>
            </w:r>
          </w:p>
        </w:tc>
      </w:tr>
      <w:tr w:rsidR="000F2958" w14:paraId="5E55040C" w14:textId="77777777">
        <w:trPr>
          <w:trHeight w:val="300"/>
        </w:trPr>
        <w:tc>
          <w:tcPr>
            <w:tcW w:w="709" w:type="dxa"/>
            <w:noWrap/>
            <w:vAlign w:val="center"/>
            <w:hideMark/>
          </w:tcPr>
          <w:p w14:paraId="3A8366DD" w14:textId="77777777" w:rsidR="000F2958" w:rsidRDefault="003B2158">
            <w:pPr>
              <w:jc w:val="center"/>
              <w:rPr>
                <w:rFonts w:ascii="Times New Roman" w:hAnsi="Times New Roman" w:cs="Times New Roman"/>
              </w:rPr>
            </w:pPr>
            <w:r>
              <w:rPr>
                <w:rFonts w:ascii="Times New Roman" w:hAnsi="Times New Roman" w:cs="Times New Roman"/>
              </w:rPr>
              <w:lastRenderedPageBreak/>
              <w:t>24</w:t>
            </w:r>
          </w:p>
        </w:tc>
        <w:tc>
          <w:tcPr>
            <w:tcW w:w="1843" w:type="dxa"/>
            <w:hideMark/>
          </w:tcPr>
          <w:p w14:paraId="5E0DF411" w14:textId="77777777" w:rsidR="000F2958" w:rsidRDefault="003B2158">
            <w:pPr>
              <w:rPr>
                <w:rFonts w:ascii="Times New Roman" w:hAnsi="Times New Roman" w:cs="Times New Roman"/>
                <w:i/>
                <w:iCs/>
              </w:rPr>
            </w:pPr>
            <w:r>
              <w:rPr>
                <w:rFonts w:ascii="Times New Roman" w:hAnsi="Times New Roman" w:cs="Times New Roman"/>
                <w:i/>
                <w:iCs/>
              </w:rPr>
              <w:t>Loganiaceae</w:t>
            </w:r>
          </w:p>
        </w:tc>
        <w:tc>
          <w:tcPr>
            <w:tcW w:w="1134" w:type="dxa"/>
            <w:vAlign w:val="center"/>
            <w:hideMark/>
          </w:tcPr>
          <w:p w14:paraId="58590A77"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AF34C59"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12C4D95D"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24D36EF9" w14:textId="77777777" w:rsidR="000F2958" w:rsidRDefault="003B2158">
            <w:pPr>
              <w:rPr>
                <w:rFonts w:ascii="Times New Roman" w:hAnsi="Times New Roman" w:cs="Times New Roman"/>
                <w:i/>
                <w:iCs/>
              </w:rPr>
            </w:pPr>
            <w:r>
              <w:rPr>
                <w:rFonts w:ascii="Times New Roman" w:hAnsi="Times New Roman" w:cs="Times New Roman"/>
                <w:i/>
                <w:iCs/>
              </w:rPr>
              <w:t>Anthocleista Schweinfurthii</w:t>
            </w:r>
            <w:r>
              <w:rPr>
                <w:rFonts w:ascii="Times New Roman" w:hAnsi="Times New Roman" w:cs="Times New Roman"/>
              </w:rPr>
              <w:t xml:space="preserve"> Gilg</w:t>
            </w:r>
          </w:p>
        </w:tc>
      </w:tr>
      <w:tr w:rsidR="000F2958" w14:paraId="2A8F4801" w14:textId="77777777">
        <w:trPr>
          <w:trHeight w:val="300"/>
        </w:trPr>
        <w:tc>
          <w:tcPr>
            <w:tcW w:w="709" w:type="dxa"/>
            <w:noWrap/>
            <w:vAlign w:val="center"/>
            <w:hideMark/>
          </w:tcPr>
          <w:p w14:paraId="7E892609" w14:textId="77777777" w:rsidR="000F2958" w:rsidRDefault="003B2158">
            <w:pPr>
              <w:jc w:val="center"/>
              <w:rPr>
                <w:rFonts w:ascii="Times New Roman" w:hAnsi="Times New Roman" w:cs="Times New Roman"/>
              </w:rPr>
            </w:pPr>
            <w:r>
              <w:rPr>
                <w:rFonts w:ascii="Times New Roman" w:hAnsi="Times New Roman" w:cs="Times New Roman"/>
              </w:rPr>
              <w:t>25</w:t>
            </w:r>
          </w:p>
        </w:tc>
        <w:tc>
          <w:tcPr>
            <w:tcW w:w="1843" w:type="dxa"/>
            <w:hideMark/>
          </w:tcPr>
          <w:p w14:paraId="6E8513C3"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025420A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07516B5"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6F5038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0947669" w14:textId="715558B5" w:rsidR="000F2958" w:rsidRDefault="003B2158">
            <w:pPr>
              <w:rPr>
                <w:rFonts w:ascii="Times New Roman" w:hAnsi="Times New Roman" w:cs="Times New Roman"/>
                <w:i/>
                <w:iCs/>
              </w:rPr>
            </w:pPr>
            <w:r>
              <w:rPr>
                <w:rFonts w:ascii="Times New Roman" w:hAnsi="Times New Roman" w:cs="Times New Roman"/>
                <w:i/>
                <w:iCs/>
              </w:rPr>
              <w:t xml:space="preserve">Cola filicifolia </w:t>
            </w:r>
            <w:r>
              <w:rPr>
                <w:rFonts w:ascii="Times New Roman" w:hAnsi="Times New Roman" w:cs="Times New Roman"/>
              </w:rPr>
              <w:t>Mast.</w:t>
            </w:r>
          </w:p>
        </w:tc>
      </w:tr>
      <w:tr w:rsidR="000F2958" w14:paraId="598E0A4B" w14:textId="77777777">
        <w:trPr>
          <w:trHeight w:val="300"/>
        </w:trPr>
        <w:tc>
          <w:tcPr>
            <w:tcW w:w="709" w:type="dxa"/>
            <w:noWrap/>
            <w:vAlign w:val="center"/>
            <w:hideMark/>
          </w:tcPr>
          <w:p w14:paraId="55CA0822" w14:textId="77777777" w:rsidR="000F2958" w:rsidRDefault="003B2158">
            <w:pPr>
              <w:jc w:val="center"/>
              <w:rPr>
                <w:rFonts w:ascii="Times New Roman" w:hAnsi="Times New Roman" w:cs="Times New Roman"/>
              </w:rPr>
            </w:pPr>
            <w:r>
              <w:rPr>
                <w:rFonts w:ascii="Times New Roman" w:hAnsi="Times New Roman" w:cs="Times New Roman"/>
              </w:rPr>
              <w:t>26</w:t>
            </w:r>
          </w:p>
        </w:tc>
        <w:tc>
          <w:tcPr>
            <w:tcW w:w="1843" w:type="dxa"/>
            <w:hideMark/>
          </w:tcPr>
          <w:p w14:paraId="42A6DBEA"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164F7880"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1CE8DD6"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C23FB38"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B698131" w14:textId="77777777" w:rsidR="000F2958" w:rsidRDefault="003B2158">
            <w:pPr>
              <w:rPr>
                <w:rFonts w:ascii="Times New Roman" w:hAnsi="Times New Roman" w:cs="Times New Roman"/>
                <w:i/>
                <w:iCs/>
              </w:rPr>
            </w:pPr>
            <w:r>
              <w:rPr>
                <w:rFonts w:ascii="Times New Roman" w:hAnsi="Times New Roman" w:cs="Times New Roman"/>
                <w:i/>
                <w:iCs/>
              </w:rPr>
              <w:t xml:space="preserve">Ongokea gore </w:t>
            </w:r>
            <w:r>
              <w:rPr>
                <w:rFonts w:ascii="Times New Roman" w:hAnsi="Times New Roman" w:cs="Times New Roman"/>
              </w:rPr>
              <w:t>Pierre</w:t>
            </w:r>
          </w:p>
        </w:tc>
      </w:tr>
      <w:tr w:rsidR="000F2958" w14:paraId="1D8ECF52" w14:textId="77777777">
        <w:trPr>
          <w:trHeight w:val="300"/>
        </w:trPr>
        <w:tc>
          <w:tcPr>
            <w:tcW w:w="709" w:type="dxa"/>
            <w:noWrap/>
            <w:vAlign w:val="center"/>
            <w:hideMark/>
          </w:tcPr>
          <w:p w14:paraId="392DC2C0" w14:textId="77777777" w:rsidR="000F2958" w:rsidRDefault="003B2158">
            <w:pPr>
              <w:jc w:val="center"/>
              <w:rPr>
                <w:rFonts w:ascii="Times New Roman" w:hAnsi="Times New Roman" w:cs="Times New Roman"/>
              </w:rPr>
            </w:pPr>
            <w:r>
              <w:rPr>
                <w:rFonts w:ascii="Times New Roman" w:hAnsi="Times New Roman" w:cs="Times New Roman"/>
              </w:rPr>
              <w:t>27</w:t>
            </w:r>
          </w:p>
        </w:tc>
        <w:tc>
          <w:tcPr>
            <w:tcW w:w="1843" w:type="dxa"/>
            <w:hideMark/>
          </w:tcPr>
          <w:p w14:paraId="2B9521FC"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1345790C"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B41732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8ECCA4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F182D4E" w14:textId="77777777" w:rsidR="000F2958" w:rsidRDefault="003B2158">
            <w:pPr>
              <w:rPr>
                <w:rFonts w:ascii="Times New Roman" w:hAnsi="Times New Roman" w:cs="Times New Roman"/>
                <w:i/>
                <w:iCs/>
              </w:rPr>
            </w:pPr>
            <w:r>
              <w:rPr>
                <w:rFonts w:ascii="Times New Roman" w:hAnsi="Times New Roman" w:cs="Times New Roman"/>
                <w:i/>
                <w:iCs/>
              </w:rPr>
              <w:t xml:space="preserve">Sterculia rhinopetala </w:t>
            </w:r>
            <w:r>
              <w:rPr>
                <w:rFonts w:ascii="Times New Roman" w:hAnsi="Times New Roman" w:cs="Times New Roman"/>
                <w:iCs/>
              </w:rPr>
              <w:t>K. Schum</w:t>
            </w:r>
          </w:p>
        </w:tc>
      </w:tr>
      <w:tr w:rsidR="000F2958" w14:paraId="53968641" w14:textId="77777777">
        <w:trPr>
          <w:trHeight w:val="300"/>
        </w:trPr>
        <w:tc>
          <w:tcPr>
            <w:tcW w:w="709" w:type="dxa"/>
            <w:noWrap/>
            <w:vAlign w:val="center"/>
            <w:hideMark/>
          </w:tcPr>
          <w:p w14:paraId="0AB4494B" w14:textId="77777777" w:rsidR="000F2958" w:rsidRDefault="003B2158">
            <w:pPr>
              <w:jc w:val="center"/>
              <w:rPr>
                <w:rFonts w:ascii="Times New Roman" w:hAnsi="Times New Roman" w:cs="Times New Roman"/>
              </w:rPr>
            </w:pPr>
            <w:r>
              <w:rPr>
                <w:rFonts w:ascii="Times New Roman" w:hAnsi="Times New Roman" w:cs="Times New Roman"/>
              </w:rPr>
              <w:t>28</w:t>
            </w:r>
          </w:p>
        </w:tc>
        <w:tc>
          <w:tcPr>
            <w:tcW w:w="1843" w:type="dxa"/>
            <w:hideMark/>
          </w:tcPr>
          <w:p w14:paraId="416C872E"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7B8ACDBE"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703F0A8"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D340F9C"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21479E74" w14:textId="4E936DF8" w:rsidR="000F2958" w:rsidRDefault="003B2158">
            <w:pPr>
              <w:rPr>
                <w:rFonts w:ascii="Times New Roman" w:hAnsi="Times New Roman" w:cs="Times New Roman"/>
                <w:i/>
                <w:iCs/>
              </w:rPr>
            </w:pPr>
            <w:r>
              <w:rPr>
                <w:rFonts w:ascii="Times New Roman" w:hAnsi="Times New Roman" w:cs="Times New Roman"/>
                <w:i/>
                <w:iCs/>
              </w:rPr>
              <w:t>Sterculia tragacantha</w:t>
            </w:r>
            <w:r>
              <w:rPr>
                <w:rFonts w:ascii="Times New Roman" w:hAnsi="Times New Roman" w:cs="Times New Roman"/>
              </w:rPr>
              <w:t xml:space="preserve"> Lindl.</w:t>
            </w:r>
          </w:p>
        </w:tc>
      </w:tr>
      <w:tr w:rsidR="000F2958" w14:paraId="651FFE72" w14:textId="77777777">
        <w:trPr>
          <w:trHeight w:val="300"/>
        </w:trPr>
        <w:tc>
          <w:tcPr>
            <w:tcW w:w="709" w:type="dxa"/>
            <w:noWrap/>
            <w:vAlign w:val="center"/>
            <w:hideMark/>
          </w:tcPr>
          <w:p w14:paraId="50A95BB5" w14:textId="77777777" w:rsidR="000F2958" w:rsidRDefault="003B2158">
            <w:pPr>
              <w:jc w:val="center"/>
              <w:rPr>
                <w:rFonts w:ascii="Times New Roman" w:hAnsi="Times New Roman" w:cs="Times New Roman"/>
              </w:rPr>
            </w:pPr>
            <w:r>
              <w:rPr>
                <w:rFonts w:ascii="Times New Roman" w:hAnsi="Times New Roman" w:cs="Times New Roman"/>
              </w:rPr>
              <w:t>29</w:t>
            </w:r>
          </w:p>
        </w:tc>
        <w:tc>
          <w:tcPr>
            <w:tcW w:w="1843" w:type="dxa"/>
            <w:hideMark/>
          </w:tcPr>
          <w:p w14:paraId="0C2FFE68" w14:textId="77777777" w:rsidR="000F2958" w:rsidRDefault="003B2158">
            <w:pPr>
              <w:rPr>
                <w:rFonts w:ascii="Times New Roman" w:hAnsi="Times New Roman" w:cs="Times New Roman"/>
                <w:i/>
                <w:iCs/>
              </w:rPr>
            </w:pPr>
            <w:r>
              <w:rPr>
                <w:rFonts w:ascii="Times New Roman" w:hAnsi="Times New Roman" w:cs="Times New Roman"/>
                <w:i/>
                <w:iCs/>
              </w:rPr>
              <w:t>Moraceae</w:t>
            </w:r>
          </w:p>
        </w:tc>
        <w:tc>
          <w:tcPr>
            <w:tcW w:w="1134" w:type="dxa"/>
            <w:vAlign w:val="center"/>
            <w:hideMark/>
          </w:tcPr>
          <w:p w14:paraId="283F927B"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9E34317"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E918AFF"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08E109D" w14:textId="72390AFE" w:rsidR="000F2958" w:rsidRDefault="003B2158">
            <w:pPr>
              <w:rPr>
                <w:rFonts w:ascii="Times New Roman" w:hAnsi="Times New Roman" w:cs="Times New Roman"/>
                <w:i/>
                <w:iCs/>
              </w:rPr>
            </w:pPr>
            <w:r>
              <w:rPr>
                <w:rFonts w:ascii="Times New Roman" w:hAnsi="Times New Roman" w:cs="Times New Roman"/>
                <w:i/>
                <w:iCs/>
              </w:rPr>
              <w:t xml:space="preserve">Ficus mucuso </w:t>
            </w:r>
            <w:r>
              <w:rPr>
                <w:rFonts w:ascii="Times New Roman" w:hAnsi="Times New Roman" w:cs="Times New Roman"/>
              </w:rPr>
              <w:t>Welw. ex Ficalho</w:t>
            </w:r>
          </w:p>
        </w:tc>
      </w:tr>
      <w:tr w:rsidR="000F2958" w14:paraId="5591B337" w14:textId="77777777">
        <w:trPr>
          <w:trHeight w:val="300"/>
        </w:trPr>
        <w:tc>
          <w:tcPr>
            <w:tcW w:w="709" w:type="dxa"/>
            <w:noWrap/>
            <w:vAlign w:val="center"/>
            <w:hideMark/>
          </w:tcPr>
          <w:p w14:paraId="17714A16" w14:textId="77777777" w:rsidR="000F2958" w:rsidRDefault="003B2158">
            <w:pPr>
              <w:jc w:val="center"/>
              <w:rPr>
                <w:rFonts w:ascii="Times New Roman" w:hAnsi="Times New Roman" w:cs="Times New Roman"/>
              </w:rPr>
            </w:pPr>
            <w:r>
              <w:rPr>
                <w:rFonts w:ascii="Times New Roman" w:hAnsi="Times New Roman" w:cs="Times New Roman"/>
              </w:rPr>
              <w:t>30</w:t>
            </w:r>
          </w:p>
        </w:tc>
        <w:tc>
          <w:tcPr>
            <w:tcW w:w="1843" w:type="dxa"/>
            <w:hideMark/>
          </w:tcPr>
          <w:p w14:paraId="7033F7CB" w14:textId="77777777" w:rsidR="000F2958" w:rsidRDefault="003B2158">
            <w:pPr>
              <w:rPr>
                <w:rFonts w:ascii="Times New Roman" w:hAnsi="Times New Roman" w:cs="Times New Roman"/>
                <w:i/>
                <w:iCs/>
              </w:rPr>
            </w:pPr>
            <w:r>
              <w:rPr>
                <w:rFonts w:ascii="Times New Roman" w:hAnsi="Times New Roman" w:cs="Times New Roman"/>
                <w:i/>
                <w:iCs/>
              </w:rPr>
              <w:t>Myristicaceae</w:t>
            </w:r>
          </w:p>
        </w:tc>
        <w:tc>
          <w:tcPr>
            <w:tcW w:w="1134" w:type="dxa"/>
            <w:vAlign w:val="center"/>
            <w:hideMark/>
          </w:tcPr>
          <w:p w14:paraId="14B623BB"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A856F83"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C13BF5E"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7CA15DA0" w14:textId="4F57F32D" w:rsidR="000F2958" w:rsidRDefault="003B2158">
            <w:pPr>
              <w:rPr>
                <w:rFonts w:ascii="Times New Roman" w:hAnsi="Times New Roman" w:cs="Times New Roman"/>
                <w:i/>
                <w:iCs/>
              </w:rPr>
            </w:pPr>
            <w:r>
              <w:rPr>
                <w:rFonts w:ascii="Times New Roman" w:hAnsi="Times New Roman" w:cs="Times New Roman"/>
                <w:i/>
                <w:iCs/>
              </w:rPr>
              <w:t xml:space="preserve">Pycnanthus angolensis </w:t>
            </w:r>
            <w:r>
              <w:rPr>
                <w:rFonts w:ascii="Times New Roman" w:hAnsi="Times New Roman" w:cs="Times New Roman"/>
              </w:rPr>
              <w:t>(Welw.) Warb.</w:t>
            </w:r>
          </w:p>
        </w:tc>
      </w:tr>
      <w:tr w:rsidR="000F2958" w14:paraId="6E01E4D4" w14:textId="77777777">
        <w:trPr>
          <w:trHeight w:val="300"/>
        </w:trPr>
        <w:tc>
          <w:tcPr>
            <w:tcW w:w="709" w:type="dxa"/>
            <w:noWrap/>
            <w:vAlign w:val="center"/>
            <w:hideMark/>
          </w:tcPr>
          <w:p w14:paraId="51953AFE" w14:textId="77777777" w:rsidR="000F2958" w:rsidRDefault="003B2158">
            <w:pPr>
              <w:jc w:val="center"/>
              <w:rPr>
                <w:rFonts w:ascii="Times New Roman" w:hAnsi="Times New Roman" w:cs="Times New Roman"/>
              </w:rPr>
            </w:pPr>
            <w:r>
              <w:rPr>
                <w:rFonts w:ascii="Times New Roman" w:hAnsi="Times New Roman" w:cs="Times New Roman"/>
              </w:rPr>
              <w:t>31</w:t>
            </w:r>
          </w:p>
        </w:tc>
        <w:tc>
          <w:tcPr>
            <w:tcW w:w="1843" w:type="dxa"/>
            <w:hideMark/>
          </w:tcPr>
          <w:p w14:paraId="6504FF55" w14:textId="77777777" w:rsidR="000F2958" w:rsidRDefault="003B2158">
            <w:pPr>
              <w:rPr>
                <w:rFonts w:ascii="Times New Roman" w:hAnsi="Times New Roman" w:cs="Times New Roman"/>
                <w:i/>
                <w:iCs/>
              </w:rPr>
            </w:pPr>
            <w:r>
              <w:rPr>
                <w:rFonts w:ascii="Times New Roman" w:hAnsi="Times New Roman" w:cs="Times New Roman"/>
                <w:i/>
                <w:iCs/>
              </w:rPr>
              <w:t>Ulmaceae</w:t>
            </w:r>
          </w:p>
        </w:tc>
        <w:tc>
          <w:tcPr>
            <w:tcW w:w="1134" w:type="dxa"/>
            <w:vAlign w:val="center"/>
            <w:hideMark/>
          </w:tcPr>
          <w:p w14:paraId="0BC450A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556B1F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9F548E2"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1F9FA3F" w14:textId="77777777" w:rsidR="000F2958" w:rsidRDefault="003B2158">
            <w:pPr>
              <w:rPr>
                <w:rFonts w:ascii="Times New Roman" w:hAnsi="Times New Roman" w:cs="Times New Roman"/>
                <w:i/>
                <w:iCs/>
              </w:rPr>
            </w:pPr>
            <w:r>
              <w:rPr>
                <w:rFonts w:ascii="Times New Roman" w:hAnsi="Times New Roman" w:cs="Times New Roman"/>
                <w:i/>
                <w:iCs/>
              </w:rPr>
              <w:t xml:space="preserve">Celtis tessmannii </w:t>
            </w:r>
            <w:r>
              <w:rPr>
                <w:rFonts w:ascii="Times New Roman" w:hAnsi="Times New Roman" w:cs="Times New Roman"/>
                <w:iCs/>
              </w:rPr>
              <w:t>From Wild.</w:t>
            </w:r>
          </w:p>
        </w:tc>
      </w:tr>
      <w:tr w:rsidR="000F2958" w14:paraId="02338F84" w14:textId="77777777">
        <w:trPr>
          <w:trHeight w:val="300"/>
        </w:trPr>
        <w:tc>
          <w:tcPr>
            <w:tcW w:w="709" w:type="dxa"/>
            <w:noWrap/>
            <w:vAlign w:val="center"/>
            <w:hideMark/>
          </w:tcPr>
          <w:p w14:paraId="59B47DB8" w14:textId="77777777" w:rsidR="000F2958" w:rsidRDefault="003B2158">
            <w:pPr>
              <w:jc w:val="center"/>
              <w:rPr>
                <w:rFonts w:ascii="Times New Roman" w:hAnsi="Times New Roman" w:cs="Times New Roman"/>
              </w:rPr>
            </w:pPr>
            <w:r>
              <w:rPr>
                <w:rFonts w:ascii="Times New Roman" w:hAnsi="Times New Roman" w:cs="Times New Roman"/>
              </w:rPr>
              <w:t>32</w:t>
            </w:r>
          </w:p>
        </w:tc>
        <w:tc>
          <w:tcPr>
            <w:tcW w:w="1843" w:type="dxa"/>
            <w:hideMark/>
          </w:tcPr>
          <w:p w14:paraId="7C47F18E" w14:textId="77777777" w:rsidR="000F2958" w:rsidRDefault="003B2158">
            <w:pPr>
              <w:rPr>
                <w:rFonts w:ascii="Times New Roman" w:hAnsi="Times New Roman" w:cs="Times New Roman"/>
                <w:i/>
                <w:iCs/>
              </w:rPr>
            </w:pPr>
            <w:r>
              <w:rPr>
                <w:rFonts w:ascii="Times New Roman" w:hAnsi="Times New Roman" w:cs="Times New Roman"/>
                <w:i/>
                <w:iCs/>
              </w:rPr>
              <w:t>Passifloraceae</w:t>
            </w:r>
          </w:p>
        </w:tc>
        <w:tc>
          <w:tcPr>
            <w:tcW w:w="1134" w:type="dxa"/>
            <w:vAlign w:val="center"/>
            <w:hideMark/>
          </w:tcPr>
          <w:p w14:paraId="6F0ABC22"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9E065C2"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00AC6B45"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719BD47C" w14:textId="27581DDA" w:rsidR="000F2958" w:rsidRDefault="003B2158">
            <w:pPr>
              <w:rPr>
                <w:rFonts w:ascii="Times New Roman" w:hAnsi="Times New Roman" w:cs="Times New Roman"/>
                <w:i/>
                <w:iCs/>
              </w:rPr>
            </w:pPr>
            <w:r>
              <w:rPr>
                <w:rFonts w:ascii="Times New Roman" w:hAnsi="Times New Roman" w:cs="Times New Roman"/>
                <w:i/>
                <w:iCs/>
              </w:rPr>
              <w:t xml:space="preserve">Barteria fistulosa </w:t>
            </w:r>
            <w:r>
              <w:rPr>
                <w:rFonts w:ascii="Times New Roman" w:hAnsi="Times New Roman" w:cs="Times New Roman"/>
              </w:rPr>
              <w:t>(Mast.) Sleuder</w:t>
            </w:r>
          </w:p>
        </w:tc>
      </w:tr>
      <w:tr w:rsidR="000F2958" w14:paraId="2EF34DE0" w14:textId="77777777">
        <w:trPr>
          <w:trHeight w:val="300"/>
        </w:trPr>
        <w:tc>
          <w:tcPr>
            <w:tcW w:w="709" w:type="dxa"/>
            <w:noWrap/>
            <w:vAlign w:val="center"/>
            <w:hideMark/>
          </w:tcPr>
          <w:p w14:paraId="0F155A5A" w14:textId="77777777" w:rsidR="000F2958" w:rsidRDefault="003B2158">
            <w:pPr>
              <w:jc w:val="center"/>
              <w:rPr>
                <w:rFonts w:ascii="Times New Roman" w:hAnsi="Times New Roman" w:cs="Times New Roman"/>
              </w:rPr>
            </w:pPr>
            <w:r>
              <w:rPr>
                <w:rFonts w:ascii="Times New Roman" w:hAnsi="Times New Roman" w:cs="Times New Roman"/>
              </w:rPr>
              <w:t>33</w:t>
            </w:r>
          </w:p>
        </w:tc>
        <w:tc>
          <w:tcPr>
            <w:tcW w:w="1843" w:type="dxa"/>
            <w:hideMark/>
          </w:tcPr>
          <w:p w14:paraId="4137E64B" w14:textId="77777777" w:rsidR="000F2958" w:rsidRDefault="003B2158">
            <w:pPr>
              <w:rPr>
                <w:rFonts w:ascii="Times New Roman" w:hAnsi="Times New Roman" w:cs="Times New Roman"/>
                <w:i/>
                <w:iCs/>
              </w:rPr>
            </w:pPr>
            <w:r>
              <w:rPr>
                <w:rFonts w:ascii="Times New Roman" w:hAnsi="Times New Roman" w:cs="Times New Roman"/>
                <w:i/>
                <w:iCs/>
              </w:rPr>
              <w:t>Phllanthaceae</w:t>
            </w:r>
          </w:p>
        </w:tc>
        <w:tc>
          <w:tcPr>
            <w:tcW w:w="1134" w:type="dxa"/>
            <w:vAlign w:val="center"/>
            <w:hideMark/>
          </w:tcPr>
          <w:p w14:paraId="188AB38D" w14:textId="77777777" w:rsidR="000F2958" w:rsidRDefault="003B2158">
            <w:pPr>
              <w:jc w:val="center"/>
              <w:rPr>
                <w:rFonts w:ascii="Times New Roman" w:hAnsi="Times New Roman" w:cs="Times New Roman"/>
              </w:rPr>
            </w:pPr>
            <w:r>
              <w:rPr>
                <w:rFonts w:ascii="Times New Roman" w:hAnsi="Times New Roman" w:cs="Times New Roman"/>
              </w:rPr>
              <w:t>MPh</w:t>
            </w:r>
          </w:p>
        </w:tc>
        <w:tc>
          <w:tcPr>
            <w:tcW w:w="1418" w:type="dxa"/>
            <w:hideMark/>
          </w:tcPr>
          <w:p w14:paraId="1C16D5B5"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33113E0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7861C2A" w14:textId="18239000" w:rsidR="000F2958" w:rsidRDefault="003B2158">
            <w:pPr>
              <w:rPr>
                <w:rFonts w:ascii="Times New Roman" w:hAnsi="Times New Roman" w:cs="Times New Roman"/>
                <w:i/>
                <w:iCs/>
              </w:rPr>
            </w:pPr>
            <w:r>
              <w:rPr>
                <w:rFonts w:ascii="Times New Roman" w:hAnsi="Times New Roman" w:cs="Times New Roman"/>
                <w:i/>
                <w:iCs/>
              </w:rPr>
              <w:t xml:space="preserve">Ricinodendron heudelotii </w:t>
            </w:r>
            <w:r>
              <w:rPr>
                <w:rFonts w:ascii="Times New Roman" w:hAnsi="Times New Roman" w:cs="Times New Roman"/>
              </w:rPr>
              <w:t>(Bail.) Pierre ex Heckel</w:t>
            </w:r>
          </w:p>
        </w:tc>
      </w:tr>
      <w:tr w:rsidR="000F2958" w14:paraId="3BCA7FC4" w14:textId="77777777">
        <w:trPr>
          <w:trHeight w:val="300"/>
        </w:trPr>
        <w:tc>
          <w:tcPr>
            <w:tcW w:w="709" w:type="dxa"/>
            <w:noWrap/>
            <w:vAlign w:val="center"/>
            <w:hideMark/>
          </w:tcPr>
          <w:p w14:paraId="46FF6351" w14:textId="77777777" w:rsidR="000F2958" w:rsidRDefault="003B2158">
            <w:pPr>
              <w:jc w:val="center"/>
              <w:rPr>
                <w:rFonts w:ascii="Times New Roman" w:hAnsi="Times New Roman" w:cs="Times New Roman"/>
              </w:rPr>
            </w:pPr>
            <w:r>
              <w:rPr>
                <w:rFonts w:ascii="Times New Roman" w:hAnsi="Times New Roman" w:cs="Times New Roman"/>
              </w:rPr>
              <w:t>34</w:t>
            </w:r>
          </w:p>
        </w:tc>
        <w:tc>
          <w:tcPr>
            <w:tcW w:w="1843" w:type="dxa"/>
            <w:hideMark/>
          </w:tcPr>
          <w:p w14:paraId="4E91E534"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4E12E05E"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536663E"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2FD282C" w14:textId="77777777" w:rsidR="000F2958" w:rsidRDefault="003B2158">
            <w:pPr>
              <w:ind w:firstLine="360"/>
              <w:rPr>
                <w:rFonts w:ascii="Times New Roman" w:hAnsi="Times New Roman" w:cs="Times New Roman"/>
              </w:rPr>
            </w:pPr>
            <w:r>
              <w:rPr>
                <w:rFonts w:ascii="Times New Roman" w:hAnsi="Times New Roman" w:cs="Times New Roman"/>
              </w:rPr>
              <w:t>AT</w:t>
            </w:r>
          </w:p>
        </w:tc>
        <w:tc>
          <w:tcPr>
            <w:tcW w:w="4678" w:type="dxa"/>
            <w:noWrap/>
            <w:vAlign w:val="center"/>
            <w:hideMark/>
          </w:tcPr>
          <w:p w14:paraId="54FAFD0B" w14:textId="3E332DE8" w:rsidR="000F2958" w:rsidRDefault="003B2158">
            <w:pPr>
              <w:rPr>
                <w:rFonts w:ascii="Times New Roman" w:hAnsi="Times New Roman" w:cs="Times New Roman"/>
                <w:i/>
                <w:iCs/>
              </w:rPr>
            </w:pPr>
            <w:r>
              <w:rPr>
                <w:rFonts w:ascii="Times New Roman" w:hAnsi="Times New Roman" w:cs="Times New Roman"/>
                <w:i/>
                <w:iCs/>
                <w:lang w:val="en-US"/>
              </w:rPr>
              <w:t xml:space="preserve">Alchornea cordifolia </w:t>
            </w:r>
            <w:r>
              <w:rPr>
                <w:rFonts w:ascii="Times New Roman" w:hAnsi="Times New Roman" w:cs="Times New Roman"/>
                <w:lang w:val="en-US"/>
              </w:rPr>
              <w:t>(Schumach. &amp; Thonn.)</w:t>
            </w:r>
          </w:p>
        </w:tc>
      </w:tr>
      <w:tr w:rsidR="000F2958" w14:paraId="283A23EA" w14:textId="77777777">
        <w:trPr>
          <w:trHeight w:val="300"/>
        </w:trPr>
        <w:tc>
          <w:tcPr>
            <w:tcW w:w="709" w:type="dxa"/>
            <w:noWrap/>
            <w:vAlign w:val="center"/>
            <w:hideMark/>
          </w:tcPr>
          <w:p w14:paraId="629443D7" w14:textId="77777777" w:rsidR="000F2958" w:rsidRDefault="003B2158">
            <w:pPr>
              <w:jc w:val="center"/>
              <w:rPr>
                <w:rFonts w:ascii="Times New Roman" w:hAnsi="Times New Roman" w:cs="Times New Roman"/>
              </w:rPr>
            </w:pPr>
            <w:r>
              <w:rPr>
                <w:rFonts w:ascii="Times New Roman" w:hAnsi="Times New Roman" w:cs="Times New Roman"/>
              </w:rPr>
              <w:t>35</w:t>
            </w:r>
          </w:p>
        </w:tc>
        <w:tc>
          <w:tcPr>
            <w:tcW w:w="1843" w:type="dxa"/>
            <w:hideMark/>
          </w:tcPr>
          <w:p w14:paraId="6CFB6D70"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04A255D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2C36E78"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E71E43B" w14:textId="77777777" w:rsidR="000F2958" w:rsidRDefault="003B2158">
            <w:pPr>
              <w:ind w:firstLine="360"/>
              <w:rPr>
                <w:rFonts w:ascii="Times New Roman" w:hAnsi="Times New Roman" w:cs="Times New Roman"/>
              </w:rPr>
            </w:pPr>
            <w:r>
              <w:rPr>
                <w:rFonts w:ascii="Times New Roman" w:hAnsi="Times New Roman" w:cs="Times New Roman"/>
              </w:rPr>
              <w:t>Pal.</w:t>
            </w:r>
          </w:p>
        </w:tc>
        <w:tc>
          <w:tcPr>
            <w:tcW w:w="4678" w:type="dxa"/>
            <w:noWrap/>
            <w:vAlign w:val="center"/>
            <w:hideMark/>
          </w:tcPr>
          <w:p w14:paraId="724DA830" w14:textId="62003D0E" w:rsidR="000F2958" w:rsidRDefault="003B2158">
            <w:pPr>
              <w:rPr>
                <w:rFonts w:ascii="Times New Roman" w:hAnsi="Times New Roman" w:cs="Times New Roman"/>
                <w:i/>
                <w:iCs/>
              </w:rPr>
            </w:pPr>
            <w:r>
              <w:rPr>
                <w:rFonts w:ascii="Times New Roman" w:hAnsi="Times New Roman" w:cs="Times New Roman"/>
                <w:i/>
                <w:iCs/>
              </w:rPr>
              <w:t xml:space="preserve">Bridelia micrantha </w:t>
            </w:r>
            <w:r>
              <w:rPr>
                <w:rFonts w:ascii="Times New Roman" w:hAnsi="Times New Roman" w:cs="Times New Roman"/>
              </w:rPr>
              <w:t>(Hochst.) Baill.</w:t>
            </w:r>
          </w:p>
        </w:tc>
      </w:tr>
      <w:tr w:rsidR="000F2958" w14:paraId="29FB477C" w14:textId="77777777">
        <w:trPr>
          <w:trHeight w:val="300"/>
        </w:trPr>
        <w:tc>
          <w:tcPr>
            <w:tcW w:w="709" w:type="dxa"/>
            <w:noWrap/>
            <w:vAlign w:val="center"/>
            <w:hideMark/>
          </w:tcPr>
          <w:p w14:paraId="59807FD4" w14:textId="77777777" w:rsidR="000F2958" w:rsidRDefault="003B2158">
            <w:pPr>
              <w:jc w:val="center"/>
              <w:rPr>
                <w:rFonts w:ascii="Times New Roman" w:hAnsi="Times New Roman" w:cs="Times New Roman"/>
              </w:rPr>
            </w:pPr>
            <w:r>
              <w:rPr>
                <w:rFonts w:ascii="Times New Roman" w:hAnsi="Times New Roman" w:cs="Times New Roman"/>
              </w:rPr>
              <w:t>36</w:t>
            </w:r>
          </w:p>
        </w:tc>
        <w:tc>
          <w:tcPr>
            <w:tcW w:w="1843" w:type="dxa"/>
            <w:hideMark/>
          </w:tcPr>
          <w:p w14:paraId="31B4CE38"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00580AE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CA6B0C8"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31D8CE5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5708DC2" w14:textId="77777777" w:rsidR="000F2958" w:rsidRDefault="003B2158">
            <w:pPr>
              <w:rPr>
                <w:rFonts w:ascii="Times New Roman" w:hAnsi="Times New Roman" w:cs="Times New Roman"/>
                <w:i/>
                <w:iCs/>
              </w:rPr>
            </w:pPr>
            <w:r>
              <w:rPr>
                <w:rFonts w:ascii="Times New Roman" w:hAnsi="Times New Roman" w:cs="Times New Roman"/>
                <w:i/>
                <w:iCs/>
              </w:rPr>
              <w:t xml:space="preserve">Macaranga assassins </w:t>
            </w:r>
            <w:r>
              <w:rPr>
                <w:rFonts w:ascii="Times New Roman" w:hAnsi="Times New Roman" w:cs="Times New Roman"/>
              </w:rPr>
              <w:t>Müll.Arg</w:t>
            </w:r>
          </w:p>
        </w:tc>
      </w:tr>
      <w:tr w:rsidR="000F2958" w14:paraId="217A40FD" w14:textId="77777777">
        <w:trPr>
          <w:trHeight w:val="300"/>
        </w:trPr>
        <w:tc>
          <w:tcPr>
            <w:tcW w:w="709" w:type="dxa"/>
            <w:noWrap/>
            <w:vAlign w:val="center"/>
            <w:hideMark/>
          </w:tcPr>
          <w:p w14:paraId="27F22B20" w14:textId="77777777" w:rsidR="000F2958" w:rsidRDefault="003B2158">
            <w:pPr>
              <w:jc w:val="center"/>
              <w:rPr>
                <w:rFonts w:ascii="Times New Roman" w:hAnsi="Times New Roman" w:cs="Times New Roman"/>
              </w:rPr>
            </w:pPr>
            <w:r>
              <w:rPr>
                <w:rFonts w:ascii="Times New Roman" w:hAnsi="Times New Roman" w:cs="Times New Roman"/>
              </w:rPr>
              <w:t>37</w:t>
            </w:r>
          </w:p>
        </w:tc>
        <w:tc>
          <w:tcPr>
            <w:tcW w:w="1843" w:type="dxa"/>
            <w:hideMark/>
          </w:tcPr>
          <w:p w14:paraId="106D449E"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4AEE1AA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B80FD17"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E7A2A55"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7FB6C396" w14:textId="26A50603" w:rsidR="000F2958" w:rsidRDefault="003B2158">
            <w:pPr>
              <w:rPr>
                <w:rFonts w:ascii="Times New Roman" w:hAnsi="Times New Roman" w:cs="Times New Roman"/>
                <w:i/>
                <w:iCs/>
              </w:rPr>
            </w:pPr>
            <w:r>
              <w:rPr>
                <w:rFonts w:ascii="Times New Roman" w:hAnsi="Times New Roman" w:cs="Times New Roman"/>
                <w:i/>
                <w:iCs/>
              </w:rPr>
              <w:t xml:space="preserve">Uapaca guineensis </w:t>
            </w:r>
            <w:r>
              <w:rPr>
                <w:rFonts w:ascii="Times New Roman" w:hAnsi="Times New Roman" w:cs="Times New Roman"/>
              </w:rPr>
              <w:t>Müll. Arg.</w:t>
            </w:r>
          </w:p>
        </w:tc>
      </w:tr>
      <w:tr w:rsidR="000F2958" w14:paraId="50872D28" w14:textId="77777777">
        <w:trPr>
          <w:trHeight w:val="300"/>
        </w:trPr>
        <w:tc>
          <w:tcPr>
            <w:tcW w:w="709" w:type="dxa"/>
            <w:noWrap/>
            <w:vAlign w:val="center"/>
            <w:hideMark/>
          </w:tcPr>
          <w:p w14:paraId="6A1BE82C" w14:textId="77777777" w:rsidR="000F2958" w:rsidRDefault="003B2158">
            <w:pPr>
              <w:jc w:val="center"/>
              <w:rPr>
                <w:rFonts w:ascii="Times New Roman" w:hAnsi="Times New Roman" w:cs="Times New Roman"/>
              </w:rPr>
            </w:pPr>
            <w:r>
              <w:rPr>
                <w:rFonts w:ascii="Times New Roman" w:hAnsi="Times New Roman" w:cs="Times New Roman"/>
              </w:rPr>
              <w:t>38</w:t>
            </w:r>
          </w:p>
        </w:tc>
        <w:tc>
          <w:tcPr>
            <w:tcW w:w="1843" w:type="dxa"/>
            <w:hideMark/>
          </w:tcPr>
          <w:p w14:paraId="4BA6DE03" w14:textId="77777777" w:rsidR="000F2958" w:rsidRDefault="003B2158">
            <w:pPr>
              <w:rPr>
                <w:rFonts w:ascii="Times New Roman" w:hAnsi="Times New Roman" w:cs="Times New Roman"/>
                <w:i/>
                <w:iCs/>
              </w:rPr>
            </w:pPr>
            <w:r>
              <w:rPr>
                <w:rFonts w:ascii="Times New Roman" w:hAnsi="Times New Roman" w:cs="Times New Roman"/>
                <w:i/>
                <w:iCs/>
              </w:rPr>
              <w:t>Polygalaceae</w:t>
            </w:r>
          </w:p>
        </w:tc>
        <w:tc>
          <w:tcPr>
            <w:tcW w:w="1134" w:type="dxa"/>
            <w:vAlign w:val="center"/>
            <w:hideMark/>
          </w:tcPr>
          <w:p w14:paraId="5BA006DC"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53403BC"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78006A8"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58C402F" w14:textId="77777777" w:rsidR="000F2958" w:rsidRDefault="003B2158">
            <w:pPr>
              <w:rPr>
                <w:rFonts w:ascii="Times New Roman" w:hAnsi="Times New Roman" w:cs="Times New Roman"/>
                <w:i/>
                <w:iCs/>
              </w:rPr>
            </w:pPr>
            <w:r>
              <w:rPr>
                <w:rFonts w:ascii="Times New Roman" w:hAnsi="Times New Roman" w:cs="Times New Roman"/>
                <w:i/>
                <w:iCs/>
              </w:rPr>
              <w:t xml:space="preserve">Carpolobia alba </w:t>
            </w:r>
            <w:r>
              <w:rPr>
                <w:rFonts w:ascii="Times New Roman" w:hAnsi="Times New Roman" w:cs="Times New Roman"/>
              </w:rPr>
              <w:t>G.Don</w:t>
            </w:r>
          </w:p>
        </w:tc>
      </w:tr>
      <w:tr w:rsidR="000F2958" w14:paraId="5FC78F83" w14:textId="77777777">
        <w:trPr>
          <w:trHeight w:val="300"/>
        </w:trPr>
        <w:tc>
          <w:tcPr>
            <w:tcW w:w="709" w:type="dxa"/>
            <w:noWrap/>
            <w:vAlign w:val="center"/>
            <w:hideMark/>
          </w:tcPr>
          <w:p w14:paraId="6CDC2874" w14:textId="77777777" w:rsidR="000F2958" w:rsidRDefault="003B2158">
            <w:pPr>
              <w:jc w:val="center"/>
              <w:rPr>
                <w:rFonts w:ascii="Times New Roman" w:hAnsi="Times New Roman" w:cs="Times New Roman"/>
              </w:rPr>
            </w:pPr>
            <w:r>
              <w:rPr>
                <w:rFonts w:ascii="Times New Roman" w:hAnsi="Times New Roman" w:cs="Times New Roman"/>
              </w:rPr>
              <w:t>39</w:t>
            </w:r>
          </w:p>
        </w:tc>
        <w:tc>
          <w:tcPr>
            <w:tcW w:w="1843" w:type="dxa"/>
            <w:hideMark/>
          </w:tcPr>
          <w:p w14:paraId="5508CA93"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4D503A8D"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9E30233"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34D8233D"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2CCA44A" w14:textId="77777777" w:rsidR="000F2958" w:rsidRDefault="003B2158">
            <w:pPr>
              <w:rPr>
                <w:rFonts w:ascii="Times New Roman" w:hAnsi="Times New Roman" w:cs="Times New Roman"/>
                <w:i/>
                <w:iCs/>
              </w:rPr>
            </w:pPr>
            <w:r>
              <w:rPr>
                <w:rFonts w:ascii="Times New Roman" w:hAnsi="Times New Roman" w:cs="Times New Roman"/>
                <w:i/>
                <w:iCs/>
              </w:rPr>
              <w:t xml:space="preserve">Mitragyna stipulated </w:t>
            </w:r>
            <w:r>
              <w:rPr>
                <w:rFonts w:ascii="Times New Roman" w:hAnsi="Times New Roman" w:cs="Times New Roman"/>
              </w:rPr>
              <w:t>(DC.) O.Kuntze</w:t>
            </w:r>
          </w:p>
        </w:tc>
      </w:tr>
      <w:tr w:rsidR="000F2958" w14:paraId="19C91D74" w14:textId="77777777">
        <w:trPr>
          <w:trHeight w:val="300"/>
        </w:trPr>
        <w:tc>
          <w:tcPr>
            <w:tcW w:w="709" w:type="dxa"/>
            <w:noWrap/>
            <w:vAlign w:val="center"/>
            <w:hideMark/>
          </w:tcPr>
          <w:p w14:paraId="05D96C43" w14:textId="77777777" w:rsidR="000F2958" w:rsidRDefault="003B2158">
            <w:pPr>
              <w:jc w:val="center"/>
              <w:rPr>
                <w:rFonts w:ascii="Times New Roman" w:hAnsi="Times New Roman" w:cs="Times New Roman"/>
              </w:rPr>
            </w:pPr>
            <w:r>
              <w:rPr>
                <w:rFonts w:ascii="Times New Roman" w:hAnsi="Times New Roman" w:cs="Times New Roman"/>
              </w:rPr>
              <w:t>40</w:t>
            </w:r>
          </w:p>
        </w:tc>
        <w:tc>
          <w:tcPr>
            <w:tcW w:w="1843" w:type="dxa"/>
            <w:hideMark/>
          </w:tcPr>
          <w:p w14:paraId="011AE763"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002B786A"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EB73DDF"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6CD5E4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FA78C96" w14:textId="23E4735D" w:rsidR="000F2958" w:rsidRDefault="003B2158">
            <w:pPr>
              <w:rPr>
                <w:rFonts w:ascii="Times New Roman" w:hAnsi="Times New Roman" w:cs="Times New Roman"/>
                <w:i/>
                <w:iCs/>
              </w:rPr>
            </w:pPr>
            <w:r>
              <w:rPr>
                <w:rFonts w:ascii="Times New Roman" w:hAnsi="Times New Roman" w:cs="Times New Roman"/>
                <w:i/>
                <w:iCs/>
              </w:rPr>
              <w:t xml:space="preserve">Morinda lucida </w:t>
            </w:r>
            <w:r>
              <w:rPr>
                <w:rFonts w:ascii="Times New Roman" w:hAnsi="Times New Roman" w:cs="Times New Roman"/>
              </w:rPr>
              <w:t>Benth.</w:t>
            </w:r>
          </w:p>
        </w:tc>
      </w:tr>
      <w:tr w:rsidR="000F2958" w14:paraId="716D26C1" w14:textId="77777777">
        <w:trPr>
          <w:trHeight w:val="300"/>
        </w:trPr>
        <w:tc>
          <w:tcPr>
            <w:tcW w:w="709" w:type="dxa"/>
            <w:noWrap/>
            <w:vAlign w:val="center"/>
            <w:hideMark/>
          </w:tcPr>
          <w:p w14:paraId="537B9F24" w14:textId="77777777" w:rsidR="000F2958" w:rsidRDefault="003B2158">
            <w:pPr>
              <w:jc w:val="center"/>
              <w:rPr>
                <w:rFonts w:ascii="Times New Roman" w:hAnsi="Times New Roman" w:cs="Times New Roman"/>
              </w:rPr>
            </w:pPr>
            <w:r>
              <w:rPr>
                <w:rFonts w:ascii="Times New Roman" w:hAnsi="Times New Roman" w:cs="Times New Roman"/>
              </w:rPr>
              <w:t>41</w:t>
            </w:r>
          </w:p>
        </w:tc>
        <w:tc>
          <w:tcPr>
            <w:tcW w:w="1843" w:type="dxa"/>
            <w:hideMark/>
          </w:tcPr>
          <w:p w14:paraId="4895042A"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17CDA22A"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6D2F61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2638434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779A99F" w14:textId="77777777" w:rsidR="000F2958" w:rsidRDefault="003B2158">
            <w:pPr>
              <w:rPr>
                <w:rFonts w:ascii="Times New Roman" w:hAnsi="Times New Roman" w:cs="Times New Roman"/>
                <w:i/>
                <w:iCs/>
                <w:lang w:val="en-US"/>
              </w:rPr>
            </w:pPr>
            <w:r>
              <w:rPr>
                <w:rFonts w:ascii="Times New Roman" w:hAnsi="Times New Roman" w:cs="Times New Roman"/>
                <w:i/>
                <w:iCs/>
                <w:lang w:val="en-US"/>
              </w:rPr>
              <w:t xml:space="preserve">Nauclea diderrichii </w:t>
            </w:r>
            <w:r>
              <w:rPr>
                <w:rFonts w:ascii="Times New Roman" w:hAnsi="Times New Roman" w:cs="Times New Roman"/>
                <w:lang w:val="en-US"/>
              </w:rPr>
              <w:t>(From Wild.) Merril</w:t>
            </w:r>
          </w:p>
        </w:tc>
      </w:tr>
      <w:tr w:rsidR="000F2958" w14:paraId="6F7F3142" w14:textId="77777777">
        <w:trPr>
          <w:trHeight w:val="300"/>
        </w:trPr>
        <w:tc>
          <w:tcPr>
            <w:tcW w:w="709" w:type="dxa"/>
            <w:noWrap/>
            <w:vAlign w:val="center"/>
            <w:hideMark/>
          </w:tcPr>
          <w:p w14:paraId="0374ACD5" w14:textId="77777777" w:rsidR="000F2958" w:rsidRDefault="003B2158">
            <w:pPr>
              <w:jc w:val="center"/>
              <w:rPr>
                <w:rFonts w:ascii="Times New Roman" w:hAnsi="Times New Roman" w:cs="Times New Roman"/>
              </w:rPr>
            </w:pPr>
            <w:r>
              <w:rPr>
                <w:rFonts w:ascii="Times New Roman" w:hAnsi="Times New Roman" w:cs="Times New Roman"/>
              </w:rPr>
              <w:t>42</w:t>
            </w:r>
          </w:p>
        </w:tc>
        <w:tc>
          <w:tcPr>
            <w:tcW w:w="1843" w:type="dxa"/>
            <w:hideMark/>
          </w:tcPr>
          <w:p w14:paraId="2E171E74"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47F80F0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2652C94"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4E6BE39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C07BA35" w14:textId="71187DCF" w:rsidR="000F2958" w:rsidRDefault="003B2158">
            <w:pPr>
              <w:rPr>
                <w:rFonts w:ascii="Times New Roman" w:hAnsi="Times New Roman" w:cs="Times New Roman"/>
                <w:i/>
                <w:iCs/>
              </w:rPr>
            </w:pPr>
            <w:r>
              <w:rPr>
                <w:rFonts w:ascii="Times New Roman" w:hAnsi="Times New Roman" w:cs="Times New Roman"/>
                <w:i/>
                <w:iCs/>
              </w:rPr>
              <w:t xml:space="preserve">Psychotria densinervia </w:t>
            </w:r>
            <w:r>
              <w:rPr>
                <w:rFonts w:ascii="Times New Roman" w:hAnsi="Times New Roman" w:cs="Times New Roman"/>
              </w:rPr>
              <w:t>(K. Krause) Verdc.</w:t>
            </w:r>
          </w:p>
        </w:tc>
      </w:tr>
      <w:tr w:rsidR="000F2958" w14:paraId="79522AC8" w14:textId="77777777">
        <w:trPr>
          <w:trHeight w:val="300"/>
        </w:trPr>
        <w:tc>
          <w:tcPr>
            <w:tcW w:w="709" w:type="dxa"/>
            <w:noWrap/>
            <w:vAlign w:val="center"/>
            <w:hideMark/>
          </w:tcPr>
          <w:p w14:paraId="7D919F0B" w14:textId="77777777" w:rsidR="000F2958" w:rsidRDefault="003B2158">
            <w:pPr>
              <w:jc w:val="center"/>
              <w:rPr>
                <w:rFonts w:ascii="Times New Roman" w:hAnsi="Times New Roman" w:cs="Times New Roman"/>
              </w:rPr>
            </w:pPr>
            <w:r>
              <w:rPr>
                <w:rFonts w:ascii="Times New Roman" w:hAnsi="Times New Roman" w:cs="Times New Roman"/>
              </w:rPr>
              <w:t>43</w:t>
            </w:r>
          </w:p>
        </w:tc>
        <w:tc>
          <w:tcPr>
            <w:tcW w:w="1843" w:type="dxa"/>
            <w:hideMark/>
          </w:tcPr>
          <w:p w14:paraId="568F62C1"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55CC666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D811A31"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CD69A0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4FE0ACCE" w14:textId="77777777" w:rsidR="000F2958" w:rsidRDefault="003B2158">
            <w:pPr>
              <w:rPr>
                <w:rFonts w:ascii="Times New Roman" w:hAnsi="Times New Roman" w:cs="Times New Roman"/>
                <w:i/>
                <w:iCs/>
              </w:rPr>
            </w:pPr>
            <w:r>
              <w:rPr>
                <w:rFonts w:ascii="Times New Roman" w:hAnsi="Times New Roman" w:cs="Times New Roman"/>
                <w:i/>
                <w:iCs/>
              </w:rPr>
              <w:t xml:space="preserve">Psydrax subcordata </w:t>
            </w:r>
            <w:r>
              <w:rPr>
                <w:rFonts w:ascii="Times New Roman" w:hAnsi="Times New Roman" w:cs="Times New Roman"/>
              </w:rPr>
              <w:t>(DC.) Bridson</w:t>
            </w:r>
          </w:p>
        </w:tc>
      </w:tr>
      <w:tr w:rsidR="000F2958" w14:paraId="14273EA3" w14:textId="77777777">
        <w:trPr>
          <w:trHeight w:val="300"/>
        </w:trPr>
        <w:tc>
          <w:tcPr>
            <w:tcW w:w="709" w:type="dxa"/>
            <w:noWrap/>
            <w:vAlign w:val="center"/>
            <w:hideMark/>
          </w:tcPr>
          <w:p w14:paraId="60403397" w14:textId="77777777" w:rsidR="000F2958" w:rsidRDefault="003B2158">
            <w:pPr>
              <w:jc w:val="center"/>
              <w:rPr>
                <w:rFonts w:ascii="Times New Roman" w:hAnsi="Times New Roman" w:cs="Times New Roman"/>
              </w:rPr>
            </w:pPr>
            <w:r>
              <w:rPr>
                <w:rFonts w:ascii="Times New Roman" w:hAnsi="Times New Roman" w:cs="Times New Roman"/>
              </w:rPr>
              <w:t>44</w:t>
            </w:r>
          </w:p>
        </w:tc>
        <w:tc>
          <w:tcPr>
            <w:tcW w:w="1843" w:type="dxa"/>
            <w:hideMark/>
          </w:tcPr>
          <w:p w14:paraId="1A08084A" w14:textId="77777777" w:rsidR="000F2958" w:rsidRDefault="003B2158">
            <w:pPr>
              <w:rPr>
                <w:rFonts w:ascii="Times New Roman" w:hAnsi="Times New Roman" w:cs="Times New Roman"/>
                <w:i/>
                <w:iCs/>
              </w:rPr>
            </w:pPr>
            <w:r>
              <w:rPr>
                <w:rFonts w:ascii="Times New Roman" w:hAnsi="Times New Roman" w:cs="Times New Roman"/>
                <w:i/>
                <w:iCs/>
              </w:rPr>
              <w:t>Rutaceae</w:t>
            </w:r>
          </w:p>
        </w:tc>
        <w:tc>
          <w:tcPr>
            <w:tcW w:w="1134" w:type="dxa"/>
            <w:vAlign w:val="center"/>
            <w:hideMark/>
          </w:tcPr>
          <w:p w14:paraId="4132CFF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5560B20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7999E5EB"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2016577E" w14:textId="4C7505BB" w:rsidR="000F2958" w:rsidRDefault="003B2158">
            <w:pPr>
              <w:rPr>
                <w:rFonts w:ascii="Times New Roman" w:hAnsi="Times New Roman" w:cs="Times New Roman"/>
                <w:i/>
                <w:iCs/>
                <w:lang w:val="en-US"/>
              </w:rPr>
            </w:pPr>
            <w:r>
              <w:rPr>
                <w:rFonts w:ascii="Times New Roman" w:hAnsi="Times New Roman" w:cs="Times New Roman"/>
                <w:i/>
                <w:iCs/>
                <w:lang w:val="en-US"/>
              </w:rPr>
              <w:t xml:space="preserve">Zanthoxylum heitzii </w:t>
            </w:r>
            <w:r>
              <w:rPr>
                <w:rFonts w:ascii="Times New Roman" w:hAnsi="Times New Roman" w:cs="Times New Roman"/>
                <w:lang w:val="en-US"/>
              </w:rPr>
              <w:t>(Aubr. &amp; Pellegr.) Waterman</w:t>
            </w:r>
          </w:p>
        </w:tc>
      </w:tr>
      <w:tr w:rsidR="000F2958" w14:paraId="44D253A2" w14:textId="77777777">
        <w:trPr>
          <w:trHeight w:val="300"/>
        </w:trPr>
        <w:tc>
          <w:tcPr>
            <w:tcW w:w="709" w:type="dxa"/>
            <w:noWrap/>
            <w:vAlign w:val="center"/>
            <w:hideMark/>
          </w:tcPr>
          <w:p w14:paraId="409AC017" w14:textId="77777777" w:rsidR="000F2958" w:rsidRDefault="003B2158">
            <w:pPr>
              <w:jc w:val="center"/>
              <w:rPr>
                <w:rFonts w:ascii="Times New Roman" w:hAnsi="Times New Roman" w:cs="Times New Roman"/>
              </w:rPr>
            </w:pPr>
            <w:r>
              <w:rPr>
                <w:rFonts w:ascii="Times New Roman" w:hAnsi="Times New Roman" w:cs="Times New Roman"/>
              </w:rPr>
              <w:t>45</w:t>
            </w:r>
          </w:p>
        </w:tc>
        <w:tc>
          <w:tcPr>
            <w:tcW w:w="1843" w:type="dxa"/>
            <w:hideMark/>
          </w:tcPr>
          <w:p w14:paraId="0BC81A22" w14:textId="77777777" w:rsidR="000F2958" w:rsidRDefault="003B2158">
            <w:pPr>
              <w:rPr>
                <w:rFonts w:ascii="Times New Roman" w:hAnsi="Times New Roman" w:cs="Times New Roman"/>
                <w:i/>
                <w:iCs/>
              </w:rPr>
            </w:pPr>
            <w:r>
              <w:rPr>
                <w:rFonts w:ascii="Times New Roman" w:hAnsi="Times New Roman" w:cs="Times New Roman"/>
                <w:i/>
                <w:iCs/>
              </w:rPr>
              <w:t>Verbenaceae</w:t>
            </w:r>
          </w:p>
        </w:tc>
        <w:tc>
          <w:tcPr>
            <w:tcW w:w="1134" w:type="dxa"/>
            <w:vAlign w:val="center"/>
            <w:hideMark/>
          </w:tcPr>
          <w:p w14:paraId="169F53C9"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95DF9C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2544CE4B"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5BAADC4D" w14:textId="77777777" w:rsidR="000F2958" w:rsidRDefault="003B2158">
            <w:pPr>
              <w:rPr>
                <w:rFonts w:ascii="Times New Roman" w:hAnsi="Times New Roman" w:cs="Times New Roman"/>
                <w:i/>
                <w:iCs/>
              </w:rPr>
            </w:pPr>
            <w:r>
              <w:rPr>
                <w:rFonts w:ascii="Times New Roman" w:hAnsi="Times New Roman" w:cs="Times New Roman"/>
                <w:i/>
                <w:iCs/>
              </w:rPr>
              <w:t xml:space="preserve">Vitex doniana </w:t>
            </w:r>
            <w:r>
              <w:rPr>
                <w:rFonts w:ascii="Times New Roman" w:hAnsi="Times New Roman" w:cs="Times New Roman"/>
              </w:rPr>
              <w:t>Sweet</w:t>
            </w:r>
          </w:p>
        </w:tc>
      </w:tr>
    </w:tbl>
    <w:p w14:paraId="53DF49A3" w14:textId="77777777" w:rsidR="000F2958" w:rsidRDefault="000F2958">
      <w:pPr>
        <w:ind w:firstLine="360"/>
        <w:rPr>
          <w:rFonts w:ascii="Times New Roman" w:hAnsi="Times New Roman" w:cs="Times New Roman"/>
          <w:b/>
          <w:sz w:val="16"/>
          <w:szCs w:val="16"/>
        </w:rPr>
      </w:pPr>
    </w:p>
    <w:p w14:paraId="0CAA719E" w14:textId="77777777" w:rsidR="003E18C4" w:rsidRDefault="003E18C4">
      <w:pPr>
        <w:ind w:firstLine="360"/>
        <w:rPr>
          <w:rFonts w:ascii="Times New Roman" w:hAnsi="Times New Roman" w:cs="Times New Roman"/>
          <w:b/>
          <w:sz w:val="16"/>
          <w:szCs w:val="16"/>
        </w:rPr>
      </w:pPr>
    </w:p>
    <w:p w14:paraId="3818DF9C"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3-2. Determination of groupings and indices of importance value</w:t>
      </w:r>
    </w:p>
    <w:p w14:paraId="2D474501"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Based on the matrix of 30 surveys and 45 species recorded, five groups were highlighted at the threshold of 19% of the Sorensen index (Figure 2). The IVIs give the contribution of the species recorded in the different woody groups (Appendix). For the GI group, the IVI ranges between 8.79% and 117% and highlights </w:t>
      </w:r>
      <w:r>
        <w:rPr>
          <w:rFonts w:ascii="Times New Roman" w:eastAsia="Times New Roman" w:hAnsi="Times New Roman" w:cs="Times New Roman"/>
          <w:i/>
          <w:iCs/>
          <w:color w:val="000000"/>
          <w:sz w:val="24"/>
          <w:szCs w:val="24"/>
          <w:lang w:eastAsia="fr-FR"/>
        </w:rPr>
        <w:t xml:space="preserve">Mitragyna stipulosa </w:t>
      </w:r>
      <w:r>
        <w:rPr>
          <w:rFonts w:ascii="Times New Roman" w:eastAsia="Times New Roman" w:hAnsi="Times New Roman" w:cs="Times New Roman"/>
          <w:iCs/>
          <w:color w:val="000000"/>
          <w:sz w:val="24"/>
          <w:szCs w:val="24"/>
          <w:lang w:eastAsia="fr-FR"/>
        </w:rPr>
        <w:t xml:space="preserve">(117%) and </w:t>
      </w:r>
      <w:r>
        <w:rPr>
          <w:rFonts w:ascii="Times New Roman" w:eastAsia="Times New Roman" w:hAnsi="Times New Roman" w:cs="Times New Roman"/>
          <w:i/>
          <w:iCs/>
          <w:color w:val="000000"/>
          <w:sz w:val="24"/>
          <w:szCs w:val="24"/>
          <w:lang w:eastAsia="fr-FR"/>
        </w:rPr>
        <w:t xml:space="preserve">Raphia mombuttorum </w:t>
      </w:r>
      <w:r>
        <w:rPr>
          <w:rFonts w:ascii="Times New Roman" w:eastAsia="Times New Roman" w:hAnsi="Times New Roman" w:cs="Times New Roman"/>
          <w:iCs/>
          <w:color w:val="000000"/>
          <w:sz w:val="24"/>
          <w:szCs w:val="24"/>
          <w:lang w:eastAsia="fr-FR"/>
        </w:rPr>
        <w:t>(66.30%</w:t>
      </w:r>
      <w:proofErr w:type="gramStart"/>
      <w:r>
        <w:rPr>
          <w:rFonts w:ascii="Times New Roman" w:eastAsia="Times New Roman" w:hAnsi="Times New Roman" w:cs="Times New Roman"/>
          <w:iCs/>
          <w:color w:val="000000"/>
          <w:sz w:val="24"/>
          <w:szCs w:val="24"/>
          <w:lang w:eastAsia="fr-FR"/>
        </w:rPr>
        <w:t xml:space="preserve">) </w:t>
      </w:r>
      <w:r>
        <w:rPr>
          <w:rFonts w:ascii="Times New Roman" w:eastAsia="Times New Roman" w:hAnsi="Times New Roman" w:cs="Times New Roman"/>
          <w:i/>
          <w:iCs/>
          <w:color w:val="000000"/>
          <w:sz w:val="24"/>
          <w:szCs w:val="24"/>
          <w:lang w:eastAsia="fr-FR"/>
        </w:rPr>
        <w:t>.</w:t>
      </w:r>
      <w:proofErr w:type="gramEnd"/>
      <w:r>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Cs/>
          <w:color w:val="000000"/>
          <w:sz w:val="24"/>
          <w:szCs w:val="24"/>
          <w:lang w:eastAsia="fr-FR"/>
        </w:rPr>
        <w:t xml:space="preserve">The IVI of the GII group varies from 12% to 54.10% and reveals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(54.10%) and </w:t>
      </w:r>
      <w:r>
        <w:rPr>
          <w:rFonts w:ascii="Times New Roman" w:eastAsia="Times New Roman" w:hAnsi="Times New Roman" w:cs="Times New Roman"/>
          <w:i/>
          <w:iCs/>
          <w:sz w:val="24"/>
          <w:szCs w:val="24"/>
          <w:lang w:eastAsia="fr-FR"/>
        </w:rPr>
        <w:t xml:space="preserve">Alchornea cordifolia </w:t>
      </w:r>
      <w:r>
        <w:rPr>
          <w:rFonts w:ascii="Times New Roman" w:eastAsia="Times New Roman" w:hAnsi="Times New Roman" w:cs="Times New Roman"/>
          <w:iCs/>
          <w:sz w:val="24"/>
          <w:szCs w:val="24"/>
          <w:lang w:eastAsia="fr-FR"/>
        </w:rPr>
        <w:t xml:space="preserve">(48%). The IVI has a value between 12.36% and 79.32%. The species with high contribution are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(79.32%) and </w:t>
      </w:r>
      <w:r>
        <w:rPr>
          <w:rFonts w:ascii="Times New Roman" w:eastAsia="Times New Roman" w:hAnsi="Times New Roman" w:cs="Times New Roman"/>
          <w:i/>
          <w:iCs/>
          <w:sz w:val="24"/>
          <w:szCs w:val="24"/>
          <w:lang w:eastAsia="fr-FR"/>
        </w:rPr>
        <w:t xml:space="preserve">Alstonia boonei </w:t>
      </w:r>
      <w:r>
        <w:rPr>
          <w:rFonts w:ascii="Times New Roman" w:eastAsia="Times New Roman" w:hAnsi="Times New Roman" w:cs="Times New Roman"/>
          <w:iCs/>
          <w:sz w:val="24"/>
          <w:szCs w:val="24"/>
          <w:lang w:eastAsia="fr-FR"/>
        </w:rPr>
        <w:t>(36.99%). For</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the GIV group, the IVI values are between 9.87% and 90.05%. </w:t>
      </w:r>
      <w:r>
        <w:rPr>
          <w:rFonts w:ascii="Times New Roman" w:eastAsia="Times New Roman" w:hAnsi="Times New Roman" w:cs="Times New Roman"/>
          <w:i/>
          <w:iCs/>
          <w:sz w:val="24"/>
          <w:szCs w:val="24"/>
          <w:lang w:eastAsia="fr-FR"/>
        </w:rPr>
        <w:t xml:space="preserve">M. stipulosa </w:t>
      </w:r>
      <w:r>
        <w:rPr>
          <w:rFonts w:ascii="Times New Roman" w:eastAsia="Times New Roman" w:hAnsi="Times New Roman" w:cs="Times New Roman"/>
          <w:iCs/>
          <w:sz w:val="24"/>
          <w:szCs w:val="24"/>
          <w:lang w:eastAsia="fr-FR"/>
        </w:rPr>
        <w:t xml:space="preserve">(90.05%) and </w:t>
      </w:r>
      <w:r>
        <w:rPr>
          <w:rFonts w:ascii="Times New Roman" w:eastAsia="Times New Roman" w:hAnsi="Times New Roman" w:cs="Times New Roman"/>
          <w:i/>
          <w:iCs/>
          <w:sz w:val="24"/>
          <w:szCs w:val="24"/>
          <w:lang w:eastAsia="fr-FR"/>
        </w:rPr>
        <w:t xml:space="preserve">Uapaca guineensis </w:t>
      </w:r>
      <w:r>
        <w:rPr>
          <w:rFonts w:ascii="Times New Roman" w:eastAsia="Times New Roman" w:hAnsi="Times New Roman" w:cs="Times New Roman"/>
          <w:iCs/>
          <w:sz w:val="24"/>
          <w:szCs w:val="24"/>
          <w:lang w:eastAsia="fr-FR"/>
        </w:rPr>
        <w:t>(42.27%) are the dominant species. The IVI of the GV group ranges between 8.10% and 98</w:t>
      </w:r>
      <w:proofErr w:type="gramStart"/>
      <w:r>
        <w:rPr>
          <w:rFonts w:ascii="Times New Roman" w:eastAsia="Times New Roman" w:hAnsi="Times New Roman" w:cs="Times New Roman"/>
          <w:iCs/>
          <w:sz w:val="24"/>
          <w:szCs w:val="24"/>
          <w:lang w:eastAsia="fr-FR"/>
        </w:rPr>
        <w:t>%;</w:t>
      </w:r>
      <w:proofErr w:type="gramEnd"/>
      <w:r>
        <w:rPr>
          <w:rFonts w:ascii="Times New Roman" w:eastAsia="Times New Roman" w:hAnsi="Times New Roman" w:cs="Times New Roman"/>
          <w:iCs/>
          <w:sz w:val="24"/>
          <w:szCs w:val="24"/>
          <w:lang w:eastAsia="fr-FR"/>
        </w:rPr>
        <w:t xml:space="preserve">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 xml:space="preserve">(98%) 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(22%) are the most dominant species </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Overall, the preponderance of IVI of these dominant species is associated with their high abundance.</w:t>
      </w:r>
    </w:p>
    <w:p w14:paraId="222F0F55" w14:textId="77777777" w:rsidR="000F2958" w:rsidRDefault="000F2958">
      <w:pPr>
        <w:ind w:firstLine="360"/>
        <w:jc w:val="center"/>
        <w:rPr>
          <w:rFonts w:ascii="Times New Roman" w:hAnsi="Times New Roman" w:cs="Times New Roman"/>
          <w:sz w:val="24"/>
          <w:szCs w:val="24"/>
        </w:rPr>
      </w:pPr>
    </w:p>
    <w:p w14:paraId="026BECCD" w14:textId="77777777" w:rsidR="000F2958" w:rsidRDefault="003B2158">
      <w:pPr>
        <w:ind w:firstLine="36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2887AD0" wp14:editId="38DC5647">
            <wp:extent cx="2844874" cy="2472538"/>
            <wp:effectExtent l="0" t="0" r="0" b="4445"/>
            <wp:docPr id="102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9"/>
                    <pic:cNvPicPr/>
                  </pic:nvPicPr>
                  <pic:blipFill>
                    <a:blip r:embed="rId9" cstate="print"/>
                    <a:srcRect/>
                    <a:stretch/>
                  </pic:blipFill>
                  <pic:spPr>
                    <a:xfrm>
                      <a:off x="0" y="0"/>
                      <a:ext cx="2844874" cy="2472538"/>
                    </a:xfrm>
                    <a:prstGeom prst="rect">
                      <a:avLst/>
                    </a:prstGeom>
                    <a:ln>
                      <a:noFill/>
                    </a:ln>
                  </pic:spPr>
                </pic:pic>
              </a:graphicData>
            </a:graphic>
          </wp:inline>
        </w:drawing>
      </w:r>
    </w:p>
    <w:p w14:paraId="01681B71" w14:textId="6DDABD9E" w:rsidR="000F2958" w:rsidRPr="008A658A" w:rsidRDefault="007F4678" w:rsidP="008A658A">
      <w:pPr>
        <w:ind w:firstLine="360"/>
        <w:jc w:val="center"/>
        <w:rPr>
          <w:rFonts w:ascii="Times New Roman" w:hAnsi="Times New Roman" w:cs="Times New Roman"/>
          <w:sz w:val="24"/>
          <w:szCs w:val="24"/>
        </w:rPr>
      </w:pPr>
      <w:r>
        <w:rPr>
          <w:rFonts w:ascii="Times New Roman" w:hAnsi="Times New Roman" w:cs="Times New Roman"/>
          <w:sz w:val="24"/>
          <w:szCs w:val="24"/>
        </w:rPr>
        <w:t>Fig 2-</w:t>
      </w:r>
      <w:r w:rsidR="008A658A">
        <w:rPr>
          <w:rFonts w:ascii="Times New Roman" w:hAnsi="Times New Roman" w:cs="Times New Roman"/>
          <w:sz w:val="24"/>
          <w:szCs w:val="24"/>
        </w:rPr>
        <w:t xml:space="preserve"> </w:t>
      </w:r>
      <w:r w:rsidR="003B2158">
        <w:rPr>
          <w:rFonts w:ascii="Times New Roman" w:eastAsia="Times New Roman" w:hAnsi="Times New Roman" w:cs="Times New Roman"/>
          <w:i/>
          <w:iCs/>
          <w:color w:val="000000"/>
          <w:sz w:val="24"/>
          <w:szCs w:val="24"/>
          <w:lang w:eastAsia="fr-FR"/>
        </w:rPr>
        <w:t xml:space="preserve">Mitragyna </w:t>
      </w:r>
      <w:r w:rsidR="003B2158">
        <w:rPr>
          <w:rFonts w:ascii="Times New Roman" w:hAnsi="Times New Roman" w:cs="Times New Roman"/>
          <w:sz w:val="24"/>
          <w:szCs w:val="24"/>
        </w:rPr>
        <w:t>grouping</w:t>
      </w:r>
      <w:r w:rsidR="003B2158">
        <w:rPr>
          <w:rFonts w:ascii="Times New Roman" w:eastAsia="Times New Roman" w:hAnsi="Times New Roman" w:cs="Times New Roman"/>
          <w:i/>
          <w:iCs/>
          <w:color w:val="000000"/>
          <w:sz w:val="24"/>
          <w:szCs w:val="24"/>
          <w:lang w:eastAsia="fr-FR"/>
        </w:rPr>
        <w:t xml:space="preserve"> stipulosa </w:t>
      </w:r>
      <w:r w:rsidR="003B2158">
        <w:rPr>
          <w:rFonts w:ascii="Times New Roman" w:eastAsia="Times New Roman" w:hAnsi="Times New Roman" w:cs="Times New Roman"/>
          <w:iCs/>
          <w:color w:val="000000"/>
          <w:sz w:val="24"/>
          <w:szCs w:val="24"/>
          <w:lang w:eastAsia="fr-FR"/>
        </w:rPr>
        <w:t xml:space="preserve">and </w:t>
      </w:r>
      <w:r w:rsidR="003B2158">
        <w:rPr>
          <w:rFonts w:ascii="Times New Roman" w:eastAsia="Times New Roman" w:hAnsi="Times New Roman" w:cs="Times New Roman"/>
          <w:i/>
          <w:iCs/>
          <w:color w:val="000000"/>
          <w:sz w:val="24"/>
          <w:szCs w:val="24"/>
          <w:lang w:eastAsia="fr-FR"/>
        </w:rPr>
        <w:t>Raphia mombuttorum </w:t>
      </w:r>
      <w:r w:rsidR="003B2158">
        <w:rPr>
          <w:rFonts w:ascii="Times New Roman" w:hAnsi="Times New Roman" w:cs="Times New Roman"/>
          <w:i/>
          <w:sz w:val="24"/>
          <w:szCs w:val="24"/>
        </w:rPr>
        <w:t xml:space="preserve">; </w:t>
      </w:r>
      <w:proofErr w:type="gramStart"/>
      <w:r w:rsidR="003B2158">
        <w:rPr>
          <w:rFonts w:ascii="Times New Roman" w:hAnsi="Times New Roman" w:cs="Times New Roman"/>
          <w:sz w:val="24"/>
          <w:szCs w:val="24"/>
        </w:rPr>
        <w:t>GII:</w:t>
      </w:r>
      <w:proofErr w:type="gramEnd"/>
      <w:r w:rsidR="003B2158">
        <w:rPr>
          <w:rFonts w:ascii="Times New Roman" w:hAnsi="Times New Roman" w:cs="Times New Roman"/>
          <w:sz w:val="24"/>
          <w:szCs w:val="24"/>
        </w:rPr>
        <w:t xml:space="preserve"> grouping to</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Raphia mombuttorum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Alchornea cordifolia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GIII:</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grouping to</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Raphia mombuttorum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Alstonia boonei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 xml:space="preserve">GIV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grouping at</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Mitragyna stipulated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Uapaca guineensis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 xml:space="preserve">GV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grouping with</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Uapaca guineensis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Raphia mombuttorum </w:t>
      </w:r>
      <w:r w:rsidR="003B2158">
        <w:rPr>
          <w:rFonts w:ascii="Times New Roman" w:hAnsi="Times New Roman" w:cs="Times New Roman"/>
          <w:i/>
          <w:sz w:val="24"/>
          <w:szCs w:val="24"/>
        </w:rPr>
        <w:t>.</w:t>
      </w:r>
    </w:p>
    <w:p w14:paraId="11F15C8D"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3-3. Specific diversity of groups</w:t>
      </w:r>
    </w:p>
    <w:p w14:paraId="737854EC" w14:textId="2BAF9FA8"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floristic richness is very variable between the five groupings both in terms of families and species (Table </w:t>
      </w:r>
      <w:r w:rsidR="007F4678">
        <w:rPr>
          <w:rFonts w:ascii="Times New Roman" w:hAnsi="Times New Roman" w:cs="Times New Roman"/>
          <w:sz w:val="24"/>
          <w:szCs w:val="24"/>
        </w:rPr>
        <w:t>2</w:t>
      </w:r>
      <w:r>
        <w:rPr>
          <w:rFonts w:ascii="Times New Roman" w:hAnsi="Times New Roman" w:cs="Times New Roman"/>
          <w:sz w:val="24"/>
          <w:szCs w:val="24"/>
        </w:rPr>
        <w:t>). The values of the Shannon diversity index (&lt;2.50 bits) and those of the Piélou equitability index (0.56 to 0.70) are low and remain similar from one grouping to another; reflecting unfavorable ecological conditions and relative forest instability.</w:t>
      </w:r>
    </w:p>
    <w:p w14:paraId="6A5EC84A" w14:textId="3071A0FB" w:rsidR="000F2958" w:rsidRDefault="003B2158">
      <w:pPr>
        <w:spacing w:line="240" w:lineRule="auto"/>
        <w:ind w:firstLine="360"/>
        <w:jc w:val="both"/>
        <w:rPr>
          <w:rFonts w:ascii="Times New Roman" w:hAnsi="Times New Roman" w:cs="Times New Roman"/>
          <w:i/>
        </w:rPr>
      </w:pPr>
      <w:r>
        <w:rPr>
          <w:rFonts w:ascii="Times New Roman" w:hAnsi="Times New Roman" w:cs="Times New Roman"/>
        </w:rPr>
        <w:t xml:space="preserve">Table </w:t>
      </w:r>
      <w:r w:rsidR="007F4678">
        <w:rPr>
          <w:rFonts w:ascii="Times New Roman" w:hAnsi="Times New Roman" w:cs="Times New Roman"/>
        </w:rPr>
        <w:t>2</w:t>
      </w:r>
      <w:r>
        <w:rPr>
          <w:rFonts w:ascii="Times New Roman" w:hAnsi="Times New Roman" w:cs="Times New Roman"/>
        </w:rPr>
        <w:t xml:space="preserve">: Specific diversity of identified woody groups. M. sti-R.mom : </w:t>
      </w:r>
      <w:r>
        <w:rPr>
          <w:rFonts w:ascii="Times New Roman" w:eastAsia="Times New Roman" w:hAnsi="Times New Roman" w:cs="Times New Roman"/>
          <w:i/>
          <w:iCs/>
          <w:color w:val="000000"/>
          <w:lang w:eastAsia="fr-FR"/>
        </w:rPr>
        <w:t xml:space="preserve">Mitragyna </w:t>
      </w:r>
      <w:r>
        <w:rPr>
          <w:rFonts w:ascii="Times New Roman" w:hAnsi="Times New Roman" w:cs="Times New Roman"/>
        </w:rPr>
        <w:t>group</w:t>
      </w:r>
      <w:r>
        <w:rPr>
          <w:rFonts w:ascii="Times New Roman" w:eastAsia="Times New Roman" w:hAnsi="Times New Roman" w:cs="Times New Roman"/>
          <w:i/>
          <w:iCs/>
          <w:color w:val="000000"/>
          <w:lang w:eastAsia="fr-FR"/>
        </w:rPr>
        <w:t xml:space="preserve">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rPr>
        <w:t xml:space="preserve">; R. mom -A. </w:t>
      </w:r>
      <w:proofErr w:type="gramStart"/>
      <w:r>
        <w:rPr>
          <w:rFonts w:ascii="Times New Roman" w:hAnsi="Times New Roman" w:cs="Times New Roman"/>
        </w:rPr>
        <w:t>cor:</w:t>
      </w:r>
      <w:proofErr w:type="gramEnd"/>
      <w:r>
        <w:rPr>
          <w:rFonts w:ascii="Times New Roman" w:hAnsi="Times New Roman" w:cs="Times New Roman"/>
        </w:rPr>
        <w:t xml:space="preserve">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rPr>
        <w:t>; R. mom -A. boo : group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Alstonia boonei </w:t>
      </w:r>
      <w:r>
        <w:rPr>
          <w:rFonts w:ascii="Times New Roman" w:hAnsi="Times New Roman" w:cs="Times New Roman"/>
        </w:rPr>
        <w:t>; M. sti – U.gui : group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rPr>
        <w:t>; U.gui-R.mom :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w:t>
      </w:r>
    </w:p>
    <w:tbl>
      <w:tblPr>
        <w:tblStyle w:val="TableGrid"/>
        <w:tblW w:w="6733" w:type="dxa"/>
        <w:jc w:val="center"/>
        <w:tblLayout w:type="fixed"/>
        <w:tblLook w:val="04A0" w:firstRow="1" w:lastRow="0" w:firstColumn="1" w:lastColumn="0" w:noHBand="0" w:noVBand="1"/>
      </w:tblPr>
      <w:tblGrid>
        <w:gridCol w:w="2055"/>
        <w:gridCol w:w="1134"/>
        <w:gridCol w:w="1134"/>
        <w:gridCol w:w="992"/>
        <w:gridCol w:w="1418"/>
      </w:tblGrid>
      <w:tr w:rsidR="000F2958" w14:paraId="0DF5C48D" w14:textId="77777777">
        <w:trPr>
          <w:jc w:val="center"/>
        </w:trPr>
        <w:tc>
          <w:tcPr>
            <w:tcW w:w="2055" w:type="dxa"/>
            <w:vAlign w:val="center"/>
          </w:tcPr>
          <w:p w14:paraId="5136BA24"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Woody groups</w:t>
            </w:r>
          </w:p>
        </w:tc>
        <w:tc>
          <w:tcPr>
            <w:tcW w:w="1134" w:type="dxa"/>
          </w:tcPr>
          <w:p w14:paraId="3B8FC933"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Number of families</w:t>
            </w:r>
          </w:p>
        </w:tc>
        <w:tc>
          <w:tcPr>
            <w:tcW w:w="1134" w:type="dxa"/>
          </w:tcPr>
          <w:p w14:paraId="1626865E"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Specific richness</w:t>
            </w:r>
          </w:p>
        </w:tc>
        <w:tc>
          <w:tcPr>
            <w:tcW w:w="992" w:type="dxa"/>
          </w:tcPr>
          <w:p w14:paraId="5EFD79A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Shannon index</w:t>
            </w:r>
          </w:p>
        </w:tc>
        <w:tc>
          <w:tcPr>
            <w:tcW w:w="1418" w:type="dxa"/>
          </w:tcPr>
          <w:p w14:paraId="3D30A34E"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Fairness Index</w:t>
            </w:r>
          </w:p>
        </w:tc>
      </w:tr>
      <w:tr w:rsidR="000F2958" w14:paraId="10CE3C98" w14:textId="77777777">
        <w:trPr>
          <w:jc w:val="center"/>
        </w:trPr>
        <w:tc>
          <w:tcPr>
            <w:tcW w:w="2055" w:type="dxa"/>
            <w:vAlign w:val="center"/>
          </w:tcPr>
          <w:p w14:paraId="28820734"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sti-R.mom </w:t>
            </w:r>
          </w:p>
        </w:tc>
        <w:tc>
          <w:tcPr>
            <w:tcW w:w="1134" w:type="dxa"/>
          </w:tcPr>
          <w:p w14:paraId="1F5B0F4A"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vAlign w:val="center"/>
          </w:tcPr>
          <w:p w14:paraId="0366429C"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vAlign w:val="center"/>
          </w:tcPr>
          <w:p w14:paraId="0515FB0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1.93</w:t>
            </w:r>
          </w:p>
        </w:tc>
        <w:tc>
          <w:tcPr>
            <w:tcW w:w="1418" w:type="dxa"/>
            <w:vAlign w:val="center"/>
          </w:tcPr>
          <w:p w14:paraId="374C9A75"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0.69</w:t>
            </w:r>
          </w:p>
        </w:tc>
      </w:tr>
      <w:tr w:rsidR="000F2958" w14:paraId="6BD01DA3" w14:textId="77777777">
        <w:trPr>
          <w:jc w:val="center"/>
        </w:trPr>
        <w:tc>
          <w:tcPr>
            <w:tcW w:w="2055" w:type="dxa"/>
            <w:vAlign w:val="center"/>
          </w:tcPr>
          <w:p w14:paraId="52F74EA3"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cor </w:t>
            </w:r>
          </w:p>
        </w:tc>
        <w:tc>
          <w:tcPr>
            <w:tcW w:w="1134" w:type="dxa"/>
          </w:tcPr>
          <w:p w14:paraId="74909EA0"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vAlign w:val="center"/>
          </w:tcPr>
          <w:p w14:paraId="6B22510A"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14:paraId="1E8BE2A6"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1.86</w:t>
            </w:r>
          </w:p>
        </w:tc>
        <w:tc>
          <w:tcPr>
            <w:tcW w:w="1418" w:type="dxa"/>
            <w:vAlign w:val="center"/>
          </w:tcPr>
          <w:p w14:paraId="7782B113"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0.70</w:t>
            </w:r>
          </w:p>
        </w:tc>
      </w:tr>
      <w:tr w:rsidR="000F2958" w14:paraId="41F51064" w14:textId="77777777">
        <w:trPr>
          <w:jc w:val="center"/>
        </w:trPr>
        <w:tc>
          <w:tcPr>
            <w:tcW w:w="2055" w:type="dxa"/>
            <w:vAlign w:val="center"/>
          </w:tcPr>
          <w:p w14:paraId="2A0DDA3F"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boo</w:t>
            </w:r>
          </w:p>
        </w:tc>
        <w:tc>
          <w:tcPr>
            <w:tcW w:w="1134" w:type="dxa"/>
          </w:tcPr>
          <w:p w14:paraId="707A693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center"/>
          </w:tcPr>
          <w:p w14:paraId="23245ED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vAlign w:val="center"/>
          </w:tcPr>
          <w:p w14:paraId="4558417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1.90</w:t>
            </w:r>
          </w:p>
        </w:tc>
        <w:tc>
          <w:tcPr>
            <w:tcW w:w="1418" w:type="dxa"/>
            <w:vAlign w:val="center"/>
          </w:tcPr>
          <w:p w14:paraId="65D54641"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0.59</w:t>
            </w:r>
          </w:p>
        </w:tc>
      </w:tr>
      <w:tr w:rsidR="000F2958" w14:paraId="2B94B754" w14:textId="77777777">
        <w:trPr>
          <w:jc w:val="center"/>
        </w:trPr>
        <w:tc>
          <w:tcPr>
            <w:tcW w:w="2055" w:type="dxa"/>
            <w:vAlign w:val="center"/>
          </w:tcPr>
          <w:p w14:paraId="7182B1EE"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 – U.gui</w:t>
            </w:r>
          </w:p>
        </w:tc>
        <w:tc>
          <w:tcPr>
            <w:tcW w:w="1134" w:type="dxa"/>
          </w:tcPr>
          <w:p w14:paraId="3DF0DCFD"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vAlign w:val="center"/>
          </w:tcPr>
          <w:p w14:paraId="5C5AB48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14:paraId="1ECD2226"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1.04</w:t>
            </w:r>
          </w:p>
        </w:tc>
        <w:tc>
          <w:tcPr>
            <w:tcW w:w="1418" w:type="dxa"/>
            <w:vAlign w:val="center"/>
          </w:tcPr>
          <w:p w14:paraId="3EA3C3A0"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0.56</w:t>
            </w:r>
          </w:p>
        </w:tc>
      </w:tr>
      <w:tr w:rsidR="000F2958" w14:paraId="71672027" w14:textId="77777777">
        <w:trPr>
          <w:jc w:val="center"/>
        </w:trPr>
        <w:tc>
          <w:tcPr>
            <w:tcW w:w="2055" w:type="dxa"/>
            <w:vAlign w:val="center"/>
          </w:tcPr>
          <w:p w14:paraId="0349E211"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U.gui-R.mom</w:t>
            </w:r>
          </w:p>
        </w:tc>
        <w:tc>
          <w:tcPr>
            <w:tcW w:w="1134" w:type="dxa"/>
          </w:tcPr>
          <w:p w14:paraId="447263C4"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center"/>
          </w:tcPr>
          <w:p w14:paraId="736A3BE1"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vAlign w:val="center"/>
          </w:tcPr>
          <w:p w14:paraId="4D882A3D"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1.90</w:t>
            </w:r>
          </w:p>
        </w:tc>
        <w:tc>
          <w:tcPr>
            <w:tcW w:w="1418" w:type="dxa"/>
            <w:vAlign w:val="center"/>
          </w:tcPr>
          <w:p w14:paraId="7BC9379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0.62</w:t>
            </w:r>
          </w:p>
        </w:tc>
      </w:tr>
    </w:tbl>
    <w:p w14:paraId="1C497946" w14:textId="77777777" w:rsidR="000F2958" w:rsidRDefault="000F2958">
      <w:pPr>
        <w:spacing w:line="240" w:lineRule="auto"/>
        <w:ind w:firstLine="360"/>
        <w:jc w:val="both"/>
        <w:rPr>
          <w:rFonts w:ascii="Times New Roman" w:hAnsi="Times New Roman" w:cs="Times New Roman"/>
          <w:b/>
          <w:sz w:val="16"/>
          <w:szCs w:val="16"/>
        </w:rPr>
      </w:pPr>
    </w:p>
    <w:p w14:paraId="49BE24B5" w14:textId="77777777" w:rsidR="000F2958" w:rsidRDefault="003B2158">
      <w:pPr>
        <w:spacing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3-4.</w:t>
      </w:r>
      <w:r>
        <w:t xml:space="preserve"> </w:t>
      </w:r>
      <w:r>
        <w:rPr>
          <w:rFonts w:ascii="Times New Roman" w:hAnsi="Times New Roman" w:cs="Times New Roman"/>
          <w:b/>
          <w:sz w:val="24"/>
          <w:szCs w:val="24"/>
        </w:rPr>
        <w:t>Bioecological spectra of groups</w:t>
      </w:r>
    </w:p>
    <w:p w14:paraId="1E930906"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Quantitative analysis of biological types (Figure 3)</w:t>
      </w:r>
      <w:r>
        <w:rPr>
          <w:sz w:val="24"/>
          <w:szCs w:val="24"/>
        </w:rPr>
        <w:t xml:space="preserve"> </w:t>
      </w:r>
      <w:r>
        <w:rPr>
          <w:rFonts w:ascii="Times New Roman" w:hAnsi="Times New Roman" w:cs="Times New Roman"/>
          <w:sz w:val="24"/>
          <w:szCs w:val="24"/>
        </w:rPr>
        <w:t xml:space="preserve">shows that microphanerophytes dominate in the grouping with </w:t>
      </w:r>
      <w:r>
        <w:rPr>
          <w:rFonts w:ascii="Times New Roman" w:eastAsia="Times New Roman" w:hAnsi="Times New Roman" w:cs="Times New Roman"/>
          <w:i/>
          <w:iCs/>
          <w:color w:val="000000"/>
          <w:sz w:val="24"/>
          <w:szCs w:val="24"/>
          <w:lang w:eastAsia="fr-FR"/>
        </w:rPr>
        <w:t xml:space="preserve">M. stipulosa </w:t>
      </w:r>
      <w:r>
        <w:rPr>
          <w:rFonts w:ascii="Times New Roman" w:eastAsia="Times New Roman" w:hAnsi="Times New Roman" w:cs="Times New Roman"/>
          <w:iCs/>
          <w:color w:val="000000"/>
          <w:sz w:val="24"/>
          <w:szCs w:val="24"/>
          <w:lang w:eastAsia="fr-FR"/>
        </w:rPr>
        <w:t xml:space="preserve">and </w:t>
      </w:r>
      <w:r>
        <w:rPr>
          <w:rFonts w:ascii="Times New Roman" w:eastAsia="Times New Roman" w:hAnsi="Times New Roman" w:cs="Times New Roman"/>
          <w:i/>
          <w:iCs/>
          <w:color w:val="000000"/>
          <w:sz w:val="24"/>
          <w:szCs w:val="24"/>
          <w:lang w:eastAsia="fr-FR"/>
        </w:rPr>
        <w:t>R. mombuttorum </w:t>
      </w:r>
      <w:proofErr w:type="gramStart"/>
      <w:r>
        <w:rPr>
          <w:rFonts w:ascii="Times New Roman" w:hAnsi="Times New Roman" w:cs="Times New Roman"/>
          <w:sz w:val="24"/>
          <w:szCs w:val="24"/>
        </w:rPr>
        <w:t>( 60</w:t>
      </w:r>
      <w:proofErr w:type="gramEnd"/>
      <w:r>
        <w:rPr>
          <w:rFonts w:ascii="Times New Roman" w:hAnsi="Times New Roman" w:cs="Times New Roman"/>
          <w:sz w:val="24"/>
          <w:szCs w:val="24"/>
        </w:rPr>
        <w:t>%), the grouping at</w:t>
      </w:r>
      <w:r>
        <w:rPr>
          <w:rFonts w:ascii="Times New Roman" w:hAnsi="Times New Roman" w:cs="Times New Roman"/>
          <w:i/>
          <w:sz w:val="24"/>
          <w:szCs w:val="24"/>
        </w:rPr>
        <w:t xml:space="preserve"> </w:t>
      </w:r>
      <w:r>
        <w:rPr>
          <w:rFonts w:ascii="Times New Roman" w:hAnsi="Times New Roman" w:cs="Times New Roman"/>
          <w:i/>
          <w:iCs/>
          <w:sz w:val="24"/>
          <w:szCs w:val="24"/>
        </w:rPr>
        <w:t>R. mombuttorum and A. cordifolia</w:t>
      </w:r>
      <w:r>
        <w:rPr>
          <w:rFonts w:ascii="Times New Roman" w:hAnsi="Times New Roman" w:cs="Times New Roman"/>
          <w:i/>
          <w:sz w:val="24"/>
          <w:szCs w:val="24"/>
        </w:rPr>
        <w:t xml:space="preserve"> </w:t>
      </w:r>
      <w:r>
        <w:rPr>
          <w:rFonts w:ascii="Times New Roman" w:hAnsi="Times New Roman" w:cs="Times New Roman"/>
          <w:sz w:val="24"/>
          <w:szCs w:val="24"/>
        </w:rPr>
        <w:t>(58.33%) and the grouping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M. stipulosa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guineensis </w:t>
      </w:r>
      <w:r>
        <w:rPr>
          <w:rFonts w:ascii="Times New Roman" w:hAnsi="Times New Roman" w:cs="Times New Roman"/>
          <w:sz w:val="24"/>
          <w:szCs w:val="24"/>
        </w:rPr>
        <w:t>(50%). The vegetation of these groups is therefore dominated by individuals with a shrubby habit. On the other hand, megaphanerophytes are predominant in the group with</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sz w:val="24"/>
          <w:szCs w:val="24"/>
        </w:rPr>
        <w:t>(53.85%) and the grouping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mombuttorum </w:t>
      </w:r>
      <w:r>
        <w:rPr>
          <w:rFonts w:ascii="Times New Roman" w:hAnsi="Times New Roman" w:cs="Times New Roman"/>
          <w:sz w:val="24"/>
          <w:szCs w:val="24"/>
        </w:rPr>
        <w:t>(46.15%) indicating an abundance of trees.</w:t>
      </w:r>
    </w:p>
    <w:p w14:paraId="09CDF9C8"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The phytogeographic spectrum </w:t>
      </w:r>
      <w:r>
        <w:rPr>
          <w:rFonts w:ascii="Times New Roman" w:hAnsi="Times New Roman" w:cs="Times New Roman"/>
          <w:iCs/>
          <w:sz w:val="24"/>
          <w:szCs w:val="24"/>
        </w:rPr>
        <w:t xml:space="preserve">(Figure 4) shows that the Guineo-Congolese species are dominant compared to the widely distributed </w:t>
      </w:r>
      <w:proofErr w:type="gramStart"/>
      <w:r>
        <w:rPr>
          <w:rFonts w:ascii="Times New Roman" w:hAnsi="Times New Roman" w:cs="Times New Roman"/>
          <w:iCs/>
          <w:sz w:val="24"/>
          <w:szCs w:val="24"/>
        </w:rPr>
        <w:t>paleotropical ,</w:t>
      </w:r>
      <w:proofErr w:type="gramEnd"/>
      <w:r>
        <w:rPr>
          <w:rFonts w:ascii="Times New Roman" w:hAnsi="Times New Roman" w:cs="Times New Roman"/>
          <w:iCs/>
          <w:sz w:val="24"/>
          <w:szCs w:val="24"/>
        </w:rPr>
        <w:t xml:space="preserve"> afrotropical and afromalagasy species regardless of the grouping considered.</w:t>
      </w:r>
    </w:p>
    <w:p w14:paraId="3DF435E3" w14:textId="77777777" w:rsidR="000F2958" w:rsidRDefault="003B2158">
      <w:pPr>
        <w:ind w:firstLine="360"/>
        <w:jc w:val="center"/>
        <w:rPr>
          <w:rFonts w:ascii="Times New Roman" w:hAnsi="Times New Roman" w:cs="Times New Roman"/>
          <w:sz w:val="24"/>
          <w:szCs w:val="24"/>
        </w:rPr>
      </w:pPr>
      <w:r>
        <w:rPr>
          <w:noProof/>
          <w:lang w:val="en-US"/>
        </w:rPr>
        <w:drawing>
          <wp:inline distT="0" distB="0" distL="114300" distR="114300" wp14:anchorId="77E6BE07" wp14:editId="6A150362">
            <wp:extent cx="3167482" cy="1353312"/>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C42333" w14:textId="77777777" w:rsidR="000F2958" w:rsidRDefault="003B2158">
      <w:pPr>
        <w:spacing w:line="240" w:lineRule="auto"/>
        <w:ind w:firstLine="360"/>
        <w:jc w:val="both"/>
        <w:rPr>
          <w:rFonts w:ascii="Times New Roman" w:hAnsi="Times New Roman" w:cs="Times New Roman"/>
        </w:rPr>
      </w:pPr>
      <w:r>
        <w:rPr>
          <w:rFonts w:ascii="Times New Roman" w:hAnsi="Times New Roman" w:cs="Times New Roman"/>
        </w:rPr>
        <w:t>Figure 3. Biological spectrum of species recorded in the swamp forests around the city of Yaoundé.</w:t>
      </w:r>
      <w:r>
        <w:rPr>
          <w:rFonts w:ascii="Times New Roman" w:hAnsi="Times New Roman" w:cs="Times New Roman"/>
          <w:iCs/>
        </w:rPr>
        <w:t xml:space="preserve"> </w:t>
      </w:r>
      <w:proofErr w:type="gramStart"/>
      <w:r>
        <w:rPr>
          <w:rFonts w:ascii="Times New Roman" w:hAnsi="Times New Roman" w:cs="Times New Roman"/>
        </w:rPr>
        <w:t>GI:</w:t>
      </w:r>
      <w:proofErr w:type="gramEnd"/>
      <w:r>
        <w:rPr>
          <w:rFonts w:ascii="Times New Roman" w:hAnsi="Times New Roman" w:cs="Times New Roman"/>
        </w:rPr>
        <w:t xml:space="preserve"> group in </w:t>
      </w:r>
      <w:r>
        <w:rPr>
          <w:rFonts w:ascii="Times New Roman" w:eastAsia="Times New Roman" w:hAnsi="Times New Roman" w:cs="Times New Roman"/>
          <w:i/>
          <w:iCs/>
          <w:color w:val="000000"/>
          <w:lang w:eastAsia="fr-FR"/>
        </w:rPr>
        <w:t xml:space="preserve">Mitragyna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i/>
        </w:rPr>
        <w:t xml:space="preserve">; </w:t>
      </w:r>
      <w:r>
        <w:rPr>
          <w:rFonts w:ascii="Times New Roman" w:hAnsi="Times New Roman" w:cs="Times New Roman"/>
        </w:rPr>
        <w:t>GII: 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r>
        <w:rPr>
          <w:rFonts w:ascii="Times New Roman" w:hAnsi="Times New Roman" w:cs="Times New Roman"/>
        </w:rPr>
        <w:t>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Alstonia boonei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r>
        <w:rPr>
          <w:rFonts w:ascii="Times New Roman" w:hAnsi="Times New Roman" w:cs="Times New Roman"/>
        </w:rPr>
        <w:t>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r>
        <w:rPr>
          <w:rFonts w:ascii="Times New Roman" w:hAnsi="Times New Roman" w:cs="Times New Roman"/>
        </w:rPr>
        <w:t>grouping with</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w:t>
      </w:r>
    </w:p>
    <w:p w14:paraId="6B873E48" w14:textId="77777777" w:rsidR="000F2958" w:rsidRDefault="003B2158">
      <w:pPr>
        <w:ind w:firstLine="360"/>
        <w:jc w:val="center"/>
        <w:rPr>
          <w:rFonts w:ascii="Times New Roman" w:hAnsi="Times New Roman" w:cs="Times New Roman"/>
          <w:sz w:val="24"/>
          <w:szCs w:val="24"/>
        </w:rPr>
      </w:pPr>
      <w:r>
        <w:rPr>
          <w:noProof/>
          <w:lang w:val="en-US"/>
        </w:rPr>
        <w:drawing>
          <wp:inline distT="0" distB="0" distL="114300" distR="114300" wp14:anchorId="432FB5B8" wp14:editId="185B3BFF">
            <wp:extent cx="3441700" cy="150495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E6D396E" w14:textId="77777777" w:rsidR="000F2958" w:rsidRDefault="003B2158">
      <w:pPr>
        <w:spacing w:line="240" w:lineRule="auto"/>
        <w:ind w:firstLine="360"/>
        <w:jc w:val="both"/>
        <w:rPr>
          <w:rFonts w:ascii="Times New Roman" w:hAnsi="Times New Roman" w:cs="Times New Roman"/>
        </w:rPr>
      </w:pPr>
      <w:r>
        <w:rPr>
          <w:rFonts w:ascii="Times New Roman" w:hAnsi="Times New Roman" w:cs="Times New Roman"/>
        </w:rPr>
        <w:t xml:space="preserve">Figure 4. Phytogeographic spectrum of species recorded in the swamp forests around the city of Yaoundé. </w:t>
      </w:r>
      <w:proofErr w:type="gramStart"/>
      <w:r>
        <w:rPr>
          <w:rFonts w:ascii="Times New Roman" w:hAnsi="Times New Roman" w:cs="Times New Roman"/>
        </w:rPr>
        <w:t>GI:</w:t>
      </w:r>
      <w:proofErr w:type="gramEnd"/>
      <w:r>
        <w:rPr>
          <w:rFonts w:ascii="Times New Roman" w:hAnsi="Times New Roman" w:cs="Times New Roman"/>
        </w:rPr>
        <w:t xml:space="preserve"> group in </w:t>
      </w:r>
      <w:r>
        <w:rPr>
          <w:rFonts w:ascii="Times New Roman" w:eastAsia="Times New Roman" w:hAnsi="Times New Roman" w:cs="Times New Roman"/>
          <w:i/>
          <w:iCs/>
          <w:color w:val="000000"/>
          <w:lang w:eastAsia="fr-FR"/>
        </w:rPr>
        <w:t xml:space="preserve">Mitragyna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i/>
        </w:rPr>
        <w:t xml:space="preserve">; </w:t>
      </w:r>
      <w:r>
        <w:rPr>
          <w:rFonts w:ascii="Times New Roman" w:hAnsi="Times New Roman" w:cs="Times New Roman"/>
        </w:rPr>
        <w:t>GII: 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r>
        <w:rPr>
          <w:rFonts w:ascii="Times New Roman" w:hAnsi="Times New Roman" w:cs="Times New Roman"/>
        </w:rPr>
        <w:t>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Alstonia boonei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r>
        <w:rPr>
          <w:rFonts w:ascii="Times New Roman" w:hAnsi="Times New Roman" w:cs="Times New Roman"/>
        </w:rPr>
        <w:t>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r>
        <w:rPr>
          <w:rFonts w:ascii="Times New Roman" w:hAnsi="Times New Roman" w:cs="Times New Roman"/>
        </w:rPr>
        <w:t>grouping with</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w:t>
      </w:r>
    </w:p>
    <w:p w14:paraId="7F4112BD" w14:textId="77777777" w:rsidR="000F2958" w:rsidRDefault="003B2158">
      <w:pPr>
        <w:spacing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3-5.</w:t>
      </w:r>
      <w:r>
        <w:t xml:space="preserve"> </w:t>
      </w:r>
      <w:r>
        <w:rPr>
          <w:rFonts w:ascii="Times New Roman" w:hAnsi="Times New Roman" w:cs="Times New Roman"/>
          <w:b/>
          <w:sz w:val="24"/>
          <w:szCs w:val="24"/>
        </w:rPr>
        <w:t>Structure of the groups</w:t>
      </w:r>
    </w:p>
    <w:p w14:paraId="7E78DE6F"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The structural profile of the woody groups of the swamp forests shows three allometric situations (Figure 5). An “L” shaped distribution is observable in the group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sz w:val="24"/>
          <w:szCs w:val="24"/>
        </w:rPr>
        <w:t>and the grouping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representative of weakly anthropized swamp forests. This distribution pattern indicates a stable structure and good regeneration in these groups. The distribution of trees in diameter classes shows a predominance of small diameter stems which gradually decrease towards the large diameter classes.</w:t>
      </w:r>
    </w:p>
    <w:p w14:paraId="7DFA393D"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second allometric situation characterizing the grouping to </w:t>
      </w:r>
      <w:r>
        <w:rPr>
          <w:rFonts w:ascii="Times New Roman" w:hAnsi="Times New Roman" w:cs="Times New Roman"/>
        </w:rPr>
        <w:t>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M. stipulosa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U. guineensis</w:t>
      </w:r>
      <w:r>
        <w:rPr>
          <w:rFonts w:ascii="Times New Roman" w:hAnsi="Times New Roman" w:cs="Times New Roman"/>
          <w:i/>
          <w:sz w:val="18"/>
          <w:szCs w:val="18"/>
        </w:rPr>
        <w:t> </w:t>
      </w:r>
      <w:r>
        <w:rPr>
          <w:rFonts w:ascii="Times New Roman" w:hAnsi="Times New Roman" w:cs="Times New Roman"/>
          <w:sz w:val="24"/>
          <w:szCs w:val="24"/>
        </w:rPr>
        <w:t xml:space="preserve">shows a considerable decrease in small diameters; which reflects an unbalanced structure. The latter situation shows an erratic distribution, with few stems regardless of the class considered. The breaks between the diameter classes reveal the extent of anthropization. This situation is representative of the grouping with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and the grouping to</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A. </w:t>
      </w:r>
      <w:proofErr w:type="gramStart"/>
      <w:r>
        <w:rPr>
          <w:rFonts w:ascii="Times New Roman" w:eastAsia="Times New Roman" w:hAnsi="Times New Roman" w:cs="Times New Roman"/>
          <w:i/>
          <w:iCs/>
          <w:sz w:val="24"/>
          <w:szCs w:val="24"/>
          <w:lang w:eastAsia="fr-FR"/>
        </w:rPr>
        <w:t xml:space="preserve">cordifolia </w:t>
      </w:r>
      <w:r>
        <w:rPr>
          <w:rFonts w:ascii="Times New Roman" w:hAnsi="Times New Roman" w:cs="Times New Roman"/>
          <w:sz w:val="24"/>
          <w:szCs w:val="24"/>
        </w:rPr>
        <w:t>.</w:t>
      </w:r>
      <w:proofErr w:type="gramEnd"/>
    </w:p>
    <w:p w14:paraId="0372CF2D" w14:textId="77777777" w:rsidR="000F2958" w:rsidRDefault="003B2158">
      <w:pPr>
        <w:ind w:firstLine="360"/>
        <w:jc w:val="center"/>
        <w:rPr>
          <w:rFonts w:ascii="Times New Roman" w:hAnsi="Times New Roman" w:cs="Times New Roman"/>
          <w:sz w:val="24"/>
          <w:szCs w:val="24"/>
        </w:rPr>
      </w:pPr>
      <w:r>
        <w:rPr>
          <w:noProof/>
          <w:lang w:val="en-US"/>
        </w:rPr>
        <w:lastRenderedPageBreak/>
        <w:drawing>
          <wp:inline distT="0" distB="0" distL="114300" distR="114300" wp14:anchorId="7F196B8B" wp14:editId="0D3F9F65">
            <wp:extent cx="3540557" cy="1762963"/>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82A81E" w14:textId="67964022" w:rsidR="000F2958" w:rsidRPr="00932C48" w:rsidRDefault="007F4678" w:rsidP="00932C48">
      <w:pPr>
        <w:ind w:firstLine="360"/>
        <w:jc w:val="center"/>
        <w:rPr>
          <w:rFonts w:ascii="Times New Roman" w:hAnsi="Times New Roman" w:cs="Times New Roman"/>
          <w:sz w:val="24"/>
          <w:szCs w:val="24"/>
        </w:rPr>
      </w:pPr>
      <w:r>
        <w:rPr>
          <w:rFonts w:ascii="Times New Roman" w:hAnsi="Times New Roman" w:cs="Times New Roman"/>
          <w:sz w:val="24"/>
          <w:szCs w:val="24"/>
        </w:rPr>
        <w:t>Fig 5-</w:t>
      </w:r>
      <w:r w:rsidR="003B2158">
        <w:rPr>
          <w:rFonts w:ascii="Times New Roman" w:hAnsi="Times New Roman" w:cs="Times New Roman"/>
        </w:rPr>
        <w:t xml:space="preserve">Diametric structure of the woody groups in the swamp forests surrounding the city of Yaoundé. </w:t>
      </w:r>
      <w:proofErr w:type="gramStart"/>
      <w:r w:rsidR="003B2158">
        <w:rPr>
          <w:rFonts w:ascii="Times New Roman" w:hAnsi="Times New Roman" w:cs="Times New Roman"/>
        </w:rPr>
        <w:t>GI:</w:t>
      </w:r>
      <w:proofErr w:type="gramEnd"/>
      <w:r w:rsidR="003B2158">
        <w:rPr>
          <w:rFonts w:ascii="Times New Roman" w:hAnsi="Times New Roman" w:cs="Times New Roman"/>
        </w:rPr>
        <w:t xml:space="preserve"> group in </w:t>
      </w:r>
      <w:r w:rsidR="003B2158">
        <w:rPr>
          <w:rFonts w:ascii="Times New Roman" w:eastAsia="Times New Roman" w:hAnsi="Times New Roman" w:cs="Times New Roman"/>
          <w:i/>
          <w:iCs/>
          <w:color w:val="000000"/>
          <w:lang w:eastAsia="fr-FR"/>
        </w:rPr>
        <w:t xml:space="preserve">Mitragyna stipulosa </w:t>
      </w:r>
      <w:r w:rsidR="003B2158">
        <w:rPr>
          <w:rFonts w:ascii="Times New Roman" w:eastAsia="Times New Roman" w:hAnsi="Times New Roman" w:cs="Times New Roman"/>
          <w:iCs/>
          <w:color w:val="000000"/>
          <w:lang w:eastAsia="fr-FR"/>
        </w:rPr>
        <w:t xml:space="preserve">and </w:t>
      </w:r>
      <w:r w:rsidR="003B2158">
        <w:rPr>
          <w:rFonts w:ascii="Times New Roman" w:eastAsia="Times New Roman" w:hAnsi="Times New Roman" w:cs="Times New Roman"/>
          <w:i/>
          <w:iCs/>
          <w:color w:val="000000"/>
          <w:lang w:eastAsia="fr-FR"/>
        </w:rPr>
        <w:t>Raphia mombuttorum </w:t>
      </w:r>
      <w:r w:rsidR="003B2158">
        <w:rPr>
          <w:rFonts w:ascii="Times New Roman" w:hAnsi="Times New Roman" w:cs="Times New Roman"/>
          <w:i/>
        </w:rPr>
        <w:t xml:space="preserve">; </w:t>
      </w:r>
      <w:r w:rsidR="003B2158">
        <w:rPr>
          <w:rFonts w:ascii="Times New Roman" w:hAnsi="Times New Roman" w:cs="Times New Roman"/>
        </w:rPr>
        <w:t>GII: grouping to</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Raphia mombuttorum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Alchornea cordifolia </w:t>
      </w:r>
      <w:r w:rsidR="003B2158">
        <w:rPr>
          <w:rFonts w:ascii="Times New Roman" w:hAnsi="Times New Roman" w:cs="Times New Roman"/>
          <w:i/>
        </w:rPr>
        <w:t xml:space="preserve">; </w:t>
      </w:r>
      <w:r w:rsidR="003B2158">
        <w:rPr>
          <w:rFonts w:ascii="Times New Roman" w:hAnsi="Times New Roman" w:cs="Times New Roman"/>
        </w:rPr>
        <w:t>GIII:</w:t>
      </w:r>
      <w:r w:rsidR="003B2158">
        <w:rPr>
          <w:rFonts w:ascii="Times New Roman" w:hAnsi="Times New Roman" w:cs="Times New Roman"/>
          <w:i/>
        </w:rPr>
        <w:t xml:space="preserve"> </w:t>
      </w:r>
      <w:r w:rsidR="003B2158">
        <w:rPr>
          <w:rFonts w:ascii="Times New Roman" w:hAnsi="Times New Roman" w:cs="Times New Roman"/>
        </w:rPr>
        <w:t>grouping to</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Raphia mombuttorum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Alstonia boonei </w:t>
      </w:r>
      <w:r w:rsidR="003B2158">
        <w:rPr>
          <w:rFonts w:ascii="Times New Roman" w:hAnsi="Times New Roman" w:cs="Times New Roman"/>
          <w:i/>
        </w:rPr>
        <w:t xml:space="preserve">; </w:t>
      </w:r>
      <w:r w:rsidR="003B2158">
        <w:rPr>
          <w:rFonts w:ascii="Times New Roman" w:hAnsi="Times New Roman" w:cs="Times New Roman"/>
        </w:rPr>
        <w:t xml:space="preserve">GIV </w:t>
      </w:r>
      <w:r w:rsidR="003B2158">
        <w:rPr>
          <w:rFonts w:ascii="Times New Roman" w:hAnsi="Times New Roman" w:cs="Times New Roman"/>
          <w:i/>
        </w:rPr>
        <w:t xml:space="preserve">: </w:t>
      </w:r>
      <w:r w:rsidR="003B2158">
        <w:rPr>
          <w:rFonts w:ascii="Times New Roman" w:hAnsi="Times New Roman" w:cs="Times New Roman"/>
        </w:rPr>
        <w:t>grouping at</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Mitragyna stipulated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Uapaca guineensis </w:t>
      </w:r>
      <w:r w:rsidR="003B2158">
        <w:rPr>
          <w:rFonts w:ascii="Times New Roman" w:hAnsi="Times New Roman" w:cs="Times New Roman"/>
          <w:i/>
        </w:rPr>
        <w:t xml:space="preserve">; </w:t>
      </w:r>
      <w:r w:rsidR="003B2158">
        <w:rPr>
          <w:rFonts w:ascii="Times New Roman" w:hAnsi="Times New Roman" w:cs="Times New Roman"/>
        </w:rPr>
        <w:t xml:space="preserve">GV </w:t>
      </w:r>
      <w:r w:rsidR="003B2158">
        <w:rPr>
          <w:rFonts w:ascii="Times New Roman" w:hAnsi="Times New Roman" w:cs="Times New Roman"/>
          <w:i/>
        </w:rPr>
        <w:t xml:space="preserve">: </w:t>
      </w:r>
      <w:r w:rsidR="003B2158">
        <w:rPr>
          <w:rFonts w:ascii="Times New Roman" w:hAnsi="Times New Roman" w:cs="Times New Roman"/>
        </w:rPr>
        <w:t>grouping with</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Uapaca guineensis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Raphia mombuttorum </w:t>
      </w:r>
      <w:r w:rsidR="003B2158">
        <w:rPr>
          <w:rFonts w:ascii="Times New Roman" w:hAnsi="Times New Roman" w:cs="Times New Roman"/>
          <w:i/>
        </w:rPr>
        <w:t>.</w:t>
      </w:r>
    </w:p>
    <w:p w14:paraId="3D787EA2" w14:textId="77777777" w:rsidR="000F2958" w:rsidRDefault="000F2958">
      <w:pPr>
        <w:ind w:firstLine="360"/>
        <w:jc w:val="both"/>
        <w:rPr>
          <w:rFonts w:ascii="Times New Roman" w:hAnsi="Times New Roman" w:cs="Times New Roman"/>
          <w:sz w:val="16"/>
          <w:szCs w:val="16"/>
        </w:rPr>
      </w:pPr>
    </w:p>
    <w:p w14:paraId="529EF0BB" w14:textId="56D95D18" w:rsidR="000F2958" w:rsidRDefault="003B2158">
      <w:pPr>
        <w:ind w:firstLine="360"/>
        <w:jc w:val="both"/>
        <w:rPr>
          <w:rFonts w:ascii="Times New Roman" w:hAnsi="Times New Roman" w:cs="Times New Roman"/>
          <w:iCs/>
          <w:sz w:val="24"/>
          <w:szCs w:val="24"/>
        </w:rPr>
      </w:pPr>
      <w:r>
        <w:rPr>
          <w:rFonts w:ascii="Times New Roman" w:hAnsi="Times New Roman" w:cs="Times New Roman"/>
          <w:sz w:val="24"/>
          <w:szCs w:val="24"/>
        </w:rPr>
        <w:t xml:space="preserve">The densities of the presented groups vary significantly among themselves (p value &lt; 0.05 Table </w:t>
      </w:r>
      <w:r w:rsidR="007F4678">
        <w:rPr>
          <w:rFonts w:ascii="Times New Roman" w:hAnsi="Times New Roman" w:cs="Times New Roman"/>
          <w:sz w:val="24"/>
          <w:szCs w:val="24"/>
        </w:rPr>
        <w:t>3</w:t>
      </w:r>
      <w:r>
        <w:rPr>
          <w:rFonts w:ascii="Times New Roman" w:hAnsi="Times New Roman" w:cs="Times New Roman"/>
          <w:sz w:val="24"/>
          <w:szCs w:val="24"/>
        </w:rPr>
        <w:t>). They vary from 138 ± 10.37 individuals/ha to 472 ± 13.51 individuals/ha. The highest densities are observed within the groups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w:t>
      </w:r>
      <w:r>
        <w:rPr>
          <w:rFonts w:ascii="Times New Roman" w:hAnsi="Times New Roman" w:cs="Times New Roman"/>
          <w:sz w:val="24"/>
          <w:szCs w:val="24"/>
        </w:rPr>
        <w:t>472 ± 13.51 individuals/ha)</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hAnsi="Times New Roman" w:cs="Times New Roman"/>
          <w:sz w:val="24"/>
          <w:szCs w:val="24"/>
        </w:rPr>
        <w:t>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iCs/>
          <w:sz w:val="24"/>
          <w:szCs w:val="24"/>
        </w:rPr>
        <w:t xml:space="preserve">(428 ± 12.96 individuals/ha). The </w:t>
      </w:r>
      <w:r>
        <w:rPr>
          <w:rFonts w:ascii="Times New Roman" w:eastAsia="Times New Roman" w:hAnsi="Times New Roman" w:cs="Times New Roman"/>
          <w:i/>
          <w:iCs/>
          <w:sz w:val="24"/>
          <w:szCs w:val="24"/>
          <w:lang w:eastAsia="fr-FR"/>
        </w:rPr>
        <w:t xml:space="preserve">M. stipulosa </w:t>
      </w:r>
      <w:r>
        <w:rPr>
          <w:rFonts w:ascii="Times New Roman" w:hAnsi="Times New Roman" w:cs="Times New Roman"/>
          <w:sz w:val="24"/>
          <w:szCs w:val="24"/>
        </w:rPr>
        <w:t>group</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w:t>
      </w:r>
      <w:r>
        <w:rPr>
          <w:rFonts w:ascii="Times New Roman" w:hAnsi="Times New Roman" w:cs="Times New Roman"/>
          <w:sz w:val="24"/>
          <w:szCs w:val="24"/>
        </w:rPr>
        <w:t xml:space="preserve">138 ± 10.37 individuals/ha) and to a lesser extent the groups with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w:t>
      </w:r>
      <w:proofErr w:type="gramStart"/>
      <w:r>
        <w:rPr>
          <w:rFonts w:ascii="Times New Roman" w:hAnsi="Times New Roman" w:cs="Times New Roman"/>
          <w:i/>
          <w:iCs/>
          <w:sz w:val="24"/>
          <w:szCs w:val="24"/>
        </w:rPr>
        <w:t>mombuttorum</w:t>
      </w:r>
      <w:r w:rsidR="003E18C4">
        <w:rPr>
          <w:rFonts w:ascii="Times New Roman" w:hAnsi="Times New Roman" w:cs="Times New Roman"/>
          <w:i/>
          <w:iCs/>
          <w:sz w:val="24"/>
          <w:szCs w:val="24"/>
        </w:rPr>
        <w:t xml:space="preserve"> </w:t>
      </w:r>
      <w:r>
        <w:rPr>
          <w:rFonts w:ascii="Times New Roman" w:hAnsi="Times New Roman" w:cs="Times New Roman"/>
          <w:i/>
          <w:iCs/>
          <w:sz w:val="24"/>
          <w:szCs w:val="24"/>
        </w:rPr>
        <w:t> </w:t>
      </w:r>
      <w:r>
        <w:rPr>
          <w:rFonts w:ascii="Times New Roman" w:hAnsi="Times New Roman" w:cs="Times New Roman"/>
          <w:iCs/>
          <w:sz w:val="24"/>
          <w:szCs w:val="24"/>
        </w:rPr>
        <w:t>(</w:t>
      </w:r>
      <w:proofErr w:type="gramEnd"/>
      <w:r>
        <w:rPr>
          <w:rFonts w:ascii="Times New Roman" w:hAnsi="Times New Roman" w:cs="Times New Roman"/>
          <w:sz w:val="24"/>
          <w:szCs w:val="24"/>
        </w:rPr>
        <w:t xml:space="preserve">262 ± 7.21 individuals/ha) 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A. cordifolia </w:t>
      </w:r>
      <w:r>
        <w:rPr>
          <w:rFonts w:ascii="Times New Roman" w:hAnsi="Times New Roman" w:cs="Times New Roman"/>
          <w:sz w:val="24"/>
          <w:szCs w:val="24"/>
        </w:rPr>
        <w:t xml:space="preserve">(255 ± 7.21 individuals/ha) </w:t>
      </w:r>
      <w:r>
        <w:rPr>
          <w:rFonts w:ascii="Times New Roman" w:eastAsia="Times New Roman" w:hAnsi="Times New Roman" w:cs="Times New Roman"/>
          <w:iCs/>
          <w:sz w:val="24"/>
          <w:szCs w:val="24"/>
          <w:lang w:eastAsia="fr-FR"/>
        </w:rPr>
        <w:t xml:space="preserve">have the lowest densities. Basal areas also vary significantly between them </w:t>
      </w:r>
      <w:r>
        <w:rPr>
          <w:rFonts w:ascii="Times New Roman" w:hAnsi="Times New Roman" w:cs="Times New Roman"/>
          <w:sz w:val="24"/>
          <w:szCs w:val="24"/>
        </w:rPr>
        <w:t xml:space="preserve">(p value &lt; 0.05 Table </w:t>
      </w:r>
      <w:r w:rsidR="007F4678">
        <w:rPr>
          <w:rFonts w:ascii="Times New Roman" w:hAnsi="Times New Roman" w:cs="Times New Roman"/>
          <w:sz w:val="24"/>
          <w:szCs w:val="24"/>
        </w:rPr>
        <w:t>3</w:t>
      </w:r>
      <w:r>
        <w:rPr>
          <w:rFonts w:ascii="Times New Roman" w:hAnsi="Times New Roman" w:cs="Times New Roman"/>
          <w:sz w:val="24"/>
          <w:szCs w:val="24"/>
        </w:rPr>
        <w:t xml:space="preserve">). Thus, the highest basal areas are 34.59 ± 2.83 m²/ha and 32.99 ± 1.58 m²/ha respectively for the </w:t>
      </w:r>
      <w:r>
        <w:rPr>
          <w:rFonts w:ascii="Times New Roman" w:eastAsia="Times New Roman" w:hAnsi="Times New Roman" w:cs="Times New Roman"/>
          <w:i/>
          <w:iCs/>
          <w:sz w:val="24"/>
          <w:szCs w:val="24"/>
          <w:lang w:eastAsia="fr-FR"/>
        </w:rPr>
        <w:t xml:space="preserve">U. guineensis groups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and </w:t>
      </w:r>
      <w:r>
        <w:rPr>
          <w:rFonts w:ascii="Times New Roman" w:hAnsi="Times New Roman" w:cs="Times New Roman"/>
          <w:sz w:val="24"/>
          <w:szCs w:val="24"/>
        </w:rPr>
        <w:t>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w:t>
      </w:r>
      <w:proofErr w:type="gramStart"/>
      <w:r>
        <w:rPr>
          <w:rFonts w:ascii="Times New Roman" w:hAnsi="Times New Roman" w:cs="Times New Roman"/>
          <w:i/>
          <w:iCs/>
          <w:sz w:val="24"/>
          <w:szCs w:val="24"/>
        </w:rPr>
        <w:t>boonei .</w:t>
      </w:r>
      <w:proofErr w:type="gramEnd"/>
      <w:r>
        <w:rPr>
          <w:rFonts w:ascii="Times New Roman" w:hAnsi="Times New Roman" w:cs="Times New Roman"/>
          <w:i/>
          <w:iCs/>
          <w:sz w:val="24"/>
          <w:szCs w:val="24"/>
        </w:rPr>
        <w:t xml:space="preserve"> </w:t>
      </w:r>
      <w:r>
        <w:rPr>
          <w:rFonts w:ascii="Times New Roman" w:hAnsi="Times New Roman" w:cs="Times New Roman"/>
          <w:iCs/>
          <w:sz w:val="24"/>
          <w:szCs w:val="24"/>
        </w:rPr>
        <w:t>The lowest basal area is obtained in the grouping at</w:t>
      </w:r>
      <w:r>
        <w:rPr>
          <w:rFonts w:ascii="Times New Roman" w:eastAsia="Times New Roman" w:hAnsi="Times New Roman" w:cs="Times New Roman"/>
          <w:i/>
          <w:iCs/>
          <w:sz w:val="24"/>
          <w:szCs w:val="24"/>
          <w:lang w:eastAsia="fr-FR"/>
        </w:rPr>
        <w:t xml:space="preserve">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w:t>
      </w:r>
      <w:r>
        <w:rPr>
          <w:rFonts w:ascii="Times New Roman" w:hAnsi="Times New Roman" w:cs="Times New Roman"/>
          <w:sz w:val="24"/>
          <w:szCs w:val="24"/>
        </w:rPr>
        <w:t>8.62 ± 0.48 m²/ha).</w:t>
      </w:r>
    </w:p>
    <w:p w14:paraId="368614A5" w14:textId="56AC18D3" w:rsidR="000F2958" w:rsidRDefault="003B2158">
      <w:pPr>
        <w:spacing w:line="240" w:lineRule="auto"/>
        <w:jc w:val="both"/>
        <w:rPr>
          <w:rFonts w:ascii="Times New Roman" w:hAnsi="Times New Roman" w:cs="Times New Roman"/>
        </w:rPr>
      </w:pPr>
      <w:r>
        <w:rPr>
          <w:rFonts w:ascii="Times New Roman" w:hAnsi="Times New Roman" w:cs="Times New Roman"/>
          <w:sz w:val="24"/>
          <w:szCs w:val="24"/>
        </w:rPr>
        <w:t>Table</w:t>
      </w:r>
      <w:r w:rsidR="007F4678">
        <w:rPr>
          <w:rFonts w:ascii="Times New Roman" w:hAnsi="Times New Roman" w:cs="Times New Roman"/>
          <w:sz w:val="24"/>
          <w:szCs w:val="24"/>
        </w:rPr>
        <w:t xml:space="preserve"> </w:t>
      </w:r>
      <w:proofErr w:type="gramStart"/>
      <w:r w:rsidR="007F4678">
        <w:rPr>
          <w:rFonts w:ascii="Times New Roman" w:hAnsi="Times New Roman" w:cs="Times New Roman"/>
          <w:sz w:val="24"/>
          <w:szCs w:val="24"/>
        </w:rPr>
        <w:t xml:space="preserve">3 </w:t>
      </w:r>
      <w:r>
        <w:rPr>
          <w:rFonts w:ascii="Times New Roman" w:hAnsi="Times New Roman" w:cs="Times New Roman"/>
          <w:sz w:val="24"/>
          <w:szCs w:val="24"/>
        </w:rPr>
        <w:t>.</w:t>
      </w:r>
      <w:proofErr w:type="gramEnd"/>
      <w:r>
        <w:rPr>
          <w:rFonts w:ascii="Times New Roman" w:hAnsi="Times New Roman" w:cs="Times New Roman"/>
          <w:sz w:val="24"/>
          <w:szCs w:val="24"/>
        </w:rPr>
        <w:t xml:space="preserve"> Summary of the structural characteristics of the identified woody groups. </w:t>
      </w:r>
      <w:r>
        <w:rPr>
          <w:rFonts w:ascii="Times New Roman" w:hAnsi="Times New Roman" w:cs="Times New Roman"/>
        </w:rPr>
        <w:t xml:space="preserve">M. sti-R.mom : </w:t>
      </w:r>
      <w:r>
        <w:rPr>
          <w:rFonts w:ascii="Times New Roman" w:eastAsia="Times New Roman" w:hAnsi="Times New Roman" w:cs="Times New Roman"/>
          <w:i/>
          <w:iCs/>
          <w:color w:val="000000"/>
          <w:lang w:eastAsia="fr-FR"/>
        </w:rPr>
        <w:t xml:space="preserve">Mitragyna </w:t>
      </w:r>
      <w:r>
        <w:rPr>
          <w:rFonts w:ascii="Times New Roman" w:hAnsi="Times New Roman" w:cs="Times New Roman"/>
        </w:rPr>
        <w:t>group</w:t>
      </w:r>
      <w:r>
        <w:rPr>
          <w:rFonts w:ascii="Times New Roman" w:eastAsia="Times New Roman" w:hAnsi="Times New Roman" w:cs="Times New Roman"/>
          <w:i/>
          <w:iCs/>
          <w:color w:val="000000"/>
          <w:lang w:eastAsia="fr-FR"/>
        </w:rPr>
        <w:t xml:space="preserve">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rPr>
        <w:t xml:space="preserve">; R. mom -A. </w:t>
      </w:r>
      <w:proofErr w:type="gramStart"/>
      <w:r>
        <w:rPr>
          <w:rFonts w:ascii="Times New Roman" w:hAnsi="Times New Roman" w:cs="Times New Roman"/>
        </w:rPr>
        <w:t>cor:</w:t>
      </w:r>
      <w:proofErr w:type="gramEnd"/>
      <w:r>
        <w:rPr>
          <w:rFonts w:ascii="Times New Roman" w:hAnsi="Times New Roman" w:cs="Times New Roman"/>
        </w:rPr>
        <w:t xml:space="preserve">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rPr>
        <w:t>; R. mom -A. boo : group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Alstonia boonei </w:t>
      </w:r>
      <w:r>
        <w:rPr>
          <w:rFonts w:ascii="Times New Roman" w:hAnsi="Times New Roman" w:cs="Times New Roman"/>
        </w:rPr>
        <w:t>; M. sti – U.gui : group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rPr>
        <w:t>; U.gui-R.mom :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 xml:space="preserve">. </w:t>
      </w:r>
      <w:r>
        <w:rPr>
          <w:rFonts w:ascii="Times New Roman" w:hAnsi="Times New Roman" w:cs="Times New Roman"/>
        </w:rPr>
        <w:t>For the same variable, the means marked with two different letters in the same column are significantly different (p &lt;0.001).</w:t>
      </w:r>
    </w:p>
    <w:tbl>
      <w:tblPr>
        <w:tblStyle w:val="TableGrid"/>
        <w:tblW w:w="9322" w:type="dxa"/>
        <w:tblInd w:w="-124" w:type="dxa"/>
        <w:tblLook w:val="04A0" w:firstRow="1" w:lastRow="0" w:firstColumn="1" w:lastColumn="0" w:noHBand="0" w:noVBand="1"/>
      </w:tblPr>
      <w:tblGrid>
        <w:gridCol w:w="1535"/>
        <w:gridCol w:w="1840"/>
        <w:gridCol w:w="1841"/>
        <w:gridCol w:w="2122"/>
        <w:gridCol w:w="1984"/>
      </w:tblGrid>
      <w:tr w:rsidR="000F2958" w14:paraId="19C28343" w14:textId="77777777">
        <w:tc>
          <w:tcPr>
            <w:tcW w:w="1535" w:type="dxa"/>
            <w:vAlign w:val="center"/>
          </w:tcPr>
          <w:p w14:paraId="50D2C832"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Woody groups</w:t>
            </w:r>
          </w:p>
        </w:tc>
        <w:tc>
          <w:tcPr>
            <w:tcW w:w="1840" w:type="dxa"/>
          </w:tcPr>
          <w:p w14:paraId="4157003A"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Density</w:t>
            </w:r>
          </w:p>
          <w:p w14:paraId="41B097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(Feet/ha)</w:t>
            </w:r>
          </w:p>
        </w:tc>
        <w:tc>
          <w:tcPr>
            <w:tcW w:w="1841" w:type="dxa"/>
          </w:tcPr>
          <w:p w14:paraId="2EB6885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Diameter</w:t>
            </w:r>
          </w:p>
          <w:p w14:paraId="2B98F43B"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average (cm)</w:t>
            </w:r>
          </w:p>
        </w:tc>
        <w:tc>
          <w:tcPr>
            <w:tcW w:w="2122" w:type="dxa"/>
          </w:tcPr>
          <w:p w14:paraId="25DE3CA0"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Basal area</w:t>
            </w:r>
          </w:p>
          <w:p w14:paraId="59C87A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average (m²/ha)</w:t>
            </w:r>
          </w:p>
        </w:tc>
        <w:tc>
          <w:tcPr>
            <w:tcW w:w="1984" w:type="dxa"/>
          </w:tcPr>
          <w:p w14:paraId="7B1618CE"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Arithmetic mean height (m)</w:t>
            </w:r>
          </w:p>
        </w:tc>
      </w:tr>
      <w:tr w:rsidR="000F2958" w14:paraId="15BE026E" w14:textId="77777777">
        <w:tc>
          <w:tcPr>
            <w:tcW w:w="1535" w:type="dxa"/>
            <w:vAlign w:val="center"/>
          </w:tcPr>
          <w:p w14:paraId="56324E85"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sti-R.mom </w:t>
            </w:r>
          </w:p>
        </w:tc>
        <w:tc>
          <w:tcPr>
            <w:tcW w:w="1840" w:type="dxa"/>
          </w:tcPr>
          <w:p w14:paraId="62FB327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262 ± 7.21b</w:t>
            </w:r>
          </w:p>
        </w:tc>
        <w:tc>
          <w:tcPr>
            <w:tcW w:w="1841" w:type="dxa"/>
          </w:tcPr>
          <w:p w14:paraId="59CBB328"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29.06 ± 0.70ab</w:t>
            </w:r>
          </w:p>
        </w:tc>
        <w:tc>
          <w:tcPr>
            <w:tcW w:w="2122" w:type="dxa"/>
          </w:tcPr>
          <w:p w14:paraId="76A4DA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14.72 ± 2.24b</w:t>
            </w:r>
          </w:p>
        </w:tc>
        <w:tc>
          <w:tcPr>
            <w:tcW w:w="1984" w:type="dxa"/>
          </w:tcPr>
          <w:p w14:paraId="2D64F95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12.18 ± 1.41a</w:t>
            </w:r>
          </w:p>
        </w:tc>
      </w:tr>
      <w:tr w:rsidR="000F2958" w14:paraId="4D7579EF" w14:textId="77777777">
        <w:tc>
          <w:tcPr>
            <w:tcW w:w="1535" w:type="dxa"/>
            <w:vAlign w:val="center"/>
          </w:tcPr>
          <w:p w14:paraId="356FF38E"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cor </w:t>
            </w:r>
          </w:p>
        </w:tc>
        <w:tc>
          <w:tcPr>
            <w:tcW w:w="1840" w:type="dxa"/>
          </w:tcPr>
          <w:p w14:paraId="22DF4DE7"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255 ± 7.21b</w:t>
            </w:r>
          </w:p>
        </w:tc>
        <w:tc>
          <w:tcPr>
            <w:tcW w:w="1841" w:type="dxa"/>
          </w:tcPr>
          <w:p w14:paraId="6BBC5D0C"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28.93 ± 0.72a</w:t>
            </w:r>
          </w:p>
        </w:tc>
        <w:tc>
          <w:tcPr>
            <w:tcW w:w="2122" w:type="dxa"/>
          </w:tcPr>
          <w:p w14:paraId="344A962A"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16.75 ± 2.73b</w:t>
            </w:r>
          </w:p>
        </w:tc>
        <w:tc>
          <w:tcPr>
            <w:tcW w:w="1984" w:type="dxa"/>
          </w:tcPr>
          <w:p w14:paraId="2C6F8607"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12.10 ± 1.58a</w:t>
            </w:r>
          </w:p>
        </w:tc>
      </w:tr>
      <w:tr w:rsidR="000F2958" w14:paraId="3C2B2F5E" w14:textId="77777777">
        <w:tc>
          <w:tcPr>
            <w:tcW w:w="1535" w:type="dxa"/>
            <w:vAlign w:val="center"/>
          </w:tcPr>
          <w:p w14:paraId="2ED392ED"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boo</w:t>
            </w:r>
          </w:p>
        </w:tc>
        <w:tc>
          <w:tcPr>
            <w:tcW w:w="1840" w:type="dxa"/>
          </w:tcPr>
          <w:p w14:paraId="05B8646B"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428 ± 12.96c</w:t>
            </w:r>
          </w:p>
        </w:tc>
        <w:tc>
          <w:tcPr>
            <w:tcW w:w="1841" w:type="dxa"/>
          </w:tcPr>
          <w:p w14:paraId="0DF119F1"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31.33 ± 0.65c</w:t>
            </w:r>
          </w:p>
        </w:tc>
        <w:tc>
          <w:tcPr>
            <w:tcW w:w="2122" w:type="dxa"/>
          </w:tcPr>
          <w:p w14:paraId="757CE772"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32.99 ± 1.58c</w:t>
            </w:r>
          </w:p>
        </w:tc>
        <w:tc>
          <w:tcPr>
            <w:tcW w:w="1984" w:type="dxa"/>
          </w:tcPr>
          <w:p w14:paraId="53C809C2"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11.98 ± 0.70a</w:t>
            </w:r>
          </w:p>
        </w:tc>
      </w:tr>
      <w:tr w:rsidR="000F2958" w14:paraId="4F162524" w14:textId="77777777">
        <w:tc>
          <w:tcPr>
            <w:tcW w:w="1535" w:type="dxa"/>
            <w:vAlign w:val="center"/>
          </w:tcPr>
          <w:p w14:paraId="5FC50575"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 – U.gui</w:t>
            </w:r>
          </w:p>
        </w:tc>
        <w:tc>
          <w:tcPr>
            <w:tcW w:w="1840" w:type="dxa"/>
          </w:tcPr>
          <w:p w14:paraId="246F5151"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138 ± 10.37a</w:t>
            </w:r>
          </w:p>
        </w:tc>
        <w:tc>
          <w:tcPr>
            <w:tcW w:w="1841" w:type="dxa"/>
          </w:tcPr>
          <w:p w14:paraId="5D8F54E9"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28.21 ± 0.68a</w:t>
            </w:r>
          </w:p>
        </w:tc>
        <w:tc>
          <w:tcPr>
            <w:tcW w:w="2122" w:type="dxa"/>
          </w:tcPr>
          <w:p w14:paraId="5EB9493B"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8.62 ± 0.48a</w:t>
            </w:r>
          </w:p>
        </w:tc>
        <w:tc>
          <w:tcPr>
            <w:tcW w:w="1984" w:type="dxa"/>
          </w:tcPr>
          <w:p w14:paraId="053B4D6E"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11.05 ± 0.48a</w:t>
            </w:r>
          </w:p>
        </w:tc>
      </w:tr>
      <w:tr w:rsidR="000F2958" w14:paraId="0076F464" w14:textId="77777777">
        <w:tc>
          <w:tcPr>
            <w:tcW w:w="1535" w:type="dxa"/>
            <w:vAlign w:val="center"/>
          </w:tcPr>
          <w:p w14:paraId="1F9BA80D"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U.gui-R.mom</w:t>
            </w:r>
          </w:p>
        </w:tc>
        <w:tc>
          <w:tcPr>
            <w:tcW w:w="1840" w:type="dxa"/>
          </w:tcPr>
          <w:p w14:paraId="318AC9A0"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472 ± 13.51d</w:t>
            </w:r>
          </w:p>
        </w:tc>
        <w:tc>
          <w:tcPr>
            <w:tcW w:w="1841" w:type="dxa"/>
          </w:tcPr>
          <w:p w14:paraId="3465BCDE"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30.55 ± 1.37bc</w:t>
            </w:r>
          </w:p>
        </w:tc>
        <w:tc>
          <w:tcPr>
            <w:tcW w:w="2122" w:type="dxa"/>
          </w:tcPr>
          <w:p w14:paraId="3E0B5DE6"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34.59 ± 2.83c</w:t>
            </w:r>
          </w:p>
        </w:tc>
        <w:tc>
          <w:tcPr>
            <w:tcW w:w="1984" w:type="dxa"/>
          </w:tcPr>
          <w:p w14:paraId="551E24CF"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11.77 ± 0.72a</w:t>
            </w:r>
          </w:p>
        </w:tc>
      </w:tr>
    </w:tbl>
    <w:p w14:paraId="6E8A55F9" w14:textId="77777777" w:rsidR="000F2958" w:rsidRDefault="000F2958">
      <w:pPr>
        <w:rPr>
          <w:rFonts w:ascii="Times New Roman" w:hAnsi="Times New Roman" w:cs="Times New Roman"/>
          <w:b/>
          <w:sz w:val="16"/>
          <w:szCs w:val="16"/>
        </w:rPr>
      </w:pPr>
    </w:p>
    <w:p w14:paraId="4C1133C2"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3-6. Ecological determinism on groupings</w:t>
      </w:r>
    </w:p>
    <w:p w14:paraId="4AFB7A0F"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PCA (Figure 6) illustrates the edaphic, topographic and anthropic determinism on the spatial distribution of woody groups. The results of this PCA show that axis 1 (98.9%) separates </w:t>
      </w:r>
      <w:r>
        <w:rPr>
          <w:rFonts w:ascii="Times New Roman" w:hAnsi="Times New Roman" w:cs="Times New Roman"/>
          <w:sz w:val="24"/>
          <w:szCs w:val="24"/>
        </w:rPr>
        <w:lastRenderedPageBreak/>
        <w:t>the groups (GV and GIII) with little anthropic impact on very humid soil with clay texture from the groups (GI, GII and GIV) with much anthropic impact on low humidity soil with clay-sand texture. These results show that the spatial distribution of woody groups does not only depend on edaphic conditions but also on the microtopographic position and the intensity of anthropic disturbance.</w:t>
      </w:r>
    </w:p>
    <w:p w14:paraId="2C867076" w14:textId="77777777" w:rsidR="000F2958" w:rsidRDefault="003B2158">
      <w:pPr>
        <w:ind w:firstLine="360"/>
        <w:jc w:val="center"/>
        <w:rPr>
          <w:rFonts w:ascii="Times New Roman" w:hAnsi="Times New Roman" w:cs="Times New Roman"/>
          <w:sz w:val="24"/>
          <w:szCs w:val="24"/>
        </w:rPr>
      </w:pPr>
      <w:r>
        <w:rPr>
          <w:rFonts w:eastAsia="SimSun" w:cs="Times New Roman"/>
          <w:noProof/>
          <w:lang w:eastAsia="fr-FR"/>
        </w:rPr>
        <w:object w:dxaOrig="8369" w:dyaOrig="5174" w14:anchorId="5CD2A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4" o:spid="_x0000_i1025" type="#_x0000_t75" style="width:329.25pt;height:203.25pt;visibility:visible;mso-wrap-distance-left:0;mso-wrap-distance-right:0" o:ole="">
            <v:imagedata r:id="rId13" o:title="" embosscolor="white"/>
          </v:shape>
          <o:OLEObject Type="Embed" ProgID="Excel.Sheet.8" ShapeID="1034" DrawAspect="Content" ObjectID="_1822316840" r:id="rId14"/>
        </w:object>
      </w:r>
    </w:p>
    <w:p w14:paraId="3C951EA2" w14:textId="77777777" w:rsidR="000F2958" w:rsidRDefault="003B2158">
      <w:pPr>
        <w:spacing w:line="240" w:lineRule="auto"/>
        <w:ind w:firstLine="360"/>
        <w:jc w:val="both"/>
        <w:rPr>
          <w:rFonts w:ascii="Times New Roman" w:hAnsi="Times New Roman" w:cs="Times New Roman"/>
          <w:i/>
        </w:rPr>
      </w:pPr>
      <w:r>
        <w:rPr>
          <w:rFonts w:ascii="Times New Roman" w:hAnsi="Times New Roman" w:cs="Times New Roman"/>
        </w:rPr>
        <w:t xml:space="preserve">Figure 6. PCA performed between woody groups and environmental conditions. GI: group at </w:t>
      </w:r>
      <w:r>
        <w:rPr>
          <w:rFonts w:ascii="Times New Roman" w:hAnsi="Times New Roman" w:cs="Times New Roman"/>
          <w:i/>
          <w:iCs/>
        </w:rPr>
        <w:t xml:space="preserve">Mitragyna stipulosa </w:t>
      </w:r>
      <w:r>
        <w:rPr>
          <w:rFonts w:ascii="Times New Roman" w:hAnsi="Times New Roman" w:cs="Times New Roman"/>
          <w:iCs/>
        </w:rPr>
        <w:t xml:space="preserve">and </w:t>
      </w:r>
      <w:r>
        <w:rPr>
          <w:rFonts w:ascii="Times New Roman" w:hAnsi="Times New Roman" w:cs="Times New Roman"/>
          <w:i/>
          <w:iCs/>
        </w:rPr>
        <w:t>Raphia mombuttorum </w:t>
      </w:r>
      <w:r>
        <w:rPr>
          <w:rFonts w:ascii="Times New Roman" w:hAnsi="Times New Roman" w:cs="Times New Roman"/>
          <w:i/>
        </w:rPr>
        <w:t xml:space="preserve">; </w:t>
      </w:r>
      <w:r>
        <w:rPr>
          <w:rFonts w:ascii="Times New Roman" w:hAnsi="Times New Roman" w:cs="Times New Roman"/>
        </w:rPr>
        <w:t>GII: grouping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Alchornea cordifolia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r>
        <w:rPr>
          <w:rFonts w:ascii="Times New Roman" w:hAnsi="Times New Roman" w:cs="Times New Roman"/>
        </w:rPr>
        <w:t>grouping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Alstonia boonei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r>
        <w:rPr>
          <w:rFonts w:ascii="Times New Roman" w:hAnsi="Times New Roman" w:cs="Times New Roman"/>
        </w:rPr>
        <w:t>grouping at</w:t>
      </w:r>
      <w:r>
        <w:rPr>
          <w:rFonts w:ascii="Times New Roman" w:hAnsi="Times New Roman" w:cs="Times New Roman"/>
          <w:i/>
        </w:rPr>
        <w:t xml:space="preserve"> </w:t>
      </w:r>
      <w:r>
        <w:rPr>
          <w:rFonts w:ascii="Times New Roman" w:hAnsi="Times New Roman" w:cs="Times New Roman"/>
          <w:i/>
          <w:iCs/>
        </w:rPr>
        <w:t xml:space="preserve">Mitragyna stipulated </w:t>
      </w:r>
      <w:r>
        <w:rPr>
          <w:rFonts w:ascii="Times New Roman" w:hAnsi="Times New Roman" w:cs="Times New Roman"/>
          <w:iCs/>
        </w:rPr>
        <w:t xml:space="preserve">and </w:t>
      </w:r>
      <w:r>
        <w:rPr>
          <w:rFonts w:ascii="Times New Roman" w:hAnsi="Times New Roman" w:cs="Times New Roman"/>
          <w:i/>
          <w:iCs/>
        </w:rPr>
        <w:t xml:space="preserve">Uapaca guineensis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r>
        <w:rPr>
          <w:rFonts w:ascii="Times New Roman" w:hAnsi="Times New Roman" w:cs="Times New Roman"/>
        </w:rPr>
        <w:t>grouping with</w:t>
      </w:r>
      <w:r>
        <w:rPr>
          <w:rFonts w:ascii="Times New Roman" w:hAnsi="Times New Roman" w:cs="Times New Roman"/>
          <w:i/>
        </w:rPr>
        <w:t xml:space="preserve"> </w:t>
      </w:r>
      <w:r>
        <w:rPr>
          <w:rFonts w:ascii="Times New Roman" w:hAnsi="Times New Roman" w:cs="Times New Roman"/>
          <w:i/>
          <w:iCs/>
        </w:rPr>
        <w:t xml:space="preserve">Uapaca guineensis </w:t>
      </w:r>
      <w:r>
        <w:rPr>
          <w:rFonts w:ascii="Times New Roman" w:hAnsi="Times New Roman" w:cs="Times New Roman"/>
          <w:iCs/>
        </w:rPr>
        <w:t xml:space="preserve">and </w:t>
      </w:r>
      <w:r>
        <w:rPr>
          <w:rFonts w:ascii="Times New Roman" w:hAnsi="Times New Roman" w:cs="Times New Roman"/>
          <w:i/>
          <w:iCs/>
        </w:rPr>
        <w:t xml:space="preserve">Raphia mombuttorum </w:t>
      </w:r>
      <w:r>
        <w:rPr>
          <w:rFonts w:ascii="Times New Roman" w:hAnsi="Times New Roman" w:cs="Times New Roman"/>
          <w:i/>
        </w:rPr>
        <w:t>.</w:t>
      </w:r>
    </w:p>
    <w:p w14:paraId="3FC4F66E"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3-8. Relationships between structural variables and abiotic factors</w:t>
      </w:r>
    </w:p>
    <w:p w14:paraId="022EC20A" w14:textId="670DE5CA" w:rsidR="000F2958" w:rsidRDefault="003B2158">
      <w:pPr>
        <w:ind w:firstLine="360"/>
        <w:jc w:val="both"/>
        <w:rPr>
          <w:rFonts w:ascii="Times New Roman" w:hAnsi="Times New Roman" w:cs="Times New Roman"/>
          <w:iCs/>
          <w:sz w:val="24"/>
          <w:szCs w:val="24"/>
        </w:rPr>
      </w:pPr>
      <w:r>
        <w:rPr>
          <w:rFonts w:ascii="Times New Roman" w:hAnsi="Times New Roman" w:cs="Times New Roman"/>
          <w:sz w:val="24"/>
          <w:szCs w:val="24"/>
        </w:rPr>
        <w:t>The Pearson correlation test calculated at p value &lt; 0.5% shows that there is a link between the structural variables (specific diversity, density and basal area) and the abiotic factors preselected in this study (</w:t>
      </w:r>
      <w:r w:rsidR="00F3577B">
        <w:rPr>
          <w:rFonts w:ascii="Times New Roman" w:hAnsi="Times New Roman" w:cs="Times New Roman"/>
          <w:sz w:val="24"/>
          <w:szCs w:val="24"/>
        </w:rPr>
        <w:t>fig 7</w:t>
      </w:r>
      <w:r>
        <w:rPr>
          <w:rFonts w:ascii="Times New Roman" w:hAnsi="Times New Roman" w:cs="Times New Roman"/>
          <w:sz w:val="24"/>
          <w:szCs w:val="24"/>
        </w:rPr>
        <w:t xml:space="preserve">). Specific diversity is positively correlated with the density and basal area of the groups. Similarly, low anthropization, deep terrain, poor drainage, clay texture and high soil moisture are positively and highly correlated with the density and basal area of the groups. Among the five groups identified, two clearly illustrate the correlation relationship between anthropization, microtopography, edaphic conditions and the structure of woody groups. Thus, the </w:t>
      </w:r>
      <w:r>
        <w:rPr>
          <w:rFonts w:ascii="Times New Roman" w:hAnsi="Times New Roman" w:cs="Times New Roman"/>
          <w:i/>
          <w:iCs/>
          <w:sz w:val="24"/>
          <w:szCs w:val="24"/>
        </w:rPr>
        <w:t xml:space="preserve">R. mombuttorum group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sz w:val="24"/>
          <w:szCs w:val="24"/>
        </w:rPr>
        <w:t xml:space="preserve">and the grouping with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 xml:space="preserve">with little anthropization occupying clayey textured soils of poorly drained, steep-sided terrains describe the densest formations with the highest basal areas. On the other hand, the grouping with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w:t>
      </w:r>
      <w:r>
        <w:rPr>
          <w:rFonts w:ascii="Times New Roman" w:hAnsi="Times New Roman" w:cs="Times New Roman"/>
          <w:i/>
          <w:sz w:val="24"/>
          <w:szCs w:val="24"/>
        </w:rPr>
        <w:t xml:space="preserve"> the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cordifolia </w:t>
      </w:r>
      <w:r>
        <w:rPr>
          <w:rFonts w:ascii="Times New Roman" w:hAnsi="Times New Roman" w:cs="Times New Roman"/>
          <w:sz w:val="24"/>
          <w:szCs w:val="24"/>
        </w:rPr>
        <w:t xml:space="preserve">grouping and the </w:t>
      </w:r>
      <w:r>
        <w:rPr>
          <w:rFonts w:ascii="Times New Roman" w:hAnsi="Times New Roman" w:cs="Times New Roman"/>
          <w:i/>
          <w:iCs/>
          <w:sz w:val="24"/>
          <w:szCs w:val="24"/>
        </w:rPr>
        <w:t xml:space="preserve">M. stipulosa </w:t>
      </w:r>
      <w:r>
        <w:rPr>
          <w:rFonts w:ascii="Times New Roman" w:hAnsi="Times New Roman" w:cs="Times New Roman"/>
          <w:sz w:val="24"/>
          <w:szCs w:val="24"/>
        </w:rPr>
        <w:t>grouping</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which are highly anthropized and grow on clay-sandy soils on flat, well-drained land, are plant formations with low density and basal area.</w:t>
      </w:r>
    </w:p>
    <w:p w14:paraId="56D6B892" w14:textId="2BB9C025" w:rsidR="000F2958" w:rsidRDefault="00ED4AB8">
      <w:pPr>
        <w:ind w:firstLine="360"/>
        <w:jc w:val="both"/>
        <w:rPr>
          <w:rFonts w:ascii="Times New Roman" w:hAnsi="Times New Roman" w:cs="Times New Roman"/>
          <w:sz w:val="24"/>
          <w:szCs w:val="24"/>
        </w:rPr>
      </w:pPr>
      <w:r>
        <w:rPr>
          <w:rFonts w:ascii="Times New Roman" w:hAnsi="Times New Roman" w:cs="Times New Roman"/>
          <w:sz w:val="24"/>
          <w:szCs w:val="24"/>
        </w:rPr>
        <w:t>Fig 7-</w:t>
      </w:r>
      <w:r w:rsidR="003B2158">
        <w:rPr>
          <w:rFonts w:ascii="Times New Roman" w:hAnsi="Times New Roman" w:cs="Times New Roman"/>
          <w:sz w:val="24"/>
          <w:szCs w:val="24"/>
        </w:rPr>
        <w:t xml:space="preserve"> Correlation test between structural variables and abiotic factors. SPH: low humidity soil, Arg.S : clayey-sandy texture, TA: very anthropized, TP: flat land, BD: good drainage, DS: specific diversity, Arg: clayey texture, STH: very humid soil, PA: little anthropized, TE: steep land, MD: poorly drained, D: density, ST: basal area.</w:t>
      </w:r>
    </w:p>
    <w:p w14:paraId="0673A910" w14:textId="77777777" w:rsidR="000F2958" w:rsidRDefault="003B2158">
      <w:pPr>
        <w:ind w:firstLine="360"/>
        <w:jc w:val="center"/>
        <w:rPr>
          <w:rFonts w:ascii="Times New Roman" w:hAnsi="Times New Roman" w:cs="Times New Roman"/>
          <w:sz w:val="24"/>
          <w:szCs w:val="24"/>
        </w:rPr>
      </w:pPr>
      <w:r>
        <w:rPr>
          <w:noProof/>
          <w:lang w:val="en-US"/>
        </w:rPr>
        <w:lastRenderedPageBreak/>
        <w:drawing>
          <wp:inline distT="0" distB="0" distL="0" distR="0" wp14:anchorId="1986B30D" wp14:editId="5F8FAF25">
            <wp:extent cx="2990520" cy="2553005"/>
            <wp:effectExtent l="0" t="0" r="635" b="0"/>
            <wp:docPr id="103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15" cstate="print"/>
                    <a:srcRect l="12100" r="15477"/>
                    <a:stretch/>
                  </pic:blipFill>
                  <pic:spPr>
                    <a:xfrm>
                      <a:off x="0" y="0"/>
                      <a:ext cx="2990520" cy="2553005"/>
                    </a:xfrm>
                    <a:prstGeom prst="rect">
                      <a:avLst/>
                    </a:prstGeom>
                    <a:ln>
                      <a:noFill/>
                    </a:ln>
                  </pic:spPr>
                </pic:pic>
              </a:graphicData>
            </a:graphic>
          </wp:inline>
        </w:drawing>
      </w:r>
    </w:p>
    <w:p w14:paraId="1E298423" w14:textId="77777777" w:rsidR="000F2958" w:rsidRDefault="003B2158">
      <w:pPr>
        <w:pStyle w:val="ListParagraph"/>
        <w:numPr>
          <w:ilvl w:val="0"/>
          <w:numId w:val="3"/>
        </w:numPr>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39BEE478"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4-1. Specific richness and floristic diversity of the groups</w:t>
      </w:r>
    </w:p>
    <w:p w14:paraId="6B4F9A72" w14:textId="58123C2C"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Floristically, the identified groups are generally less rich. These observations have already been made by many authors in humid tropical zones (Dossou et al., 2012; Mbarga et al., 2017). Indeed, the periodically flooded substrate is a selective environment that requires ecomorphological adaptations of the species. The development of stilt roots and pneumatophores are all adaptation mechanisms. The values of the Piélou diversity and evenness indices are low. This highlights a relative instability within these groups. This situation leads Mbarga et al. (2017b) to note that the diversity of the woody flora of a station would be a function of the influence of man. At the family level, it is the </w:t>
      </w:r>
      <w:r>
        <w:rPr>
          <w:rFonts w:ascii="Times New Roman" w:hAnsi="Times New Roman" w:cs="Times New Roman"/>
          <w:i/>
          <w:sz w:val="24"/>
          <w:szCs w:val="24"/>
        </w:rPr>
        <w:t xml:space="preserve">Fabaceae </w:t>
      </w:r>
      <w:r>
        <w:rPr>
          <w:rFonts w:ascii="Times New Roman" w:hAnsi="Times New Roman" w:cs="Times New Roman"/>
          <w:sz w:val="24"/>
          <w:szCs w:val="24"/>
        </w:rPr>
        <w:t xml:space="preserve">, the </w:t>
      </w:r>
      <w:r>
        <w:rPr>
          <w:rFonts w:ascii="Times New Roman" w:hAnsi="Times New Roman" w:cs="Times New Roman"/>
          <w:i/>
          <w:sz w:val="24"/>
          <w:szCs w:val="24"/>
        </w:rPr>
        <w:t xml:space="preserve">Phyllanthaceae </w:t>
      </w:r>
      <w:r>
        <w:rPr>
          <w:rFonts w:ascii="Times New Roman" w:hAnsi="Times New Roman" w:cs="Times New Roman"/>
          <w:sz w:val="24"/>
          <w:szCs w:val="24"/>
        </w:rPr>
        <w:t xml:space="preserve">, the </w:t>
      </w:r>
      <w:r>
        <w:rPr>
          <w:rFonts w:ascii="Times New Roman" w:hAnsi="Times New Roman" w:cs="Times New Roman"/>
          <w:i/>
          <w:sz w:val="24"/>
          <w:szCs w:val="24"/>
        </w:rPr>
        <w:t xml:space="preserve">Apocynaceae </w:t>
      </w:r>
      <w:r>
        <w:rPr>
          <w:rFonts w:ascii="Times New Roman" w:hAnsi="Times New Roman" w:cs="Times New Roman"/>
          <w:sz w:val="24"/>
          <w:szCs w:val="24"/>
        </w:rPr>
        <w:t xml:space="preserve">and the </w:t>
      </w:r>
      <w:r>
        <w:rPr>
          <w:rFonts w:ascii="Times New Roman" w:hAnsi="Times New Roman" w:cs="Times New Roman"/>
          <w:i/>
          <w:sz w:val="24"/>
          <w:szCs w:val="24"/>
        </w:rPr>
        <w:t xml:space="preserve">Malvaceae </w:t>
      </w:r>
      <w:r>
        <w:rPr>
          <w:rFonts w:ascii="Times New Roman" w:hAnsi="Times New Roman" w:cs="Times New Roman"/>
          <w:sz w:val="24"/>
          <w:szCs w:val="24"/>
        </w:rPr>
        <w:t>that impose the structural weight on the groups. This result is similar to that obtained by many authors who have worked on riparian forest stations in the Congo Basin (Miabangana et al., 2016</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Bocko et al., 2016); in West Africa, in the south-east of Ivory Coast (Missa et al., 2015; Missa et al., 2020</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xml:space="preserve">). According to Aubréville, (1959) the dominance of these botanical families is a fairly general phenomenon for most tropical humid dense forests. The abundance of </w:t>
      </w:r>
      <w:r>
        <w:rPr>
          <w:rFonts w:ascii="Times New Roman" w:hAnsi="Times New Roman" w:cs="Times New Roman"/>
          <w:i/>
          <w:sz w:val="24"/>
          <w:szCs w:val="24"/>
        </w:rPr>
        <w:t xml:space="preserve">Fabaceae </w:t>
      </w:r>
      <w:r>
        <w:rPr>
          <w:rFonts w:ascii="Times New Roman" w:hAnsi="Times New Roman" w:cs="Times New Roman"/>
          <w:sz w:val="24"/>
          <w:szCs w:val="24"/>
        </w:rPr>
        <w:t>is an eloquent indicator of the state of maturity of a forest (Missa et al., 2020). Guineo-Congolese species are largely in the majority among the species recorded with around 70% of the species. This proportion is remarkably close to that put forward by Kimpouni (2018)</w:t>
      </w:r>
      <w:r w:rsidR="00B92E81">
        <w:rPr>
          <w:rFonts w:ascii="Times New Roman" w:hAnsi="Times New Roman" w:cs="Times New Roman"/>
          <w:sz w:val="24"/>
          <w:szCs w:val="24"/>
        </w:rPr>
        <w:t xml:space="preserve"> </w:t>
      </w:r>
      <w:r>
        <w:rPr>
          <w:rFonts w:ascii="Times New Roman" w:hAnsi="Times New Roman" w:cs="Times New Roman"/>
          <w:sz w:val="24"/>
          <w:szCs w:val="24"/>
        </w:rPr>
        <w:t xml:space="preserve">for the Guinean-Congolese endemism center. Indeed, the preponderance of these Guinean-Congolese species confirms the forest character of the study area. The dominance of microphanerophytes in the </w:t>
      </w:r>
      <w:r>
        <w:rPr>
          <w:rFonts w:ascii="Times New Roman" w:eastAsia="Times New Roman" w:hAnsi="Times New Roman" w:cs="Times New Roman"/>
          <w:i/>
          <w:iCs/>
          <w:color w:val="000000"/>
          <w:sz w:val="24"/>
          <w:szCs w:val="24"/>
          <w:lang w:eastAsia="fr-FR"/>
        </w:rPr>
        <w:t xml:space="preserve">M. stipulosa </w:t>
      </w:r>
      <w:r>
        <w:rPr>
          <w:rFonts w:ascii="Times New Roman" w:eastAsia="Times New Roman" w:hAnsi="Times New Roman" w:cs="Times New Roman"/>
          <w:iCs/>
          <w:color w:val="000000"/>
          <w:sz w:val="24"/>
          <w:szCs w:val="24"/>
          <w:lang w:eastAsia="fr-FR"/>
        </w:rPr>
        <w:t xml:space="preserve">and </w:t>
      </w:r>
      <w:r>
        <w:rPr>
          <w:rFonts w:ascii="Times New Roman" w:eastAsia="Times New Roman" w:hAnsi="Times New Roman" w:cs="Times New Roman"/>
          <w:i/>
          <w:iCs/>
          <w:color w:val="000000"/>
          <w:sz w:val="24"/>
          <w:szCs w:val="24"/>
          <w:lang w:eastAsia="fr-FR"/>
        </w:rPr>
        <w:t xml:space="preserve">R. mombuttorum </w:t>
      </w:r>
      <w:r>
        <w:rPr>
          <w:rFonts w:ascii="Times New Roman" w:hAnsi="Times New Roman" w:cs="Times New Roman"/>
          <w:sz w:val="24"/>
          <w:szCs w:val="24"/>
        </w:rPr>
        <w:t>groups,</w:t>
      </w:r>
      <w:r>
        <w:rPr>
          <w:rFonts w:ascii="Times New Roman" w:hAnsi="Times New Roman" w:cs="Times New Roman"/>
          <w:i/>
          <w:sz w:val="24"/>
          <w:szCs w:val="24"/>
        </w:rPr>
        <w:t xml:space="preserve"> </w:t>
      </w:r>
      <w:r>
        <w:rPr>
          <w:rFonts w:ascii="Times New Roman" w:hAnsi="Times New Roman" w:cs="Times New Roman"/>
          <w:i/>
          <w:iCs/>
          <w:sz w:val="24"/>
          <w:szCs w:val="24"/>
        </w:rPr>
        <w:t>R. mombuttorum and A. cordifolia</w:t>
      </w:r>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M. stipulosa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guineensis </w:t>
      </w:r>
      <w:r>
        <w:rPr>
          <w:rFonts w:ascii="Times New Roman" w:hAnsi="Times New Roman" w:cs="Times New Roman"/>
          <w:sz w:val="24"/>
          <w:szCs w:val="24"/>
        </w:rPr>
        <w:t>indicates a mainly shrubby vegetation. This situation could be due to human activities. Indeed, the swamp forests sheltering these groups are easily accessible to the riverside population. The massive incursion of populations into these biotopes for agricultural activities and firewood cutting modifies the structure of the vegetation of these swampy areas (Mbarga et al., 2017b). The high representation of megaphanerophytes within the group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boonei</w:t>
      </w:r>
      <w:r>
        <w:rPr>
          <w:rFonts w:ascii="Times New Roman" w:hAnsi="Times New Roman" w:cs="Times New Roman"/>
          <w:i/>
          <w:sz w:val="24"/>
          <w:szCs w:val="24"/>
        </w:rPr>
        <w:t xml:space="preserve"> </w:t>
      </w:r>
      <w:r>
        <w:rPr>
          <w:rFonts w:ascii="Times New Roman" w:hAnsi="Times New Roman" w:cs="Times New Roman"/>
          <w:sz w:val="24"/>
          <w:szCs w:val="24"/>
        </w:rPr>
        <w:t>and the</w:t>
      </w:r>
      <w:r>
        <w:rPr>
          <w:rFonts w:ascii="Times New Roman" w:hAnsi="Times New Roman" w:cs="Times New Roman"/>
          <w:i/>
          <w:sz w:val="24"/>
          <w:szCs w:val="24"/>
        </w:rPr>
        <w:t xml:space="preserve"> </w:t>
      </w:r>
      <w:r>
        <w:rPr>
          <w:rFonts w:ascii="Times New Roman" w:hAnsi="Times New Roman" w:cs="Times New Roman"/>
          <w:sz w:val="24"/>
          <w:szCs w:val="24"/>
        </w:rPr>
        <w:t>grouping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would on the other hand be an indicator of the stability of the environment.</w:t>
      </w:r>
      <w:r>
        <w:rPr>
          <w:sz w:val="24"/>
          <w:szCs w:val="24"/>
        </w:rPr>
        <w:t xml:space="preserve"> </w:t>
      </w:r>
      <w:r>
        <w:rPr>
          <w:rFonts w:ascii="Times New Roman" w:hAnsi="Times New Roman" w:cs="Times New Roman"/>
          <w:sz w:val="24"/>
          <w:szCs w:val="24"/>
        </w:rPr>
        <w:t xml:space="preserve">This predominance of megaphanerophytes expresses a higher </w:t>
      </w:r>
      <w:r>
        <w:rPr>
          <w:rFonts w:ascii="Times New Roman" w:hAnsi="Times New Roman" w:cs="Times New Roman"/>
          <w:sz w:val="24"/>
          <w:szCs w:val="24"/>
        </w:rPr>
        <w:lastRenderedPageBreak/>
        <w:t>degree of structural organization, so that a more stable environment contains more ecological niches, and therefore more species.</w:t>
      </w:r>
      <w:r>
        <w:rPr>
          <w:sz w:val="24"/>
          <w:szCs w:val="24"/>
        </w:rPr>
        <w:t xml:space="preserve"> </w:t>
      </w:r>
      <w:r>
        <w:rPr>
          <w:rFonts w:ascii="Times New Roman" w:hAnsi="Times New Roman" w:cs="Times New Roman"/>
          <w:sz w:val="24"/>
          <w:szCs w:val="24"/>
        </w:rPr>
        <w:t xml:space="preserve">Analysis of species importance values indicates the presence of predominant species in these two groupings. In our study, these species are </w:t>
      </w:r>
      <w:r>
        <w:rPr>
          <w:rFonts w:ascii="Times New Roman" w:hAnsi="Times New Roman" w:cs="Times New Roman"/>
          <w:i/>
          <w:iCs/>
          <w:sz w:val="24"/>
          <w:szCs w:val="24"/>
        </w:rPr>
        <w:t xml:space="preserve">A. boonei </w:t>
      </w:r>
      <w:r>
        <w:rPr>
          <w:rFonts w:ascii="Times New Roman" w:hAnsi="Times New Roman" w:cs="Times New Roman"/>
          <w:iCs/>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 </w:t>
      </w:r>
      <w:r>
        <w:rPr>
          <w:rFonts w:ascii="Times New Roman" w:hAnsi="Times New Roman" w:cs="Times New Roman"/>
          <w:sz w:val="24"/>
          <w:szCs w:val="24"/>
        </w:rPr>
        <w:t xml:space="preserve">These species, more represented in the plots, dominate by the high proportion of their individuals. The preponderance of </w:t>
      </w:r>
      <w:r>
        <w:rPr>
          <w:rFonts w:ascii="Times New Roman" w:hAnsi="Times New Roman" w:cs="Times New Roman"/>
          <w:i/>
          <w:sz w:val="24"/>
          <w:szCs w:val="24"/>
        </w:rPr>
        <w:t xml:space="preserve">A. boonei </w:t>
      </w:r>
      <w:r>
        <w:rPr>
          <w:rFonts w:ascii="Times New Roman" w:hAnsi="Times New Roman" w:cs="Times New Roman"/>
          <w:sz w:val="24"/>
          <w:szCs w:val="24"/>
        </w:rPr>
        <w:t xml:space="preserve">in this grouping could be explained by the fact that it is protected by the local populations. Its importance in traditional African medicine and its local popularity are recognized. As for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 their presence is due to the fact that these species are characteristic of wetlands.</w:t>
      </w:r>
    </w:p>
    <w:p w14:paraId="67E4F2DC" w14:textId="77777777" w:rsidR="000F2958" w:rsidRDefault="003B2158">
      <w:pPr>
        <w:ind w:firstLine="360"/>
        <w:jc w:val="both"/>
        <w:rPr>
          <w:rFonts w:ascii="Times New Roman" w:hAnsi="Times New Roman" w:cs="Times New Roman"/>
          <w:b/>
          <w:sz w:val="24"/>
          <w:szCs w:val="24"/>
        </w:rPr>
      </w:pPr>
      <w:r>
        <w:rPr>
          <w:rFonts w:ascii="Times New Roman" w:hAnsi="Times New Roman" w:cs="Times New Roman"/>
          <w:b/>
          <w:sz w:val="24"/>
          <w:szCs w:val="24"/>
        </w:rPr>
        <w:t>4-2. Structure and ecology of woody groups</w:t>
      </w:r>
    </w:p>
    <w:p w14:paraId="5545CE0B" w14:textId="3004A46B"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The distribution of structural parameters of woody groups varies according to topography, edaphic conditions (drainage, humidity and soil texture) and anthropization. There is indeed a significant difference in density and basal area between groups; this can be explained by environmental conditions. Thus, good edaphic conditions characterized by poor drainage, clayey texture and permanent humidity lead to high values of density and basal area observed in groups with</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boonei</w:t>
      </w:r>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 The importance of topography on the structure of these groups has also been demonstrated. Indeed, a strongly positive correlation was obtained between marshy areas on steep terrain and the structure of woody groups. These observations lead Sambare et al. (2010) to conclude that topography conditions soil moisture, the spatial distribution of woody groups and their structural attributes, namely density and basal area. The general shape of the histogram of diameter classes is "L" shaped for groups with</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boonei</w:t>
      </w:r>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R. mombuttorum</w:t>
      </w:r>
      <w:r>
        <w:rPr>
          <w:rFonts w:ascii="Times New Roman" w:hAnsi="Times New Roman" w:cs="Times New Roman"/>
          <w:sz w:val="24"/>
          <w:szCs w:val="24"/>
        </w:rPr>
        <w:t xml:space="preserve">. This appearance is typical of stable groups, in good state of conservation and with good regeneration capacity (Miabangana et al., 2020); a consequence of regular recruitment within the diameter classes (Puig, 2001) </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This is explained by the fact that these groups are far from the city of Yaoundé. This distribution also provides information on the forest growth model (Hitimana et al., 2004) and helps to understand the past management history of the forest stand and its dynamics (Awokou et al., 2009). Other authors believe that this distribution would characterize a forest stand with a predominance of sciaphilous species or little disturbed forest stands (Kossi et al., 2016). Indeed, individuals with small diameter ensure the future of natural formations, while those with large diameter resulting from natural selection are seed producers who ensure the future of populations through seed production ( Miabangana et al., 2020). In the context of this study, low anthropogenic pressure, poor drainage, clay texture and permanent humidity are all factors which contribute to explaining a high density of small diameters in these groups.</w:t>
      </w:r>
      <w:r>
        <w:t xml:space="preserve"> </w:t>
      </w:r>
      <w:r>
        <w:rPr>
          <w:rFonts w:ascii="Times New Roman" w:hAnsi="Times New Roman" w:cs="Times New Roman"/>
          <w:sz w:val="24"/>
          <w:szCs w:val="24"/>
        </w:rPr>
        <w:t>These results are comparable to those obtained by Sambare et al. (2020) in the forest galleries of Burkina Faso.</w:t>
      </w:r>
      <w:r>
        <w:t xml:space="preserve"> </w:t>
      </w:r>
      <w:r>
        <w:rPr>
          <w:rFonts w:ascii="Times New Roman" w:hAnsi="Times New Roman" w:cs="Times New Roman"/>
          <w:sz w:val="24"/>
          <w:szCs w:val="24"/>
        </w:rPr>
        <w:t xml:space="preserve">The densities found by these authors vary from 277.41 to 960 individuals/ha on the banks of rivers and streams. It should be noted that this observation does not seem to be generalizable to all forest types because a decreasing exponential distribution does not always mean that the forest is dominated by sciaphilous species; but could be the result of modifications induced by other factors. For the groups with </w:t>
      </w:r>
      <w:r>
        <w:rPr>
          <w:rFonts w:ascii="Times New Roman" w:hAnsi="Times New Roman" w:cs="Times New Roman"/>
          <w:i/>
          <w:iCs/>
          <w:sz w:val="24"/>
          <w:szCs w:val="24"/>
        </w:rPr>
        <w:t xml:space="preserve">M. stipulosa and U. guineensis </w:t>
      </w:r>
      <w:r>
        <w:rPr>
          <w:rFonts w:ascii="Times New Roman" w:hAnsi="Times New Roman" w:cs="Times New Roman"/>
          <w:iCs/>
          <w:sz w:val="24"/>
          <w:szCs w:val="24"/>
        </w:rPr>
        <w:t>,</w:t>
      </w:r>
      <w:r>
        <w:rPr>
          <w:rFonts w:ascii="Times New Roman" w:hAnsi="Times New Roman" w:cs="Times New Roman"/>
          <w:i/>
          <w:sz w:val="24"/>
          <w:szCs w:val="24"/>
        </w:rPr>
        <w:t xml:space="preserve">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cordifolia</w:t>
      </w:r>
      <w:r>
        <w:rPr>
          <w:rFonts w:ascii="Times New Roman" w:hAnsi="Times New Roman" w:cs="Times New Roman"/>
          <w:i/>
          <w:sz w:val="24"/>
          <w:szCs w:val="24"/>
        </w:rPr>
        <w:t xml:space="preserve"> </w:t>
      </w:r>
      <w:r>
        <w:rPr>
          <w:rFonts w:ascii="Times New Roman" w:hAnsi="Times New Roman" w:cs="Times New Roman"/>
          <w:sz w:val="24"/>
          <w:szCs w:val="24"/>
        </w:rPr>
        <w:t xml:space="preserve">The low proportion of large diameters reveals anthropization </w:t>
      </w:r>
      <w:r>
        <w:rPr>
          <w:rFonts w:ascii="Times New Roman" w:hAnsi="Times New Roman" w:cs="Times New Roman"/>
          <w:sz w:val="24"/>
          <w:szCs w:val="24"/>
        </w:rPr>
        <w:lastRenderedPageBreak/>
        <w:t>and factors such as the location on flat terrain and the clayey-sandy texture of the soil. These factors contribute to maintaining the spatial heterogeneity of woody groups (Sambaré et al., 2011</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Mbarga et al., 2017 b).</w:t>
      </w:r>
    </w:p>
    <w:p w14:paraId="71FE59F4" w14:textId="77777777" w:rsidR="000F2958" w:rsidRDefault="000F2958">
      <w:pPr>
        <w:rPr>
          <w:rFonts w:ascii="Times New Roman" w:hAnsi="Times New Roman" w:cs="Times New Roman"/>
          <w:b/>
          <w:sz w:val="24"/>
          <w:szCs w:val="24"/>
        </w:rPr>
      </w:pPr>
    </w:p>
    <w:p w14:paraId="45CDDD4D"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Conclusion</w:t>
      </w:r>
    </w:p>
    <w:p w14:paraId="05AFAFF6" w14:textId="77777777" w:rsidR="000F2958" w:rsidRDefault="003B2158">
      <w:pPr>
        <w:spacing w:after="0"/>
        <w:jc w:val="both"/>
        <w:rPr>
          <w:rFonts w:ascii="Times New Roman" w:hAnsi="Times New Roman" w:cs="Times New Roman"/>
          <w:sz w:val="24"/>
          <w:szCs w:val="24"/>
        </w:rPr>
      </w:pPr>
      <w:r>
        <w:rPr>
          <w:rFonts w:ascii="Times New Roman" w:hAnsi="Times New Roman" w:cs="Times New Roman"/>
          <w:sz w:val="24"/>
          <w:szCs w:val="24"/>
          <w:lang w:val="en-US"/>
        </w:rPr>
        <w:t>This study has highlighted the floristic and structural differences between the woody groups in the swamp forests around the city of Yaoundé. Overall, the woody flora is not very diverse. Only 45 woody species were inventoried and four families were abundant, namely Fabaceae, Phyllanthaceae, Apocynaceae and Malvaceae. The Shannon index calculated is less than 2.5 bits for the five woody groups, reflecting the low floristic diversity in these groups.</w:t>
      </w:r>
    </w:p>
    <w:p w14:paraId="3FFE33CE" w14:textId="77777777" w:rsidR="000F2958" w:rsidRDefault="003B2158">
      <w:pPr>
        <w:spacing w:after="0"/>
        <w:jc w:val="both"/>
        <w:rPr>
          <w:rFonts w:ascii="Times New Roman" w:hAnsi="Times New Roman" w:cs="Times New Roman"/>
          <w:sz w:val="24"/>
          <w:szCs w:val="24"/>
        </w:rPr>
      </w:pPr>
      <w:r>
        <w:rPr>
          <w:rFonts w:ascii="Times New Roman" w:hAnsi="Times New Roman" w:cs="Times New Roman"/>
          <w:sz w:val="24"/>
          <w:szCs w:val="24"/>
          <w:lang w:val="en-US"/>
        </w:rPr>
        <w:t>PCA was used to divide the woody groups identified into two on the basis of abiotic factors of an edaphic, microtopographic and anthropic nature. Thus, the R. mombuttorum and A. boonei group and the U. guineensis and R. mombuttorum group, which have been little affected by human activity and are established on steep, clay-textured land, have a stable structure. This stability is revealed by the predominance of small-diameter stems, reflecting the good state of conservation and regeneration capacity of these groups. On the other hand, the M. stipulosa and R. mombuttorum group, the R. mombuttorum and A. cordifolia group and the M. stipulosa and U. guineensis group, which are highly anthropised and grow on flat, sandy-clay-textured land, show an unbalanced structure. These results will enable forest managers, and above all the Yaoundé urban community, to objectively orient a management plan adapted to each woody group and to develop rules for the sustainable exploitation of swamp forests.</w:t>
      </w:r>
    </w:p>
    <w:p w14:paraId="16162B99" w14:textId="77777777" w:rsidR="000F2958" w:rsidRDefault="000F2958">
      <w:pPr>
        <w:spacing w:after="0"/>
        <w:jc w:val="both"/>
        <w:rPr>
          <w:rFonts w:ascii="Times New Roman" w:hAnsi="Times New Roman" w:cs="Times New Roman"/>
          <w:sz w:val="24"/>
          <w:szCs w:val="24"/>
        </w:rPr>
      </w:pPr>
    </w:p>
    <w:p w14:paraId="6B93442D" w14:textId="77777777" w:rsidR="000F2958" w:rsidRDefault="000F2958">
      <w:pPr>
        <w:spacing w:after="0"/>
        <w:jc w:val="both"/>
        <w:rPr>
          <w:rFonts w:ascii="Times New Roman" w:hAnsi="Times New Roman" w:cs="Times New Roman"/>
          <w:sz w:val="24"/>
          <w:szCs w:val="24"/>
        </w:rPr>
      </w:pPr>
    </w:p>
    <w:p w14:paraId="0BAB6A03" w14:textId="26CC2156" w:rsidR="000F2958" w:rsidRDefault="00ED4AB8">
      <w:pPr>
        <w:spacing w:after="0"/>
        <w:jc w:val="both"/>
        <w:rPr>
          <w:rFonts w:ascii="Times New Roman" w:hAnsi="Times New Roman" w:cs="Times New Roman"/>
          <w:b/>
          <w:sz w:val="24"/>
          <w:szCs w:val="24"/>
        </w:rPr>
      </w:pPr>
      <w:r>
        <w:rPr>
          <w:rFonts w:ascii="Times New Roman" w:hAnsi="Times New Roman" w:cs="Times New Roman"/>
          <w:b/>
          <w:sz w:val="24"/>
          <w:szCs w:val="24"/>
        </w:rPr>
        <w:t>References</w:t>
      </w:r>
    </w:p>
    <w:p w14:paraId="03D84BBD"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Amani A. C., Milenge K. H., Lisingo J., Nshimba H., 2013. Floristic analysis and impact of edaphic determinism on vegetation organization in the forests of Kongolo Island (DR Congo). Geo-Eco-Trop., 37, 2: 255-272.</w:t>
      </w:r>
    </w:p>
    <w:p w14:paraId="1BDE3CA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Aubreville A., 1959. "The forest flora of Côte d'Ivoire". 2nd edition, CTFT, Nogent-sur-Marme, France, 15(3): 334-372.</w:t>
      </w:r>
    </w:p>
    <w:p w14:paraId="37CA5000"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Awokou K. S., Ganglo C. J., Azontondé H. A., ADjakidjè V. De Foucault B., 2009. Structural and ecological characteristics of forest phytocenoses in the Itchèdè classified forest (Plateau Department, southeastern Benin). Sciences &amp; Nature Vol. 6 No. 2: 125 - 138</w:t>
      </w:r>
    </w:p>
    <w:p w14:paraId="676BEEB5"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Bocko Y. E., Dargie G., IFO S. A., Yoka J., Loumeto J. J., 2016. Spatial distribution of the floristic richness of the Likouala swamp forests, Northern Congo. Africa Science 12(4). 200 – 212.</w:t>
      </w:r>
    </w:p>
    <w:p w14:paraId="32B1865F"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Brabant P., Humbel F.X., 1974. Explanatory note No. 51, soil map of Cameroon Poli. ORSTOM. 115p.</w:t>
      </w:r>
    </w:p>
    <w:p w14:paraId="5F7CC49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Dossou M. E., Lougbégnon O. T., Houessou G. L., Teka S. O., Tente A.H. B., 2012. Phytoecological and structural characterization of plant communities in the Agonvè swamp forest and its related environments in southern Benin. Journal of Applied Biosciences 53: 3821–3830.</w:t>
      </w:r>
    </w:p>
    <w:p w14:paraId="508E21F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FAO., 2010. Global Forest Resources Assessment, Rome: FAO, 378.</w:t>
      </w:r>
    </w:p>
    <w:p w14:paraId="77BA6735"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Guinochet M., 1973. Phytosociology. Paris, France, Masson, 223 p.</w:t>
      </w:r>
    </w:p>
    <w:p w14:paraId="451651F7"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Hakizimana P., Bangirinama F., Masharabu T., Habonimana B., Cannière C. D., Bogaert J., 2012. Vegetation Characterization of the Kigwena Dense Forest and the Rumonge Open Forest in Burundi. Tropical Woods and Forests, No. 312 (2). 43–52.</w:t>
      </w:r>
    </w:p>
    <w:p w14:paraId="0453585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Hitimana J., Kiyiapi J.L., Njunge J.T., 2004. Forest structure characteristics in disturbed and undisturbed sites of Mt. Elgon Moist Lower Montane Forest, western Kenya, Forest Ecology and Management 194, 269-291.</w:t>
      </w:r>
    </w:p>
    <w:p w14:paraId="0C717CEB"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Kimpouni V., Nzila J.D., Massamba MaKanda C.M., Mouhamed Salisou Y and Kampe J.P., 2018. Phytodiversity and structural parameters of the peri-urban forest of Djoumouna (Brazzaville - Congo). International Journal of Innovation and Scientific Research ISSN 2351-8014 Vol. 37 No. 1. 90-110</w:t>
      </w:r>
    </w:p>
    <w:p w14:paraId="78D1FF6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Kossi A., Aboudou R. R., Adzo D. K., and Kouami K. 2016. "Consideration of structural characteristics as ecological indicators of forest management in Togo (West Africa)." [VertigO] The electronic journal in environmental sciences, vol. 16(1): 1-16.</w:t>
      </w:r>
    </w:p>
    <w:p w14:paraId="2B3F65C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lastRenderedPageBreak/>
        <w:t>Letouzey R., 1985, Phytogeographic record of Cameroon at 1:500,000. Institute of the International Vegetation Map, Toulouse, France. 142 p.</w:t>
      </w:r>
    </w:p>
    <w:p w14:paraId="3A2FB9C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Mbarga Bindzi M. A., Endele P. P., Kono L. D., Zekeng J. C., 2017b. Impact of anthropization on the structural and ecological characteristics of woody stands in the swamps of the city of Yaoundé and its surroundings (Cameroon). Cameroon Journal of Biological and Biochemical Sciences, 25: 33-44.</w:t>
      </w:r>
    </w:p>
    <w:p w14:paraId="53F74CF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Mbarga Bindzi M.-A., Meyong A., Kono L.D., Essono D.M., 2017a. Influence of soil hygrometric variations on the flowering of Tabernaemontana crassa Benth. (Apocynaceae) in a secondary mesophilic forest of southern Cameroon. World Wide Journal of Multidisciplinary Research and Development. 3(9): 248-256.</w:t>
      </w:r>
    </w:p>
    <w:p w14:paraId="51500CE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Miabangana E. S., Ayingweu C. L., Gaugris J., Malaisse F., 2020. Floristic and structural characteristics of the Congo River riparian forest in the Cataract Plateau, Republic of Congo. Geo-Eco-Trop., 44, 3: 383-397.</w:t>
      </w:r>
    </w:p>
    <w:p w14:paraId="070CA33D"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Miabangana E. S., Ayingweu C. L., Malaisse F., 2016. Floristic and phytogeographic analysis of the Djoumouna forest (Republic of Congo). Geo-Eco-Trop, 40 (2): 175-190.</w:t>
      </w:r>
    </w:p>
    <w:p w14:paraId="0ADF050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Missa K., Ouattara D. N., Koné M., Bakayoko A., 2015. Floristic study and diversity of the Tanoé-Ehy marsh forest (Southeastern Côte d’Ivoire). Journal of Animal &amp; Plant Sciences, 25 (3): 3917-3938.</w:t>
      </w:r>
    </w:p>
    <w:p w14:paraId="28D16571"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Missa K., Seguena F., Soro D., Bakayoko A.; 2020. Structural characteristics of the marshy areas of the Tanoé-Ehy forest (Southeastern Côte d’Ivoire). Int. J. Biol. Chem. Sci. 14(8): 2893-2902.</w:t>
      </w:r>
    </w:p>
    <w:p w14:paraId="042D6FD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Naiman R.J., Bechtold J.S., Timothy J., Beechie T.J., Latterell J.J., Pelt R.V., 2010. A Process-Based View of Floodplain Forest Patterns in Coastal River Valleys of the Pacific Northwest. Ecosystems, 13:1–31.</w:t>
      </w:r>
    </w:p>
    <w:p w14:paraId="5E28C2D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Piélou E. C., 1966. Species diversity and pattern diversity in the study of ecological succession. Journal of Theoretical Biology, 10: 370-383</w:t>
      </w:r>
    </w:p>
    <w:p w14:paraId="5CC7278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Puig H., 2001. The Tropical Humid Forest. Belin: Paris.</w:t>
      </w:r>
    </w:p>
    <w:p w14:paraId="5F44C1E2"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Raunkiaer C., 1934. The life forms of plants and statistical plant geography. Clarendron Press, London, 632 p.</w:t>
      </w:r>
    </w:p>
    <w:p w14:paraId="6BCED26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Russo S.E., Davies S.J., King D.A., Tan S. 2005. Soil-related performance variation and distributions of tree species in a Bornean Rainforest. Journal of Ecology 93: 879–889.</w:t>
      </w:r>
    </w:p>
    <w:p w14:paraId="786A379E"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Sabi Lolo Ilou B., Sogbohossou E. A., Toko Imorou I., Houinato M. R. B., Sinsin B., 2017. Diversity and socioeconomic importance of ecosystem services in the Pendjari Biosphere Reserve in northern Benin. Journal of Scientific Research of the University of Lomé, 19 (3): 15–28.</w:t>
      </w:r>
    </w:p>
    <w:p w14:paraId="669D2F82" w14:textId="78C240FC"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Sambaré O., Ouédraogo O., Wittig R., Thiombiano A., 2010.</w:t>
      </w:r>
      <w:r w:rsidRPr="001D3E6A">
        <w:t xml:space="preserve"> </w:t>
      </w:r>
      <w:r w:rsidRPr="001D3E6A">
        <w:rPr>
          <w:rFonts w:ascii="Times New Roman" w:hAnsi="Times New Roman" w:cs="Times New Roman"/>
          <w:sz w:val="16"/>
          <w:szCs w:val="16"/>
          <w:lang w:val="en-US"/>
        </w:rPr>
        <w:t>Diversity and ecology of woody communities in riparian forests of Burkina Faso (West Africa). Int. J. Biol. Chem. Sci. 4(5): 1782–1800.</w:t>
      </w:r>
    </w:p>
    <w:p w14:paraId="373470E8"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Sambaré O., Savadogo S., Traoré L., Ouédraogo I., Thiombiano A., 2020. Structure and dynamics of woody species in gallery forests of rivers and streams in the South Sudanese sector of Burkina Faso. Bois et Forêts des Tropiques, 345: 25–42.</w:t>
      </w:r>
    </w:p>
    <w:p w14:paraId="71DC5696"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Shannon W., 1949. The mathematical theory of communication. Univ. Illinois Press, Urbana 117.</w:t>
      </w:r>
    </w:p>
    <w:p w14:paraId="2CF29E52"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Vleminckx J., Drouet T., Amani C., Lisingo J., Lejoly J., Hardy O. J., 2014. Impact of ﬁne-scale edaphic heterogeneity on tree species assembly in a central African rainforest. Journal of vegetation Science. 1-11.</w:t>
      </w:r>
    </w:p>
    <w:p w14:paraId="38A1E0AB" w14:textId="72B083EE" w:rsidR="000F2958" w:rsidRDefault="001D3E6A" w:rsidP="001D3E6A">
      <w:pPr>
        <w:spacing w:after="0" w:line="360" w:lineRule="auto"/>
        <w:jc w:val="both"/>
        <w:rPr>
          <w:rFonts w:ascii="Times New Roman" w:hAnsi="Times New Roman" w:cs="Times New Roman"/>
          <w:sz w:val="16"/>
          <w:szCs w:val="16"/>
        </w:rPr>
      </w:pPr>
      <w:r w:rsidRPr="001D3E6A">
        <w:rPr>
          <w:rFonts w:ascii="Times New Roman" w:hAnsi="Times New Roman" w:cs="Times New Roman"/>
          <w:sz w:val="16"/>
          <w:szCs w:val="16"/>
          <w:lang w:val="en-US"/>
        </w:rPr>
        <w:t>White F., 1993. The AETFAT chorological classification of Africa: history, methods and applications. Bull. Nat. Jard. Bot. Nat. Belgium. 62, 225-281.</w:t>
      </w:r>
    </w:p>
    <w:p w14:paraId="3534C282" w14:textId="77777777" w:rsidR="000F2958" w:rsidRDefault="003B215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Appendix 1. Species Importance Value Indices (IVI).</w:t>
      </w:r>
    </w:p>
    <w:p w14:paraId="4416CC85" w14:textId="77777777" w:rsidR="000F2958" w:rsidRDefault="003B2158">
      <w:pPr>
        <w:pStyle w:val="ListParagraph"/>
        <w:numPr>
          <w:ilvl w:val="0"/>
          <w:numId w:val="6"/>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r>
        <w:rPr>
          <w:rFonts w:ascii="Times New Roman" w:eastAsia="Times New Roman" w:hAnsi="Times New Roman" w:cs="Times New Roman"/>
          <w:i/>
          <w:iCs/>
          <w:sz w:val="16"/>
          <w:szCs w:val="16"/>
          <w:lang w:eastAsia="fr-FR"/>
        </w:rPr>
        <w:t xml:space="preserve">Mitragyna stipulosa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(GI)</w:t>
      </w:r>
    </w:p>
    <w:tbl>
      <w:tblPr>
        <w:tblStyle w:val="TableGrid"/>
        <w:tblW w:w="9464" w:type="dxa"/>
        <w:tblInd w:w="-176" w:type="dxa"/>
        <w:tblLook w:val="04A0" w:firstRow="1" w:lastRow="0" w:firstColumn="1" w:lastColumn="0" w:noHBand="0" w:noVBand="1"/>
      </w:tblPr>
      <w:tblGrid>
        <w:gridCol w:w="611"/>
        <w:gridCol w:w="4351"/>
        <w:gridCol w:w="992"/>
        <w:gridCol w:w="1418"/>
        <w:gridCol w:w="1276"/>
        <w:gridCol w:w="816"/>
      </w:tblGrid>
      <w:tr w:rsidR="000F2958" w14:paraId="215EA2A6" w14:textId="77777777">
        <w:trPr>
          <w:trHeight w:val="300"/>
        </w:trPr>
        <w:tc>
          <w:tcPr>
            <w:tcW w:w="4962" w:type="dxa"/>
            <w:gridSpan w:val="2"/>
            <w:vAlign w:val="center"/>
            <w:hideMark/>
          </w:tcPr>
          <w:p w14:paraId="39B0D5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4FF19DF0"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418" w:type="dxa"/>
            <w:noWrap/>
            <w:vAlign w:val="center"/>
            <w:hideMark/>
          </w:tcPr>
          <w:p w14:paraId="0344E80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76" w:type="dxa"/>
            <w:noWrap/>
            <w:vAlign w:val="center"/>
            <w:hideMark/>
          </w:tcPr>
          <w:p w14:paraId="058698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816" w:type="dxa"/>
            <w:noWrap/>
            <w:vAlign w:val="center"/>
            <w:hideMark/>
          </w:tcPr>
          <w:p w14:paraId="178340E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039CCE57" w14:textId="77777777">
        <w:trPr>
          <w:trHeight w:val="300"/>
        </w:trPr>
        <w:tc>
          <w:tcPr>
            <w:tcW w:w="611" w:type="dxa"/>
            <w:hideMark/>
          </w:tcPr>
          <w:p w14:paraId="46928DB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51" w:type="dxa"/>
            <w:noWrap/>
            <w:hideMark/>
          </w:tcPr>
          <w:p w14:paraId="7F545C2B" w14:textId="5A89C740"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sz w:val="16"/>
                <w:szCs w:val="16"/>
                <w:lang w:eastAsia="fr-FR"/>
              </w:rPr>
              <w:t>(Schumach &amp; Thonn)</w:t>
            </w:r>
          </w:p>
        </w:tc>
        <w:tc>
          <w:tcPr>
            <w:tcW w:w="992" w:type="dxa"/>
            <w:noWrap/>
            <w:vAlign w:val="center"/>
            <w:hideMark/>
          </w:tcPr>
          <w:p w14:paraId="6260D14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4.69</w:t>
            </w:r>
          </w:p>
        </w:tc>
        <w:tc>
          <w:tcPr>
            <w:tcW w:w="1418" w:type="dxa"/>
            <w:noWrap/>
            <w:vAlign w:val="center"/>
            <w:hideMark/>
          </w:tcPr>
          <w:p w14:paraId="374AAEE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0.97</w:t>
            </w:r>
          </w:p>
        </w:tc>
        <w:tc>
          <w:tcPr>
            <w:tcW w:w="1276" w:type="dxa"/>
            <w:noWrap/>
            <w:vAlign w:val="center"/>
            <w:hideMark/>
          </w:tcPr>
          <w:p w14:paraId="47256AC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7.84</w:t>
            </w:r>
          </w:p>
        </w:tc>
        <w:tc>
          <w:tcPr>
            <w:tcW w:w="816" w:type="dxa"/>
            <w:noWrap/>
            <w:vAlign w:val="center"/>
            <w:hideMark/>
          </w:tcPr>
          <w:p w14:paraId="017F16D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13.5</w:t>
            </w:r>
          </w:p>
        </w:tc>
      </w:tr>
      <w:tr w:rsidR="000F2958" w14:paraId="17CE9187" w14:textId="77777777">
        <w:trPr>
          <w:trHeight w:val="300"/>
        </w:trPr>
        <w:tc>
          <w:tcPr>
            <w:tcW w:w="611" w:type="dxa"/>
            <w:hideMark/>
          </w:tcPr>
          <w:p w14:paraId="31A49F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51" w:type="dxa"/>
            <w:noWrap/>
            <w:hideMark/>
          </w:tcPr>
          <w:p w14:paraId="1399D38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Celtis tessmannii </w:t>
            </w:r>
            <w:r>
              <w:rPr>
                <w:rFonts w:ascii="Times New Roman" w:eastAsia="Times New Roman" w:hAnsi="Times New Roman" w:cs="Times New Roman"/>
                <w:sz w:val="16"/>
                <w:szCs w:val="16"/>
                <w:lang w:eastAsia="fr-FR"/>
              </w:rPr>
              <w:t>From Wild.</w:t>
            </w:r>
          </w:p>
        </w:tc>
        <w:tc>
          <w:tcPr>
            <w:tcW w:w="992" w:type="dxa"/>
            <w:noWrap/>
            <w:vAlign w:val="center"/>
            <w:hideMark/>
          </w:tcPr>
          <w:p w14:paraId="0F55BCB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1418" w:type="dxa"/>
            <w:noWrap/>
            <w:vAlign w:val="center"/>
            <w:hideMark/>
          </w:tcPr>
          <w:p w14:paraId="6734F38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7.96</w:t>
            </w:r>
          </w:p>
        </w:tc>
        <w:tc>
          <w:tcPr>
            <w:tcW w:w="1276" w:type="dxa"/>
            <w:noWrap/>
            <w:vAlign w:val="center"/>
            <w:hideMark/>
          </w:tcPr>
          <w:p w14:paraId="756EA79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3.75</w:t>
            </w:r>
          </w:p>
        </w:tc>
        <w:tc>
          <w:tcPr>
            <w:tcW w:w="816" w:type="dxa"/>
            <w:noWrap/>
            <w:vAlign w:val="center"/>
            <w:hideMark/>
          </w:tcPr>
          <w:p w14:paraId="311F46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15.9</w:t>
            </w:r>
          </w:p>
        </w:tc>
      </w:tr>
      <w:tr w:rsidR="000F2958" w14:paraId="1EDE88C6" w14:textId="77777777">
        <w:trPr>
          <w:trHeight w:val="300"/>
        </w:trPr>
        <w:tc>
          <w:tcPr>
            <w:tcW w:w="611" w:type="dxa"/>
            <w:hideMark/>
          </w:tcPr>
          <w:p w14:paraId="6AB19BB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51" w:type="dxa"/>
            <w:noWrap/>
            <w:hideMark/>
          </w:tcPr>
          <w:p w14:paraId="3AB0AE9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Elaeis guineensis </w:t>
            </w:r>
            <w:r>
              <w:rPr>
                <w:rFonts w:ascii="Times New Roman" w:eastAsia="Times New Roman" w:hAnsi="Times New Roman" w:cs="Times New Roman"/>
                <w:sz w:val="16"/>
                <w:szCs w:val="16"/>
                <w:lang w:eastAsia="fr-FR"/>
              </w:rPr>
              <w:t>Jacq.</w:t>
            </w:r>
          </w:p>
        </w:tc>
        <w:tc>
          <w:tcPr>
            <w:tcW w:w="992" w:type="dxa"/>
            <w:noWrap/>
            <w:vAlign w:val="center"/>
            <w:hideMark/>
          </w:tcPr>
          <w:p w14:paraId="272716F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3.67</w:t>
            </w:r>
          </w:p>
        </w:tc>
        <w:tc>
          <w:tcPr>
            <w:tcW w:w="1418" w:type="dxa"/>
            <w:noWrap/>
            <w:vAlign w:val="center"/>
            <w:hideMark/>
          </w:tcPr>
          <w:p w14:paraId="21A91DC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w:t>
            </w:r>
          </w:p>
        </w:tc>
        <w:tc>
          <w:tcPr>
            <w:tcW w:w="1276" w:type="dxa"/>
            <w:noWrap/>
            <w:vAlign w:val="center"/>
            <w:hideMark/>
          </w:tcPr>
          <w:p w14:paraId="6FE94F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7.77</w:t>
            </w:r>
          </w:p>
        </w:tc>
        <w:tc>
          <w:tcPr>
            <w:tcW w:w="816" w:type="dxa"/>
            <w:noWrap/>
            <w:vAlign w:val="center"/>
            <w:hideMark/>
          </w:tcPr>
          <w:p w14:paraId="649763D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w:t>
            </w:r>
          </w:p>
        </w:tc>
      </w:tr>
      <w:tr w:rsidR="000F2958" w14:paraId="585FF625" w14:textId="77777777">
        <w:trPr>
          <w:trHeight w:val="300"/>
        </w:trPr>
        <w:tc>
          <w:tcPr>
            <w:tcW w:w="611" w:type="dxa"/>
            <w:hideMark/>
          </w:tcPr>
          <w:p w14:paraId="5A31E0F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51" w:type="dxa"/>
            <w:noWrap/>
            <w:hideMark/>
          </w:tcPr>
          <w:p w14:paraId="468FE65A" w14:textId="72ADC24E"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Ficus mucuso </w:t>
            </w:r>
            <w:r>
              <w:rPr>
                <w:rFonts w:ascii="Times New Roman" w:eastAsia="Times New Roman" w:hAnsi="Times New Roman" w:cs="Times New Roman"/>
                <w:sz w:val="16"/>
                <w:szCs w:val="16"/>
                <w:lang w:eastAsia="fr-FR"/>
              </w:rPr>
              <w:t>Welw. ex Ficalho</w:t>
            </w:r>
          </w:p>
        </w:tc>
        <w:tc>
          <w:tcPr>
            <w:tcW w:w="992" w:type="dxa"/>
            <w:noWrap/>
            <w:vAlign w:val="center"/>
            <w:hideMark/>
          </w:tcPr>
          <w:p w14:paraId="1984F24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4.92</w:t>
            </w:r>
          </w:p>
        </w:tc>
        <w:tc>
          <w:tcPr>
            <w:tcW w:w="1418" w:type="dxa"/>
            <w:noWrap/>
            <w:vAlign w:val="center"/>
            <w:hideMark/>
          </w:tcPr>
          <w:p w14:paraId="1C4E35C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8.76</w:t>
            </w:r>
          </w:p>
        </w:tc>
        <w:tc>
          <w:tcPr>
            <w:tcW w:w="1276" w:type="dxa"/>
            <w:noWrap/>
            <w:vAlign w:val="center"/>
            <w:hideMark/>
          </w:tcPr>
          <w:p w14:paraId="7F71D3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6.76</w:t>
            </w:r>
          </w:p>
        </w:tc>
        <w:tc>
          <w:tcPr>
            <w:tcW w:w="816" w:type="dxa"/>
            <w:noWrap/>
            <w:vAlign w:val="center"/>
            <w:hideMark/>
          </w:tcPr>
          <w:p w14:paraId="4CC90F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20.4</w:t>
            </w:r>
          </w:p>
        </w:tc>
      </w:tr>
      <w:tr w:rsidR="000F2958" w14:paraId="72FF2BB4" w14:textId="77777777">
        <w:trPr>
          <w:trHeight w:val="300"/>
        </w:trPr>
        <w:tc>
          <w:tcPr>
            <w:tcW w:w="611" w:type="dxa"/>
            <w:hideMark/>
          </w:tcPr>
          <w:p w14:paraId="7472D79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51" w:type="dxa"/>
            <w:noWrap/>
            <w:hideMark/>
          </w:tcPr>
          <w:p w14:paraId="74C56FC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r>
              <w:rPr>
                <w:rFonts w:ascii="Times New Roman" w:eastAsia="Times New Roman" w:hAnsi="Times New Roman" w:cs="Times New Roman"/>
                <w:sz w:val="16"/>
                <w:szCs w:val="16"/>
                <w:lang w:eastAsia="fr-FR"/>
              </w:rPr>
              <w:t>Müll.Arg</w:t>
            </w:r>
          </w:p>
        </w:tc>
        <w:tc>
          <w:tcPr>
            <w:tcW w:w="992" w:type="dxa"/>
            <w:noWrap/>
            <w:vAlign w:val="center"/>
            <w:hideMark/>
          </w:tcPr>
          <w:p w14:paraId="555E20D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5.29</w:t>
            </w:r>
          </w:p>
        </w:tc>
        <w:tc>
          <w:tcPr>
            <w:tcW w:w="1418" w:type="dxa"/>
            <w:noWrap/>
            <w:vAlign w:val="center"/>
            <w:hideMark/>
          </w:tcPr>
          <w:p w14:paraId="171F12E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3.73</w:t>
            </w:r>
          </w:p>
        </w:tc>
        <w:tc>
          <w:tcPr>
            <w:tcW w:w="1276" w:type="dxa"/>
            <w:noWrap/>
            <w:vAlign w:val="center"/>
            <w:hideMark/>
          </w:tcPr>
          <w:p w14:paraId="1E24FB3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7.76</w:t>
            </w:r>
          </w:p>
        </w:tc>
        <w:tc>
          <w:tcPr>
            <w:tcW w:w="816" w:type="dxa"/>
            <w:noWrap/>
            <w:vAlign w:val="center"/>
            <w:hideMark/>
          </w:tcPr>
          <w:p w14:paraId="0BC72C6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15.8</w:t>
            </w:r>
          </w:p>
        </w:tc>
      </w:tr>
      <w:tr w:rsidR="000F2958" w14:paraId="0EC525F4" w14:textId="77777777">
        <w:trPr>
          <w:trHeight w:val="300"/>
        </w:trPr>
        <w:tc>
          <w:tcPr>
            <w:tcW w:w="611" w:type="dxa"/>
            <w:hideMark/>
          </w:tcPr>
          <w:p w14:paraId="423C92C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51" w:type="dxa"/>
            <w:noWrap/>
            <w:hideMark/>
          </w:tcPr>
          <w:p w14:paraId="28D69B0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sz w:val="16"/>
                <w:szCs w:val="16"/>
                <w:lang w:eastAsia="fr-FR"/>
              </w:rPr>
              <w:t>(DC.) O.Kuntze</w:t>
            </w:r>
          </w:p>
        </w:tc>
        <w:tc>
          <w:tcPr>
            <w:tcW w:w="992" w:type="dxa"/>
            <w:noWrap/>
            <w:vAlign w:val="center"/>
            <w:hideMark/>
          </w:tcPr>
          <w:p w14:paraId="4C0730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25.06</w:t>
            </w:r>
          </w:p>
        </w:tc>
        <w:tc>
          <w:tcPr>
            <w:tcW w:w="1418" w:type="dxa"/>
            <w:noWrap/>
            <w:vAlign w:val="center"/>
            <w:hideMark/>
          </w:tcPr>
          <w:p w14:paraId="4AE0F0A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67.31</w:t>
            </w:r>
          </w:p>
        </w:tc>
        <w:tc>
          <w:tcPr>
            <w:tcW w:w="1276" w:type="dxa"/>
            <w:noWrap/>
            <w:vAlign w:val="center"/>
            <w:hideMark/>
          </w:tcPr>
          <w:p w14:paraId="327CBC3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24.76</w:t>
            </w:r>
          </w:p>
        </w:tc>
        <w:tc>
          <w:tcPr>
            <w:tcW w:w="816" w:type="dxa"/>
            <w:noWrap/>
            <w:vAlign w:val="center"/>
            <w:hideMark/>
          </w:tcPr>
          <w:p w14:paraId="764D4E63" w14:textId="77777777" w:rsidR="000F2958" w:rsidRDefault="003B2158">
            <w:pPr>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117</w:t>
            </w:r>
          </w:p>
        </w:tc>
      </w:tr>
      <w:tr w:rsidR="000F2958" w14:paraId="0B290CC8" w14:textId="77777777">
        <w:trPr>
          <w:trHeight w:val="300"/>
        </w:trPr>
        <w:tc>
          <w:tcPr>
            <w:tcW w:w="611" w:type="dxa"/>
            <w:hideMark/>
          </w:tcPr>
          <w:p w14:paraId="3C4DAA0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51" w:type="dxa"/>
            <w:noWrap/>
            <w:hideMark/>
          </w:tcPr>
          <w:p w14:paraId="0A80A4B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Polycias fulva </w:t>
            </w:r>
            <w:r>
              <w:rPr>
                <w:rFonts w:ascii="Times New Roman" w:eastAsia="Times New Roman" w:hAnsi="Times New Roman" w:cs="Times New Roman"/>
                <w:sz w:val="16"/>
                <w:szCs w:val="16"/>
                <w:lang w:eastAsia="fr-FR"/>
              </w:rPr>
              <w:t>( Hiern ) Harms</w:t>
            </w:r>
          </w:p>
        </w:tc>
        <w:tc>
          <w:tcPr>
            <w:tcW w:w="992" w:type="dxa"/>
            <w:noWrap/>
            <w:vAlign w:val="center"/>
            <w:hideMark/>
          </w:tcPr>
          <w:p w14:paraId="043BAF9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1.56</w:t>
            </w:r>
          </w:p>
        </w:tc>
        <w:tc>
          <w:tcPr>
            <w:tcW w:w="1418" w:type="dxa"/>
            <w:noWrap/>
            <w:vAlign w:val="center"/>
            <w:hideMark/>
          </w:tcPr>
          <w:p w14:paraId="00CCD7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2.64</w:t>
            </w:r>
          </w:p>
        </w:tc>
        <w:tc>
          <w:tcPr>
            <w:tcW w:w="1276" w:type="dxa"/>
            <w:noWrap/>
            <w:vAlign w:val="center"/>
            <w:hideMark/>
          </w:tcPr>
          <w:p w14:paraId="4D67BB9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3.88</w:t>
            </w:r>
          </w:p>
        </w:tc>
        <w:tc>
          <w:tcPr>
            <w:tcW w:w="816" w:type="dxa"/>
            <w:noWrap/>
            <w:vAlign w:val="center"/>
            <w:hideMark/>
          </w:tcPr>
          <w:p w14:paraId="1F93FBA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9.08</w:t>
            </w:r>
          </w:p>
        </w:tc>
      </w:tr>
      <w:tr w:rsidR="000F2958" w14:paraId="5FBD2198" w14:textId="77777777">
        <w:trPr>
          <w:trHeight w:val="300"/>
        </w:trPr>
        <w:tc>
          <w:tcPr>
            <w:tcW w:w="611" w:type="dxa"/>
            <w:hideMark/>
          </w:tcPr>
          <w:p w14:paraId="40DC1E7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51" w:type="dxa"/>
            <w:noWrap/>
            <w:hideMark/>
          </w:tcPr>
          <w:p w14:paraId="57896B7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992" w:type="dxa"/>
            <w:noWrap/>
            <w:vAlign w:val="center"/>
            <w:hideMark/>
          </w:tcPr>
          <w:p w14:paraId="4DED4CF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42.56</w:t>
            </w:r>
          </w:p>
        </w:tc>
        <w:tc>
          <w:tcPr>
            <w:tcW w:w="1418" w:type="dxa"/>
            <w:noWrap/>
            <w:vAlign w:val="center"/>
            <w:hideMark/>
          </w:tcPr>
          <w:p w14:paraId="23AF50B1" w14:textId="77777777" w:rsidR="000F2958" w:rsidRDefault="000F2958">
            <w:pPr>
              <w:jc w:val="center"/>
              <w:rPr>
                <w:rFonts w:ascii="Times New Roman" w:eastAsia="Times New Roman" w:hAnsi="Times New Roman" w:cs="Times New Roman"/>
                <w:sz w:val="16"/>
                <w:szCs w:val="16"/>
                <w:lang w:eastAsia="fr-FR"/>
              </w:rPr>
            </w:pPr>
          </w:p>
        </w:tc>
        <w:tc>
          <w:tcPr>
            <w:tcW w:w="1276" w:type="dxa"/>
            <w:noWrap/>
            <w:vAlign w:val="center"/>
            <w:hideMark/>
          </w:tcPr>
          <w:p w14:paraId="17B754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23.76</w:t>
            </w:r>
          </w:p>
        </w:tc>
        <w:tc>
          <w:tcPr>
            <w:tcW w:w="816" w:type="dxa"/>
            <w:noWrap/>
            <w:vAlign w:val="center"/>
            <w:hideMark/>
          </w:tcPr>
          <w:p w14:paraId="6F2E5699" w14:textId="77777777" w:rsidR="000F2958" w:rsidRDefault="003B2158">
            <w:pPr>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66.3</w:t>
            </w:r>
          </w:p>
        </w:tc>
      </w:tr>
      <w:tr w:rsidR="000F2958" w14:paraId="527A5D3E" w14:textId="77777777">
        <w:trPr>
          <w:trHeight w:val="300"/>
        </w:trPr>
        <w:tc>
          <w:tcPr>
            <w:tcW w:w="611" w:type="dxa"/>
            <w:hideMark/>
          </w:tcPr>
          <w:p w14:paraId="75BEA15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51" w:type="dxa"/>
            <w:noWrap/>
            <w:hideMark/>
          </w:tcPr>
          <w:p w14:paraId="2D40F16F"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Rauvolfia vomitoria </w:t>
            </w:r>
            <w:r>
              <w:rPr>
                <w:rFonts w:ascii="Times New Roman" w:eastAsia="Times New Roman" w:hAnsi="Times New Roman" w:cs="Times New Roman"/>
                <w:sz w:val="16"/>
                <w:szCs w:val="16"/>
                <w:lang w:eastAsia="fr-FR"/>
              </w:rPr>
              <w:t>Afzel .</w:t>
            </w:r>
          </w:p>
        </w:tc>
        <w:tc>
          <w:tcPr>
            <w:tcW w:w="992" w:type="dxa"/>
            <w:noWrap/>
            <w:vAlign w:val="center"/>
            <w:hideMark/>
          </w:tcPr>
          <w:p w14:paraId="2F7AEC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4.39</w:t>
            </w:r>
          </w:p>
        </w:tc>
        <w:tc>
          <w:tcPr>
            <w:tcW w:w="1418" w:type="dxa"/>
            <w:noWrap/>
            <w:vAlign w:val="center"/>
            <w:hideMark/>
          </w:tcPr>
          <w:p w14:paraId="19E292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3.48</w:t>
            </w:r>
          </w:p>
        </w:tc>
        <w:tc>
          <w:tcPr>
            <w:tcW w:w="1276" w:type="dxa"/>
            <w:noWrap/>
            <w:vAlign w:val="center"/>
            <w:hideMark/>
          </w:tcPr>
          <w:p w14:paraId="241D39F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3.92</w:t>
            </w:r>
          </w:p>
        </w:tc>
        <w:tc>
          <w:tcPr>
            <w:tcW w:w="816" w:type="dxa"/>
            <w:noWrap/>
            <w:vAlign w:val="center"/>
            <w:hideMark/>
          </w:tcPr>
          <w:p w14:paraId="10456D2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8.79</w:t>
            </w:r>
          </w:p>
        </w:tc>
      </w:tr>
      <w:tr w:rsidR="000F2958" w14:paraId="03253522" w14:textId="77777777">
        <w:trPr>
          <w:trHeight w:val="300"/>
        </w:trPr>
        <w:tc>
          <w:tcPr>
            <w:tcW w:w="611" w:type="dxa"/>
            <w:hideMark/>
          </w:tcPr>
          <w:p w14:paraId="3B58041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51" w:type="dxa"/>
            <w:noWrap/>
            <w:hideMark/>
          </w:tcPr>
          <w:p w14:paraId="3AA0D34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Vitex doniana </w:t>
            </w:r>
            <w:r>
              <w:rPr>
                <w:rFonts w:ascii="Times New Roman" w:eastAsia="Times New Roman" w:hAnsi="Times New Roman" w:cs="Times New Roman"/>
                <w:sz w:val="16"/>
                <w:szCs w:val="16"/>
                <w:lang w:eastAsia="fr-FR"/>
              </w:rPr>
              <w:t>Sweet</w:t>
            </w:r>
          </w:p>
        </w:tc>
        <w:tc>
          <w:tcPr>
            <w:tcW w:w="992" w:type="dxa"/>
            <w:noWrap/>
            <w:vAlign w:val="center"/>
            <w:hideMark/>
          </w:tcPr>
          <w:p w14:paraId="46D5E8C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3.69</w:t>
            </w:r>
          </w:p>
        </w:tc>
        <w:tc>
          <w:tcPr>
            <w:tcW w:w="1418" w:type="dxa"/>
            <w:noWrap/>
            <w:vAlign w:val="center"/>
            <w:hideMark/>
          </w:tcPr>
          <w:p w14:paraId="174F73D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5.15</w:t>
            </w:r>
          </w:p>
        </w:tc>
        <w:tc>
          <w:tcPr>
            <w:tcW w:w="1276" w:type="dxa"/>
            <w:noWrap/>
            <w:vAlign w:val="center"/>
            <w:hideMark/>
          </w:tcPr>
          <w:p w14:paraId="5E1C6B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w:t>
            </w:r>
          </w:p>
        </w:tc>
        <w:tc>
          <w:tcPr>
            <w:tcW w:w="816" w:type="dxa"/>
            <w:noWrap/>
            <w:vAlign w:val="center"/>
            <w:hideMark/>
          </w:tcPr>
          <w:p w14:paraId="035230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21.6</w:t>
            </w:r>
          </w:p>
        </w:tc>
      </w:tr>
      <w:tr w:rsidR="000F2958" w14:paraId="6E053528" w14:textId="77777777">
        <w:trPr>
          <w:trHeight w:val="300"/>
        </w:trPr>
        <w:tc>
          <w:tcPr>
            <w:tcW w:w="4962" w:type="dxa"/>
            <w:gridSpan w:val="2"/>
            <w:noWrap/>
            <w:hideMark/>
          </w:tcPr>
          <w:p w14:paraId="457404BD"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lastRenderedPageBreak/>
              <w:t>Total</w:t>
            </w:r>
          </w:p>
        </w:tc>
        <w:tc>
          <w:tcPr>
            <w:tcW w:w="992" w:type="dxa"/>
            <w:noWrap/>
            <w:vAlign w:val="center"/>
            <w:hideMark/>
          </w:tcPr>
          <w:p w14:paraId="0EE697A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18" w:type="dxa"/>
            <w:noWrap/>
            <w:vAlign w:val="center"/>
            <w:hideMark/>
          </w:tcPr>
          <w:p w14:paraId="3F54C16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76" w:type="dxa"/>
            <w:noWrap/>
            <w:vAlign w:val="center"/>
            <w:hideMark/>
          </w:tcPr>
          <w:p w14:paraId="318D51A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816" w:type="dxa"/>
            <w:noWrap/>
            <w:vAlign w:val="center"/>
            <w:hideMark/>
          </w:tcPr>
          <w:p w14:paraId="15836D4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58D527FB" w14:textId="77777777" w:rsidR="000F2958" w:rsidRDefault="000F2958">
      <w:pPr>
        <w:spacing w:after="0" w:line="240" w:lineRule="auto"/>
        <w:jc w:val="both"/>
        <w:rPr>
          <w:rFonts w:ascii="Times New Roman" w:hAnsi="Times New Roman" w:cs="Times New Roman"/>
          <w:sz w:val="16"/>
          <w:szCs w:val="16"/>
        </w:rPr>
      </w:pPr>
    </w:p>
    <w:p w14:paraId="046BAA1E" w14:textId="77777777" w:rsidR="000F2958" w:rsidRDefault="003B2158">
      <w:pPr>
        <w:pStyle w:val="ListParagraph"/>
        <w:numPr>
          <w:ilvl w:val="0"/>
          <w:numId w:val="6"/>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Grouping of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iCs/>
          <w:sz w:val="16"/>
          <w:szCs w:val="16"/>
          <w:lang w:eastAsia="fr-FR"/>
        </w:rPr>
        <w:t>(GII)</w:t>
      </w:r>
    </w:p>
    <w:tbl>
      <w:tblPr>
        <w:tblStyle w:val="TableGrid"/>
        <w:tblW w:w="9243" w:type="dxa"/>
        <w:tblInd w:w="-176" w:type="dxa"/>
        <w:tblLook w:val="04A0" w:firstRow="1" w:lastRow="0" w:firstColumn="1" w:lastColumn="0" w:noHBand="0" w:noVBand="1"/>
      </w:tblPr>
      <w:tblGrid>
        <w:gridCol w:w="568"/>
        <w:gridCol w:w="4394"/>
        <w:gridCol w:w="992"/>
        <w:gridCol w:w="1418"/>
        <w:gridCol w:w="1265"/>
        <w:gridCol w:w="606"/>
      </w:tblGrid>
      <w:tr w:rsidR="000F2958" w14:paraId="6FD9CB83" w14:textId="77777777">
        <w:trPr>
          <w:trHeight w:val="300"/>
        </w:trPr>
        <w:tc>
          <w:tcPr>
            <w:tcW w:w="4962" w:type="dxa"/>
            <w:gridSpan w:val="2"/>
            <w:noWrap/>
            <w:vAlign w:val="center"/>
            <w:hideMark/>
          </w:tcPr>
          <w:p w14:paraId="316A03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4B23DDC7" w14:textId="77777777" w:rsidR="000F2958" w:rsidRDefault="003B2158">
            <w:pPr>
              <w:jc w:val="center"/>
              <w:rPr>
                <w:rFonts w:ascii="Times New Roman" w:eastAsia="Times New Roman" w:hAnsi="Times New Roman" w:cs="Times New Roman"/>
                <w:b/>
                <w:bCs/>
                <w:sz w:val="16"/>
                <w:szCs w:val="16"/>
                <w:lang w:eastAsia="fr-FR"/>
              </w:rPr>
            </w:pPr>
            <w:r>
              <w:rPr>
                <w:rFonts w:ascii="Times New Roman" w:eastAsia="Times New Roman" w:hAnsi="Times New Roman" w:cs="Times New Roman"/>
                <w:b/>
                <w:bCs/>
                <w:sz w:val="16"/>
                <w:szCs w:val="16"/>
                <w:lang w:eastAsia="fr-FR"/>
              </w:rPr>
              <w:t>Relative density</w:t>
            </w:r>
          </w:p>
        </w:tc>
        <w:tc>
          <w:tcPr>
            <w:tcW w:w="1418" w:type="dxa"/>
            <w:noWrap/>
            <w:vAlign w:val="center"/>
            <w:hideMark/>
          </w:tcPr>
          <w:p w14:paraId="39FFEB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65" w:type="dxa"/>
            <w:noWrap/>
            <w:vAlign w:val="center"/>
            <w:hideMark/>
          </w:tcPr>
          <w:p w14:paraId="29FEDB7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606" w:type="dxa"/>
            <w:noWrap/>
            <w:vAlign w:val="center"/>
            <w:hideMark/>
          </w:tcPr>
          <w:p w14:paraId="313596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0404F401" w14:textId="77777777">
        <w:trPr>
          <w:trHeight w:val="285"/>
        </w:trPr>
        <w:tc>
          <w:tcPr>
            <w:tcW w:w="568" w:type="dxa"/>
            <w:noWrap/>
            <w:hideMark/>
          </w:tcPr>
          <w:p w14:paraId="1161459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5BB7AC5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sz w:val="16"/>
                <w:szCs w:val="16"/>
                <w:lang w:eastAsia="fr-FR"/>
              </w:rPr>
              <w:t>( Schumach &amp; Thonn )</w:t>
            </w:r>
          </w:p>
        </w:tc>
        <w:tc>
          <w:tcPr>
            <w:tcW w:w="992" w:type="dxa"/>
            <w:noWrap/>
            <w:vAlign w:val="center"/>
            <w:hideMark/>
          </w:tcPr>
          <w:p w14:paraId="305C44F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26.8</w:t>
            </w:r>
          </w:p>
        </w:tc>
        <w:tc>
          <w:tcPr>
            <w:tcW w:w="1418" w:type="dxa"/>
            <w:noWrap/>
            <w:vAlign w:val="center"/>
            <w:hideMark/>
          </w:tcPr>
          <w:p w14:paraId="5ECDFDF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10.4</w:t>
            </w:r>
          </w:p>
        </w:tc>
        <w:tc>
          <w:tcPr>
            <w:tcW w:w="1265" w:type="dxa"/>
            <w:noWrap/>
            <w:vAlign w:val="center"/>
            <w:hideMark/>
          </w:tcPr>
          <w:p w14:paraId="1F949E7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606" w:type="dxa"/>
            <w:noWrap/>
            <w:vAlign w:val="center"/>
            <w:hideMark/>
          </w:tcPr>
          <w:p w14:paraId="2390C5E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48</w:t>
            </w:r>
          </w:p>
        </w:tc>
      </w:tr>
      <w:tr w:rsidR="000F2958" w14:paraId="771A877D" w14:textId="77777777">
        <w:trPr>
          <w:trHeight w:val="300"/>
        </w:trPr>
        <w:tc>
          <w:tcPr>
            <w:tcW w:w="568" w:type="dxa"/>
            <w:noWrap/>
            <w:hideMark/>
          </w:tcPr>
          <w:p w14:paraId="4D118F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35CD137B"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Carpolobia alba </w:t>
            </w:r>
            <w:r>
              <w:rPr>
                <w:rFonts w:ascii="Times New Roman" w:eastAsia="Times New Roman" w:hAnsi="Times New Roman" w:cs="Times New Roman"/>
                <w:sz w:val="16"/>
                <w:szCs w:val="16"/>
                <w:lang w:eastAsia="fr-FR"/>
              </w:rPr>
              <w:t>G.Don</w:t>
            </w:r>
          </w:p>
        </w:tc>
        <w:tc>
          <w:tcPr>
            <w:tcW w:w="992" w:type="dxa"/>
            <w:noWrap/>
            <w:vAlign w:val="center"/>
            <w:hideMark/>
          </w:tcPr>
          <w:p w14:paraId="17712F3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w:t>
            </w:r>
          </w:p>
        </w:tc>
        <w:tc>
          <w:tcPr>
            <w:tcW w:w="1418" w:type="dxa"/>
            <w:noWrap/>
            <w:vAlign w:val="center"/>
            <w:hideMark/>
          </w:tcPr>
          <w:p w14:paraId="6C2D79D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1.28</w:t>
            </w:r>
          </w:p>
        </w:tc>
        <w:tc>
          <w:tcPr>
            <w:tcW w:w="1265" w:type="dxa"/>
            <w:noWrap/>
            <w:vAlign w:val="center"/>
            <w:hideMark/>
          </w:tcPr>
          <w:p w14:paraId="27A923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606" w:type="dxa"/>
            <w:noWrap/>
            <w:vAlign w:val="center"/>
            <w:hideMark/>
          </w:tcPr>
          <w:p w14:paraId="1EC4987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15.7</w:t>
            </w:r>
          </w:p>
        </w:tc>
      </w:tr>
      <w:tr w:rsidR="000F2958" w14:paraId="1976C790" w14:textId="77777777">
        <w:trPr>
          <w:trHeight w:val="300"/>
        </w:trPr>
        <w:tc>
          <w:tcPr>
            <w:tcW w:w="568" w:type="dxa"/>
            <w:noWrap/>
            <w:hideMark/>
          </w:tcPr>
          <w:p w14:paraId="4FCCBA5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7C14DBF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992" w:type="dxa"/>
            <w:noWrap/>
            <w:vAlign w:val="center"/>
            <w:hideMark/>
          </w:tcPr>
          <w:p w14:paraId="474870F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24.3</w:t>
            </w:r>
          </w:p>
        </w:tc>
        <w:tc>
          <w:tcPr>
            <w:tcW w:w="1418" w:type="dxa"/>
            <w:noWrap/>
            <w:vAlign w:val="center"/>
            <w:hideMark/>
          </w:tcPr>
          <w:p w14:paraId="4121CD74" w14:textId="77777777" w:rsidR="000F2958" w:rsidRDefault="000F2958">
            <w:pPr>
              <w:jc w:val="center"/>
              <w:rPr>
                <w:rFonts w:ascii="Times New Roman" w:eastAsia="Times New Roman" w:hAnsi="Times New Roman" w:cs="Times New Roman"/>
                <w:sz w:val="16"/>
                <w:szCs w:val="16"/>
                <w:lang w:eastAsia="fr-FR"/>
              </w:rPr>
            </w:pPr>
          </w:p>
        </w:tc>
        <w:tc>
          <w:tcPr>
            <w:tcW w:w="1265" w:type="dxa"/>
            <w:noWrap/>
            <w:vAlign w:val="center"/>
            <w:hideMark/>
          </w:tcPr>
          <w:p w14:paraId="48D3B74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29.71</w:t>
            </w:r>
          </w:p>
        </w:tc>
        <w:tc>
          <w:tcPr>
            <w:tcW w:w="606" w:type="dxa"/>
            <w:noWrap/>
            <w:vAlign w:val="center"/>
            <w:hideMark/>
          </w:tcPr>
          <w:p w14:paraId="7D2BEED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r>
      <w:tr w:rsidR="000F2958" w14:paraId="3BDB2CB6" w14:textId="77777777">
        <w:trPr>
          <w:trHeight w:val="300"/>
        </w:trPr>
        <w:tc>
          <w:tcPr>
            <w:tcW w:w="568" w:type="dxa"/>
            <w:noWrap/>
            <w:hideMark/>
          </w:tcPr>
          <w:p w14:paraId="7CD292C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3556210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Erythroxylum mannii </w:t>
            </w:r>
            <w:r>
              <w:rPr>
                <w:rFonts w:ascii="Times New Roman" w:eastAsia="Times New Roman" w:hAnsi="Times New Roman" w:cs="Times New Roman"/>
                <w:sz w:val="16"/>
                <w:szCs w:val="16"/>
                <w:lang w:eastAsia="fr-FR"/>
              </w:rPr>
              <w:t>Olive .</w:t>
            </w:r>
          </w:p>
        </w:tc>
        <w:tc>
          <w:tcPr>
            <w:tcW w:w="992" w:type="dxa"/>
            <w:noWrap/>
            <w:vAlign w:val="center"/>
            <w:hideMark/>
          </w:tcPr>
          <w:p w14:paraId="443EEFA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2.72</w:t>
            </w:r>
          </w:p>
        </w:tc>
        <w:tc>
          <w:tcPr>
            <w:tcW w:w="1418" w:type="dxa"/>
            <w:noWrap/>
            <w:vAlign w:val="center"/>
            <w:hideMark/>
          </w:tcPr>
          <w:p w14:paraId="3D7BA94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20.4</w:t>
            </w:r>
          </w:p>
        </w:tc>
        <w:tc>
          <w:tcPr>
            <w:tcW w:w="1265" w:type="dxa"/>
            <w:noWrap/>
            <w:vAlign w:val="center"/>
            <w:hideMark/>
          </w:tcPr>
          <w:p w14:paraId="4C1A3F6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c>
          <w:tcPr>
            <w:tcW w:w="606" w:type="dxa"/>
            <w:noWrap/>
            <w:vAlign w:val="center"/>
            <w:hideMark/>
          </w:tcPr>
          <w:p w14:paraId="25FED2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25.8</w:t>
            </w:r>
          </w:p>
        </w:tc>
      </w:tr>
      <w:tr w:rsidR="000F2958" w14:paraId="66B70255" w14:textId="77777777">
        <w:trPr>
          <w:trHeight w:val="300"/>
        </w:trPr>
        <w:tc>
          <w:tcPr>
            <w:tcW w:w="568" w:type="dxa"/>
            <w:noWrap/>
            <w:hideMark/>
          </w:tcPr>
          <w:p w14:paraId="624F13C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0EB705C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Harungana madagascariensis </w:t>
            </w:r>
            <w:r>
              <w:rPr>
                <w:rFonts w:ascii="Times New Roman" w:eastAsia="Times New Roman" w:hAnsi="Times New Roman" w:cs="Times New Roman"/>
                <w:sz w:val="16"/>
                <w:szCs w:val="16"/>
                <w:lang w:eastAsia="fr-FR"/>
              </w:rPr>
              <w:t>Lam . ex Pear .</w:t>
            </w:r>
          </w:p>
        </w:tc>
        <w:tc>
          <w:tcPr>
            <w:tcW w:w="992" w:type="dxa"/>
            <w:noWrap/>
            <w:vAlign w:val="center"/>
            <w:hideMark/>
          </w:tcPr>
          <w:p w14:paraId="1E654B2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6.47</w:t>
            </w:r>
          </w:p>
        </w:tc>
        <w:tc>
          <w:tcPr>
            <w:tcW w:w="1418" w:type="dxa"/>
            <w:noWrap/>
            <w:vAlign w:val="center"/>
            <w:hideMark/>
          </w:tcPr>
          <w:p w14:paraId="2F01094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8.53</w:t>
            </w:r>
          </w:p>
        </w:tc>
        <w:tc>
          <w:tcPr>
            <w:tcW w:w="1265" w:type="dxa"/>
            <w:noWrap/>
            <w:vAlign w:val="center"/>
            <w:hideMark/>
          </w:tcPr>
          <w:p w14:paraId="55CE017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w:t>
            </w:r>
          </w:p>
        </w:tc>
        <w:tc>
          <w:tcPr>
            <w:tcW w:w="606" w:type="dxa"/>
            <w:noWrap/>
            <w:vAlign w:val="center"/>
            <w:hideMark/>
          </w:tcPr>
          <w:p w14:paraId="5B1C460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23.1</w:t>
            </w:r>
          </w:p>
        </w:tc>
      </w:tr>
      <w:tr w:rsidR="000F2958" w14:paraId="2CF7B0A6" w14:textId="77777777">
        <w:trPr>
          <w:trHeight w:val="300"/>
        </w:trPr>
        <w:tc>
          <w:tcPr>
            <w:tcW w:w="568" w:type="dxa"/>
            <w:noWrap/>
            <w:hideMark/>
          </w:tcPr>
          <w:p w14:paraId="15E172E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0501398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Irvingia gabonensis </w:t>
            </w:r>
            <w:r>
              <w:rPr>
                <w:rFonts w:ascii="Times New Roman" w:eastAsia="Times New Roman" w:hAnsi="Times New Roman" w:cs="Times New Roman"/>
                <w:sz w:val="16"/>
                <w:szCs w:val="16"/>
                <w:lang w:eastAsia="fr-FR"/>
              </w:rPr>
              <w:t>( Aurey -Lecomte ex</w:t>
            </w:r>
          </w:p>
        </w:tc>
        <w:tc>
          <w:tcPr>
            <w:tcW w:w="992" w:type="dxa"/>
            <w:noWrap/>
            <w:vAlign w:val="center"/>
            <w:hideMark/>
          </w:tcPr>
          <w:p w14:paraId="1B09637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7.91</w:t>
            </w:r>
          </w:p>
        </w:tc>
        <w:tc>
          <w:tcPr>
            <w:tcW w:w="1418" w:type="dxa"/>
            <w:noWrap/>
            <w:vAlign w:val="center"/>
            <w:hideMark/>
          </w:tcPr>
          <w:p w14:paraId="523A6BA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19.3</w:t>
            </w:r>
          </w:p>
        </w:tc>
        <w:tc>
          <w:tcPr>
            <w:tcW w:w="1265" w:type="dxa"/>
            <w:noWrap/>
            <w:vAlign w:val="center"/>
            <w:hideMark/>
          </w:tcPr>
          <w:p w14:paraId="2640DD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8.12</w:t>
            </w:r>
          </w:p>
        </w:tc>
        <w:tc>
          <w:tcPr>
            <w:tcW w:w="606" w:type="dxa"/>
            <w:noWrap/>
            <w:vAlign w:val="center"/>
            <w:hideMark/>
          </w:tcPr>
          <w:p w14:paraId="2171FCB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35.4</w:t>
            </w:r>
          </w:p>
        </w:tc>
      </w:tr>
      <w:tr w:rsidR="000F2958" w14:paraId="01D09D2E" w14:textId="77777777">
        <w:trPr>
          <w:trHeight w:val="300"/>
        </w:trPr>
        <w:tc>
          <w:tcPr>
            <w:tcW w:w="568" w:type="dxa"/>
            <w:noWrap/>
            <w:hideMark/>
          </w:tcPr>
          <w:p w14:paraId="3540997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0A4B1BF5"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r>
              <w:rPr>
                <w:rFonts w:ascii="Times New Roman" w:eastAsia="Times New Roman" w:hAnsi="Times New Roman" w:cs="Times New Roman"/>
                <w:sz w:val="16"/>
                <w:szCs w:val="16"/>
                <w:lang w:eastAsia="fr-FR"/>
              </w:rPr>
              <w:t>Müll.Arg</w:t>
            </w:r>
          </w:p>
        </w:tc>
        <w:tc>
          <w:tcPr>
            <w:tcW w:w="992" w:type="dxa"/>
            <w:noWrap/>
            <w:vAlign w:val="center"/>
            <w:hideMark/>
          </w:tcPr>
          <w:p w14:paraId="7E7C374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7.19</w:t>
            </w:r>
          </w:p>
        </w:tc>
        <w:tc>
          <w:tcPr>
            <w:tcW w:w="1418" w:type="dxa"/>
            <w:noWrap/>
            <w:vAlign w:val="center"/>
            <w:hideMark/>
          </w:tcPr>
          <w:p w14:paraId="7E62991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3.96</w:t>
            </w:r>
          </w:p>
        </w:tc>
        <w:tc>
          <w:tcPr>
            <w:tcW w:w="1265" w:type="dxa"/>
            <w:noWrap/>
            <w:vAlign w:val="center"/>
            <w:hideMark/>
          </w:tcPr>
          <w:p w14:paraId="27987EB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5.43</w:t>
            </w:r>
          </w:p>
        </w:tc>
        <w:tc>
          <w:tcPr>
            <w:tcW w:w="606" w:type="dxa"/>
            <w:noWrap/>
            <w:vAlign w:val="center"/>
            <w:hideMark/>
          </w:tcPr>
          <w:p w14:paraId="20413D1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16.6</w:t>
            </w:r>
          </w:p>
        </w:tc>
      </w:tr>
      <w:tr w:rsidR="000F2958" w14:paraId="5FA3157B" w14:textId="77777777">
        <w:trPr>
          <w:trHeight w:val="300"/>
        </w:trPr>
        <w:tc>
          <w:tcPr>
            <w:tcW w:w="568" w:type="dxa"/>
            <w:noWrap/>
            <w:hideMark/>
          </w:tcPr>
          <w:p w14:paraId="3B2AA5A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6E22F85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Morinda lucida </w:t>
            </w:r>
            <w:r>
              <w:rPr>
                <w:rFonts w:ascii="Times New Roman" w:eastAsia="Times New Roman" w:hAnsi="Times New Roman" w:cs="Times New Roman"/>
                <w:sz w:val="16"/>
                <w:szCs w:val="16"/>
                <w:lang w:eastAsia="fr-FR"/>
              </w:rPr>
              <w:t>Benth .</w:t>
            </w:r>
          </w:p>
        </w:tc>
        <w:tc>
          <w:tcPr>
            <w:tcW w:w="992" w:type="dxa"/>
            <w:noWrap/>
            <w:vAlign w:val="center"/>
            <w:hideMark/>
          </w:tcPr>
          <w:p w14:paraId="4E9E74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5.76</w:t>
            </w:r>
          </w:p>
        </w:tc>
        <w:tc>
          <w:tcPr>
            <w:tcW w:w="1418" w:type="dxa"/>
            <w:noWrap/>
            <w:vAlign w:val="center"/>
            <w:hideMark/>
          </w:tcPr>
          <w:p w14:paraId="2FD5260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3.09</w:t>
            </w:r>
          </w:p>
        </w:tc>
        <w:tc>
          <w:tcPr>
            <w:tcW w:w="1265" w:type="dxa"/>
            <w:noWrap/>
            <w:vAlign w:val="center"/>
            <w:hideMark/>
          </w:tcPr>
          <w:p w14:paraId="1F1FAD7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w:t>
            </w:r>
          </w:p>
        </w:tc>
        <w:tc>
          <w:tcPr>
            <w:tcW w:w="606" w:type="dxa"/>
            <w:noWrap/>
            <w:vAlign w:val="center"/>
            <w:hideMark/>
          </w:tcPr>
          <w:p w14:paraId="1D4E4B1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14.3</w:t>
            </w:r>
          </w:p>
        </w:tc>
      </w:tr>
      <w:tr w:rsidR="000F2958" w14:paraId="241CD850" w14:textId="77777777">
        <w:trPr>
          <w:trHeight w:val="300"/>
        </w:trPr>
        <w:tc>
          <w:tcPr>
            <w:tcW w:w="568" w:type="dxa"/>
            <w:noWrap/>
            <w:hideMark/>
          </w:tcPr>
          <w:p w14:paraId="0E7BFA0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4532EEE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Psychotria densinervia </w:t>
            </w:r>
            <w:r>
              <w:rPr>
                <w:rFonts w:ascii="Times New Roman" w:eastAsia="Times New Roman" w:hAnsi="Times New Roman" w:cs="Times New Roman"/>
                <w:sz w:val="16"/>
                <w:szCs w:val="16"/>
                <w:lang w:eastAsia="fr-FR"/>
              </w:rPr>
              <w:t>(K. Krause) Verdc .</w:t>
            </w:r>
          </w:p>
        </w:tc>
        <w:tc>
          <w:tcPr>
            <w:tcW w:w="992" w:type="dxa"/>
            <w:noWrap/>
            <w:vAlign w:val="center"/>
            <w:hideMark/>
          </w:tcPr>
          <w:p w14:paraId="4E03D50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2.88</w:t>
            </w:r>
          </w:p>
        </w:tc>
        <w:tc>
          <w:tcPr>
            <w:tcW w:w="1418" w:type="dxa"/>
            <w:noWrap/>
            <w:vAlign w:val="center"/>
            <w:hideMark/>
          </w:tcPr>
          <w:p w14:paraId="041067D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1265" w:type="dxa"/>
            <w:noWrap/>
            <w:vAlign w:val="center"/>
            <w:hideMark/>
          </w:tcPr>
          <w:p w14:paraId="046BF44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w:t>
            </w:r>
          </w:p>
        </w:tc>
        <w:tc>
          <w:tcPr>
            <w:tcW w:w="606" w:type="dxa"/>
            <w:noWrap/>
            <w:vAlign w:val="center"/>
            <w:hideMark/>
          </w:tcPr>
          <w:p w14:paraId="3C870D7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r>
      <w:tr w:rsidR="000F2958" w14:paraId="350462EB" w14:textId="77777777">
        <w:trPr>
          <w:trHeight w:val="300"/>
        </w:trPr>
        <w:tc>
          <w:tcPr>
            <w:tcW w:w="568" w:type="dxa"/>
            <w:noWrap/>
            <w:hideMark/>
          </w:tcPr>
          <w:p w14:paraId="01A34A7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94" w:type="dxa"/>
            <w:noWrap/>
            <w:hideMark/>
          </w:tcPr>
          <w:p w14:paraId="706D2D38"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Distemonanthus benthamianus </w:t>
            </w:r>
            <w:r>
              <w:rPr>
                <w:rFonts w:ascii="Times New Roman" w:eastAsia="Times New Roman" w:hAnsi="Times New Roman" w:cs="Times New Roman"/>
                <w:sz w:val="16"/>
                <w:szCs w:val="16"/>
                <w:lang w:eastAsia="fr-FR"/>
              </w:rPr>
              <w:t>Bail .</w:t>
            </w:r>
          </w:p>
        </w:tc>
        <w:tc>
          <w:tcPr>
            <w:tcW w:w="992" w:type="dxa"/>
            <w:noWrap/>
            <w:vAlign w:val="center"/>
            <w:hideMark/>
          </w:tcPr>
          <w:p w14:paraId="276CA3B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8.44</w:t>
            </w:r>
          </w:p>
        </w:tc>
        <w:tc>
          <w:tcPr>
            <w:tcW w:w="1418" w:type="dxa"/>
            <w:noWrap/>
            <w:vAlign w:val="center"/>
            <w:hideMark/>
          </w:tcPr>
          <w:p w14:paraId="0DD0CDB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c>
          <w:tcPr>
            <w:tcW w:w="1265" w:type="dxa"/>
            <w:noWrap/>
            <w:vAlign w:val="center"/>
            <w:hideMark/>
          </w:tcPr>
          <w:p w14:paraId="1E6FB39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c>
          <w:tcPr>
            <w:tcW w:w="606" w:type="dxa"/>
            <w:noWrap/>
            <w:vAlign w:val="center"/>
            <w:hideMark/>
          </w:tcPr>
          <w:p w14:paraId="3E49EC8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24.9</w:t>
            </w:r>
          </w:p>
        </w:tc>
      </w:tr>
      <w:tr w:rsidR="000F2958" w14:paraId="7A0D9112" w14:textId="77777777">
        <w:trPr>
          <w:trHeight w:val="300"/>
        </w:trPr>
        <w:tc>
          <w:tcPr>
            <w:tcW w:w="568" w:type="dxa"/>
            <w:noWrap/>
            <w:hideMark/>
          </w:tcPr>
          <w:p w14:paraId="0453A3B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17BC9539"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Spathodea campanulata </w:t>
            </w:r>
            <w:r>
              <w:rPr>
                <w:rFonts w:ascii="Times New Roman" w:eastAsia="Times New Roman" w:hAnsi="Times New Roman" w:cs="Times New Roman"/>
                <w:sz w:val="16"/>
                <w:szCs w:val="16"/>
                <w:lang w:eastAsia="fr-FR"/>
              </w:rPr>
              <w:t xml:space="preserve">P. Beauv </w:t>
            </w:r>
            <w:r>
              <w:rPr>
                <w:rFonts w:ascii="Times New Roman" w:eastAsia="Times New Roman" w:hAnsi="Times New Roman" w:cs="Times New Roman"/>
                <w:i/>
                <w:iCs/>
                <w:sz w:val="16"/>
                <w:szCs w:val="16"/>
                <w:lang w:eastAsia="fr-FR"/>
              </w:rPr>
              <w:t>.</w:t>
            </w:r>
          </w:p>
        </w:tc>
        <w:tc>
          <w:tcPr>
            <w:tcW w:w="992" w:type="dxa"/>
            <w:noWrap/>
            <w:vAlign w:val="center"/>
            <w:hideMark/>
          </w:tcPr>
          <w:p w14:paraId="38B57B3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1.44</w:t>
            </w:r>
          </w:p>
        </w:tc>
        <w:tc>
          <w:tcPr>
            <w:tcW w:w="1418" w:type="dxa"/>
            <w:noWrap/>
            <w:vAlign w:val="center"/>
            <w:hideMark/>
          </w:tcPr>
          <w:p w14:paraId="25446F6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9.59</w:t>
            </w:r>
          </w:p>
        </w:tc>
        <w:tc>
          <w:tcPr>
            <w:tcW w:w="1265" w:type="dxa"/>
            <w:noWrap/>
            <w:vAlign w:val="center"/>
            <w:hideMark/>
          </w:tcPr>
          <w:p w14:paraId="4D71AEE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c>
          <w:tcPr>
            <w:tcW w:w="606" w:type="dxa"/>
            <w:noWrap/>
            <w:vAlign w:val="center"/>
            <w:hideMark/>
          </w:tcPr>
          <w:p w14:paraId="1D4EFB5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16.4</w:t>
            </w:r>
          </w:p>
        </w:tc>
      </w:tr>
      <w:tr w:rsidR="000F2958" w14:paraId="6CD051A2" w14:textId="77777777">
        <w:trPr>
          <w:trHeight w:val="300"/>
        </w:trPr>
        <w:tc>
          <w:tcPr>
            <w:tcW w:w="568" w:type="dxa"/>
            <w:noWrap/>
            <w:hideMark/>
          </w:tcPr>
          <w:p w14:paraId="7583568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4A9B3D9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Sterculia tragacantha</w:t>
            </w:r>
            <w:r>
              <w:rPr>
                <w:rFonts w:ascii="Times New Roman" w:eastAsia="Times New Roman" w:hAnsi="Times New Roman" w:cs="Times New Roman"/>
                <w:sz w:val="16"/>
                <w:szCs w:val="16"/>
                <w:lang w:eastAsia="fr-FR"/>
              </w:rPr>
              <w:t xml:space="preserve"> Lindl .</w:t>
            </w:r>
          </w:p>
        </w:tc>
        <w:tc>
          <w:tcPr>
            <w:tcW w:w="992" w:type="dxa"/>
            <w:noWrap/>
            <w:vAlign w:val="center"/>
            <w:hideMark/>
          </w:tcPr>
          <w:p w14:paraId="40971E9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2.44</w:t>
            </w:r>
          </w:p>
        </w:tc>
        <w:tc>
          <w:tcPr>
            <w:tcW w:w="1418" w:type="dxa"/>
            <w:noWrap/>
            <w:vAlign w:val="center"/>
            <w:hideMark/>
          </w:tcPr>
          <w:p w14:paraId="007CE1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4.15</w:t>
            </w:r>
          </w:p>
        </w:tc>
        <w:tc>
          <w:tcPr>
            <w:tcW w:w="1265" w:type="dxa"/>
            <w:noWrap/>
            <w:vAlign w:val="center"/>
            <w:hideMark/>
          </w:tcPr>
          <w:p w14:paraId="51D9DA5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c>
          <w:tcPr>
            <w:tcW w:w="606" w:type="dxa"/>
            <w:noWrap/>
            <w:vAlign w:val="center"/>
            <w:hideMark/>
          </w:tcPr>
          <w:p w14:paraId="2D994A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r>
      <w:tr w:rsidR="000F2958" w14:paraId="7E7845EA" w14:textId="77777777">
        <w:trPr>
          <w:trHeight w:val="300"/>
        </w:trPr>
        <w:tc>
          <w:tcPr>
            <w:tcW w:w="4962" w:type="dxa"/>
            <w:gridSpan w:val="2"/>
            <w:noWrap/>
            <w:hideMark/>
          </w:tcPr>
          <w:p w14:paraId="0ED8A393"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Total</w:t>
            </w:r>
          </w:p>
        </w:tc>
        <w:tc>
          <w:tcPr>
            <w:tcW w:w="992" w:type="dxa"/>
            <w:noWrap/>
            <w:vAlign w:val="center"/>
            <w:hideMark/>
          </w:tcPr>
          <w:p w14:paraId="2807EB4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18" w:type="dxa"/>
            <w:noWrap/>
            <w:vAlign w:val="center"/>
            <w:hideMark/>
          </w:tcPr>
          <w:p w14:paraId="52DA21C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65" w:type="dxa"/>
            <w:noWrap/>
            <w:vAlign w:val="center"/>
            <w:hideMark/>
          </w:tcPr>
          <w:p w14:paraId="154F2D2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606" w:type="dxa"/>
            <w:noWrap/>
            <w:vAlign w:val="center"/>
            <w:hideMark/>
          </w:tcPr>
          <w:p w14:paraId="19842B2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671F1E89" w14:textId="77777777" w:rsidR="000F2958" w:rsidRDefault="000F2958">
      <w:pPr>
        <w:spacing w:after="0" w:line="240" w:lineRule="auto"/>
        <w:jc w:val="both"/>
        <w:rPr>
          <w:rFonts w:ascii="Times New Roman" w:hAnsi="Times New Roman" w:cs="Times New Roman"/>
          <w:sz w:val="16"/>
          <w:szCs w:val="16"/>
        </w:rPr>
      </w:pPr>
    </w:p>
    <w:p w14:paraId="2FE369C7" w14:textId="77777777" w:rsidR="000F2958" w:rsidRDefault="003B2158">
      <w:pPr>
        <w:pStyle w:val="ListParagraph"/>
        <w:numPr>
          <w:ilvl w:val="0"/>
          <w:numId w:val="6"/>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Grouping at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Alstonia boonei </w:t>
      </w:r>
      <w:r>
        <w:rPr>
          <w:rFonts w:ascii="Times New Roman" w:eastAsia="Times New Roman" w:hAnsi="Times New Roman" w:cs="Times New Roman"/>
          <w:iCs/>
          <w:sz w:val="16"/>
          <w:szCs w:val="16"/>
          <w:lang w:eastAsia="fr-FR"/>
        </w:rPr>
        <w:t>(GIII)</w:t>
      </w:r>
    </w:p>
    <w:tbl>
      <w:tblPr>
        <w:tblStyle w:val="TableGrid"/>
        <w:tblW w:w="9314" w:type="dxa"/>
        <w:tblInd w:w="-176" w:type="dxa"/>
        <w:tblLook w:val="04A0" w:firstRow="1" w:lastRow="0" w:firstColumn="1" w:lastColumn="0" w:noHBand="0" w:noVBand="1"/>
      </w:tblPr>
      <w:tblGrid>
        <w:gridCol w:w="568"/>
        <w:gridCol w:w="4394"/>
        <w:gridCol w:w="992"/>
        <w:gridCol w:w="1446"/>
        <w:gridCol w:w="1248"/>
        <w:gridCol w:w="666"/>
      </w:tblGrid>
      <w:tr w:rsidR="000F2958" w14:paraId="44360CEA" w14:textId="77777777">
        <w:trPr>
          <w:trHeight w:val="300"/>
        </w:trPr>
        <w:tc>
          <w:tcPr>
            <w:tcW w:w="4962" w:type="dxa"/>
            <w:gridSpan w:val="2"/>
            <w:noWrap/>
            <w:vAlign w:val="center"/>
            <w:hideMark/>
          </w:tcPr>
          <w:p w14:paraId="425DC25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hideMark/>
          </w:tcPr>
          <w:p w14:paraId="21F69081" w14:textId="77777777" w:rsidR="000F2958" w:rsidRDefault="003B2158">
            <w:pP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446" w:type="dxa"/>
            <w:noWrap/>
            <w:hideMark/>
          </w:tcPr>
          <w:p w14:paraId="0B125E1D"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48" w:type="dxa"/>
            <w:noWrap/>
            <w:hideMark/>
          </w:tcPr>
          <w:p w14:paraId="5AB12951"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666" w:type="dxa"/>
            <w:noWrap/>
            <w:hideMark/>
          </w:tcPr>
          <w:p w14:paraId="598AFDC3"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46B68179" w14:textId="77777777">
        <w:trPr>
          <w:trHeight w:val="300"/>
        </w:trPr>
        <w:tc>
          <w:tcPr>
            <w:tcW w:w="568" w:type="dxa"/>
            <w:noWrap/>
            <w:hideMark/>
          </w:tcPr>
          <w:p w14:paraId="689A362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7F1BC15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Allanblackia floribunda </w:t>
            </w:r>
            <w:r>
              <w:rPr>
                <w:rFonts w:ascii="Times New Roman" w:eastAsia="Times New Roman" w:hAnsi="Times New Roman" w:cs="Times New Roman"/>
                <w:sz w:val="16"/>
                <w:szCs w:val="16"/>
                <w:lang w:eastAsia="fr-FR"/>
              </w:rPr>
              <w:t>Olive .</w:t>
            </w:r>
          </w:p>
        </w:tc>
        <w:tc>
          <w:tcPr>
            <w:tcW w:w="992" w:type="dxa"/>
            <w:noWrap/>
            <w:hideMark/>
          </w:tcPr>
          <w:p w14:paraId="66D524A2"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2.56</w:t>
            </w:r>
          </w:p>
        </w:tc>
        <w:tc>
          <w:tcPr>
            <w:tcW w:w="1446" w:type="dxa"/>
            <w:noWrap/>
            <w:hideMark/>
          </w:tcPr>
          <w:p w14:paraId="19EB48C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4.14</w:t>
            </w:r>
          </w:p>
        </w:tc>
        <w:tc>
          <w:tcPr>
            <w:tcW w:w="1248" w:type="dxa"/>
            <w:noWrap/>
            <w:hideMark/>
          </w:tcPr>
          <w:p w14:paraId="7253994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0C2D738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9.48</w:t>
            </w:r>
          </w:p>
        </w:tc>
      </w:tr>
      <w:tr w:rsidR="000F2958" w14:paraId="6608C500" w14:textId="77777777">
        <w:trPr>
          <w:trHeight w:val="300"/>
        </w:trPr>
        <w:tc>
          <w:tcPr>
            <w:tcW w:w="568" w:type="dxa"/>
            <w:noWrap/>
            <w:hideMark/>
          </w:tcPr>
          <w:p w14:paraId="6291E0F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11702DB0"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Alstonia boonei </w:t>
            </w:r>
            <w:r>
              <w:rPr>
                <w:rFonts w:ascii="Times New Roman" w:eastAsia="Times New Roman" w:hAnsi="Times New Roman" w:cs="Times New Roman"/>
                <w:sz w:val="16"/>
                <w:szCs w:val="16"/>
                <w:lang w:eastAsia="fr-FR"/>
              </w:rPr>
              <w:t>From Wild.</w:t>
            </w:r>
          </w:p>
        </w:tc>
        <w:tc>
          <w:tcPr>
            <w:tcW w:w="992" w:type="dxa"/>
            <w:noWrap/>
            <w:hideMark/>
          </w:tcPr>
          <w:p w14:paraId="1795772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10.12</w:t>
            </w:r>
          </w:p>
        </w:tc>
        <w:tc>
          <w:tcPr>
            <w:tcW w:w="1446" w:type="dxa"/>
            <w:noWrap/>
            <w:hideMark/>
          </w:tcPr>
          <w:p w14:paraId="5C07FDA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16.31</w:t>
            </w:r>
          </w:p>
        </w:tc>
        <w:tc>
          <w:tcPr>
            <w:tcW w:w="1248" w:type="dxa"/>
            <w:noWrap/>
            <w:hideMark/>
          </w:tcPr>
          <w:p w14:paraId="399C147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10.56</w:t>
            </w:r>
          </w:p>
        </w:tc>
        <w:tc>
          <w:tcPr>
            <w:tcW w:w="666" w:type="dxa"/>
            <w:noWrap/>
            <w:hideMark/>
          </w:tcPr>
          <w:p w14:paraId="33C9F6A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36.99</w:t>
            </w:r>
          </w:p>
        </w:tc>
      </w:tr>
      <w:tr w:rsidR="000F2958" w14:paraId="2C92916A" w14:textId="77777777">
        <w:trPr>
          <w:trHeight w:val="300"/>
        </w:trPr>
        <w:tc>
          <w:tcPr>
            <w:tcW w:w="568" w:type="dxa"/>
            <w:noWrap/>
            <w:hideMark/>
          </w:tcPr>
          <w:p w14:paraId="797A8AC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6D2A14AF" w14:textId="77777777"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Desbordesia oblonga (Engl.) Van Thiegh .</w:t>
            </w:r>
          </w:p>
        </w:tc>
        <w:tc>
          <w:tcPr>
            <w:tcW w:w="992" w:type="dxa"/>
            <w:noWrap/>
            <w:hideMark/>
          </w:tcPr>
          <w:p w14:paraId="0268601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3.27</w:t>
            </w:r>
          </w:p>
        </w:tc>
        <w:tc>
          <w:tcPr>
            <w:tcW w:w="1446" w:type="dxa"/>
            <w:noWrap/>
            <w:hideMark/>
          </w:tcPr>
          <w:p w14:paraId="793BC04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8.08</w:t>
            </w:r>
          </w:p>
        </w:tc>
        <w:tc>
          <w:tcPr>
            <w:tcW w:w="1248" w:type="dxa"/>
            <w:noWrap/>
            <w:hideMark/>
          </w:tcPr>
          <w:p w14:paraId="044B4C4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57BA992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16.91</w:t>
            </w:r>
          </w:p>
        </w:tc>
      </w:tr>
      <w:tr w:rsidR="000F2958" w14:paraId="20A75F37" w14:textId="77777777">
        <w:trPr>
          <w:trHeight w:val="300"/>
        </w:trPr>
        <w:tc>
          <w:tcPr>
            <w:tcW w:w="568" w:type="dxa"/>
            <w:noWrap/>
            <w:hideMark/>
          </w:tcPr>
          <w:p w14:paraId="0DE148F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16B984E0"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Myrianthus arboreus </w:t>
            </w:r>
            <w:r>
              <w:rPr>
                <w:rFonts w:ascii="Times New Roman" w:eastAsia="Times New Roman" w:hAnsi="Times New Roman" w:cs="Times New Roman"/>
                <w:sz w:val="16"/>
                <w:szCs w:val="16"/>
                <w:lang w:eastAsia="fr-FR"/>
              </w:rPr>
              <w:t xml:space="preserve">P. Beauv </w:t>
            </w:r>
            <w:r>
              <w:rPr>
                <w:rFonts w:ascii="Times New Roman" w:eastAsia="Times New Roman" w:hAnsi="Times New Roman" w:cs="Times New Roman"/>
                <w:i/>
                <w:iCs/>
                <w:sz w:val="16"/>
                <w:szCs w:val="16"/>
                <w:lang w:eastAsia="fr-FR"/>
              </w:rPr>
              <w:t>.</w:t>
            </w:r>
          </w:p>
        </w:tc>
        <w:tc>
          <w:tcPr>
            <w:tcW w:w="992" w:type="dxa"/>
            <w:noWrap/>
            <w:hideMark/>
          </w:tcPr>
          <w:p w14:paraId="662B47F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3.28</w:t>
            </w:r>
          </w:p>
        </w:tc>
        <w:tc>
          <w:tcPr>
            <w:tcW w:w="1446" w:type="dxa"/>
            <w:noWrap/>
            <w:hideMark/>
          </w:tcPr>
          <w:p w14:paraId="25757AB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w:t>
            </w:r>
          </w:p>
        </w:tc>
        <w:tc>
          <w:tcPr>
            <w:tcW w:w="1248" w:type="dxa"/>
            <w:noWrap/>
            <w:hideMark/>
          </w:tcPr>
          <w:p w14:paraId="26F2AFF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8.78</w:t>
            </w:r>
          </w:p>
        </w:tc>
        <w:tc>
          <w:tcPr>
            <w:tcW w:w="666" w:type="dxa"/>
            <w:noWrap/>
            <w:hideMark/>
          </w:tcPr>
          <w:p w14:paraId="4754F0D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17.38</w:t>
            </w:r>
          </w:p>
        </w:tc>
      </w:tr>
      <w:tr w:rsidR="000F2958" w14:paraId="6FCD42F2" w14:textId="77777777">
        <w:trPr>
          <w:trHeight w:val="300"/>
        </w:trPr>
        <w:tc>
          <w:tcPr>
            <w:tcW w:w="568" w:type="dxa"/>
            <w:noWrap/>
            <w:hideMark/>
          </w:tcPr>
          <w:p w14:paraId="4FFC79E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23DE54B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Ongokea gore </w:t>
            </w:r>
            <w:r>
              <w:rPr>
                <w:rFonts w:ascii="Times New Roman" w:eastAsia="Times New Roman" w:hAnsi="Times New Roman" w:cs="Times New Roman"/>
                <w:sz w:val="16"/>
                <w:szCs w:val="16"/>
                <w:lang w:eastAsia="fr-FR"/>
              </w:rPr>
              <w:t>Pierre</w:t>
            </w:r>
          </w:p>
        </w:tc>
        <w:tc>
          <w:tcPr>
            <w:tcW w:w="992" w:type="dxa"/>
            <w:noWrap/>
            <w:hideMark/>
          </w:tcPr>
          <w:p w14:paraId="23658FC2"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2.28</w:t>
            </w:r>
          </w:p>
        </w:tc>
        <w:tc>
          <w:tcPr>
            <w:tcW w:w="1446" w:type="dxa"/>
            <w:noWrap/>
            <w:hideMark/>
          </w:tcPr>
          <w:p w14:paraId="0A48C8B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5.98</w:t>
            </w:r>
          </w:p>
        </w:tc>
        <w:tc>
          <w:tcPr>
            <w:tcW w:w="1248" w:type="dxa"/>
            <w:noWrap/>
            <w:hideMark/>
          </w:tcPr>
          <w:p w14:paraId="2547DF28"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5148C57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13.82</w:t>
            </w:r>
          </w:p>
        </w:tc>
      </w:tr>
      <w:tr w:rsidR="000F2958" w14:paraId="496C091C" w14:textId="77777777">
        <w:trPr>
          <w:trHeight w:val="300"/>
        </w:trPr>
        <w:tc>
          <w:tcPr>
            <w:tcW w:w="568" w:type="dxa"/>
            <w:noWrap/>
            <w:hideMark/>
          </w:tcPr>
          <w:p w14:paraId="308E256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583D4152"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Pentaclethra macrophylla </w:t>
            </w:r>
            <w:r>
              <w:rPr>
                <w:rFonts w:ascii="Times New Roman" w:eastAsia="Times New Roman" w:hAnsi="Times New Roman" w:cs="Times New Roman"/>
                <w:sz w:val="16"/>
                <w:szCs w:val="16"/>
                <w:lang w:eastAsia="fr-FR"/>
              </w:rPr>
              <w:t>Benth .</w:t>
            </w:r>
          </w:p>
        </w:tc>
        <w:tc>
          <w:tcPr>
            <w:tcW w:w="992" w:type="dxa"/>
            <w:noWrap/>
            <w:hideMark/>
          </w:tcPr>
          <w:p w14:paraId="40FFD86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2.56</w:t>
            </w:r>
          </w:p>
        </w:tc>
        <w:tc>
          <w:tcPr>
            <w:tcW w:w="1446" w:type="dxa"/>
            <w:noWrap/>
            <w:hideMark/>
          </w:tcPr>
          <w:p w14:paraId="321CE92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9.14</w:t>
            </w:r>
          </w:p>
        </w:tc>
        <w:tc>
          <w:tcPr>
            <w:tcW w:w="1248" w:type="dxa"/>
            <w:noWrap/>
            <w:hideMark/>
          </w:tcPr>
          <w:p w14:paraId="1A29C7A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4FDC170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14.48</w:t>
            </w:r>
          </w:p>
        </w:tc>
      </w:tr>
      <w:tr w:rsidR="000F2958" w14:paraId="78027F31" w14:textId="77777777">
        <w:trPr>
          <w:trHeight w:val="300"/>
        </w:trPr>
        <w:tc>
          <w:tcPr>
            <w:tcW w:w="568" w:type="dxa"/>
            <w:noWrap/>
            <w:hideMark/>
          </w:tcPr>
          <w:p w14:paraId="50A65F6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19A698EF"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Pterocarpus soyauxii </w:t>
            </w:r>
            <w:r>
              <w:rPr>
                <w:rFonts w:ascii="Times New Roman" w:eastAsia="Times New Roman" w:hAnsi="Times New Roman" w:cs="Times New Roman"/>
                <w:sz w:val="16"/>
                <w:szCs w:val="16"/>
                <w:lang w:eastAsia="fr-FR"/>
              </w:rPr>
              <w:t>Taub .</w:t>
            </w:r>
          </w:p>
        </w:tc>
        <w:tc>
          <w:tcPr>
            <w:tcW w:w="992" w:type="dxa"/>
            <w:noWrap/>
            <w:hideMark/>
          </w:tcPr>
          <w:p w14:paraId="2745CA3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2.51</w:t>
            </w:r>
          </w:p>
        </w:tc>
        <w:tc>
          <w:tcPr>
            <w:tcW w:w="1446" w:type="dxa"/>
            <w:noWrap/>
            <w:hideMark/>
          </w:tcPr>
          <w:p w14:paraId="3B6C4F9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7.52</w:t>
            </w:r>
          </w:p>
        </w:tc>
        <w:tc>
          <w:tcPr>
            <w:tcW w:w="1248" w:type="dxa"/>
            <w:noWrap/>
            <w:hideMark/>
          </w:tcPr>
          <w:p w14:paraId="45362DF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2.33</w:t>
            </w:r>
          </w:p>
        </w:tc>
        <w:tc>
          <w:tcPr>
            <w:tcW w:w="666" w:type="dxa"/>
            <w:noWrap/>
            <w:hideMark/>
          </w:tcPr>
          <w:p w14:paraId="4A8F56D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12.36</w:t>
            </w:r>
          </w:p>
        </w:tc>
      </w:tr>
      <w:tr w:rsidR="000F2958" w14:paraId="1249867F" w14:textId="77777777">
        <w:trPr>
          <w:trHeight w:val="300"/>
        </w:trPr>
        <w:tc>
          <w:tcPr>
            <w:tcW w:w="568" w:type="dxa"/>
            <w:noWrap/>
            <w:hideMark/>
          </w:tcPr>
          <w:p w14:paraId="12D670E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47B5987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Pycnanthus angolensis </w:t>
            </w:r>
            <w:r>
              <w:rPr>
                <w:rFonts w:ascii="Times New Roman" w:eastAsia="Times New Roman" w:hAnsi="Times New Roman" w:cs="Times New Roman"/>
                <w:sz w:val="16"/>
                <w:szCs w:val="16"/>
                <w:lang w:eastAsia="fr-FR"/>
              </w:rPr>
              <w:t>( Welw .) Warb .</w:t>
            </w:r>
          </w:p>
        </w:tc>
        <w:tc>
          <w:tcPr>
            <w:tcW w:w="992" w:type="dxa"/>
            <w:noWrap/>
            <w:hideMark/>
          </w:tcPr>
          <w:p w14:paraId="1CA8066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3.42</w:t>
            </w:r>
          </w:p>
        </w:tc>
        <w:tc>
          <w:tcPr>
            <w:tcW w:w="1446" w:type="dxa"/>
            <w:noWrap/>
            <w:hideMark/>
          </w:tcPr>
          <w:p w14:paraId="750B1F3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w:t>
            </w:r>
          </w:p>
        </w:tc>
        <w:tc>
          <w:tcPr>
            <w:tcW w:w="1248" w:type="dxa"/>
            <w:noWrap/>
            <w:hideMark/>
          </w:tcPr>
          <w:p w14:paraId="46BA8EB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7E01488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14.3</w:t>
            </w:r>
          </w:p>
        </w:tc>
      </w:tr>
      <w:tr w:rsidR="000F2958" w14:paraId="102CDAFD" w14:textId="77777777">
        <w:trPr>
          <w:trHeight w:val="300"/>
        </w:trPr>
        <w:tc>
          <w:tcPr>
            <w:tcW w:w="568" w:type="dxa"/>
            <w:noWrap/>
            <w:hideMark/>
          </w:tcPr>
          <w:p w14:paraId="29B9630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4818891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992" w:type="dxa"/>
            <w:noWrap/>
            <w:hideMark/>
          </w:tcPr>
          <w:p w14:paraId="704FFBC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53.24</w:t>
            </w:r>
          </w:p>
        </w:tc>
        <w:tc>
          <w:tcPr>
            <w:tcW w:w="1446" w:type="dxa"/>
            <w:noWrap/>
            <w:hideMark/>
          </w:tcPr>
          <w:p w14:paraId="477A61D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w:t>
            </w:r>
          </w:p>
        </w:tc>
        <w:tc>
          <w:tcPr>
            <w:tcW w:w="1248" w:type="dxa"/>
            <w:noWrap/>
            <w:hideMark/>
          </w:tcPr>
          <w:p w14:paraId="3D07AA6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26.08</w:t>
            </w:r>
          </w:p>
        </w:tc>
        <w:tc>
          <w:tcPr>
            <w:tcW w:w="666" w:type="dxa"/>
            <w:noWrap/>
            <w:hideMark/>
          </w:tcPr>
          <w:p w14:paraId="6A21079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79.32</w:t>
            </w:r>
          </w:p>
        </w:tc>
      </w:tr>
      <w:tr w:rsidR="000F2958" w14:paraId="531AECFC" w14:textId="77777777">
        <w:trPr>
          <w:trHeight w:val="300"/>
        </w:trPr>
        <w:tc>
          <w:tcPr>
            <w:tcW w:w="568" w:type="dxa"/>
            <w:noWrap/>
            <w:hideMark/>
          </w:tcPr>
          <w:p w14:paraId="23D9D90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94" w:type="dxa"/>
            <w:noWrap/>
            <w:hideMark/>
          </w:tcPr>
          <w:p w14:paraId="7768A9F3"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Ricinodendron heudelotii </w:t>
            </w:r>
            <w:r>
              <w:rPr>
                <w:rFonts w:ascii="Times New Roman" w:eastAsia="Times New Roman" w:hAnsi="Times New Roman" w:cs="Times New Roman"/>
                <w:sz w:val="16"/>
                <w:szCs w:val="16"/>
                <w:lang w:eastAsia="fr-FR"/>
              </w:rPr>
              <w:t>( Bail .) Pierre ex Heckel</w:t>
            </w:r>
          </w:p>
        </w:tc>
        <w:tc>
          <w:tcPr>
            <w:tcW w:w="992" w:type="dxa"/>
            <w:noWrap/>
            <w:hideMark/>
          </w:tcPr>
          <w:p w14:paraId="054CD48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w:t>
            </w:r>
          </w:p>
        </w:tc>
        <w:tc>
          <w:tcPr>
            <w:tcW w:w="1446" w:type="dxa"/>
            <w:noWrap/>
            <w:hideMark/>
          </w:tcPr>
          <w:p w14:paraId="6F810AD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9.72</w:t>
            </w:r>
          </w:p>
        </w:tc>
        <w:tc>
          <w:tcPr>
            <w:tcW w:w="1248" w:type="dxa"/>
            <w:noWrap/>
            <w:hideMark/>
          </w:tcPr>
          <w:p w14:paraId="4489B9D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72AC328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17.78</w:t>
            </w:r>
          </w:p>
        </w:tc>
      </w:tr>
      <w:tr w:rsidR="000F2958" w14:paraId="32D0474E" w14:textId="77777777">
        <w:trPr>
          <w:trHeight w:val="300"/>
        </w:trPr>
        <w:tc>
          <w:tcPr>
            <w:tcW w:w="568" w:type="dxa"/>
            <w:noWrap/>
            <w:hideMark/>
          </w:tcPr>
          <w:p w14:paraId="4B02634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35A76B91"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Sterculia rhinopetala </w:t>
            </w:r>
            <w:r>
              <w:rPr>
                <w:rFonts w:ascii="Times New Roman" w:eastAsia="Times New Roman" w:hAnsi="Times New Roman" w:cs="Times New Roman"/>
                <w:sz w:val="16"/>
                <w:szCs w:val="16"/>
                <w:lang w:eastAsia="fr-FR"/>
              </w:rPr>
              <w:t>K. Schum</w:t>
            </w:r>
          </w:p>
        </w:tc>
        <w:tc>
          <w:tcPr>
            <w:tcW w:w="992" w:type="dxa"/>
            <w:noWrap/>
            <w:hideMark/>
          </w:tcPr>
          <w:p w14:paraId="72D66C2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3.71</w:t>
            </w:r>
          </w:p>
        </w:tc>
        <w:tc>
          <w:tcPr>
            <w:tcW w:w="1446" w:type="dxa"/>
            <w:noWrap/>
            <w:hideMark/>
          </w:tcPr>
          <w:p w14:paraId="2700AD4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6.41</w:t>
            </w:r>
          </w:p>
        </w:tc>
        <w:tc>
          <w:tcPr>
            <w:tcW w:w="1248" w:type="dxa"/>
            <w:noWrap/>
            <w:hideMark/>
          </w:tcPr>
          <w:p w14:paraId="60052A3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4131E94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12.9</w:t>
            </w:r>
          </w:p>
        </w:tc>
      </w:tr>
      <w:tr w:rsidR="000F2958" w14:paraId="7F6B47B4" w14:textId="77777777">
        <w:trPr>
          <w:trHeight w:val="300"/>
        </w:trPr>
        <w:tc>
          <w:tcPr>
            <w:tcW w:w="568" w:type="dxa"/>
            <w:noWrap/>
            <w:hideMark/>
          </w:tcPr>
          <w:p w14:paraId="7B4C396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36420100"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Sterculia tragacantha</w:t>
            </w:r>
            <w:r>
              <w:rPr>
                <w:rFonts w:ascii="Times New Roman" w:eastAsia="Times New Roman" w:hAnsi="Times New Roman" w:cs="Times New Roman"/>
                <w:sz w:val="16"/>
                <w:szCs w:val="16"/>
                <w:lang w:eastAsia="fr-FR"/>
              </w:rPr>
              <w:t xml:space="preserve"> Lindl .</w:t>
            </w:r>
          </w:p>
        </w:tc>
        <w:tc>
          <w:tcPr>
            <w:tcW w:w="992" w:type="dxa"/>
            <w:noWrap/>
            <w:hideMark/>
          </w:tcPr>
          <w:p w14:paraId="1D2D30D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4.26</w:t>
            </w:r>
          </w:p>
        </w:tc>
        <w:tc>
          <w:tcPr>
            <w:tcW w:w="1446" w:type="dxa"/>
            <w:noWrap/>
            <w:hideMark/>
          </w:tcPr>
          <w:p w14:paraId="69B7B21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8.78</w:t>
            </w:r>
          </w:p>
        </w:tc>
        <w:tc>
          <w:tcPr>
            <w:tcW w:w="1248" w:type="dxa"/>
            <w:noWrap/>
            <w:hideMark/>
          </w:tcPr>
          <w:p w14:paraId="47393F6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7.78</w:t>
            </w:r>
          </w:p>
        </w:tc>
        <w:tc>
          <w:tcPr>
            <w:tcW w:w="666" w:type="dxa"/>
            <w:noWrap/>
            <w:hideMark/>
          </w:tcPr>
          <w:p w14:paraId="7A43359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20.82</w:t>
            </w:r>
          </w:p>
        </w:tc>
      </w:tr>
      <w:tr w:rsidR="000F2958" w14:paraId="4863DF2E" w14:textId="77777777">
        <w:trPr>
          <w:trHeight w:val="300"/>
        </w:trPr>
        <w:tc>
          <w:tcPr>
            <w:tcW w:w="568" w:type="dxa"/>
            <w:noWrap/>
            <w:hideMark/>
          </w:tcPr>
          <w:p w14:paraId="51AAB59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c>
          <w:tcPr>
            <w:tcW w:w="4394" w:type="dxa"/>
            <w:noWrap/>
            <w:hideMark/>
          </w:tcPr>
          <w:p w14:paraId="1D05E6D5"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sz w:val="16"/>
                <w:szCs w:val="16"/>
                <w:lang w:eastAsia="fr-FR"/>
              </w:rPr>
              <w:t>Müll . Arg.</w:t>
            </w:r>
          </w:p>
        </w:tc>
        <w:tc>
          <w:tcPr>
            <w:tcW w:w="992" w:type="dxa"/>
            <w:noWrap/>
            <w:hideMark/>
          </w:tcPr>
          <w:p w14:paraId="067545F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6.29</w:t>
            </w:r>
          </w:p>
        </w:tc>
        <w:tc>
          <w:tcPr>
            <w:tcW w:w="1446" w:type="dxa"/>
            <w:noWrap/>
            <w:hideMark/>
          </w:tcPr>
          <w:p w14:paraId="5C0993E8"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13.28</w:t>
            </w:r>
          </w:p>
        </w:tc>
        <w:tc>
          <w:tcPr>
            <w:tcW w:w="1248" w:type="dxa"/>
            <w:noWrap/>
            <w:hideMark/>
          </w:tcPr>
          <w:p w14:paraId="767C053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13.89</w:t>
            </w:r>
          </w:p>
        </w:tc>
        <w:tc>
          <w:tcPr>
            <w:tcW w:w="666" w:type="dxa"/>
            <w:noWrap/>
            <w:hideMark/>
          </w:tcPr>
          <w:p w14:paraId="0EE027C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33.46</w:t>
            </w:r>
          </w:p>
        </w:tc>
      </w:tr>
      <w:tr w:rsidR="000F2958" w14:paraId="1137B64A" w14:textId="77777777">
        <w:trPr>
          <w:trHeight w:val="300"/>
        </w:trPr>
        <w:tc>
          <w:tcPr>
            <w:tcW w:w="568" w:type="dxa"/>
            <w:noWrap/>
            <w:hideMark/>
          </w:tcPr>
          <w:p w14:paraId="3A75BD48" w14:textId="77777777" w:rsidR="000F2958" w:rsidRDefault="000F2958">
            <w:pPr>
              <w:rPr>
                <w:rFonts w:ascii="Times New Roman" w:eastAsia="Times New Roman" w:hAnsi="Times New Roman" w:cs="Times New Roman"/>
                <w:sz w:val="16"/>
                <w:szCs w:val="16"/>
                <w:lang w:eastAsia="fr-FR"/>
              </w:rPr>
            </w:pPr>
          </w:p>
        </w:tc>
        <w:tc>
          <w:tcPr>
            <w:tcW w:w="4394" w:type="dxa"/>
            <w:noWrap/>
            <w:hideMark/>
          </w:tcPr>
          <w:p w14:paraId="51EB3744" w14:textId="77777777" w:rsidR="000F2958" w:rsidRDefault="000F2958">
            <w:pPr>
              <w:rPr>
                <w:rFonts w:ascii="Times New Roman" w:eastAsia="Times New Roman" w:hAnsi="Times New Roman" w:cs="Times New Roman"/>
                <w:sz w:val="16"/>
                <w:szCs w:val="16"/>
                <w:lang w:eastAsia="fr-FR"/>
              </w:rPr>
            </w:pPr>
          </w:p>
        </w:tc>
        <w:tc>
          <w:tcPr>
            <w:tcW w:w="992" w:type="dxa"/>
            <w:noWrap/>
            <w:hideMark/>
          </w:tcPr>
          <w:p w14:paraId="47B409D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46" w:type="dxa"/>
            <w:noWrap/>
            <w:hideMark/>
          </w:tcPr>
          <w:p w14:paraId="60E94FC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48" w:type="dxa"/>
            <w:noWrap/>
            <w:hideMark/>
          </w:tcPr>
          <w:p w14:paraId="71A719C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666" w:type="dxa"/>
            <w:noWrap/>
            <w:hideMark/>
          </w:tcPr>
          <w:p w14:paraId="3294CAE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2158F03A" w14:textId="77777777" w:rsidR="000F2958" w:rsidRDefault="000F2958">
      <w:pPr>
        <w:spacing w:after="0" w:line="240" w:lineRule="auto"/>
        <w:jc w:val="both"/>
        <w:rPr>
          <w:rFonts w:ascii="Times New Roman" w:hAnsi="Times New Roman" w:cs="Times New Roman"/>
          <w:sz w:val="16"/>
          <w:szCs w:val="16"/>
        </w:rPr>
      </w:pPr>
    </w:p>
    <w:p w14:paraId="6C04B583" w14:textId="77777777" w:rsidR="000F2958" w:rsidRDefault="003B2158">
      <w:pPr>
        <w:pStyle w:val="ListParagraph"/>
        <w:numPr>
          <w:ilvl w:val="0"/>
          <w:numId w:val="6"/>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iCs/>
          <w:sz w:val="16"/>
          <w:szCs w:val="16"/>
          <w:lang w:eastAsia="fr-FR"/>
        </w:rPr>
        <w:t>(GIV)</w:t>
      </w:r>
    </w:p>
    <w:tbl>
      <w:tblPr>
        <w:tblStyle w:val="TableGrid"/>
        <w:tblW w:w="9204" w:type="dxa"/>
        <w:tblInd w:w="-176" w:type="dxa"/>
        <w:tblLook w:val="04A0" w:firstRow="1" w:lastRow="0" w:firstColumn="1" w:lastColumn="0" w:noHBand="0" w:noVBand="1"/>
      </w:tblPr>
      <w:tblGrid>
        <w:gridCol w:w="568"/>
        <w:gridCol w:w="4394"/>
        <w:gridCol w:w="992"/>
        <w:gridCol w:w="1371"/>
        <w:gridCol w:w="1323"/>
        <w:gridCol w:w="576"/>
      </w:tblGrid>
      <w:tr w:rsidR="000F2958" w14:paraId="469F3C9E" w14:textId="77777777">
        <w:trPr>
          <w:trHeight w:val="300"/>
        </w:trPr>
        <w:tc>
          <w:tcPr>
            <w:tcW w:w="4962" w:type="dxa"/>
            <w:gridSpan w:val="2"/>
            <w:noWrap/>
            <w:vAlign w:val="center"/>
            <w:hideMark/>
          </w:tcPr>
          <w:p w14:paraId="0BB457A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20928AD7"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371" w:type="dxa"/>
            <w:noWrap/>
            <w:vAlign w:val="center"/>
            <w:hideMark/>
          </w:tcPr>
          <w:p w14:paraId="30E51B4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323" w:type="dxa"/>
            <w:noWrap/>
            <w:vAlign w:val="center"/>
            <w:hideMark/>
          </w:tcPr>
          <w:p w14:paraId="6054E72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556" w:type="dxa"/>
            <w:noWrap/>
            <w:vAlign w:val="center"/>
            <w:hideMark/>
          </w:tcPr>
          <w:p w14:paraId="3433E9D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6FA6EC12" w14:textId="77777777">
        <w:trPr>
          <w:trHeight w:val="300"/>
        </w:trPr>
        <w:tc>
          <w:tcPr>
            <w:tcW w:w="568" w:type="dxa"/>
            <w:noWrap/>
            <w:hideMark/>
          </w:tcPr>
          <w:p w14:paraId="65E54CD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28C2C7D4" w14:textId="133C74F5"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sz w:val="16"/>
                <w:szCs w:val="16"/>
                <w:lang w:eastAsia="fr-FR"/>
              </w:rPr>
              <w:t>(Schumach &amp; Thonn)</w:t>
            </w:r>
          </w:p>
        </w:tc>
        <w:tc>
          <w:tcPr>
            <w:tcW w:w="992" w:type="dxa"/>
            <w:noWrap/>
            <w:vAlign w:val="center"/>
            <w:hideMark/>
          </w:tcPr>
          <w:p w14:paraId="5378C81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4.31</w:t>
            </w:r>
          </w:p>
        </w:tc>
        <w:tc>
          <w:tcPr>
            <w:tcW w:w="1371" w:type="dxa"/>
            <w:noWrap/>
            <w:vAlign w:val="center"/>
            <w:hideMark/>
          </w:tcPr>
          <w:p w14:paraId="5B9FE28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5.07</w:t>
            </w:r>
          </w:p>
        </w:tc>
        <w:tc>
          <w:tcPr>
            <w:tcW w:w="1323" w:type="dxa"/>
            <w:noWrap/>
            <w:vAlign w:val="center"/>
            <w:hideMark/>
          </w:tcPr>
          <w:p w14:paraId="1FC34C2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224C996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11.46</w:t>
            </w:r>
          </w:p>
        </w:tc>
      </w:tr>
      <w:tr w:rsidR="000F2958" w14:paraId="0BA84932" w14:textId="77777777">
        <w:trPr>
          <w:trHeight w:val="300"/>
        </w:trPr>
        <w:tc>
          <w:tcPr>
            <w:tcW w:w="568" w:type="dxa"/>
            <w:noWrap/>
            <w:hideMark/>
          </w:tcPr>
          <w:p w14:paraId="71BB69F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3DDC490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Anthocleista Schweinfurthii</w:t>
            </w:r>
            <w:r>
              <w:rPr>
                <w:rFonts w:ascii="Times New Roman" w:eastAsia="Times New Roman" w:hAnsi="Times New Roman" w:cs="Times New Roman"/>
                <w:sz w:val="16"/>
                <w:szCs w:val="16"/>
                <w:lang w:eastAsia="fr-FR"/>
              </w:rPr>
              <w:t xml:space="preserve"> Gilg</w:t>
            </w:r>
          </w:p>
        </w:tc>
        <w:tc>
          <w:tcPr>
            <w:tcW w:w="992" w:type="dxa"/>
            <w:noWrap/>
            <w:vAlign w:val="center"/>
            <w:hideMark/>
          </w:tcPr>
          <w:p w14:paraId="46EB2CF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8.31</w:t>
            </w:r>
          </w:p>
        </w:tc>
        <w:tc>
          <w:tcPr>
            <w:tcW w:w="1371" w:type="dxa"/>
            <w:noWrap/>
            <w:vAlign w:val="center"/>
            <w:hideMark/>
          </w:tcPr>
          <w:p w14:paraId="472A121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6.06</w:t>
            </w:r>
          </w:p>
        </w:tc>
        <w:tc>
          <w:tcPr>
            <w:tcW w:w="1323" w:type="dxa"/>
            <w:noWrap/>
            <w:vAlign w:val="center"/>
            <w:hideMark/>
          </w:tcPr>
          <w:p w14:paraId="34050C4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18.17</w:t>
            </w:r>
          </w:p>
        </w:tc>
        <w:tc>
          <w:tcPr>
            <w:tcW w:w="556" w:type="dxa"/>
            <w:noWrap/>
            <w:vAlign w:val="center"/>
            <w:hideMark/>
          </w:tcPr>
          <w:p w14:paraId="40B5707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32.54</w:t>
            </w:r>
          </w:p>
        </w:tc>
      </w:tr>
      <w:tr w:rsidR="000F2958" w14:paraId="113B0A15" w14:textId="77777777">
        <w:trPr>
          <w:trHeight w:val="300"/>
        </w:trPr>
        <w:tc>
          <w:tcPr>
            <w:tcW w:w="568" w:type="dxa"/>
            <w:noWrap/>
            <w:hideMark/>
          </w:tcPr>
          <w:p w14:paraId="520CAC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4B54B3EF" w14:textId="19939A3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Barteria fistulosa </w:t>
            </w:r>
            <w:r>
              <w:rPr>
                <w:rFonts w:ascii="Times New Roman" w:eastAsia="Times New Roman" w:hAnsi="Times New Roman" w:cs="Times New Roman"/>
                <w:sz w:val="16"/>
                <w:szCs w:val="16"/>
                <w:lang w:eastAsia="fr-FR"/>
              </w:rPr>
              <w:t>(Mast.) Sleuder</w:t>
            </w:r>
          </w:p>
        </w:tc>
        <w:tc>
          <w:tcPr>
            <w:tcW w:w="992" w:type="dxa"/>
            <w:noWrap/>
            <w:vAlign w:val="center"/>
            <w:hideMark/>
          </w:tcPr>
          <w:p w14:paraId="0B87ABB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1.41</w:t>
            </w:r>
          </w:p>
        </w:tc>
        <w:tc>
          <w:tcPr>
            <w:tcW w:w="1371" w:type="dxa"/>
            <w:noWrap/>
            <w:vAlign w:val="center"/>
            <w:hideMark/>
          </w:tcPr>
          <w:p w14:paraId="6ED482A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0.46</w:t>
            </w:r>
          </w:p>
        </w:tc>
        <w:tc>
          <w:tcPr>
            <w:tcW w:w="1323" w:type="dxa"/>
            <w:noWrap/>
            <w:vAlign w:val="center"/>
            <w:hideMark/>
          </w:tcPr>
          <w:p w14:paraId="69A4DFF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7531C4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3.95</w:t>
            </w:r>
          </w:p>
        </w:tc>
      </w:tr>
      <w:tr w:rsidR="000F2958" w14:paraId="03E3F2C4" w14:textId="77777777">
        <w:trPr>
          <w:trHeight w:val="300"/>
        </w:trPr>
        <w:tc>
          <w:tcPr>
            <w:tcW w:w="568" w:type="dxa"/>
            <w:noWrap/>
            <w:hideMark/>
          </w:tcPr>
          <w:p w14:paraId="20FE75B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5CF695CA" w14:textId="0FB1E10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Bridelia micrantha </w:t>
            </w:r>
            <w:r>
              <w:rPr>
                <w:rFonts w:ascii="Times New Roman" w:eastAsia="Times New Roman" w:hAnsi="Times New Roman" w:cs="Times New Roman"/>
                <w:sz w:val="16"/>
                <w:szCs w:val="16"/>
                <w:lang w:eastAsia="fr-FR"/>
              </w:rPr>
              <w:t>(Hochst.) Baill.</w:t>
            </w:r>
          </w:p>
        </w:tc>
        <w:tc>
          <w:tcPr>
            <w:tcW w:w="992" w:type="dxa"/>
            <w:noWrap/>
            <w:vAlign w:val="center"/>
            <w:hideMark/>
          </w:tcPr>
          <w:p w14:paraId="7ADD5BF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7.69</w:t>
            </w:r>
          </w:p>
        </w:tc>
        <w:tc>
          <w:tcPr>
            <w:tcW w:w="1371" w:type="dxa"/>
            <w:noWrap/>
            <w:vAlign w:val="center"/>
            <w:hideMark/>
          </w:tcPr>
          <w:p w14:paraId="191D2C8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5.6</w:t>
            </w:r>
          </w:p>
        </w:tc>
        <w:tc>
          <w:tcPr>
            <w:tcW w:w="1323" w:type="dxa"/>
            <w:noWrap/>
            <w:vAlign w:val="center"/>
            <w:hideMark/>
          </w:tcPr>
          <w:p w14:paraId="0F421A2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8.33</w:t>
            </w:r>
          </w:p>
        </w:tc>
        <w:tc>
          <w:tcPr>
            <w:tcW w:w="556" w:type="dxa"/>
            <w:noWrap/>
            <w:vAlign w:val="center"/>
            <w:hideMark/>
          </w:tcPr>
          <w:p w14:paraId="75F2EFB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21.62</w:t>
            </w:r>
          </w:p>
        </w:tc>
      </w:tr>
      <w:tr w:rsidR="000F2958" w14:paraId="6A288E22" w14:textId="77777777">
        <w:trPr>
          <w:trHeight w:val="300"/>
        </w:trPr>
        <w:tc>
          <w:tcPr>
            <w:tcW w:w="568" w:type="dxa"/>
            <w:noWrap/>
            <w:hideMark/>
          </w:tcPr>
          <w:p w14:paraId="5AE4F93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1D3A36D6" w14:textId="361359AF"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Canarium Schweinfurthii </w:t>
            </w:r>
            <w:r>
              <w:rPr>
                <w:rFonts w:ascii="Times New Roman" w:eastAsia="Times New Roman" w:hAnsi="Times New Roman" w:cs="Times New Roman"/>
                <w:sz w:val="16"/>
                <w:szCs w:val="16"/>
                <w:lang w:eastAsia="fr-FR"/>
              </w:rPr>
              <w:t>English</w:t>
            </w:r>
            <w:r>
              <w:rPr>
                <w:rFonts w:ascii="Times New Roman" w:eastAsia="Times New Roman" w:hAnsi="Times New Roman" w:cs="Times New Roman"/>
                <w:i/>
                <w:iCs/>
                <w:sz w:val="16"/>
                <w:szCs w:val="16"/>
                <w:lang w:eastAsia="fr-FR"/>
              </w:rPr>
              <w:t>.</w:t>
            </w:r>
          </w:p>
        </w:tc>
        <w:tc>
          <w:tcPr>
            <w:tcW w:w="992" w:type="dxa"/>
            <w:noWrap/>
            <w:vAlign w:val="center"/>
            <w:hideMark/>
          </w:tcPr>
          <w:p w14:paraId="5D56608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3.14</w:t>
            </w:r>
          </w:p>
        </w:tc>
        <w:tc>
          <w:tcPr>
            <w:tcW w:w="1371" w:type="dxa"/>
            <w:noWrap/>
            <w:vAlign w:val="center"/>
            <w:hideMark/>
          </w:tcPr>
          <w:p w14:paraId="55C1B1A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6.5</w:t>
            </w:r>
          </w:p>
        </w:tc>
        <w:tc>
          <w:tcPr>
            <w:tcW w:w="1323" w:type="dxa"/>
            <w:noWrap/>
            <w:vAlign w:val="center"/>
            <w:hideMark/>
          </w:tcPr>
          <w:p w14:paraId="02C9E7C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2.58</w:t>
            </w:r>
          </w:p>
        </w:tc>
        <w:tc>
          <w:tcPr>
            <w:tcW w:w="556" w:type="dxa"/>
            <w:noWrap/>
            <w:vAlign w:val="center"/>
            <w:hideMark/>
          </w:tcPr>
          <w:p w14:paraId="16CDA46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12.22</w:t>
            </w:r>
          </w:p>
        </w:tc>
      </w:tr>
      <w:tr w:rsidR="000F2958" w14:paraId="3457A639" w14:textId="77777777">
        <w:trPr>
          <w:trHeight w:val="300"/>
        </w:trPr>
        <w:tc>
          <w:tcPr>
            <w:tcW w:w="568" w:type="dxa"/>
            <w:noWrap/>
            <w:hideMark/>
          </w:tcPr>
          <w:p w14:paraId="30E19E3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5A7FAB73" w14:textId="1F645DA0"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Cola filicifolia </w:t>
            </w:r>
            <w:r>
              <w:rPr>
                <w:rFonts w:ascii="Times New Roman" w:eastAsia="Times New Roman" w:hAnsi="Times New Roman" w:cs="Times New Roman"/>
                <w:sz w:val="16"/>
                <w:szCs w:val="16"/>
                <w:lang w:eastAsia="fr-FR"/>
              </w:rPr>
              <w:t>Mast.</w:t>
            </w:r>
          </w:p>
        </w:tc>
        <w:tc>
          <w:tcPr>
            <w:tcW w:w="992" w:type="dxa"/>
            <w:noWrap/>
            <w:vAlign w:val="center"/>
            <w:hideMark/>
          </w:tcPr>
          <w:p w14:paraId="6EE1443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6.94</w:t>
            </w:r>
          </w:p>
        </w:tc>
        <w:tc>
          <w:tcPr>
            <w:tcW w:w="1371" w:type="dxa"/>
            <w:noWrap/>
            <w:vAlign w:val="center"/>
            <w:hideMark/>
          </w:tcPr>
          <w:p w14:paraId="5302482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c>
          <w:tcPr>
            <w:tcW w:w="1323" w:type="dxa"/>
            <w:noWrap/>
            <w:vAlign w:val="center"/>
            <w:hideMark/>
          </w:tcPr>
          <w:p w14:paraId="19978C5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8.37</w:t>
            </w:r>
          </w:p>
        </w:tc>
        <w:tc>
          <w:tcPr>
            <w:tcW w:w="556" w:type="dxa"/>
            <w:noWrap/>
            <w:vAlign w:val="center"/>
            <w:hideMark/>
          </w:tcPr>
          <w:p w14:paraId="65EF9C9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16.69</w:t>
            </w:r>
          </w:p>
        </w:tc>
      </w:tr>
      <w:tr w:rsidR="000F2958" w14:paraId="6F3EF320" w14:textId="77777777">
        <w:trPr>
          <w:trHeight w:val="300"/>
        </w:trPr>
        <w:tc>
          <w:tcPr>
            <w:tcW w:w="568" w:type="dxa"/>
            <w:noWrap/>
            <w:hideMark/>
          </w:tcPr>
          <w:p w14:paraId="2190B03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46C55A8A" w14:textId="68688EC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Erythrophleum suaveolens </w:t>
            </w:r>
            <w:r>
              <w:rPr>
                <w:rFonts w:ascii="Times New Roman" w:eastAsia="Times New Roman" w:hAnsi="Times New Roman" w:cs="Times New Roman"/>
                <w:sz w:val="16"/>
                <w:szCs w:val="16"/>
                <w:lang w:eastAsia="fr-FR"/>
              </w:rPr>
              <w:t>(Guil. &amp; Perr.) Brenan</w:t>
            </w:r>
          </w:p>
        </w:tc>
        <w:tc>
          <w:tcPr>
            <w:tcW w:w="992" w:type="dxa"/>
            <w:noWrap/>
            <w:vAlign w:val="center"/>
            <w:hideMark/>
          </w:tcPr>
          <w:p w14:paraId="1C2F463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0.78</w:t>
            </w:r>
          </w:p>
        </w:tc>
        <w:tc>
          <w:tcPr>
            <w:tcW w:w="1371" w:type="dxa"/>
            <w:noWrap/>
            <w:vAlign w:val="center"/>
            <w:hideMark/>
          </w:tcPr>
          <w:p w14:paraId="5CA4620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4.88</w:t>
            </w:r>
          </w:p>
        </w:tc>
        <w:tc>
          <w:tcPr>
            <w:tcW w:w="1323" w:type="dxa"/>
            <w:noWrap/>
            <w:vAlign w:val="center"/>
            <w:hideMark/>
          </w:tcPr>
          <w:p w14:paraId="295252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4.21</w:t>
            </w:r>
          </w:p>
        </w:tc>
        <w:tc>
          <w:tcPr>
            <w:tcW w:w="556" w:type="dxa"/>
            <w:noWrap/>
            <w:vAlign w:val="center"/>
            <w:hideMark/>
          </w:tcPr>
          <w:p w14:paraId="5635F68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9.87</w:t>
            </w:r>
          </w:p>
        </w:tc>
      </w:tr>
      <w:tr w:rsidR="000F2958" w14:paraId="0E97E8F7" w14:textId="77777777">
        <w:trPr>
          <w:trHeight w:val="300"/>
        </w:trPr>
        <w:tc>
          <w:tcPr>
            <w:tcW w:w="568" w:type="dxa"/>
            <w:noWrap/>
            <w:hideMark/>
          </w:tcPr>
          <w:p w14:paraId="5D02164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341D5AD1" w14:textId="1126F87A"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Funtumia Africana </w:t>
            </w:r>
            <w:r>
              <w:rPr>
                <w:rFonts w:ascii="Times New Roman" w:eastAsia="Times New Roman" w:hAnsi="Times New Roman" w:cs="Times New Roman"/>
                <w:sz w:val="16"/>
                <w:szCs w:val="16"/>
                <w:lang w:eastAsia="fr-FR"/>
              </w:rPr>
              <w:t>(Preuss) Stap</w:t>
            </w:r>
          </w:p>
        </w:tc>
        <w:tc>
          <w:tcPr>
            <w:tcW w:w="992" w:type="dxa"/>
            <w:noWrap/>
            <w:vAlign w:val="center"/>
            <w:hideMark/>
          </w:tcPr>
          <w:p w14:paraId="6531C02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w:t>
            </w:r>
          </w:p>
        </w:tc>
        <w:tc>
          <w:tcPr>
            <w:tcW w:w="1371" w:type="dxa"/>
            <w:noWrap/>
            <w:vAlign w:val="center"/>
            <w:hideMark/>
          </w:tcPr>
          <w:p w14:paraId="40A60CF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1323" w:type="dxa"/>
            <w:noWrap/>
            <w:vAlign w:val="center"/>
            <w:hideMark/>
          </w:tcPr>
          <w:p w14:paraId="3D4BFCF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4.19</w:t>
            </w:r>
          </w:p>
        </w:tc>
        <w:tc>
          <w:tcPr>
            <w:tcW w:w="556" w:type="dxa"/>
            <w:noWrap/>
            <w:vAlign w:val="center"/>
            <w:hideMark/>
          </w:tcPr>
          <w:p w14:paraId="2733F05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10.09</w:t>
            </w:r>
          </w:p>
        </w:tc>
      </w:tr>
      <w:tr w:rsidR="000F2958" w14:paraId="1F8076E1" w14:textId="77777777">
        <w:trPr>
          <w:trHeight w:val="300"/>
        </w:trPr>
        <w:tc>
          <w:tcPr>
            <w:tcW w:w="568" w:type="dxa"/>
            <w:noWrap/>
            <w:hideMark/>
          </w:tcPr>
          <w:p w14:paraId="74D0F76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0FB07361"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sz w:val="16"/>
                <w:szCs w:val="16"/>
                <w:lang w:eastAsia="fr-FR"/>
              </w:rPr>
              <w:t>(DC.) O.Kuntze</w:t>
            </w:r>
          </w:p>
        </w:tc>
        <w:tc>
          <w:tcPr>
            <w:tcW w:w="992" w:type="dxa"/>
            <w:noWrap/>
            <w:vAlign w:val="center"/>
            <w:hideMark/>
          </w:tcPr>
          <w:p w14:paraId="7F470A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45.54</w:t>
            </w:r>
          </w:p>
        </w:tc>
        <w:tc>
          <w:tcPr>
            <w:tcW w:w="1371" w:type="dxa"/>
            <w:noWrap/>
            <w:vAlign w:val="center"/>
            <w:hideMark/>
          </w:tcPr>
          <w:p w14:paraId="6357CA4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26.9</w:t>
            </w:r>
          </w:p>
        </w:tc>
        <w:tc>
          <w:tcPr>
            <w:tcW w:w="1323" w:type="dxa"/>
            <w:noWrap/>
            <w:vAlign w:val="center"/>
            <w:hideMark/>
          </w:tcPr>
          <w:p w14:paraId="39F851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17.58</w:t>
            </w:r>
          </w:p>
        </w:tc>
        <w:tc>
          <w:tcPr>
            <w:tcW w:w="556" w:type="dxa"/>
            <w:noWrap/>
            <w:vAlign w:val="center"/>
            <w:hideMark/>
          </w:tcPr>
          <w:p w14:paraId="065C56F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90.05</w:t>
            </w:r>
          </w:p>
        </w:tc>
      </w:tr>
      <w:tr w:rsidR="000F2958" w14:paraId="000B69D0" w14:textId="77777777">
        <w:trPr>
          <w:trHeight w:val="300"/>
        </w:trPr>
        <w:tc>
          <w:tcPr>
            <w:tcW w:w="568" w:type="dxa"/>
            <w:noWrap/>
            <w:hideMark/>
          </w:tcPr>
          <w:p w14:paraId="1E5D5D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lastRenderedPageBreak/>
              <w:t>10</w:t>
            </w:r>
          </w:p>
        </w:tc>
        <w:tc>
          <w:tcPr>
            <w:tcW w:w="4394" w:type="dxa"/>
            <w:noWrap/>
            <w:hideMark/>
          </w:tcPr>
          <w:p w14:paraId="7EEAD0D3" w14:textId="77777777"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 xml:space="preserve">Nauclea diderrichii </w:t>
            </w:r>
            <w:r>
              <w:rPr>
                <w:rFonts w:ascii="Times New Roman" w:eastAsia="Times New Roman" w:hAnsi="Times New Roman" w:cs="Times New Roman"/>
                <w:sz w:val="16"/>
                <w:szCs w:val="16"/>
                <w:lang w:val="en-US" w:eastAsia="fr-FR"/>
              </w:rPr>
              <w:t>(From Wild.) Merril</w:t>
            </w:r>
          </w:p>
        </w:tc>
        <w:tc>
          <w:tcPr>
            <w:tcW w:w="992" w:type="dxa"/>
            <w:noWrap/>
            <w:vAlign w:val="center"/>
            <w:hideMark/>
          </w:tcPr>
          <w:p w14:paraId="115A37C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w:t>
            </w:r>
          </w:p>
        </w:tc>
        <w:tc>
          <w:tcPr>
            <w:tcW w:w="1371" w:type="dxa"/>
            <w:noWrap/>
            <w:vAlign w:val="center"/>
            <w:hideMark/>
          </w:tcPr>
          <w:p w14:paraId="4D1A69F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10.3</w:t>
            </w:r>
          </w:p>
        </w:tc>
        <w:tc>
          <w:tcPr>
            <w:tcW w:w="1323" w:type="dxa"/>
            <w:noWrap/>
            <w:vAlign w:val="center"/>
            <w:hideMark/>
          </w:tcPr>
          <w:p w14:paraId="0960FE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14.58</w:t>
            </w:r>
          </w:p>
        </w:tc>
        <w:tc>
          <w:tcPr>
            <w:tcW w:w="556" w:type="dxa"/>
            <w:noWrap/>
            <w:vAlign w:val="center"/>
            <w:hideMark/>
          </w:tcPr>
          <w:p w14:paraId="691259C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30.61</w:t>
            </w:r>
          </w:p>
        </w:tc>
      </w:tr>
      <w:tr w:rsidR="000F2958" w14:paraId="72A159B5" w14:textId="77777777">
        <w:trPr>
          <w:trHeight w:val="300"/>
        </w:trPr>
        <w:tc>
          <w:tcPr>
            <w:tcW w:w="568" w:type="dxa"/>
            <w:noWrap/>
            <w:hideMark/>
          </w:tcPr>
          <w:p w14:paraId="50E6F25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46EC63D4" w14:textId="1F170E1B"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Pseudospondias microcarpa </w:t>
            </w:r>
            <w:r>
              <w:rPr>
                <w:rFonts w:ascii="Times New Roman" w:eastAsia="Times New Roman" w:hAnsi="Times New Roman" w:cs="Times New Roman"/>
                <w:sz w:val="16"/>
                <w:szCs w:val="16"/>
                <w:lang w:eastAsia="fr-FR"/>
              </w:rPr>
              <w:t>(A.Rich .) Engl</w:t>
            </w:r>
          </w:p>
        </w:tc>
        <w:tc>
          <w:tcPr>
            <w:tcW w:w="992" w:type="dxa"/>
            <w:noWrap/>
            <w:vAlign w:val="center"/>
            <w:hideMark/>
          </w:tcPr>
          <w:p w14:paraId="75BE8A2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3.47</w:t>
            </w:r>
          </w:p>
        </w:tc>
        <w:tc>
          <w:tcPr>
            <w:tcW w:w="1371" w:type="dxa"/>
            <w:noWrap/>
            <w:vAlign w:val="center"/>
            <w:hideMark/>
          </w:tcPr>
          <w:p w14:paraId="29C7586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8.08</w:t>
            </w:r>
          </w:p>
        </w:tc>
        <w:tc>
          <w:tcPr>
            <w:tcW w:w="1323" w:type="dxa"/>
            <w:noWrap/>
            <w:vAlign w:val="center"/>
            <w:hideMark/>
          </w:tcPr>
          <w:p w14:paraId="5F975E0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4CFF20F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13.63</w:t>
            </w:r>
          </w:p>
        </w:tc>
      </w:tr>
      <w:tr w:rsidR="000F2958" w14:paraId="6B59B8DD" w14:textId="77777777">
        <w:trPr>
          <w:trHeight w:val="300"/>
        </w:trPr>
        <w:tc>
          <w:tcPr>
            <w:tcW w:w="568" w:type="dxa"/>
            <w:noWrap/>
            <w:hideMark/>
          </w:tcPr>
          <w:p w14:paraId="32FB5FC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70953146" w14:textId="5284D49C"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sz w:val="16"/>
                <w:szCs w:val="16"/>
                <w:lang w:eastAsia="fr-FR"/>
              </w:rPr>
              <w:t>Müll. Arg.</w:t>
            </w:r>
          </w:p>
        </w:tc>
        <w:tc>
          <w:tcPr>
            <w:tcW w:w="992" w:type="dxa"/>
            <w:noWrap/>
            <w:vAlign w:val="center"/>
            <w:hideMark/>
          </w:tcPr>
          <w:p w14:paraId="269033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1371" w:type="dxa"/>
            <w:noWrap/>
            <w:vAlign w:val="center"/>
            <w:hideMark/>
          </w:tcPr>
          <w:p w14:paraId="0508432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20.7</w:t>
            </w:r>
          </w:p>
        </w:tc>
        <w:tc>
          <w:tcPr>
            <w:tcW w:w="1323" w:type="dxa"/>
            <w:noWrap/>
            <w:vAlign w:val="center"/>
            <w:hideMark/>
          </w:tcPr>
          <w:p w14:paraId="290508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15.75</w:t>
            </w:r>
          </w:p>
        </w:tc>
        <w:tc>
          <w:tcPr>
            <w:tcW w:w="556" w:type="dxa"/>
            <w:noWrap/>
            <w:vAlign w:val="center"/>
            <w:hideMark/>
          </w:tcPr>
          <w:p w14:paraId="4112051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47.27</w:t>
            </w:r>
          </w:p>
        </w:tc>
      </w:tr>
      <w:tr w:rsidR="000F2958" w14:paraId="26BC5AA0" w14:textId="77777777">
        <w:trPr>
          <w:trHeight w:val="300"/>
        </w:trPr>
        <w:tc>
          <w:tcPr>
            <w:tcW w:w="4962" w:type="dxa"/>
            <w:gridSpan w:val="2"/>
            <w:noWrap/>
            <w:hideMark/>
          </w:tcPr>
          <w:p w14:paraId="6C15E600" w14:textId="77777777" w:rsidR="000F2958" w:rsidRDefault="003B2158">
            <w:pPr>
              <w:rPr>
                <w:rFonts w:ascii="Times New Roman" w:eastAsia="Times New Roman" w:hAnsi="Times New Roman" w:cs="Times New Roman"/>
                <w:iCs/>
                <w:sz w:val="16"/>
                <w:szCs w:val="16"/>
                <w:lang w:eastAsia="fr-FR"/>
              </w:rPr>
            </w:pPr>
            <w:r>
              <w:rPr>
                <w:rFonts w:ascii="Times New Roman" w:eastAsia="Times New Roman" w:hAnsi="Times New Roman" w:cs="Times New Roman"/>
                <w:iCs/>
                <w:sz w:val="16"/>
                <w:szCs w:val="16"/>
                <w:lang w:eastAsia="fr-FR"/>
              </w:rPr>
              <w:t>Total</w:t>
            </w:r>
          </w:p>
        </w:tc>
        <w:tc>
          <w:tcPr>
            <w:tcW w:w="992" w:type="dxa"/>
            <w:noWrap/>
            <w:vAlign w:val="center"/>
            <w:hideMark/>
          </w:tcPr>
          <w:p w14:paraId="1F25879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371" w:type="dxa"/>
            <w:noWrap/>
            <w:vAlign w:val="center"/>
            <w:hideMark/>
          </w:tcPr>
          <w:p w14:paraId="7DD03E0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323" w:type="dxa"/>
            <w:noWrap/>
            <w:vAlign w:val="center"/>
            <w:hideMark/>
          </w:tcPr>
          <w:p w14:paraId="38E8113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556" w:type="dxa"/>
            <w:noWrap/>
            <w:vAlign w:val="center"/>
            <w:hideMark/>
          </w:tcPr>
          <w:p w14:paraId="39E87AD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22ED7688" w14:textId="77777777" w:rsidR="000F2958" w:rsidRDefault="000F2958">
      <w:pPr>
        <w:spacing w:after="0" w:line="360" w:lineRule="auto"/>
        <w:jc w:val="both"/>
        <w:rPr>
          <w:rFonts w:ascii="Times New Roman" w:hAnsi="Times New Roman" w:cs="Times New Roman"/>
          <w:sz w:val="16"/>
          <w:szCs w:val="16"/>
        </w:rPr>
      </w:pPr>
    </w:p>
    <w:p w14:paraId="0AE9010C" w14:textId="77777777" w:rsidR="000F2958" w:rsidRDefault="003B2158">
      <w:pPr>
        <w:pStyle w:val="ListParagraph"/>
        <w:numPr>
          <w:ilvl w:val="0"/>
          <w:numId w:val="6"/>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(GV)</w:t>
      </w:r>
    </w:p>
    <w:tbl>
      <w:tblPr>
        <w:tblStyle w:val="TableGrid"/>
        <w:tblW w:w="8461" w:type="dxa"/>
        <w:tblLook w:val="04A0" w:firstRow="1" w:lastRow="0" w:firstColumn="1" w:lastColumn="0" w:noHBand="0" w:noVBand="1"/>
      </w:tblPr>
      <w:tblGrid>
        <w:gridCol w:w="520"/>
        <w:gridCol w:w="4411"/>
        <w:gridCol w:w="827"/>
        <w:gridCol w:w="1138"/>
        <w:gridCol w:w="1049"/>
        <w:gridCol w:w="516"/>
      </w:tblGrid>
      <w:tr w:rsidR="000F2958" w14:paraId="15ECA767" w14:textId="77777777">
        <w:trPr>
          <w:trHeight w:val="300"/>
        </w:trPr>
        <w:tc>
          <w:tcPr>
            <w:tcW w:w="4931" w:type="dxa"/>
            <w:gridSpan w:val="2"/>
            <w:noWrap/>
            <w:vAlign w:val="center"/>
          </w:tcPr>
          <w:p w14:paraId="27D9E15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827" w:type="dxa"/>
            <w:noWrap/>
            <w:vAlign w:val="center"/>
            <w:hideMark/>
          </w:tcPr>
          <w:p w14:paraId="6CA647A7"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138" w:type="dxa"/>
            <w:noWrap/>
            <w:vAlign w:val="center"/>
            <w:hideMark/>
          </w:tcPr>
          <w:p w14:paraId="4217C05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049" w:type="dxa"/>
            <w:noWrap/>
            <w:vAlign w:val="center"/>
            <w:hideMark/>
          </w:tcPr>
          <w:p w14:paraId="243A880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516" w:type="dxa"/>
            <w:noWrap/>
            <w:vAlign w:val="center"/>
            <w:hideMark/>
          </w:tcPr>
          <w:p w14:paraId="74810D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64083D7E" w14:textId="77777777">
        <w:trPr>
          <w:trHeight w:val="300"/>
        </w:trPr>
        <w:tc>
          <w:tcPr>
            <w:tcW w:w="520" w:type="dxa"/>
            <w:noWrap/>
            <w:hideMark/>
          </w:tcPr>
          <w:p w14:paraId="32DED2B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411" w:type="dxa"/>
            <w:noWrap/>
            <w:hideMark/>
          </w:tcPr>
          <w:p w14:paraId="29459397" w14:textId="56B3342F"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Albizia zygia </w:t>
            </w:r>
            <w:r>
              <w:rPr>
                <w:rFonts w:ascii="Times New Roman" w:eastAsia="Times New Roman" w:hAnsi="Times New Roman" w:cs="Times New Roman"/>
                <w:sz w:val="16"/>
                <w:szCs w:val="16"/>
                <w:lang w:eastAsia="fr-FR"/>
              </w:rPr>
              <w:t>(DC.) JF Macbr.</w:t>
            </w:r>
          </w:p>
        </w:tc>
        <w:tc>
          <w:tcPr>
            <w:tcW w:w="827" w:type="dxa"/>
            <w:noWrap/>
            <w:vAlign w:val="center"/>
            <w:hideMark/>
          </w:tcPr>
          <w:p w14:paraId="6D3BBFA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5.31</w:t>
            </w:r>
          </w:p>
        </w:tc>
        <w:tc>
          <w:tcPr>
            <w:tcW w:w="1138" w:type="dxa"/>
            <w:noWrap/>
            <w:vAlign w:val="center"/>
            <w:hideMark/>
          </w:tcPr>
          <w:p w14:paraId="283536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3.09</w:t>
            </w:r>
          </w:p>
        </w:tc>
        <w:tc>
          <w:tcPr>
            <w:tcW w:w="1049" w:type="dxa"/>
            <w:noWrap/>
            <w:vAlign w:val="center"/>
            <w:hideMark/>
          </w:tcPr>
          <w:p w14:paraId="1C67614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2.05</w:t>
            </w:r>
          </w:p>
        </w:tc>
        <w:tc>
          <w:tcPr>
            <w:tcW w:w="516" w:type="dxa"/>
            <w:noWrap/>
            <w:vAlign w:val="center"/>
            <w:hideMark/>
          </w:tcPr>
          <w:p w14:paraId="450B780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r>
      <w:tr w:rsidR="000F2958" w14:paraId="259BD20A" w14:textId="77777777">
        <w:trPr>
          <w:trHeight w:val="300"/>
        </w:trPr>
        <w:tc>
          <w:tcPr>
            <w:tcW w:w="520" w:type="dxa"/>
            <w:noWrap/>
            <w:hideMark/>
          </w:tcPr>
          <w:p w14:paraId="2B2BF74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411" w:type="dxa"/>
            <w:noWrap/>
            <w:hideMark/>
          </w:tcPr>
          <w:p w14:paraId="50B9EC81" w14:textId="2DEC20C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Barteria fistulosa </w:t>
            </w:r>
            <w:r>
              <w:rPr>
                <w:rFonts w:ascii="Times New Roman" w:eastAsia="Times New Roman" w:hAnsi="Times New Roman" w:cs="Times New Roman"/>
                <w:sz w:val="16"/>
                <w:szCs w:val="16"/>
                <w:lang w:eastAsia="fr-FR"/>
              </w:rPr>
              <w:t>(Mast.) Sleuder</w:t>
            </w:r>
          </w:p>
        </w:tc>
        <w:tc>
          <w:tcPr>
            <w:tcW w:w="827" w:type="dxa"/>
            <w:noWrap/>
            <w:vAlign w:val="center"/>
            <w:hideMark/>
          </w:tcPr>
          <w:p w14:paraId="07B2F3E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1.91</w:t>
            </w:r>
          </w:p>
        </w:tc>
        <w:tc>
          <w:tcPr>
            <w:tcW w:w="1138" w:type="dxa"/>
            <w:noWrap/>
            <w:vAlign w:val="center"/>
            <w:hideMark/>
          </w:tcPr>
          <w:p w14:paraId="77445D2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2.06</w:t>
            </w:r>
          </w:p>
        </w:tc>
        <w:tc>
          <w:tcPr>
            <w:tcW w:w="1049" w:type="dxa"/>
            <w:noWrap/>
            <w:vAlign w:val="center"/>
            <w:hideMark/>
          </w:tcPr>
          <w:p w14:paraId="14B698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516" w:type="dxa"/>
            <w:noWrap/>
            <w:vAlign w:val="center"/>
            <w:hideMark/>
          </w:tcPr>
          <w:p w14:paraId="3C0EFA0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w:t>
            </w:r>
          </w:p>
        </w:tc>
      </w:tr>
      <w:tr w:rsidR="000F2958" w14:paraId="1940812D" w14:textId="77777777">
        <w:trPr>
          <w:trHeight w:val="300"/>
        </w:trPr>
        <w:tc>
          <w:tcPr>
            <w:tcW w:w="520" w:type="dxa"/>
            <w:noWrap/>
            <w:hideMark/>
          </w:tcPr>
          <w:p w14:paraId="65D5932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411" w:type="dxa"/>
            <w:noWrap/>
            <w:hideMark/>
          </w:tcPr>
          <w:p w14:paraId="4D7A86D2" w14:textId="4694DE2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Irvingia gabonensis </w:t>
            </w:r>
            <w:r>
              <w:rPr>
                <w:rFonts w:ascii="Times New Roman" w:eastAsia="Times New Roman" w:hAnsi="Times New Roman" w:cs="Times New Roman"/>
                <w:sz w:val="16"/>
                <w:szCs w:val="16"/>
                <w:lang w:eastAsia="fr-FR"/>
              </w:rPr>
              <w:t>(Aurey -Lecomte ex</w:t>
            </w:r>
          </w:p>
        </w:tc>
        <w:tc>
          <w:tcPr>
            <w:tcW w:w="827" w:type="dxa"/>
            <w:noWrap/>
            <w:vAlign w:val="center"/>
            <w:hideMark/>
          </w:tcPr>
          <w:p w14:paraId="70930FB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w:t>
            </w:r>
          </w:p>
        </w:tc>
        <w:tc>
          <w:tcPr>
            <w:tcW w:w="1138" w:type="dxa"/>
            <w:noWrap/>
            <w:vAlign w:val="center"/>
            <w:hideMark/>
          </w:tcPr>
          <w:p w14:paraId="54CEA8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13.79</w:t>
            </w:r>
          </w:p>
        </w:tc>
        <w:tc>
          <w:tcPr>
            <w:tcW w:w="1049" w:type="dxa"/>
            <w:noWrap/>
            <w:vAlign w:val="center"/>
            <w:hideMark/>
          </w:tcPr>
          <w:p w14:paraId="172D0D3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9.56</w:t>
            </w:r>
          </w:p>
        </w:tc>
        <w:tc>
          <w:tcPr>
            <w:tcW w:w="516" w:type="dxa"/>
            <w:noWrap/>
            <w:vAlign w:val="center"/>
            <w:hideMark/>
          </w:tcPr>
          <w:p w14:paraId="365FEE2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r>
      <w:tr w:rsidR="000F2958" w14:paraId="7669E60F" w14:textId="77777777">
        <w:trPr>
          <w:trHeight w:val="300"/>
        </w:trPr>
        <w:tc>
          <w:tcPr>
            <w:tcW w:w="520" w:type="dxa"/>
            <w:noWrap/>
            <w:hideMark/>
          </w:tcPr>
          <w:p w14:paraId="5AA84C8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411" w:type="dxa"/>
            <w:noWrap/>
            <w:hideMark/>
          </w:tcPr>
          <w:p w14:paraId="058BAA5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r>
              <w:rPr>
                <w:rFonts w:ascii="Times New Roman" w:eastAsia="Times New Roman" w:hAnsi="Times New Roman" w:cs="Times New Roman"/>
                <w:sz w:val="16"/>
                <w:szCs w:val="16"/>
                <w:lang w:eastAsia="fr-FR"/>
              </w:rPr>
              <w:t>Müll.Arg</w:t>
            </w:r>
          </w:p>
        </w:tc>
        <w:tc>
          <w:tcPr>
            <w:tcW w:w="827" w:type="dxa"/>
            <w:noWrap/>
            <w:vAlign w:val="center"/>
            <w:hideMark/>
          </w:tcPr>
          <w:p w14:paraId="5A1264E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5.78</w:t>
            </w:r>
          </w:p>
        </w:tc>
        <w:tc>
          <w:tcPr>
            <w:tcW w:w="1138" w:type="dxa"/>
            <w:noWrap/>
            <w:vAlign w:val="center"/>
            <w:hideMark/>
          </w:tcPr>
          <w:p w14:paraId="0EB6E77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8.88</w:t>
            </w:r>
          </w:p>
        </w:tc>
        <w:tc>
          <w:tcPr>
            <w:tcW w:w="1049" w:type="dxa"/>
            <w:noWrap/>
            <w:vAlign w:val="center"/>
            <w:hideMark/>
          </w:tcPr>
          <w:p w14:paraId="19D979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516" w:type="dxa"/>
            <w:noWrap/>
            <w:vAlign w:val="center"/>
            <w:hideMark/>
          </w:tcPr>
          <w:p w14:paraId="4717C8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w:t>
            </w:r>
          </w:p>
        </w:tc>
      </w:tr>
      <w:tr w:rsidR="000F2958" w14:paraId="24959791" w14:textId="77777777">
        <w:trPr>
          <w:trHeight w:val="300"/>
        </w:trPr>
        <w:tc>
          <w:tcPr>
            <w:tcW w:w="520" w:type="dxa"/>
            <w:noWrap/>
            <w:hideMark/>
          </w:tcPr>
          <w:p w14:paraId="57ABD11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411" w:type="dxa"/>
            <w:noWrap/>
            <w:hideMark/>
          </w:tcPr>
          <w:p w14:paraId="75818B7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sz w:val="16"/>
                <w:szCs w:val="16"/>
                <w:lang w:eastAsia="fr-FR"/>
              </w:rPr>
              <w:t>(DC.) O.Kuntze</w:t>
            </w:r>
          </w:p>
        </w:tc>
        <w:tc>
          <w:tcPr>
            <w:tcW w:w="827" w:type="dxa"/>
            <w:noWrap/>
            <w:vAlign w:val="center"/>
            <w:hideMark/>
          </w:tcPr>
          <w:p w14:paraId="05D036D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3.14</w:t>
            </w:r>
          </w:p>
        </w:tc>
        <w:tc>
          <w:tcPr>
            <w:tcW w:w="1138" w:type="dxa"/>
            <w:noWrap/>
            <w:vAlign w:val="center"/>
            <w:hideMark/>
          </w:tcPr>
          <w:p w14:paraId="1FD48B1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7.51</w:t>
            </w:r>
          </w:p>
        </w:tc>
        <w:tc>
          <w:tcPr>
            <w:tcW w:w="1049" w:type="dxa"/>
            <w:noWrap/>
            <w:vAlign w:val="center"/>
            <w:hideMark/>
          </w:tcPr>
          <w:p w14:paraId="37E8683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14.6</w:t>
            </w:r>
          </w:p>
        </w:tc>
        <w:tc>
          <w:tcPr>
            <w:tcW w:w="516" w:type="dxa"/>
            <w:noWrap/>
            <w:vAlign w:val="center"/>
            <w:hideMark/>
          </w:tcPr>
          <w:p w14:paraId="69F2D9A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w:t>
            </w:r>
          </w:p>
        </w:tc>
      </w:tr>
      <w:tr w:rsidR="000F2958" w14:paraId="6CE31C12" w14:textId="77777777">
        <w:trPr>
          <w:trHeight w:val="300"/>
        </w:trPr>
        <w:tc>
          <w:tcPr>
            <w:tcW w:w="520" w:type="dxa"/>
            <w:noWrap/>
            <w:hideMark/>
          </w:tcPr>
          <w:p w14:paraId="19E467B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411" w:type="dxa"/>
            <w:noWrap/>
            <w:hideMark/>
          </w:tcPr>
          <w:p w14:paraId="6A6BFA13" w14:textId="73C73E51"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Oncoba welwitschii </w:t>
            </w:r>
            <w:r>
              <w:rPr>
                <w:rFonts w:ascii="Times New Roman" w:eastAsia="Times New Roman" w:hAnsi="Times New Roman" w:cs="Times New Roman"/>
                <w:sz w:val="16"/>
                <w:szCs w:val="16"/>
                <w:lang w:eastAsia="fr-FR"/>
              </w:rPr>
              <w:t>Olive</w:t>
            </w:r>
            <w:r>
              <w:rPr>
                <w:rFonts w:ascii="Times New Roman" w:eastAsia="Times New Roman" w:hAnsi="Times New Roman" w:cs="Times New Roman"/>
                <w:i/>
                <w:iCs/>
                <w:sz w:val="16"/>
                <w:szCs w:val="16"/>
                <w:lang w:eastAsia="fr-FR"/>
              </w:rPr>
              <w:t>.</w:t>
            </w:r>
          </w:p>
        </w:tc>
        <w:tc>
          <w:tcPr>
            <w:tcW w:w="827" w:type="dxa"/>
            <w:noWrap/>
            <w:vAlign w:val="center"/>
            <w:hideMark/>
          </w:tcPr>
          <w:p w14:paraId="4B658A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2.74</w:t>
            </w:r>
          </w:p>
        </w:tc>
        <w:tc>
          <w:tcPr>
            <w:tcW w:w="1138" w:type="dxa"/>
            <w:noWrap/>
            <w:vAlign w:val="center"/>
            <w:hideMark/>
          </w:tcPr>
          <w:p w14:paraId="118DF41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1.48</w:t>
            </w:r>
          </w:p>
        </w:tc>
        <w:tc>
          <w:tcPr>
            <w:tcW w:w="1049" w:type="dxa"/>
            <w:noWrap/>
            <w:vAlign w:val="center"/>
            <w:hideMark/>
          </w:tcPr>
          <w:p w14:paraId="0DD9F71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8.38</w:t>
            </w:r>
          </w:p>
        </w:tc>
        <w:tc>
          <w:tcPr>
            <w:tcW w:w="516" w:type="dxa"/>
            <w:noWrap/>
            <w:vAlign w:val="center"/>
            <w:hideMark/>
          </w:tcPr>
          <w:p w14:paraId="7DE8F3E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r>
      <w:tr w:rsidR="000F2958" w14:paraId="1844CBE4" w14:textId="77777777">
        <w:trPr>
          <w:trHeight w:val="300"/>
        </w:trPr>
        <w:tc>
          <w:tcPr>
            <w:tcW w:w="520" w:type="dxa"/>
            <w:noWrap/>
            <w:hideMark/>
          </w:tcPr>
          <w:p w14:paraId="5FB8CF4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411" w:type="dxa"/>
            <w:noWrap/>
            <w:hideMark/>
          </w:tcPr>
          <w:p w14:paraId="4FF5CB69" w14:textId="6EEDEB68"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 xml:space="preserve">Piptadeniastrum africanum </w:t>
            </w:r>
            <w:r>
              <w:rPr>
                <w:rFonts w:ascii="Times New Roman" w:eastAsia="Times New Roman" w:hAnsi="Times New Roman" w:cs="Times New Roman"/>
                <w:sz w:val="16"/>
                <w:szCs w:val="16"/>
                <w:lang w:val="en-US" w:eastAsia="fr-FR"/>
              </w:rPr>
              <w:t>(Hook.f.) Brenan</w:t>
            </w:r>
          </w:p>
        </w:tc>
        <w:tc>
          <w:tcPr>
            <w:tcW w:w="827" w:type="dxa"/>
            <w:noWrap/>
            <w:vAlign w:val="center"/>
            <w:hideMark/>
          </w:tcPr>
          <w:p w14:paraId="2389607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2.69</w:t>
            </w:r>
          </w:p>
        </w:tc>
        <w:tc>
          <w:tcPr>
            <w:tcW w:w="1138" w:type="dxa"/>
            <w:noWrap/>
            <w:vAlign w:val="center"/>
            <w:hideMark/>
          </w:tcPr>
          <w:p w14:paraId="6845E5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6.62</w:t>
            </w:r>
          </w:p>
        </w:tc>
        <w:tc>
          <w:tcPr>
            <w:tcW w:w="1049" w:type="dxa"/>
            <w:noWrap/>
            <w:vAlign w:val="center"/>
            <w:hideMark/>
          </w:tcPr>
          <w:p w14:paraId="5C7F9C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8.33</w:t>
            </w:r>
          </w:p>
        </w:tc>
        <w:tc>
          <w:tcPr>
            <w:tcW w:w="516" w:type="dxa"/>
            <w:noWrap/>
            <w:vAlign w:val="center"/>
            <w:hideMark/>
          </w:tcPr>
          <w:p w14:paraId="2690B38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18</w:t>
            </w:r>
          </w:p>
        </w:tc>
      </w:tr>
      <w:tr w:rsidR="000F2958" w14:paraId="3DF6E951" w14:textId="77777777">
        <w:trPr>
          <w:trHeight w:val="300"/>
        </w:trPr>
        <w:tc>
          <w:tcPr>
            <w:tcW w:w="520" w:type="dxa"/>
            <w:noWrap/>
            <w:hideMark/>
          </w:tcPr>
          <w:p w14:paraId="224EAEF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411" w:type="dxa"/>
            <w:noWrap/>
            <w:hideMark/>
          </w:tcPr>
          <w:p w14:paraId="3F9BEC7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Psydrax subcordata </w:t>
            </w:r>
            <w:r>
              <w:rPr>
                <w:rFonts w:ascii="Times New Roman" w:eastAsia="Times New Roman" w:hAnsi="Times New Roman" w:cs="Times New Roman"/>
                <w:sz w:val="16"/>
                <w:szCs w:val="16"/>
                <w:lang w:eastAsia="fr-FR"/>
              </w:rPr>
              <w:t>(DC.) Bridson</w:t>
            </w:r>
          </w:p>
        </w:tc>
        <w:tc>
          <w:tcPr>
            <w:tcW w:w="827" w:type="dxa"/>
            <w:noWrap/>
            <w:vAlign w:val="center"/>
            <w:hideMark/>
          </w:tcPr>
          <w:p w14:paraId="5BCC435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3.88</w:t>
            </w:r>
          </w:p>
        </w:tc>
        <w:tc>
          <w:tcPr>
            <w:tcW w:w="1138" w:type="dxa"/>
            <w:noWrap/>
            <w:vAlign w:val="center"/>
            <w:hideMark/>
          </w:tcPr>
          <w:p w14:paraId="463F2DF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2.98</w:t>
            </w:r>
          </w:p>
        </w:tc>
        <w:tc>
          <w:tcPr>
            <w:tcW w:w="1049" w:type="dxa"/>
            <w:noWrap/>
            <w:vAlign w:val="center"/>
            <w:hideMark/>
          </w:tcPr>
          <w:p w14:paraId="00D3A87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4.18</w:t>
            </w:r>
          </w:p>
        </w:tc>
        <w:tc>
          <w:tcPr>
            <w:tcW w:w="516" w:type="dxa"/>
            <w:noWrap/>
            <w:vAlign w:val="center"/>
            <w:hideMark/>
          </w:tcPr>
          <w:p w14:paraId="52F28C2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r>
      <w:tr w:rsidR="000F2958" w14:paraId="412DE46C" w14:textId="77777777">
        <w:trPr>
          <w:trHeight w:val="300"/>
        </w:trPr>
        <w:tc>
          <w:tcPr>
            <w:tcW w:w="520" w:type="dxa"/>
            <w:noWrap/>
            <w:hideMark/>
          </w:tcPr>
          <w:p w14:paraId="44619C1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411" w:type="dxa"/>
            <w:noWrap/>
            <w:hideMark/>
          </w:tcPr>
          <w:p w14:paraId="6FAF26FA" w14:textId="386CF236"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Pterocarpus soyauxii </w:t>
            </w:r>
            <w:r>
              <w:rPr>
                <w:rFonts w:ascii="Times New Roman" w:eastAsia="Times New Roman" w:hAnsi="Times New Roman" w:cs="Times New Roman"/>
                <w:sz w:val="16"/>
                <w:szCs w:val="16"/>
                <w:lang w:eastAsia="fr-FR"/>
              </w:rPr>
              <w:t>Taub.</w:t>
            </w:r>
          </w:p>
        </w:tc>
        <w:tc>
          <w:tcPr>
            <w:tcW w:w="827" w:type="dxa"/>
            <w:noWrap/>
            <w:vAlign w:val="center"/>
            <w:hideMark/>
          </w:tcPr>
          <w:p w14:paraId="2D773D3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4.54</w:t>
            </w:r>
          </w:p>
        </w:tc>
        <w:tc>
          <w:tcPr>
            <w:tcW w:w="1138" w:type="dxa"/>
            <w:noWrap/>
            <w:vAlign w:val="center"/>
            <w:hideMark/>
          </w:tcPr>
          <w:p w14:paraId="5274D66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16.93</w:t>
            </w:r>
          </w:p>
        </w:tc>
        <w:tc>
          <w:tcPr>
            <w:tcW w:w="1049" w:type="dxa"/>
            <w:noWrap/>
            <w:vAlign w:val="center"/>
            <w:hideMark/>
          </w:tcPr>
          <w:p w14:paraId="675107D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7.58</w:t>
            </w:r>
          </w:p>
        </w:tc>
        <w:tc>
          <w:tcPr>
            <w:tcW w:w="516" w:type="dxa"/>
            <w:noWrap/>
            <w:vAlign w:val="center"/>
            <w:hideMark/>
          </w:tcPr>
          <w:p w14:paraId="2AA619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w:t>
            </w:r>
          </w:p>
        </w:tc>
      </w:tr>
      <w:tr w:rsidR="000F2958" w14:paraId="4A2F7F6E" w14:textId="77777777">
        <w:trPr>
          <w:trHeight w:val="300"/>
        </w:trPr>
        <w:tc>
          <w:tcPr>
            <w:tcW w:w="520" w:type="dxa"/>
            <w:noWrap/>
            <w:hideMark/>
          </w:tcPr>
          <w:p w14:paraId="18A0ECA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411" w:type="dxa"/>
            <w:noWrap/>
            <w:hideMark/>
          </w:tcPr>
          <w:p w14:paraId="70A3D8A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827" w:type="dxa"/>
            <w:noWrap/>
            <w:vAlign w:val="center"/>
            <w:hideMark/>
          </w:tcPr>
          <w:p w14:paraId="58BC310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11.41</w:t>
            </w:r>
          </w:p>
        </w:tc>
        <w:tc>
          <w:tcPr>
            <w:tcW w:w="1138" w:type="dxa"/>
            <w:noWrap/>
            <w:vAlign w:val="center"/>
            <w:hideMark/>
          </w:tcPr>
          <w:p w14:paraId="46B28F39" w14:textId="77777777" w:rsidR="000F2958" w:rsidRDefault="000F2958">
            <w:pPr>
              <w:jc w:val="center"/>
              <w:rPr>
                <w:rFonts w:ascii="Times New Roman" w:eastAsia="Times New Roman" w:hAnsi="Times New Roman" w:cs="Times New Roman"/>
                <w:sz w:val="16"/>
                <w:szCs w:val="16"/>
                <w:lang w:eastAsia="fr-FR"/>
              </w:rPr>
            </w:pPr>
          </w:p>
        </w:tc>
        <w:tc>
          <w:tcPr>
            <w:tcW w:w="1049" w:type="dxa"/>
            <w:noWrap/>
            <w:vAlign w:val="center"/>
            <w:hideMark/>
          </w:tcPr>
          <w:p w14:paraId="4B2D4CD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11.1</w:t>
            </w:r>
          </w:p>
        </w:tc>
        <w:tc>
          <w:tcPr>
            <w:tcW w:w="516" w:type="dxa"/>
            <w:noWrap/>
            <w:vAlign w:val="center"/>
            <w:hideMark/>
          </w:tcPr>
          <w:p w14:paraId="23E95A0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w:t>
            </w:r>
          </w:p>
        </w:tc>
      </w:tr>
      <w:tr w:rsidR="000F2958" w14:paraId="5F79FC0D" w14:textId="77777777">
        <w:trPr>
          <w:trHeight w:val="300"/>
        </w:trPr>
        <w:tc>
          <w:tcPr>
            <w:tcW w:w="520" w:type="dxa"/>
            <w:noWrap/>
            <w:hideMark/>
          </w:tcPr>
          <w:p w14:paraId="1B38845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411" w:type="dxa"/>
            <w:noWrap/>
            <w:hideMark/>
          </w:tcPr>
          <w:p w14:paraId="6239CE3A" w14:textId="6C5E2BE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Tabernaemontana crushed </w:t>
            </w:r>
            <w:r>
              <w:rPr>
                <w:rFonts w:ascii="Times New Roman" w:eastAsia="Times New Roman" w:hAnsi="Times New Roman" w:cs="Times New Roman"/>
                <w:sz w:val="16"/>
                <w:szCs w:val="16"/>
                <w:lang w:eastAsia="fr-FR"/>
              </w:rPr>
              <w:t>Benth.</w:t>
            </w:r>
          </w:p>
        </w:tc>
        <w:tc>
          <w:tcPr>
            <w:tcW w:w="827" w:type="dxa"/>
            <w:noWrap/>
            <w:vAlign w:val="center"/>
            <w:hideMark/>
          </w:tcPr>
          <w:p w14:paraId="5EA971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3.31</w:t>
            </w:r>
          </w:p>
        </w:tc>
        <w:tc>
          <w:tcPr>
            <w:tcW w:w="1138" w:type="dxa"/>
            <w:noWrap/>
            <w:vAlign w:val="center"/>
            <w:hideMark/>
          </w:tcPr>
          <w:p w14:paraId="2586FED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5.82</w:t>
            </w:r>
          </w:p>
        </w:tc>
        <w:tc>
          <w:tcPr>
            <w:tcW w:w="1049" w:type="dxa"/>
            <w:noWrap/>
            <w:vAlign w:val="center"/>
            <w:hideMark/>
          </w:tcPr>
          <w:p w14:paraId="46EAF7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16" w:type="dxa"/>
            <w:noWrap/>
            <w:vAlign w:val="center"/>
            <w:hideMark/>
          </w:tcPr>
          <w:p w14:paraId="3F3496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r>
      <w:tr w:rsidR="000F2958" w14:paraId="1AE55489" w14:textId="77777777">
        <w:trPr>
          <w:trHeight w:val="300"/>
        </w:trPr>
        <w:tc>
          <w:tcPr>
            <w:tcW w:w="520" w:type="dxa"/>
            <w:noWrap/>
            <w:hideMark/>
          </w:tcPr>
          <w:p w14:paraId="65C75F6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411" w:type="dxa"/>
            <w:noWrap/>
            <w:hideMark/>
          </w:tcPr>
          <w:p w14:paraId="2CA2F238" w14:textId="5617DBF5"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sz w:val="16"/>
                <w:szCs w:val="16"/>
                <w:lang w:eastAsia="fr-FR"/>
              </w:rPr>
              <w:t>Müll. Arg.</w:t>
            </w:r>
          </w:p>
        </w:tc>
        <w:tc>
          <w:tcPr>
            <w:tcW w:w="827" w:type="dxa"/>
            <w:noWrap/>
            <w:vAlign w:val="center"/>
            <w:hideMark/>
          </w:tcPr>
          <w:p w14:paraId="023309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49.21</w:t>
            </w:r>
          </w:p>
        </w:tc>
        <w:tc>
          <w:tcPr>
            <w:tcW w:w="1138" w:type="dxa"/>
            <w:noWrap/>
            <w:vAlign w:val="center"/>
            <w:hideMark/>
          </w:tcPr>
          <w:p w14:paraId="7B12F8D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25.78</w:t>
            </w:r>
          </w:p>
        </w:tc>
        <w:tc>
          <w:tcPr>
            <w:tcW w:w="1049" w:type="dxa"/>
            <w:noWrap/>
            <w:vAlign w:val="center"/>
            <w:hideMark/>
          </w:tcPr>
          <w:p w14:paraId="21E21AD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22.8</w:t>
            </w:r>
          </w:p>
        </w:tc>
        <w:tc>
          <w:tcPr>
            <w:tcW w:w="516" w:type="dxa"/>
            <w:noWrap/>
            <w:vAlign w:val="center"/>
            <w:hideMark/>
          </w:tcPr>
          <w:p w14:paraId="7A2C91E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w:t>
            </w:r>
          </w:p>
        </w:tc>
      </w:tr>
      <w:tr w:rsidR="000F2958" w14:paraId="448CE508" w14:textId="77777777">
        <w:trPr>
          <w:trHeight w:val="300"/>
        </w:trPr>
        <w:tc>
          <w:tcPr>
            <w:tcW w:w="520" w:type="dxa"/>
            <w:noWrap/>
            <w:hideMark/>
          </w:tcPr>
          <w:p w14:paraId="6AE8BF8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c>
          <w:tcPr>
            <w:tcW w:w="4411" w:type="dxa"/>
            <w:noWrap/>
            <w:hideMark/>
          </w:tcPr>
          <w:p w14:paraId="7E09250A" w14:textId="2EF708C3"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 xml:space="preserve">Zanthoxylum heitzii </w:t>
            </w:r>
            <w:r>
              <w:rPr>
                <w:rFonts w:ascii="Times New Roman" w:eastAsia="Times New Roman" w:hAnsi="Times New Roman" w:cs="Times New Roman"/>
                <w:sz w:val="16"/>
                <w:szCs w:val="16"/>
                <w:lang w:val="en-US" w:eastAsia="fr-FR"/>
              </w:rPr>
              <w:t>(Aubr. &amp; Pellegr) Waterman</w:t>
            </w:r>
          </w:p>
        </w:tc>
        <w:tc>
          <w:tcPr>
            <w:tcW w:w="827" w:type="dxa"/>
            <w:noWrap/>
            <w:vAlign w:val="center"/>
            <w:hideMark/>
          </w:tcPr>
          <w:p w14:paraId="3FDEE0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2.18</w:t>
            </w:r>
          </w:p>
        </w:tc>
        <w:tc>
          <w:tcPr>
            <w:tcW w:w="1138" w:type="dxa"/>
            <w:noWrap/>
            <w:vAlign w:val="center"/>
            <w:hideMark/>
          </w:tcPr>
          <w:p w14:paraId="644630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5.06</w:t>
            </w:r>
          </w:p>
        </w:tc>
        <w:tc>
          <w:tcPr>
            <w:tcW w:w="1049" w:type="dxa"/>
            <w:noWrap/>
            <w:vAlign w:val="center"/>
            <w:hideMark/>
          </w:tcPr>
          <w:p w14:paraId="73BDDB4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1.09</w:t>
            </w:r>
          </w:p>
        </w:tc>
        <w:tc>
          <w:tcPr>
            <w:tcW w:w="516" w:type="dxa"/>
            <w:noWrap/>
            <w:vAlign w:val="center"/>
            <w:hideMark/>
          </w:tcPr>
          <w:p w14:paraId="55915C4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w:t>
            </w:r>
          </w:p>
        </w:tc>
      </w:tr>
      <w:tr w:rsidR="000F2958" w14:paraId="7C0E3010" w14:textId="77777777">
        <w:trPr>
          <w:trHeight w:val="300"/>
        </w:trPr>
        <w:tc>
          <w:tcPr>
            <w:tcW w:w="4931" w:type="dxa"/>
            <w:gridSpan w:val="2"/>
            <w:noWrap/>
            <w:hideMark/>
          </w:tcPr>
          <w:p w14:paraId="6C3B3F51"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Total</w:t>
            </w:r>
          </w:p>
        </w:tc>
        <w:tc>
          <w:tcPr>
            <w:tcW w:w="827" w:type="dxa"/>
            <w:noWrap/>
            <w:vAlign w:val="center"/>
            <w:hideMark/>
          </w:tcPr>
          <w:p w14:paraId="37F8F75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138" w:type="dxa"/>
            <w:noWrap/>
            <w:vAlign w:val="center"/>
            <w:hideMark/>
          </w:tcPr>
          <w:p w14:paraId="6535BA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049" w:type="dxa"/>
            <w:noWrap/>
            <w:vAlign w:val="center"/>
            <w:hideMark/>
          </w:tcPr>
          <w:p w14:paraId="59451C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516" w:type="dxa"/>
            <w:noWrap/>
            <w:vAlign w:val="center"/>
            <w:hideMark/>
          </w:tcPr>
          <w:p w14:paraId="4B61A54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4756DA83" w14:textId="77777777" w:rsidR="000F2958" w:rsidRDefault="000F2958">
      <w:pPr>
        <w:jc w:val="center"/>
        <w:rPr>
          <w:noProof/>
          <w:lang w:eastAsia="fr-FR"/>
        </w:rPr>
      </w:pPr>
    </w:p>
    <w:p w14:paraId="6A09A170" w14:textId="77777777" w:rsidR="000F2958" w:rsidRDefault="000F2958">
      <w:pPr>
        <w:jc w:val="center"/>
      </w:pPr>
    </w:p>
    <w:p w14:paraId="0E833B54" w14:textId="77777777" w:rsidR="000F2958" w:rsidRDefault="000F2958">
      <w:pPr>
        <w:jc w:val="both"/>
      </w:pPr>
    </w:p>
    <w:p w14:paraId="5B87BFBC" w14:textId="77777777" w:rsidR="000F2958" w:rsidRDefault="000F2958">
      <w:pPr>
        <w:spacing w:after="0" w:line="360" w:lineRule="auto"/>
        <w:jc w:val="both"/>
        <w:rPr>
          <w:rFonts w:ascii="Times New Roman" w:hAnsi="Times New Roman" w:cs="Times New Roman"/>
          <w:sz w:val="16"/>
          <w:szCs w:val="16"/>
        </w:rPr>
      </w:pPr>
    </w:p>
    <w:sectPr w:rsidR="000F2958">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41B59" w14:textId="77777777" w:rsidR="006A11EB" w:rsidRDefault="006A11EB">
      <w:pPr>
        <w:spacing w:after="0" w:line="240" w:lineRule="auto"/>
      </w:pPr>
      <w:r>
        <w:separator/>
      </w:r>
    </w:p>
  </w:endnote>
  <w:endnote w:type="continuationSeparator" w:id="0">
    <w:p w14:paraId="7F195310" w14:textId="77777777" w:rsidR="006A11EB" w:rsidRDefault="006A1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72FF" w14:textId="77777777" w:rsidR="005C157D" w:rsidRDefault="005C15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0AD1" w14:textId="6DB3239E" w:rsidR="000F2958" w:rsidRDefault="003B2158">
    <w:pPr>
      <w:pStyle w:val="Footer"/>
      <w:jc w:val="center"/>
    </w:pPr>
    <w:r>
      <w:fldChar w:fldCharType="begin"/>
    </w:r>
    <w:r>
      <w:instrText>PAGE   \* MERGEFORMAT</w:instrText>
    </w:r>
    <w:r>
      <w:fldChar w:fldCharType="separate"/>
    </w:r>
    <w:r w:rsidR="008A658A">
      <w:rPr>
        <w:noProof/>
      </w:rPr>
      <w:t>18</w:t>
    </w:r>
    <w:r>
      <w:fldChar w:fldCharType="end"/>
    </w:r>
  </w:p>
  <w:p w14:paraId="2751F721" w14:textId="77777777" w:rsidR="000F2958" w:rsidRDefault="000F2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1F10" w14:textId="77777777" w:rsidR="005C157D" w:rsidRDefault="005C1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FF804" w14:textId="77777777" w:rsidR="006A11EB" w:rsidRDefault="006A11EB">
      <w:pPr>
        <w:spacing w:after="0" w:line="240" w:lineRule="auto"/>
      </w:pPr>
      <w:r>
        <w:separator/>
      </w:r>
    </w:p>
  </w:footnote>
  <w:footnote w:type="continuationSeparator" w:id="0">
    <w:p w14:paraId="7E736B9A" w14:textId="77777777" w:rsidR="006A11EB" w:rsidRDefault="006A1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1383B" w14:textId="60AF6A80" w:rsidR="005C157D" w:rsidRDefault="005C157D">
    <w:pPr>
      <w:pStyle w:val="Header"/>
    </w:pPr>
    <w:r>
      <w:rPr>
        <w:noProof/>
      </w:rPr>
      <w:pict w14:anchorId="2C876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815E" w14:textId="730D7F8D" w:rsidR="005C157D" w:rsidRDefault="005C157D">
    <w:pPr>
      <w:pStyle w:val="Header"/>
    </w:pPr>
    <w:r>
      <w:rPr>
        <w:noProof/>
      </w:rPr>
      <w:pict w14:anchorId="13F68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3798F" w14:textId="2126F733" w:rsidR="005C157D" w:rsidRDefault="005C157D">
    <w:pPr>
      <w:pStyle w:val="Header"/>
    </w:pPr>
    <w:r>
      <w:rPr>
        <w:noProof/>
      </w:rPr>
      <w:pict w14:anchorId="231CC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2849638"/>
    <w:lvl w:ilvl="0" w:tplc="0EF87C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000002"/>
    <w:multiLevelType w:val="hybridMultilevel"/>
    <w:tmpl w:val="9146A442"/>
    <w:lvl w:ilvl="0" w:tplc="2F7E5872">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773A7EF0"/>
    <w:lvl w:ilvl="0" w:tplc="2124D5B8">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A808E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hybridMultilevel"/>
    <w:tmpl w:val="DC4E17AC"/>
    <w:lvl w:ilvl="0" w:tplc="3398A6F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A6273B"/>
    <w:multiLevelType w:val="hybridMultilevel"/>
    <w:tmpl w:val="88D0F684"/>
    <w:lvl w:ilvl="0" w:tplc="8730D1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ytTQ2MrM0NzU1MTZV0lEKTi0uzszPAykwrAUA8lJ6XywAAAA="/>
  </w:docVars>
  <w:rsids>
    <w:rsidRoot w:val="000F2958"/>
    <w:rsid w:val="000525F0"/>
    <w:rsid w:val="000563AF"/>
    <w:rsid w:val="000A2E59"/>
    <w:rsid w:val="000C5D6B"/>
    <w:rsid w:val="000F2958"/>
    <w:rsid w:val="000F64BE"/>
    <w:rsid w:val="00165F5C"/>
    <w:rsid w:val="001760E9"/>
    <w:rsid w:val="001D3E6A"/>
    <w:rsid w:val="001D7DA5"/>
    <w:rsid w:val="00210D23"/>
    <w:rsid w:val="00220647"/>
    <w:rsid w:val="002770AE"/>
    <w:rsid w:val="002839DA"/>
    <w:rsid w:val="002B1FD2"/>
    <w:rsid w:val="003468D0"/>
    <w:rsid w:val="003737D8"/>
    <w:rsid w:val="003B2158"/>
    <w:rsid w:val="003E18C4"/>
    <w:rsid w:val="003E54D6"/>
    <w:rsid w:val="004105C6"/>
    <w:rsid w:val="004430F0"/>
    <w:rsid w:val="00462525"/>
    <w:rsid w:val="00487A31"/>
    <w:rsid w:val="004A03C1"/>
    <w:rsid w:val="004A554B"/>
    <w:rsid w:val="004A626C"/>
    <w:rsid w:val="004C242D"/>
    <w:rsid w:val="004E3B58"/>
    <w:rsid w:val="004E42B6"/>
    <w:rsid w:val="0053670F"/>
    <w:rsid w:val="005442B2"/>
    <w:rsid w:val="00562C58"/>
    <w:rsid w:val="00594E4A"/>
    <w:rsid w:val="005B18A1"/>
    <w:rsid w:val="005C157D"/>
    <w:rsid w:val="005D4704"/>
    <w:rsid w:val="00602FB2"/>
    <w:rsid w:val="0064353C"/>
    <w:rsid w:val="006650B4"/>
    <w:rsid w:val="006831AB"/>
    <w:rsid w:val="006A11EB"/>
    <w:rsid w:val="00746E05"/>
    <w:rsid w:val="00762985"/>
    <w:rsid w:val="00781285"/>
    <w:rsid w:val="007834F3"/>
    <w:rsid w:val="007A6B47"/>
    <w:rsid w:val="007E10AE"/>
    <w:rsid w:val="007F4678"/>
    <w:rsid w:val="008A658A"/>
    <w:rsid w:val="008E54A0"/>
    <w:rsid w:val="00902EB6"/>
    <w:rsid w:val="009259EA"/>
    <w:rsid w:val="009273F2"/>
    <w:rsid w:val="00932C48"/>
    <w:rsid w:val="009709AD"/>
    <w:rsid w:val="009D1F29"/>
    <w:rsid w:val="009F2C43"/>
    <w:rsid w:val="00A43C4E"/>
    <w:rsid w:val="00A54D96"/>
    <w:rsid w:val="00A637EB"/>
    <w:rsid w:val="00A81760"/>
    <w:rsid w:val="00AC5291"/>
    <w:rsid w:val="00AD3160"/>
    <w:rsid w:val="00AD7908"/>
    <w:rsid w:val="00B92E81"/>
    <w:rsid w:val="00BC4A71"/>
    <w:rsid w:val="00C24968"/>
    <w:rsid w:val="00C574D2"/>
    <w:rsid w:val="00C979C5"/>
    <w:rsid w:val="00CA39A6"/>
    <w:rsid w:val="00CB0D2B"/>
    <w:rsid w:val="00CC4CE9"/>
    <w:rsid w:val="00CE6E8C"/>
    <w:rsid w:val="00CF588C"/>
    <w:rsid w:val="00DC3FE7"/>
    <w:rsid w:val="00DF7DAB"/>
    <w:rsid w:val="00E47BD2"/>
    <w:rsid w:val="00E6591F"/>
    <w:rsid w:val="00ED4AB8"/>
    <w:rsid w:val="00EE53C7"/>
    <w:rsid w:val="00F16B3A"/>
    <w:rsid w:val="00F31583"/>
    <w:rsid w:val="00F3577B"/>
    <w:rsid w:val="00FC03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F6677C"/>
  <w15:docId w15:val="{67B36C12-05AB-4269-812B-6AA92CD06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PlaceholderText">
    <w:name w:val="Placeholder Text"/>
    <w:basedOn w:val="DefaultParagraphFont"/>
    <w:uiPriority w:val="99"/>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 w:type="paragraph" w:styleId="Header">
    <w:name w:val="header"/>
    <w:basedOn w:val="Normal"/>
    <w:link w:val="HeaderChar"/>
    <w:uiPriority w:val="99"/>
    <w:unhideWhenUsed/>
    <w:rsid w:val="005C1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97-2003_Worksheet.xls"/><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Feuil1!$B$52</c:f>
              <c:strCache>
                <c:ptCount val="1"/>
                <c:pt idx="0">
                  <c:v>GI</c:v>
                </c:pt>
              </c:strCache>
            </c:strRef>
          </c:tx>
          <c:spPr>
            <a:solidFill>
              <a:srgbClr val="F8324E"/>
            </a:solidFill>
          </c:spPr>
          <c:invertIfNegative val="0"/>
          <c:cat>
            <c:strRef>
              <c:f>Feuil1!$A$53:$A$55</c:f>
              <c:strCache>
                <c:ptCount val="3"/>
                <c:pt idx="0">
                  <c:v>mph</c:v>
                </c:pt>
                <c:pt idx="1">
                  <c:v>mPh</c:v>
                </c:pt>
                <c:pt idx="2">
                  <c:v>MPh</c:v>
                </c:pt>
              </c:strCache>
            </c:strRef>
          </c:cat>
          <c:val>
            <c:numRef>
              <c:f>Feuil1!$B$53:$B$55</c:f>
              <c:numCache>
                <c:formatCode>General</c:formatCode>
                <c:ptCount val="3"/>
                <c:pt idx="0">
                  <c:v>60</c:v>
                </c:pt>
                <c:pt idx="1">
                  <c:v>30</c:v>
                </c:pt>
                <c:pt idx="2">
                  <c:v>10</c:v>
                </c:pt>
              </c:numCache>
            </c:numRef>
          </c:val>
          <c:extLst>
            <c:ext xmlns:c16="http://schemas.microsoft.com/office/drawing/2014/chart" uri="{C3380CC4-5D6E-409C-BE32-E72D297353CC}">
              <c16:uniqueId val="{00000000-4AAA-4624-950B-89A75D2C864A}"/>
            </c:ext>
          </c:extLst>
        </c:ser>
        <c:ser>
          <c:idx val="1"/>
          <c:order val="1"/>
          <c:tx>
            <c:strRef>
              <c:f>Feuil1!$C$52</c:f>
              <c:strCache>
                <c:ptCount val="1"/>
                <c:pt idx="0">
                  <c:v>GII</c:v>
                </c:pt>
              </c:strCache>
            </c:strRef>
          </c:tx>
          <c:spPr>
            <a:solidFill>
              <a:srgbClr val="0202CE"/>
            </a:solidFill>
          </c:spPr>
          <c:invertIfNegative val="0"/>
          <c:cat>
            <c:strRef>
              <c:f>Feuil1!$A$53:$A$55</c:f>
              <c:strCache>
                <c:ptCount val="3"/>
                <c:pt idx="0">
                  <c:v>mph</c:v>
                </c:pt>
                <c:pt idx="1">
                  <c:v>mPh</c:v>
                </c:pt>
                <c:pt idx="2">
                  <c:v>MPh</c:v>
                </c:pt>
              </c:strCache>
            </c:strRef>
          </c:cat>
          <c:val>
            <c:numRef>
              <c:f>Feuil1!$C$53:$C$55</c:f>
              <c:numCache>
                <c:formatCode>General</c:formatCode>
                <c:ptCount val="3"/>
                <c:pt idx="0">
                  <c:v>58.33</c:v>
                </c:pt>
                <c:pt idx="1">
                  <c:v>33.33</c:v>
                </c:pt>
                <c:pt idx="2">
                  <c:v>8.34</c:v>
                </c:pt>
              </c:numCache>
            </c:numRef>
          </c:val>
          <c:extLst>
            <c:ext xmlns:c16="http://schemas.microsoft.com/office/drawing/2014/chart" uri="{C3380CC4-5D6E-409C-BE32-E72D297353CC}">
              <c16:uniqueId val="{00000001-4AAA-4624-950B-89A75D2C864A}"/>
            </c:ext>
          </c:extLst>
        </c:ser>
        <c:ser>
          <c:idx val="2"/>
          <c:order val="2"/>
          <c:tx>
            <c:strRef>
              <c:f>Feuil1!$D$52</c:f>
              <c:strCache>
                <c:ptCount val="1"/>
                <c:pt idx="0">
                  <c:v>GIII</c:v>
                </c:pt>
              </c:strCache>
            </c:strRef>
          </c:tx>
          <c:spPr>
            <a:solidFill>
              <a:schemeClr val="tx1">
                <a:lumMod val="65000"/>
                <a:lumOff val="35000"/>
              </a:schemeClr>
            </a:solidFill>
          </c:spPr>
          <c:invertIfNegative val="0"/>
          <c:cat>
            <c:strRef>
              <c:f>Feuil1!$A$53:$A$55</c:f>
              <c:strCache>
                <c:ptCount val="3"/>
                <c:pt idx="0">
                  <c:v>mph</c:v>
                </c:pt>
                <c:pt idx="1">
                  <c:v>mPh</c:v>
                </c:pt>
                <c:pt idx="2">
                  <c:v>MPh</c:v>
                </c:pt>
              </c:strCache>
            </c:strRef>
          </c:cat>
          <c:val>
            <c:numRef>
              <c:f>Feuil1!$D$53:$D$55</c:f>
              <c:numCache>
                <c:formatCode>General</c:formatCode>
                <c:ptCount val="3"/>
                <c:pt idx="0">
                  <c:v>15.38</c:v>
                </c:pt>
                <c:pt idx="1">
                  <c:v>30.77</c:v>
                </c:pt>
                <c:pt idx="2">
                  <c:v>53.85</c:v>
                </c:pt>
              </c:numCache>
            </c:numRef>
          </c:val>
          <c:extLst>
            <c:ext xmlns:c16="http://schemas.microsoft.com/office/drawing/2014/chart" uri="{C3380CC4-5D6E-409C-BE32-E72D297353CC}">
              <c16:uniqueId val="{00000002-4AAA-4624-950B-89A75D2C864A}"/>
            </c:ext>
          </c:extLst>
        </c:ser>
        <c:ser>
          <c:idx val="3"/>
          <c:order val="3"/>
          <c:tx>
            <c:strRef>
              <c:f>Feuil1!$E$52</c:f>
              <c:strCache>
                <c:ptCount val="1"/>
                <c:pt idx="0">
                  <c:v>GIV</c:v>
                </c:pt>
              </c:strCache>
            </c:strRef>
          </c:tx>
          <c:spPr>
            <a:solidFill>
              <a:schemeClr val="accent6">
                <a:lumMod val="75000"/>
              </a:schemeClr>
            </a:solidFill>
          </c:spPr>
          <c:invertIfNegative val="0"/>
          <c:cat>
            <c:strRef>
              <c:f>Feuil1!$A$53:$A$55</c:f>
              <c:strCache>
                <c:ptCount val="3"/>
                <c:pt idx="0">
                  <c:v>mph</c:v>
                </c:pt>
                <c:pt idx="1">
                  <c:v>mPh</c:v>
                </c:pt>
                <c:pt idx="2">
                  <c:v>MPh</c:v>
                </c:pt>
              </c:strCache>
            </c:strRef>
          </c:cat>
          <c:val>
            <c:numRef>
              <c:f>Feuil1!$E$53:$E$55</c:f>
              <c:numCache>
                <c:formatCode>General</c:formatCode>
                <c:ptCount val="3"/>
                <c:pt idx="0">
                  <c:v>50</c:v>
                </c:pt>
                <c:pt idx="1">
                  <c:v>25</c:v>
                </c:pt>
                <c:pt idx="2">
                  <c:v>25</c:v>
                </c:pt>
              </c:numCache>
            </c:numRef>
          </c:val>
          <c:extLst>
            <c:ext xmlns:c16="http://schemas.microsoft.com/office/drawing/2014/chart" uri="{C3380CC4-5D6E-409C-BE32-E72D297353CC}">
              <c16:uniqueId val="{00000003-4AAA-4624-950B-89A75D2C864A}"/>
            </c:ext>
          </c:extLst>
        </c:ser>
        <c:ser>
          <c:idx val="4"/>
          <c:order val="4"/>
          <c:tx>
            <c:strRef>
              <c:f>Feuil1!$F$52</c:f>
              <c:strCache>
                <c:ptCount val="1"/>
                <c:pt idx="0">
                  <c:v>GV</c:v>
                </c:pt>
              </c:strCache>
            </c:strRef>
          </c:tx>
          <c:spPr>
            <a:solidFill>
              <a:srgbClr val="4DF436"/>
            </a:solidFill>
          </c:spPr>
          <c:invertIfNegative val="0"/>
          <c:cat>
            <c:strRef>
              <c:f>Feuil1!$A$53:$A$55</c:f>
              <c:strCache>
                <c:ptCount val="3"/>
                <c:pt idx="0">
                  <c:v>mph</c:v>
                </c:pt>
                <c:pt idx="1">
                  <c:v>mPh</c:v>
                </c:pt>
                <c:pt idx="2">
                  <c:v>MPh</c:v>
                </c:pt>
              </c:strCache>
            </c:strRef>
          </c:cat>
          <c:val>
            <c:numRef>
              <c:f>Feuil1!$F$53:$F$55</c:f>
              <c:numCache>
                <c:formatCode>General</c:formatCode>
                <c:ptCount val="3"/>
                <c:pt idx="0">
                  <c:v>23.08</c:v>
                </c:pt>
                <c:pt idx="1">
                  <c:v>30.77</c:v>
                </c:pt>
                <c:pt idx="2">
                  <c:v>46.15</c:v>
                </c:pt>
              </c:numCache>
            </c:numRef>
          </c:val>
          <c:extLst>
            <c:ext xmlns:c16="http://schemas.microsoft.com/office/drawing/2014/chart" uri="{C3380CC4-5D6E-409C-BE32-E72D297353CC}">
              <c16:uniqueId val="{00000004-4AAA-4624-950B-89A75D2C864A}"/>
            </c:ext>
          </c:extLst>
        </c:ser>
        <c:dLbls>
          <c:showLegendKey val="0"/>
          <c:showVal val="0"/>
          <c:showCatName val="0"/>
          <c:showSerName val="0"/>
          <c:showPercent val="0"/>
          <c:showBubbleSize val="0"/>
        </c:dLbls>
        <c:gapWidth val="150"/>
        <c:axId val="118310784"/>
        <c:axId val="118317056"/>
      </c:barChart>
      <c:catAx>
        <c:axId val="118310784"/>
        <c:scaling>
          <c:orientation val="minMax"/>
        </c:scaling>
        <c:delete val="0"/>
        <c:axPos val="b"/>
        <c:title>
          <c:tx>
            <c:rich>
              <a:bodyPr/>
              <a:lstStyle/>
              <a:p>
                <a:pPr>
                  <a:defRPr/>
                </a:pPr>
                <a:r>
                  <a:rPr lang="en"/>
                  <a:t>Biological types</a:t>
                </a:r>
              </a:p>
            </c:rich>
          </c:tx>
          <c:overlay val="0"/>
        </c:title>
        <c:numFmt formatCode="General" sourceLinked="0"/>
        <c:majorTickMark val="out"/>
        <c:minorTickMark val="none"/>
        <c:tickLblPos val="nextTo"/>
        <c:crossAx val="118317056"/>
        <c:crosses val="autoZero"/>
        <c:auto val="1"/>
        <c:lblAlgn val="ctr"/>
        <c:lblOffset val="100"/>
        <c:noMultiLvlLbl val="0"/>
      </c:catAx>
      <c:valAx>
        <c:axId val="118317056"/>
        <c:scaling>
          <c:orientation val="minMax"/>
        </c:scaling>
        <c:delete val="0"/>
        <c:axPos val="l"/>
        <c:majorGridlines/>
        <c:title>
          <c:tx>
            <c:rich>
              <a:bodyPr rot="-5400000" vert="horz"/>
              <a:lstStyle/>
              <a:p>
                <a:pPr>
                  <a:defRPr/>
                </a:pPr>
                <a:r>
                  <a:rPr lang="en"/>
                  <a:t>% of species</a:t>
                </a:r>
              </a:p>
            </c:rich>
          </c:tx>
          <c:overlay val="0"/>
        </c:title>
        <c:numFmt formatCode="General" sourceLinked="1"/>
        <c:majorTickMark val="out"/>
        <c:minorTickMark val="none"/>
        <c:tickLblPos val="nextTo"/>
        <c:crossAx val="1183107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Feuil1!$C$31</c:f>
              <c:strCache>
                <c:ptCount val="1"/>
                <c:pt idx="0">
                  <c:v>GI</c:v>
                </c:pt>
              </c:strCache>
            </c:strRef>
          </c:tx>
          <c:spPr>
            <a:solidFill>
              <a:srgbClr val="F7154B"/>
            </a:solidFill>
          </c:spPr>
          <c:invertIfNegative val="0"/>
          <c:cat>
            <c:strRef>
              <c:f>Feuil1!$B$32:$B$37</c:f>
              <c:strCache>
                <c:ptCount val="6"/>
                <c:pt idx="0">
                  <c:v>AM</c:v>
                </c:pt>
                <c:pt idx="1">
                  <c:v>AT</c:v>
                </c:pt>
                <c:pt idx="2">
                  <c:v>CG</c:v>
                </c:pt>
                <c:pt idx="3">
                  <c:v>GC</c:v>
                </c:pt>
                <c:pt idx="4">
                  <c:v>GC-SZ</c:v>
                </c:pt>
                <c:pt idx="5">
                  <c:v>Pal</c:v>
                </c:pt>
              </c:strCache>
            </c:strRef>
          </c:cat>
          <c:val>
            <c:numRef>
              <c:f>Feuil1!$C$32:$C$37</c:f>
              <c:numCache>
                <c:formatCode>General</c:formatCode>
                <c:ptCount val="6"/>
                <c:pt idx="0">
                  <c:v>10</c:v>
                </c:pt>
                <c:pt idx="1">
                  <c:v>20</c:v>
                </c:pt>
                <c:pt idx="2">
                  <c:v>10</c:v>
                </c:pt>
                <c:pt idx="3">
                  <c:v>50</c:v>
                </c:pt>
                <c:pt idx="4">
                  <c:v>0</c:v>
                </c:pt>
                <c:pt idx="5">
                  <c:v>10</c:v>
                </c:pt>
              </c:numCache>
            </c:numRef>
          </c:val>
          <c:extLst>
            <c:ext xmlns:c16="http://schemas.microsoft.com/office/drawing/2014/chart" uri="{C3380CC4-5D6E-409C-BE32-E72D297353CC}">
              <c16:uniqueId val="{00000000-8424-4712-89A1-9000018B8D97}"/>
            </c:ext>
          </c:extLst>
        </c:ser>
        <c:ser>
          <c:idx val="1"/>
          <c:order val="1"/>
          <c:tx>
            <c:strRef>
              <c:f>Feuil1!$D$31</c:f>
              <c:strCache>
                <c:ptCount val="1"/>
                <c:pt idx="0">
                  <c:v>GII</c:v>
                </c:pt>
              </c:strCache>
            </c:strRef>
          </c:tx>
          <c:spPr>
            <a:solidFill>
              <a:srgbClr val="132EF9"/>
            </a:solidFill>
          </c:spPr>
          <c:invertIfNegative val="0"/>
          <c:cat>
            <c:strRef>
              <c:f>Feuil1!$B$32:$B$37</c:f>
              <c:strCache>
                <c:ptCount val="6"/>
                <c:pt idx="0">
                  <c:v>AM</c:v>
                </c:pt>
                <c:pt idx="1">
                  <c:v>AT</c:v>
                </c:pt>
                <c:pt idx="2">
                  <c:v>CG</c:v>
                </c:pt>
                <c:pt idx="3">
                  <c:v>GC</c:v>
                </c:pt>
                <c:pt idx="4">
                  <c:v>GC-SZ</c:v>
                </c:pt>
                <c:pt idx="5">
                  <c:v>Pal</c:v>
                </c:pt>
              </c:strCache>
            </c:strRef>
          </c:cat>
          <c:val>
            <c:numRef>
              <c:f>Feuil1!$D$32:$D$37</c:f>
              <c:numCache>
                <c:formatCode>General</c:formatCode>
                <c:ptCount val="6"/>
                <c:pt idx="0">
                  <c:v>16.670000000000002</c:v>
                </c:pt>
                <c:pt idx="1">
                  <c:v>16.670000000000002</c:v>
                </c:pt>
                <c:pt idx="2">
                  <c:v>8.83</c:v>
                </c:pt>
                <c:pt idx="3">
                  <c:v>50</c:v>
                </c:pt>
                <c:pt idx="4">
                  <c:v>0</c:v>
                </c:pt>
                <c:pt idx="5">
                  <c:v>7.83</c:v>
                </c:pt>
              </c:numCache>
            </c:numRef>
          </c:val>
          <c:extLst>
            <c:ext xmlns:c16="http://schemas.microsoft.com/office/drawing/2014/chart" uri="{C3380CC4-5D6E-409C-BE32-E72D297353CC}">
              <c16:uniqueId val="{00000001-8424-4712-89A1-9000018B8D97}"/>
            </c:ext>
          </c:extLst>
        </c:ser>
        <c:ser>
          <c:idx val="2"/>
          <c:order val="2"/>
          <c:tx>
            <c:strRef>
              <c:f>Feuil1!$E$31</c:f>
              <c:strCache>
                <c:ptCount val="1"/>
                <c:pt idx="0">
                  <c:v>GIII</c:v>
                </c:pt>
              </c:strCache>
            </c:strRef>
          </c:tx>
          <c:spPr>
            <a:solidFill>
              <a:schemeClr val="tx1">
                <a:lumMod val="50000"/>
                <a:lumOff val="50000"/>
              </a:schemeClr>
            </a:solidFill>
          </c:spPr>
          <c:invertIfNegative val="0"/>
          <c:cat>
            <c:strRef>
              <c:f>Feuil1!$B$32:$B$37</c:f>
              <c:strCache>
                <c:ptCount val="6"/>
                <c:pt idx="0">
                  <c:v>AM</c:v>
                </c:pt>
                <c:pt idx="1">
                  <c:v>AT</c:v>
                </c:pt>
                <c:pt idx="2">
                  <c:v>CG</c:v>
                </c:pt>
                <c:pt idx="3">
                  <c:v>GC</c:v>
                </c:pt>
                <c:pt idx="4">
                  <c:v>GC-SZ</c:v>
                </c:pt>
                <c:pt idx="5">
                  <c:v>Pal</c:v>
                </c:pt>
              </c:strCache>
            </c:strRef>
          </c:cat>
          <c:val>
            <c:numRef>
              <c:f>Feuil1!$E$32:$E$37</c:f>
              <c:numCache>
                <c:formatCode>General</c:formatCode>
                <c:ptCount val="6"/>
                <c:pt idx="0">
                  <c:v>0</c:v>
                </c:pt>
                <c:pt idx="1">
                  <c:v>0</c:v>
                </c:pt>
                <c:pt idx="2">
                  <c:v>30.67</c:v>
                </c:pt>
                <c:pt idx="3">
                  <c:v>61.54</c:v>
                </c:pt>
                <c:pt idx="4">
                  <c:v>7.79</c:v>
                </c:pt>
                <c:pt idx="5">
                  <c:v>0</c:v>
                </c:pt>
              </c:numCache>
            </c:numRef>
          </c:val>
          <c:extLst>
            <c:ext xmlns:c16="http://schemas.microsoft.com/office/drawing/2014/chart" uri="{C3380CC4-5D6E-409C-BE32-E72D297353CC}">
              <c16:uniqueId val="{00000002-8424-4712-89A1-9000018B8D97}"/>
            </c:ext>
          </c:extLst>
        </c:ser>
        <c:ser>
          <c:idx val="3"/>
          <c:order val="3"/>
          <c:tx>
            <c:strRef>
              <c:f>Feuil1!$F$31</c:f>
              <c:strCache>
                <c:ptCount val="1"/>
                <c:pt idx="0">
                  <c:v>GIV</c:v>
                </c:pt>
              </c:strCache>
            </c:strRef>
          </c:tx>
          <c:spPr>
            <a:solidFill>
              <a:schemeClr val="accent6">
                <a:lumMod val="75000"/>
              </a:schemeClr>
            </a:solidFill>
          </c:spPr>
          <c:invertIfNegative val="0"/>
          <c:cat>
            <c:strRef>
              <c:f>Feuil1!$B$32:$B$37</c:f>
              <c:strCache>
                <c:ptCount val="6"/>
                <c:pt idx="0">
                  <c:v>AM</c:v>
                </c:pt>
                <c:pt idx="1">
                  <c:v>AT</c:v>
                </c:pt>
                <c:pt idx="2">
                  <c:v>CG</c:v>
                </c:pt>
                <c:pt idx="3">
                  <c:v>GC</c:v>
                </c:pt>
                <c:pt idx="4">
                  <c:v>GC-SZ</c:v>
                </c:pt>
                <c:pt idx="5">
                  <c:v>Pal</c:v>
                </c:pt>
              </c:strCache>
            </c:strRef>
          </c:cat>
          <c:val>
            <c:numRef>
              <c:f>Feuil1!$F$32:$F$37</c:f>
              <c:numCache>
                <c:formatCode>General</c:formatCode>
                <c:ptCount val="6"/>
                <c:pt idx="0">
                  <c:v>16.670000000000002</c:v>
                </c:pt>
                <c:pt idx="1">
                  <c:v>8.33</c:v>
                </c:pt>
                <c:pt idx="2">
                  <c:v>25</c:v>
                </c:pt>
                <c:pt idx="3">
                  <c:v>41.67</c:v>
                </c:pt>
                <c:pt idx="4">
                  <c:v>0</c:v>
                </c:pt>
                <c:pt idx="5">
                  <c:v>8.33</c:v>
                </c:pt>
              </c:numCache>
            </c:numRef>
          </c:val>
          <c:extLst>
            <c:ext xmlns:c16="http://schemas.microsoft.com/office/drawing/2014/chart" uri="{C3380CC4-5D6E-409C-BE32-E72D297353CC}">
              <c16:uniqueId val="{00000003-8424-4712-89A1-9000018B8D97}"/>
            </c:ext>
          </c:extLst>
        </c:ser>
        <c:ser>
          <c:idx val="4"/>
          <c:order val="4"/>
          <c:tx>
            <c:strRef>
              <c:f>Feuil1!$G$31</c:f>
              <c:strCache>
                <c:ptCount val="1"/>
                <c:pt idx="0">
                  <c:v>GV</c:v>
                </c:pt>
              </c:strCache>
            </c:strRef>
          </c:tx>
          <c:spPr>
            <a:solidFill>
              <a:srgbClr val="77C961"/>
            </a:solidFill>
          </c:spPr>
          <c:invertIfNegative val="0"/>
          <c:cat>
            <c:strRef>
              <c:f>Feuil1!$B$32:$B$37</c:f>
              <c:strCache>
                <c:ptCount val="6"/>
                <c:pt idx="0">
                  <c:v>AM</c:v>
                </c:pt>
                <c:pt idx="1">
                  <c:v>AT</c:v>
                </c:pt>
                <c:pt idx="2">
                  <c:v>CG</c:v>
                </c:pt>
                <c:pt idx="3">
                  <c:v>GC</c:v>
                </c:pt>
                <c:pt idx="4">
                  <c:v>GC-SZ</c:v>
                </c:pt>
                <c:pt idx="5">
                  <c:v>Pal</c:v>
                </c:pt>
              </c:strCache>
            </c:strRef>
          </c:cat>
          <c:val>
            <c:numRef>
              <c:f>Feuil1!$G$32:$G$37</c:f>
              <c:numCache>
                <c:formatCode>General</c:formatCode>
                <c:ptCount val="6"/>
                <c:pt idx="0">
                  <c:v>0</c:v>
                </c:pt>
                <c:pt idx="1">
                  <c:v>0</c:v>
                </c:pt>
                <c:pt idx="2">
                  <c:v>23.08</c:v>
                </c:pt>
                <c:pt idx="3">
                  <c:v>69.23</c:v>
                </c:pt>
                <c:pt idx="4">
                  <c:v>7.69</c:v>
                </c:pt>
                <c:pt idx="5">
                  <c:v>0</c:v>
                </c:pt>
              </c:numCache>
            </c:numRef>
          </c:val>
          <c:extLst>
            <c:ext xmlns:c16="http://schemas.microsoft.com/office/drawing/2014/chart" uri="{C3380CC4-5D6E-409C-BE32-E72D297353CC}">
              <c16:uniqueId val="{00000004-8424-4712-89A1-9000018B8D97}"/>
            </c:ext>
          </c:extLst>
        </c:ser>
        <c:dLbls>
          <c:showLegendKey val="0"/>
          <c:showVal val="0"/>
          <c:showCatName val="0"/>
          <c:showSerName val="0"/>
          <c:showPercent val="0"/>
          <c:showBubbleSize val="0"/>
        </c:dLbls>
        <c:gapWidth val="150"/>
        <c:axId val="118783360"/>
        <c:axId val="118785536"/>
      </c:barChart>
      <c:catAx>
        <c:axId val="118783360"/>
        <c:scaling>
          <c:orientation val="minMax"/>
        </c:scaling>
        <c:delete val="0"/>
        <c:axPos val="b"/>
        <c:title>
          <c:tx>
            <c:rich>
              <a:bodyPr/>
              <a:lstStyle/>
              <a:p>
                <a:pPr>
                  <a:defRPr/>
                </a:pPr>
                <a:r>
                  <a:rPr lang="en"/>
                  <a:t>Phytogeographic types</a:t>
                </a:r>
              </a:p>
            </c:rich>
          </c:tx>
          <c:overlay val="0"/>
        </c:title>
        <c:numFmt formatCode="General" sourceLinked="0"/>
        <c:majorTickMark val="out"/>
        <c:minorTickMark val="none"/>
        <c:tickLblPos val="nextTo"/>
        <c:crossAx val="118785536"/>
        <c:crosses val="autoZero"/>
        <c:auto val="1"/>
        <c:lblAlgn val="ctr"/>
        <c:lblOffset val="100"/>
        <c:noMultiLvlLbl val="0"/>
      </c:catAx>
      <c:valAx>
        <c:axId val="118785536"/>
        <c:scaling>
          <c:orientation val="minMax"/>
        </c:scaling>
        <c:delete val="0"/>
        <c:axPos val="l"/>
        <c:majorGridlines/>
        <c:title>
          <c:tx>
            <c:rich>
              <a:bodyPr rot="-5400000" vert="horz"/>
              <a:lstStyle/>
              <a:p>
                <a:pPr>
                  <a:defRPr/>
                </a:pPr>
                <a:r>
                  <a:rPr lang="en"/>
                  <a:t>% of species</a:t>
                </a:r>
              </a:p>
            </c:rich>
          </c:tx>
          <c:overlay val="0"/>
        </c:title>
        <c:numFmt formatCode="General" sourceLinked="1"/>
        <c:majorTickMark val="out"/>
        <c:minorTickMark val="none"/>
        <c:tickLblPos val="nextTo"/>
        <c:crossAx val="11878336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Feuil1!$B$2</c:f>
              <c:strCache>
                <c:ptCount val="1"/>
                <c:pt idx="0">
                  <c:v>GI</c:v>
                </c:pt>
              </c:strCache>
            </c:strRef>
          </c:tx>
          <c:spPr>
            <a:solidFill>
              <a:srgbClr val="E8245C"/>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Feuil1!$B$3:$B$10</c:f>
              <c:numCache>
                <c:formatCode>General</c:formatCode>
                <c:ptCount val="8"/>
                <c:pt idx="0">
                  <c:v>58</c:v>
                </c:pt>
                <c:pt idx="1">
                  <c:v>40</c:v>
                </c:pt>
                <c:pt idx="2">
                  <c:v>34</c:v>
                </c:pt>
                <c:pt idx="3">
                  <c:v>52</c:v>
                </c:pt>
                <c:pt idx="4">
                  <c:v>28</c:v>
                </c:pt>
                <c:pt idx="5">
                  <c:v>8</c:v>
                </c:pt>
                <c:pt idx="6">
                  <c:v>0</c:v>
                </c:pt>
                <c:pt idx="7">
                  <c:v>2</c:v>
                </c:pt>
              </c:numCache>
            </c:numRef>
          </c:val>
          <c:extLst>
            <c:ext xmlns:c16="http://schemas.microsoft.com/office/drawing/2014/chart" uri="{C3380CC4-5D6E-409C-BE32-E72D297353CC}">
              <c16:uniqueId val="{00000000-D154-4D3F-8662-568C3E36D74E}"/>
            </c:ext>
          </c:extLst>
        </c:ser>
        <c:ser>
          <c:idx val="1"/>
          <c:order val="1"/>
          <c:tx>
            <c:strRef>
              <c:f>Feuil1!$C$2</c:f>
              <c:strCache>
                <c:ptCount val="1"/>
                <c:pt idx="0">
                  <c:v>GII</c:v>
                </c:pt>
              </c:strCache>
            </c:strRef>
          </c:tx>
          <c:spPr>
            <a:solidFill>
              <a:srgbClr val="1B25F1"/>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Feuil1!$C$3:$C$10</c:f>
              <c:numCache>
                <c:formatCode>General</c:formatCode>
                <c:ptCount val="8"/>
                <c:pt idx="0">
                  <c:v>56</c:v>
                </c:pt>
                <c:pt idx="1">
                  <c:v>64</c:v>
                </c:pt>
                <c:pt idx="2">
                  <c:v>36</c:v>
                </c:pt>
                <c:pt idx="3">
                  <c:v>68</c:v>
                </c:pt>
                <c:pt idx="4">
                  <c:v>16</c:v>
                </c:pt>
                <c:pt idx="5">
                  <c:v>8</c:v>
                </c:pt>
                <c:pt idx="6">
                  <c:v>3</c:v>
                </c:pt>
                <c:pt idx="7">
                  <c:v>4</c:v>
                </c:pt>
              </c:numCache>
            </c:numRef>
          </c:val>
          <c:extLst>
            <c:ext xmlns:c16="http://schemas.microsoft.com/office/drawing/2014/chart" uri="{C3380CC4-5D6E-409C-BE32-E72D297353CC}">
              <c16:uniqueId val="{00000001-D154-4D3F-8662-568C3E36D74E}"/>
            </c:ext>
          </c:extLst>
        </c:ser>
        <c:ser>
          <c:idx val="2"/>
          <c:order val="2"/>
          <c:tx>
            <c:strRef>
              <c:f>Feuil1!$D$2</c:f>
              <c:strCache>
                <c:ptCount val="1"/>
                <c:pt idx="0">
                  <c:v>GIII</c:v>
                </c:pt>
              </c:strCache>
            </c:strRef>
          </c:tx>
          <c:spPr>
            <a:solidFill>
              <a:schemeClr val="tx1">
                <a:lumMod val="50000"/>
                <a:lumOff val="50000"/>
              </a:schemeClr>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Feuil1!$D$3:$D$10</c:f>
              <c:numCache>
                <c:formatCode>General</c:formatCode>
                <c:ptCount val="8"/>
                <c:pt idx="0">
                  <c:v>152</c:v>
                </c:pt>
                <c:pt idx="1">
                  <c:v>80</c:v>
                </c:pt>
                <c:pt idx="2">
                  <c:v>56</c:v>
                </c:pt>
                <c:pt idx="3">
                  <c:v>44</c:v>
                </c:pt>
                <c:pt idx="4">
                  <c:v>36</c:v>
                </c:pt>
                <c:pt idx="5">
                  <c:v>28</c:v>
                </c:pt>
                <c:pt idx="6">
                  <c:v>20</c:v>
                </c:pt>
                <c:pt idx="7">
                  <c:v>12</c:v>
                </c:pt>
              </c:numCache>
            </c:numRef>
          </c:val>
          <c:extLst>
            <c:ext xmlns:c16="http://schemas.microsoft.com/office/drawing/2014/chart" uri="{C3380CC4-5D6E-409C-BE32-E72D297353CC}">
              <c16:uniqueId val="{00000002-D154-4D3F-8662-568C3E36D74E}"/>
            </c:ext>
          </c:extLst>
        </c:ser>
        <c:ser>
          <c:idx val="3"/>
          <c:order val="3"/>
          <c:tx>
            <c:strRef>
              <c:f>Feuil1!$E$2</c:f>
              <c:strCache>
                <c:ptCount val="1"/>
                <c:pt idx="0">
                  <c:v>GIV</c:v>
                </c:pt>
              </c:strCache>
            </c:strRef>
          </c:tx>
          <c:spPr>
            <a:solidFill>
              <a:schemeClr val="accent6">
                <a:lumMod val="75000"/>
              </a:schemeClr>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Feuil1!$E$3:$E$10</c:f>
              <c:numCache>
                <c:formatCode>General</c:formatCode>
                <c:ptCount val="8"/>
                <c:pt idx="0">
                  <c:v>46</c:v>
                </c:pt>
                <c:pt idx="1">
                  <c:v>30</c:v>
                </c:pt>
                <c:pt idx="2">
                  <c:v>24</c:v>
                </c:pt>
                <c:pt idx="3">
                  <c:v>14</c:v>
                </c:pt>
                <c:pt idx="4">
                  <c:v>10</c:v>
                </c:pt>
                <c:pt idx="5">
                  <c:v>8</c:v>
                </c:pt>
                <c:pt idx="6">
                  <c:v>6</c:v>
                </c:pt>
                <c:pt idx="7">
                  <c:v>0</c:v>
                </c:pt>
              </c:numCache>
            </c:numRef>
          </c:val>
          <c:extLst>
            <c:ext xmlns:c16="http://schemas.microsoft.com/office/drawing/2014/chart" uri="{C3380CC4-5D6E-409C-BE32-E72D297353CC}">
              <c16:uniqueId val="{00000003-D154-4D3F-8662-568C3E36D74E}"/>
            </c:ext>
          </c:extLst>
        </c:ser>
        <c:ser>
          <c:idx val="4"/>
          <c:order val="4"/>
          <c:tx>
            <c:strRef>
              <c:f>Feuil1!$F$2</c:f>
              <c:strCache>
                <c:ptCount val="1"/>
                <c:pt idx="0">
                  <c:v>GV</c:v>
                </c:pt>
              </c:strCache>
            </c:strRef>
          </c:tx>
          <c:spPr>
            <a:solidFill>
              <a:srgbClr val="62F21A"/>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Feuil1!$F$3:$F$10</c:f>
              <c:numCache>
                <c:formatCode>General</c:formatCode>
                <c:ptCount val="8"/>
                <c:pt idx="0">
                  <c:v>164</c:v>
                </c:pt>
                <c:pt idx="1">
                  <c:v>100</c:v>
                </c:pt>
                <c:pt idx="2">
                  <c:v>48</c:v>
                </c:pt>
                <c:pt idx="3">
                  <c:v>56</c:v>
                </c:pt>
                <c:pt idx="4">
                  <c:v>44</c:v>
                </c:pt>
                <c:pt idx="5">
                  <c:v>32</c:v>
                </c:pt>
                <c:pt idx="6">
                  <c:v>20</c:v>
                </c:pt>
                <c:pt idx="7">
                  <c:v>8</c:v>
                </c:pt>
              </c:numCache>
            </c:numRef>
          </c:val>
          <c:extLst>
            <c:ext xmlns:c16="http://schemas.microsoft.com/office/drawing/2014/chart" uri="{C3380CC4-5D6E-409C-BE32-E72D297353CC}">
              <c16:uniqueId val="{00000004-D154-4D3F-8662-568C3E36D74E}"/>
            </c:ext>
          </c:extLst>
        </c:ser>
        <c:dLbls>
          <c:showLegendKey val="0"/>
          <c:showVal val="0"/>
          <c:showCatName val="0"/>
          <c:showSerName val="0"/>
          <c:showPercent val="0"/>
          <c:showBubbleSize val="0"/>
        </c:dLbls>
        <c:gapWidth val="150"/>
        <c:axId val="116028160"/>
        <c:axId val="116030080"/>
      </c:barChart>
      <c:catAx>
        <c:axId val="116028160"/>
        <c:scaling>
          <c:orientation val="minMax"/>
        </c:scaling>
        <c:delete val="0"/>
        <c:axPos val="b"/>
        <c:title>
          <c:tx>
            <c:rich>
              <a:bodyPr/>
              <a:lstStyle/>
              <a:p>
                <a:pPr>
                  <a:defRPr/>
                </a:pPr>
                <a:r>
                  <a:rPr lang="en"/>
                  <a:t>Center of class diameter (cm)</a:t>
                </a:r>
              </a:p>
            </c:rich>
          </c:tx>
          <c:overlay val="0"/>
        </c:title>
        <c:numFmt formatCode="General" sourceLinked="1"/>
        <c:majorTickMark val="out"/>
        <c:minorTickMark val="none"/>
        <c:tickLblPos val="nextTo"/>
        <c:crossAx val="116030080"/>
        <c:crosses val="autoZero"/>
        <c:auto val="1"/>
        <c:lblAlgn val="ctr"/>
        <c:lblOffset val="100"/>
        <c:noMultiLvlLbl val="0"/>
      </c:catAx>
      <c:valAx>
        <c:axId val="116030080"/>
        <c:scaling>
          <c:orientation val="minMax"/>
        </c:scaling>
        <c:delete val="0"/>
        <c:axPos val="l"/>
        <c:majorGridlines/>
        <c:title>
          <c:tx>
            <c:rich>
              <a:bodyPr rot="-5400000" vert="horz"/>
              <a:lstStyle/>
              <a:p>
                <a:pPr>
                  <a:defRPr/>
                </a:pPr>
                <a:r>
                  <a:rPr lang="en"/>
                  <a:t>Density (N/ha)</a:t>
                </a:r>
              </a:p>
            </c:rich>
          </c:tx>
          <c:overlay val="0"/>
        </c:title>
        <c:numFmt formatCode="General" sourceLinked="1"/>
        <c:majorTickMark val="out"/>
        <c:minorTickMark val="none"/>
        <c:tickLblPos val="nextTo"/>
        <c:crossAx val="116028160"/>
        <c:crosses val="autoZero"/>
        <c:crossBetween val="between"/>
      </c:valAx>
    </c:plotArea>
    <c:legend>
      <c:legendPos val="t"/>
      <c:layout>
        <c:manualLayout>
          <c:xMode val="edge"/>
          <c:yMode val="edge"/>
          <c:x val="0.20505328281333252"/>
          <c:y val="7.4504872937394426E-2"/>
          <c:w val="0.53237256527144639"/>
          <c:h val="8.9331802274715655E-2"/>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D9C6C-FDA7-4E6C-B900-FC037814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18</Pages>
  <Words>7109</Words>
  <Characters>40522</Characters>
  <Application>Microsoft Office Word</Application>
  <DocSecurity>0</DocSecurity>
  <Lines>337</Lines>
  <Paragraphs>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47536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cbc</dc:creator>
  <cp:lastModifiedBy>SDI 1180</cp:lastModifiedBy>
  <cp:revision>91</cp:revision>
  <dcterms:created xsi:type="dcterms:W3CDTF">2025-07-25T00:25:00Z</dcterms:created>
  <dcterms:modified xsi:type="dcterms:W3CDTF">2025-10-18T12:51:00Z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a35137623df44a1fba0efe3947c59722</vt:lpwstr>
  </property>
</Properties>
</file>