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A20BF" w14:textId="77777777" w:rsidR="00B07AB0" w:rsidRPr="00B07AB0" w:rsidRDefault="00B07AB0" w:rsidP="00B07AB0">
      <w:pPr>
        <w:spacing w:line="240" w:lineRule="auto"/>
        <w:jc w:val="right"/>
        <w:rPr>
          <w:rFonts w:ascii="Times New Roman" w:hAnsi="Times New Roman" w:cs="Times New Roman"/>
          <w:b/>
          <w:bCs/>
          <w:i/>
          <w:iCs/>
          <w:sz w:val="36"/>
          <w:szCs w:val="36"/>
          <w:u w:val="single"/>
          <w:lang w:val="en-US"/>
        </w:rPr>
      </w:pPr>
      <w:r w:rsidRPr="00B07AB0">
        <w:rPr>
          <w:rFonts w:ascii="Times New Roman" w:hAnsi="Times New Roman" w:cs="Times New Roman"/>
          <w:b/>
          <w:bCs/>
          <w:i/>
          <w:iCs/>
          <w:sz w:val="36"/>
          <w:szCs w:val="36"/>
          <w:u w:val="single"/>
          <w:lang w:val="en-US"/>
        </w:rPr>
        <w:t>Review Article</w:t>
      </w:r>
    </w:p>
    <w:p w14:paraId="395BAB63" w14:textId="28BEB6E1" w:rsidR="004B4DD1" w:rsidRPr="000A673A" w:rsidRDefault="00401019" w:rsidP="000A673A">
      <w:pPr>
        <w:spacing w:line="240" w:lineRule="auto"/>
        <w:jc w:val="right"/>
        <w:rPr>
          <w:rFonts w:ascii="Times New Roman" w:hAnsi="Times New Roman" w:cs="Times New Roman"/>
          <w:b/>
          <w:bCs/>
          <w:sz w:val="36"/>
          <w:szCs w:val="36"/>
        </w:rPr>
      </w:pPr>
      <w:r w:rsidRPr="000A673A">
        <w:rPr>
          <w:rFonts w:ascii="Times New Roman" w:hAnsi="Times New Roman" w:cs="Times New Roman"/>
          <w:b/>
          <w:bCs/>
          <w:sz w:val="36"/>
          <w:szCs w:val="36"/>
        </w:rPr>
        <w:t>Assessing the Ecological and Health Consequences of Pesticide Applications in Horticultural Production Systems</w:t>
      </w:r>
      <w:r w:rsidR="00680603" w:rsidRPr="000A673A">
        <w:rPr>
          <w:rFonts w:ascii="Times New Roman" w:hAnsi="Times New Roman" w:cs="Times New Roman"/>
          <w:b/>
          <w:bCs/>
          <w:sz w:val="36"/>
          <w:szCs w:val="36"/>
        </w:rPr>
        <w:t>: A Review</w:t>
      </w:r>
    </w:p>
    <w:p w14:paraId="02871367" w14:textId="77777777" w:rsidR="00221C66" w:rsidRPr="00221C66" w:rsidRDefault="00221C66" w:rsidP="00221C66">
      <w:pPr>
        <w:spacing w:line="360" w:lineRule="auto"/>
        <w:jc w:val="right"/>
        <w:rPr>
          <w:rFonts w:ascii="Times New Roman" w:hAnsi="Times New Roman" w:cs="Times New Roman"/>
          <w:sz w:val="24"/>
          <w:szCs w:val="24"/>
        </w:rPr>
      </w:pPr>
      <w:bookmarkStart w:id="0" w:name="_GoBack"/>
      <w:bookmarkEnd w:id="0"/>
    </w:p>
    <w:p w14:paraId="0CCACBE3" w14:textId="08C5E543"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Abstract</w:t>
      </w:r>
    </w:p>
    <w:p w14:paraId="5AFC6B8D" w14:textId="7EDCD4C1"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Pesticides play a crucial role in maintaining horticultural crop yields and quality, yet their widespread application poses significant environmental and health challenges</w:t>
      </w:r>
      <w:r w:rsidR="00C02B47">
        <w:rPr>
          <w:rFonts w:ascii="Times New Roman" w:hAnsi="Times New Roman" w:cs="Times New Roman"/>
          <w:sz w:val="24"/>
          <w:szCs w:val="24"/>
        </w:rPr>
        <w:t xml:space="preserve"> </w:t>
      </w:r>
      <w:r w:rsidR="00C02B47" w:rsidRPr="00C02B47">
        <w:rPr>
          <w:rFonts w:ascii="Times New Roman" w:hAnsi="Times New Roman" w:cs="Times New Roman"/>
          <w:sz w:val="24"/>
          <w:szCs w:val="24"/>
        </w:rPr>
        <w:t xml:space="preserve">(Kaur </w:t>
      </w:r>
      <w:r w:rsidR="00C02B47" w:rsidRPr="00C02B47">
        <w:rPr>
          <w:rFonts w:ascii="Times New Roman" w:hAnsi="Times New Roman" w:cs="Times New Roman"/>
          <w:i/>
          <w:iCs/>
          <w:sz w:val="24"/>
          <w:szCs w:val="24"/>
        </w:rPr>
        <w:t>et al</w:t>
      </w:r>
      <w:r w:rsidR="00C02B47" w:rsidRPr="00C02B47">
        <w:rPr>
          <w:rFonts w:ascii="Times New Roman" w:hAnsi="Times New Roman" w:cs="Times New Roman"/>
          <w:sz w:val="24"/>
          <w:szCs w:val="24"/>
        </w:rPr>
        <w:t>., 2024</w:t>
      </w:r>
      <w:r w:rsidR="00C02B47">
        <w:rPr>
          <w:rFonts w:ascii="Times New Roman" w:hAnsi="Times New Roman" w:cs="Times New Roman"/>
          <w:sz w:val="24"/>
          <w:szCs w:val="24"/>
        </w:rPr>
        <w:t xml:space="preserve">; </w:t>
      </w:r>
      <w:proofErr w:type="spellStart"/>
      <w:r w:rsidR="00C02B47" w:rsidRPr="00C02B47">
        <w:rPr>
          <w:rFonts w:ascii="Times New Roman" w:hAnsi="Times New Roman" w:cs="Times New Roman"/>
          <w:sz w:val="24"/>
          <w:szCs w:val="24"/>
        </w:rPr>
        <w:t>Ayilara</w:t>
      </w:r>
      <w:proofErr w:type="spellEnd"/>
      <w:r w:rsidR="00C02B47" w:rsidRPr="00C02B47">
        <w:rPr>
          <w:rFonts w:ascii="Times New Roman" w:hAnsi="Times New Roman" w:cs="Times New Roman"/>
          <w:sz w:val="24"/>
          <w:szCs w:val="24"/>
        </w:rPr>
        <w:t xml:space="preserve"> </w:t>
      </w:r>
      <w:r w:rsidR="00C02B47" w:rsidRPr="00C02B47">
        <w:rPr>
          <w:rFonts w:ascii="Times New Roman" w:hAnsi="Times New Roman" w:cs="Times New Roman"/>
          <w:i/>
          <w:iCs/>
          <w:sz w:val="24"/>
          <w:szCs w:val="24"/>
        </w:rPr>
        <w:t>et al</w:t>
      </w:r>
      <w:r w:rsidR="00C02B47" w:rsidRPr="00C02B47">
        <w:rPr>
          <w:rFonts w:ascii="Times New Roman" w:hAnsi="Times New Roman" w:cs="Times New Roman"/>
          <w:sz w:val="24"/>
          <w:szCs w:val="24"/>
        </w:rPr>
        <w:t>., 2023)</w:t>
      </w:r>
      <w:r w:rsidRPr="004B4DD1">
        <w:rPr>
          <w:rFonts w:ascii="Times New Roman" w:hAnsi="Times New Roman" w:cs="Times New Roman"/>
          <w:sz w:val="24"/>
          <w:szCs w:val="24"/>
        </w:rPr>
        <w:t xml:space="preserve">. This </w:t>
      </w:r>
      <w:r w:rsidR="000D1895">
        <w:rPr>
          <w:rFonts w:ascii="Times New Roman" w:hAnsi="Times New Roman" w:cs="Times New Roman"/>
          <w:sz w:val="24"/>
          <w:szCs w:val="24"/>
        </w:rPr>
        <w:t>review</w:t>
      </w:r>
      <w:r w:rsidRPr="004B4DD1">
        <w:rPr>
          <w:rFonts w:ascii="Times New Roman" w:hAnsi="Times New Roman" w:cs="Times New Roman"/>
          <w:sz w:val="24"/>
          <w:szCs w:val="24"/>
        </w:rPr>
        <w:t xml:space="preserve"> provides a comprehensive analysis of pesticide impacts in horticultural systems, examining contamination pathways, ecological consequences, and human health implications. Evidence from recent studies indicates that over 79.9% of horticultural crops contain detectable pesticide residues, with 32.9% of samples exceeding Maximum Residue Limits (MRLs). Environmental contamination is pervasive, with 95% detection rates in agricultural soils and 89% in surface waters. Health impacts range from acute poisoning symptoms to chronic diseases including cancer, neurological disorders, and reproductive dysfunction. Organophosphates demonstrate the highest cancer risks, with acute myeloid </w:t>
      </w:r>
      <w:proofErr w:type="spellStart"/>
      <w:r w:rsidRPr="004B4DD1">
        <w:rPr>
          <w:rFonts w:ascii="Times New Roman" w:hAnsi="Times New Roman" w:cs="Times New Roman"/>
          <w:sz w:val="24"/>
          <w:szCs w:val="24"/>
        </w:rPr>
        <w:t>leukemia</w:t>
      </w:r>
      <w:proofErr w:type="spellEnd"/>
      <w:r w:rsidRPr="004B4DD1">
        <w:rPr>
          <w:rFonts w:ascii="Times New Roman" w:hAnsi="Times New Roman" w:cs="Times New Roman"/>
          <w:sz w:val="24"/>
          <w:szCs w:val="24"/>
        </w:rPr>
        <w:t xml:space="preserve"> showing 1.8-fold increased risk among agricultural workers. Neonicotinoids pose severe threats to pollinators, with colony losses exceeding 30% in affected regions. Mitigation strategies including Integrated Pest Management (IPM), organic farming, and biological control show promise, achieving 25-95% reductions in pesticide use and 40-85% reductions in environmental impacts. Bioremediation technologies offer cost-effective solutions for contaminated site cleanup, with bioaugmentation achieving complete pesticide removal within 35 days</w:t>
      </w:r>
      <w:r w:rsidR="00C02B47">
        <w:rPr>
          <w:rFonts w:ascii="Times New Roman" w:hAnsi="Times New Roman" w:cs="Times New Roman"/>
          <w:sz w:val="24"/>
          <w:szCs w:val="24"/>
        </w:rPr>
        <w:t xml:space="preserve"> (</w:t>
      </w:r>
      <w:r w:rsidR="00C02B47" w:rsidRPr="00C02B47">
        <w:rPr>
          <w:rFonts w:ascii="Times New Roman" w:hAnsi="Times New Roman" w:cs="Times New Roman"/>
          <w:sz w:val="24"/>
          <w:szCs w:val="24"/>
        </w:rPr>
        <w:t xml:space="preserve">Srivastava </w:t>
      </w:r>
      <w:r w:rsidR="00C02B47" w:rsidRPr="00C02B47">
        <w:rPr>
          <w:rFonts w:ascii="Times New Roman" w:hAnsi="Times New Roman" w:cs="Times New Roman"/>
          <w:i/>
          <w:iCs/>
          <w:sz w:val="24"/>
          <w:szCs w:val="24"/>
        </w:rPr>
        <w:t>et al</w:t>
      </w:r>
      <w:r w:rsidR="00C02B47" w:rsidRPr="00C02B47">
        <w:rPr>
          <w:rFonts w:ascii="Times New Roman" w:hAnsi="Times New Roman" w:cs="Times New Roman"/>
          <w:sz w:val="24"/>
          <w:szCs w:val="24"/>
        </w:rPr>
        <w:t>., 2022</w:t>
      </w:r>
      <w:r w:rsidR="00C02B47">
        <w:rPr>
          <w:rFonts w:ascii="Times New Roman" w:hAnsi="Times New Roman" w:cs="Times New Roman"/>
          <w:sz w:val="24"/>
          <w:szCs w:val="24"/>
        </w:rPr>
        <w:t xml:space="preserve">; </w:t>
      </w:r>
      <w:r w:rsidR="00C02B47" w:rsidRPr="00C02B47">
        <w:rPr>
          <w:rFonts w:ascii="Times New Roman" w:hAnsi="Times New Roman" w:cs="Times New Roman"/>
          <w:sz w:val="24"/>
          <w:szCs w:val="24"/>
        </w:rPr>
        <w:t xml:space="preserve">Okeke </w:t>
      </w:r>
      <w:r w:rsidR="00C02B47" w:rsidRPr="00A30ED6">
        <w:rPr>
          <w:rFonts w:ascii="Times New Roman" w:hAnsi="Times New Roman" w:cs="Times New Roman"/>
          <w:i/>
          <w:iCs/>
          <w:sz w:val="24"/>
          <w:szCs w:val="24"/>
        </w:rPr>
        <w:t>et al</w:t>
      </w:r>
      <w:r w:rsidR="00C02B47" w:rsidRPr="00C02B47">
        <w:rPr>
          <w:rFonts w:ascii="Times New Roman" w:hAnsi="Times New Roman" w:cs="Times New Roman"/>
          <w:sz w:val="24"/>
          <w:szCs w:val="24"/>
        </w:rPr>
        <w:t>., 2022</w:t>
      </w:r>
      <w:r w:rsidR="00C02B47">
        <w:rPr>
          <w:rFonts w:ascii="Times New Roman" w:hAnsi="Times New Roman" w:cs="Times New Roman"/>
          <w:sz w:val="24"/>
          <w:szCs w:val="24"/>
        </w:rPr>
        <w:t>)</w:t>
      </w:r>
      <w:r w:rsidRPr="004B4DD1">
        <w:rPr>
          <w:rFonts w:ascii="Times New Roman" w:hAnsi="Times New Roman" w:cs="Times New Roman"/>
          <w:sz w:val="24"/>
          <w:szCs w:val="24"/>
        </w:rPr>
        <w:t>. Future regulatory frameworks must balance food security needs with environmental protection and public health considerations through evidence-based policies and sustainable agricultural practices.</w:t>
      </w:r>
    </w:p>
    <w:p w14:paraId="22DDFDB8" w14:textId="027185CC"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b/>
          <w:bCs/>
          <w:sz w:val="24"/>
          <w:szCs w:val="24"/>
        </w:rPr>
        <w:t>Keywords:</w:t>
      </w:r>
      <w:r w:rsidRPr="004B4DD1">
        <w:rPr>
          <w:rFonts w:ascii="Times New Roman" w:hAnsi="Times New Roman" w:cs="Times New Roman"/>
          <w:sz w:val="24"/>
          <w:szCs w:val="24"/>
        </w:rPr>
        <w:t xml:space="preserve"> Pesticides, Horticultural crops, Environmental contamination, Health impacts, Food safety, Agricultural sustainability, Integrated pest management</w:t>
      </w:r>
    </w:p>
    <w:p w14:paraId="395B377D"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1. Introduction</w:t>
      </w:r>
    </w:p>
    <w:p w14:paraId="72015E73" w14:textId="5DAD902C"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Horticultural crop production represents a cornerstone of global food systems, providing essential fruits, vegetables, and specialty crops that contribute significantly to human nutrition and agricultural economies worldwide. The intensification of horticultural practices over the </w:t>
      </w:r>
      <w:r w:rsidRPr="004B4DD1">
        <w:rPr>
          <w:rFonts w:ascii="Times New Roman" w:hAnsi="Times New Roman" w:cs="Times New Roman"/>
          <w:sz w:val="24"/>
          <w:szCs w:val="24"/>
        </w:rPr>
        <w:lastRenderedPageBreak/>
        <w:t>past several decades has been accompanied by increased reliance on synthetic pesticides to control pests, diseases, and weeds that threaten crop productivity and quality (Aktar et al., 2009). While pesticides have undeniably contributed to enhanced agricultural yields and food security, their widespread application has raised mounting concerns regarding environmental sustainability and human health implications.</w:t>
      </w:r>
      <w:r>
        <w:rPr>
          <w:rFonts w:ascii="Times New Roman" w:hAnsi="Times New Roman" w:cs="Times New Roman"/>
          <w:sz w:val="24"/>
          <w:szCs w:val="24"/>
        </w:rPr>
        <w:t xml:space="preserve"> </w:t>
      </w:r>
      <w:r w:rsidRPr="004B4DD1">
        <w:rPr>
          <w:rFonts w:ascii="Times New Roman" w:hAnsi="Times New Roman" w:cs="Times New Roman"/>
          <w:sz w:val="24"/>
          <w:szCs w:val="24"/>
        </w:rPr>
        <w:t>The unique characteristics of horticultural crops, including high economic value per unit area, intensive cultivation practices, and direct consumption patterns, create distinct challenges in pesticide management compared to field crops. Horticultural systems typically require more frequent pesticide applications due to longer growing seasons, diverse pest complexes, and stringent quality standards demanded by consumers and markets (El-Sheikh et al., 2022). This intensive pesticide use pattern results in higher potential exposure risks for both agricultural workers and consumers, while simultaneously increasing the likelihood of environmental contamination.</w:t>
      </w:r>
    </w:p>
    <w:p w14:paraId="5C808045" w14:textId="7492CD94"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Recent epidemiological evidence has strengthened the association between pesticide exposure and various adverse health outcomes, including cancer, neurological disorders, reproductive dysfunction, and developmental abnormalities (Cavalier et al., 2023). Concurrently, environmental monitoring programs have documented widespread contamination of water resources, soil systems, and non-target organisms, raising concerns about ecosystem integrity and biodiversity conservation (Woodcock et al., 2016). The complexity of these challenges necessitates a comprehensive understanding of pesticide fate, transport mechanisms, and impact pathways within horticultural production systems.</w:t>
      </w:r>
      <w:r>
        <w:rPr>
          <w:rFonts w:ascii="Times New Roman" w:hAnsi="Times New Roman" w:cs="Times New Roman"/>
          <w:sz w:val="24"/>
          <w:szCs w:val="24"/>
        </w:rPr>
        <w:t xml:space="preserve"> </w:t>
      </w:r>
      <w:r w:rsidRPr="004B4DD1">
        <w:rPr>
          <w:rFonts w:ascii="Times New Roman" w:hAnsi="Times New Roman" w:cs="Times New Roman"/>
          <w:sz w:val="24"/>
          <w:szCs w:val="24"/>
        </w:rPr>
        <w:t>Global pesticide consumption in horticultural crops has increased by 45% over the past decade, with developing countries accounting for 65% of this growth. The annual economic value of horticultural crops exceeds $500 billion globally, with pesticide inputs representing 8-15% of total production costs. However, the external costs of pesticide use, including healthcare expenses, environmental remediation, and ecosystem service losses, are estimated at $12-17 billion annually in developed countries alone.</w:t>
      </w:r>
    </w:p>
    <w:p w14:paraId="63C45E94" w14:textId="4A6AB61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This </w:t>
      </w:r>
      <w:r w:rsidR="000D1895">
        <w:rPr>
          <w:rFonts w:ascii="Times New Roman" w:hAnsi="Times New Roman" w:cs="Times New Roman"/>
          <w:sz w:val="24"/>
          <w:szCs w:val="24"/>
        </w:rPr>
        <w:t>review</w:t>
      </w:r>
      <w:r w:rsidRPr="004B4DD1">
        <w:rPr>
          <w:rFonts w:ascii="Times New Roman" w:hAnsi="Times New Roman" w:cs="Times New Roman"/>
          <w:sz w:val="24"/>
          <w:szCs w:val="24"/>
        </w:rPr>
        <w:t xml:space="preserve"> synthesizes current knowledge regarding environmental and health impacts of pesticides in horticultural systems, examining contamination patterns, exposure pathways, and mitigation strategies. Through analysis of recent research findings, regulatory frameworks, and emerging technologies, we aim to provide evidence-based insights for sustainable pest management approaches that balance agricultural productivity with environmental protection and public health considerations.</w:t>
      </w:r>
    </w:p>
    <w:p w14:paraId="7F6D4ECB"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lastRenderedPageBreak/>
        <w:t>2. Environmental Impacts of Pesticides in Horticultural Systems</w:t>
      </w:r>
    </w:p>
    <w:p w14:paraId="1F74CBB1"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2.1 Soil Contamination and Ecosystem Effects</w:t>
      </w:r>
    </w:p>
    <w:p w14:paraId="5EB70836"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Soil represents the primary recipient of pesticides applied to horticultural crops, with approximately 35-50% of applied pesticide materials settling directly into soil immediately following application (</w:t>
      </w:r>
      <w:proofErr w:type="spellStart"/>
      <w:r w:rsidRPr="004B4DD1">
        <w:rPr>
          <w:rFonts w:ascii="Times New Roman" w:hAnsi="Times New Roman" w:cs="Times New Roman"/>
          <w:sz w:val="24"/>
          <w:szCs w:val="24"/>
        </w:rPr>
        <w:t>Syafrudin</w:t>
      </w:r>
      <w:proofErr w:type="spellEnd"/>
      <w:r w:rsidRPr="004B4DD1">
        <w:rPr>
          <w:rFonts w:ascii="Times New Roman" w:hAnsi="Times New Roman" w:cs="Times New Roman"/>
          <w:sz w:val="24"/>
          <w:szCs w:val="24"/>
        </w:rPr>
        <w:t xml:space="preserve"> et al., 2021). The persistence and mobility of these compounds in soil environments determine their potential for environmental impact and subsequent contamination of groundwater resources. Recent monitoring data reveals that pesticide contamination in agricultural soils occurs at detection frequencies of 95% in surface layers (0-15 cm) and 78% in subsurface layers (15-30 cm), with average concentrations of 145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 xml:space="preserve">/kg and 67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/kg respectively.</w:t>
      </w:r>
    </w:p>
    <w:p w14:paraId="054B019A"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accumulation of pesticides in soil systems exerts profound effects on microbial communities that are essential for nutrient cycling and soil health maintenance. Heavy application of pesticides can cause substantial declines in beneficial soil microorganism populations, disrupting critical processes including nitrogen fixation, organic matter decomposition, and mycorrhizal associations (Aktar et al., 2009). For instance, common herbicides such as glyphosate and 2,4-D have been shown to inhibit nitrogen-fixing bacteria and reduce the growth and activity of beneficial soil microorganisms, ultimately compromising long-term soil fertility and crop productivity.</w:t>
      </w:r>
    </w:p>
    <w:p w14:paraId="0B9AC82E"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Soil pH and organic matter content represent key factors influencing pesticide </w:t>
      </w:r>
      <w:proofErr w:type="spellStart"/>
      <w:r w:rsidRPr="004B4DD1">
        <w:rPr>
          <w:rFonts w:ascii="Times New Roman" w:hAnsi="Times New Roman" w:cs="Times New Roman"/>
          <w:sz w:val="24"/>
          <w:szCs w:val="24"/>
        </w:rPr>
        <w:t>behavior</w:t>
      </w:r>
      <w:proofErr w:type="spellEnd"/>
      <w:r w:rsidRPr="004B4DD1">
        <w:rPr>
          <w:rFonts w:ascii="Times New Roman" w:hAnsi="Times New Roman" w:cs="Times New Roman"/>
          <w:sz w:val="24"/>
          <w:szCs w:val="24"/>
        </w:rPr>
        <w:t xml:space="preserve"> and bioavailability in agricultural systems. Research indicates that acidic soils (pH &lt; 6.0) increase the mobility and bioavailability of many pesticides, while organic matter serves as both a binding agent and a source of degrading microorganisms. The interaction between pesticides and soil properties affects not only their persistence but also their potential uptake by plants and leaching into groundwater.</w:t>
      </w:r>
    </w:p>
    <w:p w14:paraId="73E8A37F"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Heavy metal contamination often occurs concurrently with pesticide contamination, as many pesticide formulations contain trace amounts of metals such as copper, zinc, and arsenic. Studies have documented synergistic effects between pesticides and heavy metals, with pesticide applications potentially increasing heavy metal bioavailability and mobility (</w:t>
      </w:r>
      <w:proofErr w:type="spellStart"/>
      <w:r w:rsidRPr="004B4DD1">
        <w:rPr>
          <w:rFonts w:ascii="Times New Roman" w:hAnsi="Times New Roman" w:cs="Times New Roman"/>
          <w:sz w:val="24"/>
          <w:szCs w:val="24"/>
        </w:rPr>
        <w:t>Alengebawy</w:t>
      </w:r>
      <w:proofErr w:type="spellEnd"/>
      <w:r w:rsidRPr="004B4DD1">
        <w:rPr>
          <w:rFonts w:ascii="Times New Roman" w:hAnsi="Times New Roman" w:cs="Times New Roman"/>
          <w:sz w:val="24"/>
          <w:szCs w:val="24"/>
        </w:rPr>
        <w:t xml:space="preserve"> et al., 2021). Cadmium levels in horticultural soils have increased by 40% in areas with intensive pesticide use over the past 20 years, exceeding safety thresholds in 23% of surveyed locations.</w:t>
      </w:r>
    </w:p>
    <w:p w14:paraId="3ED524E4"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lastRenderedPageBreak/>
        <w:t>2.2 Water Resource Contamination</w:t>
      </w:r>
    </w:p>
    <w:p w14:paraId="11F50C15"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Water contamination represents one of the most significant environmental consequences of pesticide use in horticultural systems, with multiple pathways facilitating the transport of these compounds from application sites to surface and groundwater resources. The four primary routes of pesticide entry into water systems include: drift during application (accounting for 25% of contamination), leaching through soil profiles (35%), surface runoff from treated areas (30%), and accidental spills or improper disposal (10%) (</w:t>
      </w:r>
      <w:proofErr w:type="spellStart"/>
      <w:r w:rsidRPr="004B4DD1">
        <w:rPr>
          <w:rFonts w:ascii="Times New Roman" w:hAnsi="Times New Roman" w:cs="Times New Roman"/>
          <w:sz w:val="24"/>
          <w:szCs w:val="24"/>
        </w:rPr>
        <w:t>Syafrudin</w:t>
      </w:r>
      <w:proofErr w:type="spellEnd"/>
      <w:r w:rsidRPr="004B4DD1">
        <w:rPr>
          <w:rFonts w:ascii="Times New Roman" w:hAnsi="Times New Roman" w:cs="Times New Roman"/>
          <w:sz w:val="24"/>
          <w:szCs w:val="24"/>
        </w:rPr>
        <w:t xml:space="preserve"> et al., 2021).</w:t>
      </w:r>
    </w:p>
    <w:p w14:paraId="42DAAC81"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Surface water contamination occurs more frequently than groundwater contamination due to the direct and rapid mobilization of pesticides via surface runoff. Recent monitoring data indicates that pesticides are detected in 89% of surface water samples with average concentrations of 12.5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 xml:space="preserve">/L, compared to 41% detection in groundwater with average concentrations of 3.8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/L (</w:t>
      </w:r>
      <w:proofErr w:type="spellStart"/>
      <w:r w:rsidRPr="004B4DD1">
        <w:rPr>
          <w:rFonts w:ascii="Times New Roman" w:hAnsi="Times New Roman" w:cs="Times New Roman"/>
          <w:sz w:val="24"/>
          <w:szCs w:val="24"/>
        </w:rPr>
        <w:t>Bexfield</w:t>
      </w:r>
      <w:proofErr w:type="spellEnd"/>
      <w:r w:rsidRPr="004B4DD1">
        <w:rPr>
          <w:rFonts w:ascii="Times New Roman" w:hAnsi="Times New Roman" w:cs="Times New Roman"/>
          <w:sz w:val="24"/>
          <w:szCs w:val="24"/>
        </w:rPr>
        <w:t xml:space="preserve"> et al., 2020). However, the regulatory exceedance rates present a concerning picture, with 78% of surface water samples and 15% of groundwater samples exceeding established safety limits of 0.1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/L.</w:t>
      </w:r>
    </w:p>
    <w:p w14:paraId="7FACF4C6"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The persistent nature of certain pesticide classes, particularly organochlorines, poses long-term contamination risks. Despite being banned in many countries for decades, organochlorine pesticides such as DDT and lindane continue to be detected in water resources due to their environmental persistence and </w:t>
      </w:r>
      <w:proofErr w:type="spellStart"/>
      <w:r w:rsidRPr="004B4DD1">
        <w:rPr>
          <w:rFonts w:ascii="Times New Roman" w:hAnsi="Times New Roman" w:cs="Times New Roman"/>
          <w:sz w:val="24"/>
          <w:szCs w:val="24"/>
        </w:rPr>
        <w:t>bioaccumulative</w:t>
      </w:r>
      <w:proofErr w:type="spellEnd"/>
      <w:r w:rsidRPr="004B4DD1">
        <w:rPr>
          <w:rFonts w:ascii="Times New Roman" w:hAnsi="Times New Roman" w:cs="Times New Roman"/>
          <w:sz w:val="24"/>
          <w:szCs w:val="24"/>
        </w:rPr>
        <w:t xml:space="preserve"> properties (Kashyap et al., 2024). DDT and its metabolite DDE are still detected in 67% of agricultural water samples in regions where it was historically used, with concentrations ranging from 0.05-2.3 </w:t>
      </w:r>
      <w:proofErr w:type="spellStart"/>
      <w:r w:rsidRPr="004B4DD1">
        <w:rPr>
          <w:rFonts w:ascii="Times New Roman" w:hAnsi="Times New Roman" w:cs="Times New Roman"/>
          <w:sz w:val="24"/>
          <w:szCs w:val="24"/>
        </w:rPr>
        <w:t>μg</w:t>
      </w:r>
      <w:proofErr w:type="spellEnd"/>
      <w:r w:rsidRPr="004B4DD1">
        <w:rPr>
          <w:rFonts w:ascii="Times New Roman" w:hAnsi="Times New Roman" w:cs="Times New Roman"/>
          <w:sz w:val="24"/>
          <w:szCs w:val="24"/>
        </w:rPr>
        <w:t>/L.</w:t>
      </w:r>
    </w:p>
    <w:p w14:paraId="481B9058"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Seasonal variations in pesticide contamination follow agricultural application patterns, with peak concentrations occurring 2-6 weeks after major application periods. Spring applications typically result in the highest contamination levels, with concentrations in surface waters increasing by </w:t>
      </w:r>
      <w:proofErr w:type="gramStart"/>
      <w:r w:rsidRPr="004B4DD1">
        <w:rPr>
          <w:rFonts w:ascii="Times New Roman" w:hAnsi="Times New Roman" w:cs="Times New Roman"/>
          <w:sz w:val="24"/>
          <w:szCs w:val="24"/>
        </w:rPr>
        <w:t>3-10 fold</w:t>
      </w:r>
      <w:proofErr w:type="gramEnd"/>
      <w:r w:rsidRPr="004B4DD1">
        <w:rPr>
          <w:rFonts w:ascii="Times New Roman" w:hAnsi="Times New Roman" w:cs="Times New Roman"/>
          <w:sz w:val="24"/>
          <w:szCs w:val="24"/>
        </w:rPr>
        <w:t xml:space="preserve"> during peak runoff events. Climate change is expected to intensify these patterns through increased frequency of extreme precipitation events.</w:t>
      </w:r>
    </w:p>
    <w:p w14:paraId="647D4C3E"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2.3 Impacts on Non-target Organisms and Biodiversity</w:t>
      </w:r>
    </w:p>
    <w:p w14:paraId="35E2E348"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The application of pesticides in horticultural systems inevitably affects non-target organisms, including beneficial insects, pollinators, soil fauna, and aquatic organisms. Pollinators, particularly honeybees and wild bee species, face significant risks from pesticide exposure through multiple pathways including direct contact during application, consumption of </w:t>
      </w:r>
      <w:r w:rsidRPr="004B4DD1">
        <w:rPr>
          <w:rFonts w:ascii="Times New Roman" w:hAnsi="Times New Roman" w:cs="Times New Roman"/>
          <w:sz w:val="24"/>
          <w:szCs w:val="24"/>
        </w:rPr>
        <w:lastRenderedPageBreak/>
        <w:t>contaminated pollen and nectar, and exposure to pesticide-treated guttation water (Hladik et al., 2018).</w:t>
      </w:r>
    </w:p>
    <w:p w14:paraId="1F71FFF2"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Neonicotinoid insecticides represent a particular concern for pollinator health due to their systemic nature and high toxicity to insects. These compounds are readily absorbed by plants and translocated throughout all tissues, making pollen and nectar toxic to visiting pollinators. Studies have documented neonicotinoid residues in honeybee colonies globally, with concentrations typically ranging from 1-100 ppb mixed with other pesticides that may act synergistically to increase toxicity (Hladik et al., 2018). Colony collapse disorder has been linked to neonicotinoid exposure, with affected colonies showing 85% mortality rates compared to 15% in unexposed colonies.</w:t>
      </w:r>
    </w:p>
    <w:p w14:paraId="5CC0CF93"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Wild bee populations have experienced severe declines in agricultural regions with intensive pesticide use. Bumblebee populations have declined by 50% over the past 15 years in areas with high neonicotinoid use, with reproductive success reduced by 85% in exposed colonies. Solitary bee species show even greater sensitivity, with some species experiencing local extinctions in heavily treated areas.</w:t>
      </w:r>
    </w:p>
    <w:p w14:paraId="435D092D"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Beyond pollinators, pesticides impact beneficial insects that provide natural pest control services, potentially disrupting ecological balance and leading to secondary pest outbreaks. The elimination of natural enemies through broad-spectrum insecticide applications can result in pest resurgence and the emergence of secondary pests, necessitating additional pesticide treatments and perpetuating a cycle of chemical dependency. Studies have documented 60-80% reductions in beneficial arthropod populations following broad-spectrum insecticide applications.</w:t>
      </w:r>
    </w:p>
    <w:p w14:paraId="23AFD4E8"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Aquatic ecosystems face particular vulnerability to pesticide contamination through surface runoff and drift. Neonicotinoids have been shown to negatively impact aquatic invertebrate communities at environmentally relevant concentrations, with effects including reduced survival, growth impairment, and </w:t>
      </w:r>
      <w:proofErr w:type="spellStart"/>
      <w:r w:rsidRPr="004B4DD1">
        <w:rPr>
          <w:rFonts w:ascii="Times New Roman" w:hAnsi="Times New Roman" w:cs="Times New Roman"/>
          <w:sz w:val="24"/>
          <w:szCs w:val="24"/>
        </w:rPr>
        <w:t>behavioral</w:t>
      </w:r>
      <w:proofErr w:type="spellEnd"/>
      <w:r w:rsidRPr="004B4DD1">
        <w:rPr>
          <w:rFonts w:ascii="Times New Roman" w:hAnsi="Times New Roman" w:cs="Times New Roman"/>
          <w:sz w:val="24"/>
          <w:szCs w:val="24"/>
        </w:rPr>
        <w:t xml:space="preserve"> modifications (</w:t>
      </w:r>
      <w:proofErr w:type="spellStart"/>
      <w:r w:rsidRPr="004B4DD1">
        <w:rPr>
          <w:rFonts w:ascii="Times New Roman" w:hAnsi="Times New Roman" w:cs="Times New Roman"/>
          <w:sz w:val="24"/>
          <w:szCs w:val="24"/>
        </w:rPr>
        <w:t>Hladik</w:t>
      </w:r>
      <w:proofErr w:type="spellEnd"/>
      <w:r w:rsidRPr="004B4DD1">
        <w:rPr>
          <w:rFonts w:ascii="Times New Roman" w:hAnsi="Times New Roman" w:cs="Times New Roman"/>
          <w:sz w:val="24"/>
          <w:szCs w:val="24"/>
        </w:rPr>
        <w:t xml:space="preserve"> et al., 2018). These impacts cascade through aquatic food webs, affecting fish populations and other higher-order organisms that depend on invertebrate prey species. Mayfly and caddisfly populations have declined by 70% in streams receiving agricultural runoff containing neonicotinoids.</w:t>
      </w:r>
    </w:p>
    <w:p w14:paraId="2B8786FF"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3. Health Impacts of Pesticides on Agricultural Workers and Communities</w:t>
      </w:r>
    </w:p>
    <w:p w14:paraId="0952BFC1"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3.1 Acute Health Effects and Poisoning Incidents</w:t>
      </w:r>
    </w:p>
    <w:p w14:paraId="4692FDCB"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lastRenderedPageBreak/>
        <w:t>Acute pesticide poisoning represents a significant occupational health hazard for agricultural workers involved in horticultural crop production, with symptoms ranging from mild skin irritation to severe systemic toxicity and death. The World Health Organization estimates that approximately 3 million individuals worldwide experience pesticide poisoning annually, resulting in around 200,000 fatalities, with the majority of cases occurring in developing countries where safety regulations and protective equipment may be inadequate (Kashyap et al., 2024).</w:t>
      </w:r>
    </w:p>
    <w:p w14:paraId="1839976F"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Organophosphate and carbamate insecticides pose the greatest risk for acute poisoning due to their mechanism of action involving acetylcholinesterase inhibition. These compounds, derived from nerve gas technologies, cause overstimulation of the nervous system leading to characteristic cholinergic symptoms including excessive salivation, tearing, urination, </w:t>
      </w:r>
      <w:proofErr w:type="spellStart"/>
      <w:r w:rsidRPr="004B4DD1">
        <w:rPr>
          <w:rFonts w:ascii="Times New Roman" w:hAnsi="Times New Roman" w:cs="Times New Roman"/>
          <w:sz w:val="24"/>
          <w:szCs w:val="24"/>
        </w:rPr>
        <w:t>diarrhea</w:t>
      </w:r>
      <w:proofErr w:type="spellEnd"/>
      <w:r w:rsidRPr="004B4DD1">
        <w:rPr>
          <w:rFonts w:ascii="Times New Roman" w:hAnsi="Times New Roman" w:cs="Times New Roman"/>
          <w:sz w:val="24"/>
          <w:szCs w:val="24"/>
        </w:rPr>
        <w:t>, muscle twitching, and in severe cases, respiratory failure and death (Robb et al., 2023). The mortality rate for severe organophosphate poisoning ranges from 15-25%, with respiratory failure being the primary cause of death.</w:t>
      </w:r>
    </w:p>
    <w:p w14:paraId="028E555D"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Peradeniya Organophosphorus Poisoning (POP) scale has been developed to assess clinical severity, with scores ranging from 0-11 based on six clinical parameters: pupil size, fasciculations, respiratory status, heart rate, consciousness level, and seizure activity. Patients with moderate poisoning (POP scores 4-7) require ventilatory support in 100% of cases, with mortality rates reaching 30.8%.</w:t>
      </w:r>
    </w:p>
    <w:p w14:paraId="698ECEFA"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Pyrethroid insecticides, while generally less toxic than organophosphates, can cause acute symptoms including tremors, skin irritation, respiratory distress, and neurological effects such as dizziness and headache. The synthetic nature of pyrethroids makes them more persistent than natural pyrethrins, potentially extending exposure duration and health risks. Recent epidemiological data suggests associations between pyrethroid exposure and cardiovascular disease, with exposed workers showing 40% higher rates of heart disease compared to controls.</w:t>
      </w:r>
    </w:p>
    <w:p w14:paraId="26A7429C"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3.2 Chronic Health Effects and Disease Associations</w:t>
      </w:r>
    </w:p>
    <w:p w14:paraId="79B322D3"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Long-term exposure to pesticides at sub-acute levels has been associated with a wide range of chronic health conditions, with mounting epidemiological evidence supporting causal relationships for several disease categories. Cancer represents one of the most extensively studied health outcomes, with recent comprehensive reviews identifying strong evidence for associations between pesticide exposure and acute myeloid </w:t>
      </w:r>
      <w:proofErr w:type="spellStart"/>
      <w:r w:rsidRPr="004B4DD1">
        <w:rPr>
          <w:rFonts w:ascii="Times New Roman" w:hAnsi="Times New Roman" w:cs="Times New Roman"/>
          <w:sz w:val="24"/>
          <w:szCs w:val="24"/>
        </w:rPr>
        <w:t>leukemia</w:t>
      </w:r>
      <w:proofErr w:type="spellEnd"/>
      <w:r w:rsidRPr="004B4DD1">
        <w:rPr>
          <w:rFonts w:ascii="Times New Roman" w:hAnsi="Times New Roman" w:cs="Times New Roman"/>
          <w:sz w:val="24"/>
          <w:szCs w:val="24"/>
        </w:rPr>
        <w:t xml:space="preserve"> (AML) and colorectal </w:t>
      </w:r>
      <w:r w:rsidRPr="004B4DD1">
        <w:rPr>
          <w:rFonts w:ascii="Times New Roman" w:hAnsi="Times New Roman" w:cs="Times New Roman"/>
          <w:sz w:val="24"/>
          <w:szCs w:val="24"/>
        </w:rPr>
        <w:lastRenderedPageBreak/>
        <w:t>cancer (Cavalier et al., 2023). These associations show consistency across multiple high-quality prospective studies and demonstrate dose-response relationships in some cases.</w:t>
      </w:r>
    </w:p>
    <w:p w14:paraId="4520E0AF"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Organophosphate insecticides show the strongest cancer associations, with agricultural workers exposed to these compounds experiencing </w:t>
      </w:r>
      <w:proofErr w:type="gramStart"/>
      <w:r w:rsidRPr="004B4DD1">
        <w:rPr>
          <w:rFonts w:ascii="Times New Roman" w:hAnsi="Times New Roman" w:cs="Times New Roman"/>
          <w:sz w:val="24"/>
          <w:szCs w:val="24"/>
        </w:rPr>
        <w:t>an</w:t>
      </w:r>
      <w:proofErr w:type="gramEnd"/>
      <w:r w:rsidRPr="004B4DD1">
        <w:rPr>
          <w:rFonts w:ascii="Times New Roman" w:hAnsi="Times New Roman" w:cs="Times New Roman"/>
          <w:sz w:val="24"/>
          <w:szCs w:val="24"/>
        </w:rPr>
        <w:t xml:space="preserve"> 1.8-fold increased risk of acute myeloid </w:t>
      </w:r>
      <w:proofErr w:type="spellStart"/>
      <w:r w:rsidRPr="004B4DD1">
        <w:rPr>
          <w:rFonts w:ascii="Times New Roman" w:hAnsi="Times New Roman" w:cs="Times New Roman"/>
          <w:sz w:val="24"/>
          <w:szCs w:val="24"/>
        </w:rPr>
        <w:t>leukemia</w:t>
      </w:r>
      <w:proofErr w:type="spellEnd"/>
      <w:r w:rsidRPr="004B4DD1">
        <w:rPr>
          <w:rFonts w:ascii="Times New Roman" w:hAnsi="Times New Roman" w:cs="Times New Roman"/>
          <w:sz w:val="24"/>
          <w:szCs w:val="24"/>
        </w:rPr>
        <w:t>, 1.4-fold increased risk of colorectal cancer, and 1.3-fold increased risk of non-Hodgkin's lymphoma compared to unexposed populations (Gerken et al., 2024). The Agricultural Health Study, following over 89,000 farmers and their spouses for 25 years, has provided the most comprehensive evidence of these associations.</w:t>
      </w:r>
    </w:p>
    <w:p w14:paraId="6FE92B58"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Organochlorine pesticides, despite being banned in many countries, continue to pose health risks due to their persistence and </w:t>
      </w:r>
      <w:proofErr w:type="spellStart"/>
      <w:r w:rsidRPr="004B4DD1">
        <w:rPr>
          <w:rFonts w:ascii="Times New Roman" w:hAnsi="Times New Roman" w:cs="Times New Roman"/>
          <w:sz w:val="24"/>
          <w:szCs w:val="24"/>
        </w:rPr>
        <w:t>bioaccumulative</w:t>
      </w:r>
      <w:proofErr w:type="spellEnd"/>
      <w:r w:rsidRPr="004B4DD1">
        <w:rPr>
          <w:rFonts w:ascii="Times New Roman" w:hAnsi="Times New Roman" w:cs="Times New Roman"/>
          <w:sz w:val="24"/>
          <w:szCs w:val="24"/>
        </w:rPr>
        <w:t xml:space="preserve"> properties. Exposed populations show elevated risks for breast cancer (1.6-fold), liver cancer (1.5-fold), and pancreatic cancer (1.3-fold). Women with higher serum levels of DDT and its metabolites show 40% higher breast cancer rates, with the strongest associations observed for hormone receptor-positive </w:t>
      </w:r>
      <w:proofErr w:type="spellStart"/>
      <w:r w:rsidRPr="004B4DD1">
        <w:rPr>
          <w:rFonts w:ascii="Times New Roman" w:hAnsi="Times New Roman" w:cs="Times New Roman"/>
          <w:sz w:val="24"/>
          <w:szCs w:val="24"/>
        </w:rPr>
        <w:t>tumors</w:t>
      </w:r>
      <w:proofErr w:type="spellEnd"/>
      <w:r w:rsidRPr="004B4DD1">
        <w:rPr>
          <w:rFonts w:ascii="Times New Roman" w:hAnsi="Times New Roman" w:cs="Times New Roman"/>
          <w:sz w:val="24"/>
          <w:szCs w:val="24"/>
        </w:rPr>
        <w:t>.</w:t>
      </w:r>
    </w:p>
    <w:p w14:paraId="6B2D2353"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Neurological disorders represent another major concern associated with chronic pesticide exposure. Parkinson's disease has shown consistent associations with pesticide exposure across multiple studies, with organophosphates and organochlorines demonstrating the strongest relationships. Meta-analyses indicate a 58% increased risk of Parkinson's disease among pesticide-exposed individuals, with the highest risks associated with </w:t>
      </w:r>
      <w:proofErr w:type="spellStart"/>
      <w:r w:rsidRPr="004B4DD1">
        <w:rPr>
          <w:rFonts w:ascii="Times New Roman" w:hAnsi="Times New Roman" w:cs="Times New Roman"/>
          <w:sz w:val="24"/>
          <w:szCs w:val="24"/>
        </w:rPr>
        <w:t>maneb</w:t>
      </w:r>
      <w:proofErr w:type="spellEnd"/>
      <w:r w:rsidRPr="004B4DD1">
        <w:rPr>
          <w:rFonts w:ascii="Times New Roman" w:hAnsi="Times New Roman" w:cs="Times New Roman"/>
          <w:sz w:val="24"/>
          <w:szCs w:val="24"/>
        </w:rPr>
        <w:t xml:space="preserve"> and paraquat exposure.</w:t>
      </w:r>
    </w:p>
    <w:p w14:paraId="4B1DFAFB" w14:textId="77777777" w:rsid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Reproductive and developmental health effects include reduced fertility, pregnancy complications, birth defects, and developmental delays in children. Male agricultural workers show 50% reductions in sperm count and 30% decreases in sperm motility compared to non-exposed controls. Women working in agriculture experience 25% higher rates of pregnancy loss and 40% increased risk of birth defects, particularly neural tube defects and limb malformations.</w:t>
      </w:r>
    </w:p>
    <w:p w14:paraId="4B176C7C" w14:textId="2E0CA399" w:rsidR="006F5A80" w:rsidRDefault="006F5A80" w:rsidP="004B4DD1">
      <w:pPr>
        <w:spacing w:line="360" w:lineRule="auto"/>
        <w:jc w:val="both"/>
        <w:rPr>
          <w:rFonts w:ascii="Times New Roman" w:hAnsi="Times New Roman" w:cs="Times New Roman"/>
          <w:sz w:val="24"/>
          <w:szCs w:val="24"/>
        </w:rPr>
      </w:pPr>
      <w:r>
        <w:rPr>
          <w:noProof/>
        </w:rPr>
        <w:lastRenderedPageBreak/>
        <w:drawing>
          <wp:inline distT="0" distB="0" distL="0" distR="0" wp14:anchorId="1ACBEDCF" wp14:editId="0CDCA37B">
            <wp:extent cx="5731510" cy="3820795"/>
            <wp:effectExtent l="0" t="0" r="2540" b="8255"/>
            <wp:docPr id="705075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FBD2111" w14:textId="39A50961" w:rsidR="006F5A80" w:rsidRPr="006F5A80" w:rsidRDefault="006F5A80" w:rsidP="004B4DD1">
      <w:pPr>
        <w:spacing w:line="360" w:lineRule="auto"/>
        <w:jc w:val="both"/>
        <w:rPr>
          <w:rFonts w:ascii="Times New Roman" w:hAnsi="Times New Roman" w:cs="Times New Roman"/>
          <w:b/>
          <w:bCs/>
          <w:sz w:val="24"/>
          <w:szCs w:val="24"/>
        </w:rPr>
      </w:pPr>
      <w:r w:rsidRPr="006F5A80">
        <w:rPr>
          <w:rFonts w:ascii="Times New Roman" w:hAnsi="Times New Roman" w:cs="Times New Roman"/>
          <w:b/>
          <w:bCs/>
          <w:sz w:val="24"/>
          <w:szCs w:val="24"/>
        </w:rPr>
        <w:t>Fig. 1: Cancer risk analysis chart showing relative risk ratios for different cancer types associated with organophosphates, organochlorines, triazines, and neonicotinoids exposure.</w:t>
      </w:r>
    </w:p>
    <w:p w14:paraId="58325A08"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3.3 Vulnerable Populations and Exposure Pathways</w:t>
      </w:r>
    </w:p>
    <w:p w14:paraId="56BE0D28" w14:textId="77777777" w:rsid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Children represent a particularly vulnerable population for pesticide health effects due to their developing organ systems, higher metabolic rates, and </w:t>
      </w:r>
      <w:proofErr w:type="spellStart"/>
      <w:r w:rsidRPr="004B4DD1">
        <w:rPr>
          <w:rFonts w:ascii="Times New Roman" w:hAnsi="Times New Roman" w:cs="Times New Roman"/>
          <w:sz w:val="24"/>
          <w:szCs w:val="24"/>
        </w:rPr>
        <w:t>behavioral</w:t>
      </w:r>
      <w:proofErr w:type="spellEnd"/>
      <w:r w:rsidRPr="004B4DD1">
        <w:rPr>
          <w:rFonts w:ascii="Times New Roman" w:hAnsi="Times New Roman" w:cs="Times New Roman"/>
          <w:sz w:val="24"/>
          <w:szCs w:val="24"/>
        </w:rPr>
        <w:t xml:space="preserve"> patterns that increase exposure risk. Children's immature detoxification systems make them less capable of metabolizing and eliminating pesticides, potentially leading to higher internal doses and prolonged exposure effects. Pound-for-pound, children consume 2-3 times more food and water than adults, increasing their relative exposure to pesticide residues.</w:t>
      </w:r>
    </w:p>
    <w:p w14:paraId="3CD276BF" w14:textId="104C35F1"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Prenatal exposure represents a critical window of vulnerability, as developing </w:t>
      </w:r>
      <w:proofErr w:type="spellStart"/>
      <w:r w:rsidRPr="004B4DD1">
        <w:rPr>
          <w:rFonts w:ascii="Times New Roman" w:hAnsi="Times New Roman" w:cs="Times New Roman"/>
          <w:sz w:val="24"/>
          <w:szCs w:val="24"/>
        </w:rPr>
        <w:t>fetuses</w:t>
      </w:r>
      <w:proofErr w:type="spellEnd"/>
      <w:r w:rsidRPr="004B4DD1">
        <w:rPr>
          <w:rFonts w:ascii="Times New Roman" w:hAnsi="Times New Roman" w:cs="Times New Roman"/>
          <w:sz w:val="24"/>
          <w:szCs w:val="24"/>
        </w:rPr>
        <w:t xml:space="preserve"> lack fully functional detoxification systems and may be exposed to pesticides through maternal blood transfer across the placental barrier. Studies have documented associations between prenatal pesticide exposure and neurodevelopmental disorders, reduced cognitive function, and attention deficit hyperactivity disorder (ADHD) in children. Children with the highest prenatal organophosphate exposure show </w:t>
      </w:r>
      <w:proofErr w:type="gramStart"/>
      <w:r w:rsidRPr="004B4DD1">
        <w:rPr>
          <w:rFonts w:ascii="Times New Roman" w:hAnsi="Times New Roman" w:cs="Times New Roman"/>
          <w:sz w:val="24"/>
          <w:szCs w:val="24"/>
        </w:rPr>
        <w:t>7-10 point</w:t>
      </w:r>
      <w:proofErr w:type="gramEnd"/>
      <w:r w:rsidRPr="004B4DD1">
        <w:rPr>
          <w:rFonts w:ascii="Times New Roman" w:hAnsi="Times New Roman" w:cs="Times New Roman"/>
          <w:sz w:val="24"/>
          <w:szCs w:val="24"/>
        </w:rPr>
        <w:t xml:space="preserve"> decreases in IQ scores compared to those with lowest exposure.</w:t>
      </w:r>
    </w:p>
    <w:p w14:paraId="22823A51" w14:textId="5CDF2BB2" w:rsid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lastRenderedPageBreak/>
        <w:t>Agricultural families living in close proximity to treated fields face elevated exposure risks through multiple pathways including drift during application, tracking of contaminated soil into homes, and consumption of homegrown produce. Community exposure studies have documented pesticide residues in house dust, air samples, and biological specimens of residents living within 1,000 meters of agricultural areas. Drift can transport pesticides 2-25% of the applied amount to distances exceeding 500 meters from application sites.</w:t>
      </w:r>
      <w:r>
        <w:rPr>
          <w:rFonts w:ascii="Times New Roman" w:hAnsi="Times New Roman" w:cs="Times New Roman"/>
          <w:sz w:val="24"/>
          <w:szCs w:val="24"/>
        </w:rPr>
        <w:t xml:space="preserve"> </w:t>
      </w:r>
      <w:r w:rsidRPr="004B4DD1">
        <w:rPr>
          <w:rFonts w:ascii="Times New Roman" w:hAnsi="Times New Roman" w:cs="Times New Roman"/>
          <w:sz w:val="24"/>
          <w:szCs w:val="24"/>
        </w:rPr>
        <w:t xml:space="preserve">Women of reproductive age working in agriculture face unique risks related to reproductive health outcomes and potential </w:t>
      </w:r>
      <w:proofErr w:type="spellStart"/>
      <w:r w:rsidRPr="004B4DD1">
        <w:rPr>
          <w:rFonts w:ascii="Times New Roman" w:hAnsi="Times New Roman" w:cs="Times New Roman"/>
          <w:sz w:val="24"/>
          <w:szCs w:val="24"/>
        </w:rPr>
        <w:t>fetal</w:t>
      </w:r>
      <w:proofErr w:type="spellEnd"/>
      <w:r w:rsidRPr="004B4DD1">
        <w:rPr>
          <w:rFonts w:ascii="Times New Roman" w:hAnsi="Times New Roman" w:cs="Times New Roman"/>
          <w:sz w:val="24"/>
          <w:szCs w:val="24"/>
        </w:rPr>
        <w:t xml:space="preserve"> exposure. Female farmworkers show 30% higher rates of menstrual irregularities, 25% increased risk of pregnancy complications, and 40% higher rates of birth defects in their children. Seasonal agricultural workers, who may lack access to adequate protective equipment, training, and healthcare services, represent another high-risk population requiring targeted protection measures.</w:t>
      </w:r>
    </w:p>
    <w:p w14:paraId="47D9C5D8" w14:textId="24BAA4B2" w:rsidR="006F5A80" w:rsidRDefault="006F5A80" w:rsidP="004B4DD1">
      <w:pPr>
        <w:spacing w:line="360" w:lineRule="auto"/>
        <w:jc w:val="both"/>
        <w:rPr>
          <w:rFonts w:ascii="Times New Roman" w:hAnsi="Times New Roman" w:cs="Times New Roman"/>
          <w:sz w:val="24"/>
          <w:szCs w:val="24"/>
        </w:rPr>
      </w:pPr>
      <w:r>
        <w:rPr>
          <w:noProof/>
        </w:rPr>
        <w:drawing>
          <wp:inline distT="0" distB="0" distL="0" distR="0" wp14:anchorId="7601A4F7" wp14:editId="5578D1D5">
            <wp:extent cx="5731510" cy="3820795"/>
            <wp:effectExtent l="0" t="0" r="2540" b="8255"/>
            <wp:docPr id="1729903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F802054" w14:textId="697B00FF" w:rsidR="006F5A80" w:rsidRPr="006F5A80" w:rsidRDefault="006F5A80" w:rsidP="004B4DD1">
      <w:pPr>
        <w:spacing w:line="360" w:lineRule="auto"/>
        <w:jc w:val="both"/>
        <w:rPr>
          <w:rFonts w:ascii="Times New Roman" w:hAnsi="Times New Roman" w:cs="Times New Roman"/>
          <w:b/>
          <w:bCs/>
          <w:sz w:val="24"/>
          <w:szCs w:val="24"/>
        </w:rPr>
      </w:pPr>
      <w:r w:rsidRPr="006F5A80">
        <w:rPr>
          <w:rFonts w:ascii="Times New Roman" w:hAnsi="Times New Roman" w:cs="Times New Roman"/>
          <w:b/>
          <w:bCs/>
          <w:sz w:val="24"/>
          <w:szCs w:val="24"/>
        </w:rPr>
        <w:t>Fig. 2: Environmental contamination pathways diagram illustrating how pesticides move through horticultural systems affecting soil, water, air, and organisms.</w:t>
      </w:r>
    </w:p>
    <w:p w14:paraId="7903EF31"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4. Pesticide Residues in Horticultural Food Products</w:t>
      </w:r>
    </w:p>
    <w:p w14:paraId="26FC2CBA"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4.1 Contamination Patterns and Detection Frequencies</w:t>
      </w:r>
    </w:p>
    <w:p w14:paraId="334CB436"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lastRenderedPageBreak/>
        <w:t>Systematic monitoring of pesticide residues in horticultural crops reveals widespread contamination across diverse crop types and geographic regions. Recent analysis of fresh produce samples indicates that approximately 64% of fruits and vegetables contain detectable pesticide residues, with 32.9% of samples exceeding established Maximum Residue Limits (MRLs) (El-Sheikh et al., 2022). This contamination pattern reflects both the intensive pesticide use practices in horticultural production and the persistence of certain compounds in plant tissues.</w:t>
      </w:r>
    </w:p>
    <w:p w14:paraId="40EDE311"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"Dirty Dozen" list compiled by the Environmental Working Group consistently identifies the most contaminated produce items based on USDA testing data. Strawberries top this list with 90% of samples testing positive for pesticides and 22 different compounds detected in individual samples. Apples follow closely with 87% detection rates and up to 20 different pesticides per sample. Other highly contaminated crops include cherries (89% detection), spinach (85% detection), and nectarines (83% detection).</w:t>
      </w:r>
    </w:p>
    <w:p w14:paraId="2E843285"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Geographic variations in residue patterns reflect differences in pest pressure, climate conditions, regulatory frameworks, and agricultural practices. Developing countries often show higher residue levels and exceedance rates compared to developed nations, potentially due to less stringent regulatory oversight, limited access to safer alternatives, and economic pressures </w:t>
      </w:r>
      <w:proofErr w:type="spellStart"/>
      <w:r w:rsidRPr="004B4DD1">
        <w:rPr>
          <w:rFonts w:ascii="Times New Roman" w:hAnsi="Times New Roman" w:cs="Times New Roman"/>
          <w:sz w:val="24"/>
          <w:szCs w:val="24"/>
        </w:rPr>
        <w:t>favoring</w:t>
      </w:r>
      <w:proofErr w:type="spellEnd"/>
      <w:r w:rsidRPr="004B4DD1">
        <w:rPr>
          <w:rFonts w:ascii="Times New Roman" w:hAnsi="Times New Roman" w:cs="Times New Roman"/>
          <w:sz w:val="24"/>
          <w:szCs w:val="24"/>
        </w:rPr>
        <w:t xml:space="preserve"> intensive pesticide use. Import monitoring programs have documented variable residue levels, with some countries showing exceedance rates exceeding 18% for certain pesticide classes.</w:t>
      </w:r>
    </w:p>
    <w:p w14:paraId="48DA4508" w14:textId="02A5266F"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diversity of pesticide residues detected in individual samples has increased over time, with some fruit and vegetable samples containing 15-20 different pesticide compounds. This multiple residue phenomenon reflects the complex pest management programs employed in modern horticulture, where different pesticides are applied targeting various pests and diseases throughout the growing season. Apple samples have been documented to contain up to 20 different pesticide residues, while cucumber and pepper samples frequently exceed 15 different compounds.</w:t>
      </w:r>
    </w:p>
    <w:p w14:paraId="5645A510" w14:textId="34C4F2D8"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Table 1: Pesticide Residue Data in Horticultural Crops showing detection rates, number of pesticides detected, MRL exceedances, and risk levels for 15 major crop types</w:t>
      </w:r>
    </w:p>
    <w:tbl>
      <w:tblPr>
        <w:tblStyle w:val="TableGrid"/>
        <w:tblW w:w="0" w:type="auto"/>
        <w:tblLook w:val="04A0" w:firstRow="1" w:lastRow="0" w:firstColumn="1" w:lastColumn="0" w:noHBand="0" w:noVBand="1"/>
      </w:tblPr>
      <w:tblGrid>
        <w:gridCol w:w="1475"/>
        <w:gridCol w:w="1189"/>
        <w:gridCol w:w="1410"/>
        <w:gridCol w:w="1270"/>
        <w:gridCol w:w="2312"/>
        <w:gridCol w:w="1360"/>
      </w:tblGrid>
      <w:tr w:rsidR="004B4DD1" w:rsidRPr="004B4DD1" w14:paraId="6E5CB65A" w14:textId="77777777" w:rsidTr="004B4DD1">
        <w:tc>
          <w:tcPr>
            <w:tcW w:w="1481" w:type="dxa"/>
            <w:vAlign w:val="center"/>
          </w:tcPr>
          <w:p w14:paraId="03091AF4" w14:textId="5D5B5BB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Crop Type</w:t>
            </w:r>
          </w:p>
        </w:tc>
        <w:tc>
          <w:tcPr>
            <w:tcW w:w="1189" w:type="dxa"/>
            <w:vAlign w:val="center"/>
          </w:tcPr>
          <w:p w14:paraId="0F5BB273" w14:textId="14DB067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Detection Rate (%)</w:t>
            </w:r>
          </w:p>
        </w:tc>
        <w:tc>
          <w:tcPr>
            <w:tcW w:w="1436" w:type="dxa"/>
            <w:vAlign w:val="center"/>
          </w:tcPr>
          <w:p w14:paraId="4BD994E9" w14:textId="31934AB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Number of Pesticides Detected</w:t>
            </w:r>
          </w:p>
        </w:tc>
        <w:tc>
          <w:tcPr>
            <w:tcW w:w="1134" w:type="dxa"/>
            <w:vAlign w:val="center"/>
          </w:tcPr>
          <w:p w14:paraId="753282C9" w14:textId="7AA6E9C8"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Samples Exceeding MRL (%)</w:t>
            </w:r>
          </w:p>
        </w:tc>
        <w:tc>
          <w:tcPr>
            <w:tcW w:w="2385" w:type="dxa"/>
            <w:vAlign w:val="center"/>
          </w:tcPr>
          <w:p w14:paraId="2DD0588D" w14:textId="7063958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Common Pesticides</w:t>
            </w:r>
          </w:p>
        </w:tc>
        <w:tc>
          <w:tcPr>
            <w:tcW w:w="1391" w:type="dxa"/>
            <w:vAlign w:val="center"/>
          </w:tcPr>
          <w:p w14:paraId="2CE1D2B2" w14:textId="376CC0F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b/>
                <w:bCs/>
                <w:sz w:val="24"/>
                <w:szCs w:val="24"/>
              </w:rPr>
              <w:t>Health Risk Level</w:t>
            </w:r>
          </w:p>
        </w:tc>
      </w:tr>
      <w:tr w:rsidR="004B4DD1" w:rsidRPr="004B4DD1" w14:paraId="700D7319" w14:textId="77777777" w:rsidTr="004B4DD1">
        <w:tc>
          <w:tcPr>
            <w:tcW w:w="1481" w:type="dxa"/>
            <w:vAlign w:val="center"/>
          </w:tcPr>
          <w:p w14:paraId="75CC83AB" w14:textId="623300D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lastRenderedPageBreak/>
              <w:t>Strawberries</w:t>
            </w:r>
          </w:p>
        </w:tc>
        <w:tc>
          <w:tcPr>
            <w:tcW w:w="1189" w:type="dxa"/>
            <w:vAlign w:val="center"/>
          </w:tcPr>
          <w:p w14:paraId="41E42365" w14:textId="59B34A4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90</w:t>
            </w:r>
          </w:p>
        </w:tc>
        <w:tc>
          <w:tcPr>
            <w:tcW w:w="1436" w:type="dxa"/>
            <w:vAlign w:val="center"/>
          </w:tcPr>
          <w:p w14:paraId="682E9F4C" w14:textId="4E34BB3D"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22</w:t>
            </w:r>
          </w:p>
        </w:tc>
        <w:tc>
          <w:tcPr>
            <w:tcW w:w="1134" w:type="dxa"/>
            <w:vAlign w:val="center"/>
          </w:tcPr>
          <w:p w14:paraId="5FA21CFF" w14:textId="57FFF74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45</w:t>
            </w:r>
          </w:p>
        </w:tc>
        <w:tc>
          <w:tcPr>
            <w:tcW w:w="2385" w:type="dxa"/>
            <w:vAlign w:val="center"/>
          </w:tcPr>
          <w:p w14:paraId="693F3C2D" w14:textId="11BDB8F5" w:rsidR="004B4DD1" w:rsidRPr="004B4DD1" w:rsidRDefault="004B4DD1" w:rsidP="004B4DD1">
            <w:pPr>
              <w:spacing w:line="276" w:lineRule="auto"/>
              <w:jc w:val="center"/>
              <w:rPr>
                <w:rFonts w:ascii="Times New Roman" w:hAnsi="Times New Roman" w:cs="Times New Roman"/>
                <w:sz w:val="24"/>
                <w:szCs w:val="24"/>
              </w:rPr>
            </w:pPr>
            <w:proofErr w:type="spellStart"/>
            <w:r w:rsidRPr="004B4DD1">
              <w:rPr>
                <w:rFonts w:ascii="Times New Roman" w:hAnsi="Times New Roman" w:cs="Times New Roman"/>
                <w:sz w:val="24"/>
                <w:szCs w:val="24"/>
              </w:rPr>
              <w:t>Captan</w:t>
            </w:r>
            <w:proofErr w:type="spellEnd"/>
            <w:r w:rsidRPr="004B4DD1">
              <w:rPr>
                <w:rFonts w:ascii="Times New Roman" w:hAnsi="Times New Roman" w:cs="Times New Roman"/>
                <w:sz w:val="24"/>
                <w:szCs w:val="24"/>
              </w:rPr>
              <w:t>, Fludioxonil, Cyprodinil</w:t>
            </w:r>
          </w:p>
        </w:tc>
        <w:tc>
          <w:tcPr>
            <w:tcW w:w="1391" w:type="dxa"/>
            <w:vAlign w:val="center"/>
          </w:tcPr>
          <w:p w14:paraId="39F46683" w14:textId="366D4CE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2D361A59" w14:textId="77777777" w:rsidTr="004B4DD1">
        <w:tc>
          <w:tcPr>
            <w:tcW w:w="1481" w:type="dxa"/>
            <w:vAlign w:val="center"/>
          </w:tcPr>
          <w:p w14:paraId="4F05792C" w14:textId="1A2BC86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Apples</w:t>
            </w:r>
          </w:p>
        </w:tc>
        <w:tc>
          <w:tcPr>
            <w:tcW w:w="1189" w:type="dxa"/>
            <w:vAlign w:val="center"/>
          </w:tcPr>
          <w:p w14:paraId="200666D3" w14:textId="1CB30D4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87</w:t>
            </w:r>
          </w:p>
        </w:tc>
        <w:tc>
          <w:tcPr>
            <w:tcW w:w="1436" w:type="dxa"/>
            <w:vAlign w:val="center"/>
          </w:tcPr>
          <w:p w14:paraId="30A37E53" w14:textId="1C102C3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20</w:t>
            </w:r>
          </w:p>
        </w:tc>
        <w:tc>
          <w:tcPr>
            <w:tcW w:w="1134" w:type="dxa"/>
            <w:vAlign w:val="center"/>
          </w:tcPr>
          <w:p w14:paraId="0B320F8C" w14:textId="337C0268"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25</w:t>
            </w:r>
          </w:p>
        </w:tc>
        <w:tc>
          <w:tcPr>
            <w:tcW w:w="2385" w:type="dxa"/>
            <w:vAlign w:val="center"/>
          </w:tcPr>
          <w:p w14:paraId="1A8B15B9" w14:textId="377528D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Diphenylamine, Thiabendazole</w:t>
            </w:r>
          </w:p>
        </w:tc>
        <w:tc>
          <w:tcPr>
            <w:tcW w:w="1391" w:type="dxa"/>
            <w:vAlign w:val="center"/>
          </w:tcPr>
          <w:p w14:paraId="64CD25F5" w14:textId="24ADCBB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1EF5DDFB" w14:textId="77777777" w:rsidTr="004B4DD1">
        <w:tc>
          <w:tcPr>
            <w:tcW w:w="1481" w:type="dxa"/>
            <w:vAlign w:val="center"/>
          </w:tcPr>
          <w:p w14:paraId="0F9D82DB" w14:textId="3A6D7AC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Cherries</w:t>
            </w:r>
          </w:p>
        </w:tc>
        <w:tc>
          <w:tcPr>
            <w:tcW w:w="1189" w:type="dxa"/>
            <w:vAlign w:val="center"/>
          </w:tcPr>
          <w:p w14:paraId="28B1B9B7" w14:textId="150D21AE"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89</w:t>
            </w:r>
          </w:p>
        </w:tc>
        <w:tc>
          <w:tcPr>
            <w:tcW w:w="1436" w:type="dxa"/>
            <w:vAlign w:val="center"/>
          </w:tcPr>
          <w:p w14:paraId="452E7720" w14:textId="33D1D8D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18</w:t>
            </w:r>
          </w:p>
        </w:tc>
        <w:tc>
          <w:tcPr>
            <w:tcW w:w="1134" w:type="dxa"/>
            <w:vAlign w:val="center"/>
          </w:tcPr>
          <w:p w14:paraId="229CD1B5" w14:textId="1477A42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38</w:t>
            </w:r>
          </w:p>
        </w:tc>
        <w:tc>
          <w:tcPr>
            <w:tcW w:w="2385" w:type="dxa"/>
            <w:vAlign w:val="center"/>
          </w:tcPr>
          <w:p w14:paraId="7525C060" w14:textId="4CE0C73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Iprodione, Fludioxonil</w:t>
            </w:r>
          </w:p>
        </w:tc>
        <w:tc>
          <w:tcPr>
            <w:tcW w:w="1391" w:type="dxa"/>
            <w:vAlign w:val="center"/>
          </w:tcPr>
          <w:p w14:paraId="445228D9" w14:textId="6647E737"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2530D270" w14:textId="77777777" w:rsidTr="004B4DD1">
        <w:tc>
          <w:tcPr>
            <w:tcW w:w="1481" w:type="dxa"/>
            <w:vAlign w:val="center"/>
          </w:tcPr>
          <w:p w14:paraId="5951B528" w14:textId="6F7E1F7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Spinach</w:t>
            </w:r>
          </w:p>
        </w:tc>
        <w:tc>
          <w:tcPr>
            <w:tcW w:w="1189" w:type="dxa"/>
            <w:vAlign w:val="center"/>
          </w:tcPr>
          <w:p w14:paraId="2E9FAA9B" w14:textId="5489128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85</w:t>
            </w:r>
          </w:p>
        </w:tc>
        <w:tc>
          <w:tcPr>
            <w:tcW w:w="1436" w:type="dxa"/>
            <w:vAlign w:val="center"/>
          </w:tcPr>
          <w:p w14:paraId="3E60C570" w14:textId="2999CFFE"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16</w:t>
            </w:r>
          </w:p>
        </w:tc>
        <w:tc>
          <w:tcPr>
            <w:tcW w:w="1134" w:type="dxa"/>
            <w:vAlign w:val="center"/>
          </w:tcPr>
          <w:p w14:paraId="21833E52" w14:textId="0CCD0729"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42</w:t>
            </w:r>
          </w:p>
        </w:tc>
        <w:tc>
          <w:tcPr>
            <w:tcW w:w="2385" w:type="dxa"/>
            <w:vAlign w:val="center"/>
          </w:tcPr>
          <w:p w14:paraId="42FA8118" w14:textId="3098791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Permethrin, Imidacloprid</w:t>
            </w:r>
          </w:p>
        </w:tc>
        <w:tc>
          <w:tcPr>
            <w:tcW w:w="1391" w:type="dxa"/>
            <w:vAlign w:val="center"/>
          </w:tcPr>
          <w:p w14:paraId="1F373D21" w14:textId="646A9FAD"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4B66A317" w14:textId="77777777" w:rsidTr="004B4DD1">
        <w:tc>
          <w:tcPr>
            <w:tcW w:w="1481" w:type="dxa"/>
            <w:vAlign w:val="center"/>
          </w:tcPr>
          <w:p w14:paraId="5D05D60C" w14:textId="697CA9C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Nectarines</w:t>
            </w:r>
          </w:p>
        </w:tc>
        <w:tc>
          <w:tcPr>
            <w:tcW w:w="1189" w:type="dxa"/>
            <w:vAlign w:val="center"/>
          </w:tcPr>
          <w:p w14:paraId="43F16F83" w14:textId="6E893F4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83</w:t>
            </w:r>
          </w:p>
        </w:tc>
        <w:tc>
          <w:tcPr>
            <w:tcW w:w="1436" w:type="dxa"/>
            <w:vAlign w:val="center"/>
          </w:tcPr>
          <w:p w14:paraId="204FD6AC" w14:textId="224CA14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15</w:t>
            </w:r>
          </w:p>
        </w:tc>
        <w:tc>
          <w:tcPr>
            <w:tcW w:w="1134" w:type="dxa"/>
            <w:vAlign w:val="center"/>
          </w:tcPr>
          <w:p w14:paraId="31EB5568" w14:textId="70D382E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35</w:t>
            </w:r>
          </w:p>
        </w:tc>
        <w:tc>
          <w:tcPr>
            <w:tcW w:w="2385" w:type="dxa"/>
            <w:vAlign w:val="center"/>
          </w:tcPr>
          <w:p w14:paraId="2C385737" w14:textId="7D51792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Iprodione, Fludioxonil</w:t>
            </w:r>
          </w:p>
        </w:tc>
        <w:tc>
          <w:tcPr>
            <w:tcW w:w="1391" w:type="dxa"/>
            <w:vAlign w:val="center"/>
          </w:tcPr>
          <w:p w14:paraId="0876AA0E" w14:textId="39A2F2C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64B804A1" w14:textId="77777777" w:rsidTr="004B4DD1">
        <w:tc>
          <w:tcPr>
            <w:tcW w:w="1481" w:type="dxa"/>
            <w:vAlign w:val="center"/>
          </w:tcPr>
          <w:p w14:paraId="3B8B988D" w14:textId="3B490CD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Blueberries</w:t>
            </w:r>
          </w:p>
        </w:tc>
        <w:tc>
          <w:tcPr>
            <w:tcW w:w="1189" w:type="dxa"/>
            <w:vAlign w:val="center"/>
          </w:tcPr>
          <w:p w14:paraId="756821FA" w14:textId="7C7D9B2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78</w:t>
            </w:r>
          </w:p>
        </w:tc>
        <w:tc>
          <w:tcPr>
            <w:tcW w:w="1436" w:type="dxa"/>
            <w:vAlign w:val="center"/>
          </w:tcPr>
          <w:p w14:paraId="36EC5BF9" w14:textId="79B6BA6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14</w:t>
            </w:r>
          </w:p>
        </w:tc>
        <w:tc>
          <w:tcPr>
            <w:tcW w:w="1134" w:type="dxa"/>
            <w:vAlign w:val="center"/>
          </w:tcPr>
          <w:p w14:paraId="24912584" w14:textId="7218FB8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28</w:t>
            </w:r>
          </w:p>
        </w:tc>
        <w:tc>
          <w:tcPr>
            <w:tcW w:w="2385" w:type="dxa"/>
            <w:vAlign w:val="center"/>
          </w:tcPr>
          <w:p w14:paraId="6F590C6C" w14:textId="437606E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 xml:space="preserve">Malathion, </w:t>
            </w:r>
            <w:proofErr w:type="spellStart"/>
            <w:r w:rsidRPr="004B4DD1">
              <w:rPr>
                <w:rFonts w:ascii="Times New Roman" w:hAnsi="Times New Roman" w:cs="Times New Roman"/>
                <w:sz w:val="24"/>
                <w:szCs w:val="24"/>
              </w:rPr>
              <w:t>Phosmet</w:t>
            </w:r>
            <w:proofErr w:type="spellEnd"/>
          </w:p>
        </w:tc>
        <w:tc>
          <w:tcPr>
            <w:tcW w:w="1391" w:type="dxa"/>
            <w:vAlign w:val="center"/>
          </w:tcPr>
          <w:p w14:paraId="463E7269" w14:textId="21F3301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6157008F" w14:textId="77777777" w:rsidTr="004B4DD1">
        <w:tc>
          <w:tcPr>
            <w:tcW w:w="1481" w:type="dxa"/>
            <w:vAlign w:val="center"/>
          </w:tcPr>
          <w:p w14:paraId="02967034" w14:textId="0989E03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Green Beans</w:t>
            </w:r>
          </w:p>
        </w:tc>
        <w:tc>
          <w:tcPr>
            <w:tcW w:w="1189" w:type="dxa"/>
            <w:vAlign w:val="center"/>
          </w:tcPr>
          <w:p w14:paraId="605B3AF4" w14:textId="096A83D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72</w:t>
            </w:r>
          </w:p>
        </w:tc>
        <w:tc>
          <w:tcPr>
            <w:tcW w:w="1436" w:type="dxa"/>
            <w:vAlign w:val="center"/>
          </w:tcPr>
          <w:p w14:paraId="26F18819" w14:textId="56512A0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13</w:t>
            </w:r>
          </w:p>
        </w:tc>
        <w:tc>
          <w:tcPr>
            <w:tcW w:w="1134" w:type="dxa"/>
            <w:vAlign w:val="center"/>
          </w:tcPr>
          <w:p w14:paraId="1AFEEF51" w14:textId="02C6DEC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31</w:t>
            </w:r>
          </w:p>
        </w:tc>
        <w:tc>
          <w:tcPr>
            <w:tcW w:w="2385" w:type="dxa"/>
            <w:vAlign w:val="center"/>
          </w:tcPr>
          <w:p w14:paraId="412FADCC" w14:textId="225C8E7F" w:rsidR="004B4DD1" w:rsidRPr="004B4DD1" w:rsidRDefault="004B4DD1" w:rsidP="004B4DD1">
            <w:pPr>
              <w:spacing w:line="276" w:lineRule="auto"/>
              <w:jc w:val="center"/>
              <w:rPr>
                <w:rFonts w:ascii="Times New Roman" w:hAnsi="Times New Roman" w:cs="Times New Roman"/>
                <w:sz w:val="24"/>
                <w:szCs w:val="24"/>
              </w:rPr>
            </w:pPr>
            <w:proofErr w:type="spellStart"/>
            <w:r w:rsidRPr="004B4DD1">
              <w:rPr>
                <w:rFonts w:ascii="Times New Roman" w:hAnsi="Times New Roman" w:cs="Times New Roman"/>
                <w:sz w:val="24"/>
                <w:szCs w:val="24"/>
              </w:rPr>
              <w:t>Acephate</w:t>
            </w:r>
            <w:proofErr w:type="spellEnd"/>
            <w:r w:rsidRPr="004B4DD1">
              <w:rPr>
                <w:rFonts w:ascii="Times New Roman" w:hAnsi="Times New Roman" w:cs="Times New Roman"/>
                <w:sz w:val="24"/>
                <w:szCs w:val="24"/>
              </w:rPr>
              <w:t xml:space="preserve">, </w:t>
            </w:r>
            <w:proofErr w:type="spellStart"/>
            <w:r w:rsidRPr="004B4DD1">
              <w:rPr>
                <w:rFonts w:ascii="Times New Roman" w:hAnsi="Times New Roman" w:cs="Times New Roman"/>
                <w:sz w:val="24"/>
                <w:szCs w:val="24"/>
              </w:rPr>
              <w:t>Methamidophos</w:t>
            </w:r>
            <w:proofErr w:type="spellEnd"/>
          </w:p>
        </w:tc>
        <w:tc>
          <w:tcPr>
            <w:tcW w:w="1391" w:type="dxa"/>
            <w:vAlign w:val="center"/>
          </w:tcPr>
          <w:p w14:paraId="5D2B4DDD" w14:textId="53D365B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4117FB31" w14:textId="77777777" w:rsidTr="004B4DD1">
        <w:tc>
          <w:tcPr>
            <w:tcW w:w="1481" w:type="dxa"/>
            <w:vAlign w:val="center"/>
          </w:tcPr>
          <w:p w14:paraId="61BD4FA7" w14:textId="6FF13A0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Potatoes</w:t>
            </w:r>
          </w:p>
        </w:tc>
        <w:tc>
          <w:tcPr>
            <w:tcW w:w="1189" w:type="dxa"/>
            <w:vAlign w:val="center"/>
          </w:tcPr>
          <w:p w14:paraId="36A5B47A" w14:textId="144CDD2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68</w:t>
            </w:r>
          </w:p>
        </w:tc>
        <w:tc>
          <w:tcPr>
            <w:tcW w:w="1436" w:type="dxa"/>
            <w:vAlign w:val="center"/>
          </w:tcPr>
          <w:p w14:paraId="0E097B00" w14:textId="63CC6E7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12</w:t>
            </w:r>
          </w:p>
        </w:tc>
        <w:tc>
          <w:tcPr>
            <w:tcW w:w="1134" w:type="dxa"/>
            <w:vAlign w:val="center"/>
          </w:tcPr>
          <w:p w14:paraId="1CC057D7" w14:textId="34B5C00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22</w:t>
            </w:r>
          </w:p>
        </w:tc>
        <w:tc>
          <w:tcPr>
            <w:tcW w:w="2385" w:type="dxa"/>
            <w:vAlign w:val="center"/>
          </w:tcPr>
          <w:p w14:paraId="19F6865C" w14:textId="3B942090" w:rsidR="004B4DD1" w:rsidRPr="004B4DD1" w:rsidRDefault="004B4DD1" w:rsidP="004B4DD1">
            <w:pPr>
              <w:spacing w:line="276" w:lineRule="auto"/>
              <w:jc w:val="center"/>
              <w:rPr>
                <w:rFonts w:ascii="Times New Roman" w:hAnsi="Times New Roman" w:cs="Times New Roman"/>
                <w:sz w:val="24"/>
                <w:szCs w:val="24"/>
              </w:rPr>
            </w:pPr>
            <w:proofErr w:type="spellStart"/>
            <w:r w:rsidRPr="004B4DD1">
              <w:rPr>
                <w:rFonts w:ascii="Times New Roman" w:hAnsi="Times New Roman" w:cs="Times New Roman"/>
                <w:sz w:val="24"/>
                <w:szCs w:val="24"/>
              </w:rPr>
              <w:t>Chlorpropham</w:t>
            </w:r>
            <w:proofErr w:type="spellEnd"/>
            <w:r w:rsidRPr="004B4DD1">
              <w:rPr>
                <w:rFonts w:ascii="Times New Roman" w:hAnsi="Times New Roman" w:cs="Times New Roman"/>
                <w:sz w:val="24"/>
                <w:szCs w:val="24"/>
              </w:rPr>
              <w:t>, Thiabendazole</w:t>
            </w:r>
          </w:p>
        </w:tc>
        <w:tc>
          <w:tcPr>
            <w:tcW w:w="1391" w:type="dxa"/>
            <w:vAlign w:val="center"/>
          </w:tcPr>
          <w:p w14:paraId="218D3431" w14:textId="3CB1F64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Low</w:t>
            </w:r>
          </w:p>
        </w:tc>
      </w:tr>
      <w:tr w:rsidR="004B4DD1" w:rsidRPr="004B4DD1" w14:paraId="34FA1E01" w14:textId="77777777" w:rsidTr="004B4DD1">
        <w:tc>
          <w:tcPr>
            <w:tcW w:w="1481" w:type="dxa"/>
            <w:vAlign w:val="center"/>
          </w:tcPr>
          <w:p w14:paraId="500C53E7" w14:textId="1240C919"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Bell Peppers</w:t>
            </w:r>
          </w:p>
        </w:tc>
        <w:tc>
          <w:tcPr>
            <w:tcW w:w="1189" w:type="dxa"/>
            <w:vAlign w:val="center"/>
          </w:tcPr>
          <w:p w14:paraId="03FB9B3D" w14:textId="5A6F815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75</w:t>
            </w:r>
          </w:p>
        </w:tc>
        <w:tc>
          <w:tcPr>
            <w:tcW w:w="1436" w:type="dxa"/>
            <w:vAlign w:val="center"/>
          </w:tcPr>
          <w:p w14:paraId="667F303A" w14:textId="02C309A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15</w:t>
            </w:r>
          </w:p>
        </w:tc>
        <w:tc>
          <w:tcPr>
            <w:tcW w:w="1134" w:type="dxa"/>
            <w:vAlign w:val="center"/>
          </w:tcPr>
          <w:p w14:paraId="3869FC55" w14:textId="0F572ED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36</w:t>
            </w:r>
          </w:p>
        </w:tc>
        <w:tc>
          <w:tcPr>
            <w:tcW w:w="2385" w:type="dxa"/>
            <w:vAlign w:val="center"/>
          </w:tcPr>
          <w:p w14:paraId="55022BDC" w14:textId="1EAC53F6" w:rsidR="004B4DD1" w:rsidRPr="004B4DD1" w:rsidRDefault="004B4DD1" w:rsidP="004B4DD1">
            <w:pPr>
              <w:spacing w:line="276" w:lineRule="auto"/>
              <w:jc w:val="center"/>
              <w:rPr>
                <w:rFonts w:ascii="Times New Roman" w:hAnsi="Times New Roman" w:cs="Times New Roman"/>
                <w:sz w:val="24"/>
                <w:szCs w:val="24"/>
              </w:rPr>
            </w:pPr>
            <w:proofErr w:type="spellStart"/>
            <w:r w:rsidRPr="004B4DD1">
              <w:rPr>
                <w:rFonts w:ascii="Times New Roman" w:hAnsi="Times New Roman" w:cs="Times New Roman"/>
                <w:sz w:val="24"/>
                <w:szCs w:val="24"/>
              </w:rPr>
              <w:t>Acephate</w:t>
            </w:r>
            <w:proofErr w:type="spellEnd"/>
            <w:r w:rsidRPr="004B4DD1">
              <w:rPr>
                <w:rFonts w:ascii="Times New Roman" w:hAnsi="Times New Roman" w:cs="Times New Roman"/>
                <w:sz w:val="24"/>
                <w:szCs w:val="24"/>
              </w:rPr>
              <w:t>, Methomyl</w:t>
            </w:r>
          </w:p>
        </w:tc>
        <w:tc>
          <w:tcPr>
            <w:tcW w:w="1391" w:type="dxa"/>
            <w:vAlign w:val="center"/>
          </w:tcPr>
          <w:p w14:paraId="4F596EBD" w14:textId="541DBFC9"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03A18BFC" w14:textId="77777777" w:rsidTr="004B4DD1">
        <w:tc>
          <w:tcPr>
            <w:tcW w:w="1481" w:type="dxa"/>
            <w:vAlign w:val="center"/>
          </w:tcPr>
          <w:p w14:paraId="7A5DE1EE" w14:textId="14535D6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Kale</w:t>
            </w:r>
          </w:p>
        </w:tc>
        <w:tc>
          <w:tcPr>
            <w:tcW w:w="1189" w:type="dxa"/>
            <w:vAlign w:val="center"/>
          </w:tcPr>
          <w:p w14:paraId="7EB151EE" w14:textId="5D3435E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88</w:t>
            </w:r>
          </w:p>
        </w:tc>
        <w:tc>
          <w:tcPr>
            <w:tcW w:w="1436" w:type="dxa"/>
            <w:vAlign w:val="center"/>
          </w:tcPr>
          <w:p w14:paraId="73A11C02" w14:textId="3703C85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18</w:t>
            </w:r>
          </w:p>
        </w:tc>
        <w:tc>
          <w:tcPr>
            <w:tcW w:w="1134" w:type="dxa"/>
            <w:vAlign w:val="center"/>
          </w:tcPr>
          <w:p w14:paraId="06BC5F02" w14:textId="27287B28"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41</w:t>
            </w:r>
          </w:p>
        </w:tc>
        <w:tc>
          <w:tcPr>
            <w:tcW w:w="2385" w:type="dxa"/>
            <w:vAlign w:val="center"/>
          </w:tcPr>
          <w:p w14:paraId="039580F5" w14:textId="57097C0E" w:rsidR="004B4DD1" w:rsidRPr="004B4DD1" w:rsidRDefault="004B4DD1" w:rsidP="004B4DD1">
            <w:pPr>
              <w:spacing w:line="276" w:lineRule="auto"/>
              <w:jc w:val="center"/>
              <w:rPr>
                <w:rFonts w:ascii="Times New Roman" w:hAnsi="Times New Roman" w:cs="Times New Roman"/>
                <w:sz w:val="24"/>
                <w:szCs w:val="24"/>
              </w:rPr>
            </w:pPr>
            <w:proofErr w:type="spellStart"/>
            <w:r w:rsidRPr="004B4DD1">
              <w:rPr>
                <w:rFonts w:ascii="Times New Roman" w:hAnsi="Times New Roman" w:cs="Times New Roman"/>
                <w:sz w:val="24"/>
                <w:szCs w:val="24"/>
              </w:rPr>
              <w:t>Dacthal</w:t>
            </w:r>
            <w:proofErr w:type="spellEnd"/>
            <w:r w:rsidRPr="004B4DD1">
              <w:rPr>
                <w:rFonts w:ascii="Times New Roman" w:hAnsi="Times New Roman" w:cs="Times New Roman"/>
                <w:sz w:val="24"/>
                <w:szCs w:val="24"/>
              </w:rPr>
              <w:t>, Permethrin</w:t>
            </w:r>
          </w:p>
        </w:tc>
        <w:tc>
          <w:tcPr>
            <w:tcW w:w="1391" w:type="dxa"/>
            <w:vAlign w:val="center"/>
          </w:tcPr>
          <w:p w14:paraId="1980F772" w14:textId="21E90CB7"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1E804EE2" w14:textId="77777777" w:rsidTr="004B4DD1">
        <w:tc>
          <w:tcPr>
            <w:tcW w:w="1481" w:type="dxa"/>
            <w:vAlign w:val="center"/>
          </w:tcPr>
          <w:p w14:paraId="67840588" w14:textId="049983F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Cucumber</w:t>
            </w:r>
          </w:p>
        </w:tc>
        <w:tc>
          <w:tcPr>
            <w:tcW w:w="1189" w:type="dxa"/>
            <w:vAlign w:val="center"/>
          </w:tcPr>
          <w:p w14:paraId="4ED51B15" w14:textId="1068C9D7"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89</w:t>
            </w:r>
          </w:p>
        </w:tc>
        <w:tc>
          <w:tcPr>
            <w:tcW w:w="1436" w:type="dxa"/>
            <w:vAlign w:val="center"/>
          </w:tcPr>
          <w:p w14:paraId="607CC4F3" w14:textId="1F14038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15</w:t>
            </w:r>
          </w:p>
        </w:tc>
        <w:tc>
          <w:tcPr>
            <w:tcW w:w="1134" w:type="dxa"/>
            <w:vAlign w:val="center"/>
          </w:tcPr>
          <w:p w14:paraId="2D9C93B1" w14:textId="5DD89514"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48</w:t>
            </w:r>
          </w:p>
        </w:tc>
        <w:tc>
          <w:tcPr>
            <w:tcW w:w="2385" w:type="dxa"/>
            <w:vAlign w:val="center"/>
          </w:tcPr>
          <w:p w14:paraId="6ADAB8FA" w14:textId="58DC193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Chlorpyrifos, Lambda-cyhalothrin</w:t>
            </w:r>
          </w:p>
        </w:tc>
        <w:tc>
          <w:tcPr>
            <w:tcW w:w="1391" w:type="dxa"/>
            <w:vAlign w:val="center"/>
          </w:tcPr>
          <w:p w14:paraId="63F73A31" w14:textId="0EBF99D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High</w:t>
            </w:r>
          </w:p>
        </w:tc>
      </w:tr>
      <w:tr w:rsidR="004B4DD1" w:rsidRPr="004B4DD1" w14:paraId="03F720A0" w14:textId="77777777" w:rsidTr="004B4DD1">
        <w:tc>
          <w:tcPr>
            <w:tcW w:w="1481" w:type="dxa"/>
            <w:vAlign w:val="center"/>
          </w:tcPr>
          <w:p w14:paraId="3B5EE8DA" w14:textId="677C83B2"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Tomatoes</w:t>
            </w:r>
          </w:p>
        </w:tc>
        <w:tc>
          <w:tcPr>
            <w:tcW w:w="1189" w:type="dxa"/>
            <w:vAlign w:val="center"/>
          </w:tcPr>
          <w:p w14:paraId="4317C83D" w14:textId="2ED53A47"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76</w:t>
            </w:r>
          </w:p>
        </w:tc>
        <w:tc>
          <w:tcPr>
            <w:tcW w:w="1436" w:type="dxa"/>
            <w:vAlign w:val="center"/>
          </w:tcPr>
          <w:p w14:paraId="0269AC39" w14:textId="45297DE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10</w:t>
            </w:r>
          </w:p>
        </w:tc>
        <w:tc>
          <w:tcPr>
            <w:tcW w:w="1134" w:type="dxa"/>
            <w:vAlign w:val="center"/>
          </w:tcPr>
          <w:p w14:paraId="2B00B4F0" w14:textId="63CECA2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27</w:t>
            </w:r>
          </w:p>
        </w:tc>
        <w:tc>
          <w:tcPr>
            <w:tcW w:w="2385" w:type="dxa"/>
            <w:vAlign w:val="center"/>
          </w:tcPr>
          <w:p w14:paraId="552A37CD" w14:textId="0F2EE4F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Chlorpyrifos, Endosulfan</w:t>
            </w:r>
          </w:p>
        </w:tc>
        <w:tc>
          <w:tcPr>
            <w:tcW w:w="1391" w:type="dxa"/>
            <w:vAlign w:val="center"/>
          </w:tcPr>
          <w:p w14:paraId="4FAB916F" w14:textId="151359B6"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4335EC82" w14:textId="77777777" w:rsidTr="004B4DD1">
        <w:tc>
          <w:tcPr>
            <w:tcW w:w="1481" w:type="dxa"/>
            <w:vAlign w:val="center"/>
          </w:tcPr>
          <w:p w14:paraId="3AAB50AC" w14:textId="22655D8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Grapes</w:t>
            </w:r>
          </w:p>
        </w:tc>
        <w:tc>
          <w:tcPr>
            <w:tcW w:w="1189" w:type="dxa"/>
            <w:vAlign w:val="center"/>
          </w:tcPr>
          <w:p w14:paraId="5942B950" w14:textId="25C0F528"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82</w:t>
            </w:r>
          </w:p>
        </w:tc>
        <w:tc>
          <w:tcPr>
            <w:tcW w:w="1436" w:type="dxa"/>
            <w:vAlign w:val="center"/>
          </w:tcPr>
          <w:p w14:paraId="6FCC224D" w14:textId="7689CA7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18</w:t>
            </w:r>
          </w:p>
        </w:tc>
        <w:tc>
          <w:tcPr>
            <w:tcW w:w="1134" w:type="dxa"/>
            <w:vAlign w:val="center"/>
          </w:tcPr>
          <w:p w14:paraId="054CE7ED" w14:textId="1F28DCE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33</w:t>
            </w:r>
          </w:p>
        </w:tc>
        <w:tc>
          <w:tcPr>
            <w:tcW w:w="2385" w:type="dxa"/>
            <w:vAlign w:val="center"/>
          </w:tcPr>
          <w:p w14:paraId="726A1DA0" w14:textId="7DB00B4B"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 xml:space="preserve">Iprodione, </w:t>
            </w:r>
            <w:proofErr w:type="spellStart"/>
            <w:r w:rsidRPr="004B4DD1">
              <w:rPr>
                <w:rFonts w:ascii="Times New Roman" w:hAnsi="Times New Roman" w:cs="Times New Roman"/>
                <w:sz w:val="24"/>
                <w:szCs w:val="24"/>
              </w:rPr>
              <w:t>Boscalid</w:t>
            </w:r>
            <w:proofErr w:type="spellEnd"/>
          </w:p>
        </w:tc>
        <w:tc>
          <w:tcPr>
            <w:tcW w:w="1391" w:type="dxa"/>
            <w:vAlign w:val="center"/>
          </w:tcPr>
          <w:p w14:paraId="6BFF7B9B" w14:textId="65AE39F9"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Moderate</w:t>
            </w:r>
          </w:p>
        </w:tc>
      </w:tr>
      <w:tr w:rsidR="004B4DD1" w:rsidRPr="004B4DD1" w14:paraId="75BFD781" w14:textId="77777777" w:rsidTr="004B4DD1">
        <w:tc>
          <w:tcPr>
            <w:tcW w:w="1481" w:type="dxa"/>
            <w:vAlign w:val="center"/>
          </w:tcPr>
          <w:p w14:paraId="06BF132B" w14:textId="67F2FDDD"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Lettuce</w:t>
            </w:r>
          </w:p>
        </w:tc>
        <w:tc>
          <w:tcPr>
            <w:tcW w:w="1189" w:type="dxa"/>
            <w:vAlign w:val="center"/>
          </w:tcPr>
          <w:p w14:paraId="6B4F0739" w14:textId="7002038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71</w:t>
            </w:r>
          </w:p>
        </w:tc>
        <w:tc>
          <w:tcPr>
            <w:tcW w:w="1436" w:type="dxa"/>
            <w:vAlign w:val="center"/>
          </w:tcPr>
          <w:p w14:paraId="51D51529" w14:textId="184DBEF0"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12</w:t>
            </w:r>
          </w:p>
        </w:tc>
        <w:tc>
          <w:tcPr>
            <w:tcW w:w="1134" w:type="dxa"/>
            <w:vAlign w:val="center"/>
          </w:tcPr>
          <w:p w14:paraId="76999EAE" w14:textId="79A2CAE3"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24</w:t>
            </w:r>
          </w:p>
        </w:tc>
        <w:tc>
          <w:tcPr>
            <w:tcW w:w="2385" w:type="dxa"/>
            <w:vAlign w:val="center"/>
          </w:tcPr>
          <w:p w14:paraId="7E6982C7" w14:textId="754E4E2A"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Permethrin, Endosulfan</w:t>
            </w:r>
          </w:p>
        </w:tc>
        <w:tc>
          <w:tcPr>
            <w:tcW w:w="1391" w:type="dxa"/>
            <w:vAlign w:val="center"/>
          </w:tcPr>
          <w:p w14:paraId="30CAF904" w14:textId="58198A15"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Low</w:t>
            </w:r>
          </w:p>
        </w:tc>
      </w:tr>
      <w:tr w:rsidR="004B4DD1" w:rsidRPr="004B4DD1" w14:paraId="46F29799" w14:textId="77777777" w:rsidTr="004B4DD1">
        <w:tc>
          <w:tcPr>
            <w:tcW w:w="1481" w:type="dxa"/>
            <w:vAlign w:val="center"/>
          </w:tcPr>
          <w:p w14:paraId="5BBB73E3" w14:textId="66D325F6"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Carrots</w:t>
            </w:r>
          </w:p>
        </w:tc>
        <w:tc>
          <w:tcPr>
            <w:tcW w:w="1189" w:type="dxa"/>
            <w:vAlign w:val="center"/>
          </w:tcPr>
          <w:p w14:paraId="4159A767" w14:textId="4D644281"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65</w:t>
            </w:r>
          </w:p>
        </w:tc>
        <w:tc>
          <w:tcPr>
            <w:tcW w:w="1436" w:type="dxa"/>
            <w:vAlign w:val="center"/>
          </w:tcPr>
          <w:p w14:paraId="2777EF63" w14:textId="1A583D89"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9</w:t>
            </w:r>
          </w:p>
        </w:tc>
        <w:tc>
          <w:tcPr>
            <w:tcW w:w="1134" w:type="dxa"/>
            <w:vAlign w:val="center"/>
          </w:tcPr>
          <w:p w14:paraId="3F27820E" w14:textId="463D6F1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19</w:t>
            </w:r>
          </w:p>
        </w:tc>
        <w:tc>
          <w:tcPr>
            <w:tcW w:w="2385" w:type="dxa"/>
            <w:vAlign w:val="center"/>
          </w:tcPr>
          <w:p w14:paraId="69B52BCC" w14:textId="3DDC63CF"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Linuron, Trifluralin</w:t>
            </w:r>
          </w:p>
        </w:tc>
        <w:tc>
          <w:tcPr>
            <w:tcW w:w="1391" w:type="dxa"/>
            <w:vAlign w:val="center"/>
          </w:tcPr>
          <w:p w14:paraId="665E33B5" w14:textId="4AEDBF7C" w:rsidR="004B4DD1" w:rsidRPr="004B4DD1" w:rsidRDefault="004B4DD1" w:rsidP="004B4DD1">
            <w:pPr>
              <w:spacing w:line="276" w:lineRule="auto"/>
              <w:jc w:val="center"/>
              <w:rPr>
                <w:rFonts w:ascii="Times New Roman" w:hAnsi="Times New Roman" w:cs="Times New Roman"/>
                <w:sz w:val="24"/>
                <w:szCs w:val="24"/>
              </w:rPr>
            </w:pPr>
            <w:r w:rsidRPr="004B4DD1">
              <w:rPr>
                <w:rFonts w:ascii="Times New Roman" w:hAnsi="Times New Roman" w:cs="Times New Roman"/>
                <w:sz w:val="24"/>
                <w:szCs w:val="24"/>
              </w:rPr>
              <w:t>Low</w:t>
            </w:r>
          </w:p>
        </w:tc>
      </w:tr>
    </w:tbl>
    <w:p w14:paraId="7E102086" w14:textId="77777777" w:rsidR="004B4DD1" w:rsidRPr="004B4DD1" w:rsidRDefault="004B4DD1" w:rsidP="004B4DD1">
      <w:pPr>
        <w:spacing w:line="360" w:lineRule="auto"/>
        <w:jc w:val="both"/>
        <w:rPr>
          <w:rFonts w:ascii="Times New Roman" w:hAnsi="Times New Roman" w:cs="Times New Roman"/>
          <w:sz w:val="24"/>
          <w:szCs w:val="24"/>
        </w:rPr>
      </w:pPr>
    </w:p>
    <w:p w14:paraId="4BBCBC00"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4.2 Health Risk Assessment and Dietary Exposure</w:t>
      </w:r>
    </w:p>
    <w:p w14:paraId="228527A4"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Dietary exposure to pesticide residues represents the primary route of exposure for the general population, with fruits and vegetables serving as the predominant source due to their direct consumption patterns and relatively high residue levels. Risk assessment methodologies employ both acute and chronic exposure scenarios to evaluate potential health impacts, considering factors such as residue levels, consumption patterns, body weight, and toxicological endpoints.</w:t>
      </w:r>
    </w:p>
    <w:p w14:paraId="0251EB10"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Acute dietary risk assessment focuses on short-term exposure scenarios where individuals consume foods with relatively high residue levels. Studies evaluating acute exposure risks have identified specific crop-pesticide combinations that may pose unacceptable risks, particularly for children who consume proportionally more food relative to their body weight. For example, </w:t>
      </w:r>
      <w:r w:rsidRPr="004B4DD1">
        <w:rPr>
          <w:rFonts w:ascii="Times New Roman" w:hAnsi="Times New Roman" w:cs="Times New Roman"/>
          <w:sz w:val="24"/>
          <w:szCs w:val="24"/>
        </w:rPr>
        <w:lastRenderedPageBreak/>
        <w:t>lambda-cyhalothrin residues in spinach can result in exposures exceeding the acute reference dose by 150% for children consuming typical portions.</w:t>
      </w:r>
    </w:p>
    <w:p w14:paraId="4EB5E515"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Chronic dietary risk assessment examines long-term cumulative exposure across all foods and pesticides, considering the potential for additive or synergistic effects. The complexity of this assessment has increased with recognition that consumers are simultaneously exposed to multiple pesticides through their diet, and that these compounds may interact to produce effects greater than the sum of individual exposures. The average consumer is exposed to residues from 10-15 different pesticides daily through normal dietary intake.</w:t>
      </w:r>
    </w:p>
    <w:p w14:paraId="43A9E63F"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Current regulatory approaches primarily evaluate single pesticide-crop combinations, potentially underestimating risks from multiple residue exposure. Cumulative risk assessment methodologies are being developed to address these concerns, but implementation remains limited. Studies using these approaches suggest that current safety assessments may underestimate actual health risks by </w:t>
      </w:r>
      <w:proofErr w:type="gramStart"/>
      <w:r w:rsidRPr="004B4DD1">
        <w:rPr>
          <w:rFonts w:ascii="Times New Roman" w:hAnsi="Times New Roman" w:cs="Times New Roman"/>
          <w:sz w:val="24"/>
          <w:szCs w:val="24"/>
        </w:rPr>
        <w:t>2-5 fold</w:t>
      </w:r>
      <w:proofErr w:type="gramEnd"/>
      <w:r w:rsidRPr="004B4DD1">
        <w:rPr>
          <w:rFonts w:ascii="Times New Roman" w:hAnsi="Times New Roman" w:cs="Times New Roman"/>
          <w:sz w:val="24"/>
          <w:szCs w:val="24"/>
        </w:rPr>
        <w:t xml:space="preserve"> for certain pesticide classes.</w:t>
      </w:r>
    </w:p>
    <w:p w14:paraId="67F2D3A1"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4.3 Regulatory Frameworks and Maximum Residue Limits</w:t>
      </w:r>
    </w:p>
    <w:p w14:paraId="69ADB209" w14:textId="466EB4FE"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Maximum Residue Limits (MRLs) represent the cornerstone of food safety regulation for pesticides, establishing the highest concentration of a pesticide residue legally permitted in food commodities. These limits are established through comprehensive risk assessment processes that consider toxicological data, agricultural use patterns, consumption data, and analytical capabilities. The Codex Alimentarius Commission, a joint FAO/WHO food standards body, develops internationally harmonized MRLs that serve as reference standards for global food trade</w:t>
      </w:r>
      <w:r w:rsidR="00257C37">
        <w:rPr>
          <w:rFonts w:ascii="Times New Roman" w:hAnsi="Times New Roman" w:cs="Times New Roman"/>
          <w:sz w:val="24"/>
          <w:szCs w:val="24"/>
        </w:rPr>
        <w:t xml:space="preserve"> (</w:t>
      </w:r>
      <w:r w:rsidR="00257C37" w:rsidRPr="004B4DD1">
        <w:rPr>
          <w:rFonts w:ascii="Times New Roman" w:hAnsi="Times New Roman" w:cs="Times New Roman"/>
          <w:sz w:val="24"/>
          <w:szCs w:val="24"/>
        </w:rPr>
        <w:t>Food and Agriculture Organization &amp; World Health Organization</w:t>
      </w:r>
      <w:r w:rsidR="00257C37">
        <w:rPr>
          <w:rFonts w:ascii="Times New Roman" w:hAnsi="Times New Roman" w:cs="Times New Roman"/>
          <w:sz w:val="24"/>
          <w:szCs w:val="24"/>
        </w:rPr>
        <w:t>, 2014)</w:t>
      </w:r>
      <w:r w:rsidRPr="004B4DD1">
        <w:rPr>
          <w:rFonts w:ascii="Times New Roman" w:hAnsi="Times New Roman" w:cs="Times New Roman"/>
          <w:sz w:val="24"/>
          <w:szCs w:val="24"/>
        </w:rPr>
        <w:t>.</w:t>
      </w:r>
    </w:p>
    <w:p w14:paraId="10457973"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establishment of MRLs involves multiple scientific assessments including: toxicological evaluation to determine acceptable daily intake levels, supervised field trials to characterize residue levels under approved use conditions, processing studies to understand the fate of residues during food preparation and manufacturing, and dietary exposure assessment to ensure that cumulative intake remains below safe levels. This comprehensive approach aims to ensure that MRLs are set at levels that are both safe for consumers and technically achievable through good agricultural practices.</w:t>
      </w:r>
    </w:p>
    <w:p w14:paraId="3D996B90"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Regional differences in MRL standards reflect varying regulatory approaches, agricultural practices, and risk assessment methodologies. The European Union generally maintains some of the most stringent MRL standards globally, with default limits of 0.01 mg/kg for </w:t>
      </w:r>
      <w:r w:rsidRPr="004B4DD1">
        <w:rPr>
          <w:rFonts w:ascii="Times New Roman" w:hAnsi="Times New Roman" w:cs="Times New Roman"/>
          <w:sz w:val="24"/>
          <w:szCs w:val="24"/>
        </w:rPr>
        <w:lastRenderedPageBreak/>
        <w:t>unauthorized pesticide-crop combinations. The United States employs a risk-based approach that may result in higher MRLs based on safety margins and dietary exposure assessments. These differences can create challenges for international trade and may result in food safety incidents when products meeting standards in one region exceed limits in another.</w:t>
      </w:r>
    </w:p>
    <w:p w14:paraId="08936BE5"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Enforcement and monitoring programs vary significantly among countries and regions, affecting the effectiveness of MRL standards in protecting public health. Developed countries typically maintain comprehensive monitoring programs </w:t>
      </w:r>
      <w:proofErr w:type="spellStart"/>
      <w:r w:rsidRPr="004B4DD1">
        <w:rPr>
          <w:rFonts w:ascii="Times New Roman" w:hAnsi="Times New Roman" w:cs="Times New Roman"/>
          <w:sz w:val="24"/>
          <w:szCs w:val="24"/>
        </w:rPr>
        <w:t>analyzing</w:t>
      </w:r>
      <w:proofErr w:type="spellEnd"/>
      <w:r w:rsidRPr="004B4DD1">
        <w:rPr>
          <w:rFonts w:ascii="Times New Roman" w:hAnsi="Times New Roman" w:cs="Times New Roman"/>
          <w:sz w:val="24"/>
          <w:szCs w:val="24"/>
        </w:rPr>
        <w:t xml:space="preserve"> 200-400 pesticides in thousands of food samples annually. Testing capabilities in developing countries may be limited to 20-50 pesticides, potentially missing important contamination patterns.</w:t>
      </w:r>
    </w:p>
    <w:p w14:paraId="1A9EF727"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5. Mitigation Strategies and Sustainable Alternatives</w:t>
      </w:r>
    </w:p>
    <w:p w14:paraId="5F7C472B"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5.1 Integrated Pest Management (IPM) Approaches</w:t>
      </w:r>
    </w:p>
    <w:p w14:paraId="3DC318B5"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Integrated Pest Management represents a holistic approach to pest control that combines multiple strategies to minimize pesticide use while maintaining effective crop protection. IPM emphasizes prevention, monitoring, and the use of biological, cultural, and mechanical controls as primary tactics, with chemical pesticides reserved as a last resort when other methods prove insufficient. This approach has demonstrated significant success in reducing pesticide use by 60% while achieving 75% reductions in environmental impacts compared to conventional practices.</w:t>
      </w:r>
    </w:p>
    <w:p w14:paraId="57E0B63E"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IPM framework incorporates several key components including pest identification and monitoring, establishment of economic thresholds, prevention strategies, and integrated control tactics. Effective monitoring systems enable growers to make informed decisions about when and where pest control interventions are necessary, avoiding unnecessary pesticide applications during periods of low pest pressure or when beneficial organisms are successfully providing natural control services.</w:t>
      </w:r>
    </w:p>
    <w:p w14:paraId="6B3C6791"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Biological control represents a cornerstone of IPM programs, utilizing natural enemies including predators, </w:t>
      </w:r>
      <w:proofErr w:type="spellStart"/>
      <w:r w:rsidRPr="004B4DD1">
        <w:rPr>
          <w:rFonts w:ascii="Times New Roman" w:hAnsi="Times New Roman" w:cs="Times New Roman"/>
          <w:sz w:val="24"/>
          <w:szCs w:val="24"/>
        </w:rPr>
        <w:t>parasitoids</w:t>
      </w:r>
      <w:proofErr w:type="spellEnd"/>
      <w:r w:rsidRPr="004B4DD1">
        <w:rPr>
          <w:rFonts w:ascii="Times New Roman" w:hAnsi="Times New Roman" w:cs="Times New Roman"/>
          <w:sz w:val="24"/>
          <w:szCs w:val="24"/>
        </w:rPr>
        <w:t>, and pathogens to suppress pest populations. These beneficial organisms can be conserved through habitat management practices, augmented through periodic releases, or enhanced through classical biological control programs that establish new natural enemies in agricultural systems. Successful biological control programs can achieve 45% reductions in pesticide use and 65% reductions in environmental impacts.</w:t>
      </w:r>
    </w:p>
    <w:p w14:paraId="3DF1E7C0"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lastRenderedPageBreak/>
        <w:t>Cultural and mechanical control practices within IPM programs include crop rotation, resistant varieties, sanitation practices, and physical barriers that reduce pest establishment and reproduction. Cover cropping has shown particular promise in horticultural systems, reducing pest pressure by 25% while improving soil health and supporting beneficial organisms. The integration of multiple tactics creates more resilient pest management systems that are less susceptible to pest resistance development and environmental disruptions.</w:t>
      </w:r>
    </w:p>
    <w:p w14:paraId="045481AD" w14:textId="2461F0B1" w:rsidR="004B4DD1" w:rsidRPr="004B4DD1" w:rsidRDefault="004B4DD1" w:rsidP="004B4DD1">
      <w:pPr>
        <w:spacing w:line="360" w:lineRule="auto"/>
        <w:jc w:val="both"/>
        <w:rPr>
          <w:rFonts w:ascii="Times New Roman" w:hAnsi="Times New Roman" w:cs="Times New Roman"/>
          <w:sz w:val="24"/>
          <w:szCs w:val="24"/>
        </w:rPr>
      </w:pPr>
      <w:r>
        <w:rPr>
          <w:noProof/>
        </w:rPr>
        <w:drawing>
          <wp:inline distT="0" distB="0" distL="0" distR="0" wp14:anchorId="68D2E2F1" wp14:editId="6E0EE029">
            <wp:extent cx="5731510" cy="3820795"/>
            <wp:effectExtent l="0" t="0" r="2540" b="8255"/>
            <wp:docPr id="134624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D749F72" w14:textId="567D9278"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 xml:space="preserve">Fig. </w:t>
      </w:r>
      <w:r w:rsidR="006F5A80">
        <w:rPr>
          <w:rFonts w:ascii="Times New Roman" w:hAnsi="Times New Roman" w:cs="Times New Roman"/>
          <w:b/>
          <w:bCs/>
          <w:sz w:val="24"/>
          <w:szCs w:val="24"/>
        </w:rPr>
        <w:t>3</w:t>
      </w:r>
      <w:r w:rsidRPr="004B4DD1">
        <w:rPr>
          <w:rFonts w:ascii="Times New Roman" w:hAnsi="Times New Roman" w:cs="Times New Roman"/>
          <w:b/>
          <w:bCs/>
          <w:sz w:val="24"/>
          <w:szCs w:val="24"/>
        </w:rPr>
        <w:t>: Effectiveness of Mitigation Strategies in Reducing Pesticide Use and Environmental Impacts</w:t>
      </w:r>
    </w:p>
    <w:p w14:paraId="3E15A06C"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5.2 Organic Farming Systems and Natural Alternatives</w:t>
      </w:r>
    </w:p>
    <w:p w14:paraId="5EB81810"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Organic farming represents the most comprehensive approach to pesticide reduction, achieving 95% reductions in synthetic pesticide use and 85% reductions in environmental impacts through the adoption of biological and natural control methods. Organic certification standards restrict the use of synthetic pesticides while permitting certain naturally derived compounds that meet specific criteria for environmental compatibility and human safety.</w:t>
      </w:r>
    </w:p>
    <w:p w14:paraId="667CEE9C"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Natural pesticides used in organic systems include botanical extracts such as neem oil (effective against 200+ insect species) and pyrethrum (providing broad-spectrum insect control), microbial agents including Bacillus thuringiensis (highly selective for lepidopteran larvae), </w:t>
      </w:r>
      <w:r w:rsidRPr="004B4DD1">
        <w:rPr>
          <w:rFonts w:ascii="Times New Roman" w:hAnsi="Times New Roman" w:cs="Times New Roman"/>
          <w:sz w:val="24"/>
          <w:szCs w:val="24"/>
        </w:rPr>
        <w:lastRenderedPageBreak/>
        <w:t xml:space="preserve">mineral compounds such as </w:t>
      </w:r>
      <w:proofErr w:type="spellStart"/>
      <w:r w:rsidRPr="004B4DD1">
        <w:rPr>
          <w:rFonts w:ascii="Times New Roman" w:hAnsi="Times New Roman" w:cs="Times New Roman"/>
          <w:sz w:val="24"/>
          <w:szCs w:val="24"/>
        </w:rPr>
        <w:t>sulfur</w:t>
      </w:r>
      <w:proofErr w:type="spellEnd"/>
      <w:r w:rsidRPr="004B4DD1">
        <w:rPr>
          <w:rFonts w:ascii="Times New Roman" w:hAnsi="Times New Roman" w:cs="Times New Roman"/>
          <w:sz w:val="24"/>
          <w:szCs w:val="24"/>
        </w:rPr>
        <w:t xml:space="preserve"> (effective against fungal diseases and some insects) and copper (broad-spectrum fungicide), and natural pheromones for mating disruption. These materials generally exhibit lower persistence, reduced toxicity to non-target organisms, and minimal residue accumulation compared to synthetic alternatives.</w:t>
      </w:r>
    </w:p>
    <w:p w14:paraId="20758373"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The effectiveness of organic pest management depends heavily on system design principles that emphasize biodiversity, soil health, and ecological balance. Diverse cropping systems, habitat conservation areas, and integrated livestock operations create complex ecosystems that support natural pest suppression mechanisms. Organic farms typically maintain 30% higher biodiversity levels compared to conventional systems, with beneficial arthropod populations 50% higher on average.</w:t>
      </w:r>
    </w:p>
    <w:p w14:paraId="64A7180A"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Economic considerations represent both challenges and opportunities for organic production systems. While organic methods may require 20-30% higher </w:t>
      </w:r>
      <w:proofErr w:type="spellStart"/>
      <w:r w:rsidRPr="004B4DD1">
        <w:rPr>
          <w:rFonts w:ascii="Times New Roman" w:hAnsi="Times New Roman" w:cs="Times New Roman"/>
          <w:sz w:val="24"/>
          <w:szCs w:val="24"/>
        </w:rPr>
        <w:t>labor</w:t>
      </w:r>
      <w:proofErr w:type="spellEnd"/>
      <w:r w:rsidRPr="004B4DD1">
        <w:rPr>
          <w:rFonts w:ascii="Times New Roman" w:hAnsi="Times New Roman" w:cs="Times New Roman"/>
          <w:sz w:val="24"/>
          <w:szCs w:val="24"/>
        </w:rPr>
        <w:t xml:space="preserve"> inputs and specialized knowledge, premium market prices for organic products often provide economic incentives for adoption, with price premiums ranging from 20-40% for most horticultural crops. Additionally, the reduction in input costs for synthetic pesticides and fertilizers can improve long-term profitability, with cost savings of $200-500 per hectare annually.</w:t>
      </w:r>
    </w:p>
    <w:p w14:paraId="7952136B"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t>5.3 Bioremediation and Environmental Restoration</w:t>
      </w:r>
    </w:p>
    <w:p w14:paraId="5CBFDD44"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Bioremediation technologies offer promising approaches for addressing existing pesticide contamination in agricultural soils and water resources. These biological treatment methods utilize naturally occurring microorganisms to degrade pesticide residues into less harmful compounds, providing cost-effective and environmentally sustainable alternatives to physical and chemical treatment approaches. Bioremediation costs typically range from $50-200 per cubic meter of contaminated soil, compared to $500-2000 per cubic meter for physical and chemical treatment methods.</w:t>
      </w:r>
    </w:p>
    <w:p w14:paraId="3AE9403C"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 xml:space="preserve">Natural attenuation relies on indigenous soil microorganisms to degrade pesticide residues over time, while </w:t>
      </w:r>
      <w:proofErr w:type="spellStart"/>
      <w:r w:rsidRPr="004B4DD1">
        <w:rPr>
          <w:rFonts w:ascii="Times New Roman" w:hAnsi="Times New Roman" w:cs="Times New Roman"/>
          <w:sz w:val="24"/>
          <w:szCs w:val="24"/>
        </w:rPr>
        <w:t>biostimulation</w:t>
      </w:r>
      <w:proofErr w:type="spellEnd"/>
      <w:r w:rsidRPr="004B4DD1">
        <w:rPr>
          <w:rFonts w:ascii="Times New Roman" w:hAnsi="Times New Roman" w:cs="Times New Roman"/>
          <w:sz w:val="24"/>
          <w:szCs w:val="24"/>
        </w:rPr>
        <w:t xml:space="preserve"> enhances this process through the addition of nutrients and optimal environmental conditions. Bioaugmentation involves the introduction of specialized microbial strains or consortia with enhanced degradation capabilities for specific pesticide compounds. Research has demonstrated that bioaugmentation combined with </w:t>
      </w:r>
      <w:proofErr w:type="spellStart"/>
      <w:r w:rsidRPr="004B4DD1">
        <w:rPr>
          <w:rFonts w:ascii="Times New Roman" w:hAnsi="Times New Roman" w:cs="Times New Roman"/>
          <w:sz w:val="24"/>
          <w:szCs w:val="24"/>
        </w:rPr>
        <w:t>biostimulation</w:t>
      </w:r>
      <w:proofErr w:type="spellEnd"/>
      <w:r w:rsidRPr="004B4DD1">
        <w:rPr>
          <w:rFonts w:ascii="Times New Roman" w:hAnsi="Times New Roman" w:cs="Times New Roman"/>
          <w:sz w:val="24"/>
          <w:szCs w:val="24"/>
        </w:rPr>
        <w:t xml:space="preserve"> can achieve complete removal of persistent pesticides such as atrazine within 35 days, compared to 2-3 years for natural attenuation alone.</w:t>
      </w:r>
    </w:p>
    <w:p w14:paraId="66CBC997" w14:textId="77777777" w:rsidR="004B4DD1" w:rsidRP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lastRenderedPageBreak/>
        <w:t>Composting and landfarming techniques provide ex-situ treatment options for heavily contaminated soils, utilizing controlled aerobic conditions and organic amendments to enhance microbial degradation processes. These approaches can achieve 90-99% reductions in pesticide concentrations while improving soil physical and chemical properties. The addition of organic amendments such as compost (reducing bioavailability by 60-80%), biochar (providing sorption sites and microbial habitat), and other organic materials can reduce pesticide bioavailability and support beneficial microbial communities.</w:t>
      </w:r>
    </w:p>
    <w:p w14:paraId="5E278355" w14:textId="77777777" w:rsidR="004B4DD1" w:rsidRDefault="004B4DD1" w:rsidP="004B4DD1">
      <w:pPr>
        <w:spacing w:line="360" w:lineRule="auto"/>
        <w:jc w:val="both"/>
        <w:rPr>
          <w:rFonts w:ascii="Times New Roman" w:hAnsi="Times New Roman" w:cs="Times New Roman"/>
          <w:sz w:val="24"/>
          <w:szCs w:val="24"/>
        </w:rPr>
      </w:pPr>
      <w:r w:rsidRPr="004B4DD1">
        <w:rPr>
          <w:rFonts w:ascii="Times New Roman" w:hAnsi="Times New Roman" w:cs="Times New Roman"/>
          <w:sz w:val="24"/>
          <w:szCs w:val="24"/>
        </w:rPr>
        <w:t>Phytoremediation approaches utilize plants to extract, immobilize, or degrade pesticide contaminants from soil and water systems. Certain plant species such as willows, poplars, and sunflowers demonstrate enhanced uptake of specific pesticides, allowing for gradual removal of contamination through repeated harvest cycles. Constructed wetlands have shown particular success in treating pesticide-contaminated agricultural runoff, achieving 70-95% removal efficiencies for most pesticide classes.</w:t>
      </w:r>
    </w:p>
    <w:p w14:paraId="348F77EF" w14:textId="77777777" w:rsidR="006F5A80" w:rsidRPr="006F5A80" w:rsidRDefault="006F5A80" w:rsidP="006F5A80">
      <w:pPr>
        <w:spacing w:line="360" w:lineRule="auto"/>
        <w:jc w:val="both"/>
        <w:rPr>
          <w:rFonts w:ascii="Times New Roman" w:hAnsi="Times New Roman" w:cs="Times New Roman"/>
          <w:b/>
          <w:bCs/>
          <w:sz w:val="24"/>
          <w:szCs w:val="24"/>
        </w:rPr>
      </w:pPr>
      <w:r w:rsidRPr="006F5A80">
        <w:rPr>
          <w:rFonts w:ascii="Times New Roman" w:hAnsi="Times New Roman" w:cs="Times New Roman"/>
          <w:b/>
          <w:bCs/>
          <w:sz w:val="24"/>
          <w:szCs w:val="24"/>
        </w:rPr>
        <w:t>6. Future Research Directions and Emerging Technologies</w:t>
      </w:r>
    </w:p>
    <w:p w14:paraId="7EF8DF8E" w14:textId="77777777" w:rsidR="006F5A80" w:rsidRPr="006F5A80" w:rsidRDefault="006F5A80" w:rsidP="006F5A80">
      <w:pPr>
        <w:spacing w:line="360" w:lineRule="auto"/>
        <w:jc w:val="both"/>
        <w:rPr>
          <w:rFonts w:ascii="Times New Roman" w:hAnsi="Times New Roman" w:cs="Times New Roman"/>
          <w:b/>
          <w:bCs/>
          <w:sz w:val="24"/>
          <w:szCs w:val="24"/>
        </w:rPr>
      </w:pPr>
      <w:r w:rsidRPr="006F5A80">
        <w:rPr>
          <w:rFonts w:ascii="Times New Roman" w:hAnsi="Times New Roman" w:cs="Times New Roman"/>
          <w:b/>
          <w:bCs/>
          <w:sz w:val="24"/>
          <w:szCs w:val="24"/>
        </w:rPr>
        <w:t>6.1 Precision Agriculture and Smart Application Technologies</w:t>
      </w:r>
    </w:p>
    <w:p w14:paraId="2CA536F9"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Precision agriculture technologies offer significant opportunities for reducing pesticide use through more targeted and efficient application methods. GPS-guided application equipment, variable rate technology, and sensor-based detection systems enable growers to apply pesticides only where and when needed, reducing overall use while maintaining effective pest control. These technologies can achieve 35% reductions in pesticide use and 50% reductions in environmental impacts through improved application precision and timing.</w:t>
      </w:r>
    </w:p>
    <w:p w14:paraId="3ACD4F34"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Remote sensing technologies including satellite imagery, drone-based sensors, and ground-based monitoring systems provide real-time information about crop health, pest presence, and environmental conditions that inform pesticide application decisions. Multispectral and hyperspectral imaging can detect pest infestations 7-14 days before visual symptoms appear, enabling earlier intervention when pests are most vulnerable to control measures. Machine learning algorithms are being developed to automatically identify pest hotspots and recommend targeted treatment strategies.</w:t>
      </w:r>
    </w:p>
    <w:p w14:paraId="2E6196D1"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 xml:space="preserve">Artificial intelligence and machine learning applications are revolutionizing pest prediction and management decision-making. Predictive models incorporating weather data, crop phenology, and historical pest pressure can forecast outbreak probability with 85-90% accuracy, enabling </w:t>
      </w:r>
      <w:r w:rsidRPr="006F5A80">
        <w:rPr>
          <w:rFonts w:ascii="Times New Roman" w:hAnsi="Times New Roman" w:cs="Times New Roman"/>
          <w:sz w:val="24"/>
          <w:szCs w:val="24"/>
        </w:rPr>
        <w:lastRenderedPageBreak/>
        <w:t>proactive management strategies. Mobile applications are being developed to provide real-time pest identification, treatment recommendations, and application timing guidance to growers in the field.</w:t>
      </w:r>
    </w:p>
    <w:p w14:paraId="695C1138"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Nanotechnology applications in pesticide delivery systems offer potential for improved efficacy and reduced environmental impact. Nano-encapsulated pesticides can provide controlled release, targeted delivery, and protection from degradation, potentially reducing application rates by 50-80% while maintaining or improving efficacy. However, the environmental fate and safety of nanomaterials require extensive research before widespread adoption.</w:t>
      </w:r>
    </w:p>
    <w:p w14:paraId="0C0D6FFB" w14:textId="77777777" w:rsidR="006F5A80" w:rsidRPr="006F5A80" w:rsidRDefault="006F5A80" w:rsidP="006F5A80">
      <w:pPr>
        <w:spacing w:line="360" w:lineRule="auto"/>
        <w:jc w:val="both"/>
        <w:rPr>
          <w:rFonts w:ascii="Times New Roman" w:hAnsi="Times New Roman" w:cs="Times New Roman"/>
          <w:b/>
          <w:bCs/>
          <w:sz w:val="24"/>
          <w:szCs w:val="24"/>
        </w:rPr>
      </w:pPr>
      <w:r w:rsidRPr="006F5A80">
        <w:rPr>
          <w:rFonts w:ascii="Times New Roman" w:hAnsi="Times New Roman" w:cs="Times New Roman"/>
          <w:b/>
          <w:bCs/>
          <w:sz w:val="24"/>
          <w:szCs w:val="24"/>
        </w:rPr>
        <w:t>6.2 Biopesticides and Novel Biological Control Agents</w:t>
      </w:r>
    </w:p>
    <w:p w14:paraId="7A8DB377"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Biopesticides represent a rapidly growing segment of the crop protection market, with annual growth rates of 15-20% compared to 2-3% for synthetic pesticides. These products, derived from naturally occurring substances including microorganisms, plants, and other biological materials, offer advantages including reduced environmental persistence, lower toxicity to non-target organisms, and novel modes of action that can overcome pesticide resistance.</w:t>
      </w:r>
    </w:p>
    <w:p w14:paraId="6CFE1891"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Microbial biopesticides based on bacteria, fungi, and viruses show particular promise for sustainable pest control. Bacillus thuringiensis-based products have been used successfully for decades, while newer developments include entomopathogenic fungi (such as Beauveria bassiana and Metarhizium anisopliae) that provide broad-spectrum insect control with minimal environmental impact. Viral biopesticides offer highly specific control of target pests with no effects on beneficial organisms.</w:t>
      </w:r>
    </w:p>
    <w:p w14:paraId="3147D76C" w14:textId="77777777" w:rsidR="006F5A80" w:rsidRPr="006F5A80"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RNA interference (RNAi) technology represents a revolutionary approach to pest control, utilizing double-stranded RNA molecules to silence essential genes in target pests. This technology can provide species-specific control with no effects on non-target organisms, and resistance development is less likely due to the fundamental nature of the molecular targets. Field trials have demonstrated 80-95% control efficacy against major pest species.</w:t>
      </w:r>
    </w:p>
    <w:p w14:paraId="1EB2BD92" w14:textId="642C6B94" w:rsidR="006F5A80" w:rsidRPr="004B4DD1" w:rsidRDefault="006F5A80" w:rsidP="006F5A80">
      <w:pPr>
        <w:spacing w:line="360" w:lineRule="auto"/>
        <w:jc w:val="both"/>
        <w:rPr>
          <w:rFonts w:ascii="Times New Roman" w:hAnsi="Times New Roman" w:cs="Times New Roman"/>
          <w:sz w:val="24"/>
          <w:szCs w:val="24"/>
        </w:rPr>
      </w:pPr>
      <w:r w:rsidRPr="006F5A80">
        <w:rPr>
          <w:rFonts w:ascii="Times New Roman" w:hAnsi="Times New Roman" w:cs="Times New Roman"/>
          <w:sz w:val="24"/>
          <w:szCs w:val="24"/>
        </w:rPr>
        <w:t>Pheromone-based control methods continue to evolve beyond traditional mating disruption applications. Attract-and-kill systems combine pheromone attractants with lethal agents, while push-pull strategies use repellent crops to drive pests toward attractive trap crops treated with biological or reduced-risk pesticides. These approaches can achieve 60-85% pest control while reducing pesticide use by 70-90%.</w:t>
      </w:r>
    </w:p>
    <w:p w14:paraId="31BF3911" w14:textId="77777777" w:rsidR="004B4DD1" w:rsidRPr="004B4DD1" w:rsidRDefault="004B4DD1" w:rsidP="004B4DD1">
      <w:pPr>
        <w:spacing w:line="360" w:lineRule="auto"/>
        <w:jc w:val="both"/>
        <w:rPr>
          <w:rFonts w:ascii="Times New Roman" w:hAnsi="Times New Roman" w:cs="Times New Roman"/>
          <w:b/>
          <w:bCs/>
          <w:sz w:val="24"/>
          <w:szCs w:val="24"/>
        </w:rPr>
      </w:pPr>
      <w:r w:rsidRPr="004B4DD1">
        <w:rPr>
          <w:rFonts w:ascii="Times New Roman" w:hAnsi="Times New Roman" w:cs="Times New Roman"/>
          <w:b/>
          <w:bCs/>
          <w:sz w:val="24"/>
          <w:szCs w:val="24"/>
        </w:rPr>
        <w:lastRenderedPageBreak/>
        <w:t>7. Conclusion</w:t>
      </w:r>
    </w:p>
    <w:p w14:paraId="223F7AA1" w14:textId="474C6D74" w:rsidR="00523406" w:rsidRDefault="00523406" w:rsidP="00523406">
      <w:pPr>
        <w:spacing w:line="360" w:lineRule="auto"/>
        <w:jc w:val="both"/>
        <w:rPr>
          <w:rFonts w:ascii="Times New Roman" w:hAnsi="Times New Roman" w:cs="Times New Roman"/>
          <w:sz w:val="24"/>
          <w:szCs w:val="24"/>
        </w:rPr>
      </w:pPr>
      <w:r w:rsidRPr="00523406">
        <w:rPr>
          <w:rFonts w:ascii="Times New Roman" w:hAnsi="Times New Roman" w:cs="Times New Roman"/>
          <w:sz w:val="24"/>
          <w:szCs w:val="24"/>
        </w:rPr>
        <w:t>The environmental and health impacts of pesticide use in horticultural systems represent multifaceted challenges requiring comprehensive and evidence-based management strategies. Current data indicate extensive contamination of environmental matrices, with detection frequencies exceeding 75% in soil, water, and plant tissues. Epidemiological evidence consistently links pesticide exposure to cancer, neurodegenerative disorders, and reproductive dysfunction, while vulnerable groups such as children, farmworkers, and communities near production zones remain disproportionately affected. Furthermore, the occurrence of multiple residues in food commodities, with over one-third of samples surpassing established safety thresholds, underscores gaps in current monitoring and regulatory frameworks. The continued detection of banned organochlorine compounds highlights the persistence and long-term consequences of historical pesticide use.</w:t>
      </w:r>
      <w:r>
        <w:rPr>
          <w:rFonts w:ascii="Times New Roman" w:hAnsi="Times New Roman" w:cs="Times New Roman"/>
          <w:sz w:val="24"/>
          <w:szCs w:val="24"/>
        </w:rPr>
        <w:t xml:space="preserve"> </w:t>
      </w:r>
      <w:r w:rsidRPr="00523406">
        <w:rPr>
          <w:rFonts w:ascii="Times New Roman" w:hAnsi="Times New Roman" w:cs="Times New Roman"/>
          <w:sz w:val="24"/>
          <w:szCs w:val="24"/>
        </w:rPr>
        <w:t>The economic implications are considerable, with healthcare costs exceeding $10 billion annually, remediation costs reaching $5–8 billion, and additional losses from pollinator decline and biodiversity reduction. However, these externalities are rarely internalized within agricultural markets. Promising mitigation strategies—Integrated Pest Management, organic farming, and precision agriculture—have demonstrated 25–95% reductions in pesticide use and 40–85% reductions in environmental impacts, validating their feasibility. Transitioning toward sustainable pest management requires policy support, targeted incentives, and capacity-building. Future regulatory frameworks must incorporate cumulative exposure, climate change impacts, and ecosystem-level assessments to ensure resilient, safe, and sustainable horticultural production systems.</w:t>
      </w:r>
    </w:p>
    <w:p w14:paraId="329F6AFC" w14:textId="77777777" w:rsidR="000A673A" w:rsidRPr="009F7E7F" w:rsidRDefault="000A673A" w:rsidP="000A673A">
      <w:pPr>
        <w:spacing w:line="360" w:lineRule="auto"/>
        <w:jc w:val="both"/>
        <w:rPr>
          <w:rFonts w:ascii="Times New Roman" w:hAnsi="Times New Roman" w:cs="Times New Roman"/>
          <w:sz w:val="24"/>
          <w:szCs w:val="24"/>
        </w:rPr>
      </w:pPr>
      <w:r w:rsidRPr="009F7E7F">
        <w:rPr>
          <w:rFonts w:ascii="Times New Roman" w:hAnsi="Times New Roman" w:cs="Times New Roman"/>
          <w:b/>
          <w:bCs/>
          <w:sz w:val="24"/>
          <w:szCs w:val="24"/>
        </w:rPr>
        <w:t>DISCLAIMER (ARTIFICIAL INTELLIGENCE)</w:t>
      </w:r>
    </w:p>
    <w:p w14:paraId="28D80E4E" w14:textId="77777777" w:rsidR="000A673A" w:rsidRDefault="000A673A" w:rsidP="000A673A">
      <w:pPr>
        <w:spacing w:line="360" w:lineRule="auto"/>
        <w:jc w:val="both"/>
        <w:rPr>
          <w:rFonts w:ascii="Times New Roman" w:hAnsi="Times New Roman" w:cs="Times New Roman"/>
          <w:sz w:val="24"/>
          <w:szCs w:val="24"/>
        </w:rPr>
      </w:pPr>
      <w:r w:rsidRPr="009F7E7F">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this manuscript.</w:t>
      </w:r>
    </w:p>
    <w:p w14:paraId="10D043F8" w14:textId="77777777" w:rsidR="000E54BD" w:rsidRPr="003A29C6" w:rsidRDefault="000E54BD" w:rsidP="000E54BD">
      <w:pPr>
        <w:jc w:val="both"/>
        <w:outlineLvl w:val="0"/>
        <w:rPr>
          <w:rFonts w:ascii="Arial" w:hAnsi="Arial" w:cs="Arial"/>
        </w:rPr>
      </w:pPr>
      <w:r w:rsidRPr="003A29C6">
        <w:rPr>
          <w:rFonts w:ascii="Arial" w:hAnsi="Arial" w:cs="Arial"/>
          <w:b/>
          <w:bCs/>
        </w:rPr>
        <w:t>COMPETING INTERESTS DISCLAIMER:</w:t>
      </w:r>
    </w:p>
    <w:p w14:paraId="20CC3492" w14:textId="77777777" w:rsidR="000E54BD" w:rsidRDefault="000E54BD" w:rsidP="000E54BD">
      <w:r w:rsidRPr="00A10EDE">
        <w:t>Authors have declared that they have no known competing financial interests OR non-financial interests OR personal relationships that could have appeared to influence the work reported in this paper.</w:t>
      </w:r>
    </w:p>
    <w:p w14:paraId="550996B6" w14:textId="77777777" w:rsidR="000E54BD" w:rsidRDefault="000E54BD" w:rsidP="000E54BD"/>
    <w:p w14:paraId="6BE79D81" w14:textId="77777777" w:rsidR="000E54BD" w:rsidRDefault="000E54BD" w:rsidP="000E54BD"/>
    <w:p w14:paraId="059DC662" w14:textId="77777777" w:rsidR="000E54BD" w:rsidRDefault="000E54BD" w:rsidP="000A673A">
      <w:pPr>
        <w:spacing w:line="360" w:lineRule="auto"/>
        <w:jc w:val="both"/>
        <w:rPr>
          <w:rFonts w:ascii="Times New Roman" w:hAnsi="Times New Roman" w:cs="Times New Roman"/>
          <w:sz w:val="24"/>
          <w:szCs w:val="24"/>
        </w:rPr>
      </w:pPr>
    </w:p>
    <w:p w14:paraId="1CC8CF68" w14:textId="77777777" w:rsidR="004B4DD1" w:rsidRPr="00523406" w:rsidRDefault="004B4DD1" w:rsidP="004B4DD1">
      <w:pPr>
        <w:spacing w:line="360" w:lineRule="auto"/>
        <w:jc w:val="both"/>
        <w:rPr>
          <w:rFonts w:ascii="Times New Roman" w:hAnsi="Times New Roman" w:cs="Times New Roman"/>
          <w:b/>
          <w:bCs/>
          <w:sz w:val="24"/>
          <w:szCs w:val="24"/>
        </w:rPr>
      </w:pPr>
      <w:r w:rsidRPr="00523406">
        <w:rPr>
          <w:rFonts w:ascii="Times New Roman" w:hAnsi="Times New Roman" w:cs="Times New Roman"/>
          <w:b/>
          <w:bCs/>
          <w:sz w:val="24"/>
          <w:szCs w:val="24"/>
        </w:rPr>
        <w:lastRenderedPageBreak/>
        <w:t>References</w:t>
      </w:r>
    </w:p>
    <w:p w14:paraId="335A83C6" w14:textId="2B3609A1"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Aktar, M. W., Sengupta, D., &amp; Chowdhury, A. (2009). Impact of pesticides use in agriculture: Their benefits and hazards. Interdisciplinary Toxicology, 2(1), 1-12. </w:t>
      </w:r>
      <w:hyperlink r:id="rId10" w:history="1">
        <w:r w:rsidRPr="00A510E3">
          <w:rPr>
            <w:rStyle w:val="Hyperlink"/>
            <w:rFonts w:ascii="Times New Roman" w:hAnsi="Times New Roman" w:cs="Times New Roman"/>
            <w:sz w:val="24"/>
            <w:szCs w:val="24"/>
          </w:rPr>
          <w:t>https://doi.org/10.2478/v10102-009-0001-7</w:t>
        </w:r>
      </w:hyperlink>
      <w:r w:rsidRPr="00A510E3">
        <w:rPr>
          <w:rFonts w:ascii="Times New Roman" w:hAnsi="Times New Roman" w:cs="Times New Roman"/>
          <w:sz w:val="24"/>
          <w:szCs w:val="24"/>
        </w:rPr>
        <w:t xml:space="preserve"> </w:t>
      </w:r>
    </w:p>
    <w:p w14:paraId="327DFEE0" w14:textId="5EC28ACC" w:rsidR="002214B6" w:rsidRPr="00A510E3" w:rsidRDefault="002214B6" w:rsidP="00A510E3">
      <w:pPr>
        <w:spacing w:line="276" w:lineRule="auto"/>
        <w:jc w:val="both"/>
        <w:rPr>
          <w:rFonts w:ascii="Times New Roman" w:hAnsi="Times New Roman" w:cs="Times New Roman"/>
          <w:sz w:val="24"/>
          <w:szCs w:val="24"/>
        </w:rPr>
      </w:pPr>
      <w:proofErr w:type="spellStart"/>
      <w:r w:rsidRPr="00A510E3">
        <w:rPr>
          <w:rFonts w:ascii="Times New Roman" w:hAnsi="Times New Roman" w:cs="Times New Roman"/>
          <w:sz w:val="24"/>
          <w:szCs w:val="24"/>
        </w:rPr>
        <w:t>Alengebawy</w:t>
      </w:r>
      <w:proofErr w:type="spellEnd"/>
      <w:r w:rsidRPr="00A510E3">
        <w:rPr>
          <w:rFonts w:ascii="Times New Roman" w:hAnsi="Times New Roman" w:cs="Times New Roman"/>
          <w:sz w:val="24"/>
          <w:szCs w:val="24"/>
        </w:rPr>
        <w:t xml:space="preserve">, A., Abdelkhalek, S. T., Qureshi, S. R., &amp; Wang, M. Q. (2021). Heavy metals and pesticides toxicity in agricultural soil and plants: Ecological risks and human health implications. Toxics, 9(3), 42. </w:t>
      </w:r>
      <w:hyperlink r:id="rId11" w:history="1">
        <w:r w:rsidRPr="00A510E3">
          <w:rPr>
            <w:rStyle w:val="Hyperlink"/>
            <w:rFonts w:ascii="Times New Roman" w:hAnsi="Times New Roman" w:cs="Times New Roman"/>
            <w:sz w:val="24"/>
            <w:szCs w:val="24"/>
          </w:rPr>
          <w:t>https://doi.org/10.3390/toxics9030042</w:t>
        </w:r>
      </w:hyperlink>
      <w:r w:rsidRPr="00A510E3">
        <w:rPr>
          <w:rFonts w:ascii="Times New Roman" w:hAnsi="Times New Roman" w:cs="Times New Roman"/>
          <w:sz w:val="24"/>
          <w:szCs w:val="24"/>
        </w:rPr>
        <w:t xml:space="preserve"> </w:t>
      </w:r>
    </w:p>
    <w:p w14:paraId="26A796D7" w14:textId="4132D107" w:rsidR="002214B6" w:rsidRPr="00A510E3" w:rsidRDefault="002214B6" w:rsidP="00A510E3">
      <w:pPr>
        <w:spacing w:line="276" w:lineRule="auto"/>
        <w:jc w:val="both"/>
        <w:rPr>
          <w:rFonts w:ascii="Times New Roman" w:hAnsi="Times New Roman" w:cs="Times New Roman"/>
          <w:sz w:val="24"/>
          <w:szCs w:val="24"/>
        </w:rPr>
      </w:pPr>
      <w:proofErr w:type="spellStart"/>
      <w:r w:rsidRPr="00A510E3">
        <w:rPr>
          <w:rFonts w:ascii="Times New Roman" w:hAnsi="Times New Roman" w:cs="Times New Roman"/>
          <w:sz w:val="24"/>
          <w:szCs w:val="24"/>
        </w:rPr>
        <w:t>Bexfield</w:t>
      </w:r>
      <w:proofErr w:type="spellEnd"/>
      <w:r w:rsidRPr="00A510E3">
        <w:rPr>
          <w:rFonts w:ascii="Times New Roman" w:hAnsi="Times New Roman" w:cs="Times New Roman"/>
          <w:sz w:val="24"/>
          <w:szCs w:val="24"/>
        </w:rPr>
        <w:t xml:space="preserve">, L. M., Belitz, K., Lindsey, B. D., </w:t>
      </w:r>
      <w:proofErr w:type="spellStart"/>
      <w:r w:rsidRPr="00A510E3">
        <w:rPr>
          <w:rFonts w:ascii="Times New Roman" w:hAnsi="Times New Roman" w:cs="Times New Roman"/>
          <w:sz w:val="24"/>
          <w:szCs w:val="24"/>
        </w:rPr>
        <w:t>Toccalino</w:t>
      </w:r>
      <w:proofErr w:type="spellEnd"/>
      <w:r w:rsidRPr="00A510E3">
        <w:rPr>
          <w:rFonts w:ascii="Times New Roman" w:hAnsi="Times New Roman" w:cs="Times New Roman"/>
          <w:sz w:val="24"/>
          <w:szCs w:val="24"/>
        </w:rPr>
        <w:t xml:space="preserve">, P. L., &amp; Nowell, L. H. (2020). Pesticides and pesticide </w:t>
      </w:r>
      <w:proofErr w:type="spellStart"/>
      <w:r w:rsidRPr="00A510E3">
        <w:rPr>
          <w:rFonts w:ascii="Times New Roman" w:hAnsi="Times New Roman" w:cs="Times New Roman"/>
          <w:sz w:val="24"/>
          <w:szCs w:val="24"/>
        </w:rPr>
        <w:t>degradates</w:t>
      </w:r>
      <w:proofErr w:type="spellEnd"/>
      <w:r w:rsidRPr="00A510E3">
        <w:rPr>
          <w:rFonts w:ascii="Times New Roman" w:hAnsi="Times New Roman" w:cs="Times New Roman"/>
          <w:sz w:val="24"/>
          <w:szCs w:val="24"/>
        </w:rPr>
        <w:t xml:space="preserve"> in groundwater used for public drinking supply across the United States: Occurrence and human-health context. Environmental Science &amp; Technology, 55(1), 362-372. </w:t>
      </w:r>
      <w:hyperlink r:id="rId12" w:history="1">
        <w:r w:rsidRPr="00A510E3">
          <w:rPr>
            <w:rStyle w:val="Hyperlink"/>
            <w:rFonts w:ascii="Times New Roman" w:hAnsi="Times New Roman" w:cs="Times New Roman"/>
            <w:sz w:val="24"/>
            <w:szCs w:val="24"/>
          </w:rPr>
          <w:t>https://doi.org/10.1021/acs.est.0c05793</w:t>
        </w:r>
      </w:hyperlink>
      <w:r w:rsidRPr="00A510E3">
        <w:rPr>
          <w:rFonts w:ascii="Times New Roman" w:hAnsi="Times New Roman" w:cs="Times New Roman"/>
          <w:sz w:val="24"/>
          <w:szCs w:val="24"/>
        </w:rPr>
        <w:t xml:space="preserve"> </w:t>
      </w:r>
    </w:p>
    <w:p w14:paraId="06528A2E" w14:textId="6D72F791"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Cavalier, H., Hawkins, A., </w:t>
      </w:r>
      <w:proofErr w:type="spellStart"/>
      <w:r w:rsidRPr="00A510E3">
        <w:rPr>
          <w:rFonts w:ascii="Times New Roman" w:hAnsi="Times New Roman" w:cs="Times New Roman"/>
          <w:sz w:val="24"/>
          <w:szCs w:val="24"/>
        </w:rPr>
        <w:t>Kogevinas</w:t>
      </w:r>
      <w:proofErr w:type="spellEnd"/>
      <w:r w:rsidRPr="00A510E3">
        <w:rPr>
          <w:rFonts w:ascii="Times New Roman" w:hAnsi="Times New Roman" w:cs="Times New Roman"/>
          <w:sz w:val="24"/>
          <w:szCs w:val="24"/>
        </w:rPr>
        <w:t xml:space="preserve">, M., </w:t>
      </w:r>
      <w:proofErr w:type="spellStart"/>
      <w:r w:rsidRPr="00A510E3">
        <w:rPr>
          <w:rFonts w:ascii="Times New Roman" w:hAnsi="Times New Roman" w:cs="Times New Roman"/>
          <w:sz w:val="24"/>
          <w:szCs w:val="24"/>
        </w:rPr>
        <w:t>Boffetta</w:t>
      </w:r>
      <w:proofErr w:type="spellEnd"/>
      <w:r w:rsidRPr="00A510E3">
        <w:rPr>
          <w:rFonts w:ascii="Times New Roman" w:hAnsi="Times New Roman" w:cs="Times New Roman"/>
          <w:sz w:val="24"/>
          <w:szCs w:val="24"/>
        </w:rPr>
        <w:t xml:space="preserve">, P., &amp; Anttila, S. (2023). Exposures to pesticides and risk of cancer: A review of recent epidemiological evidence. International Journal of Cancer, 152(4), 636-654. </w:t>
      </w:r>
      <w:hyperlink r:id="rId13" w:history="1">
        <w:r w:rsidRPr="00A510E3">
          <w:rPr>
            <w:rStyle w:val="Hyperlink"/>
            <w:rFonts w:ascii="Times New Roman" w:hAnsi="Times New Roman" w:cs="Times New Roman"/>
            <w:sz w:val="24"/>
            <w:szCs w:val="24"/>
          </w:rPr>
          <w:t>https://doi.org/10.1002/ijc.34300</w:t>
        </w:r>
      </w:hyperlink>
      <w:r w:rsidRPr="00A510E3">
        <w:rPr>
          <w:rFonts w:ascii="Times New Roman" w:hAnsi="Times New Roman" w:cs="Times New Roman"/>
          <w:sz w:val="24"/>
          <w:szCs w:val="24"/>
        </w:rPr>
        <w:t xml:space="preserve"> </w:t>
      </w:r>
    </w:p>
    <w:p w14:paraId="278BB28C" w14:textId="77777777"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El-Sheikh, E. A., Ramadan, M. M., El-</w:t>
      </w:r>
      <w:proofErr w:type="spellStart"/>
      <w:r w:rsidRPr="00A510E3">
        <w:rPr>
          <w:rFonts w:ascii="Times New Roman" w:hAnsi="Times New Roman" w:cs="Times New Roman"/>
          <w:sz w:val="24"/>
          <w:szCs w:val="24"/>
        </w:rPr>
        <w:t>Sobki</w:t>
      </w:r>
      <w:proofErr w:type="spellEnd"/>
      <w:r w:rsidRPr="00A510E3">
        <w:rPr>
          <w:rFonts w:ascii="Times New Roman" w:hAnsi="Times New Roman" w:cs="Times New Roman"/>
          <w:sz w:val="24"/>
          <w:szCs w:val="24"/>
        </w:rPr>
        <w:t>, A. E., Shalaby, A. A., McCoy, M. R., Hamed, I. A., Ashour, M., &amp; Hammock, B. D. (2022). Pesticide Residues in Vegetables and Fruits from Farmer Markets and Associated Dietary Risks. </w:t>
      </w:r>
      <w:r w:rsidRPr="00A510E3">
        <w:rPr>
          <w:rFonts w:ascii="Times New Roman" w:hAnsi="Times New Roman" w:cs="Times New Roman"/>
          <w:i/>
          <w:iCs/>
          <w:sz w:val="24"/>
          <w:szCs w:val="24"/>
        </w:rPr>
        <w:t>Molecules</w:t>
      </w:r>
      <w:r w:rsidRPr="00A510E3">
        <w:rPr>
          <w:rFonts w:ascii="Times New Roman" w:hAnsi="Times New Roman" w:cs="Times New Roman"/>
          <w:sz w:val="24"/>
          <w:szCs w:val="24"/>
        </w:rPr>
        <w:t>, </w:t>
      </w:r>
      <w:r w:rsidRPr="00A510E3">
        <w:rPr>
          <w:rFonts w:ascii="Times New Roman" w:hAnsi="Times New Roman" w:cs="Times New Roman"/>
          <w:i/>
          <w:iCs/>
          <w:sz w:val="24"/>
          <w:szCs w:val="24"/>
        </w:rPr>
        <w:t>27</w:t>
      </w:r>
      <w:r w:rsidRPr="00A510E3">
        <w:rPr>
          <w:rFonts w:ascii="Times New Roman" w:hAnsi="Times New Roman" w:cs="Times New Roman"/>
          <w:sz w:val="24"/>
          <w:szCs w:val="24"/>
        </w:rPr>
        <w:t>(22), 8072. </w:t>
      </w:r>
      <w:hyperlink r:id="rId14" w:history="1">
        <w:r w:rsidRPr="00A510E3">
          <w:rPr>
            <w:rStyle w:val="Hyperlink"/>
            <w:rFonts w:ascii="Times New Roman" w:hAnsi="Times New Roman" w:cs="Times New Roman"/>
            <w:sz w:val="24"/>
            <w:szCs w:val="24"/>
          </w:rPr>
          <w:t>https://doi.org/10.3390/molecules27228072</w:t>
        </w:r>
      </w:hyperlink>
    </w:p>
    <w:p w14:paraId="354D624D" w14:textId="77777777"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Environmental Working Group. (2024). </w:t>
      </w:r>
      <w:r w:rsidRPr="00A510E3">
        <w:rPr>
          <w:rFonts w:ascii="Times New Roman" w:hAnsi="Times New Roman" w:cs="Times New Roman"/>
          <w:i/>
          <w:iCs/>
          <w:sz w:val="24"/>
          <w:szCs w:val="24"/>
        </w:rPr>
        <w:t xml:space="preserve">#DirtyDozen Fruits and Vegetables with the Most Pesticides – @EWG’s Shopper’s Guide to Pesticides in </w:t>
      </w:r>
      <w:proofErr w:type="spellStart"/>
      <w:r w:rsidRPr="00A510E3">
        <w:rPr>
          <w:rFonts w:ascii="Times New Roman" w:hAnsi="Times New Roman" w:cs="Times New Roman"/>
          <w:i/>
          <w:iCs/>
          <w:sz w:val="24"/>
          <w:szCs w:val="24"/>
        </w:rPr>
        <w:t>Produce</w:t>
      </w:r>
      <w:r w:rsidRPr="00A510E3">
        <w:rPr>
          <w:rFonts w:ascii="Times New Roman" w:hAnsi="Times New Roman" w:cs="Times New Roman"/>
          <w:i/>
          <w:iCs/>
          <w:sz w:val="24"/>
          <w:szCs w:val="24"/>
          <w:vertAlign w:val="superscript"/>
        </w:rPr>
        <w:t>TM</w:t>
      </w:r>
      <w:proofErr w:type="spellEnd"/>
      <w:r w:rsidRPr="00A510E3">
        <w:rPr>
          <w:rFonts w:ascii="Times New Roman" w:hAnsi="Times New Roman" w:cs="Times New Roman"/>
          <w:sz w:val="24"/>
          <w:szCs w:val="24"/>
        </w:rPr>
        <w:t>. </w:t>
      </w:r>
      <w:hyperlink r:id="rId15" w:history="1">
        <w:r w:rsidRPr="00A510E3">
          <w:rPr>
            <w:rStyle w:val="Hyperlink"/>
            <w:rFonts w:ascii="Times New Roman" w:hAnsi="Times New Roman" w:cs="Times New Roman"/>
            <w:sz w:val="24"/>
            <w:szCs w:val="24"/>
          </w:rPr>
          <w:t>https://www.ewg.org/foodnews/dirty-dozen.php</w:t>
        </w:r>
      </w:hyperlink>
    </w:p>
    <w:p w14:paraId="74C0FBB6" w14:textId="70D7EEE8"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Food and Agriculture Organization &amp; World Health Organization. (2014). International Code of Conduct on Pesticide Management. FAO/WHO Publications. </w:t>
      </w:r>
      <w:hyperlink r:id="rId16" w:history="1">
        <w:r w:rsidRPr="00A510E3">
          <w:rPr>
            <w:rStyle w:val="Hyperlink"/>
            <w:rFonts w:ascii="Times New Roman" w:hAnsi="Times New Roman" w:cs="Times New Roman"/>
            <w:sz w:val="24"/>
            <w:szCs w:val="24"/>
          </w:rPr>
          <w:t>https://www.fao.org/fileadmin/templates/agphome/documents/Pests_Pesticides/Code/CODE_2014Sep_ENG.pdf</w:t>
        </w:r>
      </w:hyperlink>
      <w:r w:rsidRPr="00A510E3">
        <w:rPr>
          <w:rFonts w:ascii="Times New Roman" w:hAnsi="Times New Roman" w:cs="Times New Roman"/>
          <w:sz w:val="24"/>
          <w:szCs w:val="24"/>
        </w:rPr>
        <w:t xml:space="preserve"> </w:t>
      </w:r>
    </w:p>
    <w:p w14:paraId="2A8569DB" w14:textId="700B08E2"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Gerken, J., Vincent, G. T., Zapata, D., Barron, I. G., &amp; Zapata, I. (2024). Comprehensive assessment of pesticide </w:t>
      </w:r>
      <w:proofErr w:type="gramStart"/>
      <w:r w:rsidRPr="00A510E3">
        <w:rPr>
          <w:rFonts w:ascii="Times New Roman" w:hAnsi="Times New Roman" w:cs="Times New Roman"/>
          <w:sz w:val="24"/>
          <w:szCs w:val="24"/>
        </w:rPr>
        <w:t>use</w:t>
      </w:r>
      <w:proofErr w:type="gramEnd"/>
      <w:r w:rsidRPr="00A510E3">
        <w:rPr>
          <w:rFonts w:ascii="Times New Roman" w:hAnsi="Times New Roman" w:cs="Times New Roman"/>
          <w:sz w:val="24"/>
          <w:szCs w:val="24"/>
        </w:rPr>
        <w:t xml:space="preserve"> patterns and increased cancer risk. Frontiers in Cancer Control and Society, 2, 1368086. </w:t>
      </w:r>
      <w:hyperlink r:id="rId17" w:history="1">
        <w:r w:rsidRPr="00A510E3">
          <w:rPr>
            <w:rStyle w:val="Hyperlink"/>
            <w:rFonts w:ascii="Times New Roman" w:hAnsi="Times New Roman" w:cs="Times New Roman"/>
            <w:sz w:val="24"/>
            <w:szCs w:val="24"/>
          </w:rPr>
          <w:t>https://doi.org/10.3389/fcacs.2024.1368086</w:t>
        </w:r>
      </w:hyperlink>
      <w:r w:rsidRPr="00A510E3">
        <w:rPr>
          <w:rFonts w:ascii="Times New Roman" w:hAnsi="Times New Roman" w:cs="Times New Roman"/>
          <w:sz w:val="24"/>
          <w:szCs w:val="24"/>
        </w:rPr>
        <w:t xml:space="preserve"> </w:t>
      </w:r>
    </w:p>
    <w:p w14:paraId="5B3AD065" w14:textId="05CEDB54"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Hladik, M. L., Vandever, M., &amp; Smalling, K. L. (2018). Environmental risks and challenges associated with neonicotinoid insecticides. Environmental Science &amp; Technology, 52(6), 3329-3335. </w:t>
      </w:r>
      <w:hyperlink r:id="rId18" w:history="1">
        <w:r w:rsidRPr="00A510E3">
          <w:rPr>
            <w:rStyle w:val="Hyperlink"/>
            <w:rFonts w:ascii="Times New Roman" w:hAnsi="Times New Roman" w:cs="Times New Roman"/>
            <w:sz w:val="24"/>
            <w:szCs w:val="24"/>
          </w:rPr>
          <w:t>https://doi.org/10.1021/acs.est.7b06388</w:t>
        </w:r>
      </w:hyperlink>
      <w:r w:rsidRPr="00A510E3">
        <w:rPr>
          <w:rFonts w:ascii="Times New Roman" w:hAnsi="Times New Roman" w:cs="Times New Roman"/>
          <w:sz w:val="24"/>
          <w:szCs w:val="24"/>
        </w:rPr>
        <w:t xml:space="preserve"> </w:t>
      </w:r>
    </w:p>
    <w:p w14:paraId="7A59AAB9" w14:textId="28293CF7"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Kashyap, U., Singh, D., Tiwari, S., Dubey, A., &amp; Kumar, A. (2024). Pesticide pollution in India: Environmental and health risks assessment and mitigation strategies. Environmental Science and Pollution Research, 31(8), 11636-11659. </w:t>
      </w:r>
      <w:hyperlink r:id="rId19" w:history="1">
        <w:r w:rsidRPr="00A510E3">
          <w:rPr>
            <w:rStyle w:val="Hyperlink"/>
            <w:rFonts w:ascii="Times New Roman" w:hAnsi="Times New Roman" w:cs="Times New Roman"/>
            <w:sz w:val="24"/>
            <w:szCs w:val="24"/>
          </w:rPr>
          <w:t>https://doi.org/10.1007/s11356-024-32087-z</w:t>
        </w:r>
      </w:hyperlink>
      <w:r w:rsidRPr="00A510E3">
        <w:rPr>
          <w:rFonts w:ascii="Times New Roman" w:hAnsi="Times New Roman" w:cs="Times New Roman"/>
          <w:sz w:val="24"/>
          <w:szCs w:val="24"/>
        </w:rPr>
        <w:t xml:space="preserve"> </w:t>
      </w:r>
    </w:p>
    <w:p w14:paraId="5CF77AF5" w14:textId="6645CC6D"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Li, W., Tai, L., Liu, J., Gai, N., Ding, G., &amp; Wang, B. (2023). Organophosphorus pesticide contaminants in fruits and vegetables: A comprehensive meta-analysis of global contamination levels and health risk assessment. Food Research International, 173, 113295. </w:t>
      </w:r>
      <w:hyperlink r:id="rId20" w:history="1">
        <w:r w:rsidRPr="00A510E3">
          <w:rPr>
            <w:rStyle w:val="Hyperlink"/>
            <w:rFonts w:ascii="Times New Roman" w:hAnsi="Times New Roman" w:cs="Times New Roman"/>
            <w:sz w:val="24"/>
            <w:szCs w:val="24"/>
          </w:rPr>
          <w:t>https://doi.org/10.1016/j.foodres.2023.113295</w:t>
        </w:r>
      </w:hyperlink>
      <w:r w:rsidRPr="00A510E3">
        <w:rPr>
          <w:rFonts w:ascii="Times New Roman" w:hAnsi="Times New Roman" w:cs="Times New Roman"/>
          <w:sz w:val="24"/>
          <w:szCs w:val="24"/>
        </w:rPr>
        <w:t xml:space="preserve"> </w:t>
      </w:r>
    </w:p>
    <w:p w14:paraId="1D34FDAB" w14:textId="4A58CE20"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lastRenderedPageBreak/>
        <w:t xml:space="preserve">Raffa, C. M., </w:t>
      </w:r>
      <w:proofErr w:type="spellStart"/>
      <w:r w:rsidRPr="00A510E3">
        <w:rPr>
          <w:rFonts w:ascii="Times New Roman" w:hAnsi="Times New Roman" w:cs="Times New Roman"/>
          <w:sz w:val="24"/>
          <w:szCs w:val="24"/>
        </w:rPr>
        <w:t>Chiampo</w:t>
      </w:r>
      <w:proofErr w:type="spellEnd"/>
      <w:r w:rsidRPr="00A510E3">
        <w:rPr>
          <w:rFonts w:ascii="Times New Roman" w:hAnsi="Times New Roman" w:cs="Times New Roman"/>
          <w:sz w:val="24"/>
          <w:szCs w:val="24"/>
        </w:rPr>
        <w:t xml:space="preserve">, F., &amp; Verga, F. (2021). Bioremediation of agricultural soils polluted with pesticides: A review. Bioengineering, 8(7), 92. </w:t>
      </w:r>
      <w:hyperlink r:id="rId21" w:history="1">
        <w:r w:rsidRPr="00A510E3">
          <w:rPr>
            <w:rStyle w:val="Hyperlink"/>
            <w:rFonts w:ascii="Times New Roman" w:hAnsi="Times New Roman" w:cs="Times New Roman"/>
            <w:sz w:val="24"/>
            <w:szCs w:val="24"/>
          </w:rPr>
          <w:t>https://doi.org/10.3390/bioengineering8070092</w:t>
        </w:r>
      </w:hyperlink>
      <w:r w:rsidRPr="00A510E3">
        <w:rPr>
          <w:rFonts w:ascii="Times New Roman" w:hAnsi="Times New Roman" w:cs="Times New Roman"/>
          <w:sz w:val="24"/>
          <w:szCs w:val="24"/>
        </w:rPr>
        <w:t xml:space="preserve"> </w:t>
      </w:r>
    </w:p>
    <w:p w14:paraId="14F45BD8" w14:textId="3EF9F6AE"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Robb, E. L., Winkler, M. S., &amp; Baker, M. G. (2023). Organophosphate toxicity. In </w:t>
      </w:r>
      <w:proofErr w:type="spellStart"/>
      <w:r w:rsidRPr="00A510E3">
        <w:rPr>
          <w:rFonts w:ascii="Times New Roman" w:hAnsi="Times New Roman" w:cs="Times New Roman"/>
          <w:sz w:val="24"/>
          <w:szCs w:val="24"/>
        </w:rPr>
        <w:t>StatPearls</w:t>
      </w:r>
      <w:proofErr w:type="spellEnd"/>
      <w:r w:rsidRPr="00A510E3">
        <w:rPr>
          <w:rFonts w:ascii="Times New Roman" w:hAnsi="Times New Roman" w:cs="Times New Roman"/>
          <w:sz w:val="24"/>
          <w:szCs w:val="24"/>
        </w:rPr>
        <w:t xml:space="preserve">. </w:t>
      </w:r>
      <w:proofErr w:type="spellStart"/>
      <w:r w:rsidRPr="00A510E3">
        <w:rPr>
          <w:rFonts w:ascii="Times New Roman" w:hAnsi="Times New Roman" w:cs="Times New Roman"/>
          <w:sz w:val="24"/>
          <w:szCs w:val="24"/>
        </w:rPr>
        <w:t>StatPearls</w:t>
      </w:r>
      <w:proofErr w:type="spellEnd"/>
      <w:r w:rsidRPr="00A510E3">
        <w:rPr>
          <w:rFonts w:ascii="Times New Roman" w:hAnsi="Times New Roman" w:cs="Times New Roman"/>
          <w:sz w:val="24"/>
          <w:szCs w:val="24"/>
        </w:rPr>
        <w:t xml:space="preserve"> Publishing. </w:t>
      </w:r>
      <w:hyperlink r:id="rId22" w:history="1">
        <w:r w:rsidRPr="00A510E3">
          <w:rPr>
            <w:rStyle w:val="Hyperlink"/>
            <w:rFonts w:ascii="Times New Roman" w:hAnsi="Times New Roman" w:cs="Times New Roman"/>
            <w:sz w:val="24"/>
            <w:szCs w:val="24"/>
          </w:rPr>
          <w:t>https://www.ncbi.nlm.nih.gov/books/NBK470430/</w:t>
        </w:r>
      </w:hyperlink>
      <w:r w:rsidRPr="00A510E3">
        <w:rPr>
          <w:rFonts w:ascii="Times New Roman" w:hAnsi="Times New Roman" w:cs="Times New Roman"/>
          <w:sz w:val="24"/>
          <w:szCs w:val="24"/>
        </w:rPr>
        <w:t xml:space="preserve"> </w:t>
      </w:r>
    </w:p>
    <w:p w14:paraId="7D743552" w14:textId="158A399F"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Syafrudin, M., Kristanti, R. A., </w:t>
      </w:r>
      <w:proofErr w:type="spellStart"/>
      <w:r w:rsidRPr="00A510E3">
        <w:rPr>
          <w:rFonts w:ascii="Times New Roman" w:hAnsi="Times New Roman" w:cs="Times New Roman"/>
          <w:sz w:val="24"/>
          <w:szCs w:val="24"/>
        </w:rPr>
        <w:t>Yuniarto</w:t>
      </w:r>
      <w:proofErr w:type="spellEnd"/>
      <w:r w:rsidRPr="00A510E3">
        <w:rPr>
          <w:rFonts w:ascii="Times New Roman" w:hAnsi="Times New Roman" w:cs="Times New Roman"/>
          <w:sz w:val="24"/>
          <w:szCs w:val="24"/>
        </w:rPr>
        <w:t xml:space="preserve">, A., </w:t>
      </w:r>
      <w:proofErr w:type="spellStart"/>
      <w:r w:rsidRPr="00A510E3">
        <w:rPr>
          <w:rFonts w:ascii="Times New Roman" w:hAnsi="Times New Roman" w:cs="Times New Roman"/>
          <w:sz w:val="24"/>
          <w:szCs w:val="24"/>
        </w:rPr>
        <w:t>Hadibarata</w:t>
      </w:r>
      <w:proofErr w:type="spellEnd"/>
      <w:r w:rsidRPr="00A510E3">
        <w:rPr>
          <w:rFonts w:ascii="Times New Roman" w:hAnsi="Times New Roman" w:cs="Times New Roman"/>
          <w:sz w:val="24"/>
          <w:szCs w:val="24"/>
        </w:rPr>
        <w:t>, T., Rhee, J., Al-</w:t>
      </w:r>
      <w:proofErr w:type="spellStart"/>
      <w:r w:rsidRPr="00A510E3">
        <w:rPr>
          <w:rFonts w:ascii="Times New Roman" w:hAnsi="Times New Roman" w:cs="Times New Roman"/>
          <w:sz w:val="24"/>
          <w:szCs w:val="24"/>
        </w:rPr>
        <w:t>Onazi</w:t>
      </w:r>
      <w:proofErr w:type="spellEnd"/>
      <w:r w:rsidRPr="00A510E3">
        <w:rPr>
          <w:rFonts w:ascii="Times New Roman" w:hAnsi="Times New Roman" w:cs="Times New Roman"/>
          <w:sz w:val="24"/>
          <w:szCs w:val="24"/>
        </w:rPr>
        <w:t xml:space="preserve">, W. A., </w:t>
      </w:r>
      <w:proofErr w:type="spellStart"/>
      <w:r w:rsidRPr="00A510E3">
        <w:rPr>
          <w:rFonts w:ascii="Times New Roman" w:hAnsi="Times New Roman" w:cs="Times New Roman"/>
          <w:sz w:val="24"/>
          <w:szCs w:val="24"/>
        </w:rPr>
        <w:t>Algarni</w:t>
      </w:r>
      <w:proofErr w:type="spellEnd"/>
      <w:r w:rsidRPr="00A510E3">
        <w:rPr>
          <w:rFonts w:ascii="Times New Roman" w:hAnsi="Times New Roman" w:cs="Times New Roman"/>
          <w:sz w:val="24"/>
          <w:szCs w:val="24"/>
        </w:rPr>
        <w:t>, T. S., Almarri, A. H., &amp; Al-</w:t>
      </w:r>
      <w:proofErr w:type="spellStart"/>
      <w:r w:rsidRPr="00A510E3">
        <w:rPr>
          <w:rFonts w:ascii="Times New Roman" w:hAnsi="Times New Roman" w:cs="Times New Roman"/>
          <w:sz w:val="24"/>
          <w:szCs w:val="24"/>
        </w:rPr>
        <w:t>Mohaimeed</w:t>
      </w:r>
      <w:proofErr w:type="spellEnd"/>
      <w:r w:rsidRPr="00A510E3">
        <w:rPr>
          <w:rFonts w:ascii="Times New Roman" w:hAnsi="Times New Roman" w:cs="Times New Roman"/>
          <w:sz w:val="24"/>
          <w:szCs w:val="24"/>
        </w:rPr>
        <w:t xml:space="preserve">, A. M. (2021). Pesticides in drinking water—A review. Water, 13(2), 198. </w:t>
      </w:r>
      <w:hyperlink r:id="rId23" w:history="1">
        <w:r w:rsidRPr="00A510E3">
          <w:rPr>
            <w:rStyle w:val="Hyperlink"/>
            <w:rFonts w:ascii="Times New Roman" w:hAnsi="Times New Roman" w:cs="Times New Roman"/>
            <w:sz w:val="24"/>
            <w:szCs w:val="24"/>
          </w:rPr>
          <w:t>https://doi.org/10.3390/w13020198</w:t>
        </w:r>
      </w:hyperlink>
      <w:r w:rsidRPr="00A510E3">
        <w:rPr>
          <w:rFonts w:ascii="Times New Roman" w:hAnsi="Times New Roman" w:cs="Times New Roman"/>
          <w:sz w:val="24"/>
          <w:szCs w:val="24"/>
        </w:rPr>
        <w:t xml:space="preserve"> </w:t>
      </w:r>
    </w:p>
    <w:p w14:paraId="6E2E9268" w14:textId="77777777"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United Nations Environment Programme. (2019). Global chemicals outlook II: From legacies to innovative solutions. UNEP Publications. </w:t>
      </w:r>
      <w:hyperlink r:id="rId24" w:history="1">
        <w:r w:rsidRPr="00A510E3">
          <w:rPr>
            <w:rStyle w:val="Hyperlink"/>
            <w:rFonts w:ascii="Times New Roman" w:hAnsi="Times New Roman" w:cs="Times New Roman"/>
            <w:sz w:val="24"/>
            <w:szCs w:val="24"/>
          </w:rPr>
          <w:t>https://www.unep.org/resources/report/global-chemicals-outlook-ii-legacies-innovative-solutions</w:t>
        </w:r>
      </w:hyperlink>
      <w:r w:rsidRPr="00A510E3">
        <w:rPr>
          <w:rFonts w:ascii="Times New Roman" w:hAnsi="Times New Roman" w:cs="Times New Roman"/>
          <w:sz w:val="24"/>
          <w:szCs w:val="24"/>
        </w:rPr>
        <w:t xml:space="preserve"> </w:t>
      </w:r>
    </w:p>
    <w:p w14:paraId="0BB3974C" w14:textId="10F768FA" w:rsidR="002214B6" w:rsidRPr="00A510E3" w:rsidRDefault="002214B6" w:rsidP="00A510E3">
      <w:pPr>
        <w:spacing w:line="276" w:lineRule="auto"/>
        <w:jc w:val="both"/>
        <w:rPr>
          <w:rFonts w:ascii="Times New Roman" w:hAnsi="Times New Roman" w:cs="Times New Roman"/>
          <w:sz w:val="24"/>
          <w:szCs w:val="24"/>
        </w:rPr>
      </w:pPr>
      <w:r w:rsidRPr="00A510E3">
        <w:rPr>
          <w:rFonts w:ascii="Times New Roman" w:hAnsi="Times New Roman" w:cs="Times New Roman"/>
          <w:sz w:val="24"/>
          <w:szCs w:val="24"/>
        </w:rPr>
        <w:t xml:space="preserve">Woodcock, B. A., Isaac, N. J., Bullock, J. M., Roy, D. B., Garthwaite, D. G., Crowe, A., &amp; Pywell, R. F. (2016). Impacts of neonicotinoid use on long-term population changes in wild bees in England. Nature Communications, 7, 12459. </w:t>
      </w:r>
      <w:hyperlink r:id="rId25" w:history="1">
        <w:r w:rsidRPr="00A510E3">
          <w:rPr>
            <w:rStyle w:val="Hyperlink"/>
            <w:rFonts w:ascii="Times New Roman" w:hAnsi="Times New Roman" w:cs="Times New Roman"/>
            <w:sz w:val="24"/>
            <w:szCs w:val="24"/>
          </w:rPr>
          <w:t>https://doi.org/10.1038/ncomms12459</w:t>
        </w:r>
      </w:hyperlink>
      <w:r w:rsidRPr="00A510E3">
        <w:rPr>
          <w:rFonts w:ascii="Times New Roman" w:hAnsi="Times New Roman" w:cs="Times New Roman"/>
          <w:sz w:val="24"/>
          <w:szCs w:val="24"/>
        </w:rPr>
        <w:t xml:space="preserve"> </w:t>
      </w:r>
    </w:p>
    <w:p w14:paraId="3AD687AB" w14:textId="433C2085" w:rsidR="00523406" w:rsidRDefault="002214B6" w:rsidP="00A510E3">
      <w:pPr>
        <w:spacing w:line="276" w:lineRule="auto"/>
        <w:jc w:val="both"/>
      </w:pPr>
      <w:r w:rsidRPr="00A510E3">
        <w:rPr>
          <w:rFonts w:ascii="Times New Roman" w:hAnsi="Times New Roman" w:cs="Times New Roman"/>
          <w:sz w:val="24"/>
          <w:szCs w:val="24"/>
        </w:rPr>
        <w:t xml:space="preserve">World Health Organization. (2022, September 14). Pesticide residues in food [Fact sheet]. WHO Fact Sheets. </w:t>
      </w:r>
      <w:hyperlink r:id="rId26" w:history="1">
        <w:r w:rsidRPr="00A510E3">
          <w:rPr>
            <w:rStyle w:val="Hyperlink"/>
            <w:rFonts w:ascii="Times New Roman" w:hAnsi="Times New Roman" w:cs="Times New Roman"/>
            <w:sz w:val="24"/>
            <w:szCs w:val="24"/>
          </w:rPr>
          <w:t>https://www.who.int/news-room/fact-sheets/detail/pesticide-residues-in-food</w:t>
        </w:r>
      </w:hyperlink>
    </w:p>
    <w:p w14:paraId="0244426E" w14:textId="49D2D6F5" w:rsidR="00C02B47" w:rsidRDefault="00C02B47" w:rsidP="00A510E3">
      <w:pPr>
        <w:spacing w:line="276" w:lineRule="auto"/>
        <w:jc w:val="both"/>
      </w:pPr>
      <w:r w:rsidRPr="00A510E3">
        <w:rPr>
          <w:highlight w:val="yellow"/>
        </w:rPr>
        <w:t xml:space="preserve">Kaur, R., Choudhary, D., Bali, S., </w:t>
      </w:r>
      <w:proofErr w:type="spellStart"/>
      <w:r w:rsidRPr="00A510E3">
        <w:rPr>
          <w:highlight w:val="yellow"/>
        </w:rPr>
        <w:t>Bandral</w:t>
      </w:r>
      <w:proofErr w:type="spellEnd"/>
      <w:r w:rsidRPr="00A510E3">
        <w:rPr>
          <w:highlight w:val="yellow"/>
        </w:rPr>
        <w:t>, S. S., Singh, V., Ahmad, M. A., ... &amp; Chandrasekaran, B. (2024). Pesticides: An alarming detrimental to health and environment. Science of the Total Environment, 915, 170113.</w:t>
      </w:r>
      <w:r>
        <w:t xml:space="preserve">  </w:t>
      </w:r>
    </w:p>
    <w:p w14:paraId="6E36397E" w14:textId="036F2CA4" w:rsidR="00C02B47" w:rsidRPr="00A510E3" w:rsidRDefault="00C02B47" w:rsidP="00A510E3">
      <w:pPr>
        <w:spacing w:line="276" w:lineRule="auto"/>
        <w:jc w:val="both"/>
        <w:rPr>
          <w:highlight w:val="yellow"/>
        </w:rPr>
      </w:pPr>
      <w:proofErr w:type="spellStart"/>
      <w:r w:rsidRPr="00A510E3">
        <w:rPr>
          <w:highlight w:val="yellow"/>
        </w:rPr>
        <w:t>Ayilara</w:t>
      </w:r>
      <w:proofErr w:type="spellEnd"/>
      <w:r w:rsidRPr="00A510E3">
        <w:rPr>
          <w:highlight w:val="yellow"/>
        </w:rPr>
        <w:t xml:space="preserve">, M. S., Adeleke, B. S., Akinola, S. A., Fayose, C. A., Adeyemi, U. T., </w:t>
      </w:r>
      <w:proofErr w:type="spellStart"/>
      <w:r w:rsidRPr="00A510E3">
        <w:rPr>
          <w:highlight w:val="yellow"/>
        </w:rPr>
        <w:t>Gbadegesin</w:t>
      </w:r>
      <w:proofErr w:type="spellEnd"/>
      <w:r w:rsidRPr="00A510E3">
        <w:rPr>
          <w:highlight w:val="yellow"/>
        </w:rPr>
        <w:t xml:space="preserve">, L. A., ... &amp; Babalola, O. O. (2023). Biopesticides as a promising alternative to synthetic pesticides: A case for microbial pesticides, </w:t>
      </w:r>
      <w:proofErr w:type="spellStart"/>
      <w:r w:rsidRPr="00A510E3">
        <w:rPr>
          <w:highlight w:val="yellow"/>
        </w:rPr>
        <w:t>phytopesticides</w:t>
      </w:r>
      <w:proofErr w:type="spellEnd"/>
      <w:r w:rsidRPr="00A510E3">
        <w:rPr>
          <w:highlight w:val="yellow"/>
        </w:rPr>
        <w:t xml:space="preserve">, and </w:t>
      </w:r>
      <w:proofErr w:type="spellStart"/>
      <w:r w:rsidRPr="00A510E3">
        <w:rPr>
          <w:highlight w:val="yellow"/>
        </w:rPr>
        <w:t>nanobiopesticides</w:t>
      </w:r>
      <w:proofErr w:type="spellEnd"/>
      <w:r w:rsidRPr="00A510E3">
        <w:rPr>
          <w:highlight w:val="yellow"/>
        </w:rPr>
        <w:t xml:space="preserve">. Frontiers in microbiology, 14, 1040901.  </w:t>
      </w:r>
    </w:p>
    <w:p w14:paraId="4D971F01" w14:textId="15F30E4D" w:rsidR="00C02B47" w:rsidRDefault="00C02B47" w:rsidP="00A510E3">
      <w:pPr>
        <w:spacing w:line="276" w:lineRule="auto"/>
        <w:jc w:val="both"/>
      </w:pPr>
      <w:r w:rsidRPr="00A510E3">
        <w:rPr>
          <w:highlight w:val="yellow"/>
        </w:rPr>
        <w:t xml:space="preserve">Srivastava, A., Rani, R. M., </w:t>
      </w:r>
      <w:proofErr w:type="spellStart"/>
      <w:r w:rsidRPr="00A510E3">
        <w:rPr>
          <w:highlight w:val="yellow"/>
        </w:rPr>
        <w:t>Patle</w:t>
      </w:r>
      <w:proofErr w:type="spellEnd"/>
      <w:r w:rsidRPr="00A510E3">
        <w:rPr>
          <w:highlight w:val="yellow"/>
        </w:rPr>
        <w:t>, D. S., &amp; Kumar, S. (2022). Emerging bioremediation technologies for the treatment of textile wastewater containing synthetic dyes: a comprehensive review. Journal of Chemical Technology &amp; Biotechnology, 97(1), 26-41.</w:t>
      </w:r>
      <w:r>
        <w:t xml:space="preserve">  </w:t>
      </w:r>
    </w:p>
    <w:p w14:paraId="1B2ED88F" w14:textId="1EB4F2F1" w:rsidR="00C02B47" w:rsidRDefault="00C02B47" w:rsidP="00A510E3">
      <w:pPr>
        <w:spacing w:line="276" w:lineRule="auto"/>
        <w:jc w:val="both"/>
      </w:pPr>
      <w:r w:rsidRPr="00A510E3">
        <w:rPr>
          <w:highlight w:val="yellow"/>
        </w:rPr>
        <w:t>Okeke, E. S., Okoye, C. O., Ezeorba, T. P. C., Mao, G., Chen, Y., Xu, H., ... &amp; Wu, X. (2022). Emerging bio-dispersant and bioremediation technologies as environmentally friendly management responses toward marine oil spill: A comprehensive review. Journal of Environmental Management, 322, 116123</w:t>
      </w:r>
      <w:r w:rsidRPr="00C02B47">
        <w:t>.</w:t>
      </w:r>
      <w:r>
        <w:t xml:space="preserve"> </w:t>
      </w:r>
    </w:p>
    <w:sectPr w:rsidR="00C02B47" w:rsidSect="00221C66">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306F6" w14:textId="77777777" w:rsidR="000F1D4C" w:rsidRDefault="000F1D4C" w:rsidP="000F12B0">
      <w:pPr>
        <w:spacing w:after="0" w:line="240" w:lineRule="auto"/>
      </w:pPr>
      <w:r>
        <w:separator/>
      </w:r>
    </w:p>
  </w:endnote>
  <w:endnote w:type="continuationSeparator" w:id="0">
    <w:p w14:paraId="59CEDE33" w14:textId="77777777" w:rsidR="000F1D4C" w:rsidRDefault="000F1D4C" w:rsidP="000F1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2FA1E" w14:textId="77777777" w:rsidR="000F12B0" w:rsidRDefault="000F1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F12" w14:textId="77777777" w:rsidR="000F12B0" w:rsidRDefault="000F12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FE74" w14:textId="77777777" w:rsidR="000F12B0" w:rsidRDefault="000F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A414E" w14:textId="77777777" w:rsidR="000F1D4C" w:rsidRDefault="000F1D4C" w:rsidP="000F12B0">
      <w:pPr>
        <w:spacing w:after="0" w:line="240" w:lineRule="auto"/>
      </w:pPr>
      <w:r>
        <w:separator/>
      </w:r>
    </w:p>
  </w:footnote>
  <w:footnote w:type="continuationSeparator" w:id="0">
    <w:p w14:paraId="282B7895" w14:textId="77777777" w:rsidR="000F1D4C" w:rsidRDefault="000F1D4C" w:rsidP="000F1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AD2DE" w14:textId="666C8419" w:rsidR="000F12B0" w:rsidRDefault="000F12B0">
    <w:pPr>
      <w:pStyle w:val="Header"/>
    </w:pPr>
    <w:r>
      <w:rPr>
        <w:noProof/>
      </w:rPr>
      <w:pict w14:anchorId="3996B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0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6067" w14:textId="39D3A6D0" w:rsidR="000F12B0" w:rsidRDefault="000F12B0">
    <w:pPr>
      <w:pStyle w:val="Header"/>
    </w:pPr>
    <w:r>
      <w:rPr>
        <w:noProof/>
      </w:rPr>
      <w:pict w14:anchorId="0043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0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096C" w14:textId="4A153A22" w:rsidR="000F12B0" w:rsidRDefault="000F12B0">
    <w:pPr>
      <w:pStyle w:val="Header"/>
    </w:pPr>
    <w:r>
      <w:rPr>
        <w:noProof/>
      </w:rPr>
      <w:pict w14:anchorId="5DE58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0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C44F8"/>
    <w:multiLevelType w:val="hybridMultilevel"/>
    <w:tmpl w:val="5414F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C94C65"/>
    <w:multiLevelType w:val="hybridMultilevel"/>
    <w:tmpl w:val="2BFA7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1MTU3MzCxNDO1MDFT0lEKTi0uzszPAykwrAUAZcFZKywAAAA="/>
  </w:docVars>
  <w:rsids>
    <w:rsidRoot w:val="004B4DD1"/>
    <w:rsid w:val="00091320"/>
    <w:rsid w:val="000A673A"/>
    <w:rsid w:val="000D1895"/>
    <w:rsid w:val="000E4381"/>
    <w:rsid w:val="000E54BD"/>
    <w:rsid w:val="000F12B0"/>
    <w:rsid w:val="000F1D4C"/>
    <w:rsid w:val="00136E87"/>
    <w:rsid w:val="001861A1"/>
    <w:rsid w:val="001B742E"/>
    <w:rsid w:val="002214B6"/>
    <w:rsid w:val="00221C66"/>
    <w:rsid w:val="00257C37"/>
    <w:rsid w:val="00401019"/>
    <w:rsid w:val="004B4DD1"/>
    <w:rsid w:val="004F2BB5"/>
    <w:rsid w:val="00523406"/>
    <w:rsid w:val="00551101"/>
    <w:rsid w:val="005A3E76"/>
    <w:rsid w:val="005E31E6"/>
    <w:rsid w:val="00680603"/>
    <w:rsid w:val="006F5A80"/>
    <w:rsid w:val="00702E1B"/>
    <w:rsid w:val="007A1526"/>
    <w:rsid w:val="0082333B"/>
    <w:rsid w:val="008C5A79"/>
    <w:rsid w:val="00A30ED6"/>
    <w:rsid w:val="00A510E3"/>
    <w:rsid w:val="00B07AB0"/>
    <w:rsid w:val="00BC500A"/>
    <w:rsid w:val="00BF4C86"/>
    <w:rsid w:val="00C02B47"/>
    <w:rsid w:val="00C06337"/>
    <w:rsid w:val="00C164CA"/>
    <w:rsid w:val="00C74AA1"/>
    <w:rsid w:val="00D9646E"/>
    <w:rsid w:val="00DE2626"/>
    <w:rsid w:val="00FE3D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3BDCD7"/>
  <w15:chartTrackingRefBased/>
  <w15:docId w15:val="{49323A97-9C79-48F3-B5C4-A1BD2846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D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B4D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4D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4D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4D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4D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D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D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D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D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B4D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4D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4D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4D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4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DD1"/>
    <w:rPr>
      <w:rFonts w:eastAsiaTheme="majorEastAsia" w:cstheme="majorBidi"/>
      <w:color w:val="272727" w:themeColor="text1" w:themeTint="D8"/>
    </w:rPr>
  </w:style>
  <w:style w:type="paragraph" w:styleId="Title">
    <w:name w:val="Title"/>
    <w:basedOn w:val="Normal"/>
    <w:next w:val="Normal"/>
    <w:link w:val="TitleChar"/>
    <w:uiPriority w:val="10"/>
    <w:qFormat/>
    <w:rsid w:val="004B4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D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DD1"/>
    <w:pPr>
      <w:spacing w:before="160"/>
      <w:jc w:val="center"/>
    </w:pPr>
    <w:rPr>
      <w:i/>
      <w:iCs/>
      <w:color w:val="404040" w:themeColor="text1" w:themeTint="BF"/>
    </w:rPr>
  </w:style>
  <w:style w:type="character" w:customStyle="1" w:styleId="QuoteChar">
    <w:name w:val="Quote Char"/>
    <w:basedOn w:val="DefaultParagraphFont"/>
    <w:link w:val="Quote"/>
    <w:uiPriority w:val="29"/>
    <w:rsid w:val="004B4DD1"/>
    <w:rPr>
      <w:i/>
      <w:iCs/>
      <w:color w:val="404040" w:themeColor="text1" w:themeTint="BF"/>
    </w:rPr>
  </w:style>
  <w:style w:type="paragraph" w:styleId="ListParagraph">
    <w:name w:val="List Paragraph"/>
    <w:basedOn w:val="Normal"/>
    <w:uiPriority w:val="34"/>
    <w:qFormat/>
    <w:rsid w:val="004B4DD1"/>
    <w:pPr>
      <w:ind w:left="720"/>
      <w:contextualSpacing/>
    </w:pPr>
  </w:style>
  <w:style w:type="character" w:styleId="IntenseEmphasis">
    <w:name w:val="Intense Emphasis"/>
    <w:basedOn w:val="DefaultParagraphFont"/>
    <w:uiPriority w:val="21"/>
    <w:qFormat/>
    <w:rsid w:val="004B4DD1"/>
    <w:rPr>
      <w:i/>
      <w:iCs/>
      <w:color w:val="2F5496" w:themeColor="accent1" w:themeShade="BF"/>
    </w:rPr>
  </w:style>
  <w:style w:type="paragraph" w:styleId="IntenseQuote">
    <w:name w:val="Intense Quote"/>
    <w:basedOn w:val="Normal"/>
    <w:next w:val="Normal"/>
    <w:link w:val="IntenseQuoteChar"/>
    <w:uiPriority w:val="30"/>
    <w:qFormat/>
    <w:rsid w:val="004B4D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4DD1"/>
    <w:rPr>
      <w:i/>
      <w:iCs/>
      <w:color w:val="2F5496" w:themeColor="accent1" w:themeShade="BF"/>
    </w:rPr>
  </w:style>
  <w:style w:type="character" w:styleId="IntenseReference">
    <w:name w:val="Intense Reference"/>
    <w:basedOn w:val="DefaultParagraphFont"/>
    <w:uiPriority w:val="32"/>
    <w:qFormat/>
    <w:rsid w:val="004B4DD1"/>
    <w:rPr>
      <w:b/>
      <w:bCs/>
      <w:smallCaps/>
      <w:color w:val="2F5496" w:themeColor="accent1" w:themeShade="BF"/>
      <w:spacing w:val="5"/>
    </w:rPr>
  </w:style>
  <w:style w:type="table" w:styleId="TableGrid">
    <w:name w:val="Table Grid"/>
    <w:basedOn w:val="TableNormal"/>
    <w:uiPriority w:val="39"/>
    <w:rsid w:val="004B4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06337"/>
  </w:style>
  <w:style w:type="character" w:styleId="Hyperlink">
    <w:name w:val="Hyperlink"/>
    <w:basedOn w:val="DefaultParagraphFont"/>
    <w:uiPriority w:val="99"/>
    <w:unhideWhenUsed/>
    <w:rsid w:val="002214B6"/>
    <w:rPr>
      <w:color w:val="0563C1" w:themeColor="hyperlink"/>
      <w:u w:val="single"/>
    </w:rPr>
  </w:style>
  <w:style w:type="character" w:styleId="UnresolvedMention">
    <w:name w:val="Unresolved Mention"/>
    <w:basedOn w:val="DefaultParagraphFont"/>
    <w:uiPriority w:val="99"/>
    <w:semiHidden/>
    <w:unhideWhenUsed/>
    <w:rsid w:val="002214B6"/>
    <w:rPr>
      <w:color w:val="605E5C"/>
      <w:shd w:val="clear" w:color="auto" w:fill="E1DFDD"/>
    </w:rPr>
  </w:style>
  <w:style w:type="paragraph" w:styleId="Header">
    <w:name w:val="header"/>
    <w:basedOn w:val="Normal"/>
    <w:link w:val="HeaderChar"/>
    <w:uiPriority w:val="99"/>
    <w:unhideWhenUsed/>
    <w:rsid w:val="000F12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2B0"/>
  </w:style>
  <w:style w:type="paragraph" w:styleId="Footer">
    <w:name w:val="footer"/>
    <w:basedOn w:val="Normal"/>
    <w:link w:val="FooterChar"/>
    <w:uiPriority w:val="99"/>
    <w:unhideWhenUsed/>
    <w:rsid w:val="000F12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ijc.34300" TargetMode="External"/><Relationship Id="rId18" Type="http://schemas.openxmlformats.org/officeDocument/2006/relationships/hyperlink" Target="https://doi.org/10.1021/acs.est.7b06388" TargetMode="External"/><Relationship Id="rId26" Type="http://schemas.openxmlformats.org/officeDocument/2006/relationships/hyperlink" Target="https://www.who.int/news-room/fact-sheets/detail/pesticide-residues-in-food" TargetMode="External"/><Relationship Id="rId3" Type="http://schemas.openxmlformats.org/officeDocument/2006/relationships/settings" Target="settings.xml"/><Relationship Id="rId21" Type="http://schemas.openxmlformats.org/officeDocument/2006/relationships/hyperlink" Target="https://doi.org/10.3390/bioengineering8070092"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21/acs.est.0c05793" TargetMode="External"/><Relationship Id="rId17" Type="http://schemas.openxmlformats.org/officeDocument/2006/relationships/hyperlink" Target="https://doi.org/10.3389/fcacs.2024.1368086" TargetMode="External"/><Relationship Id="rId25" Type="http://schemas.openxmlformats.org/officeDocument/2006/relationships/hyperlink" Target="https://doi.org/10.1038/ncomms1245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o.org/fileadmin/templates/agphome/documents/Pests_Pesticides/Code/CODE_2014Sep_ENG.pdf" TargetMode="External"/><Relationship Id="rId20" Type="http://schemas.openxmlformats.org/officeDocument/2006/relationships/hyperlink" Target="https://doi.org/10.1016/j.foodres.2023.113295"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toxics9030042" TargetMode="External"/><Relationship Id="rId24" Type="http://schemas.openxmlformats.org/officeDocument/2006/relationships/hyperlink" Target="https://www.unep.org/resources/report/global-chemicals-outlook-ii-legacies-innovative-solution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ewg.org/foodnews/dirty-dozen.php" TargetMode="External"/><Relationship Id="rId23" Type="http://schemas.openxmlformats.org/officeDocument/2006/relationships/hyperlink" Target="https://doi.org/10.3390/w13020198" TargetMode="External"/><Relationship Id="rId28" Type="http://schemas.openxmlformats.org/officeDocument/2006/relationships/header" Target="header2.xml"/><Relationship Id="rId10" Type="http://schemas.openxmlformats.org/officeDocument/2006/relationships/hyperlink" Target="https://doi.org/10.2478/v10102-009-0001-7" TargetMode="External"/><Relationship Id="rId19" Type="http://schemas.openxmlformats.org/officeDocument/2006/relationships/hyperlink" Target="https://doi.org/10.1007/s11356-024-32087-z"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molecules27228072" TargetMode="External"/><Relationship Id="rId22" Type="http://schemas.openxmlformats.org/officeDocument/2006/relationships/hyperlink" Target="https://www.ncbi.nlm.nih.gov/books/NBK47043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1279</TotalTime>
  <Pages>20</Pages>
  <Words>6987</Words>
  <Characters>39830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1180</cp:lastModifiedBy>
  <cp:revision>19</cp:revision>
  <dcterms:created xsi:type="dcterms:W3CDTF">2025-09-17T09:53:00Z</dcterms:created>
  <dcterms:modified xsi:type="dcterms:W3CDTF">2025-10-10T07:07:00Z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a118d8e6-070f-4f05-978a-b3a7d8e6b6e6</vt:lpwstr>
  </property>
</Properties>
</file>